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D8F" w:rsidRPr="00F77C61" w:rsidP="003E2335" w14:paraId="223A02C0" w14:textId="77777777">
      <w:pPr>
        <w:spacing w:after="0"/>
        <w:jc w:val="center"/>
        <w:rPr>
          <w:rFonts w:cstheme="minorHAnsi"/>
          <w:sz w:val="24"/>
          <w:szCs w:val="24"/>
        </w:rPr>
      </w:pPr>
    </w:p>
    <w:p w:rsidR="00F42D8F" w:rsidRPr="00F77C61" w:rsidP="003E2335" w14:paraId="26884DFA" w14:textId="77777777">
      <w:pPr>
        <w:spacing w:after="0"/>
        <w:jc w:val="center"/>
        <w:rPr>
          <w:rFonts w:cstheme="minorHAnsi"/>
          <w:sz w:val="24"/>
          <w:szCs w:val="24"/>
        </w:rPr>
      </w:pPr>
    </w:p>
    <w:p w:rsidR="00F42D8F" w:rsidRPr="00F77C61" w:rsidP="003E2335" w14:paraId="56243B92" w14:textId="77777777">
      <w:pPr>
        <w:spacing w:after="0"/>
        <w:jc w:val="center"/>
        <w:rPr>
          <w:rFonts w:cstheme="minorHAnsi"/>
          <w:b/>
          <w:sz w:val="24"/>
          <w:szCs w:val="24"/>
        </w:rPr>
      </w:pPr>
    </w:p>
    <w:p w:rsidR="38EF331E" w:rsidRPr="00F77C61" w:rsidP="67AC4A89" w14:paraId="470E4261" w14:textId="77777777">
      <w:pPr>
        <w:spacing w:after="0"/>
        <w:jc w:val="center"/>
        <w:rPr>
          <w:rFonts w:cstheme="minorHAnsi"/>
          <w:b/>
          <w:bCs/>
          <w:sz w:val="24"/>
          <w:szCs w:val="24"/>
        </w:rPr>
      </w:pPr>
      <w:r w:rsidRPr="00F77C61">
        <w:rPr>
          <w:rFonts w:cstheme="minorHAnsi"/>
          <w:b/>
          <w:bCs/>
          <w:sz w:val="24"/>
          <w:szCs w:val="24"/>
        </w:rPr>
        <w:t xml:space="preserve"> </w:t>
      </w:r>
    </w:p>
    <w:p w:rsidR="00550E63" w:rsidRPr="00F77C61" w:rsidP="003E2335" w14:paraId="09156420" w14:textId="77777777">
      <w:pPr>
        <w:spacing w:after="0"/>
        <w:jc w:val="center"/>
        <w:rPr>
          <w:rFonts w:cstheme="minorHAnsi"/>
          <w:b/>
          <w:bCs/>
          <w:sz w:val="24"/>
          <w:szCs w:val="24"/>
        </w:rPr>
      </w:pPr>
    </w:p>
    <w:p w:rsidR="00681514" w:rsidP="0080341A" w14:paraId="14AECDC9" w14:textId="77777777">
      <w:pPr>
        <w:spacing w:after="0" w:line="240" w:lineRule="auto"/>
        <w:jc w:val="center"/>
        <w:rPr>
          <w:rFonts w:eastAsia="Arial" w:cstheme="minorHAnsi"/>
          <w:b/>
          <w:bCs/>
          <w:sz w:val="24"/>
          <w:szCs w:val="24"/>
        </w:rPr>
      </w:pPr>
    </w:p>
    <w:p w:rsidR="00681514" w:rsidRPr="00681514" w:rsidP="00681514" w14:paraId="1119474D" w14:textId="77777777">
      <w:pPr>
        <w:spacing w:after="0" w:line="240" w:lineRule="auto"/>
        <w:jc w:val="center"/>
        <w:rPr>
          <w:rFonts w:eastAsia="Arial" w:cstheme="minorHAnsi"/>
          <w:b/>
          <w:bCs/>
          <w:sz w:val="24"/>
          <w:szCs w:val="24"/>
        </w:rPr>
      </w:pPr>
      <w:r w:rsidRPr="00681514">
        <w:rPr>
          <w:rFonts w:eastAsia="Arial" w:cstheme="minorHAnsi"/>
          <w:b/>
          <w:bCs/>
          <w:sz w:val="24"/>
          <w:szCs w:val="24"/>
        </w:rPr>
        <w:t>Generic Information Clearance for CDC/ATSDR</w:t>
      </w:r>
    </w:p>
    <w:p w:rsidR="00681514" w:rsidRPr="00681514" w:rsidP="00681514" w14:paraId="11D1200E" w14:textId="77777777">
      <w:pPr>
        <w:spacing w:after="0" w:line="240" w:lineRule="auto"/>
        <w:jc w:val="center"/>
        <w:rPr>
          <w:rFonts w:eastAsia="Arial" w:cstheme="minorHAnsi"/>
          <w:b/>
          <w:bCs/>
          <w:sz w:val="24"/>
          <w:szCs w:val="24"/>
        </w:rPr>
      </w:pPr>
      <w:r w:rsidRPr="00681514">
        <w:rPr>
          <w:rFonts w:eastAsia="Arial" w:cstheme="minorHAnsi"/>
          <w:b/>
          <w:bCs/>
          <w:sz w:val="24"/>
          <w:szCs w:val="24"/>
        </w:rPr>
        <w:t>Formative Research and Tool Development</w:t>
      </w:r>
    </w:p>
    <w:p w:rsidR="00D95D28" w:rsidP="0080341A" w14:paraId="1EC76CB7" w14:textId="77777777">
      <w:pPr>
        <w:spacing w:after="0" w:line="240" w:lineRule="auto"/>
        <w:jc w:val="center"/>
        <w:rPr>
          <w:rFonts w:eastAsia="Arial" w:cstheme="minorHAnsi"/>
          <w:b/>
          <w:bCs/>
          <w:sz w:val="24"/>
          <w:szCs w:val="24"/>
        </w:rPr>
      </w:pPr>
      <w:r>
        <w:rPr>
          <w:rFonts w:eastAsia="Arial" w:cstheme="minorHAnsi"/>
          <w:b/>
          <w:bCs/>
          <w:sz w:val="24"/>
          <w:szCs w:val="24"/>
        </w:rPr>
        <w:t>C</w:t>
      </w:r>
      <w:r w:rsidRPr="00D95D28">
        <w:rPr>
          <w:rFonts w:eastAsia="Arial" w:cstheme="minorHAnsi"/>
          <w:b/>
          <w:bCs/>
          <w:sz w:val="24"/>
          <w:szCs w:val="24"/>
        </w:rPr>
        <w:t>ustomer Discovery Interviews with Five NIOSH Audiences</w:t>
      </w:r>
    </w:p>
    <w:p w:rsidR="00F42D8F" w:rsidRPr="00F77C61" w:rsidP="67AC4A89" w14:paraId="63A261B9" w14:textId="77777777">
      <w:pPr>
        <w:spacing w:after="0" w:line="240" w:lineRule="auto"/>
        <w:jc w:val="center"/>
        <w:rPr>
          <w:rFonts w:eastAsia="Times New Roman" w:cstheme="minorHAnsi"/>
          <w:b/>
          <w:bCs/>
          <w:sz w:val="24"/>
          <w:szCs w:val="24"/>
        </w:rPr>
      </w:pPr>
    </w:p>
    <w:p w:rsidR="00F42D8F" w:rsidRPr="00F77C61" w:rsidP="003E2335" w14:paraId="678BEDB7" w14:textId="77777777">
      <w:pPr>
        <w:spacing w:after="0"/>
        <w:jc w:val="center"/>
        <w:rPr>
          <w:rFonts w:cstheme="minorHAnsi"/>
          <w:sz w:val="24"/>
          <w:szCs w:val="24"/>
        </w:rPr>
      </w:pPr>
      <w:r w:rsidRPr="00F77C61">
        <w:rPr>
          <w:rFonts w:cstheme="minorHAnsi"/>
          <w:sz w:val="24"/>
          <w:szCs w:val="24"/>
        </w:rPr>
        <w:t>Supporting Statement A</w:t>
      </w:r>
    </w:p>
    <w:p w:rsidR="00F42D8F" w:rsidRPr="00F77C61" w:rsidP="003E2335" w14:paraId="7E2B7AD1" w14:textId="77777777">
      <w:pPr>
        <w:spacing w:after="0"/>
        <w:jc w:val="center"/>
        <w:rPr>
          <w:rFonts w:cstheme="minorHAnsi"/>
          <w:sz w:val="24"/>
          <w:szCs w:val="24"/>
        </w:rPr>
      </w:pPr>
    </w:p>
    <w:p w:rsidR="00F42D8F" w:rsidRPr="00F77C61" w:rsidP="003E2335" w14:paraId="65138EFF" w14:textId="77777777">
      <w:pPr>
        <w:spacing w:after="0"/>
        <w:jc w:val="center"/>
        <w:rPr>
          <w:rFonts w:cstheme="minorHAnsi"/>
          <w:sz w:val="24"/>
          <w:szCs w:val="24"/>
        </w:rPr>
      </w:pPr>
    </w:p>
    <w:p w:rsidR="38EF331E" w:rsidRPr="00F77C61" w:rsidP="003E2335" w14:paraId="3A61BC35" w14:textId="77777777">
      <w:pPr>
        <w:spacing w:after="0"/>
        <w:jc w:val="center"/>
        <w:rPr>
          <w:rFonts w:cstheme="minorHAnsi"/>
          <w:sz w:val="24"/>
          <w:szCs w:val="24"/>
        </w:rPr>
      </w:pPr>
      <w:r w:rsidRPr="00B1316E">
        <w:rPr>
          <w:rFonts w:cstheme="minorHAnsi"/>
          <w:sz w:val="24"/>
          <w:szCs w:val="24"/>
        </w:rPr>
        <w:t xml:space="preserve">August </w:t>
      </w:r>
      <w:r w:rsidRPr="00B1316E" w:rsidR="00B1316E">
        <w:rPr>
          <w:rFonts w:cstheme="minorHAnsi"/>
          <w:sz w:val="24"/>
          <w:szCs w:val="24"/>
        </w:rPr>
        <w:t>7</w:t>
      </w:r>
      <w:r w:rsidRPr="00B1316E" w:rsidR="000246F8">
        <w:rPr>
          <w:rFonts w:cstheme="minorHAnsi"/>
          <w:sz w:val="24"/>
          <w:szCs w:val="24"/>
        </w:rPr>
        <w:t>, 2024</w:t>
      </w:r>
    </w:p>
    <w:p w:rsidR="00F42D8F" w:rsidRPr="00F77C61" w:rsidP="003E2335" w14:paraId="527E027D" w14:textId="77777777">
      <w:pPr>
        <w:spacing w:after="0"/>
        <w:jc w:val="center"/>
        <w:rPr>
          <w:rFonts w:cstheme="minorHAnsi"/>
          <w:sz w:val="24"/>
          <w:szCs w:val="24"/>
        </w:rPr>
      </w:pPr>
    </w:p>
    <w:p w:rsidR="00F42D8F" w:rsidRPr="00F77C61" w:rsidP="003E2335" w14:paraId="473248F5" w14:textId="77777777">
      <w:pPr>
        <w:spacing w:after="0"/>
        <w:jc w:val="center"/>
        <w:rPr>
          <w:rFonts w:cstheme="minorHAnsi"/>
          <w:sz w:val="24"/>
          <w:szCs w:val="24"/>
        </w:rPr>
      </w:pPr>
    </w:p>
    <w:p w:rsidR="00F42D8F" w:rsidRPr="00F77C61" w:rsidP="003E2335" w14:paraId="6F25A6C8" w14:textId="77777777">
      <w:pPr>
        <w:spacing w:after="0"/>
        <w:jc w:val="center"/>
        <w:rPr>
          <w:rFonts w:cstheme="minorHAnsi"/>
          <w:sz w:val="24"/>
          <w:szCs w:val="24"/>
        </w:rPr>
      </w:pPr>
    </w:p>
    <w:p w:rsidR="001E5307" w:rsidRPr="00F77C61" w:rsidP="67AC4A89" w14:paraId="127C4750" w14:textId="77777777">
      <w:pPr>
        <w:spacing w:after="0"/>
        <w:jc w:val="center"/>
        <w:rPr>
          <w:rFonts w:cstheme="minorHAnsi"/>
          <w:sz w:val="24"/>
          <w:szCs w:val="24"/>
        </w:rPr>
      </w:pPr>
      <w:r w:rsidRPr="00F77C61">
        <w:rPr>
          <w:rFonts w:cstheme="minorHAnsi"/>
          <w:sz w:val="24"/>
          <w:szCs w:val="24"/>
        </w:rPr>
        <w:t>Contact Information:</w:t>
      </w:r>
    </w:p>
    <w:p w:rsidR="001E5307" w:rsidRPr="00F77C61" w:rsidP="67AC4A89" w14:paraId="44C876E5" w14:textId="77777777">
      <w:pPr>
        <w:spacing w:after="0"/>
        <w:jc w:val="center"/>
        <w:rPr>
          <w:rFonts w:cstheme="minorHAnsi"/>
          <w:sz w:val="24"/>
          <w:szCs w:val="24"/>
        </w:rPr>
      </w:pPr>
      <w:r>
        <w:rPr>
          <w:rFonts w:cstheme="minorHAnsi"/>
          <w:sz w:val="24"/>
          <w:szCs w:val="24"/>
        </w:rPr>
        <w:t>Garrett Burnett</w:t>
      </w:r>
    </w:p>
    <w:p w:rsidR="001E5307" w:rsidP="67AC4A89" w14:paraId="5985F6D2" w14:textId="77777777">
      <w:pPr>
        <w:spacing w:after="0"/>
        <w:jc w:val="center"/>
        <w:rPr>
          <w:rFonts w:cstheme="minorHAnsi"/>
          <w:sz w:val="24"/>
          <w:szCs w:val="24"/>
        </w:rPr>
      </w:pPr>
      <w:r w:rsidRPr="00F77C61">
        <w:rPr>
          <w:rFonts w:cstheme="minorHAnsi"/>
          <w:sz w:val="24"/>
          <w:szCs w:val="24"/>
        </w:rPr>
        <w:t>CDC/NIOSH/OD</w:t>
      </w:r>
    </w:p>
    <w:p w:rsidR="00D04399" w:rsidRPr="00F77C61" w:rsidP="67AC4A89" w14:paraId="035AC902" w14:textId="77777777">
      <w:pPr>
        <w:spacing w:after="0"/>
        <w:jc w:val="center"/>
        <w:rPr>
          <w:rFonts w:cstheme="minorHAnsi"/>
          <w:sz w:val="24"/>
          <w:szCs w:val="24"/>
        </w:rPr>
      </w:pPr>
      <w:r>
        <w:rPr>
          <w:rFonts w:cstheme="minorHAnsi"/>
          <w:sz w:val="24"/>
          <w:szCs w:val="24"/>
        </w:rPr>
        <w:t>513-533-8229</w:t>
      </w:r>
    </w:p>
    <w:p w:rsidR="001E5307" w:rsidRPr="00F77C61" w:rsidP="00605D9C" w14:paraId="4CDE08B9" w14:textId="77777777">
      <w:pPr>
        <w:spacing w:after="0"/>
        <w:jc w:val="center"/>
        <w:rPr>
          <w:rFonts w:cstheme="minorHAnsi"/>
          <w:sz w:val="24"/>
          <w:szCs w:val="24"/>
          <w:highlight w:val="yellow"/>
        </w:rPr>
      </w:pPr>
      <w:r>
        <w:rPr>
          <w:rFonts w:cstheme="minorHAnsi"/>
          <w:sz w:val="24"/>
          <w:szCs w:val="24"/>
        </w:rPr>
        <w:t>fxc7@cdc.gov</w:t>
      </w:r>
      <w:r w:rsidRPr="00F77C61" w:rsidR="00D62777">
        <w:rPr>
          <w:rFonts w:eastAsia="Times New Roman" w:cstheme="minorHAnsi"/>
          <w:b/>
          <w:bCs/>
          <w:sz w:val="24"/>
          <w:szCs w:val="24"/>
        </w:rPr>
        <w:br w:type="page"/>
      </w:r>
    </w:p>
    <w:p w:rsidR="00C03919" w:rsidRPr="00F77C61" w:rsidP="003E2335" w14:paraId="7D0187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jc w:val="center"/>
        <w:rPr>
          <w:rFonts w:eastAsia="Times New Roman" w:cstheme="minorHAnsi"/>
          <w:b/>
          <w:sz w:val="24"/>
          <w:szCs w:val="24"/>
        </w:rPr>
      </w:pPr>
      <w:r w:rsidRPr="00F77C61">
        <w:rPr>
          <w:rFonts w:eastAsia="Times New Roman" w:cstheme="minorHAnsi"/>
          <w:b/>
          <w:sz w:val="24"/>
          <w:szCs w:val="24"/>
        </w:rPr>
        <w:t>Table of Contents</w:t>
      </w:r>
    </w:p>
    <w:p w:rsidR="00550E63" w:rsidRPr="00F77C61" w:rsidP="003E2335" w14:paraId="3EB77790" w14:textId="77777777">
      <w:pPr>
        <w:spacing w:after="0" w:line="240" w:lineRule="auto"/>
        <w:ind w:left="360" w:hanging="360"/>
        <w:rPr>
          <w:rFonts w:eastAsia="Times New Roman" w:cstheme="minorHAnsi"/>
          <w:b/>
        </w:rPr>
      </w:pPr>
    </w:p>
    <w:p w:rsidR="00C03919" w:rsidRPr="00F77C61" w:rsidP="67AC4A89" w14:paraId="1F72AF26" w14:textId="77777777">
      <w:pPr>
        <w:pStyle w:val="ListParagraph"/>
        <w:spacing w:after="0" w:line="240" w:lineRule="auto"/>
        <w:ind w:left="0"/>
        <w:rPr>
          <w:rFonts w:eastAsia="Times New Roman" w:cstheme="minorHAnsi"/>
          <w:b/>
          <w:bCs/>
          <w:sz w:val="24"/>
          <w:szCs w:val="24"/>
        </w:rPr>
      </w:pPr>
      <w:r w:rsidRPr="00F77C61">
        <w:rPr>
          <w:rFonts w:eastAsia="Times New Roman" w:cstheme="minorHAnsi"/>
          <w:b/>
          <w:bCs/>
          <w:sz w:val="24"/>
          <w:szCs w:val="24"/>
        </w:rPr>
        <w:t>Justification</w:t>
      </w:r>
    </w:p>
    <w:p w:rsidR="00C03919" w:rsidRPr="00F77C61" w:rsidP="33725EA2" w14:paraId="0DB6047F" w14:textId="77777777">
      <w:pPr>
        <w:numPr>
          <w:ilvl w:val="0"/>
          <w:numId w:val="4"/>
        </w:numPr>
        <w:spacing w:after="0" w:line="240" w:lineRule="auto"/>
        <w:ind w:left="360"/>
        <w:rPr>
          <w:rFonts w:eastAsia="Times New Roman" w:cstheme="minorHAnsi"/>
        </w:rPr>
      </w:pPr>
      <w:r w:rsidRPr="00F77C61">
        <w:rPr>
          <w:rFonts w:eastAsia="Times New Roman" w:cstheme="minorHAnsi"/>
        </w:rPr>
        <w:t>Circumstances Making the Collection of Information Necessary</w:t>
      </w:r>
    </w:p>
    <w:p w:rsidR="00C03919" w:rsidRPr="00F77C61" w:rsidP="33725EA2" w14:paraId="1AD73EC0" w14:textId="77777777">
      <w:pPr>
        <w:numPr>
          <w:ilvl w:val="0"/>
          <w:numId w:val="4"/>
        </w:numPr>
        <w:spacing w:after="0" w:line="240" w:lineRule="auto"/>
        <w:ind w:left="360"/>
        <w:rPr>
          <w:rFonts w:eastAsia="Times New Roman" w:cstheme="minorHAnsi"/>
        </w:rPr>
      </w:pPr>
      <w:r w:rsidRPr="00F77C61">
        <w:rPr>
          <w:rFonts w:eastAsia="Times New Roman" w:cstheme="minorHAnsi"/>
        </w:rPr>
        <w:t>Purpose and Use of the Information Collection</w:t>
      </w:r>
    </w:p>
    <w:p w:rsidR="00C03919" w:rsidRPr="00F77C61" w:rsidP="33725EA2" w14:paraId="4E8F1195" w14:textId="77777777">
      <w:pPr>
        <w:numPr>
          <w:ilvl w:val="0"/>
          <w:numId w:val="4"/>
        </w:numPr>
        <w:spacing w:after="0" w:line="240" w:lineRule="auto"/>
        <w:ind w:left="360"/>
        <w:rPr>
          <w:rFonts w:eastAsia="Times New Roman" w:cstheme="minorHAnsi"/>
        </w:rPr>
      </w:pPr>
      <w:r w:rsidRPr="00F77C61">
        <w:rPr>
          <w:rFonts w:eastAsia="Times New Roman" w:cstheme="minorHAnsi"/>
        </w:rPr>
        <w:t>Use of Improved Information Technology and Burden Reduction</w:t>
      </w:r>
    </w:p>
    <w:p w:rsidR="00C03919" w:rsidRPr="00F77C61" w:rsidP="33725EA2" w14:paraId="61A2660E" w14:textId="77777777">
      <w:pPr>
        <w:numPr>
          <w:ilvl w:val="0"/>
          <w:numId w:val="4"/>
        </w:numPr>
        <w:spacing w:after="0" w:line="240" w:lineRule="auto"/>
        <w:ind w:left="360"/>
        <w:rPr>
          <w:rFonts w:eastAsia="Times New Roman" w:cstheme="minorHAnsi"/>
        </w:rPr>
      </w:pPr>
      <w:r w:rsidRPr="00F77C61">
        <w:rPr>
          <w:rFonts w:eastAsia="Times New Roman" w:cstheme="minorHAnsi"/>
        </w:rPr>
        <w:t>Efforts to Identify Duplication and Use of Similar Information</w:t>
      </w:r>
    </w:p>
    <w:p w:rsidR="00C03919" w:rsidRPr="00F77C61" w:rsidP="33725EA2" w14:paraId="2E321AA0" w14:textId="77777777">
      <w:pPr>
        <w:numPr>
          <w:ilvl w:val="0"/>
          <w:numId w:val="4"/>
        </w:numPr>
        <w:spacing w:after="0" w:line="240" w:lineRule="auto"/>
        <w:ind w:left="360"/>
        <w:rPr>
          <w:rFonts w:eastAsia="Times New Roman" w:cstheme="minorHAnsi"/>
        </w:rPr>
      </w:pPr>
      <w:r w:rsidRPr="00F77C61">
        <w:rPr>
          <w:rFonts w:eastAsia="Times New Roman" w:cstheme="minorHAnsi"/>
        </w:rPr>
        <w:t>Impact on Small Businesses or Other Small Entities</w:t>
      </w:r>
    </w:p>
    <w:p w:rsidR="00C03919" w:rsidRPr="00F77C61" w:rsidP="33725EA2" w14:paraId="53344969" w14:textId="77777777">
      <w:pPr>
        <w:numPr>
          <w:ilvl w:val="0"/>
          <w:numId w:val="4"/>
        </w:numPr>
        <w:spacing w:after="0" w:line="240" w:lineRule="auto"/>
        <w:ind w:left="360"/>
        <w:rPr>
          <w:rFonts w:eastAsia="Times New Roman" w:cstheme="minorHAnsi"/>
        </w:rPr>
      </w:pPr>
      <w:r w:rsidRPr="00F77C61">
        <w:rPr>
          <w:rFonts w:eastAsia="Times New Roman" w:cstheme="minorHAnsi"/>
        </w:rPr>
        <w:t>Consequences of Collecting the Information Less Frequently</w:t>
      </w:r>
    </w:p>
    <w:p w:rsidR="00C03919" w:rsidRPr="00F77C61" w:rsidP="33725EA2" w14:paraId="17F12075" w14:textId="77777777">
      <w:pPr>
        <w:numPr>
          <w:ilvl w:val="0"/>
          <w:numId w:val="4"/>
        </w:numPr>
        <w:spacing w:after="0" w:line="240" w:lineRule="auto"/>
        <w:ind w:left="360"/>
        <w:rPr>
          <w:rFonts w:eastAsia="Times New Roman" w:cstheme="minorHAnsi"/>
        </w:rPr>
      </w:pPr>
      <w:r w:rsidRPr="00F77C61">
        <w:rPr>
          <w:rFonts w:eastAsia="Times New Roman" w:cstheme="minorHAnsi"/>
        </w:rPr>
        <w:t>Special Circumstances Relating to the Guidelines of 5 CFR 1320.5</w:t>
      </w:r>
    </w:p>
    <w:p w:rsidR="00C03919" w:rsidRPr="00F77C61" w:rsidP="33725EA2" w14:paraId="1876DDC8" w14:textId="77777777">
      <w:pPr>
        <w:numPr>
          <w:ilvl w:val="0"/>
          <w:numId w:val="4"/>
        </w:numPr>
        <w:spacing w:after="0" w:line="240" w:lineRule="auto"/>
        <w:ind w:left="360"/>
        <w:rPr>
          <w:rFonts w:eastAsia="Times New Roman" w:cstheme="minorHAnsi"/>
        </w:rPr>
      </w:pPr>
      <w:r w:rsidRPr="00F77C61">
        <w:rPr>
          <w:rFonts w:eastAsia="Times New Roman" w:cstheme="minorHAnsi"/>
        </w:rPr>
        <w:t>Comments in Response to the Federal Register Notice and Efforts to Consult Outside the Agency</w:t>
      </w:r>
    </w:p>
    <w:p w:rsidR="00C03919" w:rsidRPr="00F77C61" w:rsidP="33725EA2" w14:paraId="2326FAC1" w14:textId="77777777">
      <w:pPr>
        <w:numPr>
          <w:ilvl w:val="0"/>
          <w:numId w:val="4"/>
        </w:numPr>
        <w:spacing w:after="0" w:line="240" w:lineRule="auto"/>
        <w:ind w:left="360"/>
        <w:rPr>
          <w:rFonts w:eastAsia="Times New Roman" w:cstheme="minorHAnsi"/>
        </w:rPr>
      </w:pPr>
      <w:r w:rsidRPr="00F77C61">
        <w:rPr>
          <w:rFonts w:eastAsia="Times New Roman" w:cstheme="minorHAnsi"/>
        </w:rPr>
        <w:t>Explanation of Any Payment or Gift to Respondents</w:t>
      </w:r>
    </w:p>
    <w:p w:rsidR="00C03919" w:rsidRPr="00F77C61" w:rsidP="33725EA2" w14:paraId="296E8153" w14:textId="77777777">
      <w:pPr>
        <w:numPr>
          <w:ilvl w:val="0"/>
          <w:numId w:val="4"/>
        </w:numPr>
        <w:spacing w:after="0" w:line="240" w:lineRule="auto"/>
        <w:ind w:left="360"/>
        <w:rPr>
          <w:rFonts w:eastAsia="Times New Roman" w:cstheme="minorHAnsi"/>
        </w:rPr>
      </w:pPr>
      <w:r w:rsidRPr="00F77C61">
        <w:rPr>
          <w:rFonts w:eastAsia="Times New Roman" w:cstheme="minorHAnsi"/>
        </w:rPr>
        <w:t>Protection of the Privacy and Confidentiality of Information Provided to Respondents</w:t>
      </w:r>
    </w:p>
    <w:p w:rsidR="00C03919" w:rsidRPr="00F77C61" w:rsidP="33725EA2" w14:paraId="0F64245F" w14:textId="77777777">
      <w:pPr>
        <w:numPr>
          <w:ilvl w:val="0"/>
          <w:numId w:val="4"/>
        </w:numPr>
        <w:spacing w:after="0" w:line="240" w:lineRule="auto"/>
        <w:ind w:left="360"/>
        <w:rPr>
          <w:rFonts w:eastAsia="Times New Roman" w:cstheme="minorHAnsi"/>
        </w:rPr>
      </w:pPr>
      <w:r w:rsidRPr="00F77C61">
        <w:rPr>
          <w:rFonts w:eastAsia="Times New Roman" w:cstheme="minorHAnsi"/>
        </w:rPr>
        <w:t>Institutional Review Board (IRB) and Justification for Sensitive Questions</w:t>
      </w:r>
    </w:p>
    <w:p w:rsidR="00C03919" w:rsidRPr="00F77C61" w:rsidP="33725EA2" w14:paraId="0FD4147A" w14:textId="77777777">
      <w:pPr>
        <w:numPr>
          <w:ilvl w:val="0"/>
          <w:numId w:val="4"/>
        </w:numPr>
        <w:spacing w:after="0" w:line="240" w:lineRule="auto"/>
        <w:ind w:left="360"/>
        <w:rPr>
          <w:rFonts w:eastAsia="Times New Roman" w:cstheme="minorHAnsi"/>
        </w:rPr>
      </w:pPr>
      <w:r w:rsidRPr="00F77C61">
        <w:rPr>
          <w:rFonts w:eastAsia="Times New Roman" w:cstheme="minorHAnsi"/>
        </w:rPr>
        <w:t>Estimates of Annualized Burden Hours and Costs</w:t>
      </w:r>
    </w:p>
    <w:p w:rsidR="00C03919" w:rsidRPr="00F77C61" w:rsidP="33725EA2" w14:paraId="56223621" w14:textId="77777777">
      <w:pPr>
        <w:numPr>
          <w:ilvl w:val="0"/>
          <w:numId w:val="4"/>
        </w:numPr>
        <w:spacing w:after="0" w:line="240" w:lineRule="auto"/>
        <w:ind w:left="360"/>
        <w:rPr>
          <w:rFonts w:eastAsia="Times New Roman" w:cstheme="minorHAnsi"/>
        </w:rPr>
      </w:pPr>
      <w:r w:rsidRPr="00F77C61">
        <w:rPr>
          <w:rFonts w:eastAsia="Times New Roman" w:cstheme="minorHAnsi"/>
        </w:rPr>
        <w:t>Estimates of Other Total Annual Cost Burden to Respondents and Record Keepers</w:t>
      </w:r>
    </w:p>
    <w:p w:rsidR="00C03919" w:rsidRPr="00F77C61" w:rsidP="33725EA2" w14:paraId="79837776" w14:textId="77777777">
      <w:pPr>
        <w:numPr>
          <w:ilvl w:val="0"/>
          <w:numId w:val="4"/>
        </w:numPr>
        <w:spacing w:after="0" w:line="240" w:lineRule="auto"/>
        <w:ind w:left="360"/>
        <w:rPr>
          <w:rFonts w:eastAsia="Times New Roman" w:cstheme="minorHAnsi"/>
        </w:rPr>
      </w:pPr>
      <w:r w:rsidRPr="00F77C61">
        <w:rPr>
          <w:rFonts w:eastAsia="Times New Roman" w:cstheme="minorHAnsi"/>
        </w:rPr>
        <w:t>Annualized Cost to the Federal Government</w:t>
      </w:r>
    </w:p>
    <w:p w:rsidR="00C03919" w:rsidRPr="00F77C61" w:rsidP="33725EA2" w14:paraId="438AE426" w14:textId="77777777">
      <w:pPr>
        <w:numPr>
          <w:ilvl w:val="0"/>
          <w:numId w:val="4"/>
        </w:numPr>
        <w:spacing w:after="0" w:line="240" w:lineRule="auto"/>
        <w:ind w:left="360"/>
        <w:rPr>
          <w:rFonts w:eastAsia="Times New Roman" w:cstheme="minorHAnsi"/>
        </w:rPr>
      </w:pPr>
      <w:r w:rsidRPr="00F77C61">
        <w:rPr>
          <w:rFonts w:eastAsia="Times New Roman" w:cstheme="minorHAnsi"/>
        </w:rPr>
        <w:t>Explanation for Program Changes or Adjustments</w:t>
      </w:r>
    </w:p>
    <w:p w:rsidR="00C03919" w:rsidRPr="00F77C61" w:rsidP="33725EA2" w14:paraId="425F706E" w14:textId="77777777">
      <w:pPr>
        <w:numPr>
          <w:ilvl w:val="0"/>
          <w:numId w:val="4"/>
        </w:numPr>
        <w:spacing w:after="0" w:line="240" w:lineRule="auto"/>
        <w:ind w:left="360"/>
        <w:rPr>
          <w:rFonts w:eastAsia="Times New Roman" w:cstheme="minorHAnsi"/>
        </w:rPr>
      </w:pPr>
      <w:r w:rsidRPr="00F77C61">
        <w:rPr>
          <w:rFonts w:eastAsia="Times New Roman" w:cstheme="minorHAnsi"/>
        </w:rPr>
        <w:t>Plans for Tabulation and Publication and Project Time Schedule</w:t>
      </w:r>
    </w:p>
    <w:p w:rsidR="00C03919" w:rsidRPr="00F77C61" w:rsidP="33725EA2" w14:paraId="6268F1A4" w14:textId="77777777">
      <w:pPr>
        <w:numPr>
          <w:ilvl w:val="0"/>
          <w:numId w:val="4"/>
        </w:numPr>
        <w:spacing w:after="0" w:line="240" w:lineRule="auto"/>
        <w:ind w:left="360"/>
        <w:rPr>
          <w:rFonts w:eastAsia="Times New Roman" w:cstheme="minorHAnsi"/>
        </w:rPr>
      </w:pPr>
      <w:r w:rsidRPr="00F77C61">
        <w:rPr>
          <w:rFonts w:eastAsia="Times New Roman" w:cstheme="minorHAnsi"/>
        </w:rPr>
        <w:t>Reason(s) Display of OMB Expiration Date is Inappropriate</w:t>
      </w:r>
    </w:p>
    <w:p w:rsidR="00C03919" w:rsidRPr="00F77C61" w:rsidP="33725EA2" w14:paraId="6F0B1DEE" w14:textId="77777777">
      <w:pPr>
        <w:numPr>
          <w:ilvl w:val="0"/>
          <w:numId w:val="4"/>
        </w:numPr>
        <w:spacing w:after="0" w:line="240" w:lineRule="auto"/>
        <w:ind w:left="360"/>
        <w:rPr>
          <w:rFonts w:eastAsia="Times New Roman" w:cstheme="minorHAnsi"/>
        </w:rPr>
      </w:pPr>
      <w:r w:rsidRPr="00F77C61">
        <w:rPr>
          <w:rFonts w:eastAsia="Times New Roman" w:cstheme="minorHAnsi"/>
        </w:rPr>
        <w:t>Exceptions to Certification for Paperwork Reduction Act Submissions</w:t>
      </w:r>
    </w:p>
    <w:p w:rsidR="00987B5F" w:rsidRPr="00F77C61" w:rsidP="67AC4A89" w14:paraId="18882F3F" w14:textId="77777777">
      <w:pPr>
        <w:spacing w:after="0"/>
        <w:ind w:left="360"/>
        <w:rPr>
          <w:rFonts w:cstheme="minorHAnsi"/>
          <w:sz w:val="24"/>
          <w:szCs w:val="24"/>
        </w:rPr>
      </w:pPr>
    </w:p>
    <w:p w:rsidR="00C12499" w:rsidRPr="00F77C61" w:rsidP="67AC4A89" w14:paraId="3B893A0F" w14:textId="77777777">
      <w:pPr>
        <w:pStyle w:val="ListParagraph"/>
        <w:spacing w:after="0"/>
        <w:ind w:left="0"/>
        <w:rPr>
          <w:rFonts w:cstheme="minorHAnsi"/>
          <w:b/>
          <w:bCs/>
          <w:sz w:val="24"/>
          <w:szCs w:val="24"/>
        </w:rPr>
      </w:pPr>
      <w:r w:rsidRPr="00F77C61">
        <w:rPr>
          <w:rFonts w:cstheme="minorHAnsi"/>
          <w:b/>
          <w:bCs/>
          <w:sz w:val="24"/>
          <w:szCs w:val="24"/>
        </w:rPr>
        <w:t>Attachments</w:t>
      </w:r>
    </w:p>
    <w:p w:rsidR="00462062" w:rsidRPr="00247591" w:rsidP="00462062" w14:paraId="1A8537CE" w14:textId="77777777">
      <w:pPr>
        <w:spacing w:after="0"/>
      </w:pPr>
      <w:bookmarkStart w:id="0" w:name="_Hlk93050192"/>
      <w:r w:rsidRPr="00247591">
        <w:t>Att</w:t>
      </w:r>
      <w:r w:rsidRPr="00247591">
        <w:t xml:space="preserve"> 1 </w:t>
      </w:r>
      <w:r w:rsidRPr="00247591">
        <w:rPr>
          <w:rFonts w:ascii="ITCFranklinGothicStd-Book" w:hAnsi="ITCFranklinGothicStd-Book"/>
        </w:rPr>
        <w:t>—</w:t>
      </w:r>
      <w:r w:rsidRPr="00247591">
        <w:t>Authorizing Legislation</w:t>
      </w:r>
    </w:p>
    <w:p w:rsidR="00462062" w:rsidP="00462062" w14:paraId="03BA91F6" w14:textId="77777777">
      <w:pPr>
        <w:spacing w:after="0"/>
      </w:pPr>
      <w:r w:rsidRPr="00C00193">
        <w:t>Att</w:t>
      </w:r>
      <w:r w:rsidRPr="00C00193">
        <w:t xml:space="preserve"> 2 </w:t>
      </w:r>
      <w:r w:rsidRPr="00C00193">
        <w:rPr>
          <w:rFonts w:ascii="ITCFranklinGothicStd-Book" w:hAnsi="ITCFranklinGothicStd-Book"/>
        </w:rPr>
        <w:t>—</w:t>
      </w:r>
      <w:r>
        <w:rPr>
          <w:rFonts w:ascii="ITCFranklinGothicStd-Book" w:hAnsi="ITCFranklinGothicStd-Book"/>
        </w:rPr>
        <w:t xml:space="preserve"> </w:t>
      </w:r>
      <w:r>
        <w:t>Interview Guide</w:t>
      </w:r>
    </w:p>
    <w:p w:rsidR="00462062" w:rsidRPr="00590725" w:rsidP="00462062" w14:paraId="277E3FB8" w14:textId="77777777">
      <w:pPr>
        <w:spacing w:after="0"/>
      </w:pPr>
      <w:r w:rsidRPr="00590725">
        <w:t>Att</w:t>
      </w:r>
      <w:r w:rsidRPr="00590725">
        <w:t xml:space="preserve"> </w:t>
      </w:r>
      <w:r>
        <w:t>3</w:t>
      </w:r>
      <w:r w:rsidRPr="00590725">
        <w:t xml:space="preserve"> </w:t>
      </w:r>
      <w:r w:rsidRPr="00C00193">
        <w:rPr>
          <w:rFonts w:ascii="ITCFranklinGothicStd-Book" w:hAnsi="ITCFranklinGothicStd-Book"/>
        </w:rPr>
        <w:t>—</w:t>
      </w:r>
      <w:r>
        <w:rPr>
          <w:rFonts w:ascii="ITCFranklinGothicStd-Book" w:hAnsi="ITCFranklinGothicStd-Book"/>
        </w:rPr>
        <w:t xml:space="preserve"> </w:t>
      </w:r>
      <w:r>
        <w:t>Non-Research Determination</w:t>
      </w:r>
    </w:p>
    <w:bookmarkEnd w:id="0"/>
    <w:p w:rsidR="001143DE" w:rsidRPr="00F77C61" w:rsidP="00462062" w14:paraId="315F35E9" w14:textId="77777777">
      <w:pPr>
        <w:spacing w:after="0"/>
        <w:rPr>
          <w:rFonts w:eastAsia="Times New Roman" w:cstheme="minorHAnsi"/>
        </w:rPr>
      </w:pPr>
      <w:r w:rsidRPr="00F77C61">
        <w:rPr>
          <w:rFonts w:eastAsia="Times New Roman" w:cstheme="minorHAnsi"/>
        </w:rPr>
        <w:br w:type="page"/>
      </w:r>
    </w:p>
    <w:p w:rsidR="67AC4A89" w:rsidRPr="00F77C61" w:rsidP="67AC4A89" w14:paraId="2CA3EABC" w14:textId="77777777">
      <w:pPr>
        <w:spacing w:after="0" w:line="240" w:lineRule="auto"/>
        <w:rPr>
          <w:rFonts w:eastAsia="Times New Roman" w:cstheme="minorHAnsi"/>
          <w:sz w:val="24"/>
          <w:szCs w:val="24"/>
        </w:rPr>
      </w:pPr>
    </w:p>
    <w:tbl>
      <w:tblPr>
        <w:tblStyle w:val="TableGrid1"/>
        <w:tblpPr w:leftFromText="180" w:rightFromText="180" w:vertAnchor="text" w:horzAnchor="margin" w:tblpY="173"/>
        <w:tblW w:w="9265" w:type="dxa"/>
        <w:tblLook w:val="04A0"/>
      </w:tblPr>
      <w:tblGrid>
        <w:gridCol w:w="9265"/>
      </w:tblGrid>
      <w:tr w14:paraId="18231F82" w14:textId="77777777" w:rsidTr="3190BAA1">
        <w:tblPrEx>
          <w:tblW w:w="9265" w:type="dxa"/>
          <w:tblLook w:val="04A0"/>
        </w:tblPrEx>
        <w:trPr>
          <w:trHeight w:val="980"/>
        </w:trPr>
        <w:tc>
          <w:tcPr>
            <w:tcW w:w="9265" w:type="dxa"/>
          </w:tcPr>
          <w:p w:rsidR="006D28C6" w:rsidRPr="00FC4282" w:rsidP="005C0BBF" w14:paraId="277105E4" w14:textId="77777777">
            <w:pPr>
              <w:pStyle w:val="NormalWeb"/>
              <w:numPr>
                <w:ilvl w:val="0"/>
                <w:numId w:val="43"/>
              </w:numPr>
              <w:spacing w:before="0" w:beforeAutospacing="0" w:after="0"/>
              <w:rPr>
                <w:rFonts w:asciiTheme="minorHAnsi" w:hAnsiTheme="minorHAnsi" w:cstheme="minorHAnsi"/>
                <w:sz w:val="22"/>
                <w:szCs w:val="22"/>
              </w:rPr>
            </w:pPr>
            <w:r w:rsidRPr="00F77C61">
              <w:rPr>
                <w:rFonts w:eastAsia="Calibri" w:asciiTheme="minorHAnsi" w:hAnsiTheme="minorHAnsi" w:cstheme="minorHAnsi"/>
                <w:b/>
                <w:bCs/>
                <w:sz w:val="22"/>
                <w:szCs w:val="22"/>
              </w:rPr>
              <w:t>Goals of the project:</w:t>
            </w:r>
            <w:r w:rsidRPr="00F77C61">
              <w:rPr>
                <w:rFonts w:eastAsia="Calibri" w:asciiTheme="minorHAnsi" w:hAnsiTheme="minorHAnsi" w:cstheme="minorHAnsi"/>
                <w:sz w:val="22"/>
                <w:szCs w:val="22"/>
              </w:rPr>
              <w:t xml:space="preserve"> </w:t>
            </w:r>
            <w:bookmarkStart w:id="1" w:name="_Hlk40278335"/>
            <w:r w:rsidR="0048334B">
              <w:rPr>
                <w:color w:val="000000"/>
                <w:sz w:val="27"/>
                <w:szCs w:val="27"/>
              </w:rPr>
              <w:t xml:space="preserve"> </w:t>
            </w:r>
            <w:r w:rsidRPr="00E52F87" w:rsidR="0048334B">
              <w:rPr>
                <w:rFonts w:asciiTheme="minorHAnsi" w:hAnsiTheme="minorHAnsi" w:cstheme="minorHAnsi"/>
                <w:color w:val="000000"/>
                <w:sz w:val="22"/>
                <w:szCs w:val="22"/>
              </w:rPr>
              <w:t xml:space="preserve">To collect preliminary information to </w:t>
            </w:r>
            <w:r w:rsidRPr="00E52F87" w:rsidR="00FC4282">
              <w:rPr>
                <w:rFonts w:asciiTheme="minorHAnsi" w:hAnsiTheme="minorHAnsi" w:cstheme="minorHAnsi"/>
                <w:color w:val="000000"/>
                <w:sz w:val="22"/>
                <w:szCs w:val="22"/>
              </w:rPr>
              <w:t>set strategic direction and</w:t>
            </w:r>
            <w:r w:rsidR="005C0BBF">
              <w:rPr>
                <w:rFonts w:asciiTheme="minorHAnsi" w:hAnsiTheme="minorHAnsi" w:cstheme="minorHAnsi"/>
                <w:color w:val="000000"/>
                <w:sz w:val="22"/>
                <w:szCs w:val="22"/>
              </w:rPr>
              <w:t xml:space="preserve"> </w:t>
            </w:r>
            <w:r w:rsidRPr="00E52F87" w:rsidR="00FC4282">
              <w:rPr>
                <w:rFonts w:asciiTheme="minorHAnsi" w:hAnsiTheme="minorHAnsi" w:cstheme="minorHAnsi"/>
                <w:color w:val="000000"/>
                <w:sz w:val="22"/>
                <w:szCs w:val="22"/>
              </w:rPr>
              <w:t>communicate research findings more effectively.</w:t>
            </w:r>
            <w:r w:rsidRPr="00FC4282" w:rsidR="00FC4282">
              <w:rPr>
                <w:rFonts w:asciiTheme="minorHAnsi" w:hAnsiTheme="minorHAnsi" w:cstheme="minorHAnsi"/>
                <w:color w:val="000000"/>
                <w:sz w:val="27"/>
                <w:szCs w:val="27"/>
              </w:rPr>
              <w:t xml:space="preserve"> </w:t>
            </w:r>
            <w:bookmarkEnd w:id="1"/>
          </w:p>
          <w:p w:rsidR="00FC4282" w:rsidRPr="00F77C61" w:rsidP="00FC4282" w14:paraId="35FBBC44" w14:textId="77777777">
            <w:pPr>
              <w:pStyle w:val="NormalWeb"/>
              <w:spacing w:before="0" w:beforeAutospacing="0" w:after="0"/>
              <w:ind w:left="360"/>
              <w:rPr>
                <w:rFonts w:asciiTheme="minorHAnsi" w:hAnsiTheme="minorHAnsi" w:cstheme="minorHAnsi"/>
                <w:sz w:val="22"/>
                <w:szCs w:val="22"/>
              </w:rPr>
            </w:pPr>
          </w:p>
          <w:p w:rsidR="006D28C6" w:rsidRPr="00E52F87" w:rsidP="005C0BBF" w14:paraId="15725EA3" w14:textId="77777777">
            <w:pPr>
              <w:pStyle w:val="NormalWeb"/>
              <w:numPr>
                <w:ilvl w:val="0"/>
                <w:numId w:val="43"/>
              </w:numPr>
              <w:spacing w:before="0" w:beforeAutospacing="0" w:after="0"/>
              <w:rPr>
                <w:rFonts w:asciiTheme="minorHAnsi" w:hAnsiTheme="minorHAnsi" w:cstheme="minorHAnsi"/>
                <w:sz w:val="22"/>
                <w:szCs w:val="22"/>
              </w:rPr>
            </w:pPr>
            <w:r w:rsidRPr="00462062">
              <w:rPr>
                <w:rFonts w:eastAsia="Calibri" w:asciiTheme="minorHAnsi" w:hAnsiTheme="minorHAnsi" w:cstheme="minorHAnsi"/>
                <w:b/>
                <w:bCs/>
                <w:sz w:val="22"/>
                <w:szCs w:val="22"/>
              </w:rPr>
              <w:t xml:space="preserve">Intended use of the resulting data: </w:t>
            </w:r>
            <w:r w:rsidR="00E52F87">
              <w:t xml:space="preserve"> </w:t>
            </w:r>
            <w:r w:rsidRPr="00E52F87" w:rsidR="00E52F87">
              <w:rPr>
                <w:rFonts w:eastAsia="Calibri" w:asciiTheme="minorHAnsi" w:hAnsiTheme="minorHAnsi" w:cstheme="minorHAnsi"/>
                <w:sz w:val="22"/>
                <w:szCs w:val="22"/>
              </w:rPr>
              <w:t xml:space="preserve">Results from interviews will be used to facilitate discussion within the </w:t>
            </w:r>
            <w:r w:rsidR="00E52F87">
              <w:rPr>
                <w:rFonts w:eastAsia="Calibri" w:asciiTheme="minorHAnsi" w:hAnsiTheme="minorHAnsi" w:cstheme="minorHAnsi"/>
                <w:sz w:val="22"/>
                <w:szCs w:val="22"/>
              </w:rPr>
              <w:t>three NIOSH research pr</w:t>
            </w:r>
            <w:r w:rsidRPr="00E52F87" w:rsidR="00E52F87">
              <w:rPr>
                <w:rFonts w:eastAsia="Calibri" w:asciiTheme="minorHAnsi" w:hAnsiTheme="minorHAnsi" w:cstheme="minorHAnsi"/>
                <w:sz w:val="22"/>
                <w:szCs w:val="22"/>
              </w:rPr>
              <w:t>ogram</w:t>
            </w:r>
            <w:r w:rsidR="00E52F87">
              <w:rPr>
                <w:rFonts w:eastAsia="Calibri" w:asciiTheme="minorHAnsi" w:hAnsiTheme="minorHAnsi" w:cstheme="minorHAnsi"/>
                <w:sz w:val="22"/>
                <w:szCs w:val="22"/>
              </w:rPr>
              <w:t>s</w:t>
            </w:r>
            <w:r w:rsidRPr="00E52F87" w:rsidR="00E52F87">
              <w:rPr>
                <w:rFonts w:eastAsia="Calibri" w:asciiTheme="minorHAnsi" w:hAnsiTheme="minorHAnsi" w:cstheme="minorHAnsi"/>
                <w:sz w:val="22"/>
                <w:szCs w:val="22"/>
              </w:rPr>
              <w:t xml:space="preserve"> when refining current communications and products, such as providing useful resources to ensure that users have an effective, efficient, and satisfying experience with NIOSH</w:t>
            </w:r>
            <w:r w:rsidR="00E52F87">
              <w:rPr>
                <w:rFonts w:eastAsia="Calibri" w:asciiTheme="minorHAnsi" w:hAnsiTheme="minorHAnsi" w:cstheme="minorHAnsi"/>
                <w:sz w:val="22"/>
                <w:szCs w:val="22"/>
              </w:rPr>
              <w:t xml:space="preserve"> </w:t>
            </w:r>
            <w:r w:rsidRPr="00E52F87" w:rsidR="00E52F87">
              <w:rPr>
                <w:rFonts w:eastAsia="Calibri" w:asciiTheme="minorHAnsi" w:hAnsiTheme="minorHAnsi" w:cstheme="minorHAnsi"/>
                <w:sz w:val="22"/>
                <w:szCs w:val="22"/>
              </w:rPr>
              <w:t>program</w:t>
            </w:r>
            <w:r w:rsidR="00E52F87">
              <w:rPr>
                <w:rFonts w:eastAsia="Calibri" w:asciiTheme="minorHAnsi" w:hAnsiTheme="minorHAnsi" w:cstheme="minorHAnsi"/>
                <w:sz w:val="22"/>
                <w:szCs w:val="22"/>
              </w:rPr>
              <w:t>s</w:t>
            </w:r>
            <w:r w:rsidRPr="00E52F87" w:rsidR="00E52F87">
              <w:rPr>
                <w:rFonts w:eastAsia="Calibri" w:asciiTheme="minorHAnsi" w:hAnsiTheme="minorHAnsi" w:cstheme="minorHAnsi"/>
                <w:sz w:val="22"/>
                <w:szCs w:val="22"/>
              </w:rPr>
              <w:t>.</w:t>
            </w:r>
          </w:p>
          <w:p w:rsidR="00462062" w:rsidRPr="00462062" w:rsidP="00462062" w14:paraId="5FA55633" w14:textId="77777777">
            <w:pPr>
              <w:pStyle w:val="NormalWeb"/>
              <w:spacing w:before="0" w:beforeAutospacing="0" w:after="0"/>
              <w:ind w:left="250"/>
              <w:rPr>
                <w:rFonts w:asciiTheme="minorHAnsi" w:hAnsiTheme="minorHAnsi" w:cstheme="minorHAnsi"/>
                <w:sz w:val="22"/>
                <w:szCs w:val="22"/>
              </w:rPr>
            </w:pPr>
          </w:p>
          <w:p w:rsidR="00B60428" w:rsidRPr="00B60428" w:rsidP="005C0BBF" w14:paraId="64E8CB33" w14:textId="77777777">
            <w:pPr>
              <w:pStyle w:val="ListParagraph"/>
              <w:numPr>
                <w:ilvl w:val="0"/>
                <w:numId w:val="43"/>
              </w:numPr>
              <w:jc w:val="both"/>
              <w:rPr>
                <w:rFonts w:eastAsia="Calibri" w:asciiTheme="minorHAnsi" w:hAnsiTheme="minorHAnsi" w:cstheme="minorBidi"/>
                <w:sz w:val="22"/>
                <w:szCs w:val="22"/>
              </w:rPr>
            </w:pPr>
            <w:r w:rsidRPr="3190BAA1">
              <w:rPr>
                <w:rFonts w:eastAsia="Calibri" w:asciiTheme="minorHAnsi" w:hAnsiTheme="minorHAnsi" w:cstheme="minorBidi"/>
                <w:b/>
                <w:bCs/>
                <w:sz w:val="22"/>
                <w:szCs w:val="22"/>
              </w:rPr>
              <w:t xml:space="preserve">Methods to be used to collect data: </w:t>
            </w:r>
            <w:r w:rsidR="00E52F87">
              <w:rPr>
                <w:rFonts w:eastAsia="Calibri" w:asciiTheme="minorHAnsi" w:hAnsiTheme="minorHAnsi" w:cstheme="minorBidi"/>
                <w:sz w:val="22"/>
                <w:szCs w:val="22"/>
              </w:rPr>
              <w:t>Interviews</w:t>
            </w:r>
            <w:r w:rsidR="00E52F87">
              <w:rPr>
                <w:rFonts w:eastAsia="Calibri" w:asciiTheme="minorHAnsi" w:hAnsiTheme="minorHAnsi" w:cstheme="minorBidi"/>
                <w:sz w:val="22"/>
                <w:szCs w:val="22"/>
              </w:rPr>
              <w:t xml:space="preserve"> </w:t>
            </w:r>
          </w:p>
          <w:p w:rsidR="00B60428" w:rsidRPr="00B60428" w:rsidP="00B60428" w14:paraId="51C85A37" w14:textId="77777777">
            <w:pPr>
              <w:pStyle w:val="ListParagraph"/>
              <w:rPr>
                <w:rFonts w:eastAsia="Calibri"/>
                <w:b/>
                <w:bCs/>
              </w:rPr>
            </w:pPr>
          </w:p>
          <w:p w:rsidR="00630287" w:rsidRPr="00F77C61" w:rsidP="005C0BBF" w14:paraId="0E39BF08" w14:textId="77777777">
            <w:pPr>
              <w:pStyle w:val="ListParagraph"/>
              <w:numPr>
                <w:ilvl w:val="0"/>
                <w:numId w:val="43"/>
              </w:numPr>
              <w:jc w:val="both"/>
              <w:rPr>
                <w:rFonts w:eastAsia="Calibri" w:asciiTheme="minorHAnsi" w:hAnsiTheme="minorHAnsi" w:cstheme="minorBidi"/>
                <w:sz w:val="22"/>
                <w:szCs w:val="22"/>
              </w:rPr>
            </w:pPr>
            <w:r w:rsidRPr="3190BAA1">
              <w:rPr>
                <w:rFonts w:eastAsia="Calibri" w:asciiTheme="minorHAnsi" w:hAnsiTheme="minorHAnsi" w:cstheme="minorBidi"/>
                <w:b/>
                <w:bCs/>
                <w:sz w:val="22"/>
                <w:szCs w:val="22"/>
              </w:rPr>
              <w:t>The specific subpopulation to be studied:</w:t>
            </w:r>
            <w:r w:rsidR="00E21A4F">
              <w:rPr>
                <w:rFonts w:eastAsia="Calibri"/>
                <w:b/>
                <w:bCs/>
              </w:rPr>
              <w:t xml:space="preserve"> </w:t>
            </w:r>
            <w:r w:rsidRPr="002E3C94" w:rsidR="002E3C94">
              <w:rPr>
                <w:rFonts w:asciiTheme="minorHAnsi" w:hAnsiTheme="minorHAnsi" w:cstheme="minorHAnsi"/>
                <w:sz w:val="22"/>
                <w:szCs w:val="22"/>
              </w:rPr>
              <w:t>1) volunteer firefighters, 2) home healthcare aides, 3) corrections officers, 4) mental health workers, and 4) state, county, and city health department employees</w:t>
            </w:r>
            <w:r w:rsidR="00900C0A">
              <w:rPr>
                <w:rFonts w:asciiTheme="minorHAnsi" w:hAnsiTheme="minorHAnsi" w:cstheme="minorHAnsi"/>
                <w:sz w:val="22"/>
                <w:szCs w:val="22"/>
              </w:rPr>
              <w:t>.</w:t>
            </w:r>
          </w:p>
          <w:p w:rsidR="00F67F4E" w:rsidRPr="00F67F4E" w:rsidP="00F67F4E" w14:paraId="58626195" w14:textId="77777777">
            <w:pPr>
              <w:ind w:left="250"/>
              <w:contextualSpacing/>
              <w:jc w:val="both"/>
              <w:rPr>
                <w:rFonts w:eastAsia="Calibri" w:asciiTheme="minorHAnsi" w:hAnsiTheme="minorHAnsi" w:cstheme="minorHAnsi"/>
                <w:sz w:val="22"/>
                <w:szCs w:val="22"/>
              </w:rPr>
            </w:pPr>
          </w:p>
          <w:p w:rsidR="00F57238" w:rsidRPr="00F77C61" w:rsidP="005C0BBF" w14:paraId="51467C80" w14:textId="77777777">
            <w:pPr>
              <w:numPr>
                <w:ilvl w:val="0"/>
                <w:numId w:val="43"/>
              </w:numPr>
              <w:contextualSpacing/>
              <w:jc w:val="both"/>
              <w:rPr>
                <w:rFonts w:eastAsia="Calibri" w:asciiTheme="minorHAnsi" w:hAnsiTheme="minorHAnsi" w:cstheme="minorHAnsi"/>
                <w:sz w:val="22"/>
                <w:szCs w:val="22"/>
              </w:rPr>
            </w:pPr>
            <w:r w:rsidRPr="00F77C61">
              <w:rPr>
                <w:rFonts w:eastAsia="Calibri" w:asciiTheme="minorHAnsi" w:hAnsiTheme="minorHAnsi" w:cstheme="minorHAnsi"/>
                <w:b/>
                <w:bCs/>
                <w:sz w:val="22"/>
                <w:szCs w:val="22"/>
              </w:rPr>
              <w:t xml:space="preserve">How data will be analyzed: </w:t>
            </w:r>
            <w:r w:rsidRPr="00E85A8B" w:rsidR="00E85A8B">
              <w:rPr>
                <w:rFonts w:eastAsia="Calibri" w:asciiTheme="minorHAnsi" w:hAnsiTheme="minorHAnsi" w:cstheme="minorHAnsi"/>
                <w:sz w:val="22"/>
                <w:szCs w:val="22"/>
              </w:rPr>
              <w:t>Qualitative analysis will be performed to examine major topics mentioned by participants</w:t>
            </w:r>
            <w:r w:rsidR="00900C0A">
              <w:rPr>
                <w:rFonts w:eastAsia="Calibri" w:asciiTheme="minorHAnsi" w:hAnsiTheme="minorHAnsi" w:cstheme="minorHAnsi"/>
                <w:sz w:val="22"/>
                <w:szCs w:val="22"/>
              </w:rPr>
              <w:t>.</w:t>
            </w:r>
          </w:p>
        </w:tc>
      </w:tr>
    </w:tbl>
    <w:p w:rsidR="67AC4A89" w:rsidRPr="00F77C61" w:rsidP="33725EA2" w14:paraId="167C6C03" w14:textId="77777777">
      <w:pPr>
        <w:spacing w:after="0" w:line="240" w:lineRule="auto"/>
        <w:rPr>
          <w:rFonts w:cstheme="minorHAnsi"/>
        </w:rPr>
      </w:pPr>
      <w:r w:rsidRPr="00F77C61">
        <w:rPr>
          <w:rFonts w:cstheme="minorHAnsi"/>
        </w:rPr>
        <w:br w:type="page"/>
      </w:r>
    </w:p>
    <w:p w:rsidR="00C03919" w:rsidRPr="00F77C61" w:rsidP="67AC4A89" w14:paraId="3E4861E4" w14:textId="77777777">
      <w:pPr>
        <w:spacing w:after="0" w:line="240" w:lineRule="auto"/>
        <w:rPr>
          <w:rFonts w:eastAsia="Times New Roman" w:cstheme="minorHAnsi"/>
          <w:b/>
          <w:bCs/>
          <w:sz w:val="16"/>
          <w:szCs w:val="16"/>
        </w:rPr>
      </w:pPr>
      <w:r w:rsidRPr="00F77C61">
        <w:rPr>
          <w:rFonts w:eastAsia="Times New Roman" w:cstheme="minorHAnsi"/>
          <w:b/>
          <w:bCs/>
          <w:sz w:val="24"/>
          <w:szCs w:val="24"/>
        </w:rPr>
        <w:t>A.</w:t>
      </w:r>
      <w:r w:rsidRPr="00F77C61">
        <w:rPr>
          <w:rFonts w:cstheme="minorHAnsi"/>
        </w:rPr>
        <w:tab/>
      </w:r>
      <w:r w:rsidRPr="00F77C61">
        <w:rPr>
          <w:rFonts w:eastAsia="Times New Roman" w:cstheme="minorHAnsi"/>
          <w:b/>
          <w:bCs/>
          <w:sz w:val="24"/>
          <w:szCs w:val="24"/>
        </w:rPr>
        <w:t>JUSTIFICATION</w:t>
      </w:r>
      <w:r w:rsidRPr="00F77C61">
        <w:rPr>
          <w:rFonts w:cstheme="minorHAnsi"/>
        </w:rPr>
        <w:br/>
      </w:r>
    </w:p>
    <w:p w:rsidR="00555C34" w:rsidP="67AC4A89" w14:paraId="79E04782" w14:textId="77777777">
      <w:pPr>
        <w:spacing w:after="0" w:line="240" w:lineRule="auto"/>
        <w:ind w:left="720" w:hanging="720"/>
        <w:rPr>
          <w:rFonts w:eastAsia="Times New Roman" w:cstheme="minorHAnsi"/>
          <w:b/>
          <w:bCs/>
          <w:sz w:val="24"/>
          <w:szCs w:val="24"/>
        </w:rPr>
      </w:pPr>
      <w:r w:rsidRPr="00F77C61">
        <w:rPr>
          <w:rFonts w:eastAsia="Times New Roman" w:cstheme="minorHAnsi"/>
          <w:b/>
          <w:bCs/>
          <w:sz w:val="24"/>
          <w:szCs w:val="24"/>
        </w:rPr>
        <w:t>1. Circumstances Making the Collection of Information Necessary</w:t>
      </w:r>
    </w:p>
    <w:p w:rsidR="00D725E4" w:rsidP="00E63710" w14:paraId="2C2444B5" w14:textId="77777777">
      <w:pPr>
        <w:spacing w:line="257" w:lineRule="auto"/>
        <w:rPr>
          <w:rFonts w:ascii="Calibri" w:eastAsia="Calibri" w:hAnsi="Calibri" w:cs="Calibri"/>
        </w:rPr>
      </w:pPr>
      <w:r w:rsidRPr="07D31352">
        <w:rPr>
          <w:rFonts w:ascii="Calibri" w:eastAsia="Calibri" w:hAnsi="Calibri" w:cs="Calibri"/>
        </w:rPr>
        <w:t xml:space="preserve">This information collection request is to conduct customer discovery interviews with five key audiences </w:t>
      </w:r>
      <w:r w:rsidR="00676D41">
        <w:rPr>
          <w:rFonts w:ascii="Calibri" w:eastAsia="Calibri" w:hAnsi="Calibri" w:cs="Calibri"/>
        </w:rPr>
        <w:t xml:space="preserve">(referenced below) </w:t>
      </w:r>
      <w:r w:rsidRPr="07D31352">
        <w:rPr>
          <w:rFonts w:ascii="Calibri" w:eastAsia="Calibri" w:hAnsi="Calibri" w:cs="Calibri"/>
        </w:rPr>
        <w:t>of the National Institute for Occupational Safety and Health (NIOSH)</w:t>
      </w:r>
      <w:r>
        <w:rPr>
          <w:rFonts w:ascii="Calibri" w:eastAsia="Calibri" w:hAnsi="Calibri" w:cs="Calibri"/>
        </w:rPr>
        <w:t>, part of the Centers for Disease Control and Prevention (CDC).</w:t>
      </w:r>
      <w:r w:rsidRPr="07D31352">
        <w:rPr>
          <w:rFonts w:ascii="Calibri" w:eastAsia="Calibri" w:hAnsi="Calibri" w:cs="Calibri"/>
        </w:rPr>
        <w:t xml:space="preserve"> </w:t>
      </w:r>
      <w:r>
        <w:rPr>
          <w:rFonts w:ascii="Calibri" w:eastAsia="Calibri" w:hAnsi="Calibri" w:cs="Calibri"/>
        </w:rPr>
        <w:t xml:space="preserve">NIOSH is the federal </w:t>
      </w:r>
      <w:r w:rsidRPr="00B01A60" w:rsidR="00B01A60">
        <w:rPr>
          <w:rFonts w:ascii="Calibri" w:eastAsia="Calibri" w:hAnsi="Calibri" w:cs="Calibri"/>
        </w:rPr>
        <w:t>is the federal institute responsible for conducting research and making recommendations for the prevention of work-related injury and illness.</w:t>
      </w:r>
    </w:p>
    <w:p w:rsidR="00E63710" w:rsidP="00E63710" w14:paraId="066C9E9C" w14:textId="77777777">
      <w:pPr>
        <w:spacing w:line="257" w:lineRule="auto"/>
        <w:rPr>
          <w:rFonts w:ascii="Calibri" w:eastAsia="Calibri" w:hAnsi="Calibri" w:cs="Calibri"/>
        </w:rPr>
      </w:pPr>
      <w:r>
        <w:rPr>
          <w:rFonts w:ascii="Calibri" w:eastAsia="Calibri" w:hAnsi="Calibri" w:cs="Calibri"/>
        </w:rPr>
        <w:t>I</w:t>
      </w:r>
      <w:r w:rsidRPr="07D31352">
        <w:rPr>
          <w:rFonts w:ascii="Calibri" w:eastAsia="Calibri" w:hAnsi="Calibri" w:cs="Calibri"/>
        </w:rPr>
        <w:t>n recent years, NIOSH has used business practices associated with Lean Start-up Methodology to provide staff with information about their audiences. An important part of Lean Start-up is a process called “customer discovery.” Businesses use customer discovery to understand customer wants and needs. Interviews are used to collect anecdotal attitudes, typically from 20 to 50 targeted people. The questions focus on the people’s tasks, the gains (positive aspects) available, the barriers they face, and the resources they rely on. Companies use this information to consider what types of products might be of value to their customers. The entire process is designed to gain important direction</w:t>
      </w:r>
      <w:r>
        <w:rPr>
          <w:rFonts w:ascii="Calibri" w:eastAsia="Calibri" w:hAnsi="Calibri" w:cs="Calibri"/>
        </w:rPr>
        <w:t xml:space="preserve">. It also prevents </w:t>
      </w:r>
      <w:r w:rsidR="00145AB8">
        <w:rPr>
          <w:rFonts w:ascii="Calibri" w:eastAsia="Calibri" w:hAnsi="Calibri" w:cs="Calibri"/>
        </w:rPr>
        <w:t>companies from</w:t>
      </w:r>
      <w:r>
        <w:rPr>
          <w:rFonts w:ascii="Calibri" w:eastAsia="Calibri" w:hAnsi="Calibri" w:cs="Calibri"/>
        </w:rPr>
        <w:t xml:space="preserve"> </w:t>
      </w:r>
      <w:r w:rsidRPr="07D31352">
        <w:rPr>
          <w:rFonts w:ascii="Calibri" w:eastAsia="Calibri" w:hAnsi="Calibri" w:cs="Calibri"/>
        </w:rPr>
        <w:t>committing funds, time, and effort into something that won’t be of value to customers.</w:t>
      </w:r>
    </w:p>
    <w:p w:rsidR="00E63710" w:rsidP="00E63710" w14:paraId="100D8BC2" w14:textId="77777777">
      <w:pPr>
        <w:spacing w:line="257" w:lineRule="auto"/>
        <w:rPr>
          <w:rFonts w:ascii="Calibri" w:eastAsia="Calibri" w:hAnsi="Calibri" w:cs="Calibri"/>
        </w:rPr>
      </w:pPr>
      <w:r>
        <w:rPr>
          <w:rFonts w:ascii="Calibri" w:eastAsia="Calibri" w:hAnsi="Calibri" w:cs="Calibri"/>
        </w:rPr>
        <w:t>At NIOSH w</w:t>
      </w:r>
      <w:r w:rsidRPr="00E62AE1">
        <w:rPr>
          <w:rFonts w:ascii="Calibri" w:eastAsia="Calibri" w:hAnsi="Calibri" w:cs="Calibri"/>
        </w:rPr>
        <w:t>e have found that customer discovery provides the information our programs need to</w:t>
      </w:r>
      <w:r>
        <w:rPr>
          <w:rFonts w:ascii="Calibri" w:eastAsia="Calibri" w:hAnsi="Calibri" w:cs="Calibri"/>
        </w:rPr>
        <w:t xml:space="preserve"> operate effectively,</w:t>
      </w:r>
      <w:r w:rsidR="00F72136">
        <w:rPr>
          <w:rFonts w:ascii="Calibri" w:eastAsia="Calibri" w:hAnsi="Calibri" w:cs="Calibri"/>
        </w:rPr>
        <w:t xml:space="preserve"> to</w:t>
      </w:r>
      <w:r w:rsidRPr="00E62AE1">
        <w:rPr>
          <w:rFonts w:ascii="Calibri" w:eastAsia="Calibri" w:hAnsi="Calibri" w:cs="Calibri"/>
        </w:rPr>
        <w:t xml:space="preserve"> continue serving their current customers and reach new customers. </w:t>
      </w:r>
      <w:r>
        <w:rPr>
          <w:rFonts w:ascii="Calibri" w:eastAsia="Calibri" w:hAnsi="Calibri" w:cs="Calibri"/>
        </w:rPr>
        <w:t xml:space="preserve">Communication strategies in particular must be tailored to reach specific worker groups within an industry. </w:t>
      </w:r>
    </w:p>
    <w:p w:rsidR="00C82AF0" w:rsidRPr="005748C0" w:rsidP="00C82AF0" w14:paraId="72B75715" w14:textId="77777777">
      <w:pPr>
        <w:spacing w:line="257" w:lineRule="auto"/>
        <w:rPr>
          <w:rFonts w:ascii="Calibri" w:eastAsia="Calibri" w:hAnsi="Calibri" w:cs="Calibri"/>
        </w:rPr>
      </w:pPr>
      <w:r>
        <w:rPr>
          <w:rFonts w:ascii="Calibri" w:eastAsia="Calibri" w:hAnsi="Calibri" w:cs="Calibri"/>
        </w:rPr>
        <w:t xml:space="preserve">NIOSH proposes conducting </w:t>
      </w:r>
      <w:r w:rsidR="001D6309">
        <w:rPr>
          <w:rFonts w:ascii="Calibri" w:eastAsia="Calibri" w:hAnsi="Calibri" w:cs="Calibri"/>
        </w:rPr>
        <w:t xml:space="preserve">160 </w:t>
      </w:r>
      <w:r>
        <w:rPr>
          <w:rFonts w:ascii="Calibri" w:eastAsia="Calibri" w:hAnsi="Calibri" w:cs="Calibri"/>
        </w:rPr>
        <w:t xml:space="preserve">customer discovery interviews across five key audience groups: </w:t>
      </w:r>
    </w:p>
    <w:p w:rsidR="00C82AF0" w:rsidRPr="00022C51" w:rsidP="00C82AF0" w14:paraId="7E94B703" w14:textId="77777777">
      <w:pPr>
        <w:pStyle w:val="ListParagraph"/>
        <w:numPr>
          <w:ilvl w:val="0"/>
          <w:numId w:val="40"/>
        </w:numPr>
        <w:rPr>
          <w:rStyle w:val="eop"/>
          <w:sz w:val="24"/>
          <w:szCs w:val="24"/>
        </w:rPr>
      </w:pPr>
      <w:r w:rsidRPr="00172950">
        <w:rPr>
          <w:rStyle w:val="normaltextrun"/>
          <w:b/>
          <w:bCs/>
        </w:rPr>
        <w:t>Volunteer firefighters</w:t>
      </w:r>
      <w:r w:rsidR="00172950">
        <w:rPr>
          <w:rStyle w:val="normaltextrun"/>
        </w:rPr>
        <w:t xml:space="preserve"> – Defined as</w:t>
      </w:r>
      <w:r w:rsidR="00172950">
        <w:rPr>
          <w:rStyle w:val="eop"/>
        </w:rPr>
        <w:t xml:space="preserve"> active (not retired) </w:t>
      </w:r>
      <w:r w:rsidR="00172950">
        <w:rPr>
          <w:rFonts w:eastAsia="Times New Roman" w:cs="Times New Roman"/>
          <w:szCs w:val="20"/>
        </w:rPr>
        <w:t xml:space="preserve">volunteer firefighters working in rural areas. They can hold any position within their local firehouse. </w:t>
      </w:r>
    </w:p>
    <w:p w:rsidR="00022C51" w:rsidRPr="00022C51" w:rsidP="00022C51" w14:paraId="2A3DEDFE" w14:textId="77777777">
      <w:pPr>
        <w:pStyle w:val="ListParagraph"/>
        <w:numPr>
          <w:ilvl w:val="0"/>
          <w:numId w:val="40"/>
        </w:numPr>
        <w:rPr>
          <w:sz w:val="24"/>
          <w:szCs w:val="24"/>
        </w:rPr>
      </w:pPr>
      <w:r w:rsidRPr="00FE72CC">
        <w:rPr>
          <w:rStyle w:val="normaltextrun"/>
          <w:b/>
          <w:bCs/>
        </w:rPr>
        <w:t>Home healthcare aides</w:t>
      </w:r>
      <w:r w:rsidRPr="000D1F75">
        <w:rPr>
          <w:rStyle w:val="eop"/>
        </w:rPr>
        <w:t> </w:t>
      </w:r>
      <w:r w:rsidR="00B14226">
        <w:rPr>
          <w:rStyle w:val="eop"/>
        </w:rPr>
        <w:t xml:space="preserve">– Defined as workers who </w:t>
      </w:r>
      <w:r w:rsidR="00B14226">
        <w:rPr>
          <w:rFonts w:eastAsia="Times New Roman" w:cs="Times New Roman"/>
          <w:szCs w:val="20"/>
        </w:rPr>
        <w:t>travel to clients’ homes to provide medical or palliative assistance. They must hold some form of credential for their work (for example, CNA, LPN, RN</w:t>
      </w:r>
      <w:r w:rsidR="00FE72CC">
        <w:rPr>
          <w:rFonts w:eastAsia="Times New Roman" w:cs="Times New Roman"/>
          <w:szCs w:val="20"/>
        </w:rPr>
        <w:t>)</w:t>
      </w:r>
      <w:r w:rsidRPr="003E1EF5" w:rsidR="00B14226">
        <w:rPr>
          <w:rFonts w:eastAsia="Times New Roman" w:cs="Times New Roman"/>
          <w:szCs w:val="20"/>
        </w:rPr>
        <w:t>.</w:t>
      </w:r>
      <w:r w:rsidR="00B14226">
        <w:rPr>
          <w:rFonts w:eastAsia="Times New Roman" w:cs="Times New Roman"/>
          <w:szCs w:val="20"/>
        </w:rPr>
        <w:t xml:space="preserve"> </w:t>
      </w:r>
    </w:p>
    <w:p w:rsidR="00C82AF0" w:rsidRPr="00C16CB7" w:rsidP="00C82AF0" w14:paraId="24E00583" w14:textId="77777777">
      <w:pPr>
        <w:pStyle w:val="ListParagraph"/>
        <w:numPr>
          <w:ilvl w:val="0"/>
          <w:numId w:val="40"/>
        </w:numPr>
        <w:rPr>
          <w:rStyle w:val="eop"/>
          <w:sz w:val="24"/>
          <w:szCs w:val="24"/>
        </w:rPr>
      </w:pPr>
      <w:r w:rsidRPr="00FE72CC">
        <w:rPr>
          <w:rStyle w:val="normaltextrun"/>
          <w:b/>
          <w:bCs/>
        </w:rPr>
        <w:t>Corrections officers</w:t>
      </w:r>
      <w:r w:rsidR="00A63207">
        <w:rPr>
          <w:rStyle w:val="eop"/>
        </w:rPr>
        <w:t xml:space="preserve"> – Defined as </w:t>
      </w:r>
      <w:r w:rsidR="00A63207">
        <w:rPr>
          <w:rFonts w:eastAsia="Times New Roman" w:cs="Times New Roman"/>
          <w:szCs w:val="20"/>
        </w:rPr>
        <w:t>those who work in “custody” positions in jails or prisons</w:t>
      </w:r>
      <w:r w:rsidR="00B14226">
        <w:rPr>
          <w:rFonts w:eastAsia="Times New Roman" w:cs="Times New Roman"/>
          <w:szCs w:val="20"/>
        </w:rPr>
        <w:t xml:space="preserve">, in direct contact with incarcerated </w:t>
      </w:r>
      <w:r w:rsidR="008D23F6">
        <w:rPr>
          <w:rFonts w:eastAsia="Times New Roman" w:cs="Times New Roman"/>
          <w:szCs w:val="20"/>
        </w:rPr>
        <w:t>populations</w:t>
      </w:r>
      <w:r w:rsidR="00271E8A">
        <w:rPr>
          <w:rFonts w:eastAsia="Times New Roman" w:cs="Times New Roman"/>
          <w:szCs w:val="20"/>
        </w:rPr>
        <w:t xml:space="preserve">. </w:t>
      </w:r>
    </w:p>
    <w:p w:rsidR="00C82AF0" w:rsidRPr="000D1F75" w:rsidP="00C82AF0" w14:paraId="41403D12" w14:textId="77777777">
      <w:pPr>
        <w:pStyle w:val="ListParagraph"/>
        <w:numPr>
          <w:ilvl w:val="0"/>
          <w:numId w:val="40"/>
        </w:numPr>
        <w:rPr>
          <w:sz w:val="24"/>
          <w:szCs w:val="24"/>
        </w:rPr>
      </w:pPr>
      <w:r w:rsidRPr="00BF4924">
        <w:rPr>
          <w:rStyle w:val="normaltextrun"/>
          <w:b/>
          <w:bCs/>
        </w:rPr>
        <w:t>Mental health workers</w:t>
      </w:r>
      <w:r w:rsidRPr="000D1F75">
        <w:rPr>
          <w:rStyle w:val="eop"/>
        </w:rPr>
        <w:t> </w:t>
      </w:r>
      <w:r w:rsidR="00BF4924">
        <w:rPr>
          <w:rStyle w:val="eop"/>
        </w:rPr>
        <w:t xml:space="preserve">– Defined as having </w:t>
      </w:r>
      <w:r w:rsidR="00BF4924">
        <w:rPr>
          <w:rFonts w:eastAsia="Times New Roman" w:cs="Times New Roman"/>
          <w:szCs w:val="20"/>
        </w:rPr>
        <w:t>specialized training or certification in the mental health field. This can include psychiatrists, counselors, and licensed therapists.</w:t>
      </w:r>
    </w:p>
    <w:p w:rsidR="00C82AF0" w:rsidRPr="00271E8A" w:rsidP="00271E8A" w14:paraId="5873A425" w14:textId="77777777">
      <w:pPr>
        <w:pStyle w:val="ListParagraph"/>
        <w:numPr>
          <w:ilvl w:val="0"/>
          <w:numId w:val="40"/>
        </w:numPr>
        <w:rPr>
          <w:rStyle w:val="eop"/>
          <w:b/>
          <w:bCs/>
        </w:rPr>
      </w:pPr>
      <w:r w:rsidRPr="00BF172F">
        <w:rPr>
          <w:rStyle w:val="normaltextrun"/>
          <w:b/>
          <w:bCs/>
        </w:rPr>
        <w:t>State, county, and city health department employees</w:t>
      </w:r>
      <w:r w:rsidR="00BF172F">
        <w:rPr>
          <w:rStyle w:val="eop"/>
          <w:b/>
          <w:bCs/>
        </w:rPr>
        <w:t xml:space="preserve"> – </w:t>
      </w:r>
      <w:r w:rsidR="00BF172F">
        <w:rPr>
          <w:rStyle w:val="eop"/>
        </w:rPr>
        <w:t xml:space="preserve">Defined as working in a state, county, or city health department, but </w:t>
      </w:r>
      <w:r w:rsidR="00271E8A">
        <w:rPr>
          <w:rStyle w:val="eop"/>
        </w:rPr>
        <w:t>does not</w:t>
      </w:r>
      <w:r w:rsidR="00BF172F">
        <w:rPr>
          <w:rStyle w:val="eop"/>
        </w:rPr>
        <w:t xml:space="preserve"> hold a leadership</w:t>
      </w:r>
      <w:r w:rsidR="00271E8A">
        <w:rPr>
          <w:rStyle w:val="eop"/>
        </w:rPr>
        <w:t>,</w:t>
      </w:r>
      <w:r w:rsidR="00BF172F">
        <w:rPr>
          <w:rStyle w:val="eop"/>
        </w:rPr>
        <w:t xml:space="preserve"> upper-management</w:t>
      </w:r>
      <w:r w:rsidR="00271E8A">
        <w:rPr>
          <w:rStyle w:val="eop"/>
        </w:rPr>
        <w:t xml:space="preserve">, or administrative </w:t>
      </w:r>
      <w:r w:rsidR="00BF172F">
        <w:rPr>
          <w:rStyle w:val="eop"/>
        </w:rPr>
        <w:t>position.</w:t>
      </w:r>
    </w:p>
    <w:p w:rsidR="00C82AF0" w:rsidP="00E63710" w14:paraId="676CF9A7" w14:textId="77777777">
      <w:pPr>
        <w:spacing w:line="257" w:lineRule="auto"/>
        <w:rPr>
          <w:rFonts w:ascii="Calibri" w:eastAsia="Calibri" w:hAnsi="Calibri" w:cs="Calibri"/>
        </w:rPr>
      </w:pPr>
      <w:r w:rsidRPr="2A1753C8">
        <w:rPr>
          <w:rFonts w:ascii="Calibri" w:eastAsia="Calibri" w:hAnsi="Calibri" w:cs="Calibri"/>
        </w:rPr>
        <w:t xml:space="preserve">Each </w:t>
      </w:r>
      <w:r w:rsidR="00BE18DB">
        <w:rPr>
          <w:rFonts w:ascii="Calibri" w:eastAsia="Calibri" w:hAnsi="Calibri" w:cs="Calibri"/>
        </w:rPr>
        <w:t>audience group</w:t>
      </w:r>
      <w:r w:rsidRPr="2A1753C8">
        <w:rPr>
          <w:rFonts w:ascii="Calibri" w:eastAsia="Calibri" w:hAnsi="Calibri" w:cs="Calibri"/>
        </w:rPr>
        <w:t xml:space="preserve"> was selected by a NIOSH </w:t>
      </w:r>
      <w:hyperlink r:id="rId9">
        <w:r w:rsidRPr="2A1753C8">
          <w:rPr>
            <w:rStyle w:val="Hyperlink"/>
            <w:rFonts w:ascii="Calibri" w:eastAsia="Calibri" w:hAnsi="Calibri" w:cs="Calibri"/>
          </w:rPr>
          <w:t>research program</w:t>
        </w:r>
      </w:hyperlink>
      <w:r w:rsidRPr="2A1753C8">
        <w:rPr>
          <w:rFonts w:ascii="Calibri" w:eastAsia="Calibri" w:hAnsi="Calibri" w:cs="Calibri"/>
        </w:rPr>
        <w:t xml:space="preserve"> </w:t>
      </w:r>
      <w:r w:rsidRPr="2A1753C8" w:rsidR="002D4E1D">
        <w:rPr>
          <w:rFonts w:ascii="Calibri" w:eastAsia="Calibri" w:hAnsi="Calibri" w:cs="Calibri"/>
        </w:rPr>
        <w:t>because we historically have had less</w:t>
      </w:r>
      <w:r w:rsidRPr="2A1753C8" w:rsidR="00B51028">
        <w:rPr>
          <w:rFonts w:ascii="Calibri" w:eastAsia="Calibri" w:hAnsi="Calibri" w:cs="Calibri"/>
        </w:rPr>
        <w:t xml:space="preserve"> engagement with</w:t>
      </w:r>
      <w:r w:rsidR="00AF737B">
        <w:rPr>
          <w:rFonts w:ascii="Calibri" w:eastAsia="Calibri" w:hAnsi="Calibri" w:cs="Calibri"/>
        </w:rPr>
        <w:t xml:space="preserve"> these groups,</w:t>
      </w:r>
      <w:r w:rsidRPr="2A1753C8" w:rsidR="00860C33">
        <w:rPr>
          <w:rFonts w:ascii="Calibri" w:eastAsia="Calibri" w:hAnsi="Calibri" w:cs="Calibri"/>
        </w:rPr>
        <w:t xml:space="preserve"> and</w:t>
      </w:r>
      <w:r w:rsidR="00AF737B">
        <w:rPr>
          <w:rFonts w:ascii="Calibri" w:eastAsia="Calibri" w:hAnsi="Calibri" w:cs="Calibri"/>
        </w:rPr>
        <w:t xml:space="preserve"> they</w:t>
      </w:r>
      <w:r w:rsidRPr="2A1753C8" w:rsidR="00860C33">
        <w:rPr>
          <w:rFonts w:ascii="Calibri" w:eastAsia="Calibri" w:hAnsi="Calibri" w:cs="Calibri"/>
        </w:rPr>
        <w:t xml:space="preserve"> are comparatively understudied</w:t>
      </w:r>
      <w:r w:rsidRPr="2A1753C8" w:rsidR="00131869">
        <w:rPr>
          <w:rFonts w:ascii="Calibri" w:eastAsia="Calibri" w:hAnsi="Calibri" w:cs="Calibri"/>
        </w:rPr>
        <w:t xml:space="preserve">. For example, </w:t>
      </w:r>
      <w:r w:rsidRPr="2A1753C8" w:rsidR="00920E4C">
        <w:rPr>
          <w:rFonts w:ascii="Calibri" w:eastAsia="Calibri" w:hAnsi="Calibri" w:cs="Calibri"/>
        </w:rPr>
        <w:t>N</w:t>
      </w:r>
      <w:r w:rsidRPr="2A1753C8" w:rsidR="00FF1188">
        <w:rPr>
          <w:rFonts w:ascii="Calibri" w:eastAsia="Calibri" w:hAnsi="Calibri" w:cs="Calibri"/>
        </w:rPr>
        <w:t xml:space="preserve">IOSH </w:t>
      </w:r>
      <w:r w:rsidRPr="2A1753C8" w:rsidR="008F51BC">
        <w:rPr>
          <w:rFonts w:ascii="Calibri" w:eastAsia="Calibri" w:hAnsi="Calibri" w:cs="Calibri"/>
        </w:rPr>
        <w:t xml:space="preserve">has </w:t>
      </w:r>
      <w:r w:rsidRPr="2A1753C8" w:rsidR="00064624">
        <w:rPr>
          <w:rFonts w:ascii="Calibri" w:eastAsia="Calibri" w:hAnsi="Calibri" w:cs="Calibri"/>
        </w:rPr>
        <w:t>conducted research and had many rich partnerships with</w:t>
      </w:r>
      <w:r w:rsidRPr="2A1753C8" w:rsidR="008A1DDB">
        <w:rPr>
          <w:rFonts w:ascii="Calibri" w:eastAsia="Calibri" w:hAnsi="Calibri" w:cs="Calibri"/>
        </w:rPr>
        <w:t xml:space="preserve"> </w:t>
      </w:r>
      <w:r w:rsidR="00392237">
        <w:rPr>
          <w:rFonts w:ascii="Calibri" w:eastAsia="Calibri" w:hAnsi="Calibri" w:cs="Calibri"/>
        </w:rPr>
        <w:t xml:space="preserve">career </w:t>
      </w:r>
      <w:r w:rsidRPr="2A1753C8" w:rsidR="008A1DDB">
        <w:rPr>
          <w:rFonts w:ascii="Calibri" w:eastAsia="Calibri" w:hAnsi="Calibri" w:cs="Calibri"/>
        </w:rPr>
        <w:t>firefighters</w:t>
      </w:r>
      <w:r w:rsidRPr="2A1753C8" w:rsidR="00064624">
        <w:rPr>
          <w:rFonts w:ascii="Calibri" w:eastAsia="Calibri" w:hAnsi="Calibri" w:cs="Calibri"/>
        </w:rPr>
        <w:t xml:space="preserve">. However, </w:t>
      </w:r>
      <w:r w:rsidRPr="2A1753C8" w:rsidR="00557DBD">
        <w:rPr>
          <w:rFonts w:ascii="Calibri" w:eastAsia="Calibri" w:hAnsi="Calibri" w:cs="Calibri"/>
        </w:rPr>
        <w:t xml:space="preserve">52% of </w:t>
      </w:r>
      <w:r w:rsidRPr="2A1753C8" w:rsidR="00064624">
        <w:rPr>
          <w:rFonts w:ascii="Calibri" w:eastAsia="Calibri" w:hAnsi="Calibri" w:cs="Calibri"/>
        </w:rPr>
        <w:t>firefighters</w:t>
      </w:r>
      <w:r w:rsidRPr="2A1753C8" w:rsidR="00557DBD">
        <w:rPr>
          <w:rFonts w:ascii="Calibri" w:eastAsia="Calibri" w:hAnsi="Calibri" w:cs="Calibri"/>
        </w:rPr>
        <w:t xml:space="preserve"> are volunteers, and this is particularly</w:t>
      </w:r>
      <w:r w:rsidRPr="2A1753C8" w:rsidR="002C593A">
        <w:rPr>
          <w:rFonts w:ascii="Calibri" w:eastAsia="Calibri" w:hAnsi="Calibri" w:cs="Calibri"/>
        </w:rPr>
        <w:t xml:space="preserve"> prevalent</w:t>
      </w:r>
      <w:r w:rsidRPr="2A1753C8" w:rsidR="00064624">
        <w:rPr>
          <w:rFonts w:ascii="Calibri" w:eastAsia="Calibri" w:hAnsi="Calibri" w:cs="Calibri"/>
        </w:rPr>
        <w:t xml:space="preserve"> in rural communities</w:t>
      </w:r>
      <w:r w:rsidR="00087269">
        <w:rPr>
          <w:rFonts w:ascii="Calibri" w:eastAsia="Calibri" w:hAnsi="Calibri" w:cs="Calibri"/>
        </w:rPr>
        <w:t>.</w:t>
      </w:r>
      <w:r>
        <w:rPr>
          <w:rStyle w:val="FootnoteReference"/>
          <w:rFonts w:ascii="Calibri" w:eastAsia="Calibri" w:hAnsi="Calibri" w:cs="Calibri"/>
        </w:rPr>
        <w:footnoteReference w:id="3"/>
      </w:r>
      <w:r w:rsidRPr="2A1753C8" w:rsidR="002C593A">
        <w:rPr>
          <w:rFonts w:ascii="Calibri" w:eastAsia="Calibri" w:hAnsi="Calibri" w:cs="Calibri"/>
        </w:rPr>
        <w:t xml:space="preserve"> </w:t>
      </w:r>
      <w:r w:rsidRPr="2A1753C8" w:rsidR="6804FE13">
        <w:rPr>
          <w:rFonts w:ascii="Calibri" w:eastAsia="Calibri" w:hAnsi="Calibri" w:cs="Calibri"/>
        </w:rPr>
        <w:t xml:space="preserve">In addition, NIOSH research within these communities focuses on the safety and health factors related to their work. </w:t>
      </w:r>
      <w:r w:rsidRPr="2A1753C8" w:rsidR="062A91A4">
        <w:rPr>
          <w:rFonts w:ascii="Calibri" w:eastAsia="Calibri" w:hAnsi="Calibri" w:cs="Calibri"/>
        </w:rPr>
        <w:t>It does not tend to cover attitudes</w:t>
      </w:r>
      <w:r w:rsidRPr="2A1753C8" w:rsidR="02AF2657">
        <w:rPr>
          <w:rFonts w:ascii="Calibri" w:eastAsia="Calibri" w:hAnsi="Calibri" w:cs="Calibri"/>
        </w:rPr>
        <w:t xml:space="preserve"> and values associated the people doing work in these fields. </w:t>
      </w:r>
      <w:r w:rsidRPr="2A1753C8" w:rsidR="695E916A">
        <w:rPr>
          <w:rFonts w:ascii="Calibri" w:eastAsia="Calibri" w:hAnsi="Calibri" w:cs="Calibri"/>
        </w:rPr>
        <w:t>Information of this sort is often collected by marketing departments, but it is generally proprietary and rarely focuses on occupation.</w:t>
      </w:r>
    </w:p>
    <w:p w:rsidR="00A75A3D" w:rsidP="00E63710" w14:paraId="5AB2702E" w14:textId="77777777">
      <w:pPr>
        <w:spacing w:line="257" w:lineRule="auto"/>
        <w:rPr>
          <w:rFonts w:ascii="Calibri" w:eastAsia="Calibri" w:hAnsi="Calibri" w:cs="Calibri"/>
        </w:rPr>
      </w:pPr>
      <w:r>
        <w:rPr>
          <w:rFonts w:ascii="Calibri" w:eastAsia="Calibri" w:hAnsi="Calibri" w:cs="Calibri"/>
        </w:rPr>
        <w:t xml:space="preserve">NIOSH has established a contract with The Voice of Your Customer, LLC </w:t>
      </w:r>
      <w:r w:rsidR="00976D94">
        <w:rPr>
          <w:rFonts w:ascii="Calibri" w:eastAsia="Calibri" w:hAnsi="Calibri" w:cs="Calibri"/>
        </w:rPr>
        <w:t xml:space="preserve">to recruit participants, schedule interviews, and </w:t>
      </w:r>
      <w:r w:rsidR="00707A41">
        <w:rPr>
          <w:rFonts w:ascii="Calibri" w:eastAsia="Calibri" w:hAnsi="Calibri" w:cs="Calibri"/>
        </w:rPr>
        <w:t xml:space="preserve">pay incentives. For the </w:t>
      </w:r>
      <w:r w:rsidR="003E3436">
        <w:rPr>
          <w:rFonts w:ascii="Calibri" w:eastAsia="Calibri" w:hAnsi="Calibri" w:cs="Calibri"/>
        </w:rPr>
        <w:t xml:space="preserve">volunteer firefighter and corrections audiences, the contractor will also conduct the interviews. </w:t>
      </w:r>
      <w:r w:rsidR="00D91D48">
        <w:rPr>
          <w:rFonts w:ascii="Calibri" w:eastAsia="Calibri" w:hAnsi="Calibri" w:cs="Calibri"/>
        </w:rPr>
        <w:t xml:space="preserve">NIOSH staff will conduct the </w:t>
      </w:r>
      <w:r w:rsidR="00412D98">
        <w:rPr>
          <w:rFonts w:ascii="Calibri" w:eastAsia="Calibri" w:hAnsi="Calibri" w:cs="Calibri"/>
        </w:rPr>
        <w:t>interviews</w:t>
      </w:r>
      <w:r w:rsidR="00D91D48">
        <w:rPr>
          <w:rFonts w:ascii="Calibri" w:eastAsia="Calibri" w:hAnsi="Calibri" w:cs="Calibri"/>
        </w:rPr>
        <w:t xml:space="preserve"> for home healthcare aides, </w:t>
      </w:r>
      <w:r w:rsidR="00412D98">
        <w:rPr>
          <w:rFonts w:ascii="Calibri" w:eastAsia="Calibri" w:hAnsi="Calibri" w:cs="Calibri"/>
        </w:rPr>
        <w:t xml:space="preserve">mental health workers, and </w:t>
      </w:r>
      <w:r w:rsidR="00412D98">
        <w:rPr>
          <w:rFonts w:ascii="Calibri" w:eastAsia="Calibri" w:hAnsi="Calibri" w:cs="Calibri"/>
        </w:rPr>
        <w:t>heath</w:t>
      </w:r>
      <w:r w:rsidR="00412D98">
        <w:rPr>
          <w:rFonts w:ascii="Calibri" w:eastAsia="Calibri" w:hAnsi="Calibri" w:cs="Calibri"/>
        </w:rPr>
        <w:t xml:space="preserve"> department employees.</w:t>
      </w:r>
    </w:p>
    <w:p w:rsidR="000E62B4" w:rsidP="00E63710" w14:paraId="0A867FDD" w14:textId="77777777">
      <w:pPr>
        <w:spacing w:line="257" w:lineRule="auto"/>
      </w:pPr>
      <w:r>
        <w:t xml:space="preserve">This data collection is authorized under </w:t>
      </w:r>
      <w:r w:rsidR="00D00876">
        <w:t>Section 20(a) (1) of the Occupational Safety and Health Act (29 U.S.C.669)</w:t>
      </w:r>
      <w:r>
        <w:t xml:space="preserve">. </w:t>
      </w:r>
    </w:p>
    <w:p w:rsidR="00D00876" w:rsidP="00E63710" w14:paraId="64E3EB05" w14:textId="77777777">
      <w:pPr>
        <w:spacing w:line="257" w:lineRule="auto"/>
        <w:rPr>
          <w:rFonts w:ascii="Calibri" w:eastAsia="Calibri" w:hAnsi="Calibri" w:cs="Calibri"/>
        </w:rPr>
      </w:pPr>
      <w:bookmarkStart w:id="2" w:name="_Hlk175586703"/>
      <w:r>
        <w:t xml:space="preserve">This is a request for </w:t>
      </w:r>
      <w:r w:rsidR="009352DE">
        <w:t xml:space="preserve">approval of a genIC </w:t>
      </w:r>
      <w:r>
        <w:t xml:space="preserve">data collection </w:t>
      </w:r>
      <w:r w:rsidR="009352DE">
        <w:t xml:space="preserve">under the currently approved GENERIC (0920-1154) for a period of </w:t>
      </w:r>
      <w:r>
        <w:t>two years.</w:t>
      </w:r>
    </w:p>
    <w:bookmarkEnd w:id="2"/>
    <w:p w:rsidR="000E11F2" w:rsidRPr="00F77C61" w:rsidP="67AC4A89" w14:paraId="16BBFF54" w14:textId="77777777">
      <w:pPr>
        <w:spacing w:after="0" w:line="240" w:lineRule="auto"/>
        <w:ind w:left="720" w:hanging="720"/>
        <w:rPr>
          <w:rFonts w:eastAsia="Times New Roman" w:cstheme="minorHAnsi"/>
          <w:b/>
          <w:bCs/>
          <w:sz w:val="16"/>
          <w:szCs w:val="16"/>
        </w:rPr>
      </w:pPr>
    </w:p>
    <w:p w:rsidR="002F6D9C" w:rsidP="67AC4A89" w14:paraId="453EEB31" w14:textId="77777777">
      <w:pPr>
        <w:pStyle w:val="Heading1"/>
        <w:spacing w:line="240" w:lineRule="auto"/>
        <w:rPr>
          <w:rFonts w:asciiTheme="minorHAnsi" w:hAnsiTheme="minorHAnsi" w:cstheme="minorHAnsi"/>
          <w:b/>
          <w:bCs/>
          <w:color w:val="auto"/>
          <w:sz w:val="24"/>
          <w:szCs w:val="24"/>
        </w:rPr>
      </w:pPr>
      <w:bookmarkStart w:id="3" w:name="_Hlk40279420"/>
      <w:bookmarkEnd w:id="3"/>
      <w:r w:rsidRPr="00F77C61">
        <w:rPr>
          <w:rFonts w:asciiTheme="minorHAnsi" w:hAnsiTheme="minorHAnsi" w:cstheme="minorHAnsi"/>
          <w:b/>
          <w:bCs/>
          <w:color w:val="auto"/>
          <w:sz w:val="24"/>
          <w:szCs w:val="24"/>
        </w:rPr>
        <w:t>2. Purpose and Use of the Information Collection</w:t>
      </w:r>
    </w:p>
    <w:p w:rsidR="00FD78C4" w:rsidP="00FD78C4" w14:paraId="19D1A10D" w14:textId="77777777">
      <w:pPr>
        <w:rPr>
          <w:rStyle w:val="Hyperlink"/>
        </w:rPr>
      </w:pPr>
      <w:r w:rsidRPr="07D31352">
        <w:rPr>
          <w:rStyle w:val="eop"/>
        </w:rPr>
        <w:t xml:space="preserve">The audiences we reach will provide valuable insight for the </w:t>
      </w:r>
      <w:r>
        <w:rPr>
          <w:rStyle w:val="eop"/>
        </w:rPr>
        <w:t>co</w:t>
      </w:r>
      <w:r w:rsidRPr="07D31352">
        <w:rPr>
          <w:rStyle w:val="eop"/>
        </w:rPr>
        <w:t>rresponding NIOSH</w:t>
      </w:r>
      <w:r w:rsidR="002A79D8">
        <w:rPr>
          <w:rStyle w:val="eop"/>
        </w:rPr>
        <w:t xml:space="preserve"> research</w:t>
      </w:r>
      <w:r w:rsidRPr="07D31352">
        <w:rPr>
          <w:rStyle w:val="eop"/>
        </w:rPr>
        <w:t xml:space="preserve"> </w:t>
      </w:r>
      <w:r>
        <w:rPr>
          <w:rStyle w:val="eop"/>
        </w:rPr>
        <w:t xml:space="preserve">programs. Volunteer firefighters and corrections officers are served under the </w:t>
      </w:r>
      <w:hyperlink r:id="rId10" w:history="1">
        <w:r w:rsidRPr="00CD77E0">
          <w:rPr>
            <w:rStyle w:val="Hyperlink"/>
          </w:rPr>
          <w:t>Public Safety Program</w:t>
        </w:r>
      </w:hyperlink>
      <w:r w:rsidRPr="00B87FA5">
        <w:rPr>
          <w:rStyle w:val="Hyperlink"/>
          <w:color w:val="auto"/>
          <w:u w:val="none"/>
        </w:rPr>
        <w:t xml:space="preserve">. Home healthcare aids and mental health workers are served under the </w:t>
      </w:r>
      <w:hyperlink r:id="rId11">
        <w:r w:rsidRPr="58813861">
          <w:rPr>
            <w:rStyle w:val="Hyperlink"/>
          </w:rPr>
          <w:t>Healthcare and Social Assistance Program</w:t>
        </w:r>
      </w:hyperlink>
      <w:r w:rsidRPr="00B87FA5">
        <w:rPr>
          <w:rStyle w:val="Hyperlink"/>
          <w:color w:val="auto"/>
          <w:u w:val="none"/>
        </w:rPr>
        <w:t xml:space="preserve">. Finally, health department employees are served under the </w:t>
      </w:r>
      <w:hyperlink r:id="rId12">
        <w:r w:rsidRPr="41A6564C">
          <w:rPr>
            <w:rStyle w:val="Hyperlink"/>
          </w:rPr>
          <w:t>Services Program</w:t>
        </w:r>
      </w:hyperlink>
      <w:r>
        <w:rPr>
          <w:rStyle w:val="Hyperlink"/>
        </w:rPr>
        <w:t xml:space="preserve">. </w:t>
      </w:r>
    </w:p>
    <w:p w:rsidR="003C700F" w:rsidP="2A1753C8" w14:paraId="1A1C38EE" w14:textId="77777777">
      <w:pPr>
        <w:rPr>
          <w:rFonts w:ascii="Calibri" w:eastAsia="Calibri" w:hAnsi="Calibri" w:cs="Calibri"/>
        </w:rPr>
      </w:pPr>
      <w:bookmarkStart w:id="4" w:name="_Hlk164947274"/>
      <w:r>
        <w:t xml:space="preserve">The feedback will provide insights into customer perceptions, experiences, and expectations. </w:t>
      </w:r>
      <w:r w:rsidRPr="2A1753C8" w:rsidR="3A0A9EEF">
        <w:rPr>
          <w:rFonts w:ascii="Calibri" w:eastAsia="Calibri" w:hAnsi="Calibri" w:cs="Calibri"/>
        </w:rPr>
        <w:t>Past customer discovery interviews have revealed that act</w:t>
      </w:r>
      <w:r w:rsidRPr="2A1753C8" w:rsidR="61C64E31">
        <w:rPr>
          <w:rFonts w:ascii="Calibri" w:eastAsia="Calibri" w:hAnsi="Calibri" w:cs="Calibri"/>
        </w:rPr>
        <w:t>ual workplace dangers do not always line up with perceived threats. The things workers should—according to th</w:t>
      </w:r>
      <w:r w:rsidRPr="2A1753C8" w:rsidR="4A57364C">
        <w:rPr>
          <w:rFonts w:ascii="Calibri" w:eastAsia="Calibri" w:hAnsi="Calibri" w:cs="Calibri"/>
        </w:rPr>
        <w:t xml:space="preserve">e data—care about are not necessarily the things they do care about. The customer discovery interviews </w:t>
      </w:r>
      <w:r w:rsidRPr="2A1753C8" w:rsidR="36755518">
        <w:rPr>
          <w:rFonts w:ascii="Calibri" w:eastAsia="Calibri" w:hAnsi="Calibri" w:cs="Calibri"/>
        </w:rPr>
        <w:t>will enable researchers and program leaders at NIOSH see the gap between perception and reality and produce strategies for closing it.</w:t>
      </w:r>
      <w:r w:rsidRPr="2A1753C8" w:rsidR="3A0A9EEF">
        <w:rPr>
          <w:rFonts w:ascii="Calibri" w:eastAsia="Calibri" w:hAnsi="Calibri" w:cs="Calibri"/>
        </w:rPr>
        <w:t xml:space="preserve"> </w:t>
      </w:r>
    </w:p>
    <w:p w:rsidR="00182C6B" w:rsidRPr="00CB28D3" w:rsidP="2A1753C8" w14:paraId="47C0C7B2" w14:textId="77777777">
      <w:r w:rsidRPr="2A1753C8">
        <w:rPr>
          <w:rFonts w:ascii="Calibri" w:eastAsia="Calibri" w:hAnsi="Calibri" w:cs="Calibri"/>
        </w:rPr>
        <w:t>At NIOSH, this approach helps shine a light on promising avenues for future research and communications.</w:t>
      </w:r>
      <w:r w:rsidRPr="2A1753C8" w:rsidR="285CA2A0">
        <w:rPr>
          <w:rFonts w:ascii="Calibri" w:eastAsia="Calibri" w:hAnsi="Calibri" w:cs="Calibri"/>
        </w:rPr>
        <w:t xml:space="preserve"> </w:t>
      </w:r>
      <w:r w:rsidRPr="2A1753C8">
        <w:rPr>
          <w:rFonts w:ascii="Calibri" w:eastAsia="Calibri" w:hAnsi="Calibri" w:cs="Calibri"/>
        </w:rPr>
        <w:t xml:space="preserve">It also helps use funds efficiently by giving early insight which strategies are likely to be successful and which are not. </w:t>
      </w:r>
      <w:r>
        <w:t>The ultimate goal is to focus NIOSH staff attention on areas where communication might improve delivery of products or services.</w:t>
      </w:r>
    </w:p>
    <w:bookmarkEnd w:id="4"/>
    <w:p w:rsidR="002F419E" w:rsidRPr="00F77C61" w:rsidP="67AC4A89" w14:paraId="49B9CB35" w14:textId="77777777">
      <w:pPr>
        <w:spacing w:after="0" w:line="240" w:lineRule="auto"/>
        <w:rPr>
          <w:rFonts w:cstheme="minorHAnsi"/>
          <w:sz w:val="16"/>
          <w:szCs w:val="16"/>
          <w:highlight w:val="yellow"/>
        </w:rPr>
      </w:pPr>
    </w:p>
    <w:p w:rsidR="002F419E" w:rsidP="00F57238" w14:paraId="77B59E65" w14:textId="77777777">
      <w:pPr>
        <w:pStyle w:val="Heading1"/>
        <w:spacing w:before="0" w:line="240" w:lineRule="auto"/>
        <w:rPr>
          <w:rFonts w:asciiTheme="minorHAnsi" w:hAnsiTheme="minorHAnsi" w:cstheme="minorHAnsi"/>
          <w:b/>
          <w:bCs/>
          <w:color w:val="auto"/>
          <w:sz w:val="24"/>
          <w:szCs w:val="24"/>
        </w:rPr>
      </w:pPr>
      <w:r w:rsidRPr="00F77C61">
        <w:rPr>
          <w:rFonts w:asciiTheme="minorHAnsi" w:hAnsiTheme="minorHAnsi" w:cstheme="minorHAnsi"/>
          <w:b/>
          <w:bCs/>
          <w:color w:val="auto"/>
          <w:sz w:val="24"/>
          <w:szCs w:val="24"/>
        </w:rPr>
        <w:t>3. Use of Improved Information Technology and Burden Reduction</w:t>
      </w:r>
    </w:p>
    <w:p w:rsidR="001C4C73" w:rsidRPr="001C4C73" w:rsidP="001C4C73" w14:paraId="0D8A8959" w14:textId="77777777">
      <w:r>
        <w:t xml:space="preserve">Participants have the option to </w:t>
      </w:r>
      <w:r w:rsidR="00720D5E">
        <w:t xml:space="preserve">hold </w:t>
      </w:r>
      <w:r w:rsidR="00AA1E3E">
        <w:t xml:space="preserve">the interviews on Zoom, which eliminates the burden of traveling to the </w:t>
      </w:r>
      <w:r w:rsidR="00863FEE">
        <w:t>interview site.</w:t>
      </w:r>
      <w:r w:rsidR="0006571F">
        <w:t xml:space="preserve"> Interviewers will use</w:t>
      </w:r>
      <w:r w:rsidRPr="4E82F592" w:rsidR="0006571F">
        <w:rPr>
          <w:rStyle w:val="normaltextrun"/>
        </w:rPr>
        <w:t xml:space="preserve"> Zoom’s “record audio only” feature if performed via video call</w:t>
      </w:r>
      <w:r w:rsidR="0006571F">
        <w:rPr>
          <w:rStyle w:val="normaltextrun"/>
        </w:rPr>
        <w:t xml:space="preserve"> in order to prevent recording a person’s image (which is identifiable)</w:t>
      </w:r>
      <w:r w:rsidRPr="4E82F592" w:rsidR="0006571F">
        <w:rPr>
          <w:rStyle w:val="normaltextrun"/>
        </w:rPr>
        <w:t xml:space="preserve">. While the interviewer and interviewee will be able to see each other, no video recording will be made, only audio. </w:t>
      </w:r>
      <w:r w:rsidR="00B117A2">
        <w:rPr>
          <w:rStyle w:val="normaltextrun"/>
        </w:rPr>
        <w:t>Interviews will last 30-60 minutes and t</w:t>
      </w:r>
      <w:r w:rsidRPr="4E82F592" w:rsidR="0006571F">
        <w:rPr>
          <w:rStyle w:val="normaltextrun"/>
        </w:rPr>
        <w:t>ranscripts will be generated from the audio recordings.</w:t>
      </w:r>
    </w:p>
    <w:p w:rsidR="002F419E" w:rsidRPr="00F77C61" w:rsidP="67AC4A89" w14:paraId="16C3CA2A" w14:textId="77777777">
      <w:pPr>
        <w:pStyle w:val="Heading1"/>
        <w:spacing w:before="0" w:line="240" w:lineRule="auto"/>
        <w:rPr>
          <w:rFonts w:asciiTheme="minorHAnsi" w:hAnsiTheme="minorHAnsi" w:cstheme="minorHAnsi"/>
          <w:b/>
          <w:bCs/>
          <w:color w:val="auto"/>
          <w:sz w:val="16"/>
          <w:szCs w:val="16"/>
        </w:rPr>
      </w:pPr>
    </w:p>
    <w:p w:rsidR="007D4812" w:rsidP="00E407AB" w14:paraId="702F74E3"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4. </w:t>
      </w:r>
      <w:r w:rsidRPr="00F77C61" w:rsidR="007032AD">
        <w:rPr>
          <w:rFonts w:asciiTheme="minorHAnsi" w:hAnsiTheme="minorHAnsi" w:cstheme="minorHAnsi"/>
          <w:b/>
          <w:color w:val="auto"/>
          <w:sz w:val="24"/>
          <w:szCs w:val="24"/>
        </w:rPr>
        <w:t>Efforts to Identify Duplication and Use of Similar Information</w:t>
      </w:r>
    </w:p>
    <w:p w:rsidR="0004322D" w:rsidP="001C4C73" w14:paraId="67A41B2E" w14:textId="77777777">
      <w:r>
        <w:t>N</w:t>
      </w:r>
      <w:r w:rsidR="00B97D43">
        <w:t xml:space="preserve">IOSH conducted an environmental scan and determined that this audience information was not available from current sources. </w:t>
      </w:r>
      <w:r w:rsidR="00B06DB5">
        <w:t xml:space="preserve">The audience and consumer research tools that CDC uses, MRI-Simmons Market Data and </w:t>
      </w:r>
      <w:r w:rsidR="00911603">
        <w:t xml:space="preserve">Porter </w:t>
      </w:r>
      <w:r w:rsidR="00911603">
        <w:t>Novelli</w:t>
      </w:r>
      <w:r w:rsidR="00911603">
        <w:t xml:space="preserve"> Surveys</w:t>
      </w:r>
      <w:r w:rsidR="00E44ABE">
        <w:t xml:space="preserve">, allow stratification by demographics like age and gender, but not </w:t>
      </w:r>
      <w:r w:rsidR="00C01516">
        <w:t xml:space="preserve">specific occupational groups. </w:t>
      </w:r>
      <w:r w:rsidR="00880917">
        <w:t>Surveys</w:t>
      </w:r>
      <w:r w:rsidR="002C1F3B">
        <w:t xml:space="preserve"> also do not allow for the kind of exploratory data collection that an interview does. </w:t>
      </w:r>
    </w:p>
    <w:p w:rsidR="001C4C73" w:rsidRPr="001C4C73" w:rsidP="001C4C73" w14:paraId="1DB39126" w14:textId="77777777">
      <w:r>
        <w:t xml:space="preserve">Customer discovery interviews are standard in the business and marketing world. However, the information derived from these interviews is </w:t>
      </w:r>
      <w:r w:rsidR="3A735065">
        <w:t>closely held by the companies performing it</w:t>
      </w:r>
      <w:r w:rsidR="61D532FB">
        <w:t>.</w:t>
      </w:r>
      <w:r w:rsidR="1821E1AD">
        <w:t xml:space="preserve"> Companies rarely share or publish </w:t>
      </w:r>
      <w:r w:rsidR="61D532FB">
        <w:t>this proprietary information</w:t>
      </w:r>
      <w:r w:rsidR="554CE260">
        <w:t>. Additionally, it is rare for companies to focus their marketing efforts on t</w:t>
      </w:r>
      <w:r w:rsidR="711A6B8D">
        <w:t>he attitudes and values that are of concern to NIOSH programs: namely, workplace</w:t>
      </w:r>
      <w:r w:rsidR="137E301D">
        <w:t>s, job tasks, on-the-job safety attitudes, and feelings about an industry, field, or occupation.</w:t>
      </w:r>
    </w:p>
    <w:p w:rsidR="007D4812" w:rsidRPr="00F77C61" w:rsidP="67AC4A89" w14:paraId="0CD425B1" w14:textId="77777777">
      <w:pPr>
        <w:pStyle w:val="Heading1"/>
        <w:spacing w:before="0" w:line="240" w:lineRule="auto"/>
        <w:rPr>
          <w:rFonts w:asciiTheme="minorHAnsi" w:hAnsiTheme="minorHAnsi" w:cstheme="minorHAnsi"/>
          <w:b/>
          <w:bCs/>
          <w:color w:val="auto"/>
          <w:sz w:val="16"/>
          <w:szCs w:val="16"/>
        </w:rPr>
      </w:pPr>
    </w:p>
    <w:p w:rsidR="00C00BF4" w:rsidRPr="00F77C61" w:rsidP="009E0E90" w14:paraId="41B6A455" w14:textId="77777777">
      <w:pPr>
        <w:rPr>
          <w:rFonts w:cstheme="minorHAnsi"/>
        </w:rPr>
      </w:pPr>
      <w:r w:rsidRPr="00F77C61">
        <w:rPr>
          <w:rFonts w:cstheme="minorHAnsi"/>
          <w:b/>
          <w:sz w:val="24"/>
          <w:szCs w:val="24"/>
        </w:rPr>
        <w:t xml:space="preserve">5. </w:t>
      </w:r>
      <w:r w:rsidRPr="00F77C61" w:rsidR="008A7B0A">
        <w:rPr>
          <w:rFonts w:cstheme="minorHAnsi"/>
          <w:b/>
          <w:sz w:val="24"/>
          <w:szCs w:val="24"/>
        </w:rPr>
        <w:t>Impact on Small Businesses or Other Small Entities</w:t>
      </w:r>
    </w:p>
    <w:p w:rsidR="00CE69C9" w14:paraId="16CB3117" w14:textId="77777777">
      <w:r>
        <w:t>Employers from small business or other small entities may be involved in these efforts but the contractor will minimize the burden on them during information collections by scheduling interview dates and times that work for participants, asking for readily available information, and using short, easy-to-complete information collection instruments. The burden on respondents has been reduced and minimized by the use of an efficient and effective interview guide.</w:t>
      </w:r>
      <w:r w:rsidR="7AC0106D">
        <w:t xml:space="preserve"> Through our previous customer discovery experiences, we have found that participants are willing to share their insights</w:t>
      </w:r>
      <w:r w:rsidR="6EA320E9">
        <w:t xml:space="preserve">, </w:t>
      </w:r>
      <w:r w:rsidR="735C7410">
        <w:t xml:space="preserve">and they do not find the half-hour interview format to be burdensome; however, </w:t>
      </w:r>
      <w:r w:rsidR="6EA320E9">
        <w:t>the arra</w:t>
      </w:r>
      <w:r w:rsidR="6EDC650B">
        <w:t>ngements need to be convenient</w:t>
      </w:r>
      <w:r w:rsidR="4F842CBC">
        <w:t>.</w:t>
      </w:r>
      <w:r w:rsidR="73611FA1">
        <w:t xml:space="preserve"> Previously this included having interviewers travel to their work locations. With the mainstream adoption of video calls, interviewees have expressed </w:t>
      </w:r>
      <w:r w:rsidR="5EECE2DE">
        <w:t xml:space="preserve">a preference for this technology. </w:t>
      </w:r>
    </w:p>
    <w:p w:rsidR="00BA6B5C" w:rsidP="00E407AB" w14:paraId="0C26FB87"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6. </w:t>
      </w:r>
      <w:r w:rsidRPr="00F77C61" w:rsidR="00EA4A58">
        <w:rPr>
          <w:rFonts w:asciiTheme="minorHAnsi" w:hAnsiTheme="minorHAnsi" w:cstheme="minorHAnsi"/>
          <w:b/>
          <w:color w:val="auto"/>
          <w:sz w:val="24"/>
          <w:szCs w:val="24"/>
        </w:rPr>
        <w:t>Consequences of Collecting the Information Less Frequently</w:t>
      </w:r>
    </w:p>
    <w:p w:rsidR="000C5142" w:rsidRPr="000C5142" w:rsidP="000C5142" w14:paraId="4E8C180C" w14:textId="77777777">
      <w:r w:rsidRPr="000C5142">
        <w:t xml:space="preserve">This request is for a one-time data collection. There are no legal obstacles to reducing the burden. This formative research will aid in the understanding of the challenges and needs </w:t>
      </w:r>
      <w:r w:rsidR="009C77AD">
        <w:t xml:space="preserve">of five audiences </w:t>
      </w:r>
      <w:r w:rsidRPr="000C5142">
        <w:t xml:space="preserve">related to occupational safety and health. Data will be used to facilitate discussion within </w:t>
      </w:r>
      <w:r w:rsidR="009C77AD">
        <w:t>three</w:t>
      </w:r>
      <w:r w:rsidRPr="000C5142">
        <w:t xml:space="preserve"> </w:t>
      </w:r>
      <w:r w:rsidR="009C77AD">
        <w:t xml:space="preserve">NIOSH research programs </w:t>
      </w:r>
      <w:r w:rsidRPr="000C5142">
        <w:t>when refining current communications and products, such as providing useful resources to ensure that users have an effective, efficient, and satisfying experience with the NIOSH program</w:t>
      </w:r>
      <w:r w:rsidR="009C77AD">
        <w:t>s</w:t>
      </w:r>
      <w:r w:rsidRPr="000C5142">
        <w:t xml:space="preserve">. This feedback will provide insights into customer or stakeholder perceptions, </w:t>
      </w:r>
      <w:r w:rsidRPr="000C5142">
        <w:t>experiences</w:t>
      </w:r>
      <w:r w:rsidRPr="000C5142">
        <w:t xml:space="preserve"> and expectations, and focus attention on areas where communication might improve delivery of products or services.</w:t>
      </w:r>
    </w:p>
    <w:p w:rsidR="00E407AB" w:rsidRPr="00F77C61" w:rsidP="67AC4A89" w14:paraId="6F83726D" w14:textId="77777777">
      <w:pPr>
        <w:pStyle w:val="Heading1"/>
        <w:spacing w:before="0" w:line="240" w:lineRule="auto"/>
        <w:rPr>
          <w:rFonts w:asciiTheme="minorHAnsi" w:hAnsiTheme="minorHAnsi" w:cstheme="minorHAnsi"/>
          <w:color w:val="auto"/>
          <w:sz w:val="16"/>
          <w:szCs w:val="16"/>
        </w:rPr>
      </w:pPr>
    </w:p>
    <w:p w:rsidR="0076598F" w:rsidRPr="0076598F" w:rsidP="0076598F" w14:paraId="20C9B949"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7. </w:t>
      </w:r>
      <w:r w:rsidRPr="00F77C61" w:rsidR="00EA4A58">
        <w:rPr>
          <w:rFonts w:asciiTheme="minorHAnsi" w:hAnsiTheme="minorHAnsi" w:cstheme="minorHAnsi"/>
          <w:b/>
          <w:color w:val="auto"/>
          <w:sz w:val="24"/>
          <w:szCs w:val="24"/>
        </w:rPr>
        <w:t>Special Circumstances Relating to the Guidelines of 5 CFR 1320.5</w:t>
      </w:r>
    </w:p>
    <w:p w:rsidR="0076598F" w:rsidRPr="0076598F" w:rsidP="0076598F" w14:paraId="75D5D865" w14:textId="77777777">
      <w:r w:rsidRPr="0076598F">
        <w:t>There are no special circumstances with this information collection package. This request fully complies with the regulation 5 CFR 1320.5.</w:t>
      </w:r>
    </w:p>
    <w:p w:rsidR="001A5538" w:rsidRPr="00F77C61" w:rsidP="67AC4A89" w14:paraId="27DB8158" w14:textId="77777777">
      <w:pPr>
        <w:pStyle w:val="Heading1"/>
        <w:spacing w:before="0" w:line="240" w:lineRule="auto"/>
        <w:rPr>
          <w:rFonts w:asciiTheme="minorHAnsi" w:hAnsiTheme="minorHAnsi" w:cstheme="minorHAnsi"/>
          <w:color w:val="000000"/>
          <w:sz w:val="16"/>
          <w:szCs w:val="16"/>
        </w:rPr>
      </w:pPr>
    </w:p>
    <w:p w:rsidR="0098674B" w:rsidRPr="00F77C61" w:rsidP="67AC4A89" w14:paraId="2AFDE11D" w14:textId="77777777">
      <w:pPr>
        <w:pStyle w:val="Heading1"/>
        <w:spacing w:before="0" w:line="240" w:lineRule="auto"/>
        <w:ind w:left="360" w:hanging="360"/>
        <w:rPr>
          <w:rFonts w:asciiTheme="minorHAnsi" w:hAnsiTheme="minorHAnsi" w:cstheme="minorHAnsi"/>
          <w:b/>
          <w:bCs/>
          <w:color w:val="auto"/>
          <w:sz w:val="16"/>
          <w:szCs w:val="16"/>
        </w:rPr>
      </w:pPr>
      <w:r w:rsidRPr="00F77C61">
        <w:rPr>
          <w:rFonts w:asciiTheme="minorHAnsi" w:hAnsiTheme="minorHAnsi" w:cstheme="minorHAnsi"/>
          <w:b/>
          <w:bCs/>
          <w:color w:val="auto"/>
          <w:sz w:val="24"/>
          <w:szCs w:val="24"/>
        </w:rPr>
        <w:t>8. Comments in Response to the Federal Register Notice and Efforts to Consult Outside the</w:t>
      </w:r>
      <w:r w:rsidR="00FE5AB5">
        <w:rPr>
          <w:rFonts w:asciiTheme="minorHAnsi" w:hAnsiTheme="minorHAnsi" w:cstheme="minorHAnsi"/>
          <w:b/>
          <w:bCs/>
          <w:color w:val="auto"/>
          <w:sz w:val="24"/>
          <w:szCs w:val="24"/>
        </w:rPr>
        <w:t xml:space="preserve"> A</w:t>
      </w:r>
      <w:r w:rsidRPr="00F77C61">
        <w:rPr>
          <w:rFonts w:asciiTheme="minorHAnsi" w:hAnsiTheme="minorHAnsi" w:cstheme="minorHAnsi"/>
          <w:b/>
          <w:bCs/>
          <w:color w:val="auto"/>
          <w:sz w:val="24"/>
          <w:szCs w:val="24"/>
        </w:rPr>
        <w:t>gency</w:t>
      </w:r>
      <w:r w:rsidRPr="00F77C61" w:rsidR="00A53F14">
        <w:rPr>
          <w:rFonts w:asciiTheme="minorHAnsi" w:hAnsiTheme="minorHAnsi" w:cstheme="minorHAnsi"/>
        </w:rPr>
        <w:br/>
      </w:r>
    </w:p>
    <w:p w:rsidR="00DB7552" w:rsidRPr="00F77C61" w:rsidP="00432A41" w14:paraId="68B1EEB3" w14:textId="77777777">
      <w:r>
        <w:t>A Federal Register Notice was published for the generic information collection</w:t>
      </w:r>
      <w:r w:rsidR="05BCD7D5">
        <w:t>.</w:t>
      </w:r>
      <w:r>
        <w:t xml:space="preserve"> The Federal Register notice was published for this collection on July 22, 2022, Vol. 87, No.140, pp. 438360. No public comments were received.</w:t>
      </w:r>
    </w:p>
    <w:p w:rsidR="0098674B" w:rsidRPr="00F77C61" w:rsidP="17D80C04" w14:paraId="0D1F28B7" w14:textId="77777777">
      <w:pPr>
        <w:pStyle w:val="Heading1"/>
        <w:spacing w:before="0" w:line="240" w:lineRule="auto"/>
        <w:rPr>
          <w:rFonts w:asciiTheme="minorHAnsi" w:hAnsiTheme="minorHAnsi" w:cstheme="minorHAnsi"/>
          <w:b/>
          <w:bCs/>
          <w:color w:val="auto"/>
          <w:sz w:val="24"/>
          <w:szCs w:val="24"/>
        </w:rPr>
      </w:pPr>
      <w:r w:rsidRPr="00F77C61">
        <w:rPr>
          <w:rFonts w:asciiTheme="minorHAnsi" w:hAnsiTheme="minorHAnsi" w:cstheme="minorHAnsi"/>
          <w:b/>
          <w:bCs/>
          <w:color w:val="auto"/>
          <w:sz w:val="24"/>
          <w:szCs w:val="24"/>
        </w:rPr>
        <w:t>9. Explanation of Any Payment or Gift to Respondents</w:t>
      </w:r>
    </w:p>
    <w:p w:rsidR="001A5538" w:rsidRPr="00F77C61" w:rsidP="67AC4A89" w14:paraId="7F69A63B" w14:textId="77777777">
      <w:pPr>
        <w:spacing w:after="0" w:line="240" w:lineRule="auto"/>
        <w:rPr>
          <w:rFonts w:cstheme="minorHAnsi"/>
          <w:sz w:val="16"/>
          <w:szCs w:val="16"/>
        </w:rPr>
      </w:pPr>
    </w:p>
    <w:p w:rsidR="00DB7552" w:rsidP="00432A41" w14:paraId="131B16A7" w14:textId="77777777">
      <w:r>
        <w:t xml:space="preserve">Because the interviews often cut into potential work time, especially for the self-employed or those in small businesses, we have found that a monetary expression of appreciation is highly valued. We have found through previous </w:t>
      </w:r>
      <w:r w:rsidR="6D5E9BA6">
        <w:t xml:space="preserve">efforts that </w:t>
      </w:r>
      <w:r w:rsidR="7CF40EF0">
        <w:t>some</w:t>
      </w:r>
      <w:r w:rsidR="63B3A457">
        <w:t xml:space="preserve"> </w:t>
      </w:r>
      <w:r w:rsidR="7CF40EF0">
        <w:t xml:space="preserve">workers are willing to talk for up to 10 minutes </w:t>
      </w:r>
      <w:r w:rsidR="63B3A457">
        <w:t xml:space="preserve">without any incentive. </w:t>
      </w:r>
      <w:r w:rsidR="451673AE">
        <w:t xml:space="preserve">Most, however, are open to longer interviews held at scheduled times only with a small incentive. </w:t>
      </w:r>
      <w:r w:rsidR="318805BB">
        <w:t xml:space="preserve">Through this project, we are seeking to interview more than 100 workers. </w:t>
      </w:r>
      <w:r w:rsidR="11301821">
        <w:t xml:space="preserve">We have found </w:t>
      </w:r>
      <w:r w:rsidR="11301821">
        <w:t>through previous efforts that t</w:t>
      </w:r>
      <w:r w:rsidR="318805BB">
        <w:t xml:space="preserve">he cost of locating suitable interview subjects who are willing to share their time </w:t>
      </w:r>
      <w:r w:rsidR="28CBDBBD">
        <w:t>altruistically is more</w:t>
      </w:r>
      <w:r w:rsidR="6F019536">
        <w:t xml:space="preserve"> financially costly than providing a small token of gratitude for a worker’s </w:t>
      </w:r>
      <w:r w:rsidR="5DC16EC2">
        <w:t>time and insight.</w:t>
      </w:r>
      <w:r w:rsidR="00D7652F">
        <w:t xml:space="preserve"> For these reasons, NIOSH</w:t>
      </w:r>
      <w:r w:rsidR="002A3F3D">
        <w:t xml:space="preserve"> will provide</w:t>
      </w:r>
      <w:r w:rsidR="00FF2E20">
        <w:t xml:space="preserve"> a $50 cash incentive to each interviewee.</w:t>
      </w:r>
    </w:p>
    <w:p w:rsidR="00DB7552" w:rsidP="2A1753C8" w14:paraId="1140C9D4" w14:textId="77777777"/>
    <w:p w:rsidR="00C80887" w:rsidP="007C1D44" w14:paraId="7D8B9697" w14:textId="77777777">
      <w:pPr>
        <w:spacing w:after="0" w:line="240" w:lineRule="auto"/>
        <w:ind w:left="360" w:hanging="360"/>
        <w:rPr>
          <w:rFonts w:eastAsia="Times New Roman" w:cstheme="minorHAnsi"/>
          <w:b/>
          <w:sz w:val="24"/>
          <w:szCs w:val="24"/>
        </w:rPr>
      </w:pPr>
      <w:r w:rsidRPr="00F77C61">
        <w:rPr>
          <w:rFonts w:eastAsia="Times New Roman" w:cstheme="minorHAnsi"/>
          <w:b/>
          <w:sz w:val="24"/>
          <w:szCs w:val="24"/>
        </w:rPr>
        <w:t>10. Protection of the Privacy and Confidentiality of Information Provided by Respondents</w:t>
      </w:r>
    </w:p>
    <w:p w:rsidR="00E75285" w:rsidP="007C1D44" w14:paraId="6F1D111E" w14:textId="77777777">
      <w:pPr>
        <w:spacing w:after="0" w:line="240" w:lineRule="auto"/>
        <w:ind w:left="360" w:hanging="360"/>
        <w:rPr>
          <w:rFonts w:eastAsia="Times New Roman" w:cstheme="minorHAnsi"/>
          <w:b/>
          <w:sz w:val="24"/>
          <w:szCs w:val="24"/>
        </w:rPr>
      </w:pPr>
    </w:p>
    <w:p w:rsidR="00C52EF7" w:rsidRPr="008B0D3F" w:rsidP="00C52EF7" w14:paraId="4926AC40" w14:textId="77777777">
      <w:r w:rsidRPr="008B0D3F">
        <w:t xml:space="preserve">ISSO determined in conjunction with the CDC Privacy Office that Privacy Act is not applicable. The collection contains PII with demographic information </w:t>
      </w:r>
      <w:r w:rsidR="006E225D">
        <w:t xml:space="preserve">to recruit diverse participants </w:t>
      </w:r>
      <w:r w:rsidRPr="008B0D3F">
        <w:t xml:space="preserve">(i.e., Race, Ethnicity and Gender). </w:t>
      </w:r>
    </w:p>
    <w:p w:rsidR="00D87EA3" w:rsidP="00D87EA3" w14:paraId="6BAAF2EE" w14:textId="77777777">
      <w:r>
        <w:rPr>
          <w:rStyle w:val="normaltextrun"/>
        </w:rPr>
        <w:t xml:space="preserve">During recruitment, the person will be asked for a job title and an industry, as well as duration in at the job and in the industry. The </w:t>
      </w:r>
      <w:r w:rsidR="00D91D48">
        <w:rPr>
          <w:rStyle w:val="normaltextrun"/>
        </w:rPr>
        <w:t xml:space="preserve">recruitment </w:t>
      </w:r>
      <w:r w:rsidR="001054C1">
        <w:rPr>
          <w:rStyle w:val="normaltextrun"/>
        </w:rPr>
        <w:t>contractor</w:t>
      </w:r>
      <w:r>
        <w:rPr>
          <w:rStyle w:val="normaltextrun"/>
        </w:rPr>
        <w:t xml:space="preserve"> is seeking to find a variety of people and will ask about people’s sex and race. These d</w:t>
      </w:r>
      <w:r w:rsidRPr="00C27996">
        <w:rPr>
          <w:rStyle w:val="normaltextrun"/>
        </w:rPr>
        <w:t>emographics will be collected separately</w:t>
      </w:r>
      <w:r>
        <w:rPr>
          <w:rStyle w:val="normaltextrun"/>
        </w:rPr>
        <w:t xml:space="preserve"> from the interview responses</w:t>
      </w:r>
      <w:r w:rsidRPr="00C27996">
        <w:rPr>
          <w:rStyle w:val="normaltextrun"/>
        </w:rPr>
        <w:t xml:space="preserve"> and will be tied to a participant ID. </w:t>
      </w:r>
    </w:p>
    <w:p w:rsidR="00C72CC9" w:rsidP="00C72CC9" w14:paraId="183692F1" w14:textId="77777777">
      <w:pPr>
        <w:rPr>
          <w:rStyle w:val="eop"/>
        </w:rPr>
      </w:pPr>
      <w:r>
        <w:rPr>
          <w:rStyle w:val="normaltextrun"/>
        </w:rPr>
        <w:t>Over the course of an interview, the interviewer will refer to the person by their first name only</w:t>
      </w:r>
      <w:r w:rsidR="00B534CA">
        <w:rPr>
          <w:rStyle w:val="normaltextrun"/>
        </w:rPr>
        <w:t xml:space="preserve"> and will not ask for identifying details like names and places. </w:t>
      </w:r>
      <w:r>
        <w:rPr>
          <w:rStyle w:val="normaltextrun"/>
        </w:rPr>
        <w:t xml:space="preserve">No PII will be intentionally collected but the participant may volunteer such information. For example, participants will not be asked for the name of their workplace, but it may come up. Participants may also share information about home or work locations, work history, or education in response to questions. In order to de-identify the data, all </w:t>
      </w:r>
      <w:r w:rsidRPr="00C27996">
        <w:rPr>
          <w:rStyle w:val="normaltextrun"/>
        </w:rPr>
        <w:t xml:space="preserve">personal identifying information will be removed when data from the interview is compiled, shared, and reported on outside of the contractor and NIOSH </w:t>
      </w:r>
      <w:r w:rsidR="001E7E20">
        <w:rPr>
          <w:rStyle w:val="normaltextrun"/>
        </w:rPr>
        <w:t>staff</w:t>
      </w:r>
      <w:r w:rsidRPr="00C27996">
        <w:rPr>
          <w:rStyle w:val="normaltextrun"/>
        </w:rPr>
        <w:t xml:space="preserve"> tied directly to the project. </w:t>
      </w:r>
      <w:r>
        <w:rPr>
          <w:rStyle w:val="normaltextrun"/>
        </w:rPr>
        <w:t>N</w:t>
      </w:r>
      <w:r w:rsidRPr="00C27996">
        <w:rPr>
          <w:rStyle w:val="normaltextrun"/>
        </w:rPr>
        <w:t>ames of all participants will be redacted, as will specifics about companies, locations, and other reasonable identifiers from all transcripts and reports.</w:t>
      </w:r>
      <w:r>
        <w:rPr>
          <w:rStyle w:val="normaltextrun"/>
        </w:rPr>
        <w:t xml:space="preserve"> </w:t>
      </w:r>
    </w:p>
    <w:p w:rsidR="00E52161" w:rsidRPr="00E52161" w:rsidP="00E52161" w14:paraId="00AFF269" w14:textId="77777777">
      <w:pPr>
        <w:rPr>
          <w:rStyle w:val="cf01"/>
          <w:rFonts w:asciiTheme="minorHAnsi" w:hAnsiTheme="minorHAnsi" w:cstheme="minorHAnsi"/>
          <w:b w:val="0"/>
          <w:bCs w:val="0"/>
          <w:sz w:val="22"/>
          <w:szCs w:val="22"/>
        </w:rPr>
      </w:pPr>
      <w:r w:rsidRPr="00E52161">
        <w:rPr>
          <w:rStyle w:val="cf01"/>
          <w:rFonts w:asciiTheme="minorHAnsi" w:hAnsiTheme="minorHAnsi" w:cstheme="minorHAnsi"/>
          <w:b w:val="0"/>
          <w:bCs w:val="0"/>
          <w:sz w:val="22"/>
          <w:szCs w:val="22"/>
        </w:rPr>
        <w:t xml:space="preserve">Files generated by the proposed activity will include one interview guide (MS Word), along with interview and workshop transcripts (MS Word). These files will be saved to a Virtual Volume, as advised by </w:t>
      </w:r>
      <w:r w:rsidR="001E7E20">
        <w:rPr>
          <w:rStyle w:val="cf01"/>
          <w:rFonts w:asciiTheme="minorHAnsi" w:hAnsiTheme="minorHAnsi" w:cstheme="minorHAnsi"/>
          <w:b w:val="0"/>
          <w:bCs w:val="0"/>
          <w:sz w:val="22"/>
          <w:szCs w:val="22"/>
        </w:rPr>
        <w:t xml:space="preserve">the NIOSH </w:t>
      </w:r>
      <w:r w:rsidR="000714C7">
        <w:rPr>
          <w:rStyle w:val="cf01"/>
          <w:rFonts w:asciiTheme="minorHAnsi" w:hAnsiTheme="minorHAnsi" w:cstheme="minorHAnsi"/>
          <w:b w:val="0"/>
          <w:bCs w:val="0"/>
          <w:sz w:val="22"/>
          <w:szCs w:val="22"/>
        </w:rPr>
        <w:t>Office of the Director for Information T</w:t>
      </w:r>
      <w:r w:rsidR="00557B6A">
        <w:rPr>
          <w:rStyle w:val="cf01"/>
          <w:rFonts w:asciiTheme="minorHAnsi" w:hAnsiTheme="minorHAnsi" w:cstheme="minorHAnsi"/>
          <w:b w:val="0"/>
          <w:bCs w:val="0"/>
          <w:sz w:val="22"/>
          <w:szCs w:val="22"/>
        </w:rPr>
        <w:t>echnology (OD-IT).</w:t>
      </w:r>
      <w:r w:rsidRPr="00E52161">
        <w:rPr>
          <w:rStyle w:val="cf01"/>
          <w:rFonts w:asciiTheme="minorHAnsi" w:hAnsiTheme="minorHAnsi" w:cstheme="minorHAnsi"/>
          <w:b w:val="0"/>
          <w:bCs w:val="0"/>
          <w:sz w:val="22"/>
          <w:szCs w:val="22"/>
        </w:rPr>
        <w:t xml:space="preserve"> The Virtual Volume will be accessible to </w:t>
      </w:r>
      <w:r w:rsidRPr="00E52161">
        <w:rPr>
          <w:rFonts w:cstheme="minorHAnsi"/>
        </w:rPr>
        <w:t>project personnel in the NIOSH Office of Communication and Research to Practice</w:t>
      </w:r>
      <w:r w:rsidRPr="00E52161">
        <w:rPr>
          <w:rStyle w:val="cf01"/>
          <w:rFonts w:asciiTheme="minorHAnsi" w:hAnsiTheme="minorHAnsi" w:cstheme="minorHAnsi"/>
          <w:b w:val="0"/>
          <w:bCs w:val="0"/>
          <w:sz w:val="22"/>
          <w:szCs w:val="22"/>
        </w:rPr>
        <w:t xml:space="preserve">. The team overseeing this exercise will use the following measures to protect against inappropriate use or disclosure or malicious or accidental loss or destruction of information: (1) transcripts generated from interviews performed by Voice of Your Customer will be deidentified before they are transferred to NIOSH </w:t>
      </w:r>
      <w:r>
        <w:rPr>
          <w:rStyle w:val="cf01"/>
          <w:rFonts w:asciiTheme="minorHAnsi" w:hAnsiTheme="minorHAnsi" w:cstheme="minorHAnsi"/>
          <w:b w:val="0"/>
          <w:bCs w:val="0"/>
          <w:sz w:val="22"/>
          <w:szCs w:val="22"/>
        </w:rPr>
        <w:t>project officer</w:t>
      </w:r>
      <w:r w:rsidRPr="00E52161">
        <w:rPr>
          <w:rStyle w:val="cf01"/>
          <w:rFonts w:asciiTheme="minorHAnsi" w:hAnsiTheme="minorHAnsi" w:cstheme="minorHAnsi"/>
          <w:b w:val="0"/>
          <w:bCs w:val="0"/>
          <w:sz w:val="22"/>
          <w:szCs w:val="22"/>
        </w:rPr>
        <w:t xml:space="preserve"> (using secure file transfer protocols identified by OD-IT); (2) transcripts generated following NIOSH-led interviews will be produced on NIOSH computers within the CDC network; (3) deidentified transcripts will be saved in a secure Virtual Volume on a NIOSH network.</w:t>
      </w:r>
    </w:p>
    <w:p w:rsidR="00E52161" w:rsidRPr="00F41E15" w:rsidP="00E52161" w14:paraId="78F344DD" w14:textId="77777777">
      <w:pPr>
        <w:rPr>
          <w:rFonts w:cstheme="minorHAnsi"/>
        </w:rPr>
      </w:pPr>
      <w:r>
        <w:rPr>
          <w:rFonts w:cstheme="minorHAnsi"/>
        </w:rPr>
        <w:t xml:space="preserve">The contractor will collect </w:t>
      </w:r>
      <w:r w:rsidRPr="00F41E15">
        <w:rPr>
          <w:rFonts w:cstheme="minorHAnsi"/>
        </w:rPr>
        <w:t>limited PII in terms of</w:t>
      </w:r>
      <w:r>
        <w:rPr>
          <w:rFonts w:cstheme="minorHAnsi"/>
        </w:rPr>
        <w:t xml:space="preserve"> </w:t>
      </w:r>
      <w:r w:rsidRPr="00F41E15">
        <w:rPr>
          <w:rFonts w:cstheme="minorHAnsi"/>
        </w:rPr>
        <w:t>name and contact information (e.g., personal phone number, email address)</w:t>
      </w:r>
      <w:r>
        <w:rPr>
          <w:rFonts w:cstheme="minorHAnsi"/>
        </w:rPr>
        <w:t xml:space="preserve"> for recruitment and scheduling</w:t>
      </w:r>
      <w:r w:rsidRPr="00F41E15">
        <w:rPr>
          <w:rFonts w:cstheme="minorHAnsi"/>
        </w:rPr>
        <w:t>.</w:t>
      </w:r>
      <w:r>
        <w:rPr>
          <w:rFonts w:cstheme="minorHAnsi"/>
        </w:rPr>
        <w:t xml:space="preserve"> NIOSH staff will not have access to PII. </w:t>
      </w:r>
      <w:r w:rsidRPr="00F41E15">
        <w:rPr>
          <w:rFonts w:cstheme="minorHAnsi"/>
        </w:rPr>
        <w:t xml:space="preserve">All contact information will be contained in a secure password-protected datafile accessible only to </w:t>
      </w:r>
      <w:r>
        <w:rPr>
          <w:rFonts w:cstheme="minorHAnsi"/>
        </w:rPr>
        <w:t xml:space="preserve">approved </w:t>
      </w:r>
      <w:r w:rsidRPr="00F41E15">
        <w:rPr>
          <w:rFonts w:cstheme="minorHAnsi"/>
        </w:rPr>
        <w:t>staff</w:t>
      </w:r>
      <w:r>
        <w:rPr>
          <w:rFonts w:cstheme="minorHAnsi"/>
        </w:rPr>
        <w:t xml:space="preserve"> </w:t>
      </w:r>
      <w:r w:rsidRPr="00F41E15">
        <w:rPr>
          <w:rFonts w:cstheme="minorHAnsi"/>
        </w:rPr>
        <w:t>during the data collection process, stored separately and not linked to the data, and deleted upon data</w:t>
      </w:r>
      <w:r>
        <w:rPr>
          <w:rFonts w:cstheme="minorHAnsi"/>
        </w:rPr>
        <w:t xml:space="preserve"> </w:t>
      </w:r>
      <w:r w:rsidRPr="00F41E15">
        <w:rPr>
          <w:rFonts w:cstheme="minorHAnsi"/>
        </w:rPr>
        <w:t>collection completion.</w:t>
      </w:r>
    </w:p>
    <w:p w:rsidR="00E52161" w:rsidRPr="00F77C61" w:rsidP="007C1D44" w14:paraId="27A5BE43" w14:textId="77777777">
      <w:pPr>
        <w:spacing w:after="0" w:line="240" w:lineRule="auto"/>
        <w:ind w:left="360" w:hanging="360"/>
        <w:rPr>
          <w:rFonts w:eastAsia="Times New Roman" w:cstheme="minorHAnsi"/>
          <w:b/>
          <w:sz w:val="24"/>
          <w:szCs w:val="24"/>
        </w:rPr>
      </w:pPr>
    </w:p>
    <w:p w:rsidR="00A6049D" w:rsidRPr="00F77C61" w:rsidP="67AC4A89" w14:paraId="1C80C59E" w14:textId="77777777">
      <w:pPr>
        <w:tabs>
          <w:tab w:val="left" w:pos="2770"/>
        </w:tabs>
        <w:spacing w:after="0" w:line="240" w:lineRule="auto"/>
        <w:rPr>
          <w:rFonts w:cstheme="minorHAnsi"/>
          <w:sz w:val="16"/>
          <w:szCs w:val="16"/>
        </w:rPr>
      </w:pPr>
    </w:p>
    <w:p w:rsidR="00A14AF5" w:rsidP="00DB7552" w14:paraId="1329F77F"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11. </w:t>
      </w:r>
      <w:r w:rsidRPr="00F77C61" w:rsidR="00C85693">
        <w:rPr>
          <w:rFonts w:asciiTheme="minorHAnsi" w:hAnsiTheme="minorHAnsi" w:cstheme="minorHAnsi"/>
          <w:b/>
          <w:color w:val="auto"/>
          <w:sz w:val="24"/>
          <w:szCs w:val="24"/>
        </w:rPr>
        <w:t>Institutional Review Board (IRB) and Justification for Sensitive Questions</w:t>
      </w:r>
    </w:p>
    <w:p w:rsidR="001C4C73" w:rsidP="001C4C73" w14:paraId="4C088659" w14:textId="77777777">
      <w:r>
        <w:t xml:space="preserve">The project received a non-research determination by the NIOSH Associate Director for Science Office, so IRB is not required. However, </w:t>
      </w:r>
      <w:r w:rsidR="00A31594">
        <w:t xml:space="preserve">ethical treatment of participants is still very important, so we </w:t>
      </w:r>
      <w:r w:rsidR="653C07EE">
        <w:t xml:space="preserve">will </w:t>
      </w:r>
      <w:r w:rsidR="001B6F99">
        <w:t xml:space="preserve">obtain </w:t>
      </w:r>
      <w:r w:rsidR="00A31594">
        <w:t>informed consent</w:t>
      </w:r>
      <w:r w:rsidR="001B6F99">
        <w:t xml:space="preserve"> prior to interviews, keep identifiers needed for incentive payment separate from interview data, and stor</w:t>
      </w:r>
      <w:r w:rsidR="00B01134">
        <w:t>e all data in a secure virtual location.</w:t>
      </w:r>
    </w:p>
    <w:p w:rsidR="008936BC" w:rsidP="001C4C73" w14:paraId="7E16DB8C" w14:textId="77777777">
      <w:r>
        <w:t xml:space="preserve">There are no sensitive questions </w:t>
      </w:r>
      <w:r w:rsidR="001B1822">
        <w:t xml:space="preserve">in the interviews. Participants are asked about </w:t>
      </w:r>
      <w:r w:rsidRPr="001B1822" w:rsidR="001B1822">
        <w:t>(1) job-related duties, (2) gains, or positive aspects of their job, (3) challenges related to their job, (4) where they seek out resources, and if time permits, (5) attitudes about safety and health.</w:t>
      </w:r>
      <w:r w:rsidR="001B1822">
        <w:t xml:space="preserve"> They will not be asked to disclose their employer’s name or to recall</w:t>
      </w:r>
      <w:r w:rsidR="00A30328">
        <w:t xml:space="preserve"> distressing events. </w:t>
      </w:r>
      <w:r w:rsidR="00473A1B">
        <w:t>A</w:t>
      </w:r>
      <w:r w:rsidR="00A30328">
        <w:t xml:space="preserve"> previous </w:t>
      </w:r>
      <w:r w:rsidR="00AA6D89">
        <w:t xml:space="preserve">set of </w:t>
      </w:r>
      <w:r w:rsidR="00A30328">
        <w:t xml:space="preserve">customer discovery interviews conducted </w:t>
      </w:r>
      <w:r w:rsidR="00595CB1">
        <w:t xml:space="preserve">under OMB </w:t>
      </w:r>
      <w:r w:rsidRPr="00595CB1" w:rsidR="00595CB1">
        <w:t>0920-1154</w:t>
      </w:r>
      <w:r w:rsidR="00473A1B">
        <w:t xml:space="preserve"> used the same questions</w:t>
      </w:r>
      <w:r w:rsidR="00367D78">
        <w:t>, and</w:t>
      </w:r>
      <w:r w:rsidR="00595CB1">
        <w:t xml:space="preserve"> </w:t>
      </w:r>
      <w:r w:rsidR="00473A1B">
        <w:t xml:space="preserve">multiple </w:t>
      </w:r>
      <w:r w:rsidR="00595CB1">
        <w:t xml:space="preserve">participants reported that </w:t>
      </w:r>
      <w:r w:rsidR="00270D63">
        <w:t>they enjoyed</w:t>
      </w:r>
      <w:r w:rsidR="00473A1B">
        <w:t xml:space="preserve"> sharing</w:t>
      </w:r>
      <w:r w:rsidR="00270D63">
        <w:t xml:space="preserve"> about their jobs. </w:t>
      </w:r>
    </w:p>
    <w:p w:rsidR="006556A0" w:rsidRPr="001C4C73" w:rsidP="001C4C73" w14:paraId="4DF1742F" w14:textId="77777777"/>
    <w:p w:rsidR="00BB08F5" w:rsidRPr="00F77C61" w:rsidP="00E260CF" w14:paraId="4302FF53"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12. </w:t>
      </w:r>
      <w:r w:rsidRPr="00F77C61" w:rsidR="00D0676F">
        <w:rPr>
          <w:rFonts w:asciiTheme="minorHAnsi" w:hAnsiTheme="minorHAnsi" w:cstheme="minorHAnsi"/>
          <w:b/>
          <w:color w:val="auto"/>
          <w:sz w:val="24"/>
          <w:szCs w:val="24"/>
        </w:rPr>
        <w:t>Estimates of Burden Hours and Costs</w:t>
      </w:r>
      <w:r w:rsidRPr="00F77C61" w:rsidR="00384ED5">
        <w:rPr>
          <w:rFonts w:asciiTheme="minorHAnsi" w:hAnsiTheme="minorHAnsi" w:cstheme="minorHAnsi"/>
          <w:b/>
          <w:bCs/>
          <w:color w:val="auto"/>
          <w:sz w:val="24"/>
          <w:szCs w:val="24"/>
        </w:rPr>
        <w:br/>
      </w:r>
    </w:p>
    <w:p w:rsidR="00BB08F5" w:rsidRPr="005B7A05" w:rsidP="00E260CF" w14:paraId="6509DB3B" w14:textId="77777777">
      <w:pPr>
        <w:spacing w:after="0" w:line="240" w:lineRule="auto"/>
        <w:rPr>
          <w:rFonts w:eastAsia="Times New Roman" w:cstheme="minorHAnsi"/>
          <w:b/>
          <w:bCs/>
          <w:i/>
          <w:iCs/>
        </w:rPr>
      </w:pPr>
      <w:r w:rsidRPr="005B7A05">
        <w:rPr>
          <w:rFonts w:eastAsia="Times New Roman" w:cstheme="minorHAnsi"/>
          <w:b/>
          <w:bCs/>
          <w:i/>
          <w:iCs/>
        </w:rPr>
        <w:t>(a)</w:t>
      </w:r>
      <w:r w:rsidRPr="005B7A05" w:rsidR="74D6A88F">
        <w:rPr>
          <w:rFonts w:eastAsia="Times New Roman" w:cstheme="minorHAnsi"/>
          <w:b/>
          <w:bCs/>
          <w:i/>
          <w:iCs/>
        </w:rPr>
        <w:t xml:space="preserve"> Estimated Costs</w:t>
      </w:r>
    </w:p>
    <w:p w:rsidR="009227E8" w:rsidRPr="005518CB" w:rsidP="009227E8" w14:paraId="462C5C98" w14:textId="77777777">
      <w:r>
        <w:t xml:space="preserve">The total burden is </w:t>
      </w:r>
      <w:r w:rsidR="001D6309">
        <w:t xml:space="preserve">160 </w:t>
      </w:r>
      <w:r>
        <w:t>hours</w:t>
      </w:r>
      <w:r w:rsidR="007A2DA3">
        <w:t xml:space="preserve"> over two years</w:t>
      </w:r>
      <w:r>
        <w:t xml:space="preserve">. Each </w:t>
      </w:r>
      <w:r w:rsidR="0069361E">
        <w:t xml:space="preserve">of the 160 </w:t>
      </w:r>
      <w:r>
        <w:t>respondent</w:t>
      </w:r>
      <w:r w:rsidR="0069361E">
        <w:t>s</w:t>
      </w:r>
      <w:r>
        <w:t xml:space="preserve"> will participate in a single interview for no more than one hour. </w:t>
      </w:r>
    </w:p>
    <w:p w:rsidR="00F32917" w:rsidRPr="00F77C61" w:rsidP="00F32917" w14:paraId="2EE91E38" w14:textId="77777777">
      <w:pPr>
        <w:spacing w:before="100" w:beforeAutospacing="1" w:after="0" w:line="240" w:lineRule="auto"/>
        <w:rPr>
          <w:rFonts w:eastAsia="Times New Roman" w:cstheme="minorHAnsi"/>
        </w:rPr>
      </w:pPr>
    </w:p>
    <w:tbl>
      <w:tblPr>
        <w:tblStyle w:val="GridTable6ColorfulAccent1"/>
        <w:tblW w:w="0" w:type="auto"/>
        <w:tblLayout w:type="fixed"/>
        <w:tblLook w:val="04A0"/>
      </w:tblPr>
      <w:tblGrid>
        <w:gridCol w:w="2422"/>
        <w:gridCol w:w="1658"/>
        <w:gridCol w:w="1425"/>
        <w:gridCol w:w="1455"/>
        <w:gridCol w:w="1305"/>
        <w:gridCol w:w="1050"/>
      </w:tblGrid>
      <w:tr w14:paraId="319B9007" w14:textId="77777777" w:rsidTr="2A1753C8">
        <w:tblPrEx>
          <w:tblW w:w="0" w:type="auto"/>
          <w:tblLayout w:type="fixed"/>
          <w:tblLook w:val="04A0"/>
        </w:tblPrEx>
        <w:trPr>
          <w:trHeight w:val="510"/>
          <w:tblHeader/>
        </w:trPr>
        <w:tc>
          <w:tcPr>
            <w:tcW w:w="242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40390C81" w14:textId="77777777">
            <w:pPr>
              <w:jc w:val="center"/>
              <w:rPr>
                <w:rFonts w:eastAsia="Arial Narrow" w:cstheme="minorHAnsi"/>
                <w:color w:val="000000" w:themeColor="text1"/>
                <w:sz w:val="20"/>
                <w:szCs w:val="20"/>
              </w:rPr>
            </w:pPr>
            <w:r w:rsidRPr="00E81736">
              <w:rPr>
                <w:rFonts w:eastAsia="Arial Narrow" w:cstheme="minorHAnsi"/>
                <w:color w:val="000000" w:themeColor="text1"/>
                <w:sz w:val="20"/>
                <w:szCs w:val="20"/>
              </w:rPr>
              <w:t>Type of Respondents</w:t>
            </w:r>
          </w:p>
        </w:tc>
        <w:tc>
          <w:tcPr>
            <w:tcW w:w="165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67A1999C" w14:textId="77777777">
            <w:pPr>
              <w:jc w:val="center"/>
              <w:rPr>
                <w:rFonts w:eastAsia="Arial Narrow" w:cstheme="minorHAnsi"/>
                <w:b w:val="0"/>
                <w:bCs w:val="0"/>
                <w:color w:val="000000" w:themeColor="text1"/>
                <w:sz w:val="20"/>
                <w:szCs w:val="20"/>
              </w:rPr>
            </w:pPr>
            <w:r w:rsidRPr="00E81736">
              <w:rPr>
                <w:rFonts w:eastAsia="Arial Narrow" w:cstheme="minorHAnsi"/>
                <w:color w:val="000000" w:themeColor="text1"/>
                <w:sz w:val="20"/>
                <w:szCs w:val="20"/>
              </w:rPr>
              <w:t>Attachment</w:t>
            </w:r>
            <w:r w:rsidRPr="00E81736">
              <w:rPr>
                <w:rFonts w:eastAsia="Arial Narrow" w:cstheme="minorHAnsi"/>
                <w:color w:val="000000" w:themeColor="text1"/>
                <w:sz w:val="20"/>
                <w:szCs w:val="20"/>
              </w:rPr>
              <w:t xml:space="preserve"> Name</w:t>
            </w:r>
          </w:p>
        </w:tc>
        <w:tc>
          <w:tcPr>
            <w:tcW w:w="142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3D8EF354" w14:textId="77777777">
            <w:pPr>
              <w:jc w:val="center"/>
              <w:rPr>
                <w:rFonts w:eastAsia="Arial Narrow" w:cstheme="minorHAnsi"/>
                <w:b w:val="0"/>
                <w:bCs w:val="0"/>
                <w:color w:val="000000" w:themeColor="text1"/>
                <w:sz w:val="20"/>
                <w:szCs w:val="20"/>
              </w:rPr>
            </w:pPr>
            <w:r w:rsidRPr="00E81736">
              <w:rPr>
                <w:rFonts w:eastAsia="Arial Narrow" w:cstheme="minorHAnsi"/>
                <w:color w:val="000000" w:themeColor="text1"/>
                <w:sz w:val="20"/>
                <w:szCs w:val="20"/>
              </w:rPr>
              <w:t>No. of Respondents</w:t>
            </w:r>
          </w:p>
        </w:tc>
        <w:tc>
          <w:tcPr>
            <w:tcW w:w="145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3019A872" w14:textId="77777777">
            <w:pPr>
              <w:jc w:val="center"/>
              <w:rPr>
                <w:rFonts w:eastAsia="Arial Narrow" w:cstheme="minorHAnsi"/>
                <w:b w:val="0"/>
                <w:bCs w:val="0"/>
                <w:color w:val="000000" w:themeColor="text1"/>
                <w:sz w:val="20"/>
                <w:szCs w:val="20"/>
              </w:rPr>
            </w:pPr>
            <w:r w:rsidRPr="00E81736">
              <w:rPr>
                <w:rFonts w:eastAsia="Arial Narrow" w:cstheme="minorHAnsi"/>
                <w:color w:val="000000" w:themeColor="text1"/>
                <w:sz w:val="20"/>
                <w:szCs w:val="20"/>
              </w:rPr>
              <w:t>No. of Responses per Respondent</w:t>
            </w:r>
          </w:p>
        </w:tc>
        <w:tc>
          <w:tcPr>
            <w:tcW w:w="130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635FE977" w14:textId="77777777">
            <w:pPr>
              <w:jc w:val="center"/>
              <w:rPr>
                <w:rFonts w:eastAsia="Arial Narrow" w:cstheme="minorHAnsi"/>
                <w:b w:val="0"/>
                <w:bCs w:val="0"/>
                <w:color w:val="000000" w:themeColor="text1"/>
                <w:sz w:val="20"/>
                <w:szCs w:val="20"/>
              </w:rPr>
            </w:pPr>
            <w:r w:rsidRPr="00E81736">
              <w:rPr>
                <w:rFonts w:eastAsia="Arial Narrow" w:cstheme="minorHAnsi"/>
                <w:color w:val="000000" w:themeColor="text1"/>
                <w:sz w:val="20"/>
                <w:szCs w:val="20"/>
              </w:rPr>
              <w:t>Average Burden per Response (in hours)</w:t>
            </w:r>
          </w:p>
        </w:tc>
        <w:tc>
          <w:tcPr>
            <w:tcW w:w="105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E260CF" w:rsidRPr="00E81736" w:rsidP="00533052" w14:paraId="718C6214" w14:textId="77777777">
            <w:pPr>
              <w:jc w:val="center"/>
              <w:rPr>
                <w:rFonts w:eastAsia="Arial Narrow" w:cstheme="minorHAnsi"/>
                <w:b w:val="0"/>
                <w:bCs w:val="0"/>
                <w:color w:val="000000" w:themeColor="text1"/>
                <w:sz w:val="20"/>
                <w:szCs w:val="20"/>
              </w:rPr>
            </w:pPr>
            <w:r w:rsidRPr="00E81736">
              <w:rPr>
                <w:rFonts w:eastAsia="Arial Narrow" w:cstheme="minorHAnsi"/>
                <w:color w:val="000000" w:themeColor="text1"/>
                <w:sz w:val="20"/>
                <w:szCs w:val="20"/>
              </w:rPr>
              <w:t>Total Burden Hours</w:t>
            </w:r>
          </w:p>
        </w:tc>
      </w:tr>
      <w:tr w14:paraId="6D6D7017" w14:textId="77777777" w:rsidTr="2A1753C8">
        <w:tblPrEx>
          <w:tblW w:w="0" w:type="auto"/>
          <w:tblLayout w:type="fixed"/>
          <w:tblLook w:val="04A0"/>
        </w:tblPrEx>
        <w:tc>
          <w:tcPr>
            <w:tcW w:w="2422" w:type="dxa"/>
            <w:tcBorders>
              <w:top w:val="single" w:sz="4" w:space="0" w:color="auto"/>
              <w:left w:val="single" w:sz="4" w:space="0" w:color="auto"/>
              <w:bottom w:val="single" w:sz="4" w:space="0" w:color="auto"/>
              <w:right w:val="single" w:sz="4" w:space="0" w:color="auto"/>
            </w:tcBorders>
            <w:shd w:val="clear" w:color="auto" w:fill="auto"/>
          </w:tcPr>
          <w:p w:rsidR="003D3498" w:rsidRPr="006E6634" w:rsidP="003D3498" w14:paraId="37F132A3" w14:textId="77777777">
            <w:pPr>
              <w:rPr>
                <w:rFonts w:eastAsia="Arial Narrow" w:cstheme="minorHAnsi"/>
                <w:b w:val="0"/>
                <w:bCs w:val="0"/>
                <w:color w:val="auto"/>
                <w:sz w:val="20"/>
                <w:szCs w:val="20"/>
              </w:rPr>
            </w:pPr>
            <w:r w:rsidRPr="006E6634">
              <w:rPr>
                <w:rFonts w:cstheme="minorHAnsi"/>
                <w:b w:val="0"/>
                <w:bCs w:val="0"/>
                <w:color w:val="auto"/>
                <w:sz w:val="20"/>
                <w:szCs w:val="20"/>
              </w:rPr>
              <w:t>Volunteer firefighters (private sector)</w:t>
            </w:r>
          </w:p>
        </w:tc>
        <w:tc>
          <w:tcPr>
            <w:tcW w:w="1658" w:type="dxa"/>
            <w:tcBorders>
              <w:top w:val="single" w:sz="6" w:space="0" w:color="auto"/>
              <w:left w:val="single" w:sz="4" w:space="0" w:color="auto"/>
              <w:bottom w:val="single" w:sz="6" w:space="0" w:color="auto"/>
              <w:right w:val="single" w:sz="6" w:space="0" w:color="auto"/>
            </w:tcBorders>
            <w:shd w:val="clear" w:color="auto" w:fill="auto"/>
          </w:tcPr>
          <w:p w:rsidR="003D3498" w:rsidRPr="006E6634" w:rsidP="003D3498" w14:paraId="3B3065BE" w14:textId="77777777">
            <w:pPr>
              <w:rPr>
                <w:rFonts w:eastAsia="Arial Narrow" w:cstheme="minorHAnsi"/>
                <w:color w:val="auto"/>
                <w:sz w:val="20"/>
                <w:szCs w:val="20"/>
              </w:rPr>
            </w:pPr>
            <w:r w:rsidRPr="006E6634">
              <w:rPr>
                <w:rFonts w:cstheme="minorHAnsi"/>
                <w:color w:val="auto"/>
                <w:sz w:val="20"/>
                <w:szCs w:val="20"/>
              </w:rPr>
              <w:t>Interview guide</w:t>
            </w:r>
          </w:p>
        </w:tc>
        <w:tc>
          <w:tcPr>
            <w:tcW w:w="142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4ABBEB49" w14:textId="77777777">
            <w:pPr>
              <w:spacing w:line="259" w:lineRule="auto"/>
              <w:jc w:val="center"/>
              <w:rPr>
                <w:rFonts w:eastAsia="Arial Narrow" w:cstheme="minorHAnsi"/>
                <w:color w:val="auto"/>
                <w:sz w:val="20"/>
                <w:szCs w:val="20"/>
              </w:rPr>
            </w:pPr>
            <w:r>
              <w:rPr>
                <w:rFonts w:cstheme="minorHAnsi"/>
                <w:color w:val="auto"/>
                <w:sz w:val="20"/>
                <w:szCs w:val="20"/>
              </w:rPr>
              <w:t>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263E3161" w14:textId="77777777">
            <w:pPr>
              <w:jc w:val="center"/>
              <w:rPr>
                <w:rFonts w:eastAsia="Arial Narrow" w:cstheme="minorHAnsi"/>
                <w:color w:val="auto"/>
                <w:sz w:val="20"/>
                <w:szCs w:val="20"/>
              </w:rPr>
            </w:pPr>
            <w:r w:rsidRPr="006E6634">
              <w:rPr>
                <w:rFonts w:cstheme="minorHAnsi"/>
                <w:color w:val="auto"/>
                <w:sz w:val="20"/>
                <w:szCs w:val="20"/>
              </w:rPr>
              <w:t> 1</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3AF91242" w14:textId="77777777">
            <w:pPr>
              <w:jc w:val="center"/>
              <w:rPr>
                <w:rFonts w:eastAsia="Arial Narrow" w:cstheme="minorHAnsi"/>
                <w:color w:val="auto"/>
                <w:sz w:val="20"/>
                <w:szCs w:val="20"/>
              </w:rPr>
            </w:pPr>
            <w:r w:rsidRPr="006E6634">
              <w:rPr>
                <w:rFonts w:cstheme="minorHAnsi"/>
                <w:color w:val="auto"/>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003E346A" w14:textId="77777777">
            <w:pPr>
              <w:spacing w:line="259" w:lineRule="auto"/>
              <w:jc w:val="center"/>
              <w:rPr>
                <w:rFonts w:eastAsia="Arial Narrow" w:cstheme="minorHAnsi"/>
                <w:color w:val="auto"/>
                <w:sz w:val="20"/>
                <w:szCs w:val="20"/>
              </w:rPr>
            </w:pPr>
            <w:r>
              <w:rPr>
                <w:rFonts w:cstheme="minorHAnsi"/>
                <w:color w:val="auto"/>
                <w:sz w:val="20"/>
                <w:szCs w:val="20"/>
              </w:rPr>
              <w:t>26</w:t>
            </w:r>
          </w:p>
        </w:tc>
      </w:tr>
      <w:tr w14:paraId="0F2CF745" w14:textId="77777777" w:rsidTr="2A1753C8">
        <w:tblPrEx>
          <w:tblW w:w="0" w:type="auto"/>
          <w:tblLayout w:type="fixed"/>
          <w:tblLook w:val="04A0"/>
        </w:tblPrEx>
        <w:tc>
          <w:tcPr>
            <w:tcW w:w="2422" w:type="dxa"/>
            <w:tcBorders>
              <w:top w:val="single" w:sz="4" w:space="0" w:color="auto"/>
              <w:left w:val="single" w:sz="4" w:space="0" w:color="auto"/>
              <w:bottom w:val="single" w:sz="4" w:space="0" w:color="auto"/>
              <w:right w:val="single" w:sz="4" w:space="0" w:color="auto"/>
            </w:tcBorders>
            <w:shd w:val="clear" w:color="auto" w:fill="auto"/>
          </w:tcPr>
          <w:p w:rsidR="003D3498" w:rsidRPr="006E6634" w:rsidP="003D3498" w14:paraId="1A721B4B" w14:textId="77777777">
            <w:pPr>
              <w:rPr>
                <w:rFonts w:eastAsia="Arial Narrow" w:cstheme="minorHAnsi"/>
                <w:b w:val="0"/>
                <w:bCs w:val="0"/>
                <w:color w:val="auto"/>
                <w:sz w:val="20"/>
                <w:szCs w:val="20"/>
              </w:rPr>
            </w:pPr>
            <w:r w:rsidRPr="006E6634">
              <w:rPr>
                <w:rFonts w:cstheme="minorHAnsi"/>
                <w:b w:val="0"/>
                <w:bCs w:val="0"/>
                <w:color w:val="auto"/>
                <w:sz w:val="20"/>
                <w:szCs w:val="20"/>
              </w:rPr>
              <w:t>Home healthcare aid (private sector)</w:t>
            </w:r>
          </w:p>
        </w:tc>
        <w:tc>
          <w:tcPr>
            <w:tcW w:w="1658" w:type="dxa"/>
            <w:tcBorders>
              <w:top w:val="single" w:sz="6" w:space="0" w:color="auto"/>
              <w:left w:val="single" w:sz="4" w:space="0" w:color="auto"/>
              <w:bottom w:val="single" w:sz="6" w:space="0" w:color="auto"/>
              <w:right w:val="single" w:sz="6" w:space="0" w:color="auto"/>
            </w:tcBorders>
            <w:shd w:val="clear" w:color="auto" w:fill="auto"/>
          </w:tcPr>
          <w:p w:rsidR="003D3498" w:rsidRPr="006E6634" w:rsidP="003D3498" w14:paraId="268DD48E" w14:textId="77777777">
            <w:pPr>
              <w:rPr>
                <w:rFonts w:eastAsia="Arial Narrow" w:cstheme="minorHAnsi"/>
                <w:color w:val="auto"/>
                <w:sz w:val="20"/>
                <w:szCs w:val="20"/>
              </w:rPr>
            </w:pPr>
            <w:r w:rsidRPr="006E6634">
              <w:rPr>
                <w:rFonts w:cstheme="minorHAnsi"/>
                <w:color w:val="auto"/>
                <w:sz w:val="20"/>
                <w:szCs w:val="20"/>
              </w:rPr>
              <w:t>Interview guide</w:t>
            </w:r>
          </w:p>
        </w:tc>
        <w:tc>
          <w:tcPr>
            <w:tcW w:w="142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2A2009EE" w14:textId="77777777">
            <w:pPr>
              <w:jc w:val="center"/>
              <w:rPr>
                <w:rFonts w:eastAsia="Arial Narrow" w:cstheme="minorHAnsi"/>
                <w:color w:val="auto"/>
                <w:sz w:val="20"/>
                <w:szCs w:val="20"/>
              </w:rPr>
            </w:pPr>
            <w:r>
              <w:rPr>
                <w:rFonts w:cstheme="minorHAnsi"/>
                <w:color w:val="auto"/>
                <w:sz w:val="20"/>
                <w:szCs w:val="20"/>
              </w:rPr>
              <w:t>36</w:t>
            </w:r>
          </w:p>
        </w:tc>
        <w:tc>
          <w:tcPr>
            <w:tcW w:w="145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2A29A7BC" w14:textId="77777777">
            <w:pPr>
              <w:jc w:val="center"/>
              <w:rPr>
                <w:rFonts w:eastAsia="Arial Narrow" w:cstheme="minorHAnsi"/>
                <w:color w:val="auto"/>
                <w:sz w:val="20"/>
                <w:szCs w:val="20"/>
              </w:rPr>
            </w:pPr>
            <w:r w:rsidRPr="006E6634">
              <w:rPr>
                <w:rFonts w:cstheme="minorHAnsi"/>
                <w:color w:val="auto"/>
                <w:sz w:val="20"/>
                <w:szCs w:val="20"/>
              </w:rPr>
              <w:t> 1</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1B149A96" w14:textId="77777777">
            <w:pPr>
              <w:jc w:val="center"/>
              <w:rPr>
                <w:rFonts w:eastAsia="Arial Narrow" w:cstheme="minorHAnsi"/>
                <w:color w:val="auto"/>
                <w:sz w:val="20"/>
                <w:szCs w:val="20"/>
              </w:rPr>
            </w:pPr>
            <w:r w:rsidRPr="006E6634">
              <w:rPr>
                <w:rFonts w:cstheme="minorHAnsi"/>
                <w:color w:val="auto"/>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007B2451" w14:textId="77777777">
            <w:pPr>
              <w:jc w:val="center"/>
              <w:rPr>
                <w:rFonts w:eastAsia="Arial Narrow" w:cstheme="minorHAnsi"/>
                <w:color w:val="auto"/>
                <w:sz w:val="20"/>
                <w:szCs w:val="20"/>
              </w:rPr>
            </w:pPr>
            <w:r>
              <w:rPr>
                <w:rFonts w:cstheme="minorHAnsi"/>
                <w:color w:val="auto"/>
                <w:sz w:val="20"/>
                <w:szCs w:val="20"/>
              </w:rPr>
              <w:t>36</w:t>
            </w:r>
          </w:p>
        </w:tc>
      </w:tr>
      <w:tr w14:paraId="2EBDA1DD" w14:textId="77777777" w:rsidTr="2A1753C8">
        <w:tblPrEx>
          <w:tblW w:w="0" w:type="auto"/>
          <w:tblLayout w:type="fixed"/>
          <w:tblLook w:val="04A0"/>
        </w:tblPrEx>
        <w:tc>
          <w:tcPr>
            <w:tcW w:w="2422" w:type="dxa"/>
            <w:tcBorders>
              <w:top w:val="single" w:sz="4" w:space="0" w:color="auto"/>
              <w:left w:val="single" w:sz="4" w:space="0" w:color="auto"/>
              <w:bottom w:val="single" w:sz="4" w:space="0" w:color="auto"/>
              <w:right w:val="single" w:sz="4" w:space="0" w:color="auto"/>
            </w:tcBorders>
            <w:shd w:val="clear" w:color="auto" w:fill="auto"/>
          </w:tcPr>
          <w:p w:rsidR="003D3498" w:rsidRPr="006E6634" w:rsidP="003D3498" w14:paraId="4B16BC40" w14:textId="77777777">
            <w:pPr>
              <w:rPr>
                <w:rFonts w:eastAsia="Arial Narrow" w:cstheme="minorHAnsi"/>
                <w:b w:val="0"/>
                <w:bCs w:val="0"/>
                <w:color w:val="auto"/>
                <w:sz w:val="20"/>
                <w:szCs w:val="20"/>
              </w:rPr>
            </w:pPr>
            <w:r w:rsidRPr="006E6634">
              <w:rPr>
                <w:rFonts w:cstheme="minorHAnsi"/>
                <w:b w:val="0"/>
                <w:bCs w:val="0"/>
                <w:color w:val="auto"/>
                <w:sz w:val="20"/>
                <w:szCs w:val="20"/>
              </w:rPr>
              <w:t>Corrections officers (private sector)</w:t>
            </w:r>
          </w:p>
        </w:tc>
        <w:tc>
          <w:tcPr>
            <w:tcW w:w="1658" w:type="dxa"/>
            <w:tcBorders>
              <w:top w:val="single" w:sz="6" w:space="0" w:color="auto"/>
              <w:left w:val="single" w:sz="4" w:space="0" w:color="auto"/>
              <w:bottom w:val="single" w:sz="6" w:space="0" w:color="auto"/>
              <w:right w:val="single" w:sz="6" w:space="0" w:color="auto"/>
            </w:tcBorders>
            <w:shd w:val="clear" w:color="auto" w:fill="auto"/>
          </w:tcPr>
          <w:p w:rsidR="003D3498" w:rsidRPr="006E6634" w:rsidP="003D3498" w14:paraId="4240D2B5" w14:textId="77777777">
            <w:pPr>
              <w:rPr>
                <w:rFonts w:eastAsia="Arial Narrow" w:cstheme="minorHAnsi"/>
                <w:color w:val="auto"/>
                <w:sz w:val="20"/>
                <w:szCs w:val="20"/>
              </w:rPr>
            </w:pPr>
            <w:r w:rsidRPr="006E6634">
              <w:rPr>
                <w:rFonts w:cstheme="minorHAnsi"/>
                <w:color w:val="auto"/>
                <w:sz w:val="20"/>
                <w:szCs w:val="20"/>
              </w:rPr>
              <w:t>Interview guide</w:t>
            </w:r>
          </w:p>
        </w:tc>
        <w:tc>
          <w:tcPr>
            <w:tcW w:w="142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4BE037AE" w14:textId="77777777">
            <w:pPr>
              <w:jc w:val="center"/>
              <w:rPr>
                <w:rFonts w:eastAsia="Arial Narrow" w:cstheme="minorHAnsi"/>
                <w:color w:val="auto"/>
                <w:sz w:val="20"/>
                <w:szCs w:val="20"/>
              </w:rPr>
            </w:pPr>
            <w:r>
              <w:rPr>
                <w:rFonts w:cstheme="minorHAnsi"/>
                <w:color w:val="auto"/>
                <w:sz w:val="20"/>
                <w:szCs w:val="20"/>
              </w:rPr>
              <w:t>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73C4E473" w14:textId="77777777">
            <w:pPr>
              <w:jc w:val="center"/>
              <w:rPr>
                <w:rFonts w:eastAsia="Arial Narrow" w:cstheme="minorHAnsi"/>
                <w:color w:val="auto"/>
                <w:sz w:val="20"/>
                <w:szCs w:val="20"/>
              </w:rPr>
            </w:pPr>
            <w:r w:rsidRPr="006E6634">
              <w:rPr>
                <w:rFonts w:cstheme="minorHAnsi"/>
                <w:color w:val="auto"/>
                <w:sz w:val="20"/>
                <w:szCs w:val="20"/>
              </w:rPr>
              <w:t>1</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637D129A" w14:textId="77777777">
            <w:pPr>
              <w:jc w:val="center"/>
              <w:rPr>
                <w:rFonts w:eastAsia="Arial Narrow" w:cstheme="minorHAnsi"/>
                <w:color w:val="auto"/>
                <w:sz w:val="20"/>
                <w:szCs w:val="20"/>
              </w:rPr>
            </w:pPr>
            <w:r w:rsidRPr="006E6634">
              <w:rPr>
                <w:rFonts w:cstheme="minorHAnsi"/>
                <w:color w:val="auto"/>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503F7D7A" w14:textId="77777777">
            <w:pPr>
              <w:jc w:val="center"/>
              <w:rPr>
                <w:rFonts w:eastAsia="Arial Narrow" w:cstheme="minorHAnsi"/>
                <w:color w:val="auto"/>
                <w:sz w:val="20"/>
                <w:szCs w:val="20"/>
              </w:rPr>
            </w:pPr>
            <w:r>
              <w:rPr>
                <w:rFonts w:cstheme="minorHAnsi"/>
                <w:color w:val="auto"/>
                <w:sz w:val="20"/>
                <w:szCs w:val="20"/>
              </w:rPr>
              <w:t>26</w:t>
            </w:r>
          </w:p>
        </w:tc>
      </w:tr>
      <w:tr w14:paraId="2A7BEA79" w14:textId="77777777" w:rsidTr="2A1753C8">
        <w:tblPrEx>
          <w:tblW w:w="0" w:type="auto"/>
          <w:tblLayout w:type="fixed"/>
          <w:tblLook w:val="04A0"/>
        </w:tblPrEx>
        <w:tc>
          <w:tcPr>
            <w:tcW w:w="2422" w:type="dxa"/>
            <w:tcBorders>
              <w:top w:val="single" w:sz="4" w:space="0" w:color="auto"/>
              <w:left w:val="single" w:sz="4" w:space="0" w:color="auto"/>
              <w:bottom w:val="single" w:sz="4" w:space="0" w:color="auto"/>
              <w:right w:val="single" w:sz="4" w:space="0" w:color="auto"/>
            </w:tcBorders>
            <w:shd w:val="clear" w:color="auto" w:fill="auto"/>
          </w:tcPr>
          <w:p w:rsidR="003D3498" w:rsidRPr="006E6634" w:rsidP="003D3498" w14:paraId="3BF76E62" w14:textId="77777777">
            <w:pPr>
              <w:rPr>
                <w:rFonts w:eastAsia="Arial Narrow" w:cstheme="minorHAnsi"/>
                <w:b w:val="0"/>
                <w:bCs w:val="0"/>
                <w:color w:val="auto"/>
                <w:sz w:val="20"/>
                <w:szCs w:val="20"/>
              </w:rPr>
            </w:pPr>
            <w:r w:rsidRPr="006E6634">
              <w:rPr>
                <w:rFonts w:cstheme="minorHAnsi"/>
                <w:b w:val="0"/>
                <w:bCs w:val="0"/>
                <w:color w:val="auto"/>
                <w:sz w:val="20"/>
                <w:szCs w:val="20"/>
              </w:rPr>
              <w:t> Mental Health workers (private sector)</w:t>
            </w:r>
          </w:p>
        </w:tc>
        <w:tc>
          <w:tcPr>
            <w:tcW w:w="1658" w:type="dxa"/>
            <w:tcBorders>
              <w:top w:val="single" w:sz="6" w:space="0" w:color="auto"/>
              <w:left w:val="single" w:sz="4" w:space="0" w:color="auto"/>
              <w:bottom w:val="single" w:sz="6" w:space="0" w:color="auto"/>
              <w:right w:val="single" w:sz="6" w:space="0" w:color="auto"/>
            </w:tcBorders>
            <w:shd w:val="clear" w:color="auto" w:fill="auto"/>
          </w:tcPr>
          <w:p w:rsidR="003D3498" w:rsidRPr="006E6634" w:rsidP="003D3498" w14:paraId="1E5269F0" w14:textId="77777777">
            <w:pPr>
              <w:rPr>
                <w:rFonts w:eastAsia="Arial Narrow" w:cstheme="minorHAnsi"/>
                <w:color w:val="auto"/>
                <w:sz w:val="20"/>
                <w:szCs w:val="20"/>
              </w:rPr>
            </w:pPr>
            <w:r w:rsidRPr="006E6634">
              <w:rPr>
                <w:rFonts w:cstheme="minorHAnsi"/>
                <w:color w:val="auto"/>
                <w:sz w:val="20"/>
                <w:szCs w:val="20"/>
              </w:rPr>
              <w:t>Interview guide</w:t>
            </w:r>
          </w:p>
        </w:tc>
        <w:tc>
          <w:tcPr>
            <w:tcW w:w="142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5AB6E8D6" w14:textId="77777777">
            <w:pPr>
              <w:jc w:val="center"/>
              <w:rPr>
                <w:rFonts w:eastAsia="Arial Narrow" w:cstheme="minorHAnsi"/>
                <w:color w:val="auto"/>
                <w:sz w:val="20"/>
                <w:szCs w:val="20"/>
              </w:rPr>
            </w:pPr>
            <w:r>
              <w:rPr>
                <w:rFonts w:cstheme="minorHAnsi"/>
                <w:color w:val="auto"/>
                <w:sz w:val="20"/>
                <w:szCs w:val="20"/>
              </w:rPr>
              <w:t>36</w:t>
            </w:r>
          </w:p>
        </w:tc>
        <w:tc>
          <w:tcPr>
            <w:tcW w:w="145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360F52FA" w14:textId="77777777">
            <w:pPr>
              <w:jc w:val="center"/>
              <w:rPr>
                <w:rFonts w:eastAsia="Arial Narrow" w:cstheme="minorHAnsi"/>
                <w:color w:val="auto"/>
                <w:sz w:val="20"/>
                <w:szCs w:val="20"/>
              </w:rPr>
            </w:pPr>
            <w:r w:rsidRPr="006E6634">
              <w:rPr>
                <w:rFonts w:cstheme="minorHAnsi"/>
                <w:color w:val="auto"/>
                <w:sz w:val="20"/>
                <w:szCs w:val="20"/>
              </w:rPr>
              <w:t>1</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04EF169E" w14:textId="77777777">
            <w:pPr>
              <w:jc w:val="center"/>
              <w:rPr>
                <w:rFonts w:eastAsia="Arial Narrow" w:cstheme="minorHAnsi"/>
                <w:color w:val="auto"/>
                <w:sz w:val="20"/>
                <w:szCs w:val="20"/>
              </w:rPr>
            </w:pPr>
            <w:r w:rsidRPr="006E6634">
              <w:rPr>
                <w:rFonts w:cstheme="minorHAnsi"/>
                <w:color w:val="auto"/>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63435E0C" w14:textId="77777777">
            <w:pPr>
              <w:jc w:val="center"/>
              <w:rPr>
                <w:rFonts w:eastAsia="Arial Narrow" w:cstheme="minorHAnsi"/>
                <w:color w:val="auto"/>
                <w:sz w:val="20"/>
                <w:szCs w:val="20"/>
              </w:rPr>
            </w:pPr>
            <w:r>
              <w:rPr>
                <w:rFonts w:cstheme="minorHAnsi"/>
                <w:color w:val="auto"/>
                <w:sz w:val="20"/>
                <w:szCs w:val="20"/>
              </w:rPr>
              <w:t>36</w:t>
            </w:r>
          </w:p>
        </w:tc>
      </w:tr>
      <w:tr w14:paraId="4D45B718" w14:textId="77777777" w:rsidTr="2A1753C8">
        <w:tblPrEx>
          <w:tblW w:w="0" w:type="auto"/>
          <w:tblLayout w:type="fixed"/>
          <w:tblLook w:val="04A0"/>
        </w:tblPrEx>
        <w:tc>
          <w:tcPr>
            <w:tcW w:w="2422" w:type="dxa"/>
            <w:tcBorders>
              <w:top w:val="single" w:sz="4" w:space="0" w:color="auto"/>
              <w:left w:val="single" w:sz="4" w:space="0" w:color="auto"/>
              <w:bottom w:val="single" w:sz="4" w:space="0" w:color="auto"/>
              <w:right w:val="single" w:sz="4" w:space="0" w:color="auto"/>
            </w:tcBorders>
            <w:shd w:val="clear" w:color="auto" w:fill="auto"/>
          </w:tcPr>
          <w:p w:rsidR="003D3498" w:rsidRPr="006E6634" w:rsidP="003D3498" w14:paraId="6EDEDDF3" w14:textId="77777777">
            <w:pPr>
              <w:rPr>
                <w:rFonts w:eastAsia="Arial Narrow" w:cstheme="minorHAnsi"/>
                <w:b w:val="0"/>
                <w:bCs w:val="0"/>
                <w:color w:val="auto"/>
                <w:sz w:val="20"/>
                <w:szCs w:val="20"/>
              </w:rPr>
            </w:pPr>
            <w:r w:rsidRPr="006E6634">
              <w:rPr>
                <w:rFonts w:cstheme="minorHAnsi"/>
                <w:b w:val="0"/>
                <w:bCs w:val="0"/>
                <w:color w:val="auto"/>
                <w:sz w:val="20"/>
                <w:szCs w:val="20"/>
              </w:rPr>
              <w:t>State, county, and city health dept employees (government)</w:t>
            </w:r>
          </w:p>
        </w:tc>
        <w:tc>
          <w:tcPr>
            <w:tcW w:w="1658" w:type="dxa"/>
            <w:tcBorders>
              <w:top w:val="single" w:sz="6" w:space="0" w:color="auto"/>
              <w:left w:val="single" w:sz="4" w:space="0" w:color="auto"/>
              <w:bottom w:val="single" w:sz="6" w:space="0" w:color="auto"/>
              <w:right w:val="single" w:sz="6" w:space="0" w:color="auto"/>
            </w:tcBorders>
            <w:shd w:val="clear" w:color="auto" w:fill="auto"/>
          </w:tcPr>
          <w:p w:rsidR="003D3498" w:rsidRPr="006E6634" w:rsidP="003D3498" w14:paraId="76F5A3BE" w14:textId="77777777">
            <w:pPr>
              <w:rPr>
                <w:rFonts w:eastAsia="Arial Narrow" w:cstheme="minorHAnsi"/>
                <w:color w:val="auto"/>
                <w:sz w:val="20"/>
                <w:szCs w:val="20"/>
              </w:rPr>
            </w:pPr>
            <w:r w:rsidRPr="006E6634">
              <w:rPr>
                <w:rFonts w:cstheme="minorHAnsi"/>
                <w:color w:val="auto"/>
                <w:sz w:val="20"/>
                <w:szCs w:val="20"/>
              </w:rPr>
              <w:t>Interview guide</w:t>
            </w:r>
          </w:p>
        </w:tc>
        <w:tc>
          <w:tcPr>
            <w:tcW w:w="142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4897A297" w14:textId="77777777">
            <w:pPr>
              <w:jc w:val="center"/>
              <w:rPr>
                <w:rFonts w:eastAsia="Arial Narrow" w:cstheme="minorHAnsi"/>
                <w:color w:val="auto"/>
                <w:sz w:val="20"/>
                <w:szCs w:val="20"/>
              </w:rPr>
            </w:pPr>
            <w:r>
              <w:rPr>
                <w:rFonts w:cstheme="minorHAnsi"/>
                <w:color w:val="auto"/>
                <w:sz w:val="20"/>
                <w:szCs w:val="20"/>
              </w:rPr>
              <w:t>36</w:t>
            </w:r>
          </w:p>
        </w:tc>
        <w:tc>
          <w:tcPr>
            <w:tcW w:w="145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7C454A5A" w14:textId="77777777">
            <w:pPr>
              <w:jc w:val="center"/>
              <w:rPr>
                <w:rFonts w:eastAsia="Arial Narrow" w:cstheme="minorHAnsi"/>
                <w:color w:val="auto"/>
                <w:sz w:val="20"/>
                <w:szCs w:val="20"/>
              </w:rPr>
            </w:pPr>
            <w:r w:rsidRPr="006E6634">
              <w:rPr>
                <w:rFonts w:cstheme="minorHAnsi"/>
                <w:color w:val="auto"/>
                <w:sz w:val="20"/>
                <w:szCs w:val="20"/>
              </w:rPr>
              <w:t>1</w:t>
            </w:r>
          </w:p>
        </w:tc>
        <w:tc>
          <w:tcPr>
            <w:tcW w:w="1305"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09425430" w14:textId="77777777">
            <w:pPr>
              <w:jc w:val="center"/>
              <w:rPr>
                <w:rFonts w:eastAsia="Arial Narrow" w:cstheme="minorHAnsi"/>
                <w:color w:val="auto"/>
                <w:sz w:val="20"/>
                <w:szCs w:val="20"/>
              </w:rPr>
            </w:pPr>
            <w:r w:rsidRPr="006E6634">
              <w:rPr>
                <w:rFonts w:cstheme="minorHAnsi"/>
                <w:color w:val="auto"/>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3D3498" w:rsidRPr="006E6634" w:rsidP="003D3498" w14:paraId="50A461B8" w14:textId="77777777">
            <w:pPr>
              <w:jc w:val="center"/>
              <w:rPr>
                <w:rFonts w:eastAsia="Arial Narrow" w:cstheme="minorHAnsi"/>
                <w:color w:val="auto"/>
                <w:sz w:val="20"/>
                <w:szCs w:val="20"/>
              </w:rPr>
            </w:pPr>
            <w:r>
              <w:rPr>
                <w:rFonts w:cstheme="minorHAnsi"/>
                <w:color w:val="auto"/>
                <w:sz w:val="20"/>
                <w:szCs w:val="20"/>
              </w:rPr>
              <w:t>36</w:t>
            </w:r>
          </w:p>
        </w:tc>
      </w:tr>
      <w:tr w14:paraId="0A7A0300" w14:textId="77777777" w:rsidTr="2A1753C8">
        <w:tblPrEx>
          <w:tblW w:w="0" w:type="auto"/>
          <w:tblLayout w:type="fixed"/>
          <w:tblLook w:val="04A0"/>
        </w:tblPrEx>
        <w:tc>
          <w:tcPr>
            <w:tcW w:w="2422"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006E6634" w14:paraId="068DF91A" w14:textId="77777777">
            <w:pPr>
              <w:rPr>
                <w:rFonts w:eastAsia="Arial Narrow" w:cstheme="minorHAnsi"/>
                <w:color w:val="FFFFFF" w:themeColor="background1"/>
              </w:rPr>
            </w:pPr>
            <w:r w:rsidRPr="005B7A05">
              <w:rPr>
                <w:rFonts w:eastAsia="Arial Narrow" w:cstheme="minorHAnsi"/>
                <w:color w:val="FFFFFF" w:themeColor="background1"/>
              </w:rPr>
              <w:t>TOTAL</w:t>
            </w:r>
          </w:p>
        </w:tc>
        <w:tc>
          <w:tcPr>
            <w:tcW w:w="1658"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006E6634" w14:paraId="0F9A04B5" w14:textId="77777777">
            <w:pPr>
              <w:rPr>
                <w:rFonts w:eastAsia="Arial Narrow" w:cstheme="minorHAnsi"/>
                <w:color w:val="FFFFFF" w:themeColor="background1"/>
              </w:rPr>
            </w:pPr>
          </w:p>
        </w:tc>
        <w:tc>
          <w:tcPr>
            <w:tcW w:w="1425"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006E6634" w14:paraId="22B35851" w14:textId="77777777">
            <w:pPr>
              <w:jc w:val="center"/>
              <w:rPr>
                <w:rFonts w:eastAsia="Arial Narrow" w:cstheme="minorHAnsi"/>
                <w:color w:val="FFFFFF" w:themeColor="background1"/>
              </w:rPr>
            </w:pPr>
          </w:p>
        </w:tc>
        <w:tc>
          <w:tcPr>
            <w:tcW w:w="1455"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006E6634" w14:paraId="554FD69E" w14:textId="77777777">
            <w:pPr>
              <w:jc w:val="center"/>
              <w:rPr>
                <w:rFonts w:eastAsia="Arial Narrow" w:cstheme="minorHAnsi"/>
                <w:color w:val="FFFFFF" w:themeColor="background1"/>
              </w:rPr>
            </w:pPr>
          </w:p>
        </w:tc>
        <w:tc>
          <w:tcPr>
            <w:tcW w:w="1305"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006E6634" w14:paraId="72E95844" w14:textId="77777777">
            <w:pPr>
              <w:jc w:val="center"/>
              <w:rPr>
                <w:rFonts w:eastAsia="Arial Narrow" w:cstheme="minorHAnsi"/>
                <w:color w:val="FFFFFF" w:themeColor="background1"/>
              </w:rPr>
            </w:pPr>
          </w:p>
        </w:tc>
        <w:tc>
          <w:tcPr>
            <w:tcW w:w="1050" w:type="dxa"/>
            <w:tcBorders>
              <w:top w:val="single" w:sz="6" w:space="0" w:color="auto"/>
              <w:left w:val="single" w:sz="6" w:space="0" w:color="auto"/>
              <w:bottom w:val="single" w:sz="6" w:space="0" w:color="auto"/>
              <w:right w:val="single" w:sz="6" w:space="0" w:color="auto"/>
            </w:tcBorders>
            <w:shd w:val="clear" w:color="auto" w:fill="000000" w:themeFill="text1"/>
          </w:tcPr>
          <w:p w:rsidR="006E6634" w:rsidRPr="005B7A05" w:rsidP="2A1753C8" w14:paraId="7CEC25FB" w14:textId="77777777">
            <w:pPr>
              <w:jc w:val="center"/>
              <w:rPr>
                <w:rFonts w:eastAsia="Arial Narrow"/>
                <w:color w:val="FFFFFF" w:themeColor="background1"/>
              </w:rPr>
            </w:pPr>
            <w:r>
              <w:rPr>
                <w:rFonts w:eastAsia="Arial Narrow"/>
                <w:color w:val="FFFFFF" w:themeColor="background1"/>
              </w:rPr>
              <w:t>160</w:t>
            </w:r>
          </w:p>
        </w:tc>
      </w:tr>
    </w:tbl>
    <w:p w:rsidR="00613035" w:rsidP="53C8BC27" w14:paraId="05D1D15F" w14:textId="77777777">
      <w:pPr>
        <w:keepNext/>
        <w:spacing w:before="115" w:after="0" w:line="240" w:lineRule="auto"/>
        <w:ind w:left="1166" w:hanging="1166"/>
        <w:rPr>
          <w:rFonts w:eastAsia="Times New Roman" w:cstheme="minorHAnsi"/>
          <w:b/>
          <w:bCs/>
          <w:sz w:val="24"/>
          <w:szCs w:val="24"/>
        </w:rPr>
      </w:pPr>
    </w:p>
    <w:p w:rsidR="00BB08F5" w:rsidRPr="005B7A05" w:rsidP="53C8BC27" w14:paraId="5D59F018" w14:textId="77777777">
      <w:pPr>
        <w:keepNext/>
        <w:spacing w:before="115" w:after="0" w:line="240" w:lineRule="auto"/>
        <w:ind w:left="1166" w:hanging="1166"/>
        <w:rPr>
          <w:rFonts w:eastAsia="Times New Roman" w:cstheme="minorHAnsi"/>
          <w:i/>
          <w:iCs/>
          <w:sz w:val="24"/>
          <w:szCs w:val="24"/>
        </w:rPr>
      </w:pPr>
      <w:r w:rsidRPr="005B7A05">
        <w:rPr>
          <w:rFonts w:eastAsia="Times New Roman" w:cstheme="minorHAnsi"/>
          <w:b/>
          <w:bCs/>
          <w:i/>
          <w:iCs/>
          <w:sz w:val="24"/>
          <w:szCs w:val="24"/>
        </w:rPr>
        <w:t>(b)</w:t>
      </w:r>
      <w:r w:rsidRPr="005B7A05" w:rsidR="17D80C04">
        <w:rPr>
          <w:rFonts w:eastAsia="Times New Roman" w:cstheme="minorHAnsi"/>
          <w:b/>
          <w:bCs/>
          <w:i/>
          <w:iCs/>
          <w:sz w:val="24"/>
          <w:szCs w:val="24"/>
        </w:rPr>
        <w:t xml:space="preserve"> Cost to Respondents</w:t>
      </w:r>
    </w:p>
    <w:p w:rsidR="00FA3D76" w:rsidP="009227E8" w14:paraId="5E5CA69A" w14:textId="77777777">
      <w:r w:rsidRPr="00D62777">
        <w:t xml:space="preserve">The Bureau of Labor Statistics National Occupational Employment and Wage Estimates for May </w:t>
      </w:r>
      <w:r>
        <w:t xml:space="preserve">2023 was used to </w:t>
      </w:r>
      <w:r w:rsidR="00F92945">
        <w:t>generate the hourly rate for all occupation</w:t>
      </w:r>
      <w:r w:rsidR="006607AA">
        <w:t>s</w:t>
      </w:r>
      <w:r w:rsidR="00F92945">
        <w:t xml:space="preserve">. </w:t>
      </w:r>
    </w:p>
    <w:p w:rsidR="006607AA" w:rsidP="009227E8" w14:paraId="237052A4" w14:textId="77777777">
      <w:pPr>
        <w:pStyle w:val="ListParagraph"/>
        <w:numPr>
          <w:ilvl w:val="0"/>
          <w:numId w:val="42"/>
        </w:numPr>
        <w:rPr>
          <w:rFonts w:cstheme="minorHAnsi"/>
        </w:rPr>
      </w:pPr>
      <w:r>
        <w:rPr>
          <w:rFonts w:cstheme="minorHAnsi"/>
        </w:rPr>
        <w:t xml:space="preserve">For the </w:t>
      </w:r>
      <w:r w:rsidRPr="00632AE9">
        <w:rPr>
          <w:rFonts w:cstheme="minorHAnsi"/>
          <w:b/>
          <w:bCs/>
        </w:rPr>
        <w:t>volunteer firefighters</w:t>
      </w:r>
      <w:r>
        <w:rPr>
          <w:rFonts w:cstheme="minorHAnsi"/>
        </w:rPr>
        <w:t>, we used the median hourly wage for all occupations in the U.S.</w:t>
      </w:r>
      <w:r w:rsidR="006873A1">
        <w:rPr>
          <w:rFonts w:cstheme="minorHAnsi"/>
        </w:rPr>
        <w:t xml:space="preserve">, </w:t>
      </w:r>
      <w:r w:rsidR="005B4532">
        <w:rPr>
          <w:rFonts w:cstheme="minorHAnsi"/>
        </w:rPr>
        <w:t>since these are volunteers with a variety of primary occupations.</w:t>
      </w:r>
    </w:p>
    <w:p w:rsidR="00430AE0" w:rsidRPr="009227E8" w:rsidP="009227E8" w14:paraId="271F1840" w14:textId="77777777">
      <w:pPr>
        <w:pStyle w:val="ListParagraph"/>
        <w:numPr>
          <w:ilvl w:val="0"/>
          <w:numId w:val="42"/>
        </w:numPr>
        <w:rPr>
          <w:rFonts w:cstheme="minorHAnsi"/>
        </w:rPr>
      </w:pPr>
      <w:r w:rsidRPr="009227E8">
        <w:rPr>
          <w:rFonts w:cstheme="minorHAnsi"/>
        </w:rPr>
        <w:t xml:space="preserve">For the </w:t>
      </w:r>
      <w:r w:rsidRPr="00632AE9">
        <w:rPr>
          <w:rFonts w:cstheme="minorHAnsi"/>
          <w:b/>
          <w:bCs/>
        </w:rPr>
        <w:t>corrections</w:t>
      </w:r>
      <w:r w:rsidRPr="009227E8">
        <w:rPr>
          <w:rFonts w:cstheme="minorHAnsi"/>
        </w:rPr>
        <w:t xml:space="preserve"> audience, we used</w:t>
      </w:r>
      <w:r w:rsidRPr="009227E8" w:rsidR="00F92945">
        <w:rPr>
          <w:rFonts w:cstheme="minorHAnsi"/>
        </w:rPr>
        <w:t xml:space="preserve"> </w:t>
      </w:r>
      <w:r w:rsidRPr="009227E8" w:rsidR="00866163">
        <w:rPr>
          <w:rFonts w:cstheme="minorHAnsi"/>
        </w:rPr>
        <w:t xml:space="preserve">33-3012 </w:t>
      </w:r>
      <w:r w:rsidRPr="009227E8" w:rsidR="00F92945">
        <w:rPr>
          <w:rFonts w:cstheme="minorHAnsi"/>
        </w:rPr>
        <w:t>Correctional Officers and Jailers</w:t>
      </w:r>
      <w:r w:rsidRPr="009227E8" w:rsidR="00866163">
        <w:rPr>
          <w:rFonts w:cstheme="minorHAnsi"/>
        </w:rPr>
        <w:t xml:space="preserve">. </w:t>
      </w:r>
    </w:p>
    <w:p w:rsidR="00430AE0" w:rsidP="009227E8" w14:paraId="6EF20B57" w14:textId="77777777">
      <w:pPr>
        <w:pStyle w:val="ListParagraph"/>
        <w:numPr>
          <w:ilvl w:val="0"/>
          <w:numId w:val="42"/>
        </w:numPr>
      </w:pPr>
      <w:r>
        <w:t xml:space="preserve">For </w:t>
      </w:r>
      <w:r w:rsidRPr="00632AE9">
        <w:rPr>
          <w:b/>
          <w:bCs/>
        </w:rPr>
        <w:t>home healthcare</w:t>
      </w:r>
      <w:r w:rsidR="00632AE9">
        <w:rPr>
          <w:b/>
          <w:bCs/>
        </w:rPr>
        <w:t xml:space="preserve"> aides</w:t>
      </w:r>
      <w:r>
        <w:t xml:space="preserve">, we used </w:t>
      </w:r>
      <w:r w:rsidRPr="00013000" w:rsidR="00013000">
        <w:t>31-1120</w:t>
      </w:r>
      <w:r w:rsidR="00013000">
        <w:t xml:space="preserve"> </w:t>
      </w:r>
      <w:r w:rsidRPr="00781248" w:rsidR="00DC323B">
        <w:t>Home Health and Personal Care Aides</w:t>
      </w:r>
      <w:r w:rsidR="00013000">
        <w:t xml:space="preserve">. </w:t>
      </w:r>
    </w:p>
    <w:p w:rsidR="00430AE0" w:rsidP="009227E8" w14:paraId="56A9FC5E" w14:textId="77777777">
      <w:pPr>
        <w:pStyle w:val="ListParagraph"/>
        <w:numPr>
          <w:ilvl w:val="0"/>
          <w:numId w:val="42"/>
        </w:numPr>
      </w:pPr>
      <w:r>
        <w:t xml:space="preserve">For </w:t>
      </w:r>
      <w:r w:rsidRPr="00632AE9" w:rsidR="00632AE9">
        <w:rPr>
          <w:b/>
          <w:bCs/>
        </w:rPr>
        <w:t>m</w:t>
      </w:r>
      <w:r w:rsidRPr="00632AE9">
        <w:rPr>
          <w:b/>
          <w:bCs/>
        </w:rPr>
        <w:t>ental health workers</w:t>
      </w:r>
      <w:r w:rsidR="00B54174">
        <w:t xml:space="preserve">, we </w:t>
      </w:r>
      <w:r w:rsidR="0092193B">
        <w:t>averaged</w:t>
      </w:r>
      <w:r w:rsidR="00B54174">
        <w:t xml:space="preserve"> </w:t>
      </w:r>
      <w:r w:rsidR="0092193B">
        <w:t xml:space="preserve">the mean hourly wage for </w:t>
      </w:r>
      <w:r w:rsidRPr="00057B33" w:rsidR="00057B33">
        <w:t>21-1018</w:t>
      </w:r>
      <w:r w:rsidR="00057B33">
        <w:t xml:space="preserve"> </w:t>
      </w:r>
      <w:r w:rsidRPr="00781248" w:rsidR="00057B33">
        <w:t>Substance Abuse, Behavioral Disorder, and Mental Health Counselors;</w:t>
      </w:r>
      <w:r w:rsidR="00057B33">
        <w:t xml:space="preserve"> </w:t>
      </w:r>
      <w:r w:rsidRPr="006C2C96" w:rsidR="006C2C96">
        <w:t>21-1013</w:t>
      </w:r>
      <w:r w:rsidR="00781248">
        <w:t xml:space="preserve"> </w:t>
      </w:r>
      <w:r w:rsidRPr="00781248" w:rsidR="00057B33">
        <w:t>Marriage and Family Therapists</w:t>
      </w:r>
      <w:r w:rsidR="00DC0293">
        <w:t xml:space="preserve">; </w:t>
      </w:r>
      <w:r w:rsidR="006C2C96">
        <w:t>and</w:t>
      </w:r>
      <w:r w:rsidR="00DE36AB">
        <w:t xml:space="preserve"> </w:t>
      </w:r>
      <w:r w:rsidRPr="00430AE0">
        <w:t>29-1223 Psychiatrists</w:t>
      </w:r>
      <w:r w:rsidR="00781248">
        <w:t xml:space="preserve">. </w:t>
      </w:r>
    </w:p>
    <w:p w:rsidR="00057B33" w:rsidP="009227E8" w14:paraId="5243946A" w14:textId="77777777">
      <w:pPr>
        <w:pStyle w:val="ListParagraph"/>
        <w:numPr>
          <w:ilvl w:val="0"/>
          <w:numId w:val="42"/>
        </w:numPr>
      </w:pPr>
      <w:r>
        <w:t xml:space="preserve">For state, county, and city </w:t>
      </w:r>
      <w:r w:rsidRPr="00632AE9">
        <w:rPr>
          <w:b/>
          <w:bCs/>
        </w:rPr>
        <w:t>health department employees</w:t>
      </w:r>
      <w:r>
        <w:t xml:space="preserve">, we used </w:t>
      </w:r>
      <w:r w:rsidR="006225A6">
        <w:t xml:space="preserve">the average of </w:t>
      </w:r>
      <w:r w:rsidR="009227E8">
        <w:t xml:space="preserve">the mean hourly wage for </w:t>
      </w:r>
      <w:r w:rsidRPr="00B237C9" w:rsidR="00B237C9">
        <w:t>21-1091 Health Education Specialists</w:t>
      </w:r>
      <w:r w:rsidR="003B25BD">
        <w:t xml:space="preserve">, </w:t>
      </w:r>
      <w:r w:rsidRPr="003B25BD" w:rsidR="003B25BD">
        <w:t>19-1041 Epidemiologists</w:t>
      </w:r>
      <w:r w:rsidR="00292EA4">
        <w:t xml:space="preserve">, and </w:t>
      </w:r>
      <w:r w:rsidRPr="00292EA4" w:rsidR="00292EA4">
        <w:t>29-1141 Registered Nurses</w:t>
      </w:r>
      <w:r w:rsidR="00292EA4">
        <w:t xml:space="preserve">. </w:t>
      </w:r>
    </w:p>
    <w:p w:rsidR="00F92945" w:rsidP="00FA3D76" w14:paraId="05A1806D" w14:textId="77777777"/>
    <w:tbl>
      <w:tblPr>
        <w:tblStyle w:val="TableGrid"/>
        <w:tblW w:w="9350" w:type="dxa"/>
        <w:tblLayout w:type="fixed"/>
        <w:tblLook w:val="04A0"/>
      </w:tblPr>
      <w:tblGrid>
        <w:gridCol w:w="1790"/>
        <w:gridCol w:w="1530"/>
        <w:gridCol w:w="1530"/>
        <w:gridCol w:w="2070"/>
        <w:gridCol w:w="2430"/>
      </w:tblGrid>
      <w:tr w14:paraId="74790AFB" w14:textId="77777777" w:rsidTr="00925806">
        <w:tblPrEx>
          <w:tblW w:w="9350" w:type="dxa"/>
          <w:tblLayout w:type="fixed"/>
          <w:tblLook w:val="04A0"/>
        </w:tblPrEx>
        <w:trPr>
          <w:trHeight w:val="240"/>
          <w:tblHeader/>
        </w:trPr>
        <w:tc>
          <w:tcPr>
            <w:tcW w:w="179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925806" w:rsidRPr="00F77C61" w:rsidP="17D80C04" w14:paraId="1FC887E0" w14:textId="77777777">
            <w:pPr>
              <w:rPr>
                <w:rFonts w:eastAsia="Arial" w:cstheme="minorHAnsi"/>
                <w:b/>
                <w:bCs/>
                <w:sz w:val="20"/>
                <w:szCs w:val="20"/>
              </w:rPr>
            </w:pPr>
            <w:r w:rsidRPr="00F77C61">
              <w:rPr>
                <w:rFonts w:eastAsia="Arial" w:cstheme="minorHAnsi"/>
                <w:b/>
                <w:bCs/>
                <w:sz w:val="20"/>
                <w:szCs w:val="20"/>
              </w:rPr>
              <w:t>Occupation</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925806" w:rsidRPr="00F77C61" w:rsidP="17D80C04" w14:paraId="6B1171A4" w14:textId="77777777">
            <w:pPr>
              <w:rPr>
                <w:rFonts w:eastAsia="Arial" w:cstheme="minorHAnsi"/>
                <w:b/>
                <w:bCs/>
                <w:sz w:val="20"/>
                <w:szCs w:val="20"/>
              </w:rPr>
            </w:pPr>
            <w:r w:rsidRPr="00F77C61">
              <w:rPr>
                <w:rFonts w:eastAsia="Arial" w:cstheme="minorHAnsi"/>
                <w:b/>
                <w:bCs/>
                <w:sz w:val="20"/>
                <w:szCs w:val="20"/>
              </w:rPr>
              <w:t>Hourly Rate</w:t>
            </w:r>
          </w:p>
        </w:tc>
        <w:tc>
          <w:tcPr>
            <w:tcW w:w="153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925806" w:rsidP="17D80C04" w14:paraId="1741958B" w14:textId="77777777">
            <w:pPr>
              <w:rPr>
                <w:rFonts w:eastAsia="Arial" w:cstheme="minorHAnsi"/>
                <w:b/>
                <w:bCs/>
                <w:sz w:val="20"/>
                <w:szCs w:val="20"/>
              </w:rPr>
            </w:pPr>
            <w:r>
              <w:rPr>
                <w:rFonts w:eastAsia="Arial" w:cstheme="minorHAnsi"/>
                <w:b/>
                <w:bCs/>
                <w:sz w:val="20"/>
                <w:szCs w:val="20"/>
              </w:rPr>
              <w:t>Burden hours</w:t>
            </w:r>
          </w:p>
        </w:tc>
        <w:tc>
          <w:tcPr>
            <w:tcW w:w="207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925806" w:rsidRPr="00F77C61" w:rsidP="17D80C04" w14:paraId="4A12BDCD" w14:textId="77777777">
            <w:pPr>
              <w:rPr>
                <w:rFonts w:eastAsia="Arial" w:cstheme="minorHAnsi"/>
                <w:b/>
                <w:bCs/>
                <w:sz w:val="20"/>
                <w:szCs w:val="20"/>
              </w:rPr>
            </w:pPr>
            <w:r>
              <w:rPr>
                <w:rFonts w:eastAsia="Arial" w:cstheme="minorHAnsi"/>
                <w:b/>
                <w:bCs/>
                <w:sz w:val="20"/>
                <w:szCs w:val="20"/>
              </w:rPr>
              <w:t>No. of Respondents</w:t>
            </w:r>
          </w:p>
        </w:tc>
        <w:tc>
          <w:tcPr>
            <w:tcW w:w="243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925806" w:rsidRPr="00F77C61" w:rsidP="17D80C04" w14:paraId="4C08462D" w14:textId="77777777">
            <w:pPr>
              <w:rPr>
                <w:rFonts w:eastAsia="Arial" w:cstheme="minorHAnsi"/>
                <w:b/>
                <w:bCs/>
                <w:sz w:val="20"/>
                <w:szCs w:val="20"/>
              </w:rPr>
            </w:pPr>
            <w:r w:rsidRPr="00F77C61">
              <w:rPr>
                <w:rFonts w:eastAsia="Arial" w:cstheme="minorHAnsi"/>
                <w:b/>
                <w:bCs/>
                <w:sz w:val="20"/>
                <w:szCs w:val="20"/>
              </w:rPr>
              <w:t>Total</w:t>
            </w:r>
          </w:p>
        </w:tc>
      </w:tr>
      <w:tr w14:paraId="2A0D5B8F"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tcPr>
          <w:p w:rsidR="003D3498" w:rsidRPr="00F77C61" w:rsidP="003D3498" w14:paraId="62A728D5" w14:textId="77777777">
            <w:pPr>
              <w:rPr>
                <w:rFonts w:eastAsia="Arial" w:cstheme="minorHAnsi"/>
                <w:sz w:val="20"/>
                <w:szCs w:val="20"/>
              </w:rPr>
            </w:pPr>
            <w:r>
              <w:rPr>
                <w:rFonts w:eastAsia="Arial" w:cstheme="minorHAnsi"/>
                <w:sz w:val="20"/>
                <w:szCs w:val="20"/>
              </w:rPr>
              <w:t>Volunteer firefighters</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41D651B7" w14:textId="77777777">
            <w:pPr>
              <w:rPr>
                <w:rFonts w:eastAsia="Arial" w:cstheme="minorHAnsi"/>
                <w:sz w:val="20"/>
                <w:szCs w:val="20"/>
              </w:rPr>
            </w:pPr>
            <w:r>
              <w:rPr>
                <w:rFonts w:eastAsia="Arial" w:cstheme="minorHAnsi"/>
                <w:sz w:val="20"/>
                <w:szCs w:val="20"/>
              </w:rPr>
              <w:t>$23.11</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5609A741" w14:textId="77777777">
            <w:pPr>
              <w:rPr>
                <w:rFonts w:eastAsia="Arial" w:cstheme="minorHAnsi"/>
                <w:sz w:val="20"/>
                <w:szCs w:val="20"/>
              </w:rPr>
            </w:pPr>
            <w:r>
              <w:rPr>
                <w:rFonts w:eastAsia="Arial" w:cstheme="minorHAnsi"/>
                <w:sz w:val="20"/>
                <w:szCs w:val="20"/>
              </w:rPr>
              <w:t>1</w:t>
            </w:r>
          </w:p>
        </w:tc>
        <w:tc>
          <w:tcPr>
            <w:tcW w:w="2070" w:type="dxa"/>
            <w:tcBorders>
              <w:top w:val="single" w:sz="8" w:space="0" w:color="auto"/>
              <w:left w:val="single" w:sz="8" w:space="0" w:color="auto"/>
              <w:bottom w:val="single" w:sz="8" w:space="0" w:color="auto"/>
              <w:right w:val="single" w:sz="8" w:space="0" w:color="auto"/>
            </w:tcBorders>
          </w:tcPr>
          <w:p w:rsidR="003D3498" w:rsidRPr="00F77C61" w:rsidP="003D3498" w14:paraId="4B625748" w14:textId="77777777">
            <w:pPr>
              <w:rPr>
                <w:rFonts w:eastAsia="Arial" w:cstheme="minorHAnsi"/>
                <w:sz w:val="20"/>
                <w:szCs w:val="20"/>
              </w:rPr>
            </w:pPr>
            <w:r>
              <w:rPr>
                <w:rFonts w:cstheme="minorHAnsi"/>
                <w:sz w:val="20"/>
                <w:szCs w:val="20"/>
              </w:rPr>
              <w:t>26</w:t>
            </w:r>
          </w:p>
        </w:tc>
        <w:tc>
          <w:tcPr>
            <w:tcW w:w="2430" w:type="dxa"/>
            <w:tcBorders>
              <w:top w:val="single" w:sz="8" w:space="0" w:color="auto"/>
              <w:left w:val="single" w:sz="8" w:space="0" w:color="auto"/>
              <w:bottom w:val="single" w:sz="8" w:space="0" w:color="auto"/>
              <w:right w:val="single" w:sz="8" w:space="0" w:color="auto"/>
            </w:tcBorders>
          </w:tcPr>
          <w:p w:rsidR="003D3498" w:rsidRPr="00F77C61" w:rsidP="003D3498" w14:paraId="16BB49DD" w14:textId="77777777">
            <w:pPr>
              <w:rPr>
                <w:rFonts w:eastAsia="Arial" w:cstheme="minorHAnsi"/>
                <w:sz w:val="20"/>
                <w:szCs w:val="20"/>
              </w:rPr>
            </w:pPr>
            <w:r>
              <w:rPr>
                <w:rFonts w:eastAsia="Arial" w:cstheme="minorHAnsi"/>
                <w:sz w:val="20"/>
                <w:szCs w:val="20"/>
              </w:rPr>
              <w:t>$</w:t>
            </w:r>
            <w:r w:rsidR="005C20F5">
              <w:rPr>
                <w:rFonts w:eastAsia="Arial" w:cstheme="minorHAnsi"/>
                <w:sz w:val="20"/>
                <w:szCs w:val="20"/>
              </w:rPr>
              <w:t>600.86</w:t>
            </w:r>
          </w:p>
        </w:tc>
      </w:tr>
      <w:tr w14:paraId="5A1DFB53"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tcPr>
          <w:p w:rsidR="003D3498" w:rsidRPr="00F77C61" w:rsidP="003D3498" w14:paraId="5D7E403C" w14:textId="77777777">
            <w:pPr>
              <w:rPr>
                <w:rFonts w:eastAsia="Arial" w:cstheme="minorHAnsi"/>
                <w:sz w:val="20"/>
                <w:szCs w:val="20"/>
              </w:rPr>
            </w:pPr>
            <w:r>
              <w:rPr>
                <w:rFonts w:eastAsia="Arial" w:cstheme="minorHAnsi"/>
                <w:sz w:val="20"/>
                <w:szCs w:val="20"/>
              </w:rPr>
              <w:t>Corrections</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4F731BFB" w14:textId="77777777">
            <w:pPr>
              <w:rPr>
                <w:rFonts w:eastAsia="Arial" w:cstheme="minorHAnsi"/>
                <w:sz w:val="20"/>
                <w:szCs w:val="20"/>
              </w:rPr>
            </w:pPr>
            <w:r>
              <w:rPr>
                <w:rFonts w:eastAsia="Arial" w:cstheme="minorHAnsi"/>
                <w:sz w:val="20"/>
                <w:szCs w:val="20"/>
              </w:rPr>
              <w:t>$28.27</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0E055264" w14:textId="77777777">
            <w:pPr>
              <w:rPr>
                <w:rFonts w:eastAsia="Arial" w:cstheme="minorHAnsi"/>
                <w:sz w:val="20"/>
                <w:szCs w:val="20"/>
              </w:rPr>
            </w:pPr>
            <w:r>
              <w:rPr>
                <w:rFonts w:eastAsia="Arial" w:cstheme="minorHAnsi"/>
                <w:sz w:val="20"/>
                <w:szCs w:val="20"/>
              </w:rPr>
              <w:t>1</w:t>
            </w:r>
          </w:p>
        </w:tc>
        <w:tc>
          <w:tcPr>
            <w:tcW w:w="2070" w:type="dxa"/>
            <w:tcBorders>
              <w:top w:val="single" w:sz="8" w:space="0" w:color="auto"/>
              <w:left w:val="single" w:sz="8" w:space="0" w:color="auto"/>
              <w:bottom w:val="single" w:sz="8" w:space="0" w:color="auto"/>
              <w:right w:val="single" w:sz="8" w:space="0" w:color="auto"/>
            </w:tcBorders>
          </w:tcPr>
          <w:p w:rsidR="003D3498" w:rsidRPr="00F77C61" w:rsidP="003D3498" w14:paraId="7D367082" w14:textId="77777777">
            <w:pPr>
              <w:rPr>
                <w:rFonts w:eastAsia="Arial" w:cstheme="minorHAnsi"/>
                <w:sz w:val="20"/>
                <w:szCs w:val="20"/>
              </w:rPr>
            </w:pPr>
            <w:r>
              <w:rPr>
                <w:rFonts w:cstheme="minorHAnsi"/>
                <w:sz w:val="20"/>
                <w:szCs w:val="20"/>
              </w:rPr>
              <w:t>36</w:t>
            </w:r>
          </w:p>
        </w:tc>
        <w:tc>
          <w:tcPr>
            <w:tcW w:w="2430" w:type="dxa"/>
            <w:tcBorders>
              <w:top w:val="single" w:sz="8" w:space="0" w:color="auto"/>
              <w:left w:val="single" w:sz="8" w:space="0" w:color="auto"/>
              <w:bottom w:val="single" w:sz="8" w:space="0" w:color="auto"/>
              <w:right w:val="single" w:sz="8" w:space="0" w:color="auto"/>
            </w:tcBorders>
          </w:tcPr>
          <w:p w:rsidR="003D3498" w:rsidRPr="00F77C61" w:rsidP="003D3498" w14:paraId="2C87358C" w14:textId="77777777">
            <w:pPr>
              <w:rPr>
                <w:rFonts w:eastAsia="Arial" w:cstheme="minorHAnsi"/>
                <w:sz w:val="20"/>
                <w:szCs w:val="20"/>
              </w:rPr>
            </w:pPr>
            <w:r>
              <w:rPr>
                <w:rFonts w:eastAsia="Arial" w:cstheme="minorHAnsi"/>
                <w:sz w:val="20"/>
                <w:szCs w:val="20"/>
              </w:rPr>
              <w:t>$</w:t>
            </w:r>
            <w:r w:rsidR="004A6281">
              <w:rPr>
                <w:rFonts w:eastAsia="Arial" w:cstheme="minorHAnsi"/>
                <w:sz w:val="20"/>
                <w:szCs w:val="20"/>
              </w:rPr>
              <w:t>1,017.72</w:t>
            </w:r>
          </w:p>
        </w:tc>
      </w:tr>
      <w:tr w14:paraId="17DB605C"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tcPr>
          <w:p w:rsidR="003D3498" w:rsidRPr="00F77C61" w:rsidP="003D3498" w14:paraId="4B3F7339" w14:textId="77777777">
            <w:pPr>
              <w:rPr>
                <w:rFonts w:eastAsia="Arial" w:cstheme="minorHAnsi"/>
                <w:sz w:val="20"/>
                <w:szCs w:val="20"/>
              </w:rPr>
            </w:pPr>
            <w:r>
              <w:rPr>
                <w:rFonts w:eastAsia="Arial" w:cstheme="minorHAnsi"/>
                <w:sz w:val="20"/>
                <w:szCs w:val="20"/>
              </w:rPr>
              <w:t xml:space="preserve">Home Healthcare </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5C3423E7" w14:textId="77777777">
            <w:pPr>
              <w:rPr>
                <w:rFonts w:eastAsia="Arial" w:cstheme="minorHAnsi"/>
                <w:sz w:val="20"/>
                <w:szCs w:val="20"/>
              </w:rPr>
            </w:pPr>
            <w:r>
              <w:rPr>
                <w:rFonts w:eastAsia="Arial" w:cstheme="minorHAnsi"/>
                <w:sz w:val="20"/>
                <w:szCs w:val="20"/>
              </w:rPr>
              <w:t>$16.05</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575238B9" w14:textId="77777777">
            <w:pPr>
              <w:rPr>
                <w:rFonts w:eastAsia="Arial" w:cstheme="minorHAnsi"/>
                <w:sz w:val="20"/>
                <w:szCs w:val="20"/>
              </w:rPr>
            </w:pPr>
            <w:r>
              <w:rPr>
                <w:rFonts w:eastAsia="Arial" w:cstheme="minorHAnsi"/>
                <w:sz w:val="20"/>
                <w:szCs w:val="20"/>
              </w:rPr>
              <w:t>1</w:t>
            </w:r>
          </w:p>
        </w:tc>
        <w:tc>
          <w:tcPr>
            <w:tcW w:w="2070" w:type="dxa"/>
            <w:tcBorders>
              <w:top w:val="single" w:sz="8" w:space="0" w:color="auto"/>
              <w:left w:val="single" w:sz="8" w:space="0" w:color="auto"/>
              <w:bottom w:val="single" w:sz="8" w:space="0" w:color="auto"/>
              <w:right w:val="single" w:sz="8" w:space="0" w:color="auto"/>
            </w:tcBorders>
          </w:tcPr>
          <w:p w:rsidR="003D3498" w:rsidRPr="00F77C61" w:rsidP="003D3498" w14:paraId="0856E8F4" w14:textId="77777777">
            <w:pPr>
              <w:rPr>
                <w:rFonts w:eastAsia="Arial" w:cstheme="minorHAnsi"/>
                <w:sz w:val="20"/>
                <w:szCs w:val="20"/>
              </w:rPr>
            </w:pPr>
            <w:r>
              <w:rPr>
                <w:rFonts w:cstheme="minorHAnsi"/>
                <w:sz w:val="20"/>
                <w:szCs w:val="20"/>
              </w:rPr>
              <w:t>26</w:t>
            </w:r>
          </w:p>
        </w:tc>
        <w:tc>
          <w:tcPr>
            <w:tcW w:w="2430" w:type="dxa"/>
            <w:tcBorders>
              <w:top w:val="single" w:sz="8" w:space="0" w:color="auto"/>
              <w:left w:val="single" w:sz="8" w:space="0" w:color="auto"/>
              <w:bottom w:val="single" w:sz="8" w:space="0" w:color="auto"/>
              <w:right w:val="single" w:sz="8" w:space="0" w:color="auto"/>
            </w:tcBorders>
          </w:tcPr>
          <w:p w:rsidR="003D3498" w:rsidRPr="00F77C61" w:rsidP="003D3498" w14:paraId="093380A8" w14:textId="77777777">
            <w:pPr>
              <w:rPr>
                <w:rFonts w:eastAsia="Arial" w:cstheme="minorHAnsi"/>
                <w:sz w:val="20"/>
                <w:szCs w:val="20"/>
              </w:rPr>
            </w:pPr>
            <w:r>
              <w:rPr>
                <w:rFonts w:eastAsia="Arial" w:cstheme="minorHAnsi"/>
                <w:sz w:val="20"/>
                <w:szCs w:val="20"/>
              </w:rPr>
              <w:t>$</w:t>
            </w:r>
            <w:r w:rsidRPr="00E81863" w:rsidR="00E81863">
              <w:rPr>
                <w:rFonts w:eastAsia="Arial" w:cstheme="minorHAnsi"/>
                <w:sz w:val="20"/>
                <w:szCs w:val="20"/>
              </w:rPr>
              <w:t>417.3</w:t>
            </w:r>
            <w:r w:rsidR="00E81863">
              <w:rPr>
                <w:rFonts w:eastAsia="Arial" w:cstheme="minorHAnsi"/>
                <w:sz w:val="20"/>
                <w:szCs w:val="20"/>
              </w:rPr>
              <w:t>0</w:t>
            </w:r>
          </w:p>
        </w:tc>
      </w:tr>
      <w:tr w14:paraId="040994A3"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tcPr>
          <w:p w:rsidR="003D3498" w:rsidRPr="00F77C61" w:rsidP="003D3498" w14:paraId="560C6D28" w14:textId="77777777">
            <w:pPr>
              <w:rPr>
                <w:rFonts w:eastAsia="Arial" w:cstheme="minorHAnsi"/>
                <w:sz w:val="20"/>
                <w:szCs w:val="20"/>
              </w:rPr>
            </w:pPr>
            <w:r>
              <w:rPr>
                <w:rFonts w:eastAsia="Arial" w:cstheme="minorHAnsi"/>
                <w:sz w:val="20"/>
                <w:szCs w:val="20"/>
              </w:rPr>
              <w:t>Mental health</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35C4792A" w14:textId="77777777">
            <w:pPr>
              <w:rPr>
                <w:rFonts w:eastAsia="Arial" w:cstheme="minorHAnsi"/>
                <w:sz w:val="20"/>
                <w:szCs w:val="20"/>
              </w:rPr>
            </w:pPr>
            <w:r>
              <w:rPr>
                <w:rFonts w:eastAsia="Arial" w:cstheme="minorHAnsi"/>
                <w:sz w:val="20"/>
                <w:szCs w:val="20"/>
              </w:rPr>
              <w:t>$61.82</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4D690DBC" w14:textId="77777777">
            <w:pPr>
              <w:rPr>
                <w:rFonts w:eastAsia="Arial" w:cstheme="minorHAnsi"/>
                <w:sz w:val="20"/>
                <w:szCs w:val="20"/>
              </w:rPr>
            </w:pPr>
            <w:r>
              <w:rPr>
                <w:rFonts w:eastAsia="Arial" w:cstheme="minorHAnsi"/>
                <w:sz w:val="20"/>
                <w:szCs w:val="20"/>
              </w:rPr>
              <w:t>1</w:t>
            </w:r>
          </w:p>
        </w:tc>
        <w:tc>
          <w:tcPr>
            <w:tcW w:w="2070" w:type="dxa"/>
            <w:tcBorders>
              <w:top w:val="single" w:sz="8" w:space="0" w:color="auto"/>
              <w:left w:val="single" w:sz="8" w:space="0" w:color="auto"/>
              <w:bottom w:val="single" w:sz="8" w:space="0" w:color="auto"/>
              <w:right w:val="single" w:sz="8" w:space="0" w:color="auto"/>
            </w:tcBorders>
          </w:tcPr>
          <w:p w:rsidR="003D3498" w:rsidRPr="00F77C61" w:rsidP="003D3498" w14:paraId="5240B818" w14:textId="77777777">
            <w:pPr>
              <w:rPr>
                <w:rFonts w:eastAsia="Arial" w:cstheme="minorHAnsi"/>
                <w:sz w:val="20"/>
                <w:szCs w:val="20"/>
              </w:rPr>
            </w:pPr>
            <w:r>
              <w:rPr>
                <w:rFonts w:cstheme="minorHAnsi"/>
                <w:sz w:val="20"/>
                <w:szCs w:val="20"/>
              </w:rPr>
              <w:t>36</w:t>
            </w:r>
          </w:p>
        </w:tc>
        <w:tc>
          <w:tcPr>
            <w:tcW w:w="2430" w:type="dxa"/>
            <w:tcBorders>
              <w:top w:val="single" w:sz="8" w:space="0" w:color="auto"/>
              <w:left w:val="single" w:sz="8" w:space="0" w:color="auto"/>
              <w:bottom w:val="single" w:sz="8" w:space="0" w:color="auto"/>
              <w:right w:val="single" w:sz="8" w:space="0" w:color="auto"/>
            </w:tcBorders>
          </w:tcPr>
          <w:p w:rsidR="003D3498" w:rsidRPr="00F77C61" w:rsidP="003D3498" w14:paraId="17E33F8C" w14:textId="77777777">
            <w:pPr>
              <w:rPr>
                <w:rFonts w:eastAsia="Arial" w:cstheme="minorHAnsi"/>
                <w:sz w:val="20"/>
                <w:szCs w:val="20"/>
              </w:rPr>
            </w:pPr>
            <w:r>
              <w:rPr>
                <w:rFonts w:eastAsia="Arial" w:cstheme="minorHAnsi"/>
                <w:sz w:val="20"/>
                <w:szCs w:val="20"/>
              </w:rPr>
              <w:t>$</w:t>
            </w:r>
            <w:r w:rsidRPr="00072264" w:rsidR="00072264">
              <w:rPr>
                <w:rFonts w:eastAsia="Arial" w:cstheme="minorHAnsi"/>
                <w:sz w:val="20"/>
                <w:szCs w:val="20"/>
              </w:rPr>
              <w:t>2,225.52</w:t>
            </w:r>
          </w:p>
        </w:tc>
      </w:tr>
      <w:tr w14:paraId="0B6370A5"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tcPr>
          <w:p w:rsidR="003D3498" w:rsidRPr="00F77C61" w:rsidP="003D3498" w14:paraId="7E97DC38" w14:textId="77777777">
            <w:pPr>
              <w:rPr>
                <w:rFonts w:eastAsia="Arial" w:cstheme="minorHAnsi"/>
                <w:sz w:val="20"/>
                <w:szCs w:val="20"/>
              </w:rPr>
            </w:pPr>
            <w:r>
              <w:rPr>
                <w:rFonts w:eastAsia="Arial" w:cstheme="minorHAnsi"/>
                <w:sz w:val="20"/>
                <w:szCs w:val="20"/>
              </w:rPr>
              <w:t>State, county, and city health department employees</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22E85A97" w14:textId="77777777">
            <w:pPr>
              <w:rPr>
                <w:rFonts w:eastAsia="Arial" w:cstheme="minorHAnsi"/>
                <w:sz w:val="20"/>
                <w:szCs w:val="20"/>
              </w:rPr>
            </w:pPr>
            <w:r>
              <w:rPr>
                <w:rFonts w:eastAsia="Arial" w:cstheme="minorHAnsi"/>
                <w:sz w:val="20"/>
                <w:szCs w:val="20"/>
              </w:rPr>
              <w:t>$40.82</w:t>
            </w:r>
          </w:p>
        </w:tc>
        <w:tc>
          <w:tcPr>
            <w:tcW w:w="1530" w:type="dxa"/>
            <w:tcBorders>
              <w:top w:val="single" w:sz="8" w:space="0" w:color="auto"/>
              <w:left w:val="single" w:sz="8" w:space="0" w:color="auto"/>
              <w:bottom w:val="single" w:sz="8" w:space="0" w:color="auto"/>
              <w:right w:val="single" w:sz="8" w:space="0" w:color="auto"/>
            </w:tcBorders>
          </w:tcPr>
          <w:p w:rsidR="003D3498" w:rsidRPr="00F77C61" w:rsidP="003D3498" w14:paraId="46E80B47" w14:textId="77777777">
            <w:pPr>
              <w:rPr>
                <w:rFonts w:eastAsia="Arial" w:cstheme="minorHAnsi"/>
                <w:sz w:val="20"/>
                <w:szCs w:val="20"/>
              </w:rPr>
            </w:pPr>
            <w:r>
              <w:rPr>
                <w:rFonts w:eastAsia="Arial" w:cstheme="minorHAnsi"/>
                <w:sz w:val="20"/>
                <w:szCs w:val="20"/>
              </w:rPr>
              <w:t>1</w:t>
            </w:r>
          </w:p>
        </w:tc>
        <w:tc>
          <w:tcPr>
            <w:tcW w:w="2070" w:type="dxa"/>
            <w:tcBorders>
              <w:top w:val="single" w:sz="8" w:space="0" w:color="auto"/>
              <w:left w:val="single" w:sz="8" w:space="0" w:color="auto"/>
              <w:bottom w:val="single" w:sz="8" w:space="0" w:color="auto"/>
              <w:right w:val="single" w:sz="8" w:space="0" w:color="auto"/>
            </w:tcBorders>
          </w:tcPr>
          <w:p w:rsidR="003D3498" w:rsidRPr="00F77C61" w:rsidP="003D3498" w14:paraId="4F057404" w14:textId="77777777">
            <w:pPr>
              <w:rPr>
                <w:rFonts w:eastAsia="Arial" w:cstheme="minorHAnsi"/>
                <w:sz w:val="20"/>
                <w:szCs w:val="20"/>
              </w:rPr>
            </w:pPr>
            <w:r>
              <w:rPr>
                <w:rFonts w:cstheme="minorHAnsi"/>
                <w:sz w:val="20"/>
                <w:szCs w:val="20"/>
              </w:rPr>
              <w:t>36</w:t>
            </w:r>
          </w:p>
        </w:tc>
        <w:tc>
          <w:tcPr>
            <w:tcW w:w="2430" w:type="dxa"/>
            <w:tcBorders>
              <w:top w:val="single" w:sz="8" w:space="0" w:color="auto"/>
              <w:left w:val="single" w:sz="8" w:space="0" w:color="auto"/>
              <w:bottom w:val="single" w:sz="8" w:space="0" w:color="auto"/>
              <w:right w:val="single" w:sz="8" w:space="0" w:color="auto"/>
            </w:tcBorders>
          </w:tcPr>
          <w:p w:rsidR="003D3498" w:rsidRPr="00F77C61" w:rsidP="003D3498" w14:paraId="1F409366" w14:textId="77777777">
            <w:pPr>
              <w:rPr>
                <w:rFonts w:eastAsia="Arial" w:cstheme="minorHAnsi"/>
                <w:sz w:val="20"/>
                <w:szCs w:val="20"/>
              </w:rPr>
            </w:pPr>
            <w:r>
              <w:rPr>
                <w:rFonts w:eastAsia="Arial" w:cstheme="minorHAnsi"/>
                <w:sz w:val="20"/>
                <w:szCs w:val="20"/>
              </w:rPr>
              <w:t>$</w:t>
            </w:r>
            <w:r w:rsidRPr="009047FA" w:rsidR="009047FA">
              <w:rPr>
                <w:rFonts w:eastAsia="Arial" w:cstheme="minorHAnsi"/>
                <w:sz w:val="20"/>
                <w:szCs w:val="20"/>
              </w:rPr>
              <w:t>1,469.52</w:t>
            </w:r>
          </w:p>
        </w:tc>
      </w:tr>
      <w:tr w14:paraId="06DFB89D" w14:textId="77777777" w:rsidTr="00925806">
        <w:tblPrEx>
          <w:tblW w:w="9350" w:type="dxa"/>
          <w:tblLayout w:type="fixed"/>
          <w:tblLook w:val="04A0"/>
        </w:tblPrEx>
        <w:tc>
          <w:tcPr>
            <w:tcW w:w="1790" w:type="dxa"/>
            <w:tcBorders>
              <w:top w:val="single" w:sz="8" w:space="0" w:color="auto"/>
              <w:left w:val="single" w:sz="8" w:space="0" w:color="auto"/>
              <w:bottom w:val="single" w:sz="8" w:space="0" w:color="auto"/>
              <w:right w:val="single" w:sz="8" w:space="0" w:color="auto"/>
            </w:tcBorders>
            <w:shd w:val="clear" w:color="auto" w:fill="000000" w:themeFill="text1"/>
          </w:tcPr>
          <w:p w:rsidR="00925806" w:rsidRPr="00F77C61" w:rsidP="17D80C04" w14:paraId="00E53373" w14:textId="77777777">
            <w:pPr>
              <w:rPr>
                <w:rFonts w:eastAsia="Arial" w:cstheme="minorHAnsi"/>
                <w:b/>
                <w:bCs/>
                <w:sz w:val="20"/>
                <w:szCs w:val="20"/>
              </w:rPr>
            </w:pPr>
            <w:r w:rsidRPr="00F77C61">
              <w:rPr>
                <w:rFonts w:eastAsia="Arial" w:cstheme="minorHAnsi"/>
                <w:b/>
                <w:bCs/>
                <w:sz w:val="20"/>
                <w:szCs w:val="20"/>
              </w:rPr>
              <w:t>TOTAL</w:t>
            </w:r>
          </w:p>
        </w:tc>
        <w:tc>
          <w:tcPr>
            <w:tcW w:w="1530" w:type="dxa"/>
            <w:tcBorders>
              <w:top w:val="single" w:sz="8" w:space="0" w:color="auto"/>
              <w:left w:val="single" w:sz="8" w:space="0" w:color="auto"/>
              <w:bottom w:val="single" w:sz="8" w:space="0" w:color="auto"/>
              <w:right w:val="single" w:sz="8" w:space="0" w:color="auto"/>
            </w:tcBorders>
            <w:shd w:val="clear" w:color="auto" w:fill="000000" w:themeFill="text1"/>
          </w:tcPr>
          <w:p w:rsidR="00925806" w:rsidRPr="00F77C61" w:rsidP="17D80C04" w14:paraId="73F37D85" w14:textId="77777777">
            <w:pPr>
              <w:rPr>
                <w:rFonts w:eastAsia="Arial" w:cstheme="minorHAnsi"/>
                <w:sz w:val="20"/>
                <w:szCs w:val="20"/>
              </w:rPr>
            </w:pPr>
            <w:r w:rsidRPr="00F77C61">
              <w:rPr>
                <w:rFonts w:eastAsia="Arial" w:cstheme="minorHAnsi"/>
                <w:sz w:val="20"/>
                <w:szCs w:val="20"/>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000000" w:themeFill="text1"/>
          </w:tcPr>
          <w:p w:rsidR="00925806" w:rsidRPr="00F77C61" w:rsidP="17D80C04" w14:paraId="5F2340BD" w14:textId="77777777">
            <w:pPr>
              <w:rPr>
                <w:rFonts w:eastAsia="Arial" w:cstheme="minorHAnsi"/>
                <w:sz w:val="20"/>
                <w:szCs w:val="20"/>
              </w:rPr>
            </w:pPr>
          </w:p>
        </w:tc>
        <w:tc>
          <w:tcPr>
            <w:tcW w:w="2070" w:type="dxa"/>
            <w:tcBorders>
              <w:top w:val="single" w:sz="8" w:space="0" w:color="auto"/>
              <w:left w:val="single" w:sz="8" w:space="0" w:color="auto"/>
              <w:bottom w:val="single" w:sz="8" w:space="0" w:color="auto"/>
              <w:right w:val="single" w:sz="8" w:space="0" w:color="auto"/>
            </w:tcBorders>
            <w:shd w:val="clear" w:color="auto" w:fill="000000" w:themeFill="text1"/>
          </w:tcPr>
          <w:p w:rsidR="00925806" w:rsidRPr="00F77C61" w:rsidP="17D80C04" w14:paraId="66778DEA" w14:textId="77777777">
            <w:pPr>
              <w:rPr>
                <w:rFonts w:eastAsia="Arial" w:cstheme="minorHAnsi"/>
                <w:sz w:val="20"/>
                <w:szCs w:val="20"/>
              </w:rPr>
            </w:pPr>
            <w:r w:rsidRPr="00F77C61">
              <w:rPr>
                <w:rFonts w:eastAsia="Arial" w:cstheme="minorHAnsi"/>
                <w:sz w:val="20"/>
                <w:szCs w:val="20"/>
              </w:rPr>
              <w:t xml:space="preserve"> </w:t>
            </w:r>
          </w:p>
        </w:tc>
        <w:tc>
          <w:tcPr>
            <w:tcW w:w="2430" w:type="dxa"/>
            <w:tcBorders>
              <w:top w:val="single" w:sz="8" w:space="0" w:color="auto"/>
              <w:left w:val="single" w:sz="8" w:space="0" w:color="auto"/>
              <w:bottom w:val="single" w:sz="8" w:space="0" w:color="auto"/>
              <w:right w:val="single" w:sz="8" w:space="0" w:color="auto"/>
            </w:tcBorders>
            <w:shd w:val="clear" w:color="auto" w:fill="000000" w:themeFill="text1"/>
          </w:tcPr>
          <w:p w:rsidR="00226C90" w:rsidRPr="00F77C61" w:rsidP="00B327C5" w14:paraId="138C427F" w14:textId="77777777">
            <w:pPr>
              <w:rPr>
                <w:rFonts w:eastAsia="Arial" w:cstheme="minorHAnsi"/>
                <w:b/>
                <w:bCs/>
                <w:sz w:val="20"/>
                <w:szCs w:val="20"/>
              </w:rPr>
            </w:pPr>
            <w:r>
              <w:rPr>
                <w:rFonts w:eastAsia="Arial" w:cstheme="minorHAnsi"/>
                <w:b/>
                <w:bCs/>
                <w:sz w:val="20"/>
                <w:szCs w:val="20"/>
              </w:rPr>
              <w:t>$</w:t>
            </w:r>
            <w:r>
              <w:rPr>
                <w:rFonts w:eastAsia="Arial" w:cstheme="minorHAnsi"/>
                <w:b/>
                <w:bCs/>
                <w:sz w:val="20"/>
                <w:szCs w:val="20"/>
              </w:rPr>
              <w:t>5,730.92</w:t>
            </w:r>
          </w:p>
        </w:tc>
      </w:tr>
    </w:tbl>
    <w:p w:rsidR="17D80C04" w:rsidRPr="00F77C61" w:rsidP="17D80C04" w14:paraId="4FBA1489" w14:textId="77777777">
      <w:pPr>
        <w:spacing w:after="0" w:line="240" w:lineRule="auto"/>
        <w:rPr>
          <w:rFonts w:eastAsia="Times New Roman" w:cstheme="minorHAnsi"/>
          <w:sz w:val="24"/>
          <w:szCs w:val="24"/>
        </w:rPr>
      </w:pPr>
    </w:p>
    <w:p w:rsidR="00B674C8" w:rsidP="17D80C04" w14:paraId="30B299C5" w14:textId="77777777">
      <w:pPr>
        <w:pStyle w:val="Heading1"/>
        <w:spacing w:before="0"/>
        <w:ind w:left="360" w:hanging="360"/>
        <w:rPr>
          <w:rFonts w:asciiTheme="minorHAnsi" w:hAnsiTheme="minorHAnsi" w:cstheme="minorHAnsi"/>
          <w:b/>
          <w:bCs/>
          <w:color w:val="auto"/>
          <w:sz w:val="24"/>
          <w:szCs w:val="24"/>
        </w:rPr>
      </w:pPr>
    </w:p>
    <w:p w:rsidR="00CD5486" w:rsidRPr="00F77C61" w:rsidP="17D80C04" w14:paraId="4EC1F7C7" w14:textId="77777777">
      <w:pPr>
        <w:pStyle w:val="Heading1"/>
        <w:spacing w:before="0"/>
        <w:ind w:left="360" w:hanging="360"/>
        <w:rPr>
          <w:rFonts w:asciiTheme="minorHAnsi" w:hAnsiTheme="minorHAnsi" w:cstheme="minorHAnsi"/>
          <w:b/>
          <w:bCs/>
          <w:color w:val="auto"/>
          <w:sz w:val="24"/>
          <w:szCs w:val="24"/>
        </w:rPr>
      </w:pPr>
      <w:r w:rsidRPr="00F77C61">
        <w:rPr>
          <w:rFonts w:asciiTheme="minorHAnsi" w:hAnsiTheme="minorHAnsi" w:cstheme="minorHAnsi"/>
          <w:b/>
          <w:bCs/>
          <w:color w:val="auto"/>
          <w:sz w:val="24"/>
          <w:szCs w:val="24"/>
        </w:rPr>
        <w:t>13. Estimates of Other Total Cost Burden to Respondents or Record Keepers</w:t>
      </w:r>
    </w:p>
    <w:p w:rsidR="00512382" w:rsidRPr="00F77C61" w:rsidP="33725EA2" w14:paraId="024B65A3" w14:textId="77777777">
      <w:pPr>
        <w:spacing w:after="0" w:line="240" w:lineRule="auto"/>
        <w:rPr>
          <w:rFonts w:cstheme="minorHAnsi"/>
          <w:sz w:val="16"/>
          <w:szCs w:val="16"/>
        </w:rPr>
      </w:pPr>
    </w:p>
    <w:p w:rsidR="002F5261" w:rsidRPr="00D62777" w:rsidP="002F5261" w14:paraId="2186D79D" w14:textId="77777777">
      <w:r w:rsidRPr="00D62777">
        <w:t xml:space="preserve">There are no other costs to </w:t>
      </w:r>
      <w:r>
        <w:t>respondents</w:t>
      </w:r>
      <w:r w:rsidRPr="00D62777">
        <w:t xml:space="preserve"> or record keepers. There will be no direct cost to the </w:t>
      </w:r>
      <w:r>
        <w:t>respondents</w:t>
      </w:r>
      <w:r w:rsidRPr="00D62777">
        <w:t xml:space="preserve"> other than their time to participate in the data collection activity.</w:t>
      </w:r>
    </w:p>
    <w:p w:rsidR="00CD5486" w:rsidRPr="00F77C61" w:rsidP="54D60E07" w14:paraId="4D0A5AC2" w14:textId="77777777">
      <w:pPr>
        <w:spacing w:after="0"/>
        <w:rPr>
          <w:rFonts w:cstheme="minorHAnsi"/>
        </w:rPr>
      </w:pPr>
    </w:p>
    <w:p w:rsidR="00CD5486" w:rsidRPr="00F77C61" w:rsidP="17D80C04" w14:paraId="2148A237" w14:textId="77777777">
      <w:pPr>
        <w:pStyle w:val="Heading1"/>
        <w:spacing w:before="0" w:line="240" w:lineRule="auto"/>
        <w:rPr>
          <w:rFonts w:asciiTheme="minorHAnsi" w:hAnsiTheme="minorHAnsi" w:cstheme="minorHAnsi"/>
          <w:b/>
          <w:bCs/>
          <w:color w:val="auto"/>
          <w:sz w:val="24"/>
          <w:szCs w:val="24"/>
        </w:rPr>
      </w:pPr>
      <w:r w:rsidRPr="00F77C61">
        <w:rPr>
          <w:rFonts w:asciiTheme="minorHAnsi" w:hAnsiTheme="minorHAnsi" w:cstheme="minorHAnsi"/>
          <w:b/>
          <w:bCs/>
          <w:color w:val="auto"/>
          <w:sz w:val="24"/>
          <w:szCs w:val="24"/>
        </w:rPr>
        <w:t>14. Cost to the Government</w:t>
      </w:r>
    </w:p>
    <w:p w:rsidR="00957763" w:rsidP="00D054F9" w14:paraId="7A83D45F" w14:textId="77777777">
      <w:pPr>
        <w:pStyle w:val="NormalWeb"/>
        <w:spacing w:before="0" w:beforeAutospacing="0" w:after="0"/>
        <w:rPr>
          <w:rFonts w:asciiTheme="minorHAnsi" w:hAnsiTheme="minorHAnsi" w:cstheme="minorHAnsi"/>
          <w:b/>
          <w:sz w:val="20"/>
          <w:szCs w:val="20"/>
        </w:rPr>
      </w:pPr>
    </w:p>
    <w:p w:rsidR="00CA3266" w:rsidRPr="00B327C5" w:rsidP="00D054F9" w14:paraId="2E7729CA" w14:textId="77777777">
      <w:pPr>
        <w:pStyle w:val="NormalWeb"/>
        <w:spacing w:before="0" w:beforeAutospacing="0" w:after="0"/>
        <w:rPr>
          <w:rFonts w:asciiTheme="minorHAnsi" w:hAnsiTheme="minorHAnsi" w:cstheme="minorHAnsi"/>
          <w:bCs/>
          <w:sz w:val="22"/>
          <w:szCs w:val="22"/>
        </w:rPr>
      </w:pPr>
      <w:r w:rsidRPr="00B327C5">
        <w:rPr>
          <w:rFonts w:asciiTheme="minorHAnsi" w:hAnsiTheme="minorHAnsi" w:cstheme="minorHAnsi"/>
          <w:bCs/>
          <w:sz w:val="22"/>
          <w:szCs w:val="22"/>
        </w:rPr>
        <w:t xml:space="preserve">The </w:t>
      </w:r>
      <w:r w:rsidR="008D40C5">
        <w:rPr>
          <w:rFonts w:asciiTheme="minorHAnsi" w:hAnsiTheme="minorHAnsi" w:cstheme="minorHAnsi"/>
          <w:bCs/>
          <w:sz w:val="22"/>
          <w:szCs w:val="22"/>
        </w:rPr>
        <w:t>total cost to the government is $</w:t>
      </w:r>
      <w:r w:rsidR="00D46101">
        <w:rPr>
          <w:rFonts w:asciiTheme="minorHAnsi" w:hAnsiTheme="minorHAnsi" w:cstheme="minorHAnsi"/>
          <w:bCs/>
          <w:sz w:val="22"/>
          <w:szCs w:val="22"/>
        </w:rPr>
        <w:t>130</w:t>
      </w:r>
      <w:r w:rsidR="008D40C5">
        <w:rPr>
          <w:rFonts w:asciiTheme="minorHAnsi" w:hAnsiTheme="minorHAnsi" w:cstheme="minorHAnsi"/>
          <w:bCs/>
          <w:sz w:val="22"/>
          <w:szCs w:val="22"/>
        </w:rPr>
        <w:t>,000</w:t>
      </w:r>
      <w:r w:rsidRPr="00B327C5">
        <w:rPr>
          <w:rFonts w:asciiTheme="minorHAnsi" w:hAnsiTheme="minorHAnsi" w:cstheme="minorHAnsi"/>
          <w:bCs/>
          <w:sz w:val="22"/>
          <w:szCs w:val="22"/>
        </w:rPr>
        <w:t xml:space="preserve"> over two years. </w:t>
      </w:r>
    </w:p>
    <w:p w:rsidR="002F5261" w:rsidRPr="00F77C61" w:rsidP="00D054F9" w14:paraId="2C8AE5CD" w14:textId="77777777">
      <w:pPr>
        <w:pStyle w:val="NormalWeb"/>
        <w:spacing w:before="0" w:beforeAutospacing="0"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850"/>
        <w:gridCol w:w="1890"/>
      </w:tblGrid>
      <w:tr w14:paraId="6510206B" w14:textId="77777777" w:rsidTr="1EF06212">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5"/>
          <w:tblHeader/>
        </w:trPr>
        <w:tc>
          <w:tcPr>
            <w:tcW w:w="1620" w:type="dxa"/>
            <w:shd w:val="clear" w:color="auto" w:fill="D0CECE" w:themeFill="background2" w:themeFillShade="E6"/>
            <w:vAlign w:val="center"/>
          </w:tcPr>
          <w:p w:rsidR="00CD5486" w:rsidRPr="00F77C61" w:rsidP="008A51F9" w14:paraId="679EC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0"/>
                <w:szCs w:val="20"/>
              </w:rPr>
            </w:pPr>
            <w:r w:rsidRPr="00F77C61">
              <w:rPr>
                <w:rFonts w:cstheme="minorHAnsi"/>
                <w:b/>
                <w:sz w:val="20"/>
                <w:szCs w:val="20"/>
              </w:rPr>
              <w:t>Expense Type</w:t>
            </w:r>
          </w:p>
        </w:tc>
        <w:tc>
          <w:tcPr>
            <w:tcW w:w="5850" w:type="dxa"/>
            <w:shd w:val="clear" w:color="auto" w:fill="D0CECE" w:themeFill="background2" w:themeFillShade="E6"/>
            <w:vAlign w:val="center"/>
          </w:tcPr>
          <w:p w:rsidR="00CD5486" w:rsidRPr="00F77C61" w:rsidP="008A51F9" w14:paraId="50F40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sz w:val="20"/>
                <w:szCs w:val="20"/>
              </w:rPr>
            </w:pPr>
            <w:r w:rsidRPr="00F77C61">
              <w:rPr>
                <w:rFonts w:cstheme="minorHAnsi"/>
                <w:b/>
                <w:sz w:val="20"/>
                <w:szCs w:val="20"/>
              </w:rPr>
              <w:t>Expense Explanation</w:t>
            </w:r>
          </w:p>
        </w:tc>
        <w:tc>
          <w:tcPr>
            <w:tcW w:w="1890" w:type="dxa"/>
            <w:shd w:val="clear" w:color="auto" w:fill="D0CECE" w:themeFill="background2" w:themeFillShade="E6"/>
            <w:vAlign w:val="center"/>
          </w:tcPr>
          <w:p w:rsidR="00CD5486" w:rsidRPr="00F77C61" w:rsidP="008A51F9" w14:paraId="3C24A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0"/>
                <w:szCs w:val="20"/>
              </w:rPr>
            </w:pPr>
            <w:r>
              <w:rPr>
                <w:rFonts w:cstheme="minorHAnsi"/>
                <w:b/>
                <w:sz w:val="20"/>
                <w:szCs w:val="20"/>
              </w:rPr>
              <w:t>Two-year</w:t>
            </w:r>
            <w:r w:rsidRPr="00F77C61">
              <w:rPr>
                <w:rFonts w:cstheme="minorHAnsi"/>
                <w:b/>
                <w:sz w:val="20"/>
                <w:szCs w:val="20"/>
              </w:rPr>
              <w:t xml:space="preserve"> Costs (dollars)</w:t>
            </w:r>
          </w:p>
        </w:tc>
      </w:tr>
      <w:tr w14:paraId="7885125A" w14:textId="77777777" w:rsidTr="1EF06212">
        <w:tblPrEx>
          <w:tblW w:w="9360" w:type="dxa"/>
          <w:tblInd w:w="-5" w:type="dxa"/>
          <w:tblLook w:val="01E0"/>
        </w:tblPrEx>
        <w:trPr>
          <w:trHeight w:val="479"/>
        </w:trPr>
        <w:tc>
          <w:tcPr>
            <w:tcW w:w="1620" w:type="dxa"/>
          </w:tcPr>
          <w:p w:rsidR="003F065E" w:rsidRPr="00F77C61" w:rsidP="67AC4A89" w14:paraId="36B89D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F77C61">
              <w:rPr>
                <w:rFonts w:cstheme="minorHAnsi"/>
                <w:sz w:val="20"/>
                <w:szCs w:val="20"/>
              </w:rPr>
              <w:t xml:space="preserve">Personnel Salary </w:t>
            </w:r>
          </w:p>
        </w:tc>
        <w:tc>
          <w:tcPr>
            <w:tcW w:w="5850" w:type="dxa"/>
            <w:vAlign w:val="center"/>
          </w:tcPr>
          <w:p w:rsidR="003F065E" w:rsidRPr="00F77C61" w:rsidP="1EF06212" w14:paraId="638903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highlight w:val="yellow"/>
              </w:rPr>
            </w:pPr>
            <w:r w:rsidRPr="00D7390C">
              <w:rPr>
                <w:sz w:val="20"/>
                <w:szCs w:val="20"/>
              </w:rPr>
              <w:t>CDC Project Officer (GS-</w:t>
            </w:r>
            <w:r w:rsidRPr="00D7390C" w:rsidR="2FB127A3">
              <w:rPr>
                <w:sz w:val="20"/>
                <w:szCs w:val="20"/>
              </w:rPr>
              <w:t>12</w:t>
            </w:r>
            <w:r w:rsidRPr="00D7390C">
              <w:rPr>
                <w:sz w:val="20"/>
                <w:szCs w:val="20"/>
              </w:rPr>
              <w:t>, 0.</w:t>
            </w:r>
            <w:r w:rsidRPr="00D7390C" w:rsidR="41907661">
              <w:rPr>
                <w:sz w:val="20"/>
                <w:szCs w:val="20"/>
              </w:rPr>
              <w:t>15</w:t>
            </w:r>
            <w:r w:rsidRPr="00D7390C">
              <w:rPr>
                <w:sz w:val="20"/>
                <w:szCs w:val="20"/>
              </w:rPr>
              <w:t xml:space="preserve"> FTE)</w:t>
            </w:r>
          </w:p>
        </w:tc>
        <w:tc>
          <w:tcPr>
            <w:tcW w:w="1890" w:type="dxa"/>
            <w:vAlign w:val="center"/>
          </w:tcPr>
          <w:p w:rsidR="003F065E" w:rsidRPr="00F77C61" w:rsidP="192C1DD9" w14:paraId="1A48DE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1EF06212">
              <w:rPr>
                <w:sz w:val="20"/>
                <w:szCs w:val="20"/>
              </w:rPr>
              <w:t>$</w:t>
            </w:r>
            <w:r w:rsidR="00D46101">
              <w:rPr>
                <w:sz w:val="20"/>
                <w:szCs w:val="20"/>
              </w:rPr>
              <w:t>30</w:t>
            </w:r>
            <w:r w:rsidRPr="1EF06212">
              <w:rPr>
                <w:sz w:val="20"/>
                <w:szCs w:val="20"/>
              </w:rPr>
              <w:t>,000</w:t>
            </w:r>
          </w:p>
        </w:tc>
      </w:tr>
      <w:tr w14:paraId="2183E994" w14:textId="77777777" w:rsidTr="1EF06212">
        <w:tblPrEx>
          <w:tblW w:w="9360" w:type="dxa"/>
          <w:tblInd w:w="-5" w:type="dxa"/>
          <w:tblLook w:val="01E0"/>
        </w:tblPrEx>
        <w:trPr>
          <w:trHeight w:val="462"/>
        </w:trPr>
        <w:tc>
          <w:tcPr>
            <w:tcW w:w="1620" w:type="dxa"/>
          </w:tcPr>
          <w:p w:rsidR="003F065E" w:rsidRPr="00F77C61" w:rsidP="67AC4A89" w14:paraId="241DF3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sidRPr="00F77C61">
              <w:rPr>
                <w:rFonts w:cstheme="minorHAnsi"/>
                <w:sz w:val="20"/>
                <w:szCs w:val="20"/>
              </w:rPr>
              <w:t>Contract</w:t>
            </w:r>
          </w:p>
        </w:tc>
        <w:tc>
          <w:tcPr>
            <w:tcW w:w="5850" w:type="dxa"/>
            <w:vAlign w:val="center"/>
          </w:tcPr>
          <w:p w:rsidR="003F065E" w:rsidRPr="00F77C61" w:rsidP="003F065E" w14:paraId="2C12F8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r>
              <w:rPr>
                <w:rFonts w:cstheme="minorHAnsi"/>
                <w:sz w:val="20"/>
                <w:szCs w:val="20"/>
              </w:rPr>
              <w:t>Recruit</w:t>
            </w:r>
            <w:r w:rsidR="00CA3266">
              <w:rPr>
                <w:rFonts w:cstheme="minorHAnsi"/>
                <w:sz w:val="20"/>
                <w:szCs w:val="20"/>
              </w:rPr>
              <w:t xml:space="preserve"> participants, schedule interviews, and pay out</w:t>
            </w:r>
            <w:r>
              <w:rPr>
                <w:rFonts w:cstheme="minorHAnsi"/>
                <w:sz w:val="20"/>
                <w:szCs w:val="20"/>
              </w:rPr>
              <w:t xml:space="preserve"> incentives </w:t>
            </w:r>
          </w:p>
        </w:tc>
        <w:tc>
          <w:tcPr>
            <w:tcW w:w="1890" w:type="dxa"/>
            <w:vAlign w:val="center"/>
          </w:tcPr>
          <w:p w:rsidR="003F065E" w:rsidRPr="00F77C61" w:rsidP="3190BAA1" w14:paraId="6EDCA3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w:t>
            </w:r>
            <w:r w:rsidR="00D46101">
              <w:rPr>
                <w:sz w:val="20"/>
                <w:szCs w:val="20"/>
              </w:rPr>
              <w:t>10</w:t>
            </w:r>
            <w:r w:rsidR="00CA3266">
              <w:rPr>
                <w:sz w:val="20"/>
                <w:szCs w:val="20"/>
              </w:rPr>
              <w:t>0</w:t>
            </w:r>
            <w:r>
              <w:rPr>
                <w:sz w:val="20"/>
                <w:szCs w:val="20"/>
              </w:rPr>
              <w:t>,000</w:t>
            </w:r>
          </w:p>
        </w:tc>
      </w:tr>
      <w:tr w14:paraId="6FF81564" w14:textId="77777777" w:rsidTr="1EF06212">
        <w:tblPrEx>
          <w:tblW w:w="9360" w:type="dxa"/>
          <w:tblInd w:w="-5" w:type="dxa"/>
          <w:tblLook w:val="01E0"/>
        </w:tblPrEx>
        <w:trPr>
          <w:trHeight w:val="462"/>
        </w:trPr>
        <w:tc>
          <w:tcPr>
            <w:tcW w:w="1620" w:type="dxa"/>
          </w:tcPr>
          <w:p w:rsidR="003F065E" w:rsidRPr="00F77C61" w:rsidP="003F065E" w14:paraId="5CA495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sz w:val="20"/>
                <w:szCs w:val="20"/>
              </w:rPr>
            </w:pPr>
          </w:p>
        </w:tc>
        <w:tc>
          <w:tcPr>
            <w:tcW w:w="5850" w:type="dxa"/>
          </w:tcPr>
          <w:p w:rsidR="003F065E" w:rsidRPr="00F77C61" w:rsidP="003F065E" w14:paraId="311A6F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20"/>
                <w:szCs w:val="20"/>
              </w:rPr>
            </w:pPr>
            <w:r w:rsidRPr="00F77C61">
              <w:rPr>
                <w:rFonts w:cstheme="minorHAnsi"/>
                <w:b/>
                <w:sz w:val="20"/>
                <w:szCs w:val="20"/>
              </w:rPr>
              <w:t>TOTAL COST TO THE GOVERNMENT</w:t>
            </w:r>
          </w:p>
        </w:tc>
        <w:tc>
          <w:tcPr>
            <w:tcW w:w="1890" w:type="dxa"/>
          </w:tcPr>
          <w:p w:rsidR="003F065E" w:rsidRPr="00F77C61" w:rsidP="67AC4A89" w14:paraId="5E2296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0"/>
                <w:szCs w:val="20"/>
              </w:rPr>
            </w:pPr>
            <w:r>
              <w:rPr>
                <w:rFonts w:cstheme="minorHAnsi"/>
                <w:b/>
                <w:bCs/>
                <w:sz w:val="20"/>
                <w:szCs w:val="20"/>
              </w:rPr>
              <w:t>$</w:t>
            </w:r>
            <w:r w:rsidR="0086180C">
              <w:rPr>
                <w:rFonts w:cstheme="minorHAnsi"/>
                <w:b/>
                <w:bCs/>
                <w:sz w:val="20"/>
                <w:szCs w:val="20"/>
              </w:rPr>
              <w:t>130</w:t>
            </w:r>
            <w:r w:rsidR="00BD6DCC">
              <w:rPr>
                <w:rFonts w:cstheme="minorHAnsi"/>
                <w:b/>
                <w:bCs/>
                <w:sz w:val="20"/>
                <w:szCs w:val="20"/>
              </w:rPr>
              <w:t>,000</w:t>
            </w:r>
          </w:p>
        </w:tc>
      </w:tr>
    </w:tbl>
    <w:p w:rsidR="00D054F9" w:rsidP="54D60E07" w14:paraId="1B5984CF" w14:textId="77777777">
      <w:pPr>
        <w:rPr>
          <w:rFonts w:cstheme="minorHAnsi"/>
          <w:sz w:val="25"/>
          <w:szCs w:val="25"/>
        </w:rPr>
      </w:pPr>
    </w:p>
    <w:p w:rsidR="008A5034" w:rsidRPr="00F77C61" w:rsidP="54D60E07" w14:paraId="5448A6D4" w14:textId="77777777">
      <w:pPr>
        <w:rPr>
          <w:rFonts w:cstheme="minorHAnsi"/>
          <w:b/>
          <w:bCs/>
          <w:sz w:val="24"/>
          <w:szCs w:val="24"/>
        </w:rPr>
      </w:pPr>
      <w:r w:rsidRPr="00F77C61">
        <w:rPr>
          <w:rFonts w:cstheme="minorHAnsi"/>
          <w:b/>
          <w:bCs/>
          <w:sz w:val="24"/>
          <w:szCs w:val="24"/>
        </w:rPr>
        <w:t>15. Explanation for Program Changes or Adjustments</w:t>
      </w:r>
    </w:p>
    <w:p w:rsidR="004F594D" w:rsidP="004F594D" w14:paraId="0235049C" w14:textId="77777777">
      <w:pPr>
        <w:spacing w:line="257" w:lineRule="auto"/>
        <w:rPr>
          <w:rFonts w:ascii="Calibri" w:eastAsia="Calibri" w:hAnsi="Calibri" w:cs="Calibri"/>
        </w:rPr>
      </w:pPr>
      <w:r>
        <w:t>This is a request for approval of a genIC data collection under the currently approved GENERIC (0920-1154) for a period of two years.</w:t>
      </w:r>
    </w:p>
    <w:p w:rsidR="0093668E" w:rsidRPr="00F77C61" w:rsidP="00432A41" w14:paraId="46FE963C" w14:textId="77777777"/>
    <w:p w:rsidR="00EC0854" w:rsidRPr="00F77C61" w:rsidP="003E2335" w14:paraId="2FD6532B" w14:textId="77777777">
      <w:pPr>
        <w:pStyle w:val="Heading1"/>
        <w:rPr>
          <w:rFonts w:asciiTheme="minorHAnsi" w:hAnsiTheme="minorHAnsi" w:cstheme="minorHAnsi"/>
          <w:b/>
          <w:color w:val="auto"/>
          <w:sz w:val="24"/>
          <w:szCs w:val="24"/>
        </w:rPr>
      </w:pPr>
      <w:r w:rsidRPr="00F77C61">
        <w:rPr>
          <w:rFonts w:asciiTheme="minorHAnsi" w:eastAsiaTheme="minorEastAsia" w:hAnsiTheme="minorHAnsi" w:cstheme="minorHAnsi"/>
          <w:b/>
          <w:color w:val="auto"/>
          <w:sz w:val="24"/>
          <w:szCs w:val="24"/>
        </w:rPr>
        <w:t xml:space="preserve">16. </w:t>
      </w:r>
      <w:r w:rsidRPr="00F77C61">
        <w:rPr>
          <w:rFonts w:asciiTheme="minorHAnsi" w:hAnsiTheme="minorHAnsi" w:cstheme="minorHAnsi"/>
          <w:b/>
          <w:color w:val="auto"/>
          <w:sz w:val="24"/>
          <w:szCs w:val="24"/>
        </w:rPr>
        <w:t>Plans for Tabulation and Publication and Project Time Schedule</w:t>
      </w:r>
    </w:p>
    <w:p w:rsidR="00D054F9" w:rsidRPr="003F6B96" w:rsidP="003E2335" w14:paraId="4C415B28" w14:textId="77777777">
      <w:pPr>
        <w:spacing w:after="0"/>
        <w:rPr>
          <w:rStyle w:val="Strong"/>
          <w:rFonts w:cstheme="minorHAnsi"/>
          <w:sz w:val="20"/>
          <w:szCs w:val="20"/>
        </w:rPr>
      </w:pPr>
    </w:p>
    <w:p w:rsidR="00D054F9" w:rsidP="2A1753C8" w14:paraId="0252F2C3" w14:textId="77777777">
      <w:pPr>
        <w:spacing w:after="0"/>
        <w:rPr>
          <w:rStyle w:val="Strong"/>
          <w:b w:val="0"/>
          <w:bCs w:val="0"/>
        </w:rPr>
      </w:pPr>
      <w:r w:rsidRPr="1EF06212">
        <w:rPr>
          <w:rStyle w:val="Strong"/>
          <w:b w:val="0"/>
          <w:bCs w:val="0"/>
        </w:rPr>
        <w:t xml:space="preserve">The following schedule </w:t>
      </w:r>
      <w:r w:rsidRPr="1EF06212" w:rsidR="00A52346">
        <w:rPr>
          <w:rStyle w:val="Strong"/>
          <w:b w:val="0"/>
          <w:bCs w:val="0"/>
        </w:rPr>
        <w:t xml:space="preserve">of deliverables is in the </w:t>
      </w:r>
      <w:r w:rsidRPr="1EF06212" w:rsidR="00356416">
        <w:rPr>
          <w:rStyle w:val="Strong"/>
          <w:b w:val="0"/>
          <w:bCs w:val="0"/>
        </w:rPr>
        <w:t>contract</w:t>
      </w:r>
      <w:r w:rsidRPr="1EF06212" w:rsidR="00B40263">
        <w:rPr>
          <w:rStyle w:val="Strong"/>
          <w:b w:val="0"/>
          <w:bCs w:val="0"/>
        </w:rPr>
        <w:t>.</w:t>
      </w:r>
    </w:p>
    <w:p w:rsidR="00A52346" w:rsidP="003E2335" w14:paraId="4337E587" w14:textId="77777777">
      <w:pPr>
        <w:spacing w:after="0"/>
        <w:rPr>
          <w:rStyle w:val="Strong"/>
          <w:rFonts w:cstheme="minorHAnsi"/>
          <w:b w:val="0"/>
          <w:bCs w:val="0"/>
        </w:rPr>
      </w:pPr>
    </w:p>
    <w:p w:rsidR="00A52346" w:rsidP="003E2335" w14:paraId="526D38D9" w14:textId="77777777">
      <w:pPr>
        <w:spacing w:after="0"/>
        <w:rPr>
          <w:rStyle w:val="Strong"/>
          <w:rFonts w:cstheme="minorHAnsi"/>
          <w:b w:val="0"/>
          <w:bCs w:val="0"/>
        </w:rPr>
      </w:pPr>
    </w:p>
    <w:tbl>
      <w:tblPr>
        <w:tblStyle w:val="TableGrid2"/>
        <w:tblW w:w="4521" w:type="pct"/>
        <w:tblLook w:val="04A0"/>
      </w:tblPr>
      <w:tblGrid>
        <w:gridCol w:w="1421"/>
        <w:gridCol w:w="2715"/>
        <w:gridCol w:w="4318"/>
      </w:tblGrid>
      <w:tr w14:paraId="331A1640" w14:textId="77777777" w:rsidTr="00C30E5A">
        <w:tblPrEx>
          <w:tblW w:w="4521" w:type="pct"/>
          <w:tblLook w:val="04A0"/>
        </w:tblPrEx>
        <w:trPr>
          <w:cantSplit/>
          <w:tblHeader/>
        </w:trPr>
        <w:tc>
          <w:tcPr>
            <w:tcW w:w="840" w:type="pct"/>
          </w:tcPr>
          <w:p w:rsidR="00A43893" w:rsidP="004E34EB" w14:paraId="432AAE47" w14:textId="77777777">
            <w:pPr>
              <w:rPr>
                <w:rFonts w:eastAsia="Times New Roman" w:cs="Times New Roman"/>
                <w:b/>
                <w:bCs/>
                <w:color w:val="000000" w:themeColor="text1"/>
                <w:spacing w:val="-1"/>
                <w:szCs w:val="20"/>
              </w:rPr>
            </w:pPr>
            <w:r>
              <w:rPr>
                <w:rFonts w:eastAsia="Times New Roman" w:cs="Times New Roman"/>
                <w:b/>
                <w:bCs/>
                <w:color w:val="000000" w:themeColor="text1"/>
                <w:spacing w:val="-1"/>
                <w:szCs w:val="20"/>
              </w:rPr>
              <w:t>Audience</w:t>
            </w:r>
          </w:p>
        </w:tc>
        <w:tc>
          <w:tcPr>
            <w:tcW w:w="1606" w:type="pct"/>
          </w:tcPr>
          <w:p w:rsidR="00A43893" w:rsidP="004E34EB" w14:paraId="576CC4A4" w14:textId="77777777">
            <w:pPr>
              <w:rPr>
                <w:rFonts w:eastAsia="Times New Roman" w:cs="Times New Roman"/>
                <w:b/>
                <w:bCs/>
                <w:color w:val="000000" w:themeColor="text1"/>
                <w:spacing w:val="-1"/>
                <w:szCs w:val="20"/>
              </w:rPr>
            </w:pPr>
            <w:r>
              <w:rPr>
                <w:rFonts w:eastAsia="Times New Roman" w:cs="Times New Roman"/>
                <w:b/>
                <w:bCs/>
                <w:color w:val="000000" w:themeColor="text1"/>
                <w:spacing w:val="-1"/>
                <w:szCs w:val="20"/>
              </w:rPr>
              <w:t>Deliverable</w:t>
            </w:r>
          </w:p>
        </w:tc>
        <w:tc>
          <w:tcPr>
            <w:tcW w:w="2554" w:type="pct"/>
          </w:tcPr>
          <w:p w:rsidR="00A43893" w:rsidP="004E34EB" w14:paraId="02C0A22C" w14:textId="77777777">
            <w:pPr>
              <w:rPr>
                <w:rFonts w:eastAsia="Times New Roman" w:cs="Times New Roman"/>
                <w:b/>
                <w:bCs/>
                <w:color w:val="000000" w:themeColor="text1"/>
                <w:spacing w:val="-1"/>
                <w:szCs w:val="20"/>
              </w:rPr>
            </w:pPr>
            <w:r>
              <w:rPr>
                <w:rFonts w:eastAsia="Times New Roman" w:cs="Times New Roman"/>
                <w:b/>
                <w:bCs/>
                <w:color w:val="000000" w:themeColor="text1"/>
                <w:spacing w:val="-1"/>
                <w:szCs w:val="20"/>
              </w:rPr>
              <w:t>Due Date</w:t>
            </w:r>
          </w:p>
        </w:tc>
      </w:tr>
      <w:tr w14:paraId="57B46B7D" w14:textId="77777777" w:rsidTr="00C30E5A">
        <w:tblPrEx>
          <w:tblW w:w="4521" w:type="pct"/>
          <w:tblLook w:val="04A0"/>
        </w:tblPrEx>
        <w:trPr>
          <w:cantSplit/>
        </w:trPr>
        <w:tc>
          <w:tcPr>
            <w:tcW w:w="840" w:type="pct"/>
            <w:vMerge w:val="restart"/>
          </w:tcPr>
          <w:p w:rsidR="003259B9" w:rsidRPr="00B40263" w:rsidP="003259B9" w14:paraId="0AD46BCC" w14:textId="77777777">
            <w:pPr>
              <w:spacing w:line="239" w:lineRule="auto"/>
              <w:ind w:right="226"/>
              <w:rPr>
                <w:rFonts w:eastAsia="Times New Roman" w:cs="Times New Roman"/>
                <w:spacing w:val="-1"/>
                <w:szCs w:val="20"/>
              </w:rPr>
            </w:pPr>
            <w:r w:rsidRPr="00B40263">
              <w:rPr>
                <w:rFonts w:eastAsia="Times New Roman" w:cs="Times New Roman"/>
                <w:spacing w:val="-1"/>
                <w:szCs w:val="20"/>
              </w:rPr>
              <w:t xml:space="preserve">Volunteer </w:t>
            </w:r>
            <w:r>
              <w:rPr>
                <w:rFonts w:eastAsia="Times New Roman" w:cs="Times New Roman"/>
                <w:spacing w:val="-1"/>
                <w:szCs w:val="20"/>
              </w:rPr>
              <w:t>firefighters</w:t>
            </w:r>
          </w:p>
          <w:p w:rsidR="003259B9" w:rsidRPr="00B40263" w:rsidP="00A52346" w14:paraId="123833B9" w14:textId="77777777">
            <w:pPr>
              <w:rPr>
                <w:rFonts w:eastAsia="Times New Roman" w:cs="Times New Roman"/>
                <w:spacing w:val="-1"/>
                <w:szCs w:val="20"/>
              </w:rPr>
            </w:pPr>
          </w:p>
        </w:tc>
        <w:tc>
          <w:tcPr>
            <w:tcW w:w="1606" w:type="pct"/>
          </w:tcPr>
          <w:p w:rsidR="003259B9" w:rsidRPr="00B40263" w:rsidP="004E34EB" w14:paraId="1125060B" w14:textId="77777777">
            <w:pPr>
              <w:rPr>
                <w:rFonts w:eastAsia="Times New Roman" w:cs="Times New Roman"/>
                <w:spacing w:val="-1"/>
                <w:szCs w:val="20"/>
              </w:rPr>
            </w:pPr>
            <w:r w:rsidRPr="00B40263">
              <w:rPr>
                <w:rFonts w:eastAsia="Times New Roman" w:cs="Times New Roman"/>
                <w:spacing w:val="-1"/>
                <w:szCs w:val="20"/>
              </w:rPr>
              <w:t>Recruitment notice</w:t>
            </w:r>
          </w:p>
        </w:tc>
        <w:tc>
          <w:tcPr>
            <w:tcW w:w="2554" w:type="pct"/>
          </w:tcPr>
          <w:p w:rsidR="003259B9" w:rsidRPr="00B40263" w:rsidP="004E34EB" w14:paraId="5465928F" w14:textId="77777777">
            <w:pPr>
              <w:rPr>
                <w:rFonts w:eastAsia="Times New Roman" w:cs="Times New Roman"/>
                <w:spacing w:val="-1"/>
                <w:szCs w:val="20"/>
              </w:rPr>
            </w:pPr>
            <w:r w:rsidRPr="00B40263">
              <w:rPr>
                <w:rFonts w:eastAsia="Times New Roman" w:cs="Times New Roman"/>
                <w:spacing w:val="-1"/>
                <w:szCs w:val="20"/>
              </w:rPr>
              <w:t>Within 6 months of funding and OMB approval</w:t>
            </w:r>
          </w:p>
        </w:tc>
      </w:tr>
      <w:tr w14:paraId="3733EA2E" w14:textId="77777777" w:rsidTr="00C30E5A">
        <w:tblPrEx>
          <w:tblW w:w="4521" w:type="pct"/>
          <w:tblLook w:val="04A0"/>
        </w:tblPrEx>
        <w:trPr>
          <w:cantSplit/>
        </w:trPr>
        <w:tc>
          <w:tcPr>
            <w:tcW w:w="840" w:type="pct"/>
            <w:vMerge/>
          </w:tcPr>
          <w:p w:rsidR="003259B9" w:rsidRPr="00B40263" w:rsidP="00A52346" w14:paraId="3F8C77B2" w14:textId="77777777">
            <w:pPr>
              <w:rPr>
                <w:rFonts w:eastAsia="Times New Roman" w:cs="Times New Roman"/>
                <w:spacing w:val="-1"/>
                <w:szCs w:val="20"/>
              </w:rPr>
            </w:pPr>
          </w:p>
        </w:tc>
        <w:tc>
          <w:tcPr>
            <w:tcW w:w="1606" w:type="pct"/>
          </w:tcPr>
          <w:p w:rsidR="003259B9" w:rsidRPr="00B40263" w:rsidP="00A52346" w14:paraId="0AD8C6FA" w14:textId="77777777">
            <w:pPr>
              <w:rPr>
                <w:rFonts w:eastAsia="Times New Roman" w:cs="Times New Roman"/>
                <w:spacing w:val="-1"/>
                <w:szCs w:val="20"/>
              </w:rPr>
            </w:pPr>
            <w:r w:rsidRPr="00B40263">
              <w:rPr>
                <w:rFonts w:eastAsia="Times New Roman" w:cs="Times New Roman"/>
                <w:spacing w:val="-1"/>
                <w:szCs w:val="20"/>
              </w:rPr>
              <w:t>Interview transcripts (redacted for PII)</w:t>
            </w:r>
          </w:p>
        </w:tc>
        <w:tc>
          <w:tcPr>
            <w:tcW w:w="2554" w:type="pct"/>
          </w:tcPr>
          <w:p w:rsidR="003259B9" w:rsidRPr="00B40263" w:rsidP="00A52346" w14:paraId="39561A18"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4526891E" w14:textId="77777777" w:rsidTr="00C30E5A">
        <w:tblPrEx>
          <w:tblW w:w="4521" w:type="pct"/>
          <w:tblLook w:val="04A0"/>
        </w:tblPrEx>
        <w:trPr>
          <w:cantSplit/>
        </w:trPr>
        <w:tc>
          <w:tcPr>
            <w:tcW w:w="840" w:type="pct"/>
            <w:vMerge/>
          </w:tcPr>
          <w:p w:rsidR="003259B9" w:rsidRPr="00B40263" w:rsidP="00A52346" w14:paraId="5DABA9EC" w14:textId="77777777">
            <w:pPr>
              <w:rPr>
                <w:rFonts w:eastAsia="Times New Roman" w:cs="Times New Roman"/>
                <w:spacing w:val="-1"/>
                <w:szCs w:val="20"/>
              </w:rPr>
            </w:pPr>
          </w:p>
        </w:tc>
        <w:tc>
          <w:tcPr>
            <w:tcW w:w="1606" w:type="pct"/>
          </w:tcPr>
          <w:p w:rsidR="003259B9" w:rsidRPr="00B40263" w:rsidP="00A52346" w14:paraId="1DA299F4" w14:textId="77777777">
            <w:pPr>
              <w:rPr>
                <w:rFonts w:eastAsia="Times New Roman" w:cs="Times New Roman"/>
                <w:spacing w:val="-1"/>
                <w:szCs w:val="20"/>
              </w:rPr>
            </w:pPr>
            <w:r w:rsidRPr="00B40263">
              <w:rPr>
                <w:rFonts w:eastAsia="Times New Roman" w:cs="Times New Roman"/>
                <w:spacing w:val="-1"/>
                <w:szCs w:val="20"/>
              </w:rPr>
              <w:t>Notice of completion of all interviews</w:t>
            </w:r>
          </w:p>
        </w:tc>
        <w:tc>
          <w:tcPr>
            <w:tcW w:w="2554" w:type="pct"/>
          </w:tcPr>
          <w:p w:rsidR="003259B9" w:rsidRPr="00B40263" w:rsidP="00A52346" w14:paraId="01F8E99B"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16E85994" w14:textId="77777777" w:rsidTr="00C30E5A">
        <w:tblPrEx>
          <w:tblW w:w="4521" w:type="pct"/>
          <w:tblLook w:val="04A0"/>
        </w:tblPrEx>
        <w:trPr>
          <w:cantSplit/>
        </w:trPr>
        <w:tc>
          <w:tcPr>
            <w:tcW w:w="840" w:type="pct"/>
            <w:vMerge/>
          </w:tcPr>
          <w:p w:rsidR="003259B9" w:rsidRPr="00B40263" w:rsidP="00A52346" w14:paraId="72672B60" w14:textId="77777777">
            <w:pPr>
              <w:rPr>
                <w:rFonts w:eastAsia="Times New Roman" w:cs="Times New Roman"/>
                <w:spacing w:val="-1"/>
                <w:szCs w:val="20"/>
              </w:rPr>
            </w:pPr>
          </w:p>
        </w:tc>
        <w:tc>
          <w:tcPr>
            <w:tcW w:w="1606" w:type="pct"/>
          </w:tcPr>
          <w:p w:rsidR="003259B9" w:rsidRPr="00B40263" w:rsidP="00A52346" w14:paraId="7AF7ECCB" w14:textId="77777777">
            <w:pPr>
              <w:rPr>
                <w:rFonts w:eastAsia="Times New Roman" w:cs="Times New Roman"/>
                <w:spacing w:val="-1"/>
                <w:szCs w:val="20"/>
              </w:rPr>
            </w:pPr>
            <w:r w:rsidRPr="00B40263">
              <w:rPr>
                <w:rFonts w:eastAsia="Times New Roman" w:cs="Times New Roman"/>
                <w:spacing w:val="-1"/>
                <w:szCs w:val="20"/>
              </w:rPr>
              <w:t>Interview summary</w:t>
            </w:r>
          </w:p>
        </w:tc>
        <w:tc>
          <w:tcPr>
            <w:tcW w:w="2554" w:type="pct"/>
          </w:tcPr>
          <w:p w:rsidR="003259B9" w:rsidRPr="00B40263" w:rsidP="00A52346" w14:paraId="14442FBE" w14:textId="77777777">
            <w:pPr>
              <w:rPr>
                <w:rFonts w:eastAsia="Times New Roman" w:cs="Times New Roman"/>
                <w:spacing w:val="-1"/>
                <w:szCs w:val="20"/>
              </w:rPr>
            </w:pPr>
            <w:r w:rsidRPr="00B40263">
              <w:rPr>
                <w:rFonts w:eastAsia="Times New Roman" w:cs="Times New Roman"/>
                <w:spacing w:val="-1"/>
                <w:szCs w:val="20"/>
              </w:rPr>
              <w:t>Before end of period of performance</w:t>
            </w:r>
          </w:p>
        </w:tc>
      </w:tr>
      <w:tr w14:paraId="78216A9B" w14:textId="77777777" w:rsidTr="00C30E5A">
        <w:tblPrEx>
          <w:tblW w:w="4521" w:type="pct"/>
          <w:tblLook w:val="04A0"/>
        </w:tblPrEx>
        <w:trPr>
          <w:cantSplit/>
        </w:trPr>
        <w:tc>
          <w:tcPr>
            <w:tcW w:w="840" w:type="pct"/>
            <w:vMerge w:val="restart"/>
          </w:tcPr>
          <w:p w:rsidR="003259B9" w:rsidRPr="00B40263" w:rsidP="004E34EB" w14:paraId="6AC1362A" w14:textId="77777777">
            <w:pPr>
              <w:rPr>
                <w:rFonts w:eastAsia="Times New Roman" w:cs="Times New Roman"/>
                <w:spacing w:val="-1"/>
                <w:szCs w:val="20"/>
              </w:rPr>
            </w:pPr>
            <w:r w:rsidRPr="00B40263">
              <w:rPr>
                <w:rFonts w:eastAsia="Times New Roman" w:cs="Times New Roman"/>
                <w:spacing w:val="-1"/>
                <w:szCs w:val="20"/>
              </w:rPr>
              <w:t>Home healthcare aides</w:t>
            </w:r>
          </w:p>
        </w:tc>
        <w:tc>
          <w:tcPr>
            <w:tcW w:w="1606" w:type="pct"/>
          </w:tcPr>
          <w:p w:rsidR="003259B9" w:rsidRPr="00B40263" w:rsidP="004E34EB" w14:paraId="1147DA54" w14:textId="77777777">
            <w:pPr>
              <w:rPr>
                <w:rFonts w:eastAsia="Times New Roman" w:cs="Times New Roman"/>
                <w:spacing w:val="-1"/>
                <w:szCs w:val="20"/>
              </w:rPr>
            </w:pPr>
            <w:r w:rsidRPr="00B40263">
              <w:rPr>
                <w:rFonts w:eastAsia="Times New Roman" w:cs="Times New Roman"/>
                <w:spacing w:val="-1"/>
                <w:szCs w:val="20"/>
              </w:rPr>
              <w:t>Recruitment notice</w:t>
            </w:r>
          </w:p>
        </w:tc>
        <w:tc>
          <w:tcPr>
            <w:tcW w:w="2554" w:type="pct"/>
          </w:tcPr>
          <w:p w:rsidR="003259B9" w:rsidRPr="00B40263" w:rsidP="004E34EB" w14:paraId="0C8F7FAB" w14:textId="77777777">
            <w:pPr>
              <w:rPr>
                <w:rFonts w:eastAsia="Times New Roman" w:cs="Times New Roman"/>
                <w:spacing w:val="-1"/>
                <w:szCs w:val="20"/>
              </w:rPr>
            </w:pPr>
            <w:r w:rsidRPr="00B40263">
              <w:rPr>
                <w:rFonts w:eastAsia="Times New Roman" w:cs="Times New Roman"/>
                <w:spacing w:val="-1"/>
                <w:szCs w:val="20"/>
              </w:rPr>
              <w:t>Within 6 months of funding and OMB approval</w:t>
            </w:r>
          </w:p>
        </w:tc>
      </w:tr>
      <w:tr w14:paraId="5A03E959" w14:textId="77777777" w:rsidTr="00C30E5A">
        <w:tblPrEx>
          <w:tblW w:w="4521" w:type="pct"/>
          <w:tblLook w:val="04A0"/>
        </w:tblPrEx>
        <w:trPr>
          <w:cantSplit/>
        </w:trPr>
        <w:tc>
          <w:tcPr>
            <w:tcW w:w="840" w:type="pct"/>
            <w:vMerge/>
          </w:tcPr>
          <w:p w:rsidR="003259B9" w:rsidRPr="00B40263" w:rsidP="00C30E5A" w14:paraId="3503B1F2" w14:textId="77777777">
            <w:pPr>
              <w:rPr>
                <w:rFonts w:eastAsia="Times New Roman" w:cs="Times New Roman"/>
                <w:spacing w:val="-1"/>
                <w:szCs w:val="20"/>
              </w:rPr>
            </w:pPr>
          </w:p>
        </w:tc>
        <w:tc>
          <w:tcPr>
            <w:tcW w:w="1606" w:type="pct"/>
          </w:tcPr>
          <w:p w:rsidR="003259B9" w:rsidRPr="00B40263" w:rsidP="00C30E5A" w14:paraId="69CE71A5" w14:textId="77777777">
            <w:pPr>
              <w:rPr>
                <w:rFonts w:eastAsia="Times New Roman" w:cs="Times New Roman"/>
                <w:spacing w:val="-1"/>
                <w:szCs w:val="20"/>
              </w:rPr>
            </w:pPr>
            <w:r w:rsidRPr="00B40263">
              <w:rPr>
                <w:rFonts w:eastAsia="Times New Roman" w:cs="Times New Roman"/>
                <w:spacing w:val="-1"/>
                <w:szCs w:val="20"/>
              </w:rPr>
              <w:t>Interview schedule</w:t>
            </w:r>
          </w:p>
        </w:tc>
        <w:tc>
          <w:tcPr>
            <w:tcW w:w="2554" w:type="pct"/>
          </w:tcPr>
          <w:p w:rsidR="003259B9" w:rsidRPr="00B40263" w:rsidP="00C30E5A" w14:paraId="2FEAB3E3" w14:textId="77777777">
            <w:pPr>
              <w:rPr>
                <w:rFonts w:eastAsia="Times New Roman" w:cs="Times New Roman"/>
                <w:spacing w:val="-1"/>
                <w:szCs w:val="20"/>
              </w:rPr>
            </w:pPr>
            <w:r w:rsidRPr="00B40263">
              <w:rPr>
                <w:rFonts w:eastAsia="Times New Roman" w:cs="Times New Roman"/>
                <w:spacing w:val="-1"/>
                <w:szCs w:val="20"/>
              </w:rPr>
              <w:t>Within 1 year of funding and OMB approval</w:t>
            </w:r>
          </w:p>
        </w:tc>
      </w:tr>
      <w:tr w14:paraId="3572534E" w14:textId="77777777" w:rsidTr="00C30E5A">
        <w:tblPrEx>
          <w:tblW w:w="4521" w:type="pct"/>
          <w:tblLook w:val="04A0"/>
        </w:tblPrEx>
        <w:trPr>
          <w:cantSplit/>
        </w:trPr>
        <w:tc>
          <w:tcPr>
            <w:tcW w:w="840" w:type="pct"/>
            <w:vMerge/>
          </w:tcPr>
          <w:p w:rsidR="003259B9" w:rsidRPr="00B40263" w:rsidP="00C30E5A" w14:paraId="631BEC06" w14:textId="77777777">
            <w:pPr>
              <w:rPr>
                <w:rFonts w:eastAsia="Times New Roman" w:cs="Times New Roman"/>
                <w:spacing w:val="-1"/>
                <w:szCs w:val="20"/>
              </w:rPr>
            </w:pPr>
          </w:p>
        </w:tc>
        <w:tc>
          <w:tcPr>
            <w:tcW w:w="1606" w:type="pct"/>
          </w:tcPr>
          <w:p w:rsidR="003259B9" w:rsidRPr="00B40263" w:rsidP="00C30E5A" w14:paraId="413A8336" w14:textId="77777777">
            <w:pPr>
              <w:rPr>
                <w:rFonts w:eastAsia="Times New Roman" w:cs="Times New Roman"/>
                <w:spacing w:val="-1"/>
                <w:szCs w:val="20"/>
              </w:rPr>
            </w:pPr>
            <w:r w:rsidRPr="00B40263">
              <w:rPr>
                <w:rFonts w:eastAsia="Times New Roman" w:cs="Times New Roman"/>
                <w:spacing w:val="-1"/>
                <w:szCs w:val="20"/>
              </w:rPr>
              <w:t>Notice of completion of all interviews</w:t>
            </w:r>
          </w:p>
        </w:tc>
        <w:tc>
          <w:tcPr>
            <w:tcW w:w="2554" w:type="pct"/>
          </w:tcPr>
          <w:p w:rsidR="003259B9" w:rsidRPr="00B40263" w:rsidP="00C30E5A" w14:paraId="7CC89112"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24FA93C4" w14:textId="77777777" w:rsidTr="00C30E5A">
        <w:tblPrEx>
          <w:tblW w:w="4521" w:type="pct"/>
          <w:tblLook w:val="04A0"/>
        </w:tblPrEx>
        <w:trPr>
          <w:cantSplit/>
        </w:trPr>
        <w:tc>
          <w:tcPr>
            <w:tcW w:w="840" w:type="pct"/>
            <w:vMerge w:val="restart"/>
          </w:tcPr>
          <w:p w:rsidR="003259B9" w:rsidRPr="00B40263" w:rsidP="004E34EB" w14:paraId="7DF2A33C" w14:textId="77777777">
            <w:pPr>
              <w:rPr>
                <w:rFonts w:eastAsia="Times New Roman" w:cs="Times New Roman"/>
                <w:spacing w:val="-1"/>
                <w:szCs w:val="20"/>
              </w:rPr>
            </w:pPr>
            <w:r>
              <w:rPr>
                <w:rFonts w:eastAsia="Times New Roman" w:cs="Times New Roman"/>
                <w:spacing w:val="-1"/>
                <w:szCs w:val="20"/>
              </w:rPr>
              <w:t>Corrections officers</w:t>
            </w:r>
          </w:p>
        </w:tc>
        <w:tc>
          <w:tcPr>
            <w:tcW w:w="1606" w:type="pct"/>
          </w:tcPr>
          <w:p w:rsidR="003259B9" w:rsidRPr="00B40263" w:rsidP="004E34EB" w14:paraId="606D3513" w14:textId="77777777">
            <w:pPr>
              <w:rPr>
                <w:rFonts w:eastAsia="Times New Roman" w:cs="Times New Roman"/>
                <w:spacing w:val="-1"/>
                <w:szCs w:val="20"/>
              </w:rPr>
            </w:pPr>
            <w:r w:rsidRPr="00B40263">
              <w:rPr>
                <w:rFonts w:eastAsia="Times New Roman" w:cs="Times New Roman"/>
                <w:spacing w:val="-1"/>
                <w:szCs w:val="20"/>
              </w:rPr>
              <w:t>Recruitment notice</w:t>
            </w:r>
          </w:p>
        </w:tc>
        <w:tc>
          <w:tcPr>
            <w:tcW w:w="2554" w:type="pct"/>
          </w:tcPr>
          <w:p w:rsidR="003259B9" w:rsidRPr="00B40263" w:rsidP="004E34EB" w14:paraId="5899F28B" w14:textId="77777777">
            <w:pPr>
              <w:rPr>
                <w:rFonts w:eastAsia="Times New Roman" w:cs="Times New Roman"/>
                <w:spacing w:val="-1"/>
                <w:szCs w:val="20"/>
              </w:rPr>
            </w:pPr>
            <w:r w:rsidRPr="00B40263">
              <w:rPr>
                <w:rFonts w:eastAsia="Times New Roman" w:cs="Times New Roman"/>
                <w:spacing w:val="-1"/>
                <w:szCs w:val="20"/>
              </w:rPr>
              <w:t>Within 1 year of funding and OMB approval</w:t>
            </w:r>
          </w:p>
        </w:tc>
      </w:tr>
      <w:tr w14:paraId="55A1F579" w14:textId="77777777" w:rsidTr="00C30E5A">
        <w:tblPrEx>
          <w:tblW w:w="4521" w:type="pct"/>
          <w:tblLook w:val="04A0"/>
        </w:tblPrEx>
        <w:trPr>
          <w:cantSplit/>
        </w:trPr>
        <w:tc>
          <w:tcPr>
            <w:tcW w:w="840" w:type="pct"/>
            <w:vMerge/>
          </w:tcPr>
          <w:p w:rsidR="003259B9" w:rsidRPr="00B40263" w:rsidP="003259B9" w14:paraId="3C0394CE" w14:textId="77777777">
            <w:pPr>
              <w:rPr>
                <w:rFonts w:eastAsia="Times New Roman" w:cs="Times New Roman"/>
                <w:spacing w:val="-1"/>
                <w:szCs w:val="20"/>
              </w:rPr>
            </w:pPr>
          </w:p>
        </w:tc>
        <w:tc>
          <w:tcPr>
            <w:tcW w:w="1606" w:type="pct"/>
          </w:tcPr>
          <w:p w:rsidR="003259B9" w:rsidRPr="00B40263" w:rsidP="003259B9" w14:paraId="70706B10" w14:textId="77777777">
            <w:pPr>
              <w:rPr>
                <w:rFonts w:eastAsia="Times New Roman" w:cs="Times New Roman"/>
                <w:spacing w:val="-1"/>
                <w:szCs w:val="20"/>
              </w:rPr>
            </w:pPr>
            <w:r w:rsidRPr="00B40263">
              <w:rPr>
                <w:rFonts w:eastAsia="Times New Roman" w:cs="Times New Roman"/>
                <w:spacing w:val="-1"/>
                <w:szCs w:val="20"/>
              </w:rPr>
              <w:t>Interview transcripts (redacted for PII)</w:t>
            </w:r>
          </w:p>
        </w:tc>
        <w:tc>
          <w:tcPr>
            <w:tcW w:w="2554" w:type="pct"/>
          </w:tcPr>
          <w:p w:rsidR="003259B9" w:rsidRPr="00B40263" w:rsidP="003259B9" w14:paraId="23C848EA"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38913836" w14:textId="77777777" w:rsidTr="00C30E5A">
        <w:tblPrEx>
          <w:tblW w:w="4521" w:type="pct"/>
          <w:tblLook w:val="04A0"/>
        </w:tblPrEx>
        <w:trPr>
          <w:cantSplit/>
        </w:trPr>
        <w:tc>
          <w:tcPr>
            <w:tcW w:w="840" w:type="pct"/>
            <w:vMerge/>
          </w:tcPr>
          <w:p w:rsidR="003259B9" w:rsidRPr="00B40263" w:rsidP="003259B9" w14:paraId="41531333" w14:textId="77777777">
            <w:pPr>
              <w:rPr>
                <w:rFonts w:eastAsia="Times New Roman" w:cs="Times New Roman"/>
                <w:spacing w:val="-1"/>
                <w:szCs w:val="20"/>
              </w:rPr>
            </w:pPr>
          </w:p>
        </w:tc>
        <w:tc>
          <w:tcPr>
            <w:tcW w:w="1606" w:type="pct"/>
          </w:tcPr>
          <w:p w:rsidR="003259B9" w:rsidRPr="00B40263" w:rsidP="003259B9" w14:paraId="2B14691D" w14:textId="77777777">
            <w:pPr>
              <w:rPr>
                <w:rFonts w:eastAsia="Times New Roman" w:cs="Times New Roman"/>
                <w:spacing w:val="-1"/>
                <w:szCs w:val="20"/>
              </w:rPr>
            </w:pPr>
            <w:r w:rsidRPr="00B40263">
              <w:rPr>
                <w:rFonts w:eastAsia="Times New Roman" w:cs="Times New Roman"/>
                <w:spacing w:val="-1"/>
                <w:szCs w:val="20"/>
              </w:rPr>
              <w:t>Notice of completion of all interviews</w:t>
            </w:r>
          </w:p>
        </w:tc>
        <w:tc>
          <w:tcPr>
            <w:tcW w:w="2554" w:type="pct"/>
          </w:tcPr>
          <w:p w:rsidR="003259B9" w:rsidRPr="00B40263" w:rsidP="003259B9" w14:paraId="4911525B"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0F10D627" w14:textId="77777777" w:rsidTr="00C30E5A">
        <w:tblPrEx>
          <w:tblW w:w="4521" w:type="pct"/>
          <w:tblLook w:val="04A0"/>
        </w:tblPrEx>
        <w:trPr>
          <w:cantSplit/>
        </w:trPr>
        <w:tc>
          <w:tcPr>
            <w:tcW w:w="840" w:type="pct"/>
            <w:vMerge/>
          </w:tcPr>
          <w:p w:rsidR="003259B9" w:rsidRPr="00B40263" w:rsidP="003259B9" w14:paraId="36265093" w14:textId="77777777">
            <w:pPr>
              <w:rPr>
                <w:rFonts w:eastAsia="Times New Roman" w:cs="Times New Roman"/>
                <w:spacing w:val="-1"/>
                <w:szCs w:val="20"/>
              </w:rPr>
            </w:pPr>
          </w:p>
        </w:tc>
        <w:tc>
          <w:tcPr>
            <w:tcW w:w="1606" w:type="pct"/>
          </w:tcPr>
          <w:p w:rsidR="003259B9" w:rsidRPr="00B40263" w:rsidP="003259B9" w14:paraId="76EDF2E3" w14:textId="77777777">
            <w:pPr>
              <w:rPr>
                <w:rFonts w:eastAsia="Times New Roman" w:cs="Times New Roman"/>
                <w:spacing w:val="-1"/>
                <w:szCs w:val="20"/>
              </w:rPr>
            </w:pPr>
            <w:r w:rsidRPr="00B40263">
              <w:rPr>
                <w:rFonts w:eastAsia="Times New Roman" w:cs="Times New Roman"/>
                <w:spacing w:val="-1"/>
                <w:szCs w:val="20"/>
              </w:rPr>
              <w:t>Interview summary</w:t>
            </w:r>
          </w:p>
        </w:tc>
        <w:tc>
          <w:tcPr>
            <w:tcW w:w="2554" w:type="pct"/>
          </w:tcPr>
          <w:p w:rsidR="003259B9" w:rsidRPr="00B40263" w:rsidP="003259B9" w14:paraId="218BE65A" w14:textId="77777777">
            <w:pPr>
              <w:rPr>
                <w:rFonts w:eastAsia="Times New Roman" w:cs="Times New Roman"/>
                <w:spacing w:val="-1"/>
                <w:szCs w:val="20"/>
              </w:rPr>
            </w:pPr>
            <w:r w:rsidRPr="00B40263">
              <w:rPr>
                <w:rFonts w:eastAsia="Times New Roman" w:cs="Times New Roman"/>
                <w:spacing w:val="-1"/>
                <w:szCs w:val="20"/>
              </w:rPr>
              <w:t>Before end of period of performance</w:t>
            </w:r>
          </w:p>
        </w:tc>
      </w:tr>
      <w:tr w14:paraId="093FF5CE" w14:textId="77777777" w:rsidTr="00C30E5A">
        <w:tblPrEx>
          <w:tblW w:w="4521" w:type="pct"/>
          <w:tblLook w:val="04A0"/>
        </w:tblPrEx>
        <w:trPr>
          <w:cantSplit/>
        </w:trPr>
        <w:tc>
          <w:tcPr>
            <w:tcW w:w="840" w:type="pct"/>
            <w:vMerge w:val="restart"/>
          </w:tcPr>
          <w:p w:rsidR="003259B9" w:rsidRPr="00B40263" w:rsidP="004E34EB" w14:paraId="13F44646" w14:textId="77777777">
            <w:pPr>
              <w:rPr>
                <w:rFonts w:eastAsia="Times New Roman" w:cs="Times New Roman"/>
                <w:spacing w:val="-1"/>
                <w:szCs w:val="20"/>
              </w:rPr>
            </w:pPr>
            <w:r>
              <w:rPr>
                <w:rFonts w:eastAsia="Times New Roman" w:cs="Times New Roman"/>
                <w:spacing w:val="-1"/>
                <w:szCs w:val="20"/>
              </w:rPr>
              <w:t>Mental health workers</w:t>
            </w:r>
          </w:p>
          <w:p w:rsidR="003259B9" w:rsidRPr="00B40263" w:rsidP="004E34EB" w14:paraId="1D38B66F" w14:textId="77777777">
            <w:pPr>
              <w:rPr>
                <w:rFonts w:eastAsia="Times New Roman" w:cs="Times New Roman"/>
                <w:spacing w:val="-1"/>
                <w:szCs w:val="20"/>
              </w:rPr>
            </w:pPr>
          </w:p>
        </w:tc>
        <w:tc>
          <w:tcPr>
            <w:tcW w:w="1606" w:type="pct"/>
          </w:tcPr>
          <w:p w:rsidR="003259B9" w:rsidRPr="00B40263" w:rsidP="004E34EB" w14:paraId="23BB9359" w14:textId="77777777">
            <w:pPr>
              <w:rPr>
                <w:rFonts w:eastAsia="Times New Roman" w:cs="Times New Roman"/>
                <w:spacing w:val="-1"/>
                <w:szCs w:val="20"/>
              </w:rPr>
            </w:pPr>
            <w:r w:rsidRPr="00B40263">
              <w:rPr>
                <w:rFonts w:eastAsia="Times New Roman" w:cs="Times New Roman"/>
                <w:spacing w:val="-1"/>
                <w:szCs w:val="20"/>
              </w:rPr>
              <w:t>Recruitment notice</w:t>
            </w:r>
          </w:p>
        </w:tc>
        <w:tc>
          <w:tcPr>
            <w:tcW w:w="2554" w:type="pct"/>
          </w:tcPr>
          <w:p w:rsidR="003259B9" w:rsidRPr="00B40263" w:rsidP="004E34EB" w14:paraId="6E107AB2" w14:textId="77777777">
            <w:pPr>
              <w:rPr>
                <w:rFonts w:eastAsia="Times New Roman" w:cs="Times New Roman"/>
                <w:spacing w:val="-1"/>
                <w:szCs w:val="20"/>
              </w:rPr>
            </w:pPr>
            <w:r w:rsidRPr="00B40263">
              <w:rPr>
                <w:rFonts w:eastAsia="Times New Roman" w:cs="Times New Roman"/>
                <w:spacing w:val="-1"/>
                <w:szCs w:val="20"/>
              </w:rPr>
              <w:t>Within 6 months of funding and OMB approval</w:t>
            </w:r>
          </w:p>
        </w:tc>
      </w:tr>
      <w:tr w14:paraId="6C774870" w14:textId="77777777" w:rsidTr="00C30E5A">
        <w:tblPrEx>
          <w:tblW w:w="4521" w:type="pct"/>
          <w:tblLook w:val="04A0"/>
        </w:tblPrEx>
        <w:trPr>
          <w:cantSplit/>
        </w:trPr>
        <w:tc>
          <w:tcPr>
            <w:tcW w:w="840" w:type="pct"/>
            <w:vMerge/>
          </w:tcPr>
          <w:p w:rsidR="003259B9" w:rsidRPr="00B40263" w:rsidP="004E34EB" w14:paraId="75C58C1E" w14:textId="77777777">
            <w:pPr>
              <w:rPr>
                <w:rFonts w:eastAsia="Times New Roman" w:cs="Times New Roman"/>
                <w:spacing w:val="-1"/>
                <w:szCs w:val="20"/>
              </w:rPr>
            </w:pPr>
          </w:p>
        </w:tc>
        <w:tc>
          <w:tcPr>
            <w:tcW w:w="1606" w:type="pct"/>
          </w:tcPr>
          <w:p w:rsidR="003259B9" w:rsidRPr="00B40263" w:rsidP="004E34EB" w14:paraId="369D4227" w14:textId="77777777">
            <w:pPr>
              <w:rPr>
                <w:rFonts w:eastAsia="Times New Roman" w:cs="Times New Roman"/>
                <w:spacing w:val="-1"/>
                <w:szCs w:val="20"/>
              </w:rPr>
            </w:pPr>
            <w:r w:rsidRPr="00B40263">
              <w:rPr>
                <w:rFonts w:eastAsia="Times New Roman" w:cs="Times New Roman"/>
                <w:spacing w:val="-1"/>
                <w:szCs w:val="20"/>
              </w:rPr>
              <w:t>Interview schedule</w:t>
            </w:r>
          </w:p>
        </w:tc>
        <w:tc>
          <w:tcPr>
            <w:tcW w:w="2554" w:type="pct"/>
          </w:tcPr>
          <w:p w:rsidR="003259B9" w:rsidRPr="00B40263" w:rsidP="004E34EB" w14:paraId="49FF9155" w14:textId="77777777">
            <w:pPr>
              <w:rPr>
                <w:rFonts w:eastAsia="Times New Roman" w:cs="Times New Roman"/>
                <w:spacing w:val="-1"/>
                <w:szCs w:val="20"/>
              </w:rPr>
            </w:pPr>
            <w:r w:rsidRPr="00B40263">
              <w:rPr>
                <w:rFonts w:eastAsia="Times New Roman" w:cs="Times New Roman"/>
                <w:spacing w:val="-1"/>
                <w:szCs w:val="20"/>
              </w:rPr>
              <w:t>Within 1 year of funding and OMB approval</w:t>
            </w:r>
          </w:p>
        </w:tc>
      </w:tr>
      <w:tr w14:paraId="4CCD0A0E" w14:textId="77777777" w:rsidTr="00C30E5A">
        <w:tblPrEx>
          <w:tblW w:w="4521" w:type="pct"/>
          <w:tblLook w:val="04A0"/>
        </w:tblPrEx>
        <w:trPr>
          <w:cantSplit/>
        </w:trPr>
        <w:tc>
          <w:tcPr>
            <w:tcW w:w="840" w:type="pct"/>
            <w:vMerge/>
          </w:tcPr>
          <w:p w:rsidR="003259B9" w:rsidRPr="00B40263" w:rsidP="004E34EB" w14:paraId="3722D35E" w14:textId="77777777">
            <w:pPr>
              <w:rPr>
                <w:rFonts w:eastAsia="Times New Roman" w:cs="Times New Roman"/>
                <w:spacing w:val="-1"/>
                <w:szCs w:val="20"/>
              </w:rPr>
            </w:pPr>
          </w:p>
        </w:tc>
        <w:tc>
          <w:tcPr>
            <w:tcW w:w="1606" w:type="pct"/>
          </w:tcPr>
          <w:p w:rsidR="003259B9" w:rsidRPr="00B40263" w:rsidP="004E34EB" w14:paraId="4E139F87" w14:textId="77777777">
            <w:pPr>
              <w:rPr>
                <w:rFonts w:eastAsia="Times New Roman" w:cs="Times New Roman"/>
                <w:spacing w:val="-1"/>
                <w:szCs w:val="20"/>
              </w:rPr>
            </w:pPr>
            <w:r w:rsidRPr="00B40263">
              <w:rPr>
                <w:rFonts w:eastAsia="Times New Roman" w:cs="Times New Roman"/>
                <w:spacing w:val="-1"/>
                <w:szCs w:val="20"/>
              </w:rPr>
              <w:t>Notice of completion of all interviews</w:t>
            </w:r>
          </w:p>
        </w:tc>
        <w:tc>
          <w:tcPr>
            <w:tcW w:w="2554" w:type="pct"/>
          </w:tcPr>
          <w:p w:rsidR="003259B9" w:rsidRPr="00B40263" w:rsidP="004E34EB" w14:paraId="61DBEAD6"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r w14:paraId="2BE50E49" w14:textId="77777777" w:rsidTr="00C30E5A">
        <w:tblPrEx>
          <w:tblW w:w="4521" w:type="pct"/>
          <w:tblLook w:val="04A0"/>
        </w:tblPrEx>
        <w:trPr>
          <w:cantSplit/>
        </w:trPr>
        <w:tc>
          <w:tcPr>
            <w:tcW w:w="840" w:type="pct"/>
            <w:vMerge w:val="restart"/>
          </w:tcPr>
          <w:p w:rsidR="00304E9E" w:rsidRPr="00B40263" w:rsidP="004E34EB" w14:paraId="71078DA7" w14:textId="77777777">
            <w:pPr>
              <w:rPr>
                <w:rFonts w:eastAsia="Times New Roman" w:cs="Times New Roman"/>
                <w:spacing w:val="-1"/>
                <w:szCs w:val="20"/>
              </w:rPr>
            </w:pPr>
            <w:r w:rsidRPr="229BDE24">
              <w:rPr>
                <w:rFonts w:eastAsia="Times New Roman" w:cs="Times New Roman"/>
              </w:rPr>
              <w:t xml:space="preserve">State, county, and city health department </w:t>
            </w:r>
            <w:r w:rsidRPr="229BDE24">
              <w:rPr>
                <w:rFonts w:eastAsia="Times New Roman" w:cs="Times New Roman"/>
              </w:rPr>
              <w:t>workers</w:t>
            </w:r>
          </w:p>
          <w:p w:rsidR="00304E9E" w:rsidRPr="00B40263" w:rsidP="004E34EB" w14:paraId="49D24650" w14:textId="77777777">
            <w:pPr>
              <w:rPr>
                <w:rFonts w:eastAsia="Times New Roman" w:cs="Times New Roman"/>
                <w:spacing w:val="-1"/>
                <w:szCs w:val="20"/>
              </w:rPr>
            </w:pPr>
          </w:p>
        </w:tc>
        <w:tc>
          <w:tcPr>
            <w:tcW w:w="1606" w:type="pct"/>
          </w:tcPr>
          <w:p w:rsidR="00304E9E" w:rsidRPr="00B40263" w:rsidP="004E34EB" w14:paraId="22E054A3" w14:textId="77777777">
            <w:pPr>
              <w:rPr>
                <w:rFonts w:eastAsia="Times New Roman" w:cs="Times New Roman"/>
                <w:spacing w:val="-1"/>
                <w:szCs w:val="20"/>
              </w:rPr>
            </w:pPr>
            <w:r w:rsidRPr="00B40263">
              <w:rPr>
                <w:rFonts w:eastAsia="Times New Roman" w:cs="Times New Roman"/>
                <w:spacing w:val="-1"/>
                <w:szCs w:val="20"/>
              </w:rPr>
              <w:t>Recruitment notice</w:t>
            </w:r>
          </w:p>
        </w:tc>
        <w:tc>
          <w:tcPr>
            <w:tcW w:w="2554" w:type="pct"/>
          </w:tcPr>
          <w:p w:rsidR="00304E9E" w:rsidRPr="00B40263" w:rsidP="004E34EB" w14:paraId="131BC86F" w14:textId="77777777">
            <w:pPr>
              <w:rPr>
                <w:rFonts w:eastAsia="Times New Roman" w:cs="Times New Roman"/>
                <w:spacing w:val="-1"/>
                <w:szCs w:val="20"/>
              </w:rPr>
            </w:pPr>
            <w:r w:rsidRPr="00B40263">
              <w:rPr>
                <w:rFonts w:eastAsia="Times New Roman" w:cs="Times New Roman"/>
                <w:spacing w:val="-1"/>
                <w:szCs w:val="20"/>
              </w:rPr>
              <w:t>Within 1 year of funding and OMB approval</w:t>
            </w:r>
          </w:p>
        </w:tc>
      </w:tr>
      <w:tr w14:paraId="22BE133E" w14:textId="77777777" w:rsidTr="00C30E5A">
        <w:tblPrEx>
          <w:tblW w:w="4521" w:type="pct"/>
          <w:tblLook w:val="04A0"/>
        </w:tblPrEx>
        <w:trPr>
          <w:cantSplit/>
        </w:trPr>
        <w:tc>
          <w:tcPr>
            <w:tcW w:w="840" w:type="pct"/>
            <w:vMerge/>
          </w:tcPr>
          <w:p w:rsidR="00304E9E" w:rsidRPr="00B40263" w:rsidP="004E34EB" w14:paraId="0D61D6B2" w14:textId="77777777">
            <w:pPr>
              <w:rPr>
                <w:rFonts w:eastAsia="Times New Roman" w:cs="Times New Roman"/>
                <w:spacing w:val="-1"/>
                <w:szCs w:val="20"/>
              </w:rPr>
            </w:pPr>
          </w:p>
        </w:tc>
        <w:tc>
          <w:tcPr>
            <w:tcW w:w="1606" w:type="pct"/>
          </w:tcPr>
          <w:p w:rsidR="00304E9E" w:rsidRPr="00B40263" w:rsidP="004E34EB" w14:paraId="7D762BC6" w14:textId="77777777">
            <w:pPr>
              <w:rPr>
                <w:rFonts w:eastAsia="Times New Roman" w:cs="Times New Roman"/>
                <w:spacing w:val="-1"/>
                <w:szCs w:val="20"/>
              </w:rPr>
            </w:pPr>
            <w:r w:rsidRPr="00B40263">
              <w:rPr>
                <w:rFonts w:eastAsia="Times New Roman" w:cs="Times New Roman"/>
                <w:spacing w:val="-1"/>
                <w:szCs w:val="20"/>
              </w:rPr>
              <w:t>Interview schedule</w:t>
            </w:r>
          </w:p>
        </w:tc>
        <w:tc>
          <w:tcPr>
            <w:tcW w:w="2554" w:type="pct"/>
          </w:tcPr>
          <w:p w:rsidR="00304E9E" w:rsidRPr="00B40263" w:rsidP="004E34EB" w14:paraId="397A4537" w14:textId="77777777">
            <w:pPr>
              <w:rPr>
                <w:rFonts w:eastAsia="Times New Roman" w:cs="Times New Roman"/>
                <w:spacing w:val="-1"/>
                <w:szCs w:val="20"/>
              </w:rPr>
            </w:pPr>
            <w:r w:rsidRPr="00B40263">
              <w:rPr>
                <w:rFonts w:eastAsia="Times New Roman" w:cs="Times New Roman"/>
                <w:spacing w:val="-1"/>
                <w:szCs w:val="20"/>
              </w:rPr>
              <w:t>Within 18 months of funding and OMB approval</w:t>
            </w:r>
          </w:p>
        </w:tc>
      </w:tr>
      <w:tr w14:paraId="3E50B5BF" w14:textId="77777777" w:rsidTr="00C30E5A">
        <w:tblPrEx>
          <w:tblW w:w="4521" w:type="pct"/>
          <w:tblLook w:val="04A0"/>
        </w:tblPrEx>
        <w:trPr>
          <w:cantSplit/>
        </w:trPr>
        <w:tc>
          <w:tcPr>
            <w:tcW w:w="840" w:type="pct"/>
            <w:vMerge/>
          </w:tcPr>
          <w:p w:rsidR="00304E9E" w:rsidRPr="00B40263" w:rsidP="004E34EB" w14:paraId="70F4F734" w14:textId="77777777">
            <w:pPr>
              <w:rPr>
                <w:rFonts w:eastAsia="Times New Roman" w:cs="Times New Roman"/>
                <w:spacing w:val="-1"/>
                <w:szCs w:val="20"/>
              </w:rPr>
            </w:pPr>
          </w:p>
        </w:tc>
        <w:tc>
          <w:tcPr>
            <w:tcW w:w="1606" w:type="pct"/>
          </w:tcPr>
          <w:p w:rsidR="00304E9E" w:rsidRPr="00B40263" w:rsidP="004E34EB" w14:paraId="00BC8340" w14:textId="77777777">
            <w:pPr>
              <w:rPr>
                <w:rFonts w:eastAsia="Times New Roman" w:cs="Times New Roman"/>
                <w:spacing w:val="-1"/>
                <w:szCs w:val="20"/>
              </w:rPr>
            </w:pPr>
            <w:r w:rsidRPr="00B40263">
              <w:rPr>
                <w:rFonts w:eastAsia="Times New Roman" w:cs="Times New Roman"/>
                <w:spacing w:val="-1"/>
                <w:szCs w:val="20"/>
              </w:rPr>
              <w:t>Notice of completion of all interviews</w:t>
            </w:r>
          </w:p>
        </w:tc>
        <w:tc>
          <w:tcPr>
            <w:tcW w:w="2554" w:type="pct"/>
          </w:tcPr>
          <w:p w:rsidR="00304E9E" w:rsidRPr="00B40263" w:rsidP="004E34EB" w14:paraId="5B03DD61" w14:textId="77777777">
            <w:pPr>
              <w:rPr>
                <w:rFonts w:eastAsia="Times New Roman" w:cs="Times New Roman"/>
                <w:spacing w:val="-1"/>
                <w:szCs w:val="20"/>
              </w:rPr>
            </w:pPr>
            <w:r w:rsidRPr="00B40263">
              <w:rPr>
                <w:rFonts w:eastAsia="Times New Roman" w:cs="Times New Roman"/>
                <w:spacing w:val="-1"/>
                <w:szCs w:val="20"/>
              </w:rPr>
              <w:t>At least 1 month before end of period of performance</w:t>
            </w:r>
          </w:p>
        </w:tc>
      </w:tr>
    </w:tbl>
    <w:p w:rsidR="00356416" w:rsidP="008A51F9" w14:paraId="395927B8" w14:textId="77777777">
      <w:pPr>
        <w:pStyle w:val="Heading1"/>
        <w:spacing w:before="0" w:line="240" w:lineRule="auto"/>
        <w:rPr>
          <w:rFonts w:asciiTheme="minorHAnsi" w:hAnsiTheme="minorHAnsi" w:cstheme="minorHAnsi"/>
          <w:b/>
          <w:color w:val="auto"/>
          <w:sz w:val="24"/>
          <w:szCs w:val="24"/>
        </w:rPr>
      </w:pPr>
    </w:p>
    <w:p w:rsidR="00E109F6" w:rsidRPr="00F77C61" w:rsidP="008A51F9" w14:paraId="2C5594B0"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17. </w:t>
      </w:r>
      <w:r w:rsidRPr="00F77C61">
        <w:rPr>
          <w:rFonts w:asciiTheme="minorHAnsi" w:hAnsiTheme="minorHAnsi" w:cstheme="minorHAnsi"/>
          <w:b/>
          <w:color w:val="auto"/>
          <w:sz w:val="24"/>
          <w:szCs w:val="24"/>
        </w:rPr>
        <w:t>Reason(s) Display of OMB Expiration Date is Inappropriate</w:t>
      </w:r>
    </w:p>
    <w:p w:rsidR="008A51F9" w:rsidRPr="00F77C61" w:rsidP="008A51F9" w14:paraId="6A35EB6B" w14:textId="77777777">
      <w:pPr>
        <w:spacing w:after="0" w:line="240" w:lineRule="auto"/>
        <w:rPr>
          <w:rFonts w:cstheme="minorHAnsi"/>
          <w:sz w:val="24"/>
          <w:szCs w:val="24"/>
        </w:rPr>
      </w:pPr>
    </w:p>
    <w:p w:rsidR="00855D0D" w:rsidRPr="00F77C61" w:rsidP="004808B3" w14:paraId="31954CA7" w14:textId="77777777">
      <w:r w:rsidRPr="00F77C61">
        <w:t>The display of the OMB expiration date is not inappropriate.</w:t>
      </w:r>
    </w:p>
    <w:p w:rsidR="00746AEB" w:rsidRPr="00F77C61" w:rsidP="008A51F9" w14:paraId="47AA61E8" w14:textId="77777777">
      <w:pPr>
        <w:pStyle w:val="Heading1"/>
        <w:spacing w:before="0" w:line="240" w:lineRule="auto"/>
        <w:rPr>
          <w:rFonts w:asciiTheme="minorHAnsi" w:hAnsiTheme="minorHAnsi" w:cstheme="minorHAnsi"/>
          <w:b/>
          <w:color w:val="auto"/>
          <w:sz w:val="24"/>
          <w:szCs w:val="24"/>
        </w:rPr>
      </w:pPr>
    </w:p>
    <w:p w:rsidR="00E41FD3" w:rsidRPr="00F77C61" w:rsidP="008A51F9" w14:paraId="6E7AE6CE" w14:textId="77777777">
      <w:pPr>
        <w:pStyle w:val="Heading1"/>
        <w:spacing w:before="0" w:line="240" w:lineRule="auto"/>
        <w:rPr>
          <w:rFonts w:asciiTheme="minorHAnsi" w:hAnsiTheme="minorHAnsi" w:cstheme="minorHAnsi"/>
          <w:b/>
          <w:color w:val="auto"/>
          <w:sz w:val="24"/>
          <w:szCs w:val="24"/>
        </w:rPr>
      </w:pPr>
      <w:r w:rsidRPr="00F77C61">
        <w:rPr>
          <w:rFonts w:asciiTheme="minorHAnsi" w:hAnsiTheme="minorHAnsi" w:cstheme="minorHAnsi"/>
          <w:b/>
          <w:color w:val="auto"/>
          <w:sz w:val="24"/>
          <w:szCs w:val="24"/>
        </w:rPr>
        <w:t xml:space="preserve">18. </w:t>
      </w:r>
      <w:r w:rsidRPr="00F77C61">
        <w:rPr>
          <w:rFonts w:asciiTheme="minorHAnsi" w:hAnsiTheme="minorHAnsi" w:cstheme="minorHAnsi"/>
          <w:b/>
          <w:color w:val="auto"/>
          <w:sz w:val="24"/>
          <w:szCs w:val="24"/>
        </w:rPr>
        <w:t>Exceptions to Certification for Paperwork Reduction Act Submissions</w:t>
      </w:r>
    </w:p>
    <w:p w:rsidR="008A51F9" w:rsidRPr="00F77C61" w:rsidP="008A51F9" w14:paraId="7BF571C1" w14:textId="77777777">
      <w:pPr>
        <w:spacing w:after="0" w:line="240" w:lineRule="auto"/>
        <w:rPr>
          <w:rFonts w:cstheme="minorHAnsi"/>
          <w:sz w:val="24"/>
          <w:szCs w:val="24"/>
        </w:rPr>
      </w:pPr>
    </w:p>
    <w:p w:rsidR="00630287" w:rsidRPr="004808B3" w:rsidP="004808B3" w14:paraId="121A024F" w14:textId="77777777">
      <w:r w:rsidRPr="00F77C61">
        <w:t>There are no exceptions to the certification.</w:t>
      </w:r>
    </w:p>
    <w:sectPr w:rsidSect="00F57238">
      <w:headerReference w:type="default" r:id="rId13"/>
      <w:footerReference w:type="default" r:id="rId14"/>
      <w:pgSz w:w="12240" w:h="15840"/>
      <w:pgMar w:top="1440" w:right="1440" w:bottom="1440" w:left="1440" w:header="79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FranklinGothicStd-Book">
    <w:altName w:val="Cambria"/>
    <w:panose1 w:val="00000000000000000000"/>
    <w:charset w:val="00"/>
    <w:family w:val="roman"/>
    <w:notTrueType/>
    <w:pitch w:val="default"/>
  </w:font>
  <w:font w:name="ZapfDingbatsSt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4048990"/>
      <w:docPartObj>
        <w:docPartGallery w:val="Page Numbers (Bottom of Page)"/>
        <w:docPartUnique/>
      </w:docPartObj>
    </w:sdtPr>
    <w:sdtEndPr>
      <w:rPr>
        <w:rFonts w:ascii="Times New Roman" w:hAnsi="Times New Roman" w:cs="Times New Roman"/>
        <w:noProof/>
      </w:rPr>
    </w:sdtEndPr>
    <w:sdtContent>
      <w:p w:rsidR="00F06F57" w:rsidRPr="002C0102" w14:paraId="0EA1479F" w14:textId="77777777">
        <w:pPr>
          <w:pStyle w:val="Footer"/>
          <w:jc w:val="center"/>
          <w:rPr>
            <w:rFonts w:ascii="Times New Roman" w:hAnsi="Times New Roman" w:cs="Times New Roman"/>
          </w:rPr>
        </w:pPr>
        <w:r w:rsidRPr="002C0102">
          <w:rPr>
            <w:rFonts w:ascii="Times New Roman" w:hAnsi="Times New Roman" w:cs="Times New Roman"/>
            <w:color w:val="2B579A"/>
            <w:shd w:val="clear" w:color="auto" w:fill="E6E6E6"/>
          </w:rPr>
          <w:fldChar w:fldCharType="begin"/>
        </w:r>
        <w:r w:rsidRPr="002C0102">
          <w:rPr>
            <w:rFonts w:ascii="Times New Roman" w:hAnsi="Times New Roman" w:cs="Times New Roman"/>
          </w:rPr>
          <w:instrText xml:space="preserve"> PAGE   \* MERGEFORMAT </w:instrText>
        </w:r>
        <w:r w:rsidRPr="002C0102">
          <w:rPr>
            <w:rFonts w:ascii="Times New Roman" w:hAnsi="Times New Roman" w:cs="Times New Roman"/>
            <w:color w:val="2B579A"/>
            <w:shd w:val="clear" w:color="auto" w:fill="E6E6E6"/>
          </w:rPr>
          <w:fldChar w:fldCharType="separate"/>
        </w:r>
        <w:r w:rsidR="002C0102">
          <w:rPr>
            <w:rFonts w:ascii="Times New Roman" w:hAnsi="Times New Roman" w:cs="Times New Roman"/>
            <w:noProof/>
          </w:rPr>
          <w:t>15</w:t>
        </w:r>
        <w:r w:rsidRPr="002C0102">
          <w:rPr>
            <w:rFonts w:ascii="Times New Roman" w:hAnsi="Times New Roman" w:cs="Times New Roman"/>
            <w:noProof/>
            <w:color w:val="2B579A"/>
            <w:shd w:val="clear" w:color="auto" w:fill="E6E6E6"/>
          </w:rPr>
          <w:fldChar w:fldCharType="end"/>
        </w:r>
      </w:p>
    </w:sdtContent>
  </w:sdt>
  <w:p w:rsidR="00F06F57" w:rsidRPr="003448A1" w:rsidP="003448A1" w14:paraId="5C455DED" w14:textId="7777777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5669" w:rsidP="001E7D57" w14:paraId="0AD75AA8" w14:textId="77777777">
      <w:pPr>
        <w:spacing w:after="0" w:line="240" w:lineRule="auto"/>
      </w:pPr>
      <w:r>
        <w:separator/>
      </w:r>
    </w:p>
  </w:footnote>
  <w:footnote w:type="continuationSeparator" w:id="1">
    <w:p w:rsidR="009E5669" w:rsidP="001E7D57" w14:paraId="3F456468" w14:textId="77777777">
      <w:pPr>
        <w:spacing w:after="0" w:line="240" w:lineRule="auto"/>
      </w:pPr>
      <w:r>
        <w:continuationSeparator/>
      </w:r>
    </w:p>
  </w:footnote>
  <w:footnote w:type="continuationNotice" w:id="2">
    <w:p w:rsidR="009E5669" w14:paraId="2F1D8C24" w14:textId="77777777">
      <w:pPr>
        <w:spacing w:after="0" w:line="240" w:lineRule="auto"/>
      </w:pPr>
    </w:p>
  </w:footnote>
  <w:footnote w:id="3">
    <w:p w:rsidR="0067281F" w14:paraId="728F5E7F" w14:textId="77777777">
      <w:pPr>
        <w:pStyle w:val="FootnoteText"/>
      </w:pPr>
      <w:r>
        <w:rPr>
          <w:rStyle w:val="FootnoteReference"/>
        </w:rPr>
        <w:footnoteRef/>
      </w:r>
      <w:r>
        <w:t xml:space="preserve"> U.S. Fire Administration [2024]. </w:t>
      </w:r>
      <w:r w:rsidRPr="00B32FB7" w:rsidR="00B32FB7">
        <w:t>National Fire Department Registry Quick Facts</w:t>
      </w:r>
      <w:r w:rsidR="00B32FB7">
        <w:t xml:space="preserve">. Emmitsburg, MD: </w:t>
      </w:r>
      <w:r w:rsidR="00087269">
        <w:t xml:space="preserve">Federal Emergency Management Agency, </w:t>
      </w:r>
      <w:r w:rsidR="00B32FB7">
        <w:t xml:space="preserve">U.S. Fire Administration,  </w:t>
      </w:r>
      <w:hyperlink r:id="rId1" w:history="1">
        <w:r w:rsidRPr="00D6008B" w:rsidR="00087269">
          <w:rPr>
            <w:rStyle w:val="Hyperlink"/>
          </w:rPr>
          <w:t>https://apps.usfa.fema.gov/registry/summary</w:t>
        </w:r>
      </w:hyperlink>
      <w:r w:rsidR="000872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6F57" w:rsidRPr="00F77C61" w:rsidP="428B442A" w14:paraId="5F284671" w14:textId="77777777">
    <w:pPr>
      <w:pStyle w:val="Header"/>
      <w:rPr>
        <w:i/>
        <w:iCs/>
      </w:rPr>
    </w:pPr>
    <w:r w:rsidRPr="428B442A">
      <w:rPr>
        <w:i/>
        <w:iCs/>
      </w:rPr>
      <w:t>Customer Discovery Interviews with Five NIOSH Audiences</w:t>
    </w:r>
    <w:r w:rsidR="7DF38E60">
      <w:tab/>
    </w:r>
    <w:r w:rsidRPr="428B442A">
      <w:rPr>
        <w:i/>
        <w:iCs/>
      </w:rPr>
      <w:t>Supporting Statement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64938"/>
    <w:multiLevelType w:val="hybridMultilevel"/>
    <w:tmpl w:val="807474C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4CB1C39"/>
    <w:multiLevelType w:val="hybridMultilevel"/>
    <w:tmpl w:val="E16ED8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EE1E2D"/>
    <w:multiLevelType w:val="hybridMultilevel"/>
    <w:tmpl w:val="39E22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83B27"/>
    <w:multiLevelType w:val="hybridMultilevel"/>
    <w:tmpl w:val="EF88F6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BE293B"/>
    <w:multiLevelType w:val="multilevel"/>
    <w:tmpl w:val="DDE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461A9"/>
    <w:multiLevelType w:val="hybridMultilevel"/>
    <w:tmpl w:val="9B601F7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15714B43"/>
    <w:multiLevelType w:val="hybridMultilevel"/>
    <w:tmpl w:val="851AD39A"/>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Times New Roman" w:hAnsi="Times New Roman" w:eastAsiaTheme="minorHAns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6BD0B1A"/>
    <w:multiLevelType w:val="hybridMultilevel"/>
    <w:tmpl w:val="401855C6"/>
    <w:lvl w:ilvl="0">
      <w:start w:val="1"/>
      <w:numFmt w:val="decimal"/>
      <w:lvlText w:val="%1."/>
      <w:lvlJc w:val="left"/>
      <w:pPr>
        <w:ind w:left="135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6DA6612"/>
    <w:multiLevelType w:val="hybridMultilevel"/>
    <w:tmpl w:val="7B7A87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873381C"/>
    <w:multiLevelType w:val="multilevel"/>
    <w:tmpl w:val="7442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A083C"/>
    <w:multiLevelType w:val="hybridMultilevel"/>
    <w:tmpl w:val="34F89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724F29"/>
    <w:multiLevelType w:val="hybridMultilevel"/>
    <w:tmpl w:val="50F06462"/>
    <w:lvl w:ilvl="0">
      <w:start w:val="1"/>
      <w:numFmt w:val="bullet"/>
      <w:lvlText w:val=""/>
      <w:lvlJc w:val="left"/>
      <w:pPr>
        <w:ind w:left="450" w:hanging="360"/>
      </w:pPr>
      <w:rPr>
        <w:rFonts w:ascii="Wingdings" w:hAnsi="Wingdings"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2">
    <w:nsid w:val="1C4A0830"/>
    <w:multiLevelType w:val="hybridMultilevel"/>
    <w:tmpl w:val="74380F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ED336D"/>
    <w:multiLevelType w:val="hybridMultilevel"/>
    <w:tmpl w:val="5D96A5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2C46F18"/>
    <w:multiLevelType w:val="hybridMultilevel"/>
    <w:tmpl w:val="662048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1C4962"/>
    <w:multiLevelType w:val="hybridMultilevel"/>
    <w:tmpl w:val="10DE8E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EA3E2E"/>
    <w:multiLevelType w:val="hybridMultilevel"/>
    <w:tmpl w:val="F2D6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B464D76"/>
    <w:multiLevelType w:val="hybridMultilevel"/>
    <w:tmpl w:val="DC8A5F0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8">
    <w:nsid w:val="2CDC1FB2"/>
    <w:multiLevelType w:val="multilevel"/>
    <w:tmpl w:val="4DF0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F3750E"/>
    <w:multiLevelType w:val="multilevel"/>
    <w:tmpl w:val="E610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1D43F6"/>
    <w:multiLevelType w:val="multilevel"/>
    <w:tmpl w:val="DFBE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7C2C41"/>
    <w:multiLevelType w:val="hybridMultilevel"/>
    <w:tmpl w:val="D8249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C261D6"/>
    <w:multiLevelType w:val="multilevel"/>
    <w:tmpl w:val="584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6A4E0"/>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26723FA"/>
    <w:multiLevelType w:val="hybridMultilevel"/>
    <w:tmpl w:val="B298FD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5">
    <w:nsid w:val="44897BD8"/>
    <w:multiLevelType w:val="hybridMultilevel"/>
    <w:tmpl w:val="B29EF1E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F829BC"/>
    <w:multiLevelType w:val="hybridMultilevel"/>
    <w:tmpl w:val="83942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F33F57"/>
    <w:multiLevelType w:val="hybridMultilevel"/>
    <w:tmpl w:val="37CE4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984A4E"/>
    <w:multiLevelType w:val="hybridMultilevel"/>
    <w:tmpl w:val="10DE8E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9F08D9"/>
    <w:multiLevelType w:val="hybridMultilevel"/>
    <w:tmpl w:val="1B6C6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B85459"/>
    <w:multiLevelType w:val="hybridMultilevel"/>
    <w:tmpl w:val="60E6D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7C179F"/>
    <w:multiLevelType w:val="hybridMultilevel"/>
    <w:tmpl w:val="EC0E7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E856EE"/>
    <w:multiLevelType w:val="hybridMultilevel"/>
    <w:tmpl w:val="BBB23F64"/>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7C0E47"/>
    <w:multiLevelType w:val="hybridMultilevel"/>
    <w:tmpl w:val="ED6A78E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4">
    <w:nsid w:val="54034CFA"/>
    <w:multiLevelType w:val="hybridMultilevel"/>
    <w:tmpl w:val="6BF4F3C8"/>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642686A"/>
    <w:multiLevelType w:val="hybridMultilevel"/>
    <w:tmpl w:val="DCD2F23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6">
    <w:nsid w:val="5ABE7971"/>
    <w:multiLevelType w:val="hybridMultilevel"/>
    <w:tmpl w:val="5F6AE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B73FA8C"/>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5E286CC2"/>
    <w:multiLevelType w:val="hybridMultilevel"/>
    <w:tmpl w:val="0E7032B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1F372CB"/>
    <w:multiLevelType w:val="hybridMultilevel"/>
    <w:tmpl w:val="43FA3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B00595"/>
    <w:multiLevelType w:val="hybridMultilevel"/>
    <w:tmpl w:val="A426C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98643F"/>
    <w:multiLevelType w:val="hybridMultilevel"/>
    <w:tmpl w:val="130AA7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9A7CAC"/>
    <w:multiLevelType w:val="hybridMultilevel"/>
    <w:tmpl w:val="151058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D1675E"/>
    <w:multiLevelType w:val="multilevel"/>
    <w:tmpl w:val="BB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5B13D5"/>
    <w:multiLevelType w:val="hybridMultilevel"/>
    <w:tmpl w:val="FF1ED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8E5C6F"/>
    <w:multiLevelType w:val="multilevel"/>
    <w:tmpl w:val="AD2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15955"/>
    <w:multiLevelType w:val="hybridMultilevel"/>
    <w:tmpl w:val="ACDAD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5675693">
    <w:abstractNumId w:val="34"/>
  </w:num>
  <w:num w:numId="2" w16cid:durableId="648097307">
    <w:abstractNumId w:val="31"/>
  </w:num>
  <w:num w:numId="3" w16cid:durableId="328413202">
    <w:abstractNumId w:val="26"/>
  </w:num>
  <w:num w:numId="4" w16cid:durableId="405765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095281">
    <w:abstractNumId w:val="16"/>
  </w:num>
  <w:num w:numId="6" w16cid:durableId="1078748744">
    <w:abstractNumId w:val="25"/>
  </w:num>
  <w:num w:numId="7" w16cid:durableId="1169178370">
    <w:abstractNumId w:val="46"/>
  </w:num>
  <w:num w:numId="8" w16cid:durableId="250700694">
    <w:abstractNumId w:val="22"/>
  </w:num>
  <w:num w:numId="9" w16cid:durableId="1736705256">
    <w:abstractNumId w:val="1"/>
  </w:num>
  <w:num w:numId="10" w16cid:durableId="1230772023">
    <w:abstractNumId w:val="6"/>
  </w:num>
  <w:num w:numId="11" w16cid:durableId="981158951">
    <w:abstractNumId w:val="45"/>
  </w:num>
  <w:num w:numId="12" w16cid:durableId="1012874622">
    <w:abstractNumId w:val="4"/>
  </w:num>
  <w:num w:numId="13" w16cid:durableId="805395170">
    <w:abstractNumId w:val="43"/>
  </w:num>
  <w:num w:numId="14" w16cid:durableId="1508790026">
    <w:abstractNumId w:val="19"/>
  </w:num>
  <w:num w:numId="15" w16cid:durableId="1551453410">
    <w:abstractNumId w:val="20"/>
  </w:num>
  <w:num w:numId="16" w16cid:durableId="828666798">
    <w:abstractNumId w:val="9"/>
  </w:num>
  <w:num w:numId="17" w16cid:durableId="1581914232">
    <w:abstractNumId w:val="18"/>
  </w:num>
  <w:num w:numId="18" w16cid:durableId="358969107">
    <w:abstractNumId w:val="39"/>
  </w:num>
  <w:num w:numId="19" w16cid:durableId="1384063338">
    <w:abstractNumId w:val="27"/>
  </w:num>
  <w:num w:numId="20" w16cid:durableId="1864395944">
    <w:abstractNumId w:val="44"/>
  </w:num>
  <w:num w:numId="21" w16cid:durableId="1254359417">
    <w:abstractNumId w:val="2"/>
  </w:num>
  <w:num w:numId="22" w16cid:durableId="777792782">
    <w:abstractNumId w:val="30"/>
  </w:num>
  <w:num w:numId="23" w16cid:durableId="644697339">
    <w:abstractNumId w:val="36"/>
  </w:num>
  <w:num w:numId="24" w16cid:durableId="1175538479">
    <w:abstractNumId w:val="17"/>
  </w:num>
  <w:num w:numId="25" w16cid:durableId="724261328">
    <w:abstractNumId w:val="11"/>
  </w:num>
  <w:num w:numId="26" w16cid:durableId="683018949">
    <w:abstractNumId w:val="12"/>
  </w:num>
  <w:num w:numId="27" w16cid:durableId="983893694">
    <w:abstractNumId w:val="14"/>
  </w:num>
  <w:num w:numId="28" w16cid:durableId="1512794237">
    <w:abstractNumId w:val="8"/>
  </w:num>
  <w:num w:numId="29" w16cid:durableId="1367220803">
    <w:abstractNumId w:val="37"/>
  </w:num>
  <w:num w:numId="30" w16cid:durableId="1342394493">
    <w:abstractNumId w:val="23"/>
  </w:num>
  <w:num w:numId="31" w16cid:durableId="1024746693">
    <w:abstractNumId w:val="13"/>
  </w:num>
  <w:num w:numId="32" w16cid:durableId="1161121899">
    <w:abstractNumId w:val="42"/>
  </w:num>
  <w:num w:numId="33" w16cid:durableId="908920833">
    <w:abstractNumId w:val="7"/>
  </w:num>
  <w:num w:numId="34" w16cid:durableId="956564847">
    <w:abstractNumId w:val="3"/>
  </w:num>
  <w:num w:numId="35" w16cid:durableId="1974826036">
    <w:abstractNumId w:val="15"/>
  </w:num>
  <w:num w:numId="36" w16cid:durableId="957613369">
    <w:abstractNumId w:val="28"/>
  </w:num>
  <w:num w:numId="37" w16cid:durableId="1734310710">
    <w:abstractNumId w:val="41"/>
  </w:num>
  <w:num w:numId="38" w16cid:durableId="1876892358">
    <w:abstractNumId w:val="32"/>
  </w:num>
  <w:num w:numId="39" w16cid:durableId="1367026838">
    <w:abstractNumId w:val="38"/>
  </w:num>
  <w:num w:numId="40" w16cid:durableId="243031891">
    <w:abstractNumId w:val="29"/>
  </w:num>
  <w:num w:numId="41" w16cid:durableId="1487938014">
    <w:abstractNumId w:val="40"/>
  </w:num>
  <w:num w:numId="42" w16cid:durableId="392505560">
    <w:abstractNumId w:val="10"/>
  </w:num>
  <w:num w:numId="43" w16cid:durableId="21905529">
    <w:abstractNumId w:val="21"/>
  </w:num>
  <w:num w:numId="44" w16cid:durableId="1352955453">
    <w:abstractNumId w:val="5"/>
  </w:num>
  <w:num w:numId="45" w16cid:durableId="1751542464">
    <w:abstractNumId w:val="33"/>
  </w:num>
  <w:num w:numId="46" w16cid:durableId="1212300927">
    <w:abstractNumId w:val="35"/>
  </w:num>
  <w:num w:numId="47" w16cid:durableId="1080566016">
    <w:abstractNumId w:val="24"/>
  </w:num>
  <w:num w:numId="48" w16cid:durableId="197894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8F"/>
    <w:rsid w:val="000016C3"/>
    <w:rsid w:val="00001854"/>
    <w:rsid w:val="00002BA6"/>
    <w:rsid w:val="0000403B"/>
    <w:rsid w:val="00004421"/>
    <w:rsid w:val="00005E2C"/>
    <w:rsid w:val="00007A24"/>
    <w:rsid w:val="00007DAA"/>
    <w:rsid w:val="0001018D"/>
    <w:rsid w:val="00011031"/>
    <w:rsid w:val="000111FF"/>
    <w:rsid w:val="000113A0"/>
    <w:rsid w:val="0001176D"/>
    <w:rsid w:val="00012109"/>
    <w:rsid w:val="0001226A"/>
    <w:rsid w:val="00013000"/>
    <w:rsid w:val="000171CD"/>
    <w:rsid w:val="00017F99"/>
    <w:rsid w:val="000201C7"/>
    <w:rsid w:val="000209CB"/>
    <w:rsid w:val="00022C51"/>
    <w:rsid w:val="000246F8"/>
    <w:rsid w:val="000251EB"/>
    <w:rsid w:val="00025C03"/>
    <w:rsid w:val="00027DFD"/>
    <w:rsid w:val="0003013A"/>
    <w:rsid w:val="00030F69"/>
    <w:rsid w:val="00032D22"/>
    <w:rsid w:val="00034CA2"/>
    <w:rsid w:val="00040391"/>
    <w:rsid w:val="00040F7D"/>
    <w:rsid w:val="00042109"/>
    <w:rsid w:val="000430BE"/>
    <w:rsid w:val="0004322D"/>
    <w:rsid w:val="00044039"/>
    <w:rsid w:val="00044796"/>
    <w:rsid w:val="00044CFB"/>
    <w:rsid w:val="000457CC"/>
    <w:rsid w:val="00045E12"/>
    <w:rsid w:val="00047AA9"/>
    <w:rsid w:val="00054AEA"/>
    <w:rsid w:val="00055071"/>
    <w:rsid w:val="0005794D"/>
    <w:rsid w:val="00057B33"/>
    <w:rsid w:val="00060C6C"/>
    <w:rsid w:val="000635D2"/>
    <w:rsid w:val="00064624"/>
    <w:rsid w:val="000656C9"/>
    <w:rsid w:val="0006571F"/>
    <w:rsid w:val="00065DAA"/>
    <w:rsid w:val="000664CB"/>
    <w:rsid w:val="00066856"/>
    <w:rsid w:val="00066E4C"/>
    <w:rsid w:val="00067B48"/>
    <w:rsid w:val="00067E48"/>
    <w:rsid w:val="00067E75"/>
    <w:rsid w:val="000711A6"/>
    <w:rsid w:val="000714C7"/>
    <w:rsid w:val="0007162E"/>
    <w:rsid w:val="0007196C"/>
    <w:rsid w:val="0007214C"/>
    <w:rsid w:val="00072264"/>
    <w:rsid w:val="000723AD"/>
    <w:rsid w:val="00072D52"/>
    <w:rsid w:val="00075261"/>
    <w:rsid w:val="00075C83"/>
    <w:rsid w:val="000769E3"/>
    <w:rsid w:val="000806AC"/>
    <w:rsid w:val="000812AD"/>
    <w:rsid w:val="00081B36"/>
    <w:rsid w:val="0008368B"/>
    <w:rsid w:val="00085225"/>
    <w:rsid w:val="00087269"/>
    <w:rsid w:val="00090C0C"/>
    <w:rsid w:val="00091243"/>
    <w:rsid w:val="00091F0D"/>
    <w:rsid w:val="000920DE"/>
    <w:rsid w:val="0009260E"/>
    <w:rsid w:val="00093DEC"/>
    <w:rsid w:val="000970B0"/>
    <w:rsid w:val="000973C1"/>
    <w:rsid w:val="000973E5"/>
    <w:rsid w:val="000A0163"/>
    <w:rsid w:val="000A0733"/>
    <w:rsid w:val="000A0934"/>
    <w:rsid w:val="000A09B8"/>
    <w:rsid w:val="000A14E9"/>
    <w:rsid w:val="000A3A4C"/>
    <w:rsid w:val="000A3EAB"/>
    <w:rsid w:val="000A692B"/>
    <w:rsid w:val="000B1185"/>
    <w:rsid w:val="000B1CDA"/>
    <w:rsid w:val="000B3219"/>
    <w:rsid w:val="000B3B1A"/>
    <w:rsid w:val="000B4326"/>
    <w:rsid w:val="000B4DAE"/>
    <w:rsid w:val="000B57F3"/>
    <w:rsid w:val="000C2F95"/>
    <w:rsid w:val="000C3797"/>
    <w:rsid w:val="000C5142"/>
    <w:rsid w:val="000C5750"/>
    <w:rsid w:val="000C7C35"/>
    <w:rsid w:val="000D0AFF"/>
    <w:rsid w:val="000D0F84"/>
    <w:rsid w:val="000D17BF"/>
    <w:rsid w:val="000D1F75"/>
    <w:rsid w:val="000D3D1F"/>
    <w:rsid w:val="000D4EDA"/>
    <w:rsid w:val="000D5257"/>
    <w:rsid w:val="000D7C27"/>
    <w:rsid w:val="000E11F2"/>
    <w:rsid w:val="000E3559"/>
    <w:rsid w:val="000E3B47"/>
    <w:rsid w:val="000E4BC0"/>
    <w:rsid w:val="000E62B4"/>
    <w:rsid w:val="000E6D74"/>
    <w:rsid w:val="000E75A1"/>
    <w:rsid w:val="000E7F2E"/>
    <w:rsid w:val="000F0D09"/>
    <w:rsid w:val="000F152C"/>
    <w:rsid w:val="000F3141"/>
    <w:rsid w:val="000F3E04"/>
    <w:rsid w:val="000F4EE4"/>
    <w:rsid w:val="000F5164"/>
    <w:rsid w:val="000F5285"/>
    <w:rsid w:val="000F5C27"/>
    <w:rsid w:val="000F689A"/>
    <w:rsid w:val="000F6C99"/>
    <w:rsid w:val="00100C6A"/>
    <w:rsid w:val="0010479B"/>
    <w:rsid w:val="00104EB3"/>
    <w:rsid w:val="001054C1"/>
    <w:rsid w:val="00106695"/>
    <w:rsid w:val="00107351"/>
    <w:rsid w:val="0011090F"/>
    <w:rsid w:val="00111116"/>
    <w:rsid w:val="0011208B"/>
    <w:rsid w:val="00113A82"/>
    <w:rsid w:val="00114342"/>
    <w:rsid w:val="001143DE"/>
    <w:rsid w:val="00116D47"/>
    <w:rsid w:val="00125423"/>
    <w:rsid w:val="00125692"/>
    <w:rsid w:val="00125707"/>
    <w:rsid w:val="00125FCE"/>
    <w:rsid w:val="00126925"/>
    <w:rsid w:val="00126FF0"/>
    <w:rsid w:val="0012718B"/>
    <w:rsid w:val="0013036C"/>
    <w:rsid w:val="00131869"/>
    <w:rsid w:val="00132112"/>
    <w:rsid w:val="00133257"/>
    <w:rsid w:val="00137057"/>
    <w:rsid w:val="001423ED"/>
    <w:rsid w:val="00142C04"/>
    <w:rsid w:val="00142C3F"/>
    <w:rsid w:val="001434AD"/>
    <w:rsid w:val="00143531"/>
    <w:rsid w:val="0014376C"/>
    <w:rsid w:val="00144C6C"/>
    <w:rsid w:val="0014550B"/>
    <w:rsid w:val="00145AB8"/>
    <w:rsid w:val="001463B5"/>
    <w:rsid w:val="00146C6F"/>
    <w:rsid w:val="0015273F"/>
    <w:rsid w:val="001545EF"/>
    <w:rsid w:val="001572FD"/>
    <w:rsid w:val="001578D1"/>
    <w:rsid w:val="00160324"/>
    <w:rsid w:val="001604D2"/>
    <w:rsid w:val="00160B07"/>
    <w:rsid w:val="00161884"/>
    <w:rsid w:val="0016254A"/>
    <w:rsid w:val="00164DDC"/>
    <w:rsid w:val="0016509C"/>
    <w:rsid w:val="001654CD"/>
    <w:rsid w:val="0017030B"/>
    <w:rsid w:val="00172950"/>
    <w:rsid w:val="001731C9"/>
    <w:rsid w:val="001759F0"/>
    <w:rsid w:val="00177632"/>
    <w:rsid w:val="00182C6B"/>
    <w:rsid w:val="00186689"/>
    <w:rsid w:val="00191EF7"/>
    <w:rsid w:val="00193D19"/>
    <w:rsid w:val="00193F51"/>
    <w:rsid w:val="00195EEC"/>
    <w:rsid w:val="001975D9"/>
    <w:rsid w:val="00197880"/>
    <w:rsid w:val="001A0E0F"/>
    <w:rsid w:val="001A221D"/>
    <w:rsid w:val="001A2544"/>
    <w:rsid w:val="001A450E"/>
    <w:rsid w:val="001A4D34"/>
    <w:rsid w:val="001A5538"/>
    <w:rsid w:val="001A57AB"/>
    <w:rsid w:val="001A5B5D"/>
    <w:rsid w:val="001A686F"/>
    <w:rsid w:val="001A7455"/>
    <w:rsid w:val="001A7778"/>
    <w:rsid w:val="001B1236"/>
    <w:rsid w:val="001B1822"/>
    <w:rsid w:val="001B23D8"/>
    <w:rsid w:val="001B25FE"/>
    <w:rsid w:val="001B37F5"/>
    <w:rsid w:val="001B4247"/>
    <w:rsid w:val="001B555C"/>
    <w:rsid w:val="001B5FFE"/>
    <w:rsid w:val="001B6237"/>
    <w:rsid w:val="001B6F99"/>
    <w:rsid w:val="001B704B"/>
    <w:rsid w:val="001B7493"/>
    <w:rsid w:val="001B7F4C"/>
    <w:rsid w:val="001C2038"/>
    <w:rsid w:val="001C2AB4"/>
    <w:rsid w:val="001C2B02"/>
    <w:rsid w:val="001C349D"/>
    <w:rsid w:val="001C4C73"/>
    <w:rsid w:val="001C5A7E"/>
    <w:rsid w:val="001C5BD8"/>
    <w:rsid w:val="001C7DCC"/>
    <w:rsid w:val="001D195F"/>
    <w:rsid w:val="001D280F"/>
    <w:rsid w:val="001D356D"/>
    <w:rsid w:val="001D4B1B"/>
    <w:rsid w:val="001D5A0F"/>
    <w:rsid w:val="001D6309"/>
    <w:rsid w:val="001D6A28"/>
    <w:rsid w:val="001D7362"/>
    <w:rsid w:val="001D76B3"/>
    <w:rsid w:val="001E21B6"/>
    <w:rsid w:val="001E5307"/>
    <w:rsid w:val="001E5396"/>
    <w:rsid w:val="001E7D57"/>
    <w:rsid w:val="001E7E20"/>
    <w:rsid w:val="001F1348"/>
    <w:rsid w:val="001F2AAB"/>
    <w:rsid w:val="001F3CEA"/>
    <w:rsid w:val="001F5624"/>
    <w:rsid w:val="001F6345"/>
    <w:rsid w:val="001F6806"/>
    <w:rsid w:val="001F7747"/>
    <w:rsid w:val="002002ED"/>
    <w:rsid w:val="00204C57"/>
    <w:rsid w:val="002075B3"/>
    <w:rsid w:val="00210E25"/>
    <w:rsid w:val="00211BDD"/>
    <w:rsid w:val="00211D13"/>
    <w:rsid w:val="002124C5"/>
    <w:rsid w:val="00212DDA"/>
    <w:rsid w:val="00213524"/>
    <w:rsid w:val="00214A09"/>
    <w:rsid w:val="0021555E"/>
    <w:rsid w:val="002155E2"/>
    <w:rsid w:val="00216999"/>
    <w:rsid w:val="00216B29"/>
    <w:rsid w:val="00216BAB"/>
    <w:rsid w:val="00220263"/>
    <w:rsid w:val="002216D8"/>
    <w:rsid w:val="0022173B"/>
    <w:rsid w:val="0022182F"/>
    <w:rsid w:val="00222ED0"/>
    <w:rsid w:val="00226C90"/>
    <w:rsid w:val="0022702B"/>
    <w:rsid w:val="0023077C"/>
    <w:rsid w:val="002334AB"/>
    <w:rsid w:val="00235300"/>
    <w:rsid w:val="0023589D"/>
    <w:rsid w:val="00235DD7"/>
    <w:rsid w:val="002369DD"/>
    <w:rsid w:val="00236F5D"/>
    <w:rsid w:val="0023752E"/>
    <w:rsid w:val="002400CC"/>
    <w:rsid w:val="00241DAE"/>
    <w:rsid w:val="00244331"/>
    <w:rsid w:val="0024686A"/>
    <w:rsid w:val="00247307"/>
    <w:rsid w:val="00247591"/>
    <w:rsid w:val="00250A9E"/>
    <w:rsid w:val="0025105F"/>
    <w:rsid w:val="00251231"/>
    <w:rsid w:val="00251E66"/>
    <w:rsid w:val="00255278"/>
    <w:rsid w:val="00256BEB"/>
    <w:rsid w:val="002608F1"/>
    <w:rsid w:val="00261091"/>
    <w:rsid w:val="00266D3B"/>
    <w:rsid w:val="0027001C"/>
    <w:rsid w:val="002705D6"/>
    <w:rsid w:val="002707B8"/>
    <w:rsid w:val="00270D63"/>
    <w:rsid w:val="002716EA"/>
    <w:rsid w:val="00271AA1"/>
    <w:rsid w:val="00271E8A"/>
    <w:rsid w:val="002732FB"/>
    <w:rsid w:val="002733D9"/>
    <w:rsid w:val="002733E5"/>
    <w:rsid w:val="002777EF"/>
    <w:rsid w:val="00277B8D"/>
    <w:rsid w:val="00285EB9"/>
    <w:rsid w:val="00286318"/>
    <w:rsid w:val="00287B45"/>
    <w:rsid w:val="00290E6A"/>
    <w:rsid w:val="00291DC4"/>
    <w:rsid w:val="002920B5"/>
    <w:rsid w:val="00292511"/>
    <w:rsid w:val="00292EA4"/>
    <w:rsid w:val="0029453D"/>
    <w:rsid w:val="00294925"/>
    <w:rsid w:val="002963C8"/>
    <w:rsid w:val="00297135"/>
    <w:rsid w:val="002A01F7"/>
    <w:rsid w:val="002A03F9"/>
    <w:rsid w:val="002A061D"/>
    <w:rsid w:val="002A07FF"/>
    <w:rsid w:val="002A2CB1"/>
    <w:rsid w:val="002A3F3D"/>
    <w:rsid w:val="002A456C"/>
    <w:rsid w:val="002A5876"/>
    <w:rsid w:val="002A73F0"/>
    <w:rsid w:val="002A79D8"/>
    <w:rsid w:val="002B0AE5"/>
    <w:rsid w:val="002B1505"/>
    <w:rsid w:val="002B40CB"/>
    <w:rsid w:val="002B54FF"/>
    <w:rsid w:val="002B59C6"/>
    <w:rsid w:val="002B7513"/>
    <w:rsid w:val="002B75A1"/>
    <w:rsid w:val="002C0102"/>
    <w:rsid w:val="002C054D"/>
    <w:rsid w:val="002C1F3B"/>
    <w:rsid w:val="002C2737"/>
    <w:rsid w:val="002C2783"/>
    <w:rsid w:val="002C5407"/>
    <w:rsid w:val="002C593A"/>
    <w:rsid w:val="002C6640"/>
    <w:rsid w:val="002D0A39"/>
    <w:rsid w:val="002D15D6"/>
    <w:rsid w:val="002D3B4D"/>
    <w:rsid w:val="002D3B59"/>
    <w:rsid w:val="002D4E1D"/>
    <w:rsid w:val="002D6109"/>
    <w:rsid w:val="002D652C"/>
    <w:rsid w:val="002D664F"/>
    <w:rsid w:val="002E0A7C"/>
    <w:rsid w:val="002E3A35"/>
    <w:rsid w:val="002E3C94"/>
    <w:rsid w:val="002E4FB8"/>
    <w:rsid w:val="002E510C"/>
    <w:rsid w:val="002E5F5B"/>
    <w:rsid w:val="002F342B"/>
    <w:rsid w:val="002F419E"/>
    <w:rsid w:val="002F4AE5"/>
    <w:rsid w:val="002F5000"/>
    <w:rsid w:val="002F5261"/>
    <w:rsid w:val="002F5B25"/>
    <w:rsid w:val="002F6639"/>
    <w:rsid w:val="002F6D9C"/>
    <w:rsid w:val="00302271"/>
    <w:rsid w:val="00302283"/>
    <w:rsid w:val="0030256F"/>
    <w:rsid w:val="00302EEF"/>
    <w:rsid w:val="00303476"/>
    <w:rsid w:val="00304A0D"/>
    <w:rsid w:val="00304E9E"/>
    <w:rsid w:val="00307D61"/>
    <w:rsid w:val="003115FD"/>
    <w:rsid w:val="00312939"/>
    <w:rsid w:val="00312EE2"/>
    <w:rsid w:val="00313C74"/>
    <w:rsid w:val="00315A70"/>
    <w:rsid w:val="003162F1"/>
    <w:rsid w:val="00316813"/>
    <w:rsid w:val="00316DC8"/>
    <w:rsid w:val="0031778E"/>
    <w:rsid w:val="00323E39"/>
    <w:rsid w:val="00323E5E"/>
    <w:rsid w:val="0032414A"/>
    <w:rsid w:val="0032478D"/>
    <w:rsid w:val="003259B9"/>
    <w:rsid w:val="00326CC9"/>
    <w:rsid w:val="003270A5"/>
    <w:rsid w:val="003272D3"/>
    <w:rsid w:val="0033049A"/>
    <w:rsid w:val="0033085D"/>
    <w:rsid w:val="00331262"/>
    <w:rsid w:val="00331E5F"/>
    <w:rsid w:val="003327E0"/>
    <w:rsid w:val="003346BB"/>
    <w:rsid w:val="0033488D"/>
    <w:rsid w:val="00334E80"/>
    <w:rsid w:val="00335902"/>
    <w:rsid w:val="0033699F"/>
    <w:rsid w:val="0033788D"/>
    <w:rsid w:val="00337D22"/>
    <w:rsid w:val="00340FF1"/>
    <w:rsid w:val="00341BB4"/>
    <w:rsid w:val="00341EE2"/>
    <w:rsid w:val="00342664"/>
    <w:rsid w:val="00344358"/>
    <w:rsid w:val="0034444E"/>
    <w:rsid w:val="003448A1"/>
    <w:rsid w:val="003468CB"/>
    <w:rsid w:val="00347923"/>
    <w:rsid w:val="00347A0A"/>
    <w:rsid w:val="00347A28"/>
    <w:rsid w:val="00350CB0"/>
    <w:rsid w:val="003518D0"/>
    <w:rsid w:val="0035311F"/>
    <w:rsid w:val="00354116"/>
    <w:rsid w:val="003559E6"/>
    <w:rsid w:val="00356416"/>
    <w:rsid w:val="0035648D"/>
    <w:rsid w:val="003567CF"/>
    <w:rsid w:val="003567F9"/>
    <w:rsid w:val="00356D32"/>
    <w:rsid w:val="003601E7"/>
    <w:rsid w:val="0036108A"/>
    <w:rsid w:val="0036294B"/>
    <w:rsid w:val="0036297B"/>
    <w:rsid w:val="00364E72"/>
    <w:rsid w:val="00365942"/>
    <w:rsid w:val="00365A4A"/>
    <w:rsid w:val="003662F2"/>
    <w:rsid w:val="00366D8B"/>
    <w:rsid w:val="00367D78"/>
    <w:rsid w:val="00370736"/>
    <w:rsid w:val="003722CB"/>
    <w:rsid w:val="0037245A"/>
    <w:rsid w:val="00374849"/>
    <w:rsid w:val="00374C66"/>
    <w:rsid w:val="00375505"/>
    <w:rsid w:val="00375558"/>
    <w:rsid w:val="00377239"/>
    <w:rsid w:val="00381EB5"/>
    <w:rsid w:val="00381FF7"/>
    <w:rsid w:val="00383055"/>
    <w:rsid w:val="00383BB7"/>
    <w:rsid w:val="003841BB"/>
    <w:rsid w:val="00384ED5"/>
    <w:rsid w:val="0038641A"/>
    <w:rsid w:val="00386833"/>
    <w:rsid w:val="00391F76"/>
    <w:rsid w:val="00392237"/>
    <w:rsid w:val="00392E13"/>
    <w:rsid w:val="0039364D"/>
    <w:rsid w:val="00394543"/>
    <w:rsid w:val="00394921"/>
    <w:rsid w:val="00394F20"/>
    <w:rsid w:val="0039506E"/>
    <w:rsid w:val="003A01DD"/>
    <w:rsid w:val="003A2AB0"/>
    <w:rsid w:val="003A2CB4"/>
    <w:rsid w:val="003A364D"/>
    <w:rsid w:val="003A4212"/>
    <w:rsid w:val="003A46D0"/>
    <w:rsid w:val="003A5E9A"/>
    <w:rsid w:val="003A6F05"/>
    <w:rsid w:val="003A731C"/>
    <w:rsid w:val="003B12DE"/>
    <w:rsid w:val="003B25BD"/>
    <w:rsid w:val="003B348C"/>
    <w:rsid w:val="003B44D3"/>
    <w:rsid w:val="003B527C"/>
    <w:rsid w:val="003B5693"/>
    <w:rsid w:val="003B648D"/>
    <w:rsid w:val="003C08FB"/>
    <w:rsid w:val="003C66B5"/>
    <w:rsid w:val="003C700F"/>
    <w:rsid w:val="003D0948"/>
    <w:rsid w:val="003D0A69"/>
    <w:rsid w:val="003D3498"/>
    <w:rsid w:val="003D4033"/>
    <w:rsid w:val="003D4FC1"/>
    <w:rsid w:val="003D6B52"/>
    <w:rsid w:val="003D75DD"/>
    <w:rsid w:val="003D7DC3"/>
    <w:rsid w:val="003E027C"/>
    <w:rsid w:val="003E0990"/>
    <w:rsid w:val="003E1E8B"/>
    <w:rsid w:val="003E1EF5"/>
    <w:rsid w:val="003E2335"/>
    <w:rsid w:val="003E27C8"/>
    <w:rsid w:val="003E28CF"/>
    <w:rsid w:val="003E2C48"/>
    <w:rsid w:val="003E3436"/>
    <w:rsid w:val="003E3D3E"/>
    <w:rsid w:val="003E5337"/>
    <w:rsid w:val="003E6637"/>
    <w:rsid w:val="003F065E"/>
    <w:rsid w:val="003F22F5"/>
    <w:rsid w:val="003F3F19"/>
    <w:rsid w:val="003F6B96"/>
    <w:rsid w:val="0040017B"/>
    <w:rsid w:val="004022F6"/>
    <w:rsid w:val="00404822"/>
    <w:rsid w:val="00405070"/>
    <w:rsid w:val="00405BEA"/>
    <w:rsid w:val="00411157"/>
    <w:rsid w:val="00412BC5"/>
    <w:rsid w:val="00412D98"/>
    <w:rsid w:val="004139FD"/>
    <w:rsid w:val="0041464F"/>
    <w:rsid w:val="0041521E"/>
    <w:rsid w:val="00420897"/>
    <w:rsid w:val="004210F3"/>
    <w:rsid w:val="004224F9"/>
    <w:rsid w:val="00422BA4"/>
    <w:rsid w:val="004231BB"/>
    <w:rsid w:val="00427471"/>
    <w:rsid w:val="00430101"/>
    <w:rsid w:val="00430111"/>
    <w:rsid w:val="00430AE0"/>
    <w:rsid w:val="004313D6"/>
    <w:rsid w:val="00431A4A"/>
    <w:rsid w:val="00432720"/>
    <w:rsid w:val="00432A41"/>
    <w:rsid w:val="004330BF"/>
    <w:rsid w:val="004334A9"/>
    <w:rsid w:val="0043385E"/>
    <w:rsid w:val="00435C85"/>
    <w:rsid w:val="00435C92"/>
    <w:rsid w:val="00437304"/>
    <w:rsid w:val="004417D0"/>
    <w:rsid w:val="00442432"/>
    <w:rsid w:val="00442907"/>
    <w:rsid w:val="00442A3D"/>
    <w:rsid w:val="00443418"/>
    <w:rsid w:val="004441F9"/>
    <w:rsid w:val="00444298"/>
    <w:rsid w:val="0044478B"/>
    <w:rsid w:val="0045675D"/>
    <w:rsid w:val="00461310"/>
    <w:rsid w:val="00462062"/>
    <w:rsid w:val="00462C5A"/>
    <w:rsid w:val="0046454D"/>
    <w:rsid w:val="00466D96"/>
    <w:rsid w:val="004676B0"/>
    <w:rsid w:val="0047038B"/>
    <w:rsid w:val="004703F9"/>
    <w:rsid w:val="0047062D"/>
    <w:rsid w:val="00470EEB"/>
    <w:rsid w:val="00471455"/>
    <w:rsid w:val="004716CC"/>
    <w:rsid w:val="00472849"/>
    <w:rsid w:val="00472E66"/>
    <w:rsid w:val="00472F41"/>
    <w:rsid w:val="00472F65"/>
    <w:rsid w:val="00473A1B"/>
    <w:rsid w:val="004740D4"/>
    <w:rsid w:val="00474365"/>
    <w:rsid w:val="00474D0D"/>
    <w:rsid w:val="004762FC"/>
    <w:rsid w:val="0047652D"/>
    <w:rsid w:val="00476D2F"/>
    <w:rsid w:val="00480671"/>
    <w:rsid w:val="004808B3"/>
    <w:rsid w:val="004814B0"/>
    <w:rsid w:val="004824F3"/>
    <w:rsid w:val="0048334B"/>
    <w:rsid w:val="00483FDA"/>
    <w:rsid w:val="00485085"/>
    <w:rsid w:val="004852AB"/>
    <w:rsid w:val="0048550D"/>
    <w:rsid w:val="004856EC"/>
    <w:rsid w:val="00490A87"/>
    <w:rsid w:val="00491E35"/>
    <w:rsid w:val="004928D6"/>
    <w:rsid w:val="00494B9B"/>
    <w:rsid w:val="00496B16"/>
    <w:rsid w:val="00497C26"/>
    <w:rsid w:val="004A1A0D"/>
    <w:rsid w:val="004A3C26"/>
    <w:rsid w:val="004A4F5E"/>
    <w:rsid w:val="004A53FE"/>
    <w:rsid w:val="004A6281"/>
    <w:rsid w:val="004A7727"/>
    <w:rsid w:val="004B0342"/>
    <w:rsid w:val="004B0802"/>
    <w:rsid w:val="004B210F"/>
    <w:rsid w:val="004B2D6E"/>
    <w:rsid w:val="004B3822"/>
    <w:rsid w:val="004B3FD6"/>
    <w:rsid w:val="004B54C4"/>
    <w:rsid w:val="004B6EE5"/>
    <w:rsid w:val="004B7AAC"/>
    <w:rsid w:val="004B7DA0"/>
    <w:rsid w:val="004C01D9"/>
    <w:rsid w:val="004C369D"/>
    <w:rsid w:val="004C47FC"/>
    <w:rsid w:val="004C535E"/>
    <w:rsid w:val="004C5D78"/>
    <w:rsid w:val="004C5E43"/>
    <w:rsid w:val="004C6AAC"/>
    <w:rsid w:val="004C731A"/>
    <w:rsid w:val="004D02E1"/>
    <w:rsid w:val="004D1E11"/>
    <w:rsid w:val="004D33E7"/>
    <w:rsid w:val="004D3491"/>
    <w:rsid w:val="004D47A7"/>
    <w:rsid w:val="004D49CE"/>
    <w:rsid w:val="004D4BC4"/>
    <w:rsid w:val="004D51DD"/>
    <w:rsid w:val="004D5D13"/>
    <w:rsid w:val="004D782A"/>
    <w:rsid w:val="004D7C72"/>
    <w:rsid w:val="004E01A4"/>
    <w:rsid w:val="004E05BA"/>
    <w:rsid w:val="004E15EB"/>
    <w:rsid w:val="004E1AE0"/>
    <w:rsid w:val="004E2FBE"/>
    <w:rsid w:val="004E2FCE"/>
    <w:rsid w:val="004E30D7"/>
    <w:rsid w:val="004E34EB"/>
    <w:rsid w:val="004E37EB"/>
    <w:rsid w:val="004E4391"/>
    <w:rsid w:val="004E43B3"/>
    <w:rsid w:val="004E4AF9"/>
    <w:rsid w:val="004E5E70"/>
    <w:rsid w:val="004E5E71"/>
    <w:rsid w:val="004F033C"/>
    <w:rsid w:val="004F0A97"/>
    <w:rsid w:val="004F13C7"/>
    <w:rsid w:val="004F18DE"/>
    <w:rsid w:val="004F2050"/>
    <w:rsid w:val="004F464D"/>
    <w:rsid w:val="004F4651"/>
    <w:rsid w:val="004F594D"/>
    <w:rsid w:val="004F5CCC"/>
    <w:rsid w:val="004F6A3D"/>
    <w:rsid w:val="004F6F9A"/>
    <w:rsid w:val="004F73AF"/>
    <w:rsid w:val="004F7442"/>
    <w:rsid w:val="004F7514"/>
    <w:rsid w:val="004F7E86"/>
    <w:rsid w:val="00501C20"/>
    <w:rsid w:val="00502107"/>
    <w:rsid w:val="00505EA8"/>
    <w:rsid w:val="00505FAD"/>
    <w:rsid w:val="005060DB"/>
    <w:rsid w:val="00506DA6"/>
    <w:rsid w:val="0050743C"/>
    <w:rsid w:val="00507782"/>
    <w:rsid w:val="00512200"/>
    <w:rsid w:val="00512382"/>
    <w:rsid w:val="005123C8"/>
    <w:rsid w:val="005153C9"/>
    <w:rsid w:val="0051681C"/>
    <w:rsid w:val="00524863"/>
    <w:rsid w:val="00525343"/>
    <w:rsid w:val="00526A0C"/>
    <w:rsid w:val="00526BB5"/>
    <w:rsid w:val="00532F65"/>
    <w:rsid w:val="00533052"/>
    <w:rsid w:val="0053335E"/>
    <w:rsid w:val="0053389D"/>
    <w:rsid w:val="00535AC0"/>
    <w:rsid w:val="00535E24"/>
    <w:rsid w:val="00536909"/>
    <w:rsid w:val="00544785"/>
    <w:rsid w:val="00546369"/>
    <w:rsid w:val="00547C9F"/>
    <w:rsid w:val="00550E63"/>
    <w:rsid w:val="005518CB"/>
    <w:rsid w:val="00551EE4"/>
    <w:rsid w:val="005521B7"/>
    <w:rsid w:val="00553000"/>
    <w:rsid w:val="00553559"/>
    <w:rsid w:val="00554059"/>
    <w:rsid w:val="00555C34"/>
    <w:rsid w:val="00557B62"/>
    <w:rsid w:val="00557B6A"/>
    <w:rsid w:val="00557DBD"/>
    <w:rsid w:val="0056335B"/>
    <w:rsid w:val="00563EDB"/>
    <w:rsid w:val="005648CF"/>
    <w:rsid w:val="0056494A"/>
    <w:rsid w:val="005654AA"/>
    <w:rsid w:val="005678D6"/>
    <w:rsid w:val="005725E4"/>
    <w:rsid w:val="005737B1"/>
    <w:rsid w:val="00573D4D"/>
    <w:rsid w:val="00574004"/>
    <w:rsid w:val="005748C0"/>
    <w:rsid w:val="00576719"/>
    <w:rsid w:val="00576A67"/>
    <w:rsid w:val="00577F0E"/>
    <w:rsid w:val="00581929"/>
    <w:rsid w:val="00582C8F"/>
    <w:rsid w:val="00583B14"/>
    <w:rsid w:val="00584584"/>
    <w:rsid w:val="005875E8"/>
    <w:rsid w:val="005903C6"/>
    <w:rsid w:val="005904AD"/>
    <w:rsid w:val="00590725"/>
    <w:rsid w:val="00590E3E"/>
    <w:rsid w:val="00591E17"/>
    <w:rsid w:val="005921F7"/>
    <w:rsid w:val="00593443"/>
    <w:rsid w:val="005950A7"/>
    <w:rsid w:val="00595473"/>
    <w:rsid w:val="0059551F"/>
    <w:rsid w:val="00595CB1"/>
    <w:rsid w:val="005A11A1"/>
    <w:rsid w:val="005A1792"/>
    <w:rsid w:val="005A3E3C"/>
    <w:rsid w:val="005A579B"/>
    <w:rsid w:val="005A703D"/>
    <w:rsid w:val="005B0B7F"/>
    <w:rsid w:val="005B0C5F"/>
    <w:rsid w:val="005B27CE"/>
    <w:rsid w:val="005B2EAA"/>
    <w:rsid w:val="005B32AF"/>
    <w:rsid w:val="005B3954"/>
    <w:rsid w:val="005B3F6E"/>
    <w:rsid w:val="005B4532"/>
    <w:rsid w:val="005B7A05"/>
    <w:rsid w:val="005C04ED"/>
    <w:rsid w:val="005C0901"/>
    <w:rsid w:val="005C0BBF"/>
    <w:rsid w:val="005C175D"/>
    <w:rsid w:val="005C20F5"/>
    <w:rsid w:val="005C34F2"/>
    <w:rsid w:val="005C3A6B"/>
    <w:rsid w:val="005C4CD4"/>
    <w:rsid w:val="005D2834"/>
    <w:rsid w:val="005D295B"/>
    <w:rsid w:val="005D7602"/>
    <w:rsid w:val="005E2288"/>
    <w:rsid w:val="005E2C51"/>
    <w:rsid w:val="005E4774"/>
    <w:rsid w:val="005E47BF"/>
    <w:rsid w:val="005E61CC"/>
    <w:rsid w:val="005E63AB"/>
    <w:rsid w:val="005F1037"/>
    <w:rsid w:val="005F26C9"/>
    <w:rsid w:val="005F522D"/>
    <w:rsid w:val="005F60B3"/>
    <w:rsid w:val="005F64BA"/>
    <w:rsid w:val="006015E2"/>
    <w:rsid w:val="00605D9C"/>
    <w:rsid w:val="00606637"/>
    <w:rsid w:val="006108DF"/>
    <w:rsid w:val="00611A1D"/>
    <w:rsid w:val="00611E8C"/>
    <w:rsid w:val="00612794"/>
    <w:rsid w:val="00612BF5"/>
    <w:rsid w:val="00613035"/>
    <w:rsid w:val="00613AD6"/>
    <w:rsid w:val="00614BE9"/>
    <w:rsid w:val="00615352"/>
    <w:rsid w:val="00617E0A"/>
    <w:rsid w:val="006207D8"/>
    <w:rsid w:val="006211FC"/>
    <w:rsid w:val="006225A6"/>
    <w:rsid w:val="00623217"/>
    <w:rsid w:val="00623B13"/>
    <w:rsid w:val="00625263"/>
    <w:rsid w:val="00626012"/>
    <w:rsid w:val="00630287"/>
    <w:rsid w:val="006310F7"/>
    <w:rsid w:val="0063162F"/>
    <w:rsid w:val="00632AE9"/>
    <w:rsid w:val="0063391C"/>
    <w:rsid w:val="00634B7A"/>
    <w:rsid w:val="0063609C"/>
    <w:rsid w:val="006371A7"/>
    <w:rsid w:val="006374C5"/>
    <w:rsid w:val="00640199"/>
    <w:rsid w:val="00640A2D"/>
    <w:rsid w:val="00643658"/>
    <w:rsid w:val="00643BEF"/>
    <w:rsid w:val="00646E9A"/>
    <w:rsid w:val="00647391"/>
    <w:rsid w:val="0064741F"/>
    <w:rsid w:val="00651C5B"/>
    <w:rsid w:val="006530F0"/>
    <w:rsid w:val="006556A0"/>
    <w:rsid w:val="00655DD3"/>
    <w:rsid w:val="0065639D"/>
    <w:rsid w:val="006574C8"/>
    <w:rsid w:val="006607AA"/>
    <w:rsid w:val="00660838"/>
    <w:rsid w:val="006610DB"/>
    <w:rsid w:val="00664170"/>
    <w:rsid w:val="00664838"/>
    <w:rsid w:val="00665051"/>
    <w:rsid w:val="0066559E"/>
    <w:rsid w:val="006661E2"/>
    <w:rsid w:val="00666407"/>
    <w:rsid w:val="00667A21"/>
    <w:rsid w:val="00670B1E"/>
    <w:rsid w:val="0067281F"/>
    <w:rsid w:val="00673B23"/>
    <w:rsid w:val="00674DA6"/>
    <w:rsid w:val="0067532E"/>
    <w:rsid w:val="0067637C"/>
    <w:rsid w:val="00676D41"/>
    <w:rsid w:val="00680727"/>
    <w:rsid w:val="00681514"/>
    <w:rsid w:val="00682BA2"/>
    <w:rsid w:val="006842FE"/>
    <w:rsid w:val="006853EA"/>
    <w:rsid w:val="006873A1"/>
    <w:rsid w:val="0069361E"/>
    <w:rsid w:val="006961EB"/>
    <w:rsid w:val="0069628C"/>
    <w:rsid w:val="006963BA"/>
    <w:rsid w:val="00696652"/>
    <w:rsid w:val="00697199"/>
    <w:rsid w:val="00697464"/>
    <w:rsid w:val="006A2498"/>
    <w:rsid w:val="006A4E70"/>
    <w:rsid w:val="006A6B44"/>
    <w:rsid w:val="006A7D37"/>
    <w:rsid w:val="006B0777"/>
    <w:rsid w:val="006B0D8E"/>
    <w:rsid w:val="006B2663"/>
    <w:rsid w:val="006B2809"/>
    <w:rsid w:val="006B2B73"/>
    <w:rsid w:val="006B2F33"/>
    <w:rsid w:val="006B54BC"/>
    <w:rsid w:val="006B5635"/>
    <w:rsid w:val="006B6BEC"/>
    <w:rsid w:val="006B6DCA"/>
    <w:rsid w:val="006B7327"/>
    <w:rsid w:val="006C0069"/>
    <w:rsid w:val="006C0404"/>
    <w:rsid w:val="006C0D25"/>
    <w:rsid w:val="006C1491"/>
    <w:rsid w:val="006C16D7"/>
    <w:rsid w:val="006C2C96"/>
    <w:rsid w:val="006C42CC"/>
    <w:rsid w:val="006C568F"/>
    <w:rsid w:val="006C63AE"/>
    <w:rsid w:val="006C7F73"/>
    <w:rsid w:val="006D027F"/>
    <w:rsid w:val="006D042D"/>
    <w:rsid w:val="006D28C6"/>
    <w:rsid w:val="006D34A3"/>
    <w:rsid w:val="006D3D90"/>
    <w:rsid w:val="006D6A10"/>
    <w:rsid w:val="006D744E"/>
    <w:rsid w:val="006D7E44"/>
    <w:rsid w:val="006E09E5"/>
    <w:rsid w:val="006E1C4F"/>
    <w:rsid w:val="006E225D"/>
    <w:rsid w:val="006E2779"/>
    <w:rsid w:val="006E2D67"/>
    <w:rsid w:val="006E2DBF"/>
    <w:rsid w:val="006E6634"/>
    <w:rsid w:val="006E7B91"/>
    <w:rsid w:val="006F1C9F"/>
    <w:rsid w:val="006F385C"/>
    <w:rsid w:val="006F38BE"/>
    <w:rsid w:val="006F5C3A"/>
    <w:rsid w:val="006F6CF1"/>
    <w:rsid w:val="006F6DA7"/>
    <w:rsid w:val="0070060F"/>
    <w:rsid w:val="00700D4D"/>
    <w:rsid w:val="00701888"/>
    <w:rsid w:val="007032AD"/>
    <w:rsid w:val="007039E2"/>
    <w:rsid w:val="00703B61"/>
    <w:rsid w:val="007044E1"/>
    <w:rsid w:val="00704E58"/>
    <w:rsid w:val="00706826"/>
    <w:rsid w:val="00707046"/>
    <w:rsid w:val="00707A41"/>
    <w:rsid w:val="00713E3E"/>
    <w:rsid w:val="007140BC"/>
    <w:rsid w:val="00714AB5"/>
    <w:rsid w:val="007151F2"/>
    <w:rsid w:val="00720D5E"/>
    <w:rsid w:val="0072117F"/>
    <w:rsid w:val="007217ED"/>
    <w:rsid w:val="00721BB6"/>
    <w:rsid w:val="0072261D"/>
    <w:rsid w:val="007227DB"/>
    <w:rsid w:val="00723E02"/>
    <w:rsid w:val="00723F00"/>
    <w:rsid w:val="00730849"/>
    <w:rsid w:val="00731F94"/>
    <w:rsid w:val="007328BE"/>
    <w:rsid w:val="00734669"/>
    <w:rsid w:val="00735998"/>
    <w:rsid w:val="00737BE3"/>
    <w:rsid w:val="00740251"/>
    <w:rsid w:val="00740B58"/>
    <w:rsid w:val="00740E45"/>
    <w:rsid w:val="00741787"/>
    <w:rsid w:val="00743A70"/>
    <w:rsid w:val="00743B8D"/>
    <w:rsid w:val="00743B99"/>
    <w:rsid w:val="00745E54"/>
    <w:rsid w:val="00746AEB"/>
    <w:rsid w:val="007479BF"/>
    <w:rsid w:val="007504E3"/>
    <w:rsid w:val="00751C7D"/>
    <w:rsid w:val="00753A47"/>
    <w:rsid w:val="007541D1"/>
    <w:rsid w:val="00755107"/>
    <w:rsid w:val="00755396"/>
    <w:rsid w:val="007568AA"/>
    <w:rsid w:val="00760EE0"/>
    <w:rsid w:val="00761321"/>
    <w:rsid w:val="00761EA9"/>
    <w:rsid w:val="0076313B"/>
    <w:rsid w:val="007646D4"/>
    <w:rsid w:val="0076598F"/>
    <w:rsid w:val="00765F65"/>
    <w:rsid w:val="007663F6"/>
    <w:rsid w:val="00766FB7"/>
    <w:rsid w:val="007672A8"/>
    <w:rsid w:val="00770164"/>
    <w:rsid w:val="00772021"/>
    <w:rsid w:val="007727C8"/>
    <w:rsid w:val="00773678"/>
    <w:rsid w:val="00773CBB"/>
    <w:rsid w:val="00774968"/>
    <w:rsid w:val="00780BC9"/>
    <w:rsid w:val="00781248"/>
    <w:rsid w:val="00781B3E"/>
    <w:rsid w:val="00781C4E"/>
    <w:rsid w:val="007823F4"/>
    <w:rsid w:val="00782C99"/>
    <w:rsid w:val="007841BF"/>
    <w:rsid w:val="00784F5C"/>
    <w:rsid w:val="00786B68"/>
    <w:rsid w:val="0078767E"/>
    <w:rsid w:val="007920AC"/>
    <w:rsid w:val="0079282D"/>
    <w:rsid w:val="00793117"/>
    <w:rsid w:val="00796516"/>
    <w:rsid w:val="007A0D09"/>
    <w:rsid w:val="007A11F8"/>
    <w:rsid w:val="007A1492"/>
    <w:rsid w:val="007A2DA3"/>
    <w:rsid w:val="007A4A69"/>
    <w:rsid w:val="007A55E3"/>
    <w:rsid w:val="007A58B7"/>
    <w:rsid w:val="007A5E77"/>
    <w:rsid w:val="007A6261"/>
    <w:rsid w:val="007B0AE9"/>
    <w:rsid w:val="007B2E34"/>
    <w:rsid w:val="007B489E"/>
    <w:rsid w:val="007B7D14"/>
    <w:rsid w:val="007C0B72"/>
    <w:rsid w:val="007C1D44"/>
    <w:rsid w:val="007C3CAA"/>
    <w:rsid w:val="007C5AEF"/>
    <w:rsid w:val="007C5B1B"/>
    <w:rsid w:val="007C5EB1"/>
    <w:rsid w:val="007C6012"/>
    <w:rsid w:val="007D37E5"/>
    <w:rsid w:val="007D41B8"/>
    <w:rsid w:val="007D468E"/>
    <w:rsid w:val="007D4812"/>
    <w:rsid w:val="007D4EF5"/>
    <w:rsid w:val="007D6D82"/>
    <w:rsid w:val="007D7235"/>
    <w:rsid w:val="007D799B"/>
    <w:rsid w:val="007D79DB"/>
    <w:rsid w:val="007D7A44"/>
    <w:rsid w:val="007E0734"/>
    <w:rsid w:val="007E24E0"/>
    <w:rsid w:val="007E452A"/>
    <w:rsid w:val="007E4FE8"/>
    <w:rsid w:val="007F2F0C"/>
    <w:rsid w:val="007F3453"/>
    <w:rsid w:val="007F37DA"/>
    <w:rsid w:val="007F5A08"/>
    <w:rsid w:val="0080341A"/>
    <w:rsid w:val="00803866"/>
    <w:rsid w:val="00805BB7"/>
    <w:rsid w:val="00807B9E"/>
    <w:rsid w:val="0081008F"/>
    <w:rsid w:val="00812C9F"/>
    <w:rsid w:val="00813584"/>
    <w:rsid w:val="00813F1A"/>
    <w:rsid w:val="0081489A"/>
    <w:rsid w:val="00815FD6"/>
    <w:rsid w:val="008172D6"/>
    <w:rsid w:val="0082198C"/>
    <w:rsid w:val="00821AB9"/>
    <w:rsid w:val="00822E24"/>
    <w:rsid w:val="00823556"/>
    <w:rsid w:val="008237D1"/>
    <w:rsid w:val="00826904"/>
    <w:rsid w:val="00826AAD"/>
    <w:rsid w:val="008303C9"/>
    <w:rsid w:val="008310D9"/>
    <w:rsid w:val="00834991"/>
    <w:rsid w:val="0083555E"/>
    <w:rsid w:val="008355F6"/>
    <w:rsid w:val="00835D53"/>
    <w:rsid w:val="00836A78"/>
    <w:rsid w:val="008370AD"/>
    <w:rsid w:val="0083718E"/>
    <w:rsid w:val="008371ED"/>
    <w:rsid w:val="00837331"/>
    <w:rsid w:val="008406E3"/>
    <w:rsid w:val="00842F6B"/>
    <w:rsid w:val="00843CA0"/>
    <w:rsid w:val="00844891"/>
    <w:rsid w:val="00844B11"/>
    <w:rsid w:val="00844D88"/>
    <w:rsid w:val="008453E6"/>
    <w:rsid w:val="008461A7"/>
    <w:rsid w:val="008464AD"/>
    <w:rsid w:val="00847073"/>
    <w:rsid w:val="00847AFD"/>
    <w:rsid w:val="00852500"/>
    <w:rsid w:val="008529E1"/>
    <w:rsid w:val="00852E08"/>
    <w:rsid w:val="00853EF8"/>
    <w:rsid w:val="00854578"/>
    <w:rsid w:val="00854DF1"/>
    <w:rsid w:val="00855D0D"/>
    <w:rsid w:val="00855E93"/>
    <w:rsid w:val="00856F58"/>
    <w:rsid w:val="00860C33"/>
    <w:rsid w:val="008614CD"/>
    <w:rsid w:val="0086180C"/>
    <w:rsid w:val="008622BA"/>
    <w:rsid w:val="00863FEE"/>
    <w:rsid w:val="008643AA"/>
    <w:rsid w:val="00866163"/>
    <w:rsid w:val="00866B3E"/>
    <w:rsid w:val="008672E6"/>
    <w:rsid w:val="00870836"/>
    <w:rsid w:val="00872485"/>
    <w:rsid w:val="0087295B"/>
    <w:rsid w:val="0087353B"/>
    <w:rsid w:val="00873DCD"/>
    <w:rsid w:val="00874277"/>
    <w:rsid w:val="008743A1"/>
    <w:rsid w:val="00874974"/>
    <w:rsid w:val="00875A67"/>
    <w:rsid w:val="00876F40"/>
    <w:rsid w:val="00877623"/>
    <w:rsid w:val="00877E3B"/>
    <w:rsid w:val="0088003F"/>
    <w:rsid w:val="00880917"/>
    <w:rsid w:val="008815A0"/>
    <w:rsid w:val="00882285"/>
    <w:rsid w:val="00883197"/>
    <w:rsid w:val="0088621B"/>
    <w:rsid w:val="0088695B"/>
    <w:rsid w:val="0088695E"/>
    <w:rsid w:val="008877EE"/>
    <w:rsid w:val="00887812"/>
    <w:rsid w:val="008903E4"/>
    <w:rsid w:val="00891889"/>
    <w:rsid w:val="008918FF"/>
    <w:rsid w:val="00892697"/>
    <w:rsid w:val="00893110"/>
    <w:rsid w:val="008936BC"/>
    <w:rsid w:val="00894958"/>
    <w:rsid w:val="00894DCF"/>
    <w:rsid w:val="008966F1"/>
    <w:rsid w:val="00897A6E"/>
    <w:rsid w:val="008A025E"/>
    <w:rsid w:val="008A1DDB"/>
    <w:rsid w:val="008A23C6"/>
    <w:rsid w:val="008A5034"/>
    <w:rsid w:val="008A51F9"/>
    <w:rsid w:val="008A693A"/>
    <w:rsid w:val="008A75A3"/>
    <w:rsid w:val="008A770B"/>
    <w:rsid w:val="008A7B0A"/>
    <w:rsid w:val="008B0D3F"/>
    <w:rsid w:val="008B1AF7"/>
    <w:rsid w:val="008B5A20"/>
    <w:rsid w:val="008B7B7E"/>
    <w:rsid w:val="008C058B"/>
    <w:rsid w:val="008C131C"/>
    <w:rsid w:val="008C1909"/>
    <w:rsid w:val="008C1CA8"/>
    <w:rsid w:val="008C26E8"/>
    <w:rsid w:val="008C2DCA"/>
    <w:rsid w:val="008C3204"/>
    <w:rsid w:val="008C4450"/>
    <w:rsid w:val="008C4D81"/>
    <w:rsid w:val="008C5039"/>
    <w:rsid w:val="008C57CE"/>
    <w:rsid w:val="008C5916"/>
    <w:rsid w:val="008C5D74"/>
    <w:rsid w:val="008C6E20"/>
    <w:rsid w:val="008C7741"/>
    <w:rsid w:val="008D23F6"/>
    <w:rsid w:val="008D2AE8"/>
    <w:rsid w:val="008D3861"/>
    <w:rsid w:val="008D3987"/>
    <w:rsid w:val="008D3EF3"/>
    <w:rsid w:val="008D40C5"/>
    <w:rsid w:val="008D4220"/>
    <w:rsid w:val="008D45AF"/>
    <w:rsid w:val="008D4712"/>
    <w:rsid w:val="008E0B61"/>
    <w:rsid w:val="008E1004"/>
    <w:rsid w:val="008E252D"/>
    <w:rsid w:val="008E2F6E"/>
    <w:rsid w:val="008E37D9"/>
    <w:rsid w:val="008E5B54"/>
    <w:rsid w:val="008E7FFC"/>
    <w:rsid w:val="008F51BC"/>
    <w:rsid w:val="008F5592"/>
    <w:rsid w:val="008F5636"/>
    <w:rsid w:val="008F71B3"/>
    <w:rsid w:val="008F71B8"/>
    <w:rsid w:val="008F7CA9"/>
    <w:rsid w:val="008F7D48"/>
    <w:rsid w:val="00900AFB"/>
    <w:rsid w:val="00900C0A"/>
    <w:rsid w:val="00901F00"/>
    <w:rsid w:val="009031B7"/>
    <w:rsid w:val="0090355D"/>
    <w:rsid w:val="009047FA"/>
    <w:rsid w:val="00904F2F"/>
    <w:rsid w:val="00905ADB"/>
    <w:rsid w:val="00905E29"/>
    <w:rsid w:val="00907FE5"/>
    <w:rsid w:val="00910028"/>
    <w:rsid w:val="00910760"/>
    <w:rsid w:val="00910A31"/>
    <w:rsid w:val="00910E70"/>
    <w:rsid w:val="00911603"/>
    <w:rsid w:val="009121EA"/>
    <w:rsid w:val="00912624"/>
    <w:rsid w:val="00914040"/>
    <w:rsid w:val="00914F7E"/>
    <w:rsid w:val="00916A33"/>
    <w:rsid w:val="0092009C"/>
    <w:rsid w:val="009208A5"/>
    <w:rsid w:val="00920E4C"/>
    <w:rsid w:val="00921521"/>
    <w:rsid w:val="009216F5"/>
    <w:rsid w:val="0092193B"/>
    <w:rsid w:val="009227E8"/>
    <w:rsid w:val="00923439"/>
    <w:rsid w:val="00925806"/>
    <w:rsid w:val="0092715D"/>
    <w:rsid w:val="00931676"/>
    <w:rsid w:val="0093235F"/>
    <w:rsid w:val="00932DB0"/>
    <w:rsid w:val="009352DE"/>
    <w:rsid w:val="0093668E"/>
    <w:rsid w:val="0093746F"/>
    <w:rsid w:val="00941195"/>
    <w:rsid w:val="00943BB4"/>
    <w:rsid w:val="009451E0"/>
    <w:rsid w:val="00946203"/>
    <w:rsid w:val="009468F5"/>
    <w:rsid w:val="00947424"/>
    <w:rsid w:val="009506FA"/>
    <w:rsid w:val="00951B9C"/>
    <w:rsid w:val="00952CEE"/>
    <w:rsid w:val="00954C21"/>
    <w:rsid w:val="00957399"/>
    <w:rsid w:val="00957763"/>
    <w:rsid w:val="00960393"/>
    <w:rsid w:val="009614BA"/>
    <w:rsid w:val="00961A0B"/>
    <w:rsid w:val="00965AD8"/>
    <w:rsid w:val="00966AA3"/>
    <w:rsid w:val="00975913"/>
    <w:rsid w:val="009761DC"/>
    <w:rsid w:val="009762C1"/>
    <w:rsid w:val="00976D94"/>
    <w:rsid w:val="00980011"/>
    <w:rsid w:val="00981585"/>
    <w:rsid w:val="00983113"/>
    <w:rsid w:val="00983C06"/>
    <w:rsid w:val="00985DC9"/>
    <w:rsid w:val="0098637D"/>
    <w:rsid w:val="00986542"/>
    <w:rsid w:val="0098674B"/>
    <w:rsid w:val="00987B5F"/>
    <w:rsid w:val="00992C52"/>
    <w:rsid w:val="009933E6"/>
    <w:rsid w:val="00993C02"/>
    <w:rsid w:val="009942E1"/>
    <w:rsid w:val="00996242"/>
    <w:rsid w:val="009964A9"/>
    <w:rsid w:val="00996FE4"/>
    <w:rsid w:val="009A0BF5"/>
    <w:rsid w:val="009A222D"/>
    <w:rsid w:val="009A2CEF"/>
    <w:rsid w:val="009A313B"/>
    <w:rsid w:val="009A429B"/>
    <w:rsid w:val="009A502E"/>
    <w:rsid w:val="009A6FC5"/>
    <w:rsid w:val="009B0F75"/>
    <w:rsid w:val="009B1319"/>
    <w:rsid w:val="009B23BC"/>
    <w:rsid w:val="009B2C4B"/>
    <w:rsid w:val="009B314A"/>
    <w:rsid w:val="009B337B"/>
    <w:rsid w:val="009B3C70"/>
    <w:rsid w:val="009B53AA"/>
    <w:rsid w:val="009C1558"/>
    <w:rsid w:val="009C205B"/>
    <w:rsid w:val="009C77AD"/>
    <w:rsid w:val="009D1B4D"/>
    <w:rsid w:val="009D1CFC"/>
    <w:rsid w:val="009D31B2"/>
    <w:rsid w:val="009D3A68"/>
    <w:rsid w:val="009D6103"/>
    <w:rsid w:val="009D6752"/>
    <w:rsid w:val="009D6F07"/>
    <w:rsid w:val="009E0E90"/>
    <w:rsid w:val="009E1312"/>
    <w:rsid w:val="009E3AA3"/>
    <w:rsid w:val="009E3DBB"/>
    <w:rsid w:val="009E3DE0"/>
    <w:rsid w:val="009E3E64"/>
    <w:rsid w:val="009E5669"/>
    <w:rsid w:val="009E6268"/>
    <w:rsid w:val="009E784F"/>
    <w:rsid w:val="009F1116"/>
    <w:rsid w:val="009F2E4D"/>
    <w:rsid w:val="009F3C0A"/>
    <w:rsid w:val="009F4419"/>
    <w:rsid w:val="009F473B"/>
    <w:rsid w:val="009F58DC"/>
    <w:rsid w:val="009F5C8B"/>
    <w:rsid w:val="009F5F64"/>
    <w:rsid w:val="009F6490"/>
    <w:rsid w:val="009F7D59"/>
    <w:rsid w:val="00A003D6"/>
    <w:rsid w:val="00A01F90"/>
    <w:rsid w:val="00A022E3"/>
    <w:rsid w:val="00A030F3"/>
    <w:rsid w:val="00A03340"/>
    <w:rsid w:val="00A0394E"/>
    <w:rsid w:val="00A04335"/>
    <w:rsid w:val="00A04EAA"/>
    <w:rsid w:val="00A0580B"/>
    <w:rsid w:val="00A06E54"/>
    <w:rsid w:val="00A105DA"/>
    <w:rsid w:val="00A10936"/>
    <w:rsid w:val="00A12FB4"/>
    <w:rsid w:val="00A131FE"/>
    <w:rsid w:val="00A14AF5"/>
    <w:rsid w:val="00A15789"/>
    <w:rsid w:val="00A15D2E"/>
    <w:rsid w:val="00A16DFB"/>
    <w:rsid w:val="00A20853"/>
    <w:rsid w:val="00A208CB"/>
    <w:rsid w:val="00A20D90"/>
    <w:rsid w:val="00A218B1"/>
    <w:rsid w:val="00A21C52"/>
    <w:rsid w:val="00A227FE"/>
    <w:rsid w:val="00A2308D"/>
    <w:rsid w:val="00A24086"/>
    <w:rsid w:val="00A24667"/>
    <w:rsid w:val="00A252B7"/>
    <w:rsid w:val="00A25FCA"/>
    <w:rsid w:val="00A27496"/>
    <w:rsid w:val="00A30328"/>
    <w:rsid w:val="00A31594"/>
    <w:rsid w:val="00A31FA3"/>
    <w:rsid w:val="00A33509"/>
    <w:rsid w:val="00A3734B"/>
    <w:rsid w:val="00A377F0"/>
    <w:rsid w:val="00A40C11"/>
    <w:rsid w:val="00A41389"/>
    <w:rsid w:val="00A43893"/>
    <w:rsid w:val="00A44F4F"/>
    <w:rsid w:val="00A45A14"/>
    <w:rsid w:val="00A46511"/>
    <w:rsid w:val="00A46A2C"/>
    <w:rsid w:val="00A47798"/>
    <w:rsid w:val="00A47D2A"/>
    <w:rsid w:val="00A52346"/>
    <w:rsid w:val="00A5263C"/>
    <w:rsid w:val="00A53925"/>
    <w:rsid w:val="00A53AEF"/>
    <w:rsid w:val="00A53F14"/>
    <w:rsid w:val="00A56D98"/>
    <w:rsid w:val="00A57915"/>
    <w:rsid w:val="00A6049D"/>
    <w:rsid w:val="00A63207"/>
    <w:rsid w:val="00A632BF"/>
    <w:rsid w:val="00A644A3"/>
    <w:rsid w:val="00A64977"/>
    <w:rsid w:val="00A65331"/>
    <w:rsid w:val="00A6630D"/>
    <w:rsid w:val="00A6667F"/>
    <w:rsid w:val="00A66B62"/>
    <w:rsid w:val="00A6733F"/>
    <w:rsid w:val="00A71741"/>
    <w:rsid w:val="00A71ECD"/>
    <w:rsid w:val="00A75A3D"/>
    <w:rsid w:val="00A83223"/>
    <w:rsid w:val="00A8365B"/>
    <w:rsid w:val="00A8380E"/>
    <w:rsid w:val="00A850CA"/>
    <w:rsid w:val="00A87B7D"/>
    <w:rsid w:val="00A87C09"/>
    <w:rsid w:val="00A90730"/>
    <w:rsid w:val="00A921AC"/>
    <w:rsid w:val="00A927EE"/>
    <w:rsid w:val="00A94044"/>
    <w:rsid w:val="00A976FC"/>
    <w:rsid w:val="00AA1A66"/>
    <w:rsid w:val="00AA1E3E"/>
    <w:rsid w:val="00AA28FD"/>
    <w:rsid w:val="00AA4405"/>
    <w:rsid w:val="00AA636E"/>
    <w:rsid w:val="00AA63D2"/>
    <w:rsid w:val="00AA697E"/>
    <w:rsid w:val="00AA6D89"/>
    <w:rsid w:val="00AA78DC"/>
    <w:rsid w:val="00AB009F"/>
    <w:rsid w:val="00AB0BDF"/>
    <w:rsid w:val="00AB3A15"/>
    <w:rsid w:val="00AB420C"/>
    <w:rsid w:val="00AB457C"/>
    <w:rsid w:val="00AC0774"/>
    <w:rsid w:val="00AC14F3"/>
    <w:rsid w:val="00AC2A29"/>
    <w:rsid w:val="00AC39E1"/>
    <w:rsid w:val="00AC3BE8"/>
    <w:rsid w:val="00AC5327"/>
    <w:rsid w:val="00AC6A2C"/>
    <w:rsid w:val="00AC7D87"/>
    <w:rsid w:val="00AD026C"/>
    <w:rsid w:val="00AD0AF5"/>
    <w:rsid w:val="00AD158F"/>
    <w:rsid w:val="00AD3AD5"/>
    <w:rsid w:val="00AD3F22"/>
    <w:rsid w:val="00AD5081"/>
    <w:rsid w:val="00AD5790"/>
    <w:rsid w:val="00AD5C5A"/>
    <w:rsid w:val="00AD6026"/>
    <w:rsid w:val="00AD610F"/>
    <w:rsid w:val="00AD6849"/>
    <w:rsid w:val="00AD6858"/>
    <w:rsid w:val="00AD6AA9"/>
    <w:rsid w:val="00AE21B6"/>
    <w:rsid w:val="00AE38CC"/>
    <w:rsid w:val="00AE3DDB"/>
    <w:rsid w:val="00AE416E"/>
    <w:rsid w:val="00AE536E"/>
    <w:rsid w:val="00AE5EBE"/>
    <w:rsid w:val="00AE5F04"/>
    <w:rsid w:val="00AF1321"/>
    <w:rsid w:val="00AF2C61"/>
    <w:rsid w:val="00AF3D26"/>
    <w:rsid w:val="00AF52DE"/>
    <w:rsid w:val="00AF638C"/>
    <w:rsid w:val="00AF737B"/>
    <w:rsid w:val="00AF79E1"/>
    <w:rsid w:val="00B010D9"/>
    <w:rsid w:val="00B01134"/>
    <w:rsid w:val="00B01A60"/>
    <w:rsid w:val="00B02EE7"/>
    <w:rsid w:val="00B03688"/>
    <w:rsid w:val="00B06471"/>
    <w:rsid w:val="00B06DB5"/>
    <w:rsid w:val="00B10909"/>
    <w:rsid w:val="00B10E68"/>
    <w:rsid w:val="00B117A2"/>
    <w:rsid w:val="00B11F21"/>
    <w:rsid w:val="00B1316E"/>
    <w:rsid w:val="00B14226"/>
    <w:rsid w:val="00B16397"/>
    <w:rsid w:val="00B20D52"/>
    <w:rsid w:val="00B21958"/>
    <w:rsid w:val="00B237C9"/>
    <w:rsid w:val="00B268E3"/>
    <w:rsid w:val="00B273CF"/>
    <w:rsid w:val="00B27619"/>
    <w:rsid w:val="00B305CD"/>
    <w:rsid w:val="00B327C5"/>
    <w:rsid w:val="00B32FB7"/>
    <w:rsid w:val="00B3599D"/>
    <w:rsid w:val="00B36096"/>
    <w:rsid w:val="00B375AF"/>
    <w:rsid w:val="00B40263"/>
    <w:rsid w:val="00B429E4"/>
    <w:rsid w:val="00B43F2D"/>
    <w:rsid w:val="00B45B90"/>
    <w:rsid w:val="00B50FE6"/>
    <w:rsid w:val="00B51028"/>
    <w:rsid w:val="00B529BD"/>
    <w:rsid w:val="00B534CA"/>
    <w:rsid w:val="00B54174"/>
    <w:rsid w:val="00B56E95"/>
    <w:rsid w:val="00B57E42"/>
    <w:rsid w:val="00B60428"/>
    <w:rsid w:val="00B609D4"/>
    <w:rsid w:val="00B626A4"/>
    <w:rsid w:val="00B63DF9"/>
    <w:rsid w:val="00B65174"/>
    <w:rsid w:val="00B66407"/>
    <w:rsid w:val="00B666FA"/>
    <w:rsid w:val="00B674C8"/>
    <w:rsid w:val="00B67600"/>
    <w:rsid w:val="00B6760A"/>
    <w:rsid w:val="00B67B57"/>
    <w:rsid w:val="00B71BEE"/>
    <w:rsid w:val="00B73906"/>
    <w:rsid w:val="00B744D6"/>
    <w:rsid w:val="00B76CE3"/>
    <w:rsid w:val="00B811CE"/>
    <w:rsid w:val="00B819F8"/>
    <w:rsid w:val="00B84AB5"/>
    <w:rsid w:val="00B85787"/>
    <w:rsid w:val="00B87FA5"/>
    <w:rsid w:val="00B91C65"/>
    <w:rsid w:val="00B91C7A"/>
    <w:rsid w:val="00B97D43"/>
    <w:rsid w:val="00BA1517"/>
    <w:rsid w:val="00BA3468"/>
    <w:rsid w:val="00BA4A74"/>
    <w:rsid w:val="00BA4BF5"/>
    <w:rsid w:val="00BA549A"/>
    <w:rsid w:val="00BA6B5C"/>
    <w:rsid w:val="00BB08F5"/>
    <w:rsid w:val="00BB1E8B"/>
    <w:rsid w:val="00BB1EE9"/>
    <w:rsid w:val="00BB264B"/>
    <w:rsid w:val="00BB27FB"/>
    <w:rsid w:val="00BB4907"/>
    <w:rsid w:val="00BB58C5"/>
    <w:rsid w:val="00BB731E"/>
    <w:rsid w:val="00BC196E"/>
    <w:rsid w:val="00BC1D08"/>
    <w:rsid w:val="00BC29BC"/>
    <w:rsid w:val="00BC48EC"/>
    <w:rsid w:val="00BC4DD2"/>
    <w:rsid w:val="00BC5B64"/>
    <w:rsid w:val="00BC6D48"/>
    <w:rsid w:val="00BC74AD"/>
    <w:rsid w:val="00BD0D13"/>
    <w:rsid w:val="00BD0DF8"/>
    <w:rsid w:val="00BD2304"/>
    <w:rsid w:val="00BD6B28"/>
    <w:rsid w:val="00BD6DCC"/>
    <w:rsid w:val="00BD6E55"/>
    <w:rsid w:val="00BD7C40"/>
    <w:rsid w:val="00BE0960"/>
    <w:rsid w:val="00BE18DB"/>
    <w:rsid w:val="00BE239D"/>
    <w:rsid w:val="00BE4224"/>
    <w:rsid w:val="00BE4B06"/>
    <w:rsid w:val="00BE52BA"/>
    <w:rsid w:val="00BE55B6"/>
    <w:rsid w:val="00BE5973"/>
    <w:rsid w:val="00BE6125"/>
    <w:rsid w:val="00BE7612"/>
    <w:rsid w:val="00BF08C6"/>
    <w:rsid w:val="00BF172F"/>
    <w:rsid w:val="00BF4924"/>
    <w:rsid w:val="00BF54B7"/>
    <w:rsid w:val="00BF7933"/>
    <w:rsid w:val="00C00193"/>
    <w:rsid w:val="00C00BF4"/>
    <w:rsid w:val="00C01516"/>
    <w:rsid w:val="00C016F8"/>
    <w:rsid w:val="00C03919"/>
    <w:rsid w:val="00C03B3C"/>
    <w:rsid w:val="00C040BC"/>
    <w:rsid w:val="00C054A2"/>
    <w:rsid w:val="00C10C9B"/>
    <w:rsid w:val="00C12499"/>
    <w:rsid w:val="00C135F7"/>
    <w:rsid w:val="00C13768"/>
    <w:rsid w:val="00C13897"/>
    <w:rsid w:val="00C143DE"/>
    <w:rsid w:val="00C14CBB"/>
    <w:rsid w:val="00C1510F"/>
    <w:rsid w:val="00C16454"/>
    <w:rsid w:val="00C16CB7"/>
    <w:rsid w:val="00C17FDF"/>
    <w:rsid w:val="00C21BC6"/>
    <w:rsid w:val="00C21C4B"/>
    <w:rsid w:val="00C23850"/>
    <w:rsid w:val="00C24AB3"/>
    <w:rsid w:val="00C26340"/>
    <w:rsid w:val="00C277C2"/>
    <w:rsid w:val="00C27996"/>
    <w:rsid w:val="00C301DA"/>
    <w:rsid w:val="00C30A6E"/>
    <w:rsid w:val="00C30E5A"/>
    <w:rsid w:val="00C31219"/>
    <w:rsid w:val="00C31D1D"/>
    <w:rsid w:val="00C3389D"/>
    <w:rsid w:val="00C33CF9"/>
    <w:rsid w:val="00C415A0"/>
    <w:rsid w:val="00C41A09"/>
    <w:rsid w:val="00C428A4"/>
    <w:rsid w:val="00C47EE6"/>
    <w:rsid w:val="00C51717"/>
    <w:rsid w:val="00C52EF7"/>
    <w:rsid w:val="00C53534"/>
    <w:rsid w:val="00C53709"/>
    <w:rsid w:val="00C53D99"/>
    <w:rsid w:val="00C5525F"/>
    <w:rsid w:val="00C55285"/>
    <w:rsid w:val="00C5723A"/>
    <w:rsid w:val="00C600EF"/>
    <w:rsid w:val="00C6192A"/>
    <w:rsid w:val="00C61CFA"/>
    <w:rsid w:val="00C63DCD"/>
    <w:rsid w:val="00C65916"/>
    <w:rsid w:val="00C7092A"/>
    <w:rsid w:val="00C70E5F"/>
    <w:rsid w:val="00C72CC9"/>
    <w:rsid w:val="00C74577"/>
    <w:rsid w:val="00C745F1"/>
    <w:rsid w:val="00C76E88"/>
    <w:rsid w:val="00C806BF"/>
    <w:rsid w:val="00C80887"/>
    <w:rsid w:val="00C821C9"/>
    <w:rsid w:val="00C82AF0"/>
    <w:rsid w:val="00C846C7"/>
    <w:rsid w:val="00C85693"/>
    <w:rsid w:val="00C86C2F"/>
    <w:rsid w:val="00C90869"/>
    <w:rsid w:val="00C90B39"/>
    <w:rsid w:val="00C91845"/>
    <w:rsid w:val="00C91DEE"/>
    <w:rsid w:val="00C929B4"/>
    <w:rsid w:val="00C93947"/>
    <w:rsid w:val="00C950C8"/>
    <w:rsid w:val="00C9622C"/>
    <w:rsid w:val="00C969E7"/>
    <w:rsid w:val="00C9790F"/>
    <w:rsid w:val="00CA0867"/>
    <w:rsid w:val="00CA0A1D"/>
    <w:rsid w:val="00CA3266"/>
    <w:rsid w:val="00CA61DB"/>
    <w:rsid w:val="00CA7557"/>
    <w:rsid w:val="00CA7EA4"/>
    <w:rsid w:val="00CB0C51"/>
    <w:rsid w:val="00CB28D3"/>
    <w:rsid w:val="00CB2EC9"/>
    <w:rsid w:val="00CB3DED"/>
    <w:rsid w:val="00CB50E2"/>
    <w:rsid w:val="00CB5F45"/>
    <w:rsid w:val="00CC0ED6"/>
    <w:rsid w:val="00CC1374"/>
    <w:rsid w:val="00CC140C"/>
    <w:rsid w:val="00CC1A3C"/>
    <w:rsid w:val="00CC1D6B"/>
    <w:rsid w:val="00CC227A"/>
    <w:rsid w:val="00CC2324"/>
    <w:rsid w:val="00CC2DF7"/>
    <w:rsid w:val="00CC7DA2"/>
    <w:rsid w:val="00CD146E"/>
    <w:rsid w:val="00CD5068"/>
    <w:rsid w:val="00CD5486"/>
    <w:rsid w:val="00CD5924"/>
    <w:rsid w:val="00CD6658"/>
    <w:rsid w:val="00CD77E0"/>
    <w:rsid w:val="00CE0B99"/>
    <w:rsid w:val="00CE142F"/>
    <w:rsid w:val="00CE5389"/>
    <w:rsid w:val="00CE5424"/>
    <w:rsid w:val="00CE5DBA"/>
    <w:rsid w:val="00CE68C7"/>
    <w:rsid w:val="00CE69C9"/>
    <w:rsid w:val="00CE69E2"/>
    <w:rsid w:val="00CE6E49"/>
    <w:rsid w:val="00CF0514"/>
    <w:rsid w:val="00CF0D36"/>
    <w:rsid w:val="00CF2527"/>
    <w:rsid w:val="00CF6675"/>
    <w:rsid w:val="00CF7458"/>
    <w:rsid w:val="00CF7797"/>
    <w:rsid w:val="00D00876"/>
    <w:rsid w:val="00D00A3E"/>
    <w:rsid w:val="00D0140B"/>
    <w:rsid w:val="00D01FC1"/>
    <w:rsid w:val="00D02BFD"/>
    <w:rsid w:val="00D03C61"/>
    <w:rsid w:val="00D04399"/>
    <w:rsid w:val="00D054F9"/>
    <w:rsid w:val="00D065DA"/>
    <w:rsid w:val="00D0676F"/>
    <w:rsid w:val="00D070B8"/>
    <w:rsid w:val="00D1291C"/>
    <w:rsid w:val="00D13C96"/>
    <w:rsid w:val="00D15637"/>
    <w:rsid w:val="00D157BD"/>
    <w:rsid w:val="00D157F9"/>
    <w:rsid w:val="00D16197"/>
    <w:rsid w:val="00D16717"/>
    <w:rsid w:val="00D16DDA"/>
    <w:rsid w:val="00D2002C"/>
    <w:rsid w:val="00D20D6B"/>
    <w:rsid w:val="00D21D9B"/>
    <w:rsid w:val="00D22167"/>
    <w:rsid w:val="00D22AE3"/>
    <w:rsid w:val="00D23BF3"/>
    <w:rsid w:val="00D245AF"/>
    <w:rsid w:val="00D246E3"/>
    <w:rsid w:val="00D2473E"/>
    <w:rsid w:val="00D24A28"/>
    <w:rsid w:val="00D25D78"/>
    <w:rsid w:val="00D26908"/>
    <w:rsid w:val="00D3005D"/>
    <w:rsid w:val="00D300A7"/>
    <w:rsid w:val="00D30DB8"/>
    <w:rsid w:val="00D31869"/>
    <w:rsid w:val="00D31B54"/>
    <w:rsid w:val="00D31C90"/>
    <w:rsid w:val="00D3293C"/>
    <w:rsid w:val="00D34ECD"/>
    <w:rsid w:val="00D35968"/>
    <w:rsid w:val="00D35BD2"/>
    <w:rsid w:val="00D360D6"/>
    <w:rsid w:val="00D36401"/>
    <w:rsid w:val="00D375A1"/>
    <w:rsid w:val="00D46101"/>
    <w:rsid w:val="00D470BD"/>
    <w:rsid w:val="00D536E6"/>
    <w:rsid w:val="00D5395A"/>
    <w:rsid w:val="00D57C3F"/>
    <w:rsid w:val="00D57F55"/>
    <w:rsid w:val="00D6008B"/>
    <w:rsid w:val="00D60466"/>
    <w:rsid w:val="00D60B94"/>
    <w:rsid w:val="00D61925"/>
    <w:rsid w:val="00D62777"/>
    <w:rsid w:val="00D648E7"/>
    <w:rsid w:val="00D649AA"/>
    <w:rsid w:val="00D66A7F"/>
    <w:rsid w:val="00D7110E"/>
    <w:rsid w:val="00D725E4"/>
    <w:rsid w:val="00D7390C"/>
    <w:rsid w:val="00D73E9D"/>
    <w:rsid w:val="00D743EE"/>
    <w:rsid w:val="00D7513B"/>
    <w:rsid w:val="00D7555E"/>
    <w:rsid w:val="00D7652F"/>
    <w:rsid w:val="00D814C9"/>
    <w:rsid w:val="00D816A2"/>
    <w:rsid w:val="00D82065"/>
    <w:rsid w:val="00D82174"/>
    <w:rsid w:val="00D83BC9"/>
    <w:rsid w:val="00D8445C"/>
    <w:rsid w:val="00D84B47"/>
    <w:rsid w:val="00D85949"/>
    <w:rsid w:val="00D85B91"/>
    <w:rsid w:val="00D8667C"/>
    <w:rsid w:val="00D87389"/>
    <w:rsid w:val="00D878F1"/>
    <w:rsid w:val="00D87EA3"/>
    <w:rsid w:val="00D909CB"/>
    <w:rsid w:val="00D91510"/>
    <w:rsid w:val="00D91D48"/>
    <w:rsid w:val="00D9242A"/>
    <w:rsid w:val="00D92862"/>
    <w:rsid w:val="00D92DFC"/>
    <w:rsid w:val="00D95126"/>
    <w:rsid w:val="00D95D28"/>
    <w:rsid w:val="00D975A8"/>
    <w:rsid w:val="00DA2739"/>
    <w:rsid w:val="00DA31A9"/>
    <w:rsid w:val="00DA3213"/>
    <w:rsid w:val="00DA4E44"/>
    <w:rsid w:val="00DB08B1"/>
    <w:rsid w:val="00DB0A1C"/>
    <w:rsid w:val="00DB0CC0"/>
    <w:rsid w:val="00DB1109"/>
    <w:rsid w:val="00DB148C"/>
    <w:rsid w:val="00DB328A"/>
    <w:rsid w:val="00DB427C"/>
    <w:rsid w:val="00DB4C23"/>
    <w:rsid w:val="00DB6A0B"/>
    <w:rsid w:val="00DB6D6E"/>
    <w:rsid w:val="00DB6F91"/>
    <w:rsid w:val="00DB7552"/>
    <w:rsid w:val="00DB79EA"/>
    <w:rsid w:val="00DB7DC3"/>
    <w:rsid w:val="00DB7E87"/>
    <w:rsid w:val="00DC0293"/>
    <w:rsid w:val="00DC080E"/>
    <w:rsid w:val="00DC323B"/>
    <w:rsid w:val="00DC3D3F"/>
    <w:rsid w:val="00DC4D39"/>
    <w:rsid w:val="00DC62FE"/>
    <w:rsid w:val="00DD08E8"/>
    <w:rsid w:val="00DD1D7C"/>
    <w:rsid w:val="00DD2805"/>
    <w:rsid w:val="00DD463C"/>
    <w:rsid w:val="00DD5EDE"/>
    <w:rsid w:val="00DD5F6B"/>
    <w:rsid w:val="00DD7C73"/>
    <w:rsid w:val="00DE23EE"/>
    <w:rsid w:val="00DE36AB"/>
    <w:rsid w:val="00DE72F1"/>
    <w:rsid w:val="00DF0A6C"/>
    <w:rsid w:val="00DF17C1"/>
    <w:rsid w:val="00DF2244"/>
    <w:rsid w:val="00DF238B"/>
    <w:rsid w:val="00DF61F6"/>
    <w:rsid w:val="00DF62F7"/>
    <w:rsid w:val="00DF7511"/>
    <w:rsid w:val="00E0027A"/>
    <w:rsid w:val="00E0415E"/>
    <w:rsid w:val="00E04D19"/>
    <w:rsid w:val="00E06BDB"/>
    <w:rsid w:val="00E10301"/>
    <w:rsid w:val="00E10628"/>
    <w:rsid w:val="00E109F6"/>
    <w:rsid w:val="00E1324E"/>
    <w:rsid w:val="00E14F4A"/>
    <w:rsid w:val="00E160C1"/>
    <w:rsid w:val="00E16972"/>
    <w:rsid w:val="00E16AFC"/>
    <w:rsid w:val="00E175D3"/>
    <w:rsid w:val="00E17FAD"/>
    <w:rsid w:val="00E204B3"/>
    <w:rsid w:val="00E21A4F"/>
    <w:rsid w:val="00E2383D"/>
    <w:rsid w:val="00E23CD1"/>
    <w:rsid w:val="00E24031"/>
    <w:rsid w:val="00E260CF"/>
    <w:rsid w:val="00E263A4"/>
    <w:rsid w:val="00E26DFE"/>
    <w:rsid w:val="00E278EB"/>
    <w:rsid w:val="00E30EB3"/>
    <w:rsid w:val="00E35006"/>
    <w:rsid w:val="00E407AB"/>
    <w:rsid w:val="00E41FD3"/>
    <w:rsid w:val="00E423C2"/>
    <w:rsid w:val="00E42A9D"/>
    <w:rsid w:val="00E44ABE"/>
    <w:rsid w:val="00E456ED"/>
    <w:rsid w:val="00E4759E"/>
    <w:rsid w:val="00E50440"/>
    <w:rsid w:val="00E50A4A"/>
    <w:rsid w:val="00E52161"/>
    <w:rsid w:val="00E52F87"/>
    <w:rsid w:val="00E53F7A"/>
    <w:rsid w:val="00E54835"/>
    <w:rsid w:val="00E56393"/>
    <w:rsid w:val="00E565A4"/>
    <w:rsid w:val="00E60BDA"/>
    <w:rsid w:val="00E61B5D"/>
    <w:rsid w:val="00E62AE1"/>
    <w:rsid w:val="00E63710"/>
    <w:rsid w:val="00E65860"/>
    <w:rsid w:val="00E65FA2"/>
    <w:rsid w:val="00E66E63"/>
    <w:rsid w:val="00E670A7"/>
    <w:rsid w:val="00E67120"/>
    <w:rsid w:val="00E7189D"/>
    <w:rsid w:val="00E72291"/>
    <w:rsid w:val="00E722BC"/>
    <w:rsid w:val="00E72B3E"/>
    <w:rsid w:val="00E73311"/>
    <w:rsid w:val="00E75285"/>
    <w:rsid w:val="00E752A1"/>
    <w:rsid w:val="00E75508"/>
    <w:rsid w:val="00E770AF"/>
    <w:rsid w:val="00E8085D"/>
    <w:rsid w:val="00E80B96"/>
    <w:rsid w:val="00E80EB4"/>
    <w:rsid w:val="00E81736"/>
    <w:rsid w:val="00E81863"/>
    <w:rsid w:val="00E81BE8"/>
    <w:rsid w:val="00E847FC"/>
    <w:rsid w:val="00E8487C"/>
    <w:rsid w:val="00E84EBA"/>
    <w:rsid w:val="00E85A8B"/>
    <w:rsid w:val="00E86072"/>
    <w:rsid w:val="00E86A92"/>
    <w:rsid w:val="00E926D7"/>
    <w:rsid w:val="00E94014"/>
    <w:rsid w:val="00E97E84"/>
    <w:rsid w:val="00EA2755"/>
    <w:rsid w:val="00EA29B5"/>
    <w:rsid w:val="00EA2E17"/>
    <w:rsid w:val="00EA4A58"/>
    <w:rsid w:val="00EA5B0E"/>
    <w:rsid w:val="00EA5F40"/>
    <w:rsid w:val="00EA5FFC"/>
    <w:rsid w:val="00EB0FAF"/>
    <w:rsid w:val="00EB15F3"/>
    <w:rsid w:val="00EB3C81"/>
    <w:rsid w:val="00EB4BCE"/>
    <w:rsid w:val="00EB4F71"/>
    <w:rsid w:val="00EB558E"/>
    <w:rsid w:val="00EB5D25"/>
    <w:rsid w:val="00EB6255"/>
    <w:rsid w:val="00EB631F"/>
    <w:rsid w:val="00EB690E"/>
    <w:rsid w:val="00EB6BF9"/>
    <w:rsid w:val="00EB6DD3"/>
    <w:rsid w:val="00EC0854"/>
    <w:rsid w:val="00EC21CB"/>
    <w:rsid w:val="00EC4783"/>
    <w:rsid w:val="00EC743A"/>
    <w:rsid w:val="00EC76DB"/>
    <w:rsid w:val="00ED0093"/>
    <w:rsid w:val="00ED1399"/>
    <w:rsid w:val="00ED1A80"/>
    <w:rsid w:val="00ED1D5C"/>
    <w:rsid w:val="00ED25C6"/>
    <w:rsid w:val="00ED6772"/>
    <w:rsid w:val="00ED69B9"/>
    <w:rsid w:val="00EE5720"/>
    <w:rsid w:val="00EE790D"/>
    <w:rsid w:val="00EF338A"/>
    <w:rsid w:val="00EF558A"/>
    <w:rsid w:val="00F0070D"/>
    <w:rsid w:val="00F01DD4"/>
    <w:rsid w:val="00F021D2"/>
    <w:rsid w:val="00F04ADA"/>
    <w:rsid w:val="00F06F57"/>
    <w:rsid w:val="00F07633"/>
    <w:rsid w:val="00F118FB"/>
    <w:rsid w:val="00F16951"/>
    <w:rsid w:val="00F172E5"/>
    <w:rsid w:val="00F177C8"/>
    <w:rsid w:val="00F20CC8"/>
    <w:rsid w:val="00F21BF0"/>
    <w:rsid w:val="00F21BFD"/>
    <w:rsid w:val="00F22120"/>
    <w:rsid w:val="00F243B8"/>
    <w:rsid w:val="00F24C64"/>
    <w:rsid w:val="00F25D33"/>
    <w:rsid w:val="00F311D6"/>
    <w:rsid w:val="00F3280A"/>
    <w:rsid w:val="00F32917"/>
    <w:rsid w:val="00F37513"/>
    <w:rsid w:val="00F375C6"/>
    <w:rsid w:val="00F376A5"/>
    <w:rsid w:val="00F414C1"/>
    <w:rsid w:val="00F4151B"/>
    <w:rsid w:val="00F41D7B"/>
    <w:rsid w:val="00F41E15"/>
    <w:rsid w:val="00F42CB7"/>
    <w:rsid w:val="00F42D8F"/>
    <w:rsid w:val="00F43F82"/>
    <w:rsid w:val="00F44F38"/>
    <w:rsid w:val="00F47A61"/>
    <w:rsid w:val="00F5058D"/>
    <w:rsid w:val="00F54302"/>
    <w:rsid w:val="00F54F5B"/>
    <w:rsid w:val="00F5587E"/>
    <w:rsid w:val="00F55F0A"/>
    <w:rsid w:val="00F56583"/>
    <w:rsid w:val="00F57217"/>
    <w:rsid w:val="00F57238"/>
    <w:rsid w:val="00F6010D"/>
    <w:rsid w:val="00F613F8"/>
    <w:rsid w:val="00F64EF2"/>
    <w:rsid w:val="00F65729"/>
    <w:rsid w:val="00F67F4E"/>
    <w:rsid w:val="00F72136"/>
    <w:rsid w:val="00F728C6"/>
    <w:rsid w:val="00F739A9"/>
    <w:rsid w:val="00F73DF8"/>
    <w:rsid w:val="00F74110"/>
    <w:rsid w:val="00F766D9"/>
    <w:rsid w:val="00F7741F"/>
    <w:rsid w:val="00F77C61"/>
    <w:rsid w:val="00F810C2"/>
    <w:rsid w:val="00F8192E"/>
    <w:rsid w:val="00F81E54"/>
    <w:rsid w:val="00F82A0C"/>
    <w:rsid w:val="00F82D4D"/>
    <w:rsid w:val="00F830A2"/>
    <w:rsid w:val="00F911AD"/>
    <w:rsid w:val="00F92945"/>
    <w:rsid w:val="00F92F7A"/>
    <w:rsid w:val="00F93C80"/>
    <w:rsid w:val="00F94821"/>
    <w:rsid w:val="00F95709"/>
    <w:rsid w:val="00FA12D5"/>
    <w:rsid w:val="00FA25BC"/>
    <w:rsid w:val="00FA386B"/>
    <w:rsid w:val="00FA3C44"/>
    <w:rsid w:val="00FA3D76"/>
    <w:rsid w:val="00FA6F87"/>
    <w:rsid w:val="00FA754F"/>
    <w:rsid w:val="00FA7750"/>
    <w:rsid w:val="00FA7BC5"/>
    <w:rsid w:val="00FB108E"/>
    <w:rsid w:val="00FB11FB"/>
    <w:rsid w:val="00FB2AFF"/>
    <w:rsid w:val="00FB2C37"/>
    <w:rsid w:val="00FB3BCA"/>
    <w:rsid w:val="00FB43D0"/>
    <w:rsid w:val="00FB502D"/>
    <w:rsid w:val="00FB59AF"/>
    <w:rsid w:val="00FB5CF6"/>
    <w:rsid w:val="00FB6A66"/>
    <w:rsid w:val="00FB6F35"/>
    <w:rsid w:val="00FC0265"/>
    <w:rsid w:val="00FC2385"/>
    <w:rsid w:val="00FC38F9"/>
    <w:rsid w:val="00FC4282"/>
    <w:rsid w:val="00FC4402"/>
    <w:rsid w:val="00FC476F"/>
    <w:rsid w:val="00FC62AD"/>
    <w:rsid w:val="00FC642D"/>
    <w:rsid w:val="00FC70C6"/>
    <w:rsid w:val="00FC7426"/>
    <w:rsid w:val="00FC7E84"/>
    <w:rsid w:val="00FD0F75"/>
    <w:rsid w:val="00FD16AE"/>
    <w:rsid w:val="00FD22F5"/>
    <w:rsid w:val="00FD2CEF"/>
    <w:rsid w:val="00FD78C4"/>
    <w:rsid w:val="00FE0018"/>
    <w:rsid w:val="00FE07ED"/>
    <w:rsid w:val="00FE2673"/>
    <w:rsid w:val="00FE27D3"/>
    <w:rsid w:val="00FE2847"/>
    <w:rsid w:val="00FE2F2A"/>
    <w:rsid w:val="00FE5A50"/>
    <w:rsid w:val="00FE5AB5"/>
    <w:rsid w:val="00FE72CC"/>
    <w:rsid w:val="00FF0BED"/>
    <w:rsid w:val="00FF0E1C"/>
    <w:rsid w:val="00FF1188"/>
    <w:rsid w:val="00FF2421"/>
    <w:rsid w:val="00FF2E20"/>
    <w:rsid w:val="00FF5059"/>
    <w:rsid w:val="00FF59BD"/>
    <w:rsid w:val="00FF6707"/>
    <w:rsid w:val="00FF6D65"/>
    <w:rsid w:val="01282682"/>
    <w:rsid w:val="01440B42"/>
    <w:rsid w:val="015903B3"/>
    <w:rsid w:val="01ABC634"/>
    <w:rsid w:val="02AF2657"/>
    <w:rsid w:val="02CAF7DF"/>
    <w:rsid w:val="03246BF8"/>
    <w:rsid w:val="0326EC1C"/>
    <w:rsid w:val="03B60B80"/>
    <w:rsid w:val="03C5002B"/>
    <w:rsid w:val="046BFB4F"/>
    <w:rsid w:val="047C31F7"/>
    <w:rsid w:val="048B41BF"/>
    <w:rsid w:val="04E8C993"/>
    <w:rsid w:val="056D87B0"/>
    <w:rsid w:val="058E1413"/>
    <w:rsid w:val="05A3F21D"/>
    <w:rsid w:val="05BCD7D5"/>
    <w:rsid w:val="05CA2439"/>
    <w:rsid w:val="062A91A4"/>
    <w:rsid w:val="0639D907"/>
    <w:rsid w:val="066E3CE4"/>
    <w:rsid w:val="06940E7C"/>
    <w:rsid w:val="06DD7261"/>
    <w:rsid w:val="07282FF8"/>
    <w:rsid w:val="0745F2F4"/>
    <w:rsid w:val="07769E8F"/>
    <w:rsid w:val="078E8AD4"/>
    <w:rsid w:val="07D31352"/>
    <w:rsid w:val="07E6A33C"/>
    <w:rsid w:val="080F6154"/>
    <w:rsid w:val="087FCDC1"/>
    <w:rsid w:val="08A64A99"/>
    <w:rsid w:val="08F63F8E"/>
    <w:rsid w:val="093148F6"/>
    <w:rsid w:val="0974633A"/>
    <w:rsid w:val="09B548C9"/>
    <w:rsid w:val="09B8D0DD"/>
    <w:rsid w:val="09D894D9"/>
    <w:rsid w:val="0A6AB6C1"/>
    <w:rsid w:val="0A6C0AE9"/>
    <w:rsid w:val="0A87F75A"/>
    <w:rsid w:val="0AAFE59F"/>
    <w:rsid w:val="0AC96F6A"/>
    <w:rsid w:val="0B912F62"/>
    <w:rsid w:val="0C07DB4A"/>
    <w:rsid w:val="0C2E838A"/>
    <w:rsid w:val="0CA6D29E"/>
    <w:rsid w:val="0D204182"/>
    <w:rsid w:val="0D64A0F9"/>
    <w:rsid w:val="0DA997E8"/>
    <w:rsid w:val="0DD6FA11"/>
    <w:rsid w:val="0E6BC24B"/>
    <w:rsid w:val="0E724924"/>
    <w:rsid w:val="0EBB7FAD"/>
    <w:rsid w:val="0F0733D6"/>
    <w:rsid w:val="0F2F9F2D"/>
    <w:rsid w:val="0FA49ED6"/>
    <w:rsid w:val="100DEBA0"/>
    <w:rsid w:val="103EA472"/>
    <w:rsid w:val="106C56F1"/>
    <w:rsid w:val="108A1623"/>
    <w:rsid w:val="1092DA36"/>
    <w:rsid w:val="1124CCE5"/>
    <w:rsid w:val="11301821"/>
    <w:rsid w:val="11F2A7E5"/>
    <w:rsid w:val="1224FC47"/>
    <w:rsid w:val="127714BE"/>
    <w:rsid w:val="12AA9E05"/>
    <w:rsid w:val="12B21976"/>
    <w:rsid w:val="12D14AA3"/>
    <w:rsid w:val="12DDB11A"/>
    <w:rsid w:val="133A59B8"/>
    <w:rsid w:val="13500560"/>
    <w:rsid w:val="137E301D"/>
    <w:rsid w:val="139173BD"/>
    <w:rsid w:val="13B127DF"/>
    <w:rsid w:val="143BF93A"/>
    <w:rsid w:val="14D470F0"/>
    <w:rsid w:val="151CDFA1"/>
    <w:rsid w:val="1598B143"/>
    <w:rsid w:val="15B05C1B"/>
    <w:rsid w:val="15DAE132"/>
    <w:rsid w:val="1602193B"/>
    <w:rsid w:val="170D5F9D"/>
    <w:rsid w:val="171F9D00"/>
    <w:rsid w:val="17264A4E"/>
    <w:rsid w:val="17752D93"/>
    <w:rsid w:val="1791877B"/>
    <w:rsid w:val="179A584B"/>
    <w:rsid w:val="17B061AC"/>
    <w:rsid w:val="17CAB84A"/>
    <w:rsid w:val="17D80C04"/>
    <w:rsid w:val="17FB61B1"/>
    <w:rsid w:val="18210DB4"/>
    <w:rsid w:val="1821E1AD"/>
    <w:rsid w:val="1863E3D5"/>
    <w:rsid w:val="18C9F6DD"/>
    <w:rsid w:val="1903248A"/>
    <w:rsid w:val="1919ACB8"/>
    <w:rsid w:val="192C1DD9"/>
    <w:rsid w:val="195B8211"/>
    <w:rsid w:val="19889836"/>
    <w:rsid w:val="19C912E6"/>
    <w:rsid w:val="1A5008BA"/>
    <w:rsid w:val="1A746BE4"/>
    <w:rsid w:val="1A84D276"/>
    <w:rsid w:val="1A9A8D0A"/>
    <w:rsid w:val="1B02DC4D"/>
    <w:rsid w:val="1B81743A"/>
    <w:rsid w:val="1B8523AD"/>
    <w:rsid w:val="1BB05356"/>
    <w:rsid w:val="1BD4BB7C"/>
    <w:rsid w:val="1C2D96BD"/>
    <w:rsid w:val="1C49EBF4"/>
    <w:rsid w:val="1DB934B9"/>
    <w:rsid w:val="1DCC2E28"/>
    <w:rsid w:val="1E3EFB01"/>
    <w:rsid w:val="1EB90803"/>
    <w:rsid w:val="1EF06212"/>
    <w:rsid w:val="1EF73A31"/>
    <w:rsid w:val="1F039BF5"/>
    <w:rsid w:val="1F25E936"/>
    <w:rsid w:val="1F2C73FD"/>
    <w:rsid w:val="1FBA9882"/>
    <w:rsid w:val="20550866"/>
    <w:rsid w:val="205D45CD"/>
    <w:rsid w:val="206B3EB2"/>
    <w:rsid w:val="2076257D"/>
    <w:rsid w:val="2091B544"/>
    <w:rsid w:val="209F4F95"/>
    <w:rsid w:val="209F6C56"/>
    <w:rsid w:val="21385212"/>
    <w:rsid w:val="21B0E21E"/>
    <w:rsid w:val="21C51251"/>
    <w:rsid w:val="223B3CB7"/>
    <w:rsid w:val="229BDE24"/>
    <w:rsid w:val="22A2E22C"/>
    <w:rsid w:val="22BC4A65"/>
    <w:rsid w:val="22D5782E"/>
    <w:rsid w:val="2301AAA1"/>
    <w:rsid w:val="239BC10C"/>
    <w:rsid w:val="23A8D896"/>
    <w:rsid w:val="23D65457"/>
    <w:rsid w:val="23E872B0"/>
    <w:rsid w:val="23FB099B"/>
    <w:rsid w:val="2407697A"/>
    <w:rsid w:val="249F2B3F"/>
    <w:rsid w:val="24C65AD2"/>
    <w:rsid w:val="2503CDCE"/>
    <w:rsid w:val="251FCAD1"/>
    <w:rsid w:val="258D57A4"/>
    <w:rsid w:val="25DE57AD"/>
    <w:rsid w:val="26790223"/>
    <w:rsid w:val="26CBB2AC"/>
    <w:rsid w:val="26DF1E77"/>
    <w:rsid w:val="26EB3E95"/>
    <w:rsid w:val="2748E96E"/>
    <w:rsid w:val="27D63489"/>
    <w:rsid w:val="2818B382"/>
    <w:rsid w:val="2819DBC5"/>
    <w:rsid w:val="284FB0DE"/>
    <w:rsid w:val="285CA2A0"/>
    <w:rsid w:val="28BA29C4"/>
    <w:rsid w:val="28CBDBBD"/>
    <w:rsid w:val="28EE7131"/>
    <w:rsid w:val="28EF286F"/>
    <w:rsid w:val="298BEF0E"/>
    <w:rsid w:val="29924411"/>
    <w:rsid w:val="29BCACC5"/>
    <w:rsid w:val="2A074C56"/>
    <w:rsid w:val="2A0CFBC9"/>
    <w:rsid w:val="2A1753C8"/>
    <w:rsid w:val="2ABF3CEE"/>
    <w:rsid w:val="2AD580F2"/>
    <w:rsid w:val="2B077FCC"/>
    <w:rsid w:val="2B099A70"/>
    <w:rsid w:val="2B65C5F2"/>
    <w:rsid w:val="2BA31CB7"/>
    <w:rsid w:val="2BB760ED"/>
    <w:rsid w:val="2BC9A411"/>
    <w:rsid w:val="2C3F924E"/>
    <w:rsid w:val="2C7C59AE"/>
    <w:rsid w:val="2C8B2DFF"/>
    <w:rsid w:val="2CB7BDB6"/>
    <w:rsid w:val="2CEA79D1"/>
    <w:rsid w:val="2D3EED18"/>
    <w:rsid w:val="2D402A4A"/>
    <w:rsid w:val="2D5207A3"/>
    <w:rsid w:val="2DEBB7AF"/>
    <w:rsid w:val="2E8E4805"/>
    <w:rsid w:val="2F3A67F0"/>
    <w:rsid w:val="2F5DD111"/>
    <w:rsid w:val="2FB127A3"/>
    <w:rsid w:val="3004A282"/>
    <w:rsid w:val="3010D4A1"/>
    <w:rsid w:val="30C7429D"/>
    <w:rsid w:val="30CF47E5"/>
    <w:rsid w:val="30E41929"/>
    <w:rsid w:val="30E67C4B"/>
    <w:rsid w:val="30F53855"/>
    <w:rsid w:val="318805BB"/>
    <w:rsid w:val="3190BAA1"/>
    <w:rsid w:val="31AD7783"/>
    <w:rsid w:val="31E7835C"/>
    <w:rsid w:val="320C7873"/>
    <w:rsid w:val="32512AE2"/>
    <w:rsid w:val="32D44970"/>
    <w:rsid w:val="3316410C"/>
    <w:rsid w:val="33725EA2"/>
    <w:rsid w:val="33B1DD4F"/>
    <w:rsid w:val="33BA53D7"/>
    <w:rsid w:val="33BF0470"/>
    <w:rsid w:val="33EBDD8E"/>
    <w:rsid w:val="347941BF"/>
    <w:rsid w:val="355AD4D1"/>
    <w:rsid w:val="35639D2D"/>
    <w:rsid w:val="35AD62D8"/>
    <w:rsid w:val="35B8DD6C"/>
    <w:rsid w:val="363C516A"/>
    <w:rsid w:val="3641AAFB"/>
    <w:rsid w:val="36755518"/>
    <w:rsid w:val="36BF5535"/>
    <w:rsid w:val="37033DE6"/>
    <w:rsid w:val="370762C2"/>
    <w:rsid w:val="3772989D"/>
    <w:rsid w:val="37B5481D"/>
    <w:rsid w:val="37E776EF"/>
    <w:rsid w:val="387AFE97"/>
    <w:rsid w:val="38DD276C"/>
    <w:rsid w:val="38EF331E"/>
    <w:rsid w:val="392C0AB1"/>
    <w:rsid w:val="3933BD56"/>
    <w:rsid w:val="394A5A44"/>
    <w:rsid w:val="397BD3EC"/>
    <w:rsid w:val="3990D683"/>
    <w:rsid w:val="39B2489F"/>
    <w:rsid w:val="3A0A9EEF"/>
    <w:rsid w:val="3A4F1874"/>
    <w:rsid w:val="3A4F1DB7"/>
    <w:rsid w:val="3A735065"/>
    <w:rsid w:val="3AA025E2"/>
    <w:rsid w:val="3AA8E929"/>
    <w:rsid w:val="3B7323BB"/>
    <w:rsid w:val="3BB93815"/>
    <w:rsid w:val="3BC4F065"/>
    <w:rsid w:val="3BE52759"/>
    <w:rsid w:val="3C26CBD0"/>
    <w:rsid w:val="3C6DE647"/>
    <w:rsid w:val="3C7216A0"/>
    <w:rsid w:val="3CCEDA39"/>
    <w:rsid w:val="3D592CBE"/>
    <w:rsid w:val="3D77DF4F"/>
    <w:rsid w:val="3DF80079"/>
    <w:rsid w:val="3E3B4F38"/>
    <w:rsid w:val="3E798AAE"/>
    <w:rsid w:val="3EFE8DBA"/>
    <w:rsid w:val="3F08C559"/>
    <w:rsid w:val="3F220C87"/>
    <w:rsid w:val="3F37184E"/>
    <w:rsid w:val="3F3FF3B9"/>
    <w:rsid w:val="3F9C01FB"/>
    <w:rsid w:val="3FB51413"/>
    <w:rsid w:val="3FEC7B71"/>
    <w:rsid w:val="408403E9"/>
    <w:rsid w:val="40A06D39"/>
    <w:rsid w:val="416F83DC"/>
    <w:rsid w:val="41907661"/>
    <w:rsid w:val="41A6564C"/>
    <w:rsid w:val="428B442A"/>
    <w:rsid w:val="42A64485"/>
    <w:rsid w:val="4343521A"/>
    <w:rsid w:val="43CFF626"/>
    <w:rsid w:val="4455A6FA"/>
    <w:rsid w:val="44E8A29D"/>
    <w:rsid w:val="451673AE"/>
    <w:rsid w:val="45243FE2"/>
    <w:rsid w:val="454425DA"/>
    <w:rsid w:val="45B82B12"/>
    <w:rsid w:val="4664454F"/>
    <w:rsid w:val="46AAABCE"/>
    <w:rsid w:val="46BA4645"/>
    <w:rsid w:val="46BFCED1"/>
    <w:rsid w:val="46C171B4"/>
    <w:rsid w:val="46C504F3"/>
    <w:rsid w:val="4760D73F"/>
    <w:rsid w:val="47778A99"/>
    <w:rsid w:val="481870D9"/>
    <w:rsid w:val="48525B10"/>
    <w:rsid w:val="4855E3D5"/>
    <w:rsid w:val="485C4A31"/>
    <w:rsid w:val="488C47A3"/>
    <w:rsid w:val="48C7ADF7"/>
    <w:rsid w:val="49145F9B"/>
    <w:rsid w:val="49188D80"/>
    <w:rsid w:val="496E27CE"/>
    <w:rsid w:val="498A33F8"/>
    <w:rsid w:val="49A9D071"/>
    <w:rsid w:val="4A5735F0"/>
    <w:rsid w:val="4A57364C"/>
    <w:rsid w:val="4A7A9A2C"/>
    <w:rsid w:val="4A7FC6F0"/>
    <w:rsid w:val="4AA9370E"/>
    <w:rsid w:val="4B0A8334"/>
    <w:rsid w:val="4B0C2880"/>
    <w:rsid w:val="4B9D334D"/>
    <w:rsid w:val="4BEEF5B9"/>
    <w:rsid w:val="4C67B59A"/>
    <w:rsid w:val="4CB4208F"/>
    <w:rsid w:val="4D0429D9"/>
    <w:rsid w:val="4D5300FD"/>
    <w:rsid w:val="4D5F11D0"/>
    <w:rsid w:val="4D6B9144"/>
    <w:rsid w:val="4D876517"/>
    <w:rsid w:val="4D9324C2"/>
    <w:rsid w:val="4DE5A5AF"/>
    <w:rsid w:val="4DFC958F"/>
    <w:rsid w:val="4E82F592"/>
    <w:rsid w:val="4E9DBF04"/>
    <w:rsid w:val="4EA156EF"/>
    <w:rsid w:val="4EA2EA03"/>
    <w:rsid w:val="4EF4E838"/>
    <w:rsid w:val="4EF5CA36"/>
    <w:rsid w:val="4F842CBC"/>
    <w:rsid w:val="4FD01770"/>
    <w:rsid w:val="50B9CA50"/>
    <w:rsid w:val="50F19347"/>
    <w:rsid w:val="512B3DF7"/>
    <w:rsid w:val="515A20F4"/>
    <w:rsid w:val="5186B89E"/>
    <w:rsid w:val="51D52DF0"/>
    <w:rsid w:val="52B32A95"/>
    <w:rsid w:val="53035226"/>
    <w:rsid w:val="531A895E"/>
    <w:rsid w:val="53C8BC27"/>
    <w:rsid w:val="53D684B9"/>
    <w:rsid w:val="54137B69"/>
    <w:rsid w:val="547326DD"/>
    <w:rsid w:val="548CCEA8"/>
    <w:rsid w:val="54D60E07"/>
    <w:rsid w:val="54F0B21F"/>
    <w:rsid w:val="554CE260"/>
    <w:rsid w:val="5585B38F"/>
    <w:rsid w:val="566699C3"/>
    <w:rsid w:val="569412E7"/>
    <w:rsid w:val="56B9F86B"/>
    <w:rsid w:val="57137047"/>
    <w:rsid w:val="571F8CA7"/>
    <w:rsid w:val="5765EAEC"/>
    <w:rsid w:val="5789011D"/>
    <w:rsid w:val="57922D91"/>
    <w:rsid w:val="57AC6666"/>
    <w:rsid w:val="581269D1"/>
    <w:rsid w:val="581800E8"/>
    <w:rsid w:val="5822A1C8"/>
    <w:rsid w:val="58813861"/>
    <w:rsid w:val="5901438B"/>
    <w:rsid w:val="596CDF4B"/>
    <w:rsid w:val="59AB8190"/>
    <w:rsid w:val="59AD8DB5"/>
    <w:rsid w:val="59DE85C6"/>
    <w:rsid w:val="59E75E78"/>
    <w:rsid w:val="5A2FADC3"/>
    <w:rsid w:val="5A3C26A4"/>
    <w:rsid w:val="5BB405D5"/>
    <w:rsid w:val="5BD64499"/>
    <w:rsid w:val="5BEC7110"/>
    <w:rsid w:val="5C3975D0"/>
    <w:rsid w:val="5C475859"/>
    <w:rsid w:val="5C51EA6D"/>
    <w:rsid w:val="5C841BEB"/>
    <w:rsid w:val="5C86CF7C"/>
    <w:rsid w:val="5C91CA90"/>
    <w:rsid w:val="5CC7BFCB"/>
    <w:rsid w:val="5DC16EC2"/>
    <w:rsid w:val="5DFAFF30"/>
    <w:rsid w:val="5E380994"/>
    <w:rsid w:val="5EBB01EE"/>
    <w:rsid w:val="5EC23B56"/>
    <w:rsid w:val="5EEA9035"/>
    <w:rsid w:val="5EECE2DE"/>
    <w:rsid w:val="5EFF4E36"/>
    <w:rsid w:val="5F56297E"/>
    <w:rsid w:val="5F627CFC"/>
    <w:rsid w:val="5F78E1D7"/>
    <w:rsid w:val="5FAE5E8A"/>
    <w:rsid w:val="5FBFFC4E"/>
    <w:rsid w:val="601086C7"/>
    <w:rsid w:val="6035C184"/>
    <w:rsid w:val="603EC1E8"/>
    <w:rsid w:val="60E40795"/>
    <w:rsid w:val="61179430"/>
    <w:rsid w:val="613C3DD0"/>
    <w:rsid w:val="6151BC9C"/>
    <w:rsid w:val="61C64E31"/>
    <w:rsid w:val="61D532FB"/>
    <w:rsid w:val="62112BFF"/>
    <w:rsid w:val="623F9D4B"/>
    <w:rsid w:val="6242A0E5"/>
    <w:rsid w:val="62782445"/>
    <w:rsid w:val="62D2D109"/>
    <w:rsid w:val="62E05DDA"/>
    <w:rsid w:val="62FA49AD"/>
    <w:rsid w:val="630D8B7E"/>
    <w:rsid w:val="63857FDC"/>
    <w:rsid w:val="63912301"/>
    <w:rsid w:val="63B3A457"/>
    <w:rsid w:val="63C42274"/>
    <w:rsid w:val="63EB59A8"/>
    <w:rsid w:val="6443CEF7"/>
    <w:rsid w:val="64CA74A1"/>
    <w:rsid w:val="64D7305D"/>
    <w:rsid w:val="6515D36B"/>
    <w:rsid w:val="653C07EE"/>
    <w:rsid w:val="658C61B9"/>
    <w:rsid w:val="659B663F"/>
    <w:rsid w:val="666E6418"/>
    <w:rsid w:val="666EAAC7"/>
    <w:rsid w:val="66956821"/>
    <w:rsid w:val="66B8D23A"/>
    <w:rsid w:val="66F101E3"/>
    <w:rsid w:val="6735E152"/>
    <w:rsid w:val="6736DD71"/>
    <w:rsid w:val="6768E9CF"/>
    <w:rsid w:val="67AB58CF"/>
    <w:rsid w:val="67AC4A89"/>
    <w:rsid w:val="67B3AC3E"/>
    <w:rsid w:val="67DEEBDA"/>
    <w:rsid w:val="6804FE13"/>
    <w:rsid w:val="6831EE3D"/>
    <w:rsid w:val="68693E5F"/>
    <w:rsid w:val="68B52DCA"/>
    <w:rsid w:val="695E916A"/>
    <w:rsid w:val="6978912C"/>
    <w:rsid w:val="6979C01C"/>
    <w:rsid w:val="69B81DD8"/>
    <w:rsid w:val="6A12823D"/>
    <w:rsid w:val="6A1E844B"/>
    <w:rsid w:val="6A50244B"/>
    <w:rsid w:val="6AA5BE99"/>
    <w:rsid w:val="6B6C0CA2"/>
    <w:rsid w:val="6B702BB6"/>
    <w:rsid w:val="6B90A923"/>
    <w:rsid w:val="6C01CA91"/>
    <w:rsid w:val="6C17661E"/>
    <w:rsid w:val="6C6675A2"/>
    <w:rsid w:val="6CAAD519"/>
    <w:rsid w:val="6CAF9A76"/>
    <w:rsid w:val="6CC03DD5"/>
    <w:rsid w:val="6D18882D"/>
    <w:rsid w:val="6D5E9BA6"/>
    <w:rsid w:val="6DFB3A54"/>
    <w:rsid w:val="6E447197"/>
    <w:rsid w:val="6E515DBD"/>
    <w:rsid w:val="6E5A7A9F"/>
    <w:rsid w:val="6EA320E9"/>
    <w:rsid w:val="6EDC650B"/>
    <w:rsid w:val="6F019536"/>
    <w:rsid w:val="6F0B46F1"/>
    <w:rsid w:val="6F5C35CF"/>
    <w:rsid w:val="6F6474BC"/>
    <w:rsid w:val="6F9D7EEC"/>
    <w:rsid w:val="70AB10E2"/>
    <w:rsid w:val="711A6B8D"/>
    <w:rsid w:val="714EAB96"/>
    <w:rsid w:val="72160CDF"/>
    <w:rsid w:val="7222F9AB"/>
    <w:rsid w:val="72D7A7DD"/>
    <w:rsid w:val="72D86989"/>
    <w:rsid w:val="73217880"/>
    <w:rsid w:val="73222D77"/>
    <w:rsid w:val="732818BB"/>
    <w:rsid w:val="735C7410"/>
    <w:rsid w:val="73611FA1"/>
    <w:rsid w:val="745215B4"/>
    <w:rsid w:val="7464232C"/>
    <w:rsid w:val="7478A242"/>
    <w:rsid w:val="7489F09B"/>
    <w:rsid w:val="74D6A88F"/>
    <w:rsid w:val="758AEEFA"/>
    <w:rsid w:val="76692ADD"/>
    <w:rsid w:val="76D6E97D"/>
    <w:rsid w:val="7763F702"/>
    <w:rsid w:val="77A07175"/>
    <w:rsid w:val="77D4F6DB"/>
    <w:rsid w:val="7853BD3F"/>
    <w:rsid w:val="7889A983"/>
    <w:rsid w:val="789EA67F"/>
    <w:rsid w:val="78DEDE32"/>
    <w:rsid w:val="78EF8CA6"/>
    <w:rsid w:val="78F91C84"/>
    <w:rsid w:val="7A65864E"/>
    <w:rsid w:val="7AC0106D"/>
    <w:rsid w:val="7B889067"/>
    <w:rsid w:val="7CDBF955"/>
    <w:rsid w:val="7CF40EF0"/>
    <w:rsid w:val="7D0C0F78"/>
    <w:rsid w:val="7D12C455"/>
    <w:rsid w:val="7D5EB7CA"/>
    <w:rsid w:val="7DF38E60"/>
    <w:rsid w:val="7E325636"/>
    <w:rsid w:val="7E9FF9CB"/>
    <w:rsid w:val="7EDC3A93"/>
    <w:rsid w:val="7EF42AD1"/>
    <w:rsid w:val="7EFEA3D7"/>
    <w:rsid w:val="7F10B997"/>
    <w:rsid w:val="7F7A61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0C0880"/>
  <w15:chartTrackingRefBased/>
  <w15:docId w15:val="{A9BEDD57-5ED8-4E33-91C4-0D62F6AB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94D"/>
  </w:style>
  <w:style w:type="paragraph" w:styleId="Heading1">
    <w:name w:val="heading 1"/>
    <w:basedOn w:val="Normal"/>
    <w:next w:val="Normal"/>
    <w:link w:val="Heading1Char"/>
    <w:uiPriority w:val="9"/>
    <w:qFormat/>
    <w:rsid w:val="00987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7B5F"/>
    <w:pPr>
      <w:outlineLvl w:val="9"/>
    </w:pPr>
  </w:style>
  <w:style w:type="character" w:styleId="Strong">
    <w:name w:val="Strong"/>
    <w:basedOn w:val="DefaultParagraphFont"/>
    <w:uiPriority w:val="22"/>
    <w:qFormat/>
    <w:rsid w:val="00E72B3E"/>
    <w:rPr>
      <w:b/>
      <w:bCs/>
    </w:rPr>
  </w:style>
  <w:style w:type="paragraph" w:styleId="TOC1">
    <w:name w:val="toc 1"/>
    <w:basedOn w:val="Normal"/>
    <w:next w:val="Normal"/>
    <w:autoRedefine/>
    <w:uiPriority w:val="39"/>
    <w:unhideWhenUsed/>
    <w:rsid w:val="00630287"/>
    <w:pPr>
      <w:spacing w:after="100"/>
    </w:pPr>
  </w:style>
  <w:style w:type="character" w:styleId="Hyperlink">
    <w:name w:val="Hyperlink"/>
    <w:basedOn w:val="DefaultParagraphFont"/>
    <w:uiPriority w:val="99"/>
    <w:unhideWhenUsed/>
    <w:rsid w:val="00630287"/>
    <w:rPr>
      <w:color w:val="0563C1" w:themeColor="hyperlink"/>
      <w:u w:val="single"/>
    </w:rPr>
  </w:style>
  <w:style w:type="paragraph" w:customStyle="1" w:styleId="Style1">
    <w:name w:val="Style1"/>
    <w:basedOn w:val="Heading1"/>
    <w:link w:val="Style1Char"/>
    <w:qFormat/>
    <w:rsid w:val="00630287"/>
    <w:rPr>
      <w:color w:val="auto"/>
    </w:rPr>
  </w:style>
  <w:style w:type="table" w:customStyle="1" w:styleId="TableGrid1">
    <w:name w:val="Table Grid1"/>
    <w:basedOn w:val="TableNormal"/>
    <w:next w:val="TableGrid"/>
    <w:uiPriority w:val="59"/>
    <w:rsid w:val="0063028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6302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287"/>
    <w:pPr>
      <w:ind w:left="720"/>
      <w:contextualSpacing/>
    </w:pPr>
  </w:style>
  <w:style w:type="paragraph" w:styleId="Header">
    <w:name w:val="header"/>
    <w:basedOn w:val="Normal"/>
    <w:link w:val="HeaderChar"/>
    <w:uiPriority w:val="99"/>
    <w:unhideWhenUsed/>
    <w:rsid w:val="001E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57"/>
  </w:style>
  <w:style w:type="paragraph" w:styleId="Footer">
    <w:name w:val="footer"/>
    <w:basedOn w:val="Normal"/>
    <w:link w:val="FooterChar"/>
    <w:uiPriority w:val="99"/>
    <w:unhideWhenUsed/>
    <w:rsid w:val="001E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57"/>
  </w:style>
  <w:style w:type="character" w:styleId="FollowedHyperlink">
    <w:name w:val="FollowedHyperlink"/>
    <w:basedOn w:val="DefaultParagraphFont"/>
    <w:uiPriority w:val="99"/>
    <w:semiHidden/>
    <w:unhideWhenUsed/>
    <w:rsid w:val="004E4391"/>
    <w:rPr>
      <w:color w:val="954F72" w:themeColor="followedHyperlink"/>
      <w:u w:val="single"/>
    </w:rPr>
  </w:style>
  <w:style w:type="paragraph" w:styleId="CommentText">
    <w:name w:val="annotation text"/>
    <w:basedOn w:val="Normal"/>
    <w:link w:val="CommentTextChar"/>
    <w:uiPriority w:val="99"/>
    <w:unhideWhenUsed/>
    <w:rsid w:val="00740251"/>
    <w:pPr>
      <w:spacing w:line="240" w:lineRule="auto"/>
    </w:pPr>
    <w:rPr>
      <w:sz w:val="20"/>
      <w:szCs w:val="20"/>
    </w:rPr>
  </w:style>
  <w:style w:type="character" w:customStyle="1" w:styleId="CommentTextChar">
    <w:name w:val="Comment Text Char"/>
    <w:basedOn w:val="DefaultParagraphFont"/>
    <w:link w:val="CommentText"/>
    <w:uiPriority w:val="99"/>
    <w:rsid w:val="00740251"/>
    <w:rPr>
      <w:sz w:val="20"/>
      <w:szCs w:val="20"/>
    </w:rPr>
  </w:style>
  <w:style w:type="character" w:customStyle="1" w:styleId="UnresolvedMention1">
    <w:name w:val="Unresolved Mention1"/>
    <w:basedOn w:val="DefaultParagraphFont"/>
    <w:uiPriority w:val="99"/>
    <w:semiHidden/>
    <w:unhideWhenUsed/>
    <w:rsid w:val="00F41D7B"/>
    <w:rPr>
      <w:color w:val="605E5C"/>
      <w:shd w:val="clear" w:color="auto" w:fill="E1DFDD"/>
    </w:rPr>
  </w:style>
  <w:style w:type="character" w:customStyle="1" w:styleId="Heading2Char">
    <w:name w:val="Heading 2 Char"/>
    <w:basedOn w:val="DefaultParagraphFont"/>
    <w:link w:val="Heading2"/>
    <w:uiPriority w:val="9"/>
    <w:rsid w:val="00C039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391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03919"/>
    <w:pPr>
      <w:spacing w:after="100"/>
      <w:ind w:left="440"/>
    </w:pPr>
  </w:style>
  <w:style w:type="paragraph" w:styleId="EndnoteText">
    <w:name w:val="endnote text"/>
    <w:basedOn w:val="Normal"/>
    <w:link w:val="EndnoteTextChar"/>
    <w:uiPriority w:val="99"/>
    <w:semiHidden/>
    <w:unhideWhenUsed/>
    <w:rsid w:val="00C039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919"/>
    <w:rPr>
      <w:sz w:val="20"/>
      <w:szCs w:val="20"/>
    </w:rPr>
  </w:style>
  <w:style w:type="character" w:styleId="EndnoteReference">
    <w:name w:val="endnote reference"/>
    <w:semiHidden/>
    <w:rsid w:val="00C03919"/>
    <w:rPr>
      <w:vertAlign w:val="superscript"/>
    </w:rPr>
  </w:style>
  <w:style w:type="paragraph" w:styleId="BalloonText">
    <w:name w:val="Balloon Text"/>
    <w:basedOn w:val="Normal"/>
    <w:link w:val="BalloonTextChar"/>
    <w:uiPriority w:val="99"/>
    <w:semiHidden/>
    <w:unhideWhenUsed/>
    <w:rsid w:val="0033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8D"/>
    <w:rPr>
      <w:rFonts w:ascii="Segoe UI" w:hAnsi="Segoe UI" w:cs="Segoe UI"/>
      <w:sz w:val="18"/>
      <w:szCs w:val="18"/>
    </w:rPr>
  </w:style>
  <w:style w:type="character" w:styleId="CommentReference">
    <w:name w:val="annotation reference"/>
    <w:basedOn w:val="DefaultParagraphFont"/>
    <w:uiPriority w:val="99"/>
    <w:unhideWhenUsed/>
    <w:rsid w:val="00FB2C37"/>
    <w:rPr>
      <w:sz w:val="16"/>
      <w:szCs w:val="16"/>
    </w:rPr>
  </w:style>
  <w:style w:type="paragraph" w:styleId="CommentSubject">
    <w:name w:val="annotation subject"/>
    <w:basedOn w:val="CommentText"/>
    <w:next w:val="CommentText"/>
    <w:link w:val="CommentSubjectChar"/>
    <w:uiPriority w:val="99"/>
    <w:semiHidden/>
    <w:unhideWhenUsed/>
    <w:rsid w:val="00FB2C37"/>
    <w:rPr>
      <w:b/>
      <w:bCs/>
    </w:rPr>
  </w:style>
  <w:style w:type="character" w:customStyle="1" w:styleId="CommentSubjectChar">
    <w:name w:val="Comment Subject Char"/>
    <w:basedOn w:val="CommentTextChar"/>
    <w:link w:val="CommentSubject"/>
    <w:uiPriority w:val="99"/>
    <w:semiHidden/>
    <w:rsid w:val="00FB2C37"/>
    <w:rPr>
      <w:b/>
      <w:bCs/>
      <w:sz w:val="20"/>
      <w:szCs w:val="20"/>
    </w:rPr>
  </w:style>
  <w:style w:type="character" w:customStyle="1" w:styleId="fontstyle01">
    <w:name w:val="fontstyle01"/>
    <w:basedOn w:val="DefaultParagraphFont"/>
    <w:rsid w:val="003662F2"/>
    <w:rPr>
      <w:rFonts w:ascii="ITCFranklinGothicStd-Book" w:hAnsi="ITCFranklinGothicStd-Book" w:hint="default"/>
      <w:b w:val="0"/>
      <w:bCs w:val="0"/>
      <w:i w:val="0"/>
      <w:iCs w:val="0"/>
      <w:color w:val="242021"/>
      <w:sz w:val="20"/>
      <w:szCs w:val="20"/>
    </w:rPr>
  </w:style>
  <w:style w:type="paragraph" w:styleId="NormalWeb">
    <w:name w:val="Normal (Web)"/>
    <w:basedOn w:val="Normal"/>
    <w:uiPriority w:val="99"/>
    <w:unhideWhenUsed/>
    <w:rsid w:val="001B37F5"/>
    <w:pPr>
      <w:spacing w:before="100" w:beforeAutospacing="1" w:after="115" w:line="240" w:lineRule="auto"/>
    </w:pPr>
    <w:rPr>
      <w:rFonts w:ascii="Times New Roman" w:eastAsia="Times New Roman" w:hAnsi="Times New Roman" w:cs="Times New Roman"/>
      <w:sz w:val="24"/>
      <w:szCs w:val="24"/>
    </w:rPr>
  </w:style>
  <w:style w:type="paragraph" w:styleId="Revision">
    <w:name w:val="Revision"/>
    <w:hidden/>
    <w:uiPriority w:val="99"/>
    <w:semiHidden/>
    <w:rsid w:val="00A66B62"/>
    <w:pPr>
      <w:spacing w:after="0" w:line="240" w:lineRule="auto"/>
    </w:pPr>
  </w:style>
  <w:style w:type="character" w:customStyle="1" w:styleId="fontstyle21">
    <w:name w:val="fontstyle21"/>
    <w:basedOn w:val="DefaultParagraphFont"/>
    <w:rsid w:val="005C34F2"/>
    <w:rPr>
      <w:rFonts w:ascii="ZapfDingbatsStd" w:hAnsi="ZapfDingbatsStd" w:hint="default"/>
      <w:b w:val="0"/>
      <w:bCs w:val="0"/>
      <w:i w:val="0"/>
      <w:iCs w:val="0"/>
      <w:color w:val="4A4C98"/>
      <w:sz w:val="16"/>
      <w:szCs w:val="16"/>
    </w:rPr>
  </w:style>
  <w:style w:type="character" w:customStyle="1" w:styleId="fontstyle31">
    <w:name w:val="fontstyle31"/>
    <w:basedOn w:val="DefaultParagraphFont"/>
    <w:rsid w:val="001B704B"/>
    <w:rPr>
      <w:rFonts w:ascii="ITCFranklinGothicStd-Book" w:hAnsi="ITCFranklinGothicStd-Book" w:hint="default"/>
      <w:b w:val="0"/>
      <w:bCs w:val="0"/>
      <w:i w:val="0"/>
      <w:iCs w:val="0"/>
      <w:color w:val="242021"/>
      <w:sz w:val="20"/>
      <w:szCs w:val="20"/>
    </w:rPr>
  </w:style>
  <w:style w:type="character" w:customStyle="1" w:styleId="UnresolvedMention2">
    <w:name w:val="Unresolved Mention2"/>
    <w:basedOn w:val="DefaultParagraphFont"/>
    <w:uiPriority w:val="99"/>
    <w:semiHidden/>
    <w:unhideWhenUsed/>
    <w:rsid w:val="0040017B"/>
    <w:rPr>
      <w:color w:val="605E5C"/>
      <w:shd w:val="clear" w:color="auto" w:fill="E1DFDD"/>
    </w:rPr>
  </w:style>
  <w:style w:type="paragraph" w:styleId="BodyTextIndent">
    <w:name w:val="Body Text Indent"/>
    <w:basedOn w:val="Normal"/>
    <w:link w:val="BodyTextIndentChar"/>
    <w:uiPriority w:val="99"/>
    <w:semiHidden/>
    <w:unhideWhenUsed/>
    <w:rsid w:val="00773CBB"/>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773CBB"/>
    <w:rPr>
      <w:rFonts w:eastAsiaTheme="minorEastAsia"/>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1A7778"/>
  </w:style>
  <w:style w:type="paragraph" w:customStyle="1" w:styleId="Pa15">
    <w:name w:val="Pa15"/>
    <w:basedOn w:val="Normal"/>
    <w:next w:val="Normal"/>
    <w:uiPriority w:val="99"/>
    <w:rsid w:val="00855D0D"/>
    <w:pPr>
      <w:autoSpaceDE w:val="0"/>
      <w:autoSpaceDN w:val="0"/>
      <w:adjustRightInd w:val="0"/>
      <w:spacing w:after="0" w:line="221" w:lineRule="atLeast"/>
    </w:pPr>
    <w:rPr>
      <w:rFonts w:ascii="ITC Franklin Gothic Std Book" w:hAnsi="ITC Franklin Gothic Std Book"/>
      <w:sz w:val="24"/>
      <w:szCs w:val="24"/>
    </w:rPr>
  </w:style>
  <w:style w:type="character" w:customStyle="1" w:styleId="A9">
    <w:name w:val="A9"/>
    <w:uiPriority w:val="99"/>
    <w:rsid w:val="00855D0D"/>
    <w:rPr>
      <w:rFonts w:cs="ITC Franklin Gothic Std Book"/>
      <w:color w:val="000000"/>
      <w:sz w:val="12"/>
      <w:szCs w:val="12"/>
    </w:rPr>
  </w:style>
  <w:style w:type="paragraph" w:customStyle="1" w:styleId="Pa17">
    <w:name w:val="Pa17"/>
    <w:basedOn w:val="Normal"/>
    <w:next w:val="Normal"/>
    <w:uiPriority w:val="99"/>
    <w:rsid w:val="0098674B"/>
    <w:pPr>
      <w:autoSpaceDE w:val="0"/>
      <w:autoSpaceDN w:val="0"/>
      <w:adjustRightInd w:val="0"/>
      <w:spacing w:after="0" w:line="221" w:lineRule="atLeast"/>
    </w:pPr>
    <w:rPr>
      <w:rFonts w:ascii="ITC Franklin Gothic Std Book" w:hAnsi="ITC Franklin Gothic Std Book"/>
      <w:sz w:val="24"/>
      <w:szCs w:val="24"/>
    </w:rPr>
  </w:style>
  <w:style w:type="character" w:customStyle="1" w:styleId="A8">
    <w:name w:val="A8"/>
    <w:uiPriority w:val="99"/>
    <w:rsid w:val="0098674B"/>
    <w:rPr>
      <w:rFonts w:cs="ITC Franklin Gothic Std Book"/>
      <w:b/>
      <w:bCs/>
      <w:color w:val="000000"/>
      <w:sz w:val="22"/>
      <w:szCs w:val="22"/>
      <w:u w:val="single"/>
    </w:rPr>
  </w:style>
  <w:style w:type="paragraph" w:customStyle="1" w:styleId="Default">
    <w:name w:val="Default"/>
    <w:rsid w:val="0098674B"/>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customStyle="1" w:styleId="A6">
    <w:name w:val="A6"/>
    <w:uiPriority w:val="99"/>
    <w:rsid w:val="0098674B"/>
    <w:rPr>
      <w:rFonts w:cs="ITC Franklin Gothic Std Book"/>
      <w:color w:val="000000"/>
      <w:sz w:val="22"/>
      <w:szCs w:val="22"/>
    </w:rPr>
  </w:style>
  <w:style w:type="character" w:customStyle="1" w:styleId="UnresolvedMention3">
    <w:name w:val="Unresolved Mention3"/>
    <w:basedOn w:val="DefaultParagraphFont"/>
    <w:uiPriority w:val="99"/>
    <w:semiHidden/>
    <w:unhideWhenUsed/>
    <w:rsid w:val="008672E6"/>
    <w:rPr>
      <w:color w:val="605E5C"/>
      <w:shd w:val="clear" w:color="auto" w:fill="E1DFDD"/>
    </w:rPr>
  </w:style>
  <w:style w:type="paragraph" w:customStyle="1" w:styleId="paragraph">
    <w:name w:val="paragraph"/>
    <w:basedOn w:val="Normal"/>
    <w:rsid w:val="00936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3668E"/>
  </w:style>
  <w:style w:type="table" w:styleId="ListTable3Accent1">
    <w:name w:val="List Table 3 Accent 1"/>
    <w:basedOn w:val="TableNormal"/>
    <w:uiPriority w:val="48"/>
    <w:rsid w:val="0036297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55300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Mention3">
    <w:name w:val="Mention3"/>
    <w:basedOn w:val="DefaultParagraphFont"/>
    <w:uiPriority w:val="99"/>
    <w:unhideWhenUsed/>
    <w:rsid w:val="00462C5A"/>
    <w:rPr>
      <w:color w:val="2B579A"/>
      <w:shd w:val="clear" w:color="auto" w:fill="E1DFDD"/>
    </w:r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semiHidden/>
    <w:unhideWhenUsed/>
    <w:rsid w:val="008A51F9"/>
    <w:pPr>
      <w:spacing w:after="0" w:line="240" w:lineRule="auto"/>
    </w:pPr>
    <w:rPr>
      <w:sz w:val="20"/>
      <w:szCs w:val="20"/>
    </w:rPr>
  </w:style>
  <w:style w:type="character" w:customStyle="1" w:styleId="FootnoteTextChar">
    <w:name w:val="Footnote Text Char"/>
    <w:basedOn w:val="DefaultParagraphFont"/>
    <w:link w:val="FootnoteText"/>
    <w:semiHidden/>
    <w:rsid w:val="008A51F9"/>
    <w:rPr>
      <w:sz w:val="20"/>
      <w:szCs w:val="20"/>
    </w:rPr>
  </w:style>
  <w:style w:type="character" w:styleId="FootnoteReference">
    <w:name w:val="footnote reference"/>
    <w:basedOn w:val="DefaultParagraphFont"/>
    <w:semiHidden/>
    <w:unhideWhenUsed/>
    <w:rsid w:val="008A51F9"/>
    <w:rPr>
      <w:vertAlign w:val="superscript"/>
    </w:rPr>
  </w:style>
  <w:style w:type="character" w:styleId="UnresolvedMention">
    <w:name w:val="Unresolved Mention"/>
    <w:basedOn w:val="DefaultParagraphFont"/>
    <w:uiPriority w:val="99"/>
    <w:semiHidden/>
    <w:unhideWhenUsed/>
    <w:rsid w:val="00472E66"/>
    <w:rPr>
      <w:color w:val="605E5C"/>
      <w:shd w:val="clear" w:color="auto" w:fill="E1DFDD"/>
    </w:rPr>
  </w:style>
  <w:style w:type="table" w:customStyle="1" w:styleId="TableGrid2">
    <w:name w:val="Table Grid2"/>
    <w:basedOn w:val="TableNormal"/>
    <w:next w:val="TableGrid"/>
    <w:uiPriority w:val="59"/>
    <w:rsid w:val="00A5234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52161"/>
    <w:rPr>
      <w:rFonts w:ascii="Segoe UI" w:hAnsi="Segoe UI" w:cs="Segoe UI" w:hint="default"/>
      <w:b/>
      <w:bCs/>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niosh/research-programs/portfolio/public-safety.html" TargetMode="External" /><Relationship Id="rId11" Type="http://schemas.openxmlformats.org/officeDocument/2006/relationships/hyperlink" Target="https://www.cdc.gov/niosh/research-programs/portfolio/hcsa.html" TargetMode="External" /><Relationship Id="rId12" Type="http://schemas.openxmlformats.org/officeDocument/2006/relationships/hyperlink" Target="https://www.cdc.gov/niosh/research-programs/portfolio/services.html"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niosh/research-programs/index.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pps.usfa.fema.gov/registry/summ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1D3677C5C0704297561ABF133A12FB" ma:contentTypeVersion="15" ma:contentTypeDescription="Create a new document." ma:contentTypeScope="" ma:versionID="ce746d9bcfb94e6f17ca91626ecfc47c">
  <xsd:schema xmlns:xsd="http://www.w3.org/2001/XMLSchema" xmlns:xs="http://www.w3.org/2001/XMLSchema" xmlns:p="http://schemas.microsoft.com/office/2006/metadata/properties" xmlns:ns2="7813a1d9-f29f-447c-a535-83598dc51f4b" xmlns:ns3="08fc547b-9a45-42ae-868b-f62c0315c0d9" targetNamespace="http://schemas.microsoft.com/office/2006/metadata/properties" ma:root="true" ma:fieldsID="54f9ba047cbf4bb7615733627f54802b" ns2:_="" ns3:_="">
    <xsd:import namespace="7813a1d9-f29f-447c-a535-83598dc51f4b"/>
    <xsd:import namespace="08fc547b-9a45-42ae-868b-f62c0315c0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a1d9-f29f-447c-a535-83598dc51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c547b-9a45-42ae-868b-f62c0315c0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edbc84-59ee-48f5-a045-5dba7b279c88}" ma:internalName="TaxCatchAll" ma:showField="CatchAllData" ma:web="08fc547b-9a45-42ae-868b-f62c0315c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fc547b-9a45-42ae-868b-f62c0315c0d9" xsi:nil="true"/>
    <lcf76f155ced4ddcb4097134ff3c332f xmlns="7813a1d9-f29f-447c-a535-83598dc51f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F8DAB-0BC0-4A45-9E0A-490F92BF5FCC}">
  <ds:schemaRefs>
    <ds:schemaRef ds:uri="http://schemas.microsoft.com/sharepoint/v3/contenttype/forms"/>
  </ds:schemaRefs>
</ds:datastoreItem>
</file>

<file path=customXml/itemProps2.xml><?xml version="1.0" encoding="utf-8"?>
<ds:datastoreItem xmlns:ds="http://schemas.openxmlformats.org/officeDocument/2006/customXml" ds:itemID="{F68A3E05-A477-4A1C-A02B-BE8E36891140}">
  <ds:schemaRefs>
    <ds:schemaRef ds:uri="http://schemas.openxmlformats.org/officeDocument/2006/bibliography"/>
  </ds:schemaRefs>
</ds:datastoreItem>
</file>

<file path=customXml/itemProps3.xml><?xml version="1.0" encoding="utf-8"?>
<ds:datastoreItem xmlns:ds="http://schemas.openxmlformats.org/officeDocument/2006/customXml" ds:itemID="{7E49FACE-729E-4EA1-9F7F-716884C5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a1d9-f29f-447c-a535-83598dc51f4b"/>
    <ds:schemaRef ds:uri="08fc547b-9a45-42ae-868b-f62c0315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E56C6-E952-4296-95C2-61A3C7032BF9}">
  <ds:schemaRefs>
    <ds:schemaRef ds:uri="http://schemas.microsoft.com/office/2006/metadata/properties"/>
    <ds:schemaRef ds:uri="http://schemas.microsoft.com/office/infopath/2007/PartnerControls"/>
    <ds:schemaRef ds:uri="08fc547b-9a45-42ae-868b-f62c0315c0d9"/>
    <ds:schemaRef ds:uri="7813a1d9-f29f-447c-a535-83598dc51f4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Emily (CDC/NIOSH/OD/ODDM)</dc:creator>
  <cp:lastModifiedBy>Sims, Thelma (CDC/IOD/OS)</cp:lastModifiedBy>
  <cp:revision>2</cp:revision>
  <dcterms:created xsi:type="dcterms:W3CDTF">2024-09-04T18:36:00Z</dcterms:created>
  <dcterms:modified xsi:type="dcterms:W3CDTF">2024-09-04T18:36:00Z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0x010100781D3677C5C0704297561ABF133A12FB</vt:lpwstr>
  </property>
  <property fmtid="{D5CDD505-2E9C-101B-9397-08002B2CF9AE}" pid="3" name="MediaServiceImageTags">
    <vt:lpwstr/>
  </property>
  <property fmtid="{D5CDD505-2E9C-101B-9397-08002B2CF9AE}" pid="4" name="MSIP_Label_7b94a7b8-f06c-4dfe-bdcc-9b548fd58c31_ActionId">
    <vt:lpwstr>915b26e1-6bc1-4269-983f-a2984af17ce5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2021-07-09T12:42:00Z</vt:lpwstr>
  </property>
  <property fmtid="{D5CDD505-2E9C-101B-9397-08002B2CF9AE}" pid="10" name="MSIP_Label_7b94a7b8-f06c-4dfe-bdcc-9b548fd58c31_SiteId">
    <vt:lpwstr>9ce70869-60db-44fd-abe8-d2767077fc8f</vt:lpwstr>
  </property>
</Properties>
</file>