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30EB9145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Pr="00C739FB" w:rsidR="00C739FB">
        <w:rPr>
          <w:b/>
          <w:bCs/>
        </w:rPr>
        <w:t>0920-1282</w:t>
      </w:r>
      <w:r w:rsidR="00C739FB">
        <w:rPr>
          <w:b/>
          <w:bCs/>
        </w:rPr>
        <w:t>; Expiration 6/30/2026</w:t>
      </w:r>
    </w:p>
    <w:p w:rsidR="00C739FB" w:rsidP="00C43311" w14:paraId="1BE5FD19" w14:textId="77777777">
      <w:pPr>
        <w:pStyle w:val="Default"/>
        <w:jc w:val="center"/>
        <w:rPr>
          <w:b/>
          <w:bCs/>
        </w:rPr>
      </w:pPr>
      <w:r w:rsidRPr="00C739FB">
        <w:rPr>
          <w:b/>
          <w:bCs/>
        </w:rPr>
        <w:t xml:space="preserve">CDC-RFA-PS-24-0003 Support and Scale-Up of HIV Prevention Services in Sexual Health Clinics (or SHIPS) Performance Measures Project </w:t>
      </w:r>
    </w:p>
    <w:p w:rsidR="008E6BC9" w:rsidRPr="008E6BC9" w:rsidP="00C43311" w14:paraId="0EE0D2AB" w14:textId="5479E70D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C739FB">
        <w:rPr>
          <w:b/>
          <w:bCs/>
        </w:rPr>
        <w:t>03/</w:t>
      </w:r>
      <w:r w:rsidR="003C551D">
        <w:rPr>
          <w:b/>
          <w:bCs/>
        </w:rPr>
        <w:t>1</w:t>
      </w:r>
      <w:r w:rsidR="00D77D93">
        <w:rPr>
          <w:b/>
          <w:bCs/>
        </w:rPr>
        <w:t>8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RPr="00F72B31" w:rsidP="008E6BC9" w14:paraId="08B2496E" w14:textId="108AC16A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C739FB">
        <w:t>CDC/</w:t>
      </w:r>
      <w:r w:rsidRPr="00C739FB" w:rsidR="00C739FB">
        <w:t>NCHHSTP</w:t>
      </w:r>
      <w:r w:rsidR="00227125">
        <w:t>/DSTDP/PDEB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From Gender Ideology Extremism and Restoring Biological Truth to the Federal Government. </w:t>
      </w:r>
    </w:p>
    <w:p w:rsidR="00227125" w:rsidP="008E6BC9" w14:paraId="0AEF031A" w14:textId="77777777">
      <w:pPr>
        <w:pStyle w:val="Default"/>
        <w:rPr>
          <w:b/>
          <w:bCs/>
        </w:rPr>
      </w:pPr>
    </w:p>
    <w:p w:rsidR="008E6BC9" w:rsidRPr="008E6BC9" w:rsidP="008E6BC9" w14:paraId="798E3A0D" w14:textId="198BBADB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 xml:space="preserve">This request updates sex questions used in </w:t>
      </w:r>
      <w:r w:rsidRPr="00C739FB" w:rsidR="00C739FB">
        <w:t>CDC-RFA-PS-24-0003 Support and Scale-Up of HIV Prevention Services in Sexual Health Clinics (or SHIPS) Performance Measures Project</w:t>
      </w:r>
      <w:r w:rsidR="00227125">
        <w:t xml:space="preserve">, Biannual Performance Measures Survey </w:t>
      </w:r>
      <w:r w:rsidRPr="008E6BC9">
        <w:t xml:space="preserve">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0DB1BA32">
      <w:pPr>
        <w:pStyle w:val="Default"/>
      </w:pPr>
      <w:sdt>
        <w:sdtPr>
          <w:id w:val="-9922535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7125">
            <w:rPr>
              <w:rFonts w:ascii="MS Gothic" w:eastAsia="MS Gothic" w:hAnsi="MS Gothic" w:cs="MS Gothic" w:hint="eastAsia"/>
            </w:rPr>
            <w:t>☒</w:t>
          </w:r>
        </w:sdtContent>
      </w:sdt>
      <w:r w:rsidRPr="008E6BC9" w:rsidR="00227125">
        <w:t xml:space="preserve"> </w:t>
      </w:r>
      <w:r w:rsidRPr="008E6BC9">
        <w:t xml:space="preserve">Revision of an existing question(s) </w:t>
      </w:r>
    </w:p>
    <w:p w:rsidR="002C01B4" w:rsidP="008E6BC9" w14:paraId="0FA7A6D1" w14:textId="0F36A10B">
      <w:pPr>
        <w:pStyle w:val="Default"/>
      </w:pPr>
      <w:sdt>
        <w:sdtPr>
          <w:id w:val="7447702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7125">
            <w:rPr>
              <w:rFonts w:ascii="MS Gothic" w:eastAsia="MS Gothic" w:hAnsi="MS Gothic" w:cs="MS Gothic" w:hint="eastAsia"/>
            </w:rPr>
            <w:t>☒</w:t>
          </w:r>
        </w:sdtContent>
      </w:sdt>
      <w:r w:rsidR="00227125">
        <w:t xml:space="preserve"> </w:t>
      </w:r>
      <w:r w:rsidR="0029411F">
        <w:t>Deletion</w:t>
      </w:r>
      <w:r w:rsidRPr="008E6BC9" w:rsidR="008E6BC9">
        <w:t xml:space="preserve"> of an existing question(s) </w:t>
      </w:r>
    </w:p>
    <w:p w:rsidR="00CB5109" w:rsidP="008E6BC9" w14:paraId="296D3C11" w14:textId="77777777">
      <w:pPr>
        <w:pStyle w:val="Default"/>
      </w:pPr>
    </w:p>
    <w:p w:rsidR="00227125" w:rsidRPr="00227125" w:rsidP="00112F32" w14:paraId="19CE7B2C" w14:textId="2FB43E02">
      <w:pPr>
        <w:pStyle w:val="Default"/>
      </w:pPr>
      <w:r>
        <w:t xml:space="preserve">SHIPS originally collected information about sex or gender through multiple steps. Henceforth, SHIPS will continue to ask a question about sex, though limit responses according to EO 14168, and will remove the follow-up gender identity question entirely. </w:t>
      </w:r>
      <w:r w:rsidRPr="00227125">
        <w:t xml:space="preserve">To comply, </w:t>
      </w:r>
      <w:r>
        <w:t>SHIPS</w:t>
      </w:r>
      <w:r w:rsidRPr="00227125">
        <w:t xml:space="preserve"> will be changing the current Gender/Sex question to: </w:t>
      </w:r>
    </w:p>
    <w:p w:rsidR="00227125" w:rsidRPr="00227125" w:rsidP="00227125" w14:paraId="21580900" w14:textId="77777777">
      <w:pPr>
        <w:pStyle w:val="Default"/>
      </w:pPr>
    </w:p>
    <w:p w:rsidR="00227125" w:rsidRPr="00227125" w:rsidP="00227125" w14:paraId="495DF973" w14:textId="77777777">
      <w:pPr>
        <w:pStyle w:val="Default"/>
      </w:pPr>
      <w:r w:rsidRPr="00227125">
        <w:t>What is your Sex?</w:t>
      </w:r>
    </w:p>
    <w:p w:rsidR="00227125" w:rsidRPr="00227125" w:rsidP="00B86890" w14:paraId="35379050" w14:textId="6DB68B58">
      <w:pPr>
        <w:pStyle w:val="Default"/>
        <w:numPr>
          <w:ilvl w:val="0"/>
          <w:numId w:val="5"/>
        </w:numPr>
      </w:pPr>
      <w:r w:rsidRPr="00227125">
        <w:t>Male</w:t>
      </w:r>
    </w:p>
    <w:p w:rsidR="00227125" w:rsidRPr="00227125" w:rsidP="00B86890" w14:paraId="2FA8173E" w14:textId="2237BBF2">
      <w:pPr>
        <w:pStyle w:val="Default"/>
        <w:numPr>
          <w:ilvl w:val="0"/>
          <w:numId w:val="5"/>
        </w:numPr>
      </w:pPr>
      <w:r w:rsidRPr="00227125">
        <w:t>Female</w:t>
      </w:r>
    </w:p>
    <w:p w:rsidR="00227125" w:rsidRPr="00227125" w:rsidP="00B86890" w14:paraId="5E90789E" w14:textId="4F31EE68">
      <w:pPr>
        <w:pStyle w:val="Default"/>
        <w:numPr>
          <w:ilvl w:val="0"/>
          <w:numId w:val="5"/>
        </w:numPr>
      </w:pPr>
      <w:r w:rsidRPr="00227125">
        <w:t>Undetermined</w:t>
      </w:r>
    </w:p>
    <w:p w:rsidR="00227125" w:rsidRPr="00227125" w:rsidP="00B86890" w14:paraId="67703018" w14:textId="4993EE29">
      <w:pPr>
        <w:pStyle w:val="Default"/>
        <w:numPr>
          <w:ilvl w:val="0"/>
          <w:numId w:val="5"/>
        </w:numPr>
      </w:pPr>
      <w:r w:rsidRPr="00227125">
        <w:t>Missing Value [Null]</w:t>
      </w:r>
    </w:p>
    <w:p w:rsidR="00227125" w:rsidRPr="00227125" w:rsidP="00227125" w14:paraId="55F1FBBC" w14:textId="77777777">
      <w:pPr>
        <w:pStyle w:val="Default"/>
      </w:pPr>
    </w:p>
    <w:p w:rsidR="00227125" w:rsidRPr="00227125" w:rsidP="00227125" w14:paraId="3F532E2B" w14:textId="77777777">
      <w:pPr>
        <w:pStyle w:val="Default"/>
      </w:pPr>
      <w:r w:rsidRPr="00227125">
        <w:t>If removing an existing question, the question to be removed can be included here.</w:t>
      </w:r>
    </w:p>
    <w:p w:rsidR="00227125" w:rsidP="00227125" w14:paraId="751EFD69" w14:textId="56D5CDE8">
      <w:pPr>
        <w:pStyle w:val="Default"/>
      </w:pPr>
      <w:r>
        <w:t>Gender identity:</w:t>
      </w:r>
    </w:p>
    <w:p w:rsidR="00112F32" w:rsidP="00B86890" w14:paraId="0650AEB4" w14:textId="36CE08F7">
      <w:pPr>
        <w:pStyle w:val="Default"/>
        <w:numPr>
          <w:ilvl w:val="0"/>
          <w:numId w:val="6"/>
        </w:numPr>
      </w:pPr>
      <w:r>
        <w:t>Male</w:t>
      </w:r>
    </w:p>
    <w:p w:rsidR="00112F32" w:rsidP="00B86890" w14:paraId="7FDF7684" w14:textId="289A2DE9">
      <w:pPr>
        <w:pStyle w:val="Default"/>
        <w:numPr>
          <w:ilvl w:val="0"/>
          <w:numId w:val="6"/>
        </w:numPr>
      </w:pPr>
      <w:r>
        <w:t>Female</w:t>
      </w:r>
    </w:p>
    <w:p w:rsidR="00112F32" w:rsidP="00B86890" w14:paraId="7CBF33D0" w14:textId="4F0B405E">
      <w:pPr>
        <w:pStyle w:val="Default"/>
        <w:numPr>
          <w:ilvl w:val="0"/>
          <w:numId w:val="6"/>
        </w:numPr>
      </w:pPr>
      <w:r>
        <w:t>Transgender, non-binary, or another gender</w:t>
      </w:r>
    </w:p>
    <w:p w:rsidR="00112F32" w:rsidRPr="00227125" w:rsidP="00227125" w14:paraId="59825545" w14:textId="77777777">
      <w:pPr>
        <w:pStyle w:val="Default"/>
      </w:pPr>
    </w:p>
    <w:p w:rsidR="00227125" w:rsidRPr="00227125" w:rsidP="00227125" w14:paraId="51707A6D" w14:textId="77777777">
      <w:pPr>
        <w:pStyle w:val="Default"/>
      </w:pPr>
      <w:r w:rsidRPr="00227125">
        <w:t>Description of these actions may also be included in the Table at the bottom of this document.</w:t>
      </w:r>
    </w:p>
    <w:p w:rsidR="0027059A" w:rsidRPr="00445D96" w:rsidP="008E6BC9" w14:paraId="58EF1D30" w14:textId="77777777">
      <w:pPr>
        <w:pStyle w:val="Default"/>
      </w:pPr>
    </w:p>
    <w:p w:rsidR="00CB5109" w:rsidRPr="00CB5109" w:rsidP="008E6BC9" w14:paraId="26BD2D71" w14:textId="4673E55A">
      <w:pPr>
        <w:pStyle w:val="Default"/>
      </w:pPr>
      <w:r w:rsidRPr="00CB5109">
        <w:rPr>
          <w:b/>
          <w:bCs/>
        </w:rPr>
        <w:t>Description of Changes to Burden (if applicable):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88"/>
        <w:gridCol w:w="2520"/>
        <w:gridCol w:w="2754"/>
      </w:tblGrid>
      <w:tr w14:paraId="4BD1B183" w14:textId="77777777" w:rsidTr="00F72B31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0B657C46" w14:textId="77777777">
            <w:pPr>
              <w:pStyle w:val="Default"/>
            </w:pPr>
            <w:r w:rsidRPr="008E6BC9">
              <w:rPr>
                <w:b/>
                <w:bCs/>
              </w:rPr>
              <w:t xml:space="preserve">Description of Changes to Burden (if applicable): </w:t>
            </w:r>
            <w:r w:rsidRPr="008E6BC9">
              <w:t xml:space="preserve">Form </w:t>
            </w:r>
          </w:p>
        </w:tc>
        <w:tc>
          <w:tcPr>
            <w:tcW w:w="2520" w:type="dxa"/>
          </w:tcPr>
          <w:p w:rsidR="008E6BC9" w:rsidRPr="008E6BC9" w14:paraId="4F5D39D5" w14:textId="77777777">
            <w:pPr>
              <w:pStyle w:val="Default"/>
            </w:pPr>
            <w:r w:rsidRPr="008E6BC9">
              <w:t xml:space="preserve">Approved Burden </w:t>
            </w:r>
          </w:p>
        </w:tc>
        <w:tc>
          <w:tcPr>
            <w:tcW w:w="2754" w:type="dxa"/>
          </w:tcPr>
          <w:p w:rsidR="008E6BC9" w:rsidRPr="008E6BC9" w14:paraId="46808741" w14:textId="77777777">
            <w:pPr>
              <w:pStyle w:val="Default"/>
            </w:pPr>
            <w:r w:rsidRPr="008E6BC9">
              <w:t xml:space="preserve">Requested Burden </w:t>
            </w:r>
          </w:p>
        </w:tc>
      </w:tr>
      <w:tr w14:paraId="60D904B1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523"/>
        </w:trPr>
        <w:tc>
          <w:tcPr>
            <w:tcW w:w="2988" w:type="dxa"/>
          </w:tcPr>
          <w:p w:rsidR="008E6BC9" w:rsidRPr="008E6BC9" w14:paraId="4693D3D1" w14:textId="02CE49C6">
            <w:pPr>
              <w:pStyle w:val="Default"/>
            </w:pPr>
            <w:r>
              <w:t>SHIPS Biannual Performance Measure Survey</w:t>
            </w:r>
            <w:r w:rsidRPr="008E6BC9">
              <w:t xml:space="preserve"> </w:t>
            </w:r>
          </w:p>
        </w:tc>
        <w:tc>
          <w:tcPr>
            <w:tcW w:w="2520" w:type="dxa"/>
          </w:tcPr>
          <w:p w:rsidR="008E6BC9" w:rsidRPr="008E6BC9" w14:paraId="3031E1FA" w14:textId="0395004E">
            <w:pPr>
              <w:pStyle w:val="Default"/>
            </w:pPr>
            <w:r>
              <w:t>18 hours</w:t>
            </w:r>
          </w:p>
          <w:p w:rsidR="008E6BC9" w:rsidRPr="008E6BC9" w14:paraId="04B700A0" w14:textId="3EF0E874">
            <w:pPr>
              <w:pStyle w:val="Default"/>
            </w:pPr>
          </w:p>
        </w:tc>
        <w:tc>
          <w:tcPr>
            <w:tcW w:w="2754" w:type="dxa"/>
          </w:tcPr>
          <w:p w:rsidR="008E6BC9" w:rsidRPr="008E6BC9" w14:paraId="7B9FB491" w14:textId="64829D63">
            <w:pPr>
              <w:pStyle w:val="Default"/>
            </w:pPr>
            <w:r>
              <w:t>18 hours</w:t>
            </w:r>
          </w:p>
          <w:p w:rsidR="008E6BC9" w:rsidRPr="008E6BC9" w14:paraId="38DF1297" w14:textId="3B127479">
            <w:pPr>
              <w:pStyle w:val="Default"/>
            </w:pPr>
          </w:p>
        </w:tc>
      </w:tr>
      <w:tr w14:paraId="5655C9EA" w14:textId="77777777" w:rsidTr="00F72B31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988" w:type="dxa"/>
          </w:tcPr>
          <w:p w:rsidR="008E6BC9" w:rsidRPr="008E6BC9" w14:paraId="7EDC33F7" w14:textId="77777777">
            <w:pPr>
              <w:pStyle w:val="Default"/>
            </w:pPr>
            <w:r w:rsidRPr="008E6BC9">
              <w:t xml:space="preserve">Total </w:t>
            </w:r>
          </w:p>
        </w:tc>
        <w:tc>
          <w:tcPr>
            <w:tcW w:w="2520" w:type="dxa"/>
          </w:tcPr>
          <w:p w:rsidR="008E6BC9" w:rsidRPr="008E6BC9" w14:paraId="60C283D0" w14:textId="0D84E952">
            <w:pPr>
              <w:pStyle w:val="Default"/>
            </w:pPr>
            <w:r>
              <w:t>18 hours</w:t>
            </w:r>
            <w:r w:rsidRPr="008E6BC9">
              <w:t xml:space="preserve"> </w:t>
            </w:r>
          </w:p>
        </w:tc>
        <w:tc>
          <w:tcPr>
            <w:tcW w:w="2754" w:type="dxa"/>
          </w:tcPr>
          <w:p w:rsidR="008E6BC9" w:rsidRPr="008E6BC9" w14:paraId="2147B0C9" w14:textId="70609064">
            <w:pPr>
              <w:pStyle w:val="Default"/>
            </w:pPr>
            <w:r>
              <w:t>18 hours</w:t>
            </w:r>
            <w:r w:rsidRPr="008E6BC9">
              <w:t xml:space="preserve"> </w:t>
            </w:r>
          </w:p>
        </w:tc>
      </w:tr>
    </w:tbl>
    <w:p w:rsidR="00227125" w:rsidRPr="00227125" w:rsidP="00CE5292" w14:paraId="14E27AB9" w14:textId="77777777">
      <w:pPr>
        <w:pStyle w:val="Default"/>
        <w:rPr>
          <w:color w:val="auto"/>
          <w:kern w:val="2"/>
        </w:rPr>
      </w:pPr>
      <w:r w:rsidRPr="00227125">
        <w:rPr>
          <w:color w:val="auto"/>
          <w:kern w:val="2"/>
        </w:rPr>
        <w:t>There is no change in Burden Hours associated with the modifications made to comply with EO 14168</w:t>
      </w:r>
    </w:p>
    <w:p w:rsidR="00227125" w:rsidP="00CE5292" w14:paraId="1C6B2717" w14:textId="77777777">
      <w:pPr>
        <w:pStyle w:val="Default"/>
        <w:rPr>
          <w:b/>
          <w:bCs/>
          <w:color w:val="auto"/>
          <w:kern w:val="2"/>
        </w:rPr>
      </w:pPr>
    </w:p>
    <w:p w:rsidR="004A0407" w:rsidRPr="00F72B31" w:rsidP="00CE5292" w14:paraId="47F75427" w14:textId="4F8AD71C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  <w:r w:rsidRPr="00547D18" w:rsidR="00547D18">
        <w:t xml:space="preserve">CDC can include </w:t>
      </w:r>
      <w:r w:rsidR="000B0D24">
        <w:t>other aspects associated with the submission of this Non-Substantive Change Request here (</w:t>
      </w:r>
      <w:r w:rsidR="000B0D24">
        <w:rPr>
          <w:i/>
          <w:iCs/>
        </w:rPr>
        <w:t>e</w:t>
      </w:r>
      <w:r w:rsidRPr="00547D18">
        <w:rPr>
          <w:i/>
          <w:iCs/>
        </w:rPr>
        <w:t>.g., timing sensitivities, implementation requirements</w:t>
      </w:r>
      <w:r w:rsidR="008A2D92">
        <w:rPr>
          <w:i/>
          <w:iCs/>
        </w:rPr>
        <w:t>, etc.,)</w:t>
      </w:r>
      <w:r w:rsidRPr="00547D18">
        <w:rPr>
          <w:i/>
          <w:iCs/>
        </w:rPr>
        <w:t xml:space="preserve">. </w:t>
      </w:r>
    </w:p>
    <w:p w:rsidR="004A0407" w:rsidRPr="00CE5292" w:rsidP="00CE5292" w14:paraId="7C4AE9F9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0029411F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1681DC2C">
            <w:pPr>
              <w:pStyle w:val="Default"/>
            </w:pPr>
            <w:r w:rsidRPr="00112F32">
              <w:t>SHIPS Biannual Performance Measure Survey</w:t>
            </w:r>
          </w:p>
        </w:tc>
        <w:tc>
          <w:tcPr>
            <w:tcW w:w="2514" w:type="dxa"/>
          </w:tcPr>
          <w:p w:rsidR="00D05D2E" w:rsidRPr="00CE5292" w14:paraId="47ED5585" w14:textId="1F16148B">
            <w:pPr>
              <w:pStyle w:val="Default"/>
            </w:pPr>
            <w:r>
              <w:t>Question R</w:t>
            </w:r>
            <w:r w:rsidR="009A6907">
              <w:t>emoval</w:t>
            </w:r>
          </w:p>
        </w:tc>
        <w:tc>
          <w:tcPr>
            <w:tcW w:w="1855" w:type="dxa"/>
          </w:tcPr>
          <w:p w:rsidR="00D05D2E" w:rsidRPr="00CE5292" w14:paraId="76F6AF12" w14:textId="69B21A34">
            <w:pPr>
              <w:pStyle w:val="Default"/>
            </w:pPr>
            <w:r>
              <w:t>Gender identity</w:t>
            </w:r>
          </w:p>
        </w:tc>
        <w:tc>
          <w:tcPr>
            <w:tcW w:w="2185" w:type="dxa"/>
          </w:tcPr>
          <w:p w:rsidR="00D05D2E" w:rsidRPr="00CE5292" w14:paraId="70A74AFC" w14:textId="754F7883">
            <w:pPr>
              <w:pStyle w:val="Default"/>
            </w:pPr>
            <w:r>
              <w:t>Remove</w:t>
            </w:r>
          </w:p>
        </w:tc>
      </w:tr>
      <w:tr w14:paraId="4B74598C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73D54AF7">
            <w:pPr>
              <w:pStyle w:val="Default"/>
            </w:pPr>
            <w:r w:rsidRPr="00112F32">
              <w:t>SHIPS Biannual Performance Measure Survey</w:t>
            </w:r>
          </w:p>
        </w:tc>
        <w:tc>
          <w:tcPr>
            <w:tcW w:w="2514" w:type="dxa"/>
          </w:tcPr>
          <w:p w:rsidR="00D05D2E" w14:paraId="6A32690C" w14:textId="35C5C3EE">
            <w:pPr>
              <w:pStyle w:val="Default"/>
            </w:pPr>
            <w:r>
              <w:t xml:space="preserve">Question </w:t>
            </w:r>
            <w:r w:rsidR="009A6907">
              <w:t>Revision</w:t>
            </w:r>
          </w:p>
        </w:tc>
        <w:tc>
          <w:tcPr>
            <w:tcW w:w="1855" w:type="dxa"/>
          </w:tcPr>
          <w:p w:rsidR="00D05D2E" w:rsidRPr="00CE5292" w14:paraId="2AF4F3E3" w14:textId="741BF867">
            <w:pPr>
              <w:pStyle w:val="Default"/>
            </w:pPr>
            <w:r>
              <w:t>Sex</w:t>
            </w:r>
          </w:p>
        </w:tc>
        <w:tc>
          <w:tcPr>
            <w:tcW w:w="2185" w:type="dxa"/>
          </w:tcPr>
          <w:p w:rsidR="009A6907" w:rsidRPr="00CE5292" w14:paraId="123D0EFA" w14:textId="6F370F21">
            <w:pPr>
              <w:pStyle w:val="Default"/>
            </w:pPr>
            <w:r>
              <w:t>Remove “intersex” and keep only the following answer options: Male; female; undetermined; missing</w:t>
            </w:r>
            <w:r w:rsidR="001B42F2">
              <w:t xml:space="preserve"> value</w:t>
            </w: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2984FA3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1817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F8ED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3F89A8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41B3C"/>
    <w:multiLevelType w:val="hybridMultilevel"/>
    <w:tmpl w:val="14A8E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FC"/>
    <w:multiLevelType w:val="hybridMultilevel"/>
    <w:tmpl w:val="EFF8A1C8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AA70FF"/>
    <w:multiLevelType w:val="hybridMultilevel"/>
    <w:tmpl w:val="5F221052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7A4293"/>
    <w:multiLevelType w:val="hybridMultilevel"/>
    <w:tmpl w:val="7B6A360C"/>
    <w:lvl w:ilvl="0">
      <w:start w:val="0"/>
      <w:numFmt w:val="bullet"/>
      <w:lvlText w:val="-"/>
      <w:lvlJc w:val="left"/>
      <w:pPr>
        <w:ind w:left="1580" w:hanging="8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096CA6"/>
    <w:multiLevelType w:val="hybridMultilevel"/>
    <w:tmpl w:val="DECCB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D34F4"/>
    <w:multiLevelType w:val="hybridMultilevel"/>
    <w:tmpl w:val="FDC066EE"/>
    <w:lvl w:ilvl="0">
      <w:start w:val="0"/>
      <w:numFmt w:val="bullet"/>
      <w:lvlText w:val="-"/>
      <w:lvlJc w:val="left"/>
      <w:pPr>
        <w:ind w:left="1220" w:hanging="8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28532">
    <w:abstractNumId w:val="0"/>
  </w:num>
  <w:num w:numId="2" w16cid:durableId="78795790">
    <w:abstractNumId w:val="4"/>
  </w:num>
  <w:num w:numId="3" w16cid:durableId="2051220812">
    <w:abstractNumId w:val="5"/>
  </w:num>
  <w:num w:numId="4" w16cid:durableId="716246382">
    <w:abstractNumId w:val="3"/>
  </w:num>
  <w:num w:numId="5" w16cid:durableId="996494847">
    <w:abstractNumId w:val="2"/>
  </w:num>
  <w:num w:numId="6" w16cid:durableId="74292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A5260"/>
    <w:rsid w:val="000B0D24"/>
    <w:rsid w:val="00112F32"/>
    <w:rsid w:val="001849E9"/>
    <w:rsid w:val="001B42F2"/>
    <w:rsid w:val="00222C6E"/>
    <w:rsid w:val="00227125"/>
    <w:rsid w:val="0027059A"/>
    <w:rsid w:val="00285485"/>
    <w:rsid w:val="0029411F"/>
    <w:rsid w:val="002C01B4"/>
    <w:rsid w:val="003C3B11"/>
    <w:rsid w:val="003C551D"/>
    <w:rsid w:val="003D50F3"/>
    <w:rsid w:val="003E2C29"/>
    <w:rsid w:val="00443415"/>
    <w:rsid w:val="00445D96"/>
    <w:rsid w:val="0048542E"/>
    <w:rsid w:val="004A0407"/>
    <w:rsid w:val="004D1796"/>
    <w:rsid w:val="00547D18"/>
    <w:rsid w:val="00566578"/>
    <w:rsid w:val="005F7E9B"/>
    <w:rsid w:val="006829E3"/>
    <w:rsid w:val="006C09AE"/>
    <w:rsid w:val="008A2D92"/>
    <w:rsid w:val="008A69E6"/>
    <w:rsid w:val="008B4487"/>
    <w:rsid w:val="008E2A46"/>
    <w:rsid w:val="008E6BC9"/>
    <w:rsid w:val="008F3869"/>
    <w:rsid w:val="00926942"/>
    <w:rsid w:val="00952188"/>
    <w:rsid w:val="009A6907"/>
    <w:rsid w:val="009E7F31"/>
    <w:rsid w:val="00A2502D"/>
    <w:rsid w:val="00A7377C"/>
    <w:rsid w:val="00AD25BB"/>
    <w:rsid w:val="00B37B38"/>
    <w:rsid w:val="00B86890"/>
    <w:rsid w:val="00C43311"/>
    <w:rsid w:val="00C739FB"/>
    <w:rsid w:val="00CB5109"/>
    <w:rsid w:val="00CD7816"/>
    <w:rsid w:val="00CE5292"/>
    <w:rsid w:val="00D05D2E"/>
    <w:rsid w:val="00D629CC"/>
    <w:rsid w:val="00D77D93"/>
    <w:rsid w:val="00DD0097"/>
    <w:rsid w:val="00E55BCC"/>
    <w:rsid w:val="00F44BA7"/>
    <w:rsid w:val="00F72B31"/>
    <w:rsid w:val="00F74EF5"/>
    <w:rsid w:val="00FD14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Cody, Aisha (CDC/NCHHSTP/OD)</cp:lastModifiedBy>
  <cp:revision>2</cp:revision>
  <dcterms:created xsi:type="dcterms:W3CDTF">2025-03-26T17:49:00Z</dcterms:created>
  <dcterms:modified xsi:type="dcterms:W3CDTF">2025-03-26T17:49:00Z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b2372d2cfb2fb7c916069cdbfeb915e5fd7fe0868d5a5ead7f15ccbbb3d130fa</vt:lpwstr>
  </property>
  <property fmtid="{D5CDD505-2E9C-101B-9397-08002B2CF9AE}" pid="3" name="MSIP_Label_7b94a7b8-f06c-4dfe-bdcc-9b548fd58c31_ActionId">
    <vt:lpwstr>26dadb13-2012-4100-bd47-109943c626cf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2025-03-26T17:47:49Z</vt:lpwstr>
  </property>
  <property fmtid="{D5CDD505-2E9C-101B-9397-08002B2CF9AE}" pid="9" name="MSIP_Label_7b94a7b8-f06c-4dfe-bdcc-9b548fd58c31_SiteId">
    <vt:lpwstr>9ce70869-60db-44fd-abe8-d2767077fc8f</vt:lpwstr>
  </property>
</Properties>
</file>