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4A13E8" w:rsidRPr="009068A6" w:rsidP="004A13E8" w14:paraId="55FE1772" w14:textId="36E2C87F">
      <w:pPr>
        <w:pStyle w:val="Heading2"/>
      </w:pPr>
      <w:bookmarkStart w:id="1" w:name="_Hlk201565071"/>
      <w:r w:rsidRPr="009068A6">
        <w:rPr>
          <w:rFonts w:ascii="Arial Nova" w:hAnsi="Arial Nova"/>
          <w:color w:val="000000" w:themeColor="text1"/>
        </w:rPr>
        <w:t>Adverse Health Outcomes Associated with Medical Tourism Surveillance System</w:t>
      </w:r>
      <w:bookmarkEnd w:id="1"/>
      <w:r w:rsidRPr="009068A6">
        <w:t xml:space="preserve"> </w:t>
      </w:r>
      <w:bookmarkEnd w:id="0"/>
    </w:p>
    <w:p w:rsidR="00593E7F" w:rsidRPr="00593E7F" w:rsidP="009068A6" w14:paraId="4EE00555" w14:textId="77777777"/>
    <w:p w:rsidR="004A13E8" w:rsidP="004A13E8" w14:paraId="55FE1773" w14:textId="77777777">
      <w:pPr>
        <w:spacing w:after="0" w:line="240" w:lineRule="auto"/>
        <w:jc w:val="center"/>
        <w:rPr>
          <w:b/>
        </w:rPr>
      </w:pPr>
    </w:p>
    <w:p w:rsidR="004A13E8" w:rsidRPr="004A13E8" w:rsidP="004A13E8" w14:paraId="55FE1774" w14:textId="7843840D">
      <w:pPr>
        <w:pStyle w:val="Heading3"/>
      </w:pPr>
      <w:bookmarkStart w:id="2" w:name="_Toc473880016"/>
      <w:r w:rsidRPr="004A13E8">
        <w:t>Request for OMB approval of a</w:t>
      </w:r>
      <w:r w:rsidR="00DC74EE">
        <w:t xml:space="preserve"> New</w:t>
      </w:r>
      <w:r w:rsidR="006E1E7E">
        <w:t xml:space="preserve"> </w:t>
      </w:r>
      <w:r w:rsidR="00DC74EE">
        <w:t>Information Collection</w:t>
      </w:r>
      <w:bookmarkEnd w:id="2"/>
      <w:r w:rsidR="00DC74EE">
        <w:t xml:space="preserve"> </w:t>
      </w:r>
    </w:p>
    <w:p w:rsidR="004A13E8" w:rsidP="004A13E8" w14:paraId="55FE1775" w14:textId="77777777">
      <w:pPr>
        <w:spacing w:after="0" w:line="240" w:lineRule="auto"/>
        <w:jc w:val="center"/>
        <w:rPr>
          <w:b/>
        </w:rPr>
      </w:pPr>
    </w:p>
    <w:p w:rsidR="004A13E8" w:rsidRPr="004A13E8" w:rsidP="004A13E8" w14:paraId="55FE1776" w14:textId="6CB8F4EF">
      <w:pPr>
        <w:pStyle w:val="Heading4"/>
      </w:pPr>
      <w:r>
        <w:t>07/02/2025</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9068A6" w:rsidRPr="009068A6" w:rsidP="009068A6" w14:paraId="63A3003E" w14:textId="77777777">
      <w:pPr>
        <w:pStyle w:val="NoSpacing"/>
      </w:pPr>
      <w:r w:rsidRPr="009068A6">
        <w:t>Rudith Vice </w:t>
      </w:r>
    </w:p>
    <w:p w:rsidR="009068A6" w:rsidRPr="009068A6" w:rsidP="009068A6" w14:paraId="7F4D40D5" w14:textId="77777777">
      <w:pPr>
        <w:pStyle w:val="NoSpacing"/>
      </w:pPr>
      <w:r w:rsidRPr="009068A6">
        <w:t>National Center for Emerging and Zoonotic Infectious Diseases  </w:t>
      </w:r>
    </w:p>
    <w:p w:rsidR="009068A6" w:rsidRPr="009068A6" w:rsidP="009068A6" w14:paraId="51BD2450" w14:textId="77777777">
      <w:pPr>
        <w:pStyle w:val="NoSpacing"/>
      </w:pPr>
      <w:r w:rsidRPr="009068A6">
        <w:t>Centers for Disease Control and Prevention  </w:t>
      </w:r>
    </w:p>
    <w:p w:rsidR="009068A6" w:rsidRPr="009068A6" w:rsidP="009068A6" w14:paraId="6026F17E" w14:textId="77777777">
      <w:pPr>
        <w:pStyle w:val="NoSpacing"/>
      </w:pPr>
      <w:r w:rsidRPr="009068A6">
        <w:t>1600 Clifton Road, NE  </w:t>
      </w:r>
    </w:p>
    <w:p w:rsidR="009068A6" w:rsidRPr="009068A6" w:rsidP="009068A6" w14:paraId="510B6635" w14:textId="77777777">
      <w:pPr>
        <w:pStyle w:val="NoSpacing"/>
      </w:pPr>
      <w:r w:rsidRPr="009068A6">
        <w:t>Atlanta, Georgia 30333  </w:t>
      </w:r>
    </w:p>
    <w:p w:rsidR="009068A6" w:rsidRPr="009068A6" w:rsidP="009068A6" w14:paraId="3D5CEDA0" w14:textId="77777777">
      <w:pPr>
        <w:pStyle w:val="NoSpacing"/>
      </w:pPr>
      <w:r w:rsidRPr="009068A6">
        <w:t xml:space="preserve">Email: </w:t>
      </w:r>
      <w:hyperlink r:id="rId8" w:tgtFrame="_blank" w:history="1">
        <w:r w:rsidRPr="009068A6">
          <w:rPr>
            <w:rStyle w:val="Hyperlink"/>
          </w:rPr>
          <w:t>nhr9@cdc.gov</w:t>
        </w:r>
      </w:hyperlink>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685165</wp:posOffset>
                </wp:positionV>
                <wp:extent cx="6858000" cy="6943725"/>
                <wp:effectExtent l="0" t="0" r="19050" b="28575"/>
                <wp:wrapTight wrapText="bothSides">
                  <wp:wrapPolygon>
                    <wp:start x="0" y="0"/>
                    <wp:lineTo x="0" y="21630"/>
                    <wp:lineTo x="21600" y="2163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6943725"/>
                        </a:xfrm>
                        <a:prstGeom prst="rect">
                          <a:avLst/>
                        </a:prstGeom>
                        <a:solidFill>
                          <a:srgbClr val="FFFFFF"/>
                        </a:solidFill>
                        <a:ln w="9525">
                          <a:solidFill>
                            <a:srgbClr val="000000"/>
                          </a:solidFill>
                          <a:miter lim="800000"/>
                          <a:headEnd/>
                          <a:tailEnd/>
                        </a:ln>
                      </wps:spPr>
                      <wps:txbx>
                        <w:txbxContent>
                          <w:p w:rsidR="005210A9" w:rsidRPr="005210A9" w:rsidP="005210A9" w14:textId="08898018">
                            <w:pPr>
                              <w:contextualSpacing/>
                              <w:suppressOverlap/>
                              <w:rPr>
                                <w:rFonts w:cs="Times New Roman"/>
                              </w:rPr>
                            </w:pPr>
                            <w:r w:rsidRPr="001A58BE">
                              <w:rPr>
                                <w:b/>
                              </w:rPr>
                              <w:t>Goal of the study:</w:t>
                            </w:r>
                            <w:r w:rsidR="001A58BE">
                              <w:rPr>
                                <w:b/>
                              </w:rPr>
                              <w:t xml:space="preserve"> </w:t>
                            </w:r>
                            <w:r w:rsidRPr="005210A9">
                              <w:rPr>
                                <w:rFonts w:eastAsia="Calibri" w:cs="Times New Roman"/>
                                <w:color w:val="000000" w:themeColor="text1"/>
                              </w:rPr>
                              <w:t xml:space="preserve">To improve data collection by capturing informative demographic, clinical, and risk factor information from cases of adverse health outcomes linked to medical tourism </w:t>
                            </w:r>
                            <w:r w:rsidRPr="005210A9">
                              <w:rPr>
                                <w:rStyle w:val="normaltextrun"/>
                                <w:rFonts w:eastAsia="Calibri" w:cs="Times New Roman"/>
                                <w:color w:val="000000" w:themeColor="text1"/>
                              </w:rPr>
                              <w:t xml:space="preserve">(travel by a U.S. resident outside of the United States for the purpose of receiving healthcare or </w:t>
                            </w:r>
                            <w:r w:rsidR="00E66171">
                              <w:rPr>
                                <w:rStyle w:val="normaltextrun"/>
                                <w:rFonts w:eastAsia="Calibri" w:cs="Times New Roman"/>
                                <w:color w:val="000000" w:themeColor="text1"/>
                              </w:rPr>
                              <w:t>a U.S. resident</w:t>
                            </w:r>
                            <w:r w:rsidRPr="005210A9">
                              <w:rPr>
                                <w:rStyle w:val="normaltextrun"/>
                                <w:rFonts w:eastAsia="Calibri" w:cs="Times New Roman"/>
                                <w:color w:val="000000" w:themeColor="text1"/>
                              </w:rPr>
                              <w:t xml:space="preserve"> presenting to a U.S. healthcare facility after receiving medical care </w:t>
                            </w:r>
                            <w:r w:rsidR="00E66171">
                              <w:rPr>
                                <w:rStyle w:val="normaltextrun"/>
                                <w:rFonts w:eastAsia="Calibri" w:cs="Times New Roman"/>
                                <w:color w:val="000000" w:themeColor="text1"/>
                              </w:rPr>
                              <w:t>outside the United States</w:t>
                            </w:r>
                            <w:r w:rsidRPr="005210A9">
                              <w:rPr>
                                <w:rStyle w:val="normaltextrun"/>
                                <w:rFonts w:eastAsia="Calibri" w:cs="Times New Roman"/>
                                <w:color w:val="000000" w:themeColor="text1"/>
                              </w:rPr>
                              <w:t>)</w:t>
                            </w:r>
                            <w:r w:rsidRPr="005210A9">
                              <w:rPr>
                                <w:rFonts w:eastAsia="Calibri" w:cs="Times New Roman"/>
                                <w:color w:val="000000" w:themeColor="text1"/>
                              </w:rPr>
                              <w:t>.</w:t>
                            </w:r>
                          </w:p>
                          <w:p w:rsidR="005210A9" w:rsidRPr="005210A9" w:rsidP="005210A9" w14:textId="77777777">
                            <w:pPr>
                              <w:pStyle w:val="ListParagraph"/>
                              <w:numPr>
                                <w:ilvl w:val="0"/>
                                <w:numId w:val="9"/>
                              </w:numPr>
                              <w:spacing w:after="0" w:line="240" w:lineRule="auto"/>
                              <w:suppressOverlap/>
                              <w:rPr>
                                <w:rFonts w:eastAsia="Calibri" w:cs="Times New Roman"/>
                                <w:color w:val="000000" w:themeColor="text1"/>
                              </w:rPr>
                            </w:pPr>
                            <w:r w:rsidRPr="005210A9">
                              <w:rPr>
                                <w:rFonts w:eastAsia="Calibri" w:cs="Times New Roman"/>
                                <w:color w:val="000000" w:themeColor="text1"/>
                              </w:rPr>
                              <w:t>Streamline and improve data capture by updating medical tourism adverse health outcome forms including identical paper and electronic versions of the forms.</w:t>
                            </w:r>
                          </w:p>
                          <w:p w:rsidR="005210A9" w:rsidRPr="005210A9" w:rsidP="005210A9" w14:textId="6D25B1F4">
                            <w:pPr>
                              <w:pStyle w:val="ListParagraph"/>
                              <w:numPr>
                                <w:ilvl w:val="0"/>
                                <w:numId w:val="9"/>
                              </w:numPr>
                              <w:spacing w:after="0" w:line="240" w:lineRule="auto"/>
                              <w:suppressOverlap/>
                              <w:rPr>
                                <w:rFonts w:eastAsia="Calibri" w:cs="Times New Roman"/>
                                <w:color w:val="000000" w:themeColor="text1"/>
                              </w:rPr>
                            </w:pPr>
                            <w:r w:rsidRPr="005210A9">
                              <w:rPr>
                                <w:rFonts w:eastAsia="Calibri" w:cs="Times New Roman"/>
                                <w:color w:val="000000" w:themeColor="text1"/>
                              </w:rPr>
                              <w:t>Identify cases of adverse health outcomes linked to medical tourism.</w:t>
                            </w:r>
                          </w:p>
                          <w:p w:rsidR="005210A9" w:rsidRPr="005210A9" w:rsidP="005210A9" w14:textId="16670DDF">
                            <w:pPr>
                              <w:pStyle w:val="ListParagraph"/>
                              <w:numPr>
                                <w:ilvl w:val="0"/>
                                <w:numId w:val="9"/>
                              </w:numPr>
                              <w:spacing w:after="0" w:line="240" w:lineRule="auto"/>
                              <w:suppressOverlap/>
                              <w:rPr>
                                <w:rFonts w:eastAsia="Calibri" w:cs="Times New Roman"/>
                                <w:color w:val="000000" w:themeColor="text1"/>
                              </w:rPr>
                            </w:pPr>
                            <w:r w:rsidRPr="005210A9">
                              <w:rPr>
                                <w:rFonts w:eastAsia="Calibri" w:cs="Times New Roman"/>
                                <w:color w:val="000000" w:themeColor="text1"/>
                              </w:rPr>
                              <w:t>Collect demographic, clinical, and epidemiologic information to identify links and trends among cases of adverse health outcomes linked to medical tourism.</w:t>
                            </w:r>
                          </w:p>
                          <w:p w:rsidR="005210A9" w:rsidRPr="005210A9" w:rsidP="005210A9" w14:textId="5A28C45E">
                            <w:pPr>
                              <w:pStyle w:val="ListParagraph"/>
                              <w:numPr>
                                <w:ilvl w:val="0"/>
                                <w:numId w:val="9"/>
                              </w:numPr>
                              <w:spacing w:after="0" w:line="240" w:lineRule="auto"/>
                              <w:suppressOverlap/>
                              <w:rPr>
                                <w:rFonts w:eastAsia="Calibri" w:cs="Times New Roman"/>
                                <w:color w:val="000000" w:themeColor="text1"/>
                              </w:rPr>
                            </w:pPr>
                            <w:r w:rsidRPr="005210A9">
                              <w:rPr>
                                <w:rFonts w:eastAsia="Calibri" w:cs="Times New Roman"/>
                                <w:color w:val="000000" w:themeColor="text1"/>
                              </w:rPr>
                              <w:t>Work with CDC partners, state, and local jurisdictions to identify and respond to outbreaks among medical tourists returning from travel and presenting for care in the United States.</w:t>
                            </w:r>
                          </w:p>
                          <w:p w:rsidR="004A13E8" w:rsidRPr="005210A9" w:rsidP="005210A9" w14:textId="73797E45">
                            <w:pPr>
                              <w:pStyle w:val="Bullets"/>
                              <w:numPr>
                                <w:ilvl w:val="0"/>
                                <w:numId w:val="9"/>
                              </w:numPr>
                              <w:rPr>
                                <w:rFonts w:cs="Times New Roman"/>
                                <w:b/>
                              </w:rPr>
                            </w:pPr>
                            <w:r w:rsidRPr="005210A9">
                              <w:rPr>
                                <w:rFonts w:eastAsia="Calibri" w:cs="Times New Roman"/>
                                <w:color w:val="000000" w:themeColor="text1"/>
                              </w:rPr>
                              <w:t>Identify prevention measures that can be used in education, communication, and guidance for travelers and clinicians.</w:t>
                            </w:r>
                          </w:p>
                          <w:p w:rsidR="005210A9" w:rsidP="005210A9" w14:textId="77777777">
                            <w:pPr>
                              <w:pStyle w:val="Bullets"/>
                            </w:pPr>
                            <w:r w:rsidRPr="005210A9">
                              <w:rPr>
                                <w:b/>
                              </w:rPr>
                              <w:t>Intended use of the resulting data:</w:t>
                            </w:r>
                            <w:r w:rsidRPr="005210A9" w:rsidR="001A58BE">
                              <w:rPr>
                                <w:b/>
                              </w:rPr>
                              <w:t xml:space="preserve"> </w:t>
                            </w:r>
                            <w:r w:rsidRPr="001B65CA">
                              <w:t xml:space="preserve">This system will be used to </w:t>
                            </w:r>
                            <w:r>
                              <w:t>detect</w:t>
                            </w:r>
                            <w:r w:rsidRPr="001B65CA">
                              <w:t xml:space="preserve"> outbreaks</w:t>
                            </w:r>
                            <w:r>
                              <w:t xml:space="preserve"> and trends in cases</w:t>
                            </w:r>
                            <w:r w:rsidRPr="001B65CA">
                              <w:t xml:space="preserve"> </w:t>
                            </w:r>
                            <w:r>
                              <w:t>to identify</w:t>
                            </w:r>
                            <w:r w:rsidRPr="001B65CA">
                              <w:t xml:space="preserve"> prevention measures and </w:t>
                            </w:r>
                            <w:r>
                              <w:t>improve</w:t>
                            </w:r>
                            <w:r w:rsidRPr="001B65CA">
                              <w:t xml:space="preserve"> awareness</w:t>
                            </w:r>
                            <w:r>
                              <w:t xml:space="preserve"> of risks associated with</w:t>
                            </w:r>
                            <w:r w:rsidRPr="001B65CA">
                              <w:t xml:space="preserve"> </w:t>
                            </w:r>
                            <w:r>
                              <w:t>medical tourism</w:t>
                            </w:r>
                            <w:r w:rsidRPr="001B65CA">
                              <w:t xml:space="preserve">.  </w:t>
                            </w:r>
                          </w:p>
                          <w:p w:rsidR="005210A9" w:rsidP="005210A9" w14:textId="10872551">
                            <w:pPr>
                              <w:pStyle w:val="Bullets"/>
                            </w:pPr>
                            <w:r w:rsidRPr="005210A9">
                              <w:rPr>
                                <w:b/>
                              </w:rPr>
                              <w:t>Methods to be used to collect:</w:t>
                            </w:r>
                            <w:r w:rsidRPr="005210A9" w:rsidR="001A58BE">
                              <w:rPr>
                                <w:b/>
                              </w:rPr>
                              <w:t xml:space="preserve"> </w:t>
                            </w:r>
                            <w:r>
                              <w:t>CDC will send the case intake form (</w:t>
                            </w:r>
                            <w:r w:rsidR="003203E6">
                              <w:t>Form 1</w:t>
                            </w:r>
                            <w:r>
                              <w:t>), upon request, to state/local health departments investigating adverse health outcomes linked to medical tourism. Form data will be collected and stored in an electronic database. CDC will review data weekly to assess potential epidemiologic links*. When cases appear to be associated, CDC will reach out to appropriate internal and external partners for further information and to coordinate a response, if needed. Health departments may be asked to complete the enhanced surveillance form (</w:t>
                            </w:r>
                            <w:r w:rsidR="003203E6">
                              <w:t>Form 2</w:t>
                            </w:r>
                            <w:r>
                              <w:t xml:space="preserve">). </w:t>
                            </w:r>
                          </w:p>
                          <w:p w:rsidR="005210A9" w:rsidP="005210A9" w14:textId="77777777">
                            <w:pPr>
                              <w:pStyle w:val="Bullets"/>
                              <w:numPr>
                                <w:ilvl w:val="0"/>
                                <w:numId w:val="0"/>
                              </w:numPr>
                              <w:ind w:left="360"/>
                            </w:pPr>
                          </w:p>
                          <w:p w:rsidR="004A13E8" w:rsidRPr="005210A9" w:rsidP="005210A9" w14:textId="41C23B85">
                            <w:pPr>
                              <w:pStyle w:val="Bullets"/>
                              <w:numPr>
                                <w:ilvl w:val="0"/>
                                <w:numId w:val="0"/>
                              </w:numPr>
                              <w:ind w:left="360"/>
                              <w:rPr>
                                <w:b/>
                              </w:rPr>
                            </w:pPr>
                            <w:r>
                              <w:t>*Possible epidemiologic links between cases of adverse health outcomes involving medical tourists can include, but are not limited to, clinics where procedures are performed and timing of procedures associated with adverse health outcomes.</w:t>
                            </w:r>
                          </w:p>
                          <w:p w:rsidR="004A13E8" w:rsidRPr="001A58BE" w:rsidP="004A13E8" w14:textId="5E1065D3">
                            <w:pPr>
                              <w:pStyle w:val="Bullets"/>
                              <w:rPr>
                                <w:b/>
                              </w:rPr>
                            </w:pPr>
                            <w:r w:rsidRPr="001A58BE">
                              <w:rPr>
                                <w:b/>
                              </w:rPr>
                              <w:t>The subpopulation to be studied:</w:t>
                            </w:r>
                            <w:r w:rsidR="001A58BE">
                              <w:rPr>
                                <w:b/>
                              </w:rPr>
                              <w:t xml:space="preserve"> </w:t>
                            </w:r>
                            <w:r w:rsidR="00A7097D">
                              <w:rPr>
                                <w:rFonts w:eastAsiaTheme="minorEastAsia" w:cs="Times New Roman"/>
                                <w:color w:val="000000" w:themeColor="text1"/>
                              </w:rPr>
                              <w:t xml:space="preserve">U.S. residents </w:t>
                            </w:r>
                            <w:r w:rsidRPr="005210A9" w:rsidR="005210A9">
                              <w:rPr>
                                <w:rFonts w:eastAsiaTheme="minorEastAsia" w:cs="Times New Roman"/>
                                <w:color w:val="000000" w:themeColor="text1"/>
                              </w:rPr>
                              <w:t>who traveled outside the United States for</w:t>
                            </w:r>
                            <w:r w:rsidR="00A7097D">
                              <w:rPr>
                                <w:rFonts w:eastAsiaTheme="minorEastAsia" w:cs="Times New Roman"/>
                                <w:color w:val="000000" w:themeColor="text1"/>
                              </w:rPr>
                              <w:t xml:space="preserve"> the purpose of receiving healthcare or U.S. residents presenting to a U.S. healthcare facility after receiving medical care outside the United States.</w:t>
                            </w:r>
                            <w:r w:rsidRPr="005210A9" w:rsidR="005210A9">
                              <w:rPr>
                                <w:rFonts w:eastAsiaTheme="minorEastAsia" w:cs="Times New Roman"/>
                                <w:color w:val="000000" w:themeColor="text1"/>
                              </w:rPr>
                              <w:t xml:space="preserve"> </w:t>
                            </w:r>
                          </w:p>
                          <w:p w:rsidR="00B12395" w:rsidRPr="00CD31CB" w:rsidP="00D44E1F" w14:textId="77777777">
                            <w:pPr>
                              <w:pStyle w:val="Bullets"/>
                              <w:rPr>
                                <w:rFonts w:cs="Times New Roman"/>
                              </w:rPr>
                            </w:pPr>
                            <w:r w:rsidRPr="00B12395">
                              <w:rPr>
                                <w:b/>
                              </w:rPr>
                              <w:t>How data will be analyzed:</w:t>
                            </w:r>
                            <w:r w:rsidRPr="00B12395" w:rsidR="001A58BE">
                              <w:rPr>
                                <w:b/>
                              </w:rPr>
                              <w:t xml:space="preserve"> </w:t>
                            </w:r>
                            <w:r w:rsidRPr="00CD31CB">
                              <w:rPr>
                                <w:rFonts w:eastAsiaTheme="minorEastAsia" w:cs="Times New Roman"/>
                                <w:color w:val="000000" w:themeColor="text1"/>
                              </w:rPr>
                              <w:t xml:space="preserve">Frequencies will be calculated in an electronic database or exported and analyzed in SAS or R. </w:t>
                            </w:r>
                          </w:p>
                          <w:p w:rsidR="00B12395" w:rsidRPr="00CD31CB" w:rsidP="00B12395" w14:textId="77777777">
                            <w:pPr>
                              <w:pStyle w:val="Bullets"/>
                              <w:numPr>
                                <w:ilvl w:val="0"/>
                                <w:numId w:val="0"/>
                              </w:numPr>
                              <w:ind w:left="360"/>
                              <w:rPr>
                                <w:rFonts w:cs="Times New Roman"/>
                                <w:b/>
                              </w:rPr>
                            </w:pP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0pt;height:546.75pt;margin-top:53.95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5210A9" w:rsidRPr="005210A9" w:rsidP="005210A9" w14:paraId="4D6D698F" w14:textId="08898018">
                      <w:pPr>
                        <w:contextualSpacing/>
                        <w:suppressOverlap/>
                        <w:rPr>
                          <w:rFonts w:cs="Times New Roman"/>
                        </w:rPr>
                      </w:pPr>
                      <w:r w:rsidRPr="001A58BE">
                        <w:rPr>
                          <w:b/>
                        </w:rPr>
                        <w:t>Goal of the study:</w:t>
                      </w:r>
                      <w:r w:rsidR="001A58BE">
                        <w:rPr>
                          <w:b/>
                        </w:rPr>
                        <w:t xml:space="preserve"> </w:t>
                      </w:r>
                      <w:r w:rsidRPr="005210A9">
                        <w:rPr>
                          <w:rFonts w:eastAsia="Calibri" w:cs="Times New Roman"/>
                          <w:color w:val="000000" w:themeColor="text1"/>
                        </w:rPr>
                        <w:t xml:space="preserve">To improve data collection by capturing informative demographic, clinical, and risk factor information from cases of adverse health outcomes linked to medical tourism </w:t>
                      </w:r>
                      <w:r w:rsidRPr="005210A9">
                        <w:rPr>
                          <w:rStyle w:val="normaltextrun"/>
                          <w:rFonts w:eastAsia="Calibri" w:cs="Times New Roman"/>
                          <w:color w:val="000000" w:themeColor="text1"/>
                        </w:rPr>
                        <w:t xml:space="preserve">(travel by a U.S. resident outside of the United States for the purpose of receiving healthcare or </w:t>
                      </w:r>
                      <w:r w:rsidR="00E66171">
                        <w:rPr>
                          <w:rStyle w:val="normaltextrun"/>
                          <w:rFonts w:eastAsia="Calibri" w:cs="Times New Roman"/>
                          <w:color w:val="000000" w:themeColor="text1"/>
                        </w:rPr>
                        <w:t>a U.S. resident</w:t>
                      </w:r>
                      <w:r w:rsidRPr="005210A9">
                        <w:rPr>
                          <w:rStyle w:val="normaltextrun"/>
                          <w:rFonts w:eastAsia="Calibri" w:cs="Times New Roman"/>
                          <w:color w:val="000000" w:themeColor="text1"/>
                        </w:rPr>
                        <w:t xml:space="preserve"> presenting to a U.S. healthcare facility after receiving medical care </w:t>
                      </w:r>
                      <w:r w:rsidR="00E66171">
                        <w:rPr>
                          <w:rStyle w:val="normaltextrun"/>
                          <w:rFonts w:eastAsia="Calibri" w:cs="Times New Roman"/>
                          <w:color w:val="000000" w:themeColor="text1"/>
                        </w:rPr>
                        <w:t>outside the United States</w:t>
                      </w:r>
                      <w:r w:rsidRPr="005210A9">
                        <w:rPr>
                          <w:rStyle w:val="normaltextrun"/>
                          <w:rFonts w:eastAsia="Calibri" w:cs="Times New Roman"/>
                          <w:color w:val="000000" w:themeColor="text1"/>
                        </w:rPr>
                        <w:t>)</w:t>
                      </w:r>
                      <w:r w:rsidRPr="005210A9">
                        <w:rPr>
                          <w:rFonts w:eastAsia="Calibri" w:cs="Times New Roman"/>
                          <w:color w:val="000000" w:themeColor="text1"/>
                        </w:rPr>
                        <w:t>.</w:t>
                      </w:r>
                    </w:p>
                    <w:p w:rsidR="005210A9" w:rsidRPr="005210A9" w:rsidP="005210A9" w14:paraId="79776644" w14:textId="77777777">
                      <w:pPr>
                        <w:pStyle w:val="ListParagraph"/>
                        <w:numPr>
                          <w:ilvl w:val="0"/>
                          <w:numId w:val="9"/>
                        </w:numPr>
                        <w:spacing w:after="0" w:line="240" w:lineRule="auto"/>
                        <w:suppressOverlap/>
                        <w:rPr>
                          <w:rFonts w:eastAsia="Calibri" w:cs="Times New Roman"/>
                          <w:color w:val="000000" w:themeColor="text1"/>
                        </w:rPr>
                      </w:pPr>
                      <w:r w:rsidRPr="005210A9">
                        <w:rPr>
                          <w:rFonts w:eastAsia="Calibri" w:cs="Times New Roman"/>
                          <w:color w:val="000000" w:themeColor="text1"/>
                        </w:rPr>
                        <w:t>Streamline and improve data capture by updating medical tourism adverse health outcome forms including identical paper and electronic versions of the forms.</w:t>
                      </w:r>
                    </w:p>
                    <w:p w:rsidR="005210A9" w:rsidRPr="005210A9" w:rsidP="005210A9" w14:paraId="749B3E4E" w14:textId="6D25B1F4">
                      <w:pPr>
                        <w:pStyle w:val="ListParagraph"/>
                        <w:numPr>
                          <w:ilvl w:val="0"/>
                          <w:numId w:val="9"/>
                        </w:numPr>
                        <w:spacing w:after="0" w:line="240" w:lineRule="auto"/>
                        <w:suppressOverlap/>
                        <w:rPr>
                          <w:rFonts w:eastAsia="Calibri" w:cs="Times New Roman"/>
                          <w:color w:val="000000" w:themeColor="text1"/>
                        </w:rPr>
                      </w:pPr>
                      <w:r w:rsidRPr="005210A9">
                        <w:rPr>
                          <w:rFonts w:eastAsia="Calibri" w:cs="Times New Roman"/>
                          <w:color w:val="000000" w:themeColor="text1"/>
                        </w:rPr>
                        <w:t>Identify cases of adverse health outcomes linked to medical tourism.</w:t>
                      </w:r>
                    </w:p>
                    <w:p w:rsidR="005210A9" w:rsidRPr="005210A9" w:rsidP="005210A9" w14:paraId="02B21D11" w14:textId="16670DDF">
                      <w:pPr>
                        <w:pStyle w:val="ListParagraph"/>
                        <w:numPr>
                          <w:ilvl w:val="0"/>
                          <w:numId w:val="9"/>
                        </w:numPr>
                        <w:spacing w:after="0" w:line="240" w:lineRule="auto"/>
                        <w:suppressOverlap/>
                        <w:rPr>
                          <w:rFonts w:eastAsia="Calibri" w:cs="Times New Roman"/>
                          <w:color w:val="000000" w:themeColor="text1"/>
                        </w:rPr>
                      </w:pPr>
                      <w:r w:rsidRPr="005210A9">
                        <w:rPr>
                          <w:rFonts w:eastAsia="Calibri" w:cs="Times New Roman"/>
                          <w:color w:val="000000" w:themeColor="text1"/>
                        </w:rPr>
                        <w:t>Collect demographic, clinical, and epidemiologic information to identify links and trends among cases of adverse health outcomes linked to medical tourism.</w:t>
                      </w:r>
                    </w:p>
                    <w:p w:rsidR="005210A9" w:rsidRPr="005210A9" w:rsidP="005210A9" w14:paraId="0611C9DB" w14:textId="5A28C45E">
                      <w:pPr>
                        <w:pStyle w:val="ListParagraph"/>
                        <w:numPr>
                          <w:ilvl w:val="0"/>
                          <w:numId w:val="9"/>
                        </w:numPr>
                        <w:spacing w:after="0" w:line="240" w:lineRule="auto"/>
                        <w:suppressOverlap/>
                        <w:rPr>
                          <w:rFonts w:eastAsia="Calibri" w:cs="Times New Roman"/>
                          <w:color w:val="000000" w:themeColor="text1"/>
                        </w:rPr>
                      </w:pPr>
                      <w:r w:rsidRPr="005210A9">
                        <w:rPr>
                          <w:rFonts w:eastAsia="Calibri" w:cs="Times New Roman"/>
                          <w:color w:val="000000" w:themeColor="text1"/>
                        </w:rPr>
                        <w:t>Work with CDC partners, state, and local jurisdictions to identify and respond to outbreaks among medical tourists returning from travel and presenting for care in the United States.</w:t>
                      </w:r>
                    </w:p>
                    <w:p w:rsidR="004A13E8" w:rsidRPr="005210A9" w:rsidP="005210A9" w14:paraId="55FE1837" w14:textId="73797E45">
                      <w:pPr>
                        <w:pStyle w:val="Bullets"/>
                        <w:numPr>
                          <w:ilvl w:val="0"/>
                          <w:numId w:val="9"/>
                        </w:numPr>
                        <w:rPr>
                          <w:rFonts w:cs="Times New Roman"/>
                          <w:b/>
                        </w:rPr>
                      </w:pPr>
                      <w:r w:rsidRPr="005210A9">
                        <w:rPr>
                          <w:rFonts w:eastAsia="Calibri" w:cs="Times New Roman"/>
                          <w:color w:val="000000" w:themeColor="text1"/>
                        </w:rPr>
                        <w:t>Identify prevention measures that can be used in education, communication, and guidance for travelers and clinicians.</w:t>
                      </w:r>
                    </w:p>
                    <w:p w:rsidR="005210A9" w:rsidP="005210A9" w14:paraId="4DB5E1E2" w14:textId="77777777">
                      <w:pPr>
                        <w:pStyle w:val="Bullets"/>
                      </w:pPr>
                      <w:r w:rsidRPr="005210A9">
                        <w:rPr>
                          <w:b/>
                        </w:rPr>
                        <w:t>Intended use of the resulting data:</w:t>
                      </w:r>
                      <w:r w:rsidRPr="005210A9" w:rsidR="001A58BE">
                        <w:rPr>
                          <w:b/>
                        </w:rPr>
                        <w:t xml:space="preserve"> </w:t>
                      </w:r>
                      <w:r w:rsidRPr="001B65CA">
                        <w:t xml:space="preserve">This system will be used to </w:t>
                      </w:r>
                      <w:r>
                        <w:t>detect</w:t>
                      </w:r>
                      <w:r w:rsidRPr="001B65CA">
                        <w:t xml:space="preserve"> outbreaks</w:t>
                      </w:r>
                      <w:r>
                        <w:t xml:space="preserve"> and trends in cases</w:t>
                      </w:r>
                      <w:r w:rsidRPr="001B65CA">
                        <w:t xml:space="preserve"> </w:t>
                      </w:r>
                      <w:r>
                        <w:t>to identify</w:t>
                      </w:r>
                      <w:r w:rsidRPr="001B65CA">
                        <w:t xml:space="preserve"> prevention measures and </w:t>
                      </w:r>
                      <w:r>
                        <w:t>improve</w:t>
                      </w:r>
                      <w:r w:rsidRPr="001B65CA">
                        <w:t xml:space="preserve"> awareness</w:t>
                      </w:r>
                      <w:r>
                        <w:t xml:space="preserve"> of risks associated with</w:t>
                      </w:r>
                      <w:r w:rsidRPr="001B65CA">
                        <w:t xml:space="preserve"> </w:t>
                      </w:r>
                      <w:r>
                        <w:t>medical tourism</w:t>
                      </w:r>
                      <w:r w:rsidRPr="001B65CA">
                        <w:t xml:space="preserve">.  </w:t>
                      </w:r>
                    </w:p>
                    <w:p w:rsidR="005210A9" w:rsidP="005210A9" w14:paraId="7CB4DE54" w14:textId="10872551">
                      <w:pPr>
                        <w:pStyle w:val="Bullets"/>
                      </w:pPr>
                      <w:r w:rsidRPr="005210A9">
                        <w:rPr>
                          <w:b/>
                        </w:rPr>
                        <w:t>Methods to be used to collect:</w:t>
                      </w:r>
                      <w:r w:rsidRPr="005210A9" w:rsidR="001A58BE">
                        <w:rPr>
                          <w:b/>
                        </w:rPr>
                        <w:t xml:space="preserve"> </w:t>
                      </w:r>
                      <w:r>
                        <w:t>CDC will send the case intake form (</w:t>
                      </w:r>
                      <w:r w:rsidR="003203E6">
                        <w:t>Form 1</w:t>
                      </w:r>
                      <w:r>
                        <w:t>), upon request, to state/local health departments investigating adverse health outcomes linked to medical tourism. Form data will be collected and stored in an electronic database. CDC will review data weekly to assess potential epidemiologic links*. When cases appear to be associated, CDC will reach out to appropriate internal and external partners for further information and to coordinate a response, if needed. Health departments may be asked to complete the enhanced surveillance form (</w:t>
                      </w:r>
                      <w:r w:rsidR="003203E6">
                        <w:t>Form 2</w:t>
                      </w:r>
                      <w:r>
                        <w:t xml:space="preserve">). </w:t>
                      </w:r>
                    </w:p>
                    <w:p w:rsidR="005210A9" w:rsidP="005210A9" w14:paraId="168B58B7" w14:textId="77777777">
                      <w:pPr>
                        <w:pStyle w:val="Bullets"/>
                        <w:numPr>
                          <w:ilvl w:val="0"/>
                          <w:numId w:val="0"/>
                        </w:numPr>
                        <w:ind w:left="360"/>
                      </w:pPr>
                    </w:p>
                    <w:p w:rsidR="004A13E8" w:rsidRPr="005210A9" w:rsidP="005210A9" w14:paraId="55FE1839" w14:textId="41C23B85">
                      <w:pPr>
                        <w:pStyle w:val="Bullets"/>
                        <w:numPr>
                          <w:ilvl w:val="0"/>
                          <w:numId w:val="0"/>
                        </w:numPr>
                        <w:ind w:left="360"/>
                        <w:rPr>
                          <w:b/>
                        </w:rPr>
                      </w:pPr>
                      <w:r>
                        <w:t>*Possible epidemiologic links between cases of adverse health outcomes involving medical tourists can include, but are not limited to, clinics where procedures are performed and timing of procedures associated with adverse health outcomes.</w:t>
                      </w:r>
                    </w:p>
                    <w:p w:rsidR="004A13E8" w:rsidRPr="001A58BE" w:rsidP="004A13E8" w14:paraId="55FE183A" w14:textId="5E1065D3">
                      <w:pPr>
                        <w:pStyle w:val="Bullets"/>
                        <w:rPr>
                          <w:b/>
                        </w:rPr>
                      </w:pPr>
                      <w:r w:rsidRPr="001A58BE">
                        <w:rPr>
                          <w:b/>
                        </w:rPr>
                        <w:t>The subpopulation to be studied:</w:t>
                      </w:r>
                      <w:r w:rsidR="001A58BE">
                        <w:rPr>
                          <w:b/>
                        </w:rPr>
                        <w:t xml:space="preserve"> </w:t>
                      </w:r>
                      <w:r w:rsidR="00A7097D">
                        <w:rPr>
                          <w:rFonts w:eastAsiaTheme="minorEastAsia" w:cs="Times New Roman"/>
                          <w:color w:val="000000" w:themeColor="text1"/>
                        </w:rPr>
                        <w:t xml:space="preserve">U.S. residents </w:t>
                      </w:r>
                      <w:r w:rsidRPr="005210A9" w:rsidR="005210A9">
                        <w:rPr>
                          <w:rFonts w:eastAsiaTheme="minorEastAsia" w:cs="Times New Roman"/>
                          <w:color w:val="000000" w:themeColor="text1"/>
                        </w:rPr>
                        <w:t>who traveled outside the United States for</w:t>
                      </w:r>
                      <w:r w:rsidR="00A7097D">
                        <w:rPr>
                          <w:rFonts w:eastAsiaTheme="minorEastAsia" w:cs="Times New Roman"/>
                          <w:color w:val="000000" w:themeColor="text1"/>
                        </w:rPr>
                        <w:t xml:space="preserve"> the purpose of receiving healthcare or U.S. residents presenting to a U.S. healthcare facility after receiving medical care outside the United States.</w:t>
                      </w:r>
                      <w:r w:rsidRPr="005210A9" w:rsidR="005210A9">
                        <w:rPr>
                          <w:rFonts w:eastAsiaTheme="minorEastAsia" w:cs="Times New Roman"/>
                          <w:color w:val="000000" w:themeColor="text1"/>
                        </w:rPr>
                        <w:t xml:space="preserve"> </w:t>
                      </w:r>
                    </w:p>
                    <w:p w:rsidR="00B12395" w:rsidRPr="00CD31CB" w:rsidP="00D44E1F" w14:paraId="7D34F702" w14:textId="77777777">
                      <w:pPr>
                        <w:pStyle w:val="Bullets"/>
                        <w:rPr>
                          <w:rFonts w:cs="Times New Roman"/>
                        </w:rPr>
                      </w:pPr>
                      <w:r w:rsidRPr="00B12395">
                        <w:rPr>
                          <w:b/>
                        </w:rPr>
                        <w:t>How data will be analyzed:</w:t>
                      </w:r>
                      <w:r w:rsidRPr="00B12395" w:rsidR="001A58BE">
                        <w:rPr>
                          <w:b/>
                        </w:rPr>
                        <w:t xml:space="preserve"> </w:t>
                      </w:r>
                      <w:r w:rsidRPr="00CD31CB">
                        <w:rPr>
                          <w:rFonts w:eastAsiaTheme="minorEastAsia" w:cs="Times New Roman"/>
                          <w:color w:val="000000" w:themeColor="text1"/>
                        </w:rPr>
                        <w:t xml:space="preserve">Frequencies will be calculated in an electronic database or exported and analyzed in SAS or R. </w:t>
                      </w:r>
                    </w:p>
                    <w:p w:rsidR="00B12395" w:rsidRPr="00CD31CB" w:rsidP="00B12395" w14:paraId="17F3A198" w14:textId="77777777">
                      <w:pPr>
                        <w:pStyle w:val="Bullets"/>
                        <w:numPr>
                          <w:ilvl w:val="0"/>
                          <w:numId w:val="0"/>
                        </w:numPr>
                        <w:ind w:left="360"/>
                        <w:rPr>
                          <w:rFonts w:cs="Times New Roman"/>
                          <w:b/>
                        </w:rPr>
                      </w:pP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3" w:name="_Toc473880017"/>
      <w:r w:rsidRPr="004A13E8">
        <w:t>Circumstances Making the Collection of Information Necessary</w:t>
      </w:r>
      <w:bookmarkEnd w:id="3"/>
    </w:p>
    <w:p w:rsidR="003F60CF" w:rsidRPr="00F30A03" w:rsidP="007F46E9" w14:paraId="55FE17B4" w14:textId="2BE83C5B">
      <w:r w:rsidRPr="00F30A03">
        <w:t xml:space="preserve">The Centers for Disease Control and Prevention’s (CDC), National Center for Emerging and Zoonotic Infectious Diseases (NCEZID), Division of Global Migration Health (DGMH) requests </w:t>
      </w:r>
      <w:r w:rsidRPr="00F30A03" w:rsidR="00F20F3F">
        <w:t xml:space="preserve">a </w:t>
      </w:r>
      <w:r w:rsidRPr="00F30A03" w:rsidR="009E126B">
        <w:t>3-year</w:t>
      </w:r>
      <w:r w:rsidRPr="00F30A03" w:rsidR="00F20F3F">
        <w:t xml:space="preserve"> </w:t>
      </w:r>
      <w:r w:rsidRPr="00F30A03">
        <w:t>approval for t</w:t>
      </w:r>
      <w:r w:rsidRPr="00F30A03" w:rsidR="0025049B">
        <w:t>his new information collection</w:t>
      </w:r>
      <w:r w:rsidRPr="00F30A03" w:rsidR="00F20F3F">
        <w:t>.</w:t>
      </w:r>
    </w:p>
    <w:p w:rsidR="00960879" w:rsidRPr="00F30A03" w:rsidP="007F46E9" w14:paraId="10121B02" w14:textId="77777777">
      <w:r w:rsidRPr="00F30A03">
        <w:t xml:space="preserve">To achieve DGMH’s mission, the Travelers’ Health Branch (THB) </w:t>
      </w:r>
      <w:r w:rsidRPr="00F30A03" w:rsidR="00447673">
        <w:t xml:space="preserve">conducts public health surveillance to prevent, detect, and respond to communicable disease threats </w:t>
      </w:r>
      <w:r w:rsidRPr="00F30A03" w:rsidR="008F05D3">
        <w:t>to the United States by</w:t>
      </w:r>
      <w:r w:rsidRPr="00F30A03" w:rsidR="00447673">
        <w:t xml:space="preserve"> </w:t>
      </w:r>
      <w:r w:rsidRPr="00F30A03" w:rsidR="008F05D3">
        <w:t xml:space="preserve">inbound and outgoing </w:t>
      </w:r>
      <w:r w:rsidRPr="00F30A03" w:rsidR="00447673">
        <w:t xml:space="preserve">international travelers and </w:t>
      </w:r>
      <w:r w:rsidRPr="00F30A03" w:rsidR="003E0D5E">
        <w:t xml:space="preserve">develops evidence-based guidance to </w:t>
      </w:r>
      <w:r w:rsidRPr="00F30A03" w:rsidR="00447673">
        <w:t xml:space="preserve">prevent illnesses, hospitalizations and deaths </w:t>
      </w:r>
      <w:r w:rsidRPr="00F30A03" w:rsidR="00C46FD3">
        <w:t>among global travelers</w:t>
      </w:r>
      <w:r w:rsidRPr="00F30A03" w:rsidR="008F05D3">
        <w:t xml:space="preserve">. </w:t>
      </w:r>
    </w:p>
    <w:p w:rsidR="00DA0E26" w:rsidRPr="00F30A03" w:rsidP="00DA0E26" w14:paraId="53412386" w14:textId="7FF93B51">
      <w:pPr>
        <w:spacing w:after="0"/>
        <w:contextualSpacing/>
      </w:pPr>
      <w:r w:rsidRPr="00500586">
        <w:t>Medical tourism has been associated with a variety of adverse health outcomes including serious infection, importation of antibiotic-resistant pathogens to the United States, and death.</w:t>
      </w:r>
      <w:r w:rsidRPr="00500586" w:rsidR="009068A6">
        <w:rPr>
          <w:vertAlign w:val="superscript"/>
        </w:rPr>
        <w:t>1,2</w:t>
      </w:r>
      <w:r w:rsidRPr="00F30A03" w:rsidR="008B21BB">
        <w:rPr>
          <w:vertAlign w:val="superscript"/>
        </w:rPr>
        <w:t xml:space="preserve"> </w:t>
      </w:r>
      <w:r w:rsidRPr="00F30A03">
        <w:t>Outbreaks among medical tourists are inherently difficult to detect as patients who receive care at the same clinic abroad may reside in different states across the U.S. In addition, infections acquired from health care abroad may not be locally or nationally reportable and there is no national surveillance system or mechanism for states to link cases between jurisdictions for medical tourism-related adverse health outcomes.</w:t>
      </w:r>
    </w:p>
    <w:p w:rsidR="00DA0E26" w:rsidRPr="00500586" w:rsidP="00500586" w14:paraId="052956E0" w14:textId="77777777">
      <w:pPr>
        <w:spacing w:after="0"/>
        <w:contextualSpacing/>
        <w:rPr>
          <w:vertAlign w:val="superscript"/>
        </w:rPr>
      </w:pPr>
    </w:p>
    <w:p w:rsidR="00867A51" w:rsidRPr="00F30A03" w:rsidP="007F46E9" w14:paraId="60ED25AA" w14:textId="038B1B6D">
      <w:r w:rsidRPr="00F30A03">
        <w:t>THB has provided technical support for outbreaks among medical tourists, coordinating efforts between state and local health departments and with appropriate divisions at CDC</w:t>
      </w:r>
      <w:r w:rsidRPr="00F30A03" w:rsidR="001C4942">
        <w:t xml:space="preserve">. Collaboration with these groups is essential to ensuring an effective response when an outbreak is detected. </w:t>
      </w:r>
      <w:r w:rsidRPr="00F30A03" w:rsidR="00DA0E26">
        <w:t>If the source or risk factors of an adverse health outcome can be detected which leads to an intervention, additional adverse outcomes may be reduced or eliminated, providing public health benefit. The information collected through this surveillance will help CDC detect outbreaks and trends in cases to identify prevention measures and improve awareness of risks associated with medical tourism.</w:t>
      </w:r>
    </w:p>
    <w:p w:rsidR="00CD31CB" w:rsidP="009068A6" w14:paraId="68ED0B08" w14:textId="3CA3C85F">
      <w:pPr>
        <w:spacing w:after="0" w:line="240" w:lineRule="auto"/>
      </w:pPr>
      <w:r>
        <w:rPr>
          <w:rFonts w:ascii="Calibri" w:eastAsia="Calibri" w:hAnsi="Calibri" w:cs="Calibri"/>
          <w:sz w:val="16"/>
          <w:szCs w:val="16"/>
        </w:rPr>
        <w:t>1</w:t>
      </w:r>
      <w:r w:rsidRPr="0BEF09D2">
        <w:rPr>
          <w:rFonts w:ascii="Calibri" w:eastAsia="Calibri" w:hAnsi="Calibri" w:cs="Calibri"/>
          <w:sz w:val="16"/>
          <w:szCs w:val="16"/>
        </w:rPr>
        <w:t xml:space="preserve">. Chen LH, Wilson ME. The globalization of healthcare: implications of medical tourism for the infectious disease clinician. Clin Infect Dis. 2013 Dec;57(12):1752-9. </w:t>
      </w:r>
      <w:r w:rsidRPr="0BEF09D2">
        <w:rPr>
          <w:rFonts w:ascii="Calibri" w:eastAsia="Calibri" w:hAnsi="Calibri" w:cs="Calibri"/>
          <w:sz w:val="16"/>
          <w:szCs w:val="16"/>
        </w:rPr>
        <w:t>doi</w:t>
      </w:r>
      <w:r w:rsidRPr="0BEF09D2">
        <w:rPr>
          <w:rFonts w:ascii="Calibri" w:eastAsia="Calibri" w:hAnsi="Calibri" w:cs="Calibri"/>
          <w:sz w:val="16"/>
          <w:szCs w:val="16"/>
        </w:rPr>
        <w:t>: 10.1093/</w:t>
      </w:r>
      <w:r w:rsidRPr="0BEF09D2">
        <w:rPr>
          <w:rFonts w:ascii="Calibri" w:eastAsia="Calibri" w:hAnsi="Calibri" w:cs="Calibri"/>
          <w:sz w:val="16"/>
          <w:szCs w:val="16"/>
        </w:rPr>
        <w:t>cid</w:t>
      </w:r>
      <w:r w:rsidRPr="0BEF09D2">
        <w:rPr>
          <w:rFonts w:ascii="Calibri" w:eastAsia="Calibri" w:hAnsi="Calibri" w:cs="Calibri"/>
          <w:sz w:val="16"/>
          <w:szCs w:val="16"/>
        </w:rPr>
        <w:t xml:space="preserve">/cit540. </w:t>
      </w:r>
      <w:r w:rsidRPr="0BEF09D2">
        <w:rPr>
          <w:rFonts w:ascii="Calibri" w:eastAsia="Calibri" w:hAnsi="Calibri" w:cs="Calibri"/>
          <w:sz w:val="16"/>
          <w:szCs w:val="16"/>
        </w:rPr>
        <w:t>Epub</w:t>
      </w:r>
      <w:r w:rsidRPr="0BEF09D2">
        <w:rPr>
          <w:rFonts w:ascii="Calibri" w:eastAsia="Calibri" w:hAnsi="Calibri" w:cs="Calibri"/>
          <w:sz w:val="16"/>
          <w:szCs w:val="16"/>
        </w:rPr>
        <w:t xml:space="preserve"> 2013 Aug 13. PMID: 23943826; PMCID: PMC7107947.</w:t>
      </w:r>
    </w:p>
    <w:p w:rsidR="00CD31CB" w:rsidP="00CD31CB" w14:paraId="2EB3C6DC" w14:textId="724AB2F5">
      <w:pPr>
        <w:spacing w:after="0" w:line="240" w:lineRule="auto"/>
      </w:pPr>
      <w:r>
        <w:rPr>
          <w:rFonts w:ascii="Calibri" w:eastAsia="Calibri" w:hAnsi="Calibri" w:cs="Calibri"/>
          <w:sz w:val="16"/>
          <w:szCs w:val="16"/>
        </w:rPr>
        <w:t>2</w:t>
      </w:r>
      <w:r w:rsidRPr="0BEF09D2">
        <w:rPr>
          <w:rFonts w:ascii="Calibri" w:eastAsia="Calibri" w:hAnsi="Calibri" w:cs="Calibri"/>
          <w:sz w:val="16"/>
          <w:szCs w:val="16"/>
        </w:rPr>
        <w:t xml:space="preserve">. Schnabel D, Esposito DH, Gaines J, Ridpath A, Barry MA, Feldman KA, Mullins J, Burns R, Ahmad N, Nyangoma EN, Nguyen DB, Perz JF, Moulton-Meissner HA, Jensen BJ, Lin Y, </w:t>
      </w:r>
      <w:r w:rsidRPr="0BEF09D2">
        <w:rPr>
          <w:rFonts w:ascii="Calibri" w:eastAsia="Calibri" w:hAnsi="Calibri" w:cs="Calibri"/>
          <w:sz w:val="16"/>
          <w:szCs w:val="16"/>
        </w:rPr>
        <w:t>Posivak-Khouly</w:t>
      </w:r>
      <w:r w:rsidRPr="0BEF09D2">
        <w:rPr>
          <w:rFonts w:ascii="Calibri" w:eastAsia="Calibri" w:hAnsi="Calibri" w:cs="Calibri"/>
          <w:sz w:val="16"/>
          <w:szCs w:val="16"/>
        </w:rPr>
        <w:t xml:space="preserve"> L, Jani N, Morgan OW, Brunette GW, Pritchard PS, Greenbaum AH, Rhee SM, Blythe D, Sotir M; RGM Outbreak Investigation Team. Multistate US Outbreak of Rapidly Growing Mycobacterial Infections Associated with Medical Tourism to the Dominican Republic, 2013-2014(1). Emerg Infect Dis. 2016 Aug;22(8):1340-1347. </w:t>
      </w:r>
      <w:r w:rsidRPr="0BEF09D2">
        <w:rPr>
          <w:rFonts w:ascii="Calibri" w:eastAsia="Calibri" w:hAnsi="Calibri" w:cs="Calibri"/>
          <w:sz w:val="16"/>
          <w:szCs w:val="16"/>
        </w:rPr>
        <w:t>doi</w:t>
      </w:r>
      <w:r w:rsidRPr="0BEF09D2">
        <w:rPr>
          <w:rFonts w:ascii="Calibri" w:eastAsia="Calibri" w:hAnsi="Calibri" w:cs="Calibri"/>
          <w:sz w:val="16"/>
          <w:szCs w:val="16"/>
        </w:rPr>
        <w:t>: 10.3201/eid2208.151938. PMID: 27434822; PMCID: PMC4982176.</w:t>
      </w:r>
    </w:p>
    <w:p w:rsidR="00CD31CB" w:rsidP="0C0C273D" w14:paraId="6FB32C6B" w14:textId="77777777">
      <w:pPr>
        <w:contextualSpacing/>
        <w:rPr>
          <w:i/>
          <w:iCs/>
        </w:rPr>
      </w:pPr>
    </w:p>
    <w:p w:rsidR="008067FE" w:rsidRPr="00995270" w:rsidP="008067FE" w14:paraId="47C70957" w14:textId="77777777">
      <w:pPr>
        <w:contextualSpacing/>
        <w:rPr>
          <w:szCs w:val="24"/>
        </w:rPr>
      </w:pPr>
    </w:p>
    <w:p w:rsidR="00BA0055" w:rsidRPr="00015DFE" w:rsidP="00BA0055" w14:paraId="69FD3E27" w14:textId="55652CF3">
      <w:r w:rsidRPr="00015DFE">
        <w:t>The information collection for which approval is sought is in accordance with CDC DGMH’s mission to prevent, detect, and respond to communicable diseases that impact safe global movement to, from, and within the United States. This mission is supported by Section 361 of the Public Health Service Act</w:t>
      </w:r>
      <w:r w:rsidRPr="00500586" w:rsidR="003203E6">
        <w:t xml:space="preserve"> (Attachment A1</w:t>
      </w:r>
      <w:r w:rsidRPr="00500586" w:rsidR="003203E6">
        <w:t>)</w:t>
      </w:r>
      <w:r w:rsidRPr="00015DFE" w:rsidR="009068A6">
        <w:t xml:space="preserve">, </w:t>
      </w:r>
      <w:r w:rsidRPr="00015DFE">
        <w:t xml:space="preserve"> regulations</w:t>
      </w:r>
      <w:r w:rsidRPr="00015DFE">
        <w:t xml:space="preserve"> found in 42 Code of Federal Regulations part 70</w:t>
      </w:r>
      <w:r w:rsidRPr="00500586" w:rsidR="003203E6">
        <w:t xml:space="preserve"> (Attachment A2)</w:t>
      </w:r>
      <w:r w:rsidRPr="00015DFE">
        <w:t xml:space="preserve"> and 71</w:t>
      </w:r>
      <w:r w:rsidRPr="00500586" w:rsidR="003203E6">
        <w:t xml:space="preserve"> (Attachment A3)</w:t>
      </w:r>
      <w:r w:rsidRPr="00015DFE" w:rsidR="009068A6">
        <w:t>, and</w:t>
      </w:r>
      <w:r w:rsidRPr="00015DFE">
        <w:t xml:space="preserve"> </w:t>
      </w:r>
      <w:r w:rsidRPr="00015DFE" w:rsidR="009068A6">
        <w:t>a</w:t>
      </w:r>
      <w:r w:rsidRPr="00015DFE">
        <w:t>lso supported under general authorities provided by Sections 301</w:t>
      </w:r>
      <w:r w:rsidRPr="00500586" w:rsidR="003203E6">
        <w:t xml:space="preserve"> (Attachment A4)</w:t>
      </w:r>
      <w:r w:rsidRPr="00015DFE">
        <w:t xml:space="preserve"> and 311 in the Public Health Service Act regulations</w:t>
      </w:r>
      <w:r w:rsidRPr="00500586" w:rsidR="003203E6">
        <w:t xml:space="preserve"> (Attachment A5)</w:t>
      </w:r>
      <w:r w:rsidRPr="00015DFE">
        <w:t>.</w:t>
      </w:r>
    </w:p>
    <w:p w:rsidR="00BA0055" w:rsidP="007F46E9" w14:paraId="67D4BCE2" w14:textId="77777777"/>
    <w:p w:rsidR="00F17FC9" w:rsidRPr="007F46E9" w:rsidP="007F46E9" w14:paraId="6B8B842C" w14:textId="260E40D5"/>
    <w:p w:rsidR="004A13E8" w:rsidP="004A13E8" w14:paraId="55FE17B7" w14:textId="77777777">
      <w:pPr>
        <w:pStyle w:val="Heading1"/>
      </w:pPr>
      <w:bookmarkStart w:id="4" w:name="_Toc473880018"/>
      <w:r>
        <w:t>Purpose and Use of Information Collection</w:t>
      </w:r>
      <w:bookmarkEnd w:id="4"/>
    </w:p>
    <w:p w:rsidR="007A2275" w:rsidRPr="00500586" w:rsidP="0C0C273D" w14:paraId="685C4C05" w14:textId="7F49CA62">
      <w:pPr>
        <w:spacing w:after="0"/>
        <w:contextualSpacing/>
        <w:rPr>
          <w:rFonts w:cs="Times New Roman"/>
        </w:rPr>
      </w:pPr>
      <w:bookmarkStart w:id="5" w:name="_Toc473880019"/>
      <w:r w:rsidRPr="00500586">
        <w:rPr>
          <w:rFonts w:cs="Times New Roman"/>
        </w:rPr>
        <w:t>The purpose of this information collection is t</w:t>
      </w:r>
      <w:r w:rsidRPr="00500586">
        <w:rPr>
          <w:rFonts w:cs="Times New Roman"/>
        </w:rPr>
        <w:t xml:space="preserve">o improve data collection by capturing informative demographic, clinical, and risk factor information from </w:t>
      </w:r>
      <w:r w:rsidRPr="00500586" w:rsidR="00F27243">
        <w:rPr>
          <w:rFonts w:eastAsia="Calibri" w:cs="Times New Roman"/>
          <w:color w:val="000000" w:themeColor="text1"/>
        </w:rPr>
        <w:t xml:space="preserve">cases of adverse health outcomes linked to medical tourism </w:t>
      </w:r>
      <w:r w:rsidRPr="00500586" w:rsidR="00F27243">
        <w:rPr>
          <w:rStyle w:val="normaltextrun"/>
          <w:rFonts w:eastAsia="Calibri" w:cs="Times New Roman"/>
          <w:color w:val="000000" w:themeColor="text1"/>
        </w:rPr>
        <w:t xml:space="preserve">(travel by a U.S. resident outside of the United States for the purpose of receiving healthcare or </w:t>
      </w:r>
      <w:r w:rsidRPr="00500586" w:rsidR="00C36B53">
        <w:rPr>
          <w:rStyle w:val="normaltextrun"/>
          <w:rFonts w:eastAsia="Calibri" w:cs="Times New Roman"/>
          <w:color w:val="000000" w:themeColor="text1"/>
        </w:rPr>
        <w:t xml:space="preserve">a U.S. resident presenting </w:t>
      </w:r>
      <w:r w:rsidRPr="00500586" w:rsidR="00F27243">
        <w:rPr>
          <w:rStyle w:val="normaltextrun"/>
          <w:rFonts w:eastAsia="Calibri" w:cs="Times New Roman"/>
          <w:color w:val="000000" w:themeColor="text1"/>
        </w:rPr>
        <w:t xml:space="preserve">to a U.S. healthcare facility after receiving medical care </w:t>
      </w:r>
      <w:r w:rsidRPr="00500586" w:rsidR="00C36B53">
        <w:rPr>
          <w:rStyle w:val="normaltextrun"/>
          <w:rFonts w:eastAsia="Calibri" w:cs="Times New Roman"/>
          <w:color w:val="000000" w:themeColor="text1"/>
        </w:rPr>
        <w:t>outside the United States</w:t>
      </w:r>
      <w:r w:rsidRPr="00500586" w:rsidR="00F27243">
        <w:rPr>
          <w:rStyle w:val="normaltextrun"/>
          <w:rFonts w:eastAsia="Calibri" w:cs="Times New Roman"/>
          <w:color w:val="000000" w:themeColor="text1"/>
        </w:rPr>
        <w:t>)</w:t>
      </w:r>
      <w:r w:rsidRPr="00500586" w:rsidR="00F27243">
        <w:rPr>
          <w:rFonts w:eastAsia="Calibri" w:cs="Times New Roman"/>
          <w:color w:val="000000" w:themeColor="text1"/>
        </w:rPr>
        <w:t>.</w:t>
      </w:r>
    </w:p>
    <w:p w:rsidR="007A2275" w:rsidRPr="00500586" w:rsidP="0C0C273D" w14:paraId="37DD5DAB" w14:textId="77777777">
      <w:pPr>
        <w:spacing w:after="0"/>
        <w:contextualSpacing/>
        <w:rPr>
          <w:rFonts w:eastAsia="Malgun Gothic Semilight" w:cs="Times New Roman"/>
          <w:b/>
          <w:bCs/>
        </w:rPr>
      </w:pPr>
    </w:p>
    <w:p w:rsidR="00A2606A" w:rsidRPr="00500586" w:rsidP="0C0C273D" w14:paraId="1053BE7D" w14:textId="71F99DD1">
      <w:pPr>
        <w:spacing w:after="0"/>
        <w:contextualSpacing/>
        <w:rPr>
          <w:rFonts w:eastAsia="Malgun Gothic Semilight" w:cs="Times New Roman"/>
        </w:rPr>
      </w:pPr>
      <w:r w:rsidRPr="00500586">
        <w:rPr>
          <w:rFonts w:eastAsia="Malgun Gothic Semilight" w:cs="Times New Roman"/>
        </w:rPr>
        <w:t>Th</w:t>
      </w:r>
      <w:r w:rsidRPr="00500586" w:rsidR="00B149CB">
        <w:rPr>
          <w:rFonts w:eastAsia="Malgun Gothic Semilight" w:cs="Times New Roman"/>
        </w:rPr>
        <w:t>is information collection will allow DGMH to</w:t>
      </w:r>
      <w:r w:rsidRPr="00500586" w:rsidR="004D0080">
        <w:rPr>
          <w:rFonts w:eastAsia="Malgun Gothic Semilight" w:cs="Times New Roman"/>
        </w:rPr>
        <w:t>:</w:t>
      </w:r>
    </w:p>
    <w:p w:rsidR="00F27243" w:rsidRPr="00500586" w:rsidP="00F27243" w14:paraId="17619BA8" w14:textId="77777777">
      <w:pPr>
        <w:pStyle w:val="ListParagraph"/>
        <w:framePr w:hSpace="187" w:wrap="around" w:vAnchor="text" w:hAnchor="margin" w:y="44"/>
        <w:numPr>
          <w:ilvl w:val="0"/>
          <w:numId w:val="9"/>
        </w:numPr>
        <w:spacing w:after="0" w:line="240" w:lineRule="auto"/>
        <w:suppressOverlap/>
        <w:rPr>
          <w:rFonts w:eastAsia="Calibri" w:cs="Times New Roman"/>
          <w:color w:val="000000" w:themeColor="text1"/>
        </w:rPr>
      </w:pPr>
      <w:r w:rsidRPr="00500586">
        <w:rPr>
          <w:rFonts w:eastAsia="Calibri" w:cs="Times New Roman"/>
          <w:color w:val="000000" w:themeColor="text1"/>
        </w:rPr>
        <w:t>Streamline and improve data capture by updating medical tourism adverse health outcome forms including identical paper and electronic versions of the forms.</w:t>
      </w:r>
    </w:p>
    <w:p w:rsidR="00F27243" w:rsidRPr="00500586" w:rsidP="00F27243" w14:paraId="169D46D0" w14:textId="77777777">
      <w:pPr>
        <w:pStyle w:val="ListParagraph"/>
        <w:framePr w:hSpace="187" w:wrap="around" w:vAnchor="text" w:hAnchor="margin" w:y="44"/>
        <w:numPr>
          <w:ilvl w:val="0"/>
          <w:numId w:val="9"/>
        </w:numPr>
        <w:spacing w:after="0" w:line="240" w:lineRule="auto"/>
        <w:suppressOverlap/>
        <w:rPr>
          <w:rFonts w:eastAsia="Calibri" w:cs="Times New Roman"/>
          <w:color w:val="000000" w:themeColor="text1"/>
        </w:rPr>
      </w:pPr>
      <w:r w:rsidRPr="00500586">
        <w:rPr>
          <w:rFonts w:eastAsia="Calibri" w:cs="Times New Roman"/>
          <w:color w:val="000000" w:themeColor="text1"/>
        </w:rPr>
        <w:t>Identify cases of adverse health outcomes linked to medical tourism.</w:t>
      </w:r>
    </w:p>
    <w:p w:rsidR="00F27243" w:rsidRPr="00500586" w:rsidP="00F27243" w14:paraId="2AB257AE" w14:textId="0A34A76D">
      <w:pPr>
        <w:pStyle w:val="ListParagraph"/>
        <w:framePr w:hSpace="187" w:wrap="around" w:vAnchor="text" w:hAnchor="margin" w:y="44"/>
        <w:numPr>
          <w:ilvl w:val="0"/>
          <w:numId w:val="9"/>
        </w:numPr>
        <w:spacing w:after="0" w:line="240" w:lineRule="auto"/>
        <w:suppressOverlap/>
        <w:rPr>
          <w:rFonts w:eastAsia="Calibri" w:cs="Times New Roman"/>
          <w:color w:val="000000" w:themeColor="text1"/>
        </w:rPr>
      </w:pPr>
      <w:r w:rsidRPr="00500586">
        <w:rPr>
          <w:rFonts w:eastAsia="Calibri" w:cs="Times New Roman"/>
          <w:color w:val="000000" w:themeColor="text1"/>
        </w:rPr>
        <w:t>Collect demographic, clinical, and epidemiologic information to identify links and trends among cases of adverse health outcomes linked to medical tourism.</w:t>
      </w:r>
    </w:p>
    <w:p w:rsidR="00F27243" w:rsidRPr="00500586" w:rsidP="00F27243" w14:paraId="16DA77F1" w14:textId="77777777">
      <w:pPr>
        <w:pStyle w:val="ListParagraph"/>
        <w:framePr w:hSpace="187" w:wrap="around" w:vAnchor="text" w:hAnchor="margin" w:y="44"/>
        <w:numPr>
          <w:ilvl w:val="0"/>
          <w:numId w:val="9"/>
        </w:numPr>
        <w:spacing w:after="0" w:line="240" w:lineRule="auto"/>
        <w:suppressOverlap/>
        <w:rPr>
          <w:rFonts w:eastAsia="Calibri" w:cs="Times New Roman"/>
          <w:color w:val="000000" w:themeColor="text1"/>
        </w:rPr>
      </w:pPr>
      <w:r w:rsidRPr="00500586">
        <w:rPr>
          <w:rFonts w:eastAsia="Calibri" w:cs="Times New Roman"/>
          <w:color w:val="000000" w:themeColor="text1"/>
        </w:rPr>
        <w:t>Work with CDC partners, state, and local jurisdictions to identify and respond to outbreaks among medical tourists returning from travel and presenting for care in the United States.</w:t>
      </w:r>
    </w:p>
    <w:p w:rsidR="00F27243" w:rsidRPr="00500586" w:rsidP="00F27243" w14:paraId="56382833" w14:textId="77777777">
      <w:pPr>
        <w:pStyle w:val="Bullets"/>
        <w:numPr>
          <w:ilvl w:val="0"/>
          <w:numId w:val="9"/>
        </w:numPr>
        <w:rPr>
          <w:rFonts w:cs="Times New Roman"/>
          <w:b/>
        </w:rPr>
      </w:pPr>
      <w:r w:rsidRPr="00500586">
        <w:rPr>
          <w:rFonts w:eastAsia="Calibri" w:cs="Times New Roman"/>
          <w:color w:val="000000" w:themeColor="text1"/>
        </w:rPr>
        <w:t>Identify prevention measures that can be used in education, communication, and guidance for travelers and clinicians.</w:t>
      </w:r>
    </w:p>
    <w:p w:rsidR="00C36B53" w:rsidRPr="00500586" w:rsidP="00C36B53" w14:paraId="36B4976D" w14:textId="77777777">
      <w:pPr>
        <w:pStyle w:val="Bullets"/>
        <w:numPr>
          <w:ilvl w:val="0"/>
          <w:numId w:val="0"/>
        </w:numPr>
        <w:ind w:left="360" w:hanging="360"/>
        <w:rPr>
          <w:rFonts w:eastAsia="Calibri" w:cs="Times New Roman"/>
          <w:color w:val="000000" w:themeColor="text1"/>
        </w:rPr>
      </w:pPr>
    </w:p>
    <w:p w:rsidR="00C36B53" w:rsidRPr="00500586" w:rsidP="00500586" w14:paraId="0081DB0A" w14:textId="38045CA7">
      <w:pPr>
        <w:pStyle w:val="Bullets"/>
        <w:numPr>
          <w:ilvl w:val="0"/>
          <w:numId w:val="0"/>
        </w:numPr>
        <w:ind w:left="360" w:hanging="360"/>
        <w:rPr>
          <w:rFonts w:cs="Times New Roman"/>
          <w:b/>
        </w:rPr>
      </w:pPr>
      <w:r w:rsidRPr="00F7396C">
        <w:t xml:space="preserve">This information collection aligns with </w:t>
      </w:r>
      <w:r w:rsidRPr="00F7396C" w:rsidR="003F5A34">
        <w:t>THB’s</w:t>
      </w:r>
      <w:r w:rsidRPr="00F7396C">
        <w:t xml:space="preserve"> mi</w:t>
      </w:r>
      <w:r w:rsidRPr="00F7396C" w:rsidR="003F5A34">
        <w:t xml:space="preserve">ssion to </w:t>
      </w:r>
      <w:r w:rsidRPr="00F7396C">
        <w:t xml:space="preserve">prevent, detect, and respond to communicable disease threats to the United States by inbound and outgoing international travelers and </w:t>
      </w:r>
      <w:r w:rsidRPr="00F7396C" w:rsidR="003F5A34">
        <w:t xml:space="preserve">to </w:t>
      </w:r>
      <w:r w:rsidRPr="00F7396C">
        <w:t>develop evidence-based guidance to prevent illnesses, hospitalizations and deaths among global travelers.</w:t>
      </w:r>
    </w:p>
    <w:p w:rsidR="00290EE1" w:rsidRPr="00500586" w:rsidP="00290EE1" w14:paraId="54E4CC48" w14:textId="46BEF6E2">
      <w:pPr>
        <w:pStyle w:val="Bullets"/>
        <w:numPr>
          <w:ilvl w:val="0"/>
          <w:numId w:val="0"/>
        </w:numPr>
        <w:ind w:left="1080"/>
        <w:rPr>
          <w:rFonts w:cs="Times New Roman"/>
          <w:b/>
        </w:rPr>
      </w:pPr>
    </w:p>
    <w:p w:rsidR="007A2275" w:rsidP="0C0C273D" w14:paraId="20CABA37" w14:textId="2B14A9B3">
      <w:pPr>
        <w:rPr>
          <w:rStyle w:val="eop"/>
          <w:rFonts w:cs="Times New Roman"/>
        </w:rPr>
      </w:pPr>
      <w:bookmarkStart w:id="6" w:name="_Hlk201568118"/>
      <w:r w:rsidRPr="00500586">
        <w:rPr>
          <w:rFonts w:cs="Times New Roman"/>
        </w:rPr>
        <w:t xml:space="preserve">DGMH’s </w:t>
      </w:r>
      <w:r w:rsidRPr="00500586" w:rsidR="003F0784">
        <w:rPr>
          <w:rFonts w:cs="Times New Roman"/>
        </w:rPr>
        <w:t xml:space="preserve">Travelers’ Health Branch </w:t>
      </w:r>
      <w:r w:rsidRPr="00500586">
        <w:rPr>
          <w:rFonts w:cs="Times New Roman"/>
        </w:rPr>
        <w:t xml:space="preserve">will send </w:t>
      </w:r>
      <w:r w:rsidRPr="00500586">
        <w:rPr>
          <w:rStyle w:val="normaltextrun"/>
          <w:rFonts w:eastAsiaTheme="majorEastAsia" w:cs="Times New Roman"/>
          <w:lang w:val="en-CA"/>
        </w:rPr>
        <w:t>the case intake form (</w:t>
      </w:r>
      <w:r w:rsidRPr="00500586" w:rsidR="000D5FDC">
        <w:rPr>
          <w:rStyle w:val="normaltextrun"/>
          <w:rFonts w:eastAsiaTheme="majorEastAsia" w:cs="Times New Roman"/>
          <w:lang w:val="en-CA"/>
        </w:rPr>
        <w:t>Form 1</w:t>
      </w:r>
      <w:r w:rsidRPr="00500586" w:rsidR="003C6937">
        <w:rPr>
          <w:rStyle w:val="normaltextrun"/>
          <w:rFonts w:eastAsiaTheme="majorEastAsia" w:cs="Times New Roman"/>
          <w:lang w:val="en-CA"/>
        </w:rPr>
        <w:t xml:space="preserve"> (Attachment C)</w:t>
      </w:r>
      <w:r w:rsidRPr="00500586">
        <w:rPr>
          <w:rStyle w:val="normaltextrun"/>
          <w:rFonts w:eastAsiaTheme="majorEastAsia" w:cs="Times New Roman"/>
          <w:lang w:val="en-CA"/>
        </w:rPr>
        <w:t>), upon request, to state/local health departments investigating adverse health outcomes among returned medical tourists</w:t>
      </w:r>
      <w:r w:rsidRPr="00500586" w:rsidR="004B357F">
        <w:rPr>
          <w:rStyle w:val="normaltextrun"/>
          <w:rFonts w:eastAsiaTheme="majorEastAsia" w:cs="Times New Roman"/>
          <w:lang w:val="en-CA"/>
        </w:rPr>
        <w:t>.</w:t>
      </w:r>
      <w:r w:rsidRPr="00500586">
        <w:rPr>
          <w:rStyle w:val="normaltextrun"/>
          <w:rFonts w:eastAsiaTheme="majorEastAsia" w:cs="Times New Roman"/>
          <w:b/>
          <w:bCs/>
          <w:lang w:val="en-CA"/>
        </w:rPr>
        <w:t xml:space="preserve"> </w:t>
      </w:r>
    </w:p>
    <w:p w:rsidR="005D2D18" w:rsidRPr="00500586" w:rsidP="0C0C273D" w14:paraId="1654A680" w14:textId="2FCCE968">
      <w:pPr>
        <w:rPr>
          <w:rFonts w:cs="Times New Roman"/>
        </w:rPr>
      </w:pPr>
      <w:r>
        <w:rPr>
          <w:rStyle w:val="eop"/>
          <w:rFonts w:cs="Times New Roman"/>
        </w:rPr>
        <w:t xml:space="preserve">Health departments will obtain </w:t>
      </w:r>
      <w:r w:rsidR="00C540E0">
        <w:rPr>
          <w:rStyle w:val="eop"/>
          <w:rFonts w:cs="Times New Roman"/>
        </w:rPr>
        <w:t xml:space="preserve">verbal </w:t>
      </w:r>
      <w:r>
        <w:rPr>
          <w:rStyle w:val="eop"/>
          <w:rFonts w:cs="Times New Roman"/>
        </w:rPr>
        <w:t>consent from patients</w:t>
      </w:r>
      <w:r w:rsidR="00C540E0">
        <w:rPr>
          <w:rStyle w:val="eop"/>
          <w:rFonts w:cs="Times New Roman"/>
        </w:rPr>
        <w:t xml:space="preserve"> before interviewing them (Attachment E). Participation is voluntary.</w:t>
      </w:r>
      <w:r>
        <w:rPr>
          <w:rStyle w:val="eop"/>
          <w:rFonts w:cs="Times New Roman"/>
        </w:rPr>
        <w:t xml:space="preserve"> </w:t>
      </w:r>
    </w:p>
    <w:p w:rsidR="007A2275" w:rsidRPr="00500586" w:rsidP="0C0C273D" w14:paraId="1C56A660" w14:textId="6F958E06">
      <w:pPr>
        <w:rPr>
          <w:rFonts w:cs="Times New Roman"/>
        </w:rPr>
      </w:pPr>
      <w:r w:rsidRPr="00500586">
        <w:rPr>
          <w:rFonts w:cs="Times New Roman"/>
        </w:rPr>
        <w:t xml:space="preserve">Form data will be collected and stored in </w:t>
      </w:r>
      <w:r w:rsidRPr="00500586" w:rsidR="00F27243">
        <w:rPr>
          <w:rFonts w:cs="Times New Roman"/>
        </w:rPr>
        <w:t>an electronic database</w:t>
      </w:r>
      <w:r w:rsidRPr="00500586">
        <w:rPr>
          <w:rFonts w:cs="Times New Roman"/>
        </w:rPr>
        <w:t xml:space="preserve">. </w:t>
      </w:r>
      <w:r w:rsidRPr="00500586" w:rsidR="00C36B53">
        <w:rPr>
          <w:rFonts w:cs="Times New Roman"/>
        </w:rPr>
        <w:t>THB</w:t>
      </w:r>
      <w:r w:rsidRPr="00500586">
        <w:rPr>
          <w:rFonts w:cs="Times New Roman"/>
        </w:rPr>
        <w:t xml:space="preserve"> will review data weekly to assess for potential epidemiologic links*. When cases appear to be associated, </w:t>
      </w:r>
      <w:r w:rsidRPr="00500586" w:rsidR="00C36B53">
        <w:rPr>
          <w:rFonts w:cs="Times New Roman"/>
        </w:rPr>
        <w:t xml:space="preserve">THB </w:t>
      </w:r>
      <w:r w:rsidRPr="00500586">
        <w:rPr>
          <w:rFonts w:cs="Times New Roman"/>
        </w:rPr>
        <w:t>will reach out to appropriate internal and external partners for further information and to coordinate a response, if needed. Health departments may be asked to complete the enhanced surveillance form (</w:t>
      </w:r>
      <w:r w:rsidRPr="00500586" w:rsidR="000D5FDC">
        <w:rPr>
          <w:rFonts w:cs="Times New Roman"/>
        </w:rPr>
        <w:t>Form 2</w:t>
      </w:r>
      <w:r w:rsidRPr="00500586" w:rsidR="003C6937">
        <w:rPr>
          <w:rFonts w:cs="Times New Roman"/>
        </w:rPr>
        <w:t xml:space="preserve"> (Attachment D)</w:t>
      </w:r>
      <w:r w:rsidRPr="00500586">
        <w:rPr>
          <w:rFonts w:cs="Times New Roman"/>
        </w:rPr>
        <w:t xml:space="preserve">). </w:t>
      </w:r>
    </w:p>
    <w:p w:rsidR="00593E7F" w:rsidRPr="00500586" w:rsidP="00593E7F" w14:paraId="15145817" w14:textId="77777777">
      <w:pPr>
        <w:pStyle w:val="Bullets"/>
        <w:numPr>
          <w:ilvl w:val="0"/>
          <w:numId w:val="0"/>
        </w:numPr>
        <w:ind w:left="360"/>
      </w:pPr>
      <w:r w:rsidRPr="00F7396C">
        <w:t>*Possible epidemiologic links between cases of adverse health outcomes involving medical tourists can include, but are not limited to, clinics where procedures are performed and timing of procedures associated with adverse health outcomes.</w:t>
      </w:r>
    </w:p>
    <w:bookmarkEnd w:id="6"/>
    <w:p w:rsidR="00C36B53" w:rsidRPr="00500586" w:rsidP="00C36B53" w14:paraId="235012E5" w14:textId="77777777">
      <w:pPr>
        <w:pStyle w:val="Bullets"/>
        <w:numPr>
          <w:ilvl w:val="0"/>
          <w:numId w:val="0"/>
        </w:numPr>
        <w:ind w:left="360" w:hanging="360"/>
      </w:pPr>
    </w:p>
    <w:p w:rsidR="00C36B53" w:rsidRPr="00F7396C" w:rsidP="00500586" w14:paraId="579C83F6" w14:textId="77777777">
      <w:pPr>
        <w:pStyle w:val="Bullets"/>
        <w:numPr>
          <w:ilvl w:val="0"/>
          <w:numId w:val="0"/>
        </w:numPr>
        <w:ind w:left="360" w:hanging="360"/>
        <w:rPr>
          <w:b/>
        </w:rPr>
      </w:pPr>
    </w:p>
    <w:p w:rsidR="00593E7F" w:rsidRPr="00F27243" w:rsidP="0C0C273D" w14:paraId="4E08D59A" w14:textId="77777777">
      <w:pPr>
        <w:rPr>
          <w:rFonts w:eastAsiaTheme="minorEastAsia" w:cs="Times New Roman"/>
          <w:i/>
          <w:iCs/>
        </w:rPr>
      </w:pPr>
    </w:p>
    <w:p w:rsidR="007A2275" w:rsidRPr="007A2275" w:rsidP="007A2275" w14:paraId="3CF7887E" w14:textId="77777777"/>
    <w:p w:rsidR="004A13E8" w:rsidP="004A13E8" w14:paraId="55FE17B9" w14:textId="77777777">
      <w:pPr>
        <w:pStyle w:val="Heading1"/>
      </w:pPr>
      <w:r>
        <w:t>Use of Improved Information Technology and Burden Reduction</w:t>
      </w:r>
      <w:bookmarkEnd w:id="5"/>
    </w:p>
    <w:p w:rsidR="00CD31CB" w:rsidRPr="00191D48" w:rsidP="00CD31CB" w14:paraId="6D1AD375" w14:textId="45DA8685">
      <w:pPr>
        <w:rPr>
          <w:rFonts w:cs="Times New Roman"/>
        </w:rPr>
      </w:pPr>
      <w:r w:rsidRPr="00191D48">
        <w:rPr>
          <w:rFonts w:eastAsia="Calibri" w:cs="Times New Roman"/>
          <w:color w:val="000000" w:themeColor="text1"/>
          <w:szCs w:val="24"/>
        </w:rPr>
        <w:t xml:space="preserve">Form data will be collected and stored </w:t>
      </w:r>
      <w:r w:rsidRPr="00191D48" w:rsidR="00216298">
        <w:rPr>
          <w:rFonts w:eastAsia="Calibri" w:cs="Times New Roman"/>
          <w:color w:val="000000" w:themeColor="text1"/>
          <w:szCs w:val="24"/>
        </w:rPr>
        <w:t>on restricted-access files in an</w:t>
      </w:r>
      <w:r w:rsidRPr="00191D48">
        <w:rPr>
          <w:rFonts w:eastAsia="Calibri" w:cs="Times New Roman"/>
          <w:color w:val="000000" w:themeColor="text1"/>
          <w:szCs w:val="24"/>
        </w:rPr>
        <w:t xml:space="preserve"> electronic database</w:t>
      </w:r>
      <w:r w:rsidRPr="00191D48" w:rsidR="00216298">
        <w:rPr>
          <w:rFonts w:eastAsia="Calibri" w:cs="Times New Roman"/>
          <w:color w:val="000000" w:themeColor="text1"/>
          <w:szCs w:val="24"/>
        </w:rPr>
        <w:t xml:space="preserve"> on sec</w:t>
      </w:r>
      <w:r w:rsidRPr="00191D48" w:rsidR="0016640C">
        <w:rPr>
          <w:rFonts w:eastAsia="Calibri" w:cs="Times New Roman"/>
          <w:color w:val="000000" w:themeColor="text1"/>
          <w:szCs w:val="24"/>
        </w:rPr>
        <w:t>u</w:t>
      </w:r>
      <w:r w:rsidRPr="00191D48" w:rsidR="00216298">
        <w:rPr>
          <w:rFonts w:eastAsia="Calibri" w:cs="Times New Roman"/>
          <w:color w:val="000000" w:themeColor="text1"/>
          <w:szCs w:val="24"/>
        </w:rPr>
        <w:t>re CDC servers</w:t>
      </w:r>
      <w:r w:rsidRPr="00191D48">
        <w:rPr>
          <w:rFonts w:eastAsia="Calibri" w:cs="Times New Roman"/>
          <w:color w:val="000000" w:themeColor="text1"/>
          <w:szCs w:val="24"/>
        </w:rPr>
        <w:t>.</w:t>
      </w:r>
      <w:r w:rsidRPr="00191D48" w:rsidR="00216298">
        <w:rPr>
          <w:rFonts w:eastAsia="Calibri" w:cs="Times New Roman"/>
          <w:color w:val="000000" w:themeColor="text1"/>
          <w:szCs w:val="24"/>
        </w:rPr>
        <w:t xml:space="preserve">  </w:t>
      </w:r>
      <w:r w:rsidRPr="00191D48" w:rsidR="003F5A34">
        <w:rPr>
          <w:rFonts w:eastAsia="Calibri" w:cs="Times New Roman"/>
          <w:color w:val="000000" w:themeColor="text1"/>
          <w:szCs w:val="24"/>
        </w:rPr>
        <w:t>The One CDC Data Platform (1CDP) is</w:t>
      </w:r>
      <w:r w:rsidRPr="00191D48" w:rsidR="00D709E0">
        <w:rPr>
          <w:rFonts w:eastAsia="Calibri" w:cs="Times New Roman"/>
          <w:color w:val="000000" w:themeColor="text1"/>
          <w:szCs w:val="24"/>
        </w:rPr>
        <w:t xml:space="preserve"> the unified data platform supporting CDC’s everyday work as well as public health emergency response. It connects CDC and partners to shared tools, capabilities, and data in one place. 1CDP is</w:t>
      </w:r>
      <w:r w:rsidRPr="00191D48" w:rsidR="00411039">
        <w:rPr>
          <w:rFonts w:eastAsia="Calibri" w:cs="Times New Roman"/>
          <w:color w:val="000000" w:themeColor="text1"/>
          <w:szCs w:val="24"/>
        </w:rPr>
        <w:t xml:space="preserve"> also</w:t>
      </w:r>
      <w:r w:rsidRPr="00191D48" w:rsidR="003F5A34">
        <w:rPr>
          <w:rFonts w:eastAsia="Calibri" w:cs="Times New Roman"/>
          <w:color w:val="000000" w:themeColor="text1"/>
          <w:szCs w:val="24"/>
        </w:rPr>
        <w:t xml:space="preserve"> being used to host other surveillance databases in THB</w:t>
      </w:r>
      <w:r w:rsidRPr="00191D48" w:rsidR="00411039">
        <w:rPr>
          <w:rFonts w:eastAsia="Calibri" w:cs="Times New Roman"/>
          <w:color w:val="000000" w:themeColor="text1"/>
          <w:szCs w:val="24"/>
        </w:rPr>
        <w:t xml:space="preserve">, </w:t>
      </w:r>
      <w:r w:rsidRPr="00191D48" w:rsidR="00411039">
        <w:rPr>
          <w:rFonts w:eastAsia="Calibri" w:cs="Times New Roman"/>
          <w:color w:val="000000" w:themeColor="text1"/>
          <w:szCs w:val="24"/>
        </w:rPr>
        <w:t xml:space="preserve">DGMH, and several other surveillance programs at CDC. 1CDP will allow THB to better prepare for, detect and respond to public health threats quickly. </w:t>
      </w:r>
      <w:r w:rsidRPr="00191D48" w:rsidR="003F5A34">
        <w:rPr>
          <w:rFonts w:eastAsia="Calibri" w:cs="Times New Roman"/>
          <w:color w:val="000000" w:themeColor="text1"/>
          <w:szCs w:val="24"/>
        </w:rPr>
        <w:t xml:space="preserve"> </w:t>
      </w:r>
    </w:p>
    <w:p w:rsidR="004A13E8" w:rsidP="004A13E8" w14:paraId="55FE17BC" w14:textId="77777777">
      <w:pPr>
        <w:pStyle w:val="Heading1"/>
      </w:pPr>
      <w:bookmarkStart w:id="7" w:name="_Toc473880020"/>
      <w:r>
        <w:t>Efforts to Identify Duplication and Use of Similar Information</w:t>
      </w:r>
      <w:bookmarkEnd w:id="7"/>
    </w:p>
    <w:p w:rsidR="003B2FB4" w:rsidRPr="00500586" w:rsidP="0C0C273D" w14:paraId="55FE17BE" w14:textId="51810F11">
      <w:pPr>
        <w:rPr>
          <w:rFonts w:cs="Times New Roman"/>
        </w:rPr>
      </w:pPr>
      <w:bookmarkStart w:id="8" w:name="_Hlk166579297"/>
      <w:r w:rsidRPr="00500586">
        <w:rPr>
          <w:rFonts w:cs="Times New Roman"/>
        </w:rPr>
        <w:t>THB</w:t>
      </w:r>
      <w:r w:rsidRPr="00500586" w:rsidR="00D37AA3">
        <w:rPr>
          <w:rFonts w:cs="Times New Roman"/>
        </w:rPr>
        <w:t xml:space="preserve"> is the only group within CDC that collects data on adverse health events among medical tourists. Often, the CDC Division of Healthcare Quality Promotion is incidentally notified about these events (adverse health outcomes in medical tourists) and subsequently notifies the Travelers’ Health Branch. However, there is no standardized data collection instrument for state/local health departments to notify CDC of these events. Currently established healthcare-acquired infection surveillance systems do not collect information that is relevant to identifying these cases (e.g., international travel history), that is relevant to identifying the burden of these events (e.g., cost to the patient), or that provides information that will aid in creating prevention strategies for this at-risk group. </w:t>
      </w:r>
      <w:r w:rsidRPr="00500586" w:rsidR="00D37AA3">
        <w:rPr>
          <w:rFonts w:eastAsia="Calibri" w:cs="Times New Roman"/>
          <w:color w:val="000000" w:themeColor="text1"/>
        </w:rPr>
        <w:t>Collecting this</w:t>
      </w:r>
      <w:r w:rsidRPr="00500586" w:rsidR="00D37AA3">
        <w:rPr>
          <w:rFonts w:cs="Times New Roman"/>
          <w:color w:val="000000" w:themeColor="text1"/>
        </w:rPr>
        <w:t xml:space="preserve"> information will allow CDC to identify epidemiologic links among adverse health outcomes associated with medical tourism cases around the United States and will inform recommendations to reduce the risk of adverse health events for international travelers receiving surgeries, treatments, or procedures outside the United States. </w:t>
      </w:r>
      <w:bookmarkEnd w:id="8"/>
    </w:p>
    <w:p w:rsidR="00DC57CC" w:rsidP="004A13E8" w14:paraId="55FE17BF" w14:textId="77777777">
      <w:pPr>
        <w:pStyle w:val="Heading1"/>
      </w:pPr>
      <w:bookmarkStart w:id="9" w:name="_Toc473880021"/>
      <w:r>
        <w:t>Impact on Small Businesses or Other Small Entities</w:t>
      </w:r>
      <w:bookmarkEnd w:id="9"/>
    </w:p>
    <w:p w:rsidR="004A13E8" w:rsidRPr="00500586" w:rsidP="0C0C273D" w14:paraId="55FE17C0" w14:textId="77777777">
      <w:r w:rsidRPr="00500586">
        <w:t>This data collection wi</w:t>
      </w:r>
      <w:r w:rsidRPr="00500586" w:rsidR="001523DF">
        <w:t>ll not involve small businesses.</w:t>
      </w:r>
    </w:p>
    <w:p w:rsidR="004A13E8" w:rsidP="004A13E8" w14:paraId="55FE17C3" w14:textId="77777777">
      <w:pPr>
        <w:pStyle w:val="Heading1"/>
      </w:pPr>
      <w:bookmarkStart w:id="10" w:name="_Toc473880022"/>
      <w:r>
        <w:t>Consequences of Collecting the Information Less Frequently</w:t>
      </w:r>
      <w:bookmarkEnd w:id="10"/>
    </w:p>
    <w:p w:rsidR="001523DF" w:rsidRPr="001523DF" w:rsidP="0C0C273D" w14:paraId="55FE17C5" w14:textId="4D6AD390">
      <w:pPr>
        <w:rPr>
          <w:i/>
          <w:iCs/>
        </w:rPr>
      </w:pPr>
      <w:r w:rsidRPr="006774E8">
        <w:t xml:space="preserve">Medical tourists can introduce extremely drug-resistant infections that are rare or nonexistent in the United States and have limited treatment options. The importation and spread of these infections pose significant risks to public health, safety, and the financial stability of American hospitals and healthcare systems. </w:t>
      </w:r>
      <w:r w:rsidRPr="00500586">
        <w:t xml:space="preserve">This will be an ongoing information collection. </w:t>
      </w:r>
      <w:r w:rsidRPr="006774E8">
        <w:t>Without effective surveillance, outbreaks related to medical tourism may go undetected or be delayed in response, leading to substantial financial burdens on both the American healthcare system</w:t>
      </w:r>
      <w:r w:rsidR="00D27CA4">
        <w:t xml:space="preserve"> </w:t>
      </w:r>
      <w:r w:rsidRPr="006774E8">
        <w:t xml:space="preserve">and </w:t>
      </w:r>
      <w:r w:rsidRPr="006774E8">
        <w:t>taxpayers</w:t>
      </w:r>
      <w:r w:rsidR="007E3FCE">
        <w:t xml:space="preserve"> </w:t>
      </w:r>
      <w:r w:rsidRPr="006774E8">
        <w:t>burdens that could potentially be avoided</w:t>
      </w:r>
      <w:r w:rsidRPr="00500586" w:rsidR="00C632AB">
        <w:t>.</w:t>
      </w:r>
    </w:p>
    <w:p w:rsidR="004A13E8" w:rsidP="004A13E8" w14:paraId="55FE17C6" w14:textId="77777777">
      <w:pPr>
        <w:pStyle w:val="Heading1"/>
      </w:pPr>
      <w:bookmarkStart w:id="11" w:name="_Toc473880023"/>
      <w:r>
        <w:t>Special Circumstances Relating to the Guidelines of 5 CFR 1320.5</w:t>
      </w:r>
      <w:bookmarkEnd w:id="11"/>
    </w:p>
    <w:p w:rsidR="003F2274" w:rsidP="0C0C273D" w14:paraId="5D5915E4" w14:textId="77777777">
      <w:pPr>
        <w:rPr>
          <w:bCs/>
        </w:rPr>
      </w:pPr>
      <w:r w:rsidRPr="001266C9">
        <w:rPr>
          <w:bCs/>
        </w:rPr>
        <w:t>We are electing to choose the less-detailed standard of answer choices for the question regarding race/ethnicity.  The more detailed standard includes answer choices for collecting information about sub-categories of ethnicity, which is outside the scope of this data collection.</w:t>
      </w:r>
    </w:p>
    <w:p w:rsidR="004A13E8" w:rsidRPr="00500586" w:rsidP="0C0C273D" w14:paraId="55FE17C7" w14:textId="0307CD3C">
      <w:r w:rsidRPr="00500586">
        <w:t>This request fully complies with the regulation 5 CFR 1320.5.</w:t>
      </w:r>
    </w:p>
    <w:p w:rsidR="004A13E8" w:rsidRPr="00A86D91" w:rsidP="004A13E8" w14:paraId="55FE17C8" w14:textId="77777777">
      <w:pPr>
        <w:pStyle w:val="Heading1"/>
      </w:pPr>
      <w:bookmarkStart w:id="12" w:name="_Toc473880024"/>
      <w:r w:rsidRPr="00A86D91">
        <w:t>Comments in Response to the Federal Register Notice and Efforts to Consult Outside the Agency</w:t>
      </w:r>
      <w:bookmarkEnd w:id="12"/>
    </w:p>
    <w:p w:rsidR="004A13E8" w:rsidRPr="005A38C0" w:rsidP="004A13E8" w14:paraId="55FE17C9" w14:textId="737B12ED">
      <w:r>
        <w:t xml:space="preserve">A. A 60-day Federal Register Notice was published in the </w:t>
      </w:r>
      <w:r w:rsidRPr="004A13E8">
        <w:rPr>
          <w:i/>
        </w:rPr>
        <w:t>Federal Register</w:t>
      </w:r>
      <w:r>
        <w:rPr>
          <w:i/>
        </w:rPr>
        <w:t xml:space="preserve"> </w:t>
      </w:r>
      <w:r>
        <w:t xml:space="preserve">on </w:t>
      </w:r>
      <w:r w:rsidR="00D37AA3">
        <w:t>A</w:t>
      </w:r>
      <w:r w:rsidR="007E3FCE">
        <w:t>ugust</w:t>
      </w:r>
      <w:r>
        <w:t xml:space="preserve"> </w:t>
      </w:r>
      <w:r w:rsidR="00D37AA3">
        <w:t>9</w:t>
      </w:r>
      <w:r>
        <w:t xml:space="preserve">, </w:t>
      </w:r>
      <w:r w:rsidR="00D37AA3">
        <w:t>2024</w:t>
      </w:r>
      <w:r>
        <w:t xml:space="preserve">, vol. </w:t>
      </w:r>
      <w:r w:rsidR="00D37AA3">
        <w:t>89</w:t>
      </w:r>
      <w:r>
        <w:t xml:space="preserve">, No. </w:t>
      </w:r>
      <w:r w:rsidR="00D37AA3">
        <w:t>154</w:t>
      </w:r>
      <w:r>
        <w:t xml:space="preserve">, pp. </w:t>
      </w:r>
      <w:r w:rsidR="00F80F92">
        <w:t>65358-65359</w:t>
      </w:r>
      <w:r>
        <w:t xml:space="preserve"> (Attachment </w:t>
      </w:r>
      <w:r w:rsidR="00305F72">
        <w:t>B1</w:t>
      </w:r>
      <w:r>
        <w:t xml:space="preserve">). </w:t>
      </w:r>
      <w:r w:rsidRPr="00500586">
        <w:t>CDC receive</w:t>
      </w:r>
      <w:r w:rsidR="00DE5374">
        <w:t>d</w:t>
      </w:r>
      <w:r w:rsidRPr="00500586">
        <w:t xml:space="preserve"> </w:t>
      </w:r>
      <w:r w:rsidR="00162693">
        <w:t xml:space="preserve">4 </w:t>
      </w:r>
      <w:r w:rsidRPr="00500586">
        <w:t>public comment</w:t>
      </w:r>
      <w:r w:rsidR="00162693">
        <w:t>s</w:t>
      </w:r>
      <w:r w:rsidRPr="00500586">
        <w:t xml:space="preserve"> related to this notice</w:t>
      </w:r>
      <w:r w:rsidR="003C6937">
        <w:t xml:space="preserve"> (Attachment B2</w:t>
      </w:r>
      <w:r w:rsidR="00162693">
        <w:t>; B4-B6</w:t>
      </w:r>
      <w:r w:rsidR="003C6937">
        <w:t>)</w:t>
      </w:r>
      <w:r w:rsidR="00DE5374">
        <w:t xml:space="preserve"> and has provided a response in Attach</w:t>
      </w:r>
      <w:r w:rsidR="00221C35">
        <w:t>ment</w:t>
      </w:r>
      <w:r w:rsidR="00162693">
        <w:t>s</w:t>
      </w:r>
      <w:r w:rsidR="00221C35">
        <w:t xml:space="preserve"> </w:t>
      </w:r>
      <w:r w:rsidR="00305F72">
        <w:t>B</w:t>
      </w:r>
      <w:r w:rsidR="003203E6">
        <w:t>3</w:t>
      </w:r>
      <w:r w:rsidR="00162693">
        <w:t xml:space="preserve"> and B7</w:t>
      </w:r>
      <w:r w:rsidRPr="00500586">
        <w:t>.</w:t>
      </w:r>
      <w:r w:rsidRPr="00500586" w:rsidR="00C32380">
        <w:t xml:space="preserve"> </w:t>
      </w:r>
    </w:p>
    <w:p w:rsidR="00A86D91" w:rsidRPr="00191D48" w:rsidP="004A13E8" w14:paraId="6B95A6D0" w14:textId="232D62BC">
      <w:r w:rsidRPr="00500586">
        <w:rPr>
          <w:i/>
          <w:iCs/>
        </w:rPr>
        <w:t xml:space="preserve">B. </w:t>
      </w:r>
      <w:r w:rsidRPr="00191D48">
        <w:t>No consultations outside of CDC occurred.</w:t>
      </w:r>
    </w:p>
    <w:p w:rsidR="004A13E8" w:rsidP="004A13E8" w14:paraId="55FE17CB" w14:textId="77777777">
      <w:pPr>
        <w:pStyle w:val="Heading1"/>
      </w:pPr>
      <w:bookmarkStart w:id="13" w:name="_Toc473880025"/>
      <w:r>
        <w:t>Explanation of Any Payment or Gift to Respondents</w:t>
      </w:r>
      <w:bookmarkEnd w:id="13"/>
    </w:p>
    <w:p w:rsidR="004A13E8" w:rsidRPr="004A13E8" w:rsidP="004A13E8" w14:paraId="55FE17CC" w14:textId="6679FFDE">
      <w:r>
        <w:t>N/A</w:t>
      </w:r>
    </w:p>
    <w:p w:rsidR="004A13E8" w:rsidRPr="00500586" w:rsidP="004A13E8" w14:paraId="55FE17CD" w14:textId="77777777">
      <w:pPr>
        <w:pStyle w:val="Heading1"/>
      </w:pPr>
      <w:bookmarkStart w:id="14" w:name="_Toc473880026"/>
      <w:r w:rsidRPr="00500586">
        <w:t>Protection of the Privacy and Confidentiality of Information Provided by Respondents</w:t>
      </w:r>
      <w:bookmarkEnd w:id="14"/>
    </w:p>
    <w:p w:rsidR="00CD545D" w:rsidP="00CD2AA4" w14:paraId="5863B5B2" w14:textId="3B90D5CF">
      <w:r w:rsidRPr="00457614">
        <w:t>CDC’s Information Systems Security Officer reviewed this submission and determined that the Privacy Act</w:t>
      </w:r>
      <w:r w:rsidR="008E2035">
        <w:t xml:space="preserve"> applies</w:t>
      </w:r>
      <w:r w:rsidRPr="00457614">
        <w:t xml:space="preserve">. A Privacy Impact Assessment is included as part of this submission (attachment </w:t>
      </w:r>
      <w:r w:rsidR="00F9415D">
        <w:t>G</w:t>
      </w:r>
      <w:r w:rsidRPr="00457614">
        <w:t xml:space="preserve">). </w:t>
      </w:r>
    </w:p>
    <w:p w:rsidR="00CD545D" w:rsidRPr="00137C0D" w:rsidP="00CD545D" w14:paraId="5298E7E9" w14:textId="77777777">
      <w:pPr>
        <w:spacing w:after="0" w:line="240" w:lineRule="auto"/>
        <w:textAlignment w:val="baseline"/>
        <w:rPr>
          <w:b/>
          <w:bCs/>
        </w:rPr>
      </w:pPr>
      <w:bookmarkStart w:id="15" w:name="_Hlk159502648"/>
      <w:r w:rsidRPr="00500586">
        <w:t>Data will be kept private to the extent allowed by law.</w:t>
      </w:r>
      <w:bookmarkEnd w:id="15"/>
    </w:p>
    <w:p w:rsidR="00457614" w:rsidRPr="00500586" w:rsidP="00500586" w14:paraId="4231371F" w14:textId="4D3A59EE">
      <w:pPr>
        <w:spacing w:after="0" w:line="240" w:lineRule="auto"/>
        <w:textAlignment w:val="baseline"/>
        <w:rPr>
          <w:b/>
          <w:bCs/>
        </w:rPr>
      </w:pPr>
      <w:r w:rsidRPr="00996FBD">
        <w:t xml:space="preserve"> </w:t>
      </w:r>
    </w:p>
    <w:p w:rsidR="00DD07E0" w:rsidRPr="00500586" w:rsidP="00DD07E0" w14:paraId="2F01E520" w14:textId="77777777">
      <w:pPr>
        <w:pStyle w:val="Heading2"/>
        <w:spacing w:line="276" w:lineRule="auto"/>
        <w:contextualSpacing/>
        <w:jc w:val="left"/>
        <w:rPr>
          <w:rFonts w:eastAsia="Times New Roman" w:cs="Times New Roman"/>
          <w:b w:val="0"/>
          <w:sz w:val="24"/>
          <w:szCs w:val="24"/>
        </w:rPr>
      </w:pPr>
      <w:r w:rsidRPr="00500586">
        <w:rPr>
          <w:rFonts w:eastAsia="Times New Roman" w:cs="Times New Roman"/>
          <w:b w:val="0"/>
          <w:sz w:val="24"/>
          <w:szCs w:val="24"/>
        </w:rPr>
        <w:t xml:space="preserve">The medical tourism case investigation information falls into the Minor Research Records category for records retention requirements. This data will be stored in an electronic database. We will maintain the data for at least six years post completion of the entry, and then the data will be deleted. </w:t>
      </w:r>
    </w:p>
    <w:p w:rsidR="00CD545D" w:rsidP="00CD2AA4" w14:paraId="61DE67D9" w14:textId="77777777"/>
    <w:p w:rsidR="004A13E8" w:rsidP="004A13E8" w14:paraId="55FE17D0" w14:textId="77777777">
      <w:pPr>
        <w:pStyle w:val="Heading1"/>
      </w:pPr>
      <w:bookmarkStart w:id="16" w:name="_Toc473880027"/>
      <w:r>
        <w:t>Institutional Review Board (IRB) and Justification for Sensitive Questions</w:t>
      </w:r>
      <w:bookmarkEnd w:id="16"/>
    </w:p>
    <w:p w:rsidR="004A13E8" w:rsidP="004A13E8" w14:paraId="55FE17D1" w14:textId="5CE7B19D">
      <w:pPr>
        <w:rPr>
          <w:u w:val="single"/>
        </w:rPr>
      </w:pPr>
      <w:r>
        <w:rPr>
          <w:u w:val="single"/>
        </w:rPr>
        <w:t>Institutional Review Board (IRB)</w:t>
      </w:r>
    </w:p>
    <w:p w:rsidR="004A13E8" w:rsidRPr="00071527" w:rsidP="004A13E8" w14:paraId="55FE17D2" w14:textId="5BDC9E32">
      <w:r w:rsidRPr="00DF5D25">
        <w:t xml:space="preserve">NCEZID’s Human Subjects Advisor has determined that information collection is not research involving human subjects.  IRB approval </w:t>
      </w:r>
      <w:r w:rsidRPr="00DF5D25" w:rsidR="001E08A8">
        <w:t>is</w:t>
      </w:r>
      <w:r w:rsidRPr="00DF5D25">
        <w:t xml:space="preserve"> not required.</w:t>
      </w:r>
      <w:r w:rsidRPr="00DF5D25" w:rsidR="00C27B4E">
        <w:t xml:space="preserve"> Please see the attached</w:t>
      </w:r>
      <w:r w:rsidRPr="00DF5D25" w:rsidR="0019023F">
        <w:t xml:space="preserve"> human </w:t>
      </w:r>
      <w:r w:rsidRPr="00DF5D25" w:rsidR="0019023F">
        <w:t>subjects</w:t>
      </w:r>
      <w:r w:rsidRPr="00071527" w:rsidR="0019023F">
        <w:t xml:space="preserve"> determination </w:t>
      </w:r>
      <w:r w:rsidRPr="00500586" w:rsidR="000D5FDC">
        <w:t>(Attachment F)</w:t>
      </w:r>
      <w:r w:rsidRPr="00071527" w:rsidR="0019023F">
        <w:t>.</w:t>
      </w:r>
    </w:p>
    <w:p w:rsidR="004A13E8" w:rsidP="004A13E8" w14:paraId="55FE17D4" w14:textId="77777777">
      <w:pPr>
        <w:rPr>
          <w:u w:val="single"/>
        </w:rPr>
      </w:pPr>
      <w:r>
        <w:rPr>
          <w:u w:val="single"/>
        </w:rPr>
        <w:t>Justification for Sensitive Questions</w:t>
      </w:r>
    </w:p>
    <w:p w:rsidR="00DD6B95" w:rsidRPr="0005699B" w:rsidP="004A13E8" w14:paraId="5C6698B8" w14:textId="35A327A8">
      <w:r w:rsidRPr="0010552D">
        <w:t>We are electing to choose the less-detailed standard of answer choices for the question regarding race/ethnicity.  The more detailed standard includes answer choices for collecting information about sub-categories of ethnicity, which is outside the scope of this data collection.</w:t>
      </w:r>
    </w:p>
    <w:p w:rsidR="00043BAC" w:rsidP="009B0947" w14:paraId="10D660C3" w14:textId="7584B14E">
      <w:r>
        <w:t xml:space="preserve">     </w:t>
      </w:r>
      <w:r w:rsidRPr="0010552D">
        <w:rPr>
          <w:b/>
          <w:bCs/>
        </w:rPr>
        <w:t>12.</w:t>
      </w:r>
      <w:r>
        <w:t xml:space="preserve">  </w:t>
      </w:r>
      <w:r w:rsidRPr="00043BAC">
        <w:rPr>
          <w:b/>
          <w:bCs/>
        </w:rPr>
        <w:t>Estimates of Annualized Burden Hours and Costs</w:t>
      </w:r>
    </w:p>
    <w:p w:rsidR="00C553B7" w:rsidP="009B0947" w14:paraId="093B700D" w14:textId="1A538307">
      <w:r>
        <w:t xml:space="preserve">A. </w:t>
      </w:r>
      <w:r>
        <w:t>Estimated Annualized Burden Hours</w:t>
      </w:r>
    </w:p>
    <w:p w:rsidR="00E02432" w:rsidRPr="00500586" w:rsidP="004A13E8" w14:paraId="2499C138" w14:textId="1D85253C">
      <w:bookmarkStart w:id="17" w:name="_Hlk201569343"/>
      <w:r w:rsidRPr="00500586">
        <w:t>THB</w:t>
      </w:r>
      <w:r w:rsidRPr="00500586">
        <w:t xml:space="preserve"> scheduled informational sessions with nine state/local health jurisdictions to gather feedback on this data collection instrument. After each session, the forms (</w:t>
      </w:r>
      <w:r w:rsidRPr="00500586" w:rsidR="009951C2">
        <w:t>Form 1</w:t>
      </w:r>
      <w:r w:rsidRPr="00500586" w:rsidR="003C6937">
        <w:t xml:space="preserve"> (Attachment C)</w:t>
      </w:r>
      <w:r w:rsidRPr="00500586">
        <w:t xml:space="preserve"> and </w:t>
      </w:r>
      <w:r w:rsidRPr="00500586" w:rsidR="009951C2">
        <w:t>Form 2</w:t>
      </w:r>
      <w:r w:rsidRPr="00500586" w:rsidR="003C6937">
        <w:t xml:space="preserve"> (Attachment D)</w:t>
      </w:r>
      <w:r w:rsidRPr="00500586">
        <w:t>) were emailed to participants with instructions to report how long it took them to complete each form. Time estimates were calculated by averaging the reported time it took to complete each form by each state/jurisdiction.</w:t>
      </w:r>
      <w:bookmarkEnd w:id="17"/>
    </w:p>
    <w:tbl>
      <w:tblPr>
        <w:tblStyle w:val="TableGrid"/>
        <w:tblCaption w:val="Example Table, Table A12: Estimated Annualized Burden Costs"/>
        <w:tblDescription w:val="Example Table, Table A12: Estimated Annualized Burden Costs"/>
        <w:tblW w:w="10063" w:type="dxa"/>
        <w:jc w:val="center"/>
        <w:tblLook w:val="04A0"/>
      </w:tblPr>
      <w:tblGrid>
        <w:gridCol w:w="1919"/>
        <w:gridCol w:w="2605"/>
        <w:gridCol w:w="1591"/>
        <w:gridCol w:w="1354"/>
        <w:gridCol w:w="1527"/>
        <w:gridCol w:w="1067"/>
      </w:tblGrid>
      <w:tr w14:paraId="5139C3F2" w14:textId="77777777" w:rsidTr="00500586">
        <w:tblPrEx>
          <w:tblW w:w="10063" w:type="dxa"/>
          <w:jc w:val="center"/>
          <w:tblLook w:val="04A0"/>
        </w:tblPrEx>
        <w:trPr>
          <w:trHeight w:val="583"/>
          <w:tblHeader/>
          <w:jc w:val="center"/>
        </w:trPr>
        <w:tc>
          <w:tcPr>
            <w:tcW w:w="1919" w:type="dxa"/>
          </w:tcPr>
          <w:p w:rsidR="00E02432" w:rsidRPr="00E02432" w:rsidP="00604577" w14:paraId="47F7B5C9" w14:textId="77777777">
            <w:pPr>
              <w:spacing w:line="276" w:lineRule="auto"/>
              <w:rPr>
                <w:rFonts w:cs="Times New Roman"/>
                <w:bCs/>
              </w:rPr>
            </w:pPr>
            <w:r w:rsidRPr="00E02432">
              <w:rPr>
                <w:rFonts w:cs="Times New Roman"/>
                <w:bCs/>
              </w:rPr>
              <w:t>Type of Respondents</w:t>
            </w:r>
          </w:p>
        </w:tc>
        <w:tc>
          <w:tcPr>
            <w:tcW w:w="2605" w:type="dxa"/>
          </w:tcPr>
          <w:p w:rsidR="00E02432" w:rsidRPr="00E02432" w:rsidP="00604577" w14:paraId="0505C1A8" w14:textId="77777777">
            <w:pPr>
              <w:spacing w:line="276" w:lineRule="auto"/>
              <w:rPr>
                <w:rFonts w:cs="Times New Roman"/>
                <w:bCs/>
              </w:rPr>
            </w:pPr>
            <w:r w:rsidRPr="00E02432">
              <w:rPr>
                <w:rFonts w:cs="Times New Roman"/>
                <w:bCs/>
              </w:rPr>
              <w:t>Form Name</w:t>
            </w:r>
          </w:p>
        </w:tc>
        <w:tc>
          <w:tcPr>
            <w:tcW w:w="1591" w:type="dxa"/>
          </w:tcPr>
          <w:p w:rsidR="00E02432" w:rsidRPr="00E02432" w:rsidP="00604577" w14:paraId="48E2F125" w14:textId="77777777">
            <w:pPr>
              <w:spacing w:line="276" w:lineRule="auto"/>
              <w:rPr>
                <w:rFonts w:cs="Times New Roman"/>
                <w:bCs/>
              </w:rPr>
            </w:pPr>
            <w:r w:rsidRPr="00E02432">
              <w:rPr>
                <w:rFonts w:cs="Times New Roman"/>
                <w:bCs/>
              </w:rPr>
              <w:t>No. of Respondents</w:t>
            </w:r>
          </w:p>
        </w:tc>
        <w:tc>
          <w:tcPr>
            <w:tcW w:w="1354" w:type="dxa"/>
          </w:tcPr>
          <w:p w:rsidR="00E02432" w:rsidRPr="00E02432" w:rsidP="00604577" w14:paraId="4549EB3D" w14:textId="77777777">
            <w:pPr>
              <w:spacing w:line="276" w:lineRule="auto"/>
              <w:rPr>
                <w:rFonts w:cs="Times New Roman"/>
                <w:bCs/>
              </w:rPr>
            </w:pPr>
            <w:r w:rsidRPr="00E02432">
              <w:rPr>
                <w:rFonts w:cs="Times New Roman"/>
                <w:bCs/>
              </w:rPr>
              <w:t>No. of Responses per Respondent</w:t>
            </w:r>
          </w:p>
        </w:tc>
        <w:tc>
          <w:tcPr>
            <w:tcW w:w="1527" w:type="dxa"/>
          </w:tcPr>
          <w:p w:rsidR="00E02432" w:rsidRPr="00E02432" w:rsidP="00604577" w14:paraId="3FD251FC" w14:textId="77777777">
            <w:pPr>
              <w:spacing w:line="276" w:lineRule="auto"/>
              <w:rPr>
                <w:rFonts w:cs="Times New Roman"/>
                <w:bCs/>
              </w:rPr>
            </w:pPr>
            <w:r w:rsidRPr="00E02432">
              <w:rPr>
                <w:rFonts w:cs="Times New Roman"/>
                <w:bCs/>
              </w:rPr>
              <w:t>Average Burden per Response (in hours)</w:t>
            </w:r>
          </w:p>
        </w:tc>
        <w:tc>
          <w:tcPr>
            <w:tcW w:w="1067" w:type="dxa"/>
          </w:tcPr>
          <w:p w:rsidR="00E02432" w:rsidRPr="00E02432" w:rsidP="00604577" w14:paraId="02A00DB0" w14:textId="77777777">
            <w:pPr>
              <w:spacing w:line="276" w:lineRule="auto"/>
              <w:rPr>
                <w:rFonts w:cs="Times New Roman"/>
                <w:bCs/>
              </w:rPr>
            </w:pPr>
            <w:r w:rsidRPr="00E02432">
              <w:rPr>
                <w:rFonts w:cs="Times New Roman"/>
                <w:bCs/>
              </w:rPr>
              <w:t>Total Burden Hours</w:t>
            </w:r>
          </w:p>
        </w:tc>
      </w:tr>
      <w:tr w14:paraId="0798C35B" w14:textId="77777777" w:rsidTr="00500586">
        <w:tblPrEx>
          <w:tblW w:w="10063" w:type="dxa"/>
          <w:jc w:val="center"/>
          <w:tblLook w:val="04A0"/>
        </w:tblPrEx>
        <w:trPr>
          <w:trHeight w:val="154"/>
          <w:jc w:val="center"/>
        </w:trPr>
        <w:tc>
          <w:tcPr>
            <w:tcW w:w="1919" w:type="dxa"/>
          </w:tcPr>
          <w:p w:rsidR="00E02432" w:rsidRPr="00E02432" w:rsidP="00604577" w14:paraId="301EFECC" w14:textId="77777777">
            <w:pPr>
              <w:spacing w:line="276" w:lineRule="auto"/>
              <w:rPr>
                <w:rFonts w:cs="Times New Roman"/>
                <w:bCs/>
              </w:rPr>
            </w:pPr>
            <w:r w:rsidRPr="00E02432">
              <w:rPr>
                <w:rFonts w:cs="Times New Roman"/>
                <w:bCs/>
              </w:rPr>
              <w:t>State/Local Health department staff</w:t>
            </w:r>
          </w:p>
        </w:tc>
        <w:tc>
          <w:tcPr>
            <w:tcW w:w="2605" w:type="dxa"/>
          </w:tcPr>
          <w:p w:rsidR="00E02432" w:rsidRPr="00E02432" w:rsidP="00604577" w14:paraId="3021A776" w14:textId="77777777">
            <w:pPr>
              <w:spacing w:line="276" w:lineRule="auto"/>
              <w:rPr>
                <w:rFonts w:cs="Times New Roman"/>
                <w:bCs/>
              </w:rPr>
            </w:pPr>
            <w:r w:rsidRPr="00E02432">
              <w:rPr>
                <w:rFonts w:cs="Times New Roman"/>
                <w:bCs/>
              </w:rPr>
              <w:t>Form 1</w:t>
            </w:r>
          </w:p>
          <w:p w:rsidR="00E02432" w:rsidRPr="00E02432" w:rsidP="00604577" w14:paraId="16221B0F" w14:textId="77777777">
            <w:pPr>
              <w:spacing w:line="276" w:lineRule="auto"/>
              <w:rPr>
                <w:rFonts w:cs="Times New Roman"/>
                <w:bCs/>
              </w:rPr>
            </w:pPr>
            <w:r w:rsidRPr="00E02432">
              <w:rPr>
                <w:rFonts w:cs="Times New Roman"/>
                <w:bCs/>
              </w:rPr>
              <w:t>Medical Tourism Case Intake Form (Part B-</w:t>
            </w:r>
            <w:r w:rsidRPr="00E02432">
              <w:rPr>
                <w:rFonts w:cs="Times New Roman"/>
                <w:bCs/>
              </w:rPr>
              <w:t>Medical Chart Abstraction)</w:t>
            </w:r>
          </w:p>
        </w:tc>
        <w:tc>
          <w:tcPr>
            <w:tcW w:w="1591" w:type="dxa"/>
          </w:tcPr>
          <w:p w:rsidR="00E02432" w:rsidRPr="00E02432" w:rsidP="00604577" w14:paraId="3574C2FA" w14:textId="77777777">
            <w:pPr>
              <w:spacing w:line="276" w:lineRule="auto"/>
              <w:rPr>
                <w:rFonts w:cs="Times New Roman"/>
                <w:bCs/>
              </w:rPr>
            </w:pPr>
            <w:r w:rsidRPr="00E02432">
              <w:rPr>
                <w:rFonts w:cs="Times New Roman"/>
                <w:bCs/>
              </w:rPr>
              <w:t xml:space="preserve">50 </w:t>
            </w:r>
          </w:p>
        </w:tc>
        <w:tc>
          <w:tcPr>
            <w:tcW w:w="1354" w:type="dxa"/>
          </w:tcPr>
          <w:p w:rsidR="00E02432" w:rsidRPr="00E02432" w:rsidP="00604577" w14:paraId="5B68B0F5" w14:textId="77777777">
            <w:pPr>
              <w:spacing w:line="276" w:lineRule="auto"/>
              <w:rPr>
                <w:rFonts w:cs="Times New Roman"/>
                <w:bCs/>
              </w:rPr>
            </w:pPr>
            <w:r w:rsidRPr="00E02432">
              <w:rPr>
                <w:rFonts w:cs="Times New Roman"/>
                <w:bCs/>
              </w:rPr>
              <w:t xml:space="preserve">15 </w:t>
            </w:r>
          </w:p>
        </w:tc>
        <w:tc>
          <w:tcPr>
            <w:tcW w:w="1527" w:type="dxa"/>
          </w:tcPr>
          <w:p w:rsidR="00E02432" w:rsidRPr="00E02432" w:rsidP="00604577" w14:paraId="5A59936D" w14:textId="77777777">
            <w:pPr>
              <w:spacing w:line="276" w:lineRule="auto"/>
              <w:rPr>
                <w:rFonts w:cs="Times New Roman"/>
                <w:bCs/>
              </w:rPr>
            </w:pPr>
            <w:r w:rsidRPr="00E02432">
              <w:rPr>
                <w:rFonts w:cs="Times New Roman"/>
                <w:bCs/>
              </w:rPr>
              <w:t xml:space="preserve">5/60 </w:t>
            </w:r>
          </w:p>
        </w:tc>
        <w:tc>
          <w:tcPr>
            <w:tcW w:w="1067" w:type="dxa"/>
          </w:tcPr>
          <w:p w:rsidR="00E02432" w:rsidRPr="00E02432" w:rsidP="00604577" w14:paraId="39799012" w14:textId="77777777">
            <w:pPr>
              <w:spacing w:line="276" w:lineRule="auto"/>
              <w:rPr>
                <w:rFonts w:cs="Times New Roman"/>
                <w:bCs/>
              </w:rPr>
            </w:pPr>
            <w:r w:rsidRPr="00E02432">
              <w:rPr>
                <w:rFonts w:cs="Times New Roman"/>
                <w:bCs/>
              </w:rPr>
              <w:t>63</w:t>
            </w:r>
          </w:p>
        </w:tc>
      </w:tr>
      <w:tr w14:paraId="37C1C154" w14:textId="77777777" w:rsidTr="00500586">
        <w:tblPrEx>
          <w:tblW w:w="10063" w:type="dxa"/>
          <w:jc w:val="center"/>
          <w:tblLook w:val="04A0"/>
        </w:tblPrEx>
        <w:trPr>
          <w:trHeight w:val="154"/>
          <w:jc w:val="center"/>
        </w:trPr>
        <w:tc>
          <w:tcPr>
            <w:tcW w:w="1919" w:type="dxa"/>
          </w:tcPr>
          <w:p w:rsidR="00E02432" w:rsidRPr="00E02432" w:rsidP="00604577" w14:paraId="0A8B321C" w14:textId="77777777">
            <w:pPr>
              <w:spacing w:line="276" w:lineRule="auto"/>
              <w:rPr>
                <w:rFonts w:cs="Times New Roman"/>
                <w:bCs/>
              </w:rPr>
            </w:pPr>
            <w:r w:rsidRPr="00E02432">
              <w:rPr>
                <w:rFonts w:cs="Times New Roman"/>
                <w:bCs/>
              </w:rPr>
              <w:t>Ill persons who have experienced an adverse health outcome related to medical tourism</w:t>
            </w:r>
          </w:p>
          <w:p w:rsidR="00E02432" w:rsidRPr="00E02432" w:rsidP="00604577" w14:paraId="190E0A8E" w14:textId="77777777">
            <w:pPr>
              <w:spacing w:line="276" w:lineRule="auto"/>
              <w:rPr>
                <w:rFonts w:cs="Times New Roman"/>
                <w:bCs/>
              </w:rPr>
            </w:pPr>
          </w:p>
        </w:tc>
        <w:tc>
          <w:tcPr>
            <w:tcW w:w="2605" w:type="dxa"/>
          </w:tcPr>
          <w:p w:rsidR="00E02432" w:rsidRPr="00E02432" w:rsidP="00604577" w14:paraId="4AB7ADC5" w14:textId="77777777">
            <w:pPr>
              <w:spacing w:line="276" w:lineRule="auto"/>
              <w:rPr>
                <w:rFonts w:cs="Times New Roman"/>
                <w:bCs/>
              </w:rPr>
            </w:pPr>
            <w:r w:rsidRPr="00E02432">
              <w:rPr>
                <w:rFonts w:cs="Times New Roman"/>
                <w:bCs/>
              </w:rPr>
              <w:t>Form 1</w:t>
            </w:r>
          </w:p>
          <w:p w:rsidR="00E02432" w:rsidRPr="00E02432" w:rsidP="00604577" w14:paraId="039243A6" w14:textId="77777777">
            <w:pPr>
              <w:spacing w:line="276" w:lineRule="auto"/>
              <w:rPr>
                <w:rFonts w:cs="Times New Roman"/>
                <w:bCs/>
              </w:rPr>
            </w:pPr>
            <w:r w:rsidRPr="00E02432">
              <w:rPr>
                <w:rFonts w:cs="Times New Roman"/>
                <w:bCs/>
              </w:rPr>
              <w:t>Medical Tourism Case Intake Form (Part A-Interviews)</w:t>
            </w:r>
          </w:p>
        </w:tc>
        <w:tc>
          <w:tcPr>
            <w:tcW w:w="1591" w:type="dxa"/>
          </w:tcPr>
          <w:p w:rsidR="00E02432" w:rsidRPr="00E02432" w:rsidP="00604577" w14:paraId="1D39EC0F" w14:textId="77777777">
            <w:pPr>
              <w:spacing w:line="276" w:lineRule="auto"/>
              <w:rPr>
                <w:rFonts w:cs="Times New Roman"/>
                <w:bCs/>
              </w:rPr>
            </w:pPr>
            <w:r w:rsidRPr="00E02432">
              <w:rPr>
                <w:rFonts w:cs="Times New Roman"/>
                <w:bCs/>
              </w:rPr>
              <w:t>750</w:t>
            </w:r>
          </w:p>
        </w:tc>
        <w:tc>
          <w:tcPr>
            <w:tcW w:w="1354" w:type="dxa"/>
          </w:tcPr>
          <w:p w:rsidR="00E02432" w:rsidRPr="00E02432" w:rsidP="00604577" w14:paraId="5221AA21" w14:textId="77777777">
            <w:pPr>
              <w:spacing w:line="276" w:lineRule="auto"/>
              <w:rPr>
                <w:rFonts w:cs="Times New Roman"/>
                <w:bCs/>
              </w:rPr>
            </w:pPr>
            <w:r w:rsidRPr="00E02432">
              <w:rPr>
                <w:rFonts w:cs="Times New Roman"/>
                <w:bCs/>
              </w:rPr>
              <w:t>1</w:t>
            </w:r>
          </w:p>
        </w:tc>
        <w:tc>
          <w:tcPr>
            <w:tcW w:w="1527" w:type="dxa"/>
          </w:tcPr>
          <w:p w:rsidR="00E02432" w:rsidRPr="00E02432" w:rsidP="00604577" w14:paraId="7088940B" w14:textId="77777777">
            <w:pPr>
              <w:spacing w:line="276" w:lineRule="auto"/>
              <w:rPr>
                <w:rFonts w:cs="Times New Roman"/>
                <w:bCs/>
              </w:rPr>
            </w:pPr>
            <w:r w:rsidRPr="00E02432">
              <w:rPr>
                <w:rFonts w:cs="Times New Roman"/>
                <w:bCs/>
              </w:rPr>
              <w:t>10/60</w:t>
            </w:r>
          </w:p>
        </w:tc>
        <w:tc>
          <w:tcPr>
            <w:tcW w:w="1067" w:type="dxa"/>
          </w:tcPr>
          <w:p w:rsidR="00E02432" w:rsidRPr="00E02432" w:rsidP="00604577" w14:paraId="42A464F4" w14:textId="77777777">
            <w:pPr>
              <w:spacing w:line="276" w:lineRule="auto"/>
              <w:rPr>
                <w:rFonts w:cs="Times New Roman"/>
                <w:bCs/>
              </w:rPr>
            </w:pPr>
            <w:r w:rsidRPr="00E02432">
              <w:rPr>
                <w:rFonts w:cs="Times New Roman"/>
                <w:bCs/>
              </w:rPr>
              <w:t>125</w:t>
            </w:r>
          </w:p>
        </w:tc>
      </w:tr>
      <w:tr w14:paraId="7A906284" w14:textId="77777777" w:rsidTr="00500586">
        <w:tblPrEx>
          <w:tblW w:w="10063" w:type="dxa"/>
          <w:jc w:val="center"/>
          <w:tblLook w:val="04A0"/>
        </w:tblPrEx>
        <w:trPr>
          <w:trHeight w:val="154"/>
          <w:jc w:val="center"/>
        </w:trPr>
        <w:tc>
          <w:tcPr>
            <w:tcW w:w="1919" w:type="dxa"/>
          </w:tcPr>
          <w:p w:rsidR="00E02432" w:rsidRPr="00E02432" w:rsidP="00604577" w14:paraId="1F228172" w14:textId="77777777">
            <w:pPr>
              <w:spacing w:line="276" w:lineRule="auto"/>
              <w:rPr>
                <w:rFonts w:cs="Times New Roman"/>
                <w:bCs/>
              </w:rPr>
            </w:pPr>
            <w:r w:rsidRPr="00E02432">
              <w:rPr>
                <w:rFonts w:cs="Times New Roman"/>
                <w:bCs/>
              </w:rPr>
              <w:t>Ill persons who have experienced an adverse health outcome related to medical tourism</w:t>
            </w:r>
          </w:p>
          <w:p w:rsidR="00E02432" w:rsidRPr="00E02432" w:rsidP="00604577" w14:paraId="09CCA24C" w14:textId="77777777">
            <w:pPr>
              <w:spacing w:line="276" w:lineRule="auto"/>
              <w:rPr>
                <w:rFonts w:cs="Times New Roman"/>
                <w:bCs/>
              </w:rPr>
            </w:pPr>
          </w:p>
        </w:tc>
        <w:tc>
          <w:tcPr>
            <w:tcW w:w="2605" w:type="dxa"/>
          </w:tcPr>
          <w:p w:rsidR="00E02432" w:rsidRPr="00E02432" w:rsidP="00604577" w14:paraId="0A7AF3B6" w14:textId="77777777">
            <w:pPr>
              <w:spacing w:line="276" w:lineRule="auto"/>
              <w:rPr>
                <w:rFonts w:cs="Times New Roman"/>
                <w:bCs/>
              </w:rPr>
            </w:pPr>
            <w:r w:rsidRPr="00E02432">
              <w:rPr>
                <w:rFonts w:cs="Times New Roman"/>
                <w:bCs/>
              </w:rPr>
              <w:t>Form 2</w:t>
            </w:r>
          </w:p>
          <w:p w:rsidR="00E02432" w:rsidRPr="00E02432" w:rsidP="00604577" w14:paraId="29E44624" w14:textId="77777777">
            <w:pPr>
              <w:spacing w:line="276" w:lineRule="auto"/>
              <w:rPr>
                <w:rFonts w:cs="Times New Roman"/>
                <w:bCs/>
              </w:rPr>
            </w:pPr>
            <w:r w:rsidRPr="00E02432">
              <w:rPr>
                <w:rFonts w:cs="Times New Roman"/>
                <w:bCs/>
              </w:rPr>
              <w:t>Medical Tourism Enhanced Surveillance Form</w:t>
            </w:r>
          </w:p>
        </w:tc>
        <w:tc>
          <w:tcPr>
            <w:tcW w:w="1591" w:type="dxa"/>
          </w:tcPr>
          <w:p w:rsidR="00E02432" w:rsidRPr="00E02432" w:rsidP="00604577" w14:paraId="35638F52" w14:textId="77777777">
            <w:pPr>
              <w:spacing w:line="276" w:lineRule="auto"/>
              <w:rPr>
                <w:rFonts w:cs="Times New Roman"/>
                <w:bCs/>
              </w:rPr>
            </w:pPr>
            <w:r w:rsidRPr="00E02432">
              <w:rPr>
                <w:rFonts w:cs="Times New Roman"/>
                <w:bCs/>
              </w:rPr>
              <w:t xml:space="preserve">500 </w:t>
            </w:r>
          </w:p>
          <w:p w:rsidR="00E02432" w:rsidRPr="00E02432" w:rsidP="00604577" w14:paraId="477E1820" w14:textId="77777777">
            <w:pPr>
              <w:spacing w:line="276" w:lineRule="auto"/>
              <w:rPr>
                <w:rFonts w:cs="Times New Roman"/>
                <w:bCs/>
              </w:rPr>
            </w:pPr>
          </w:p>
        </w:tc>
        <w:tc>
          <w:tcPr>
            <w:tcW w:w="1354" w:type="dxa"/>
          </w:tcPr>
          <w:p w:rsidR="00E02432" w:rsidRPr="00E02432" w:rsidP="00604577" w14:paraId="4B706D93" w14:textId="77777777">
            <w:pPr>
              <w:spacing w:line="276" w:lineRule="auto"/>
              <w:rPr>
                <w:rFonts w:cs="Times New Roman"/>
                <w:bCs/>
              </w:rPr>
            </w:pPr>
            <w:r w:rsidRPr="00E02432">
              <w:rPr>
                <w:rFonts w:cs="Times New Roman"/>
                <w:bCs/>
              </w:rPr>
              <w:t xml:space="preserve">1 </w:t>
            </w:r>
          </w:p>
        </w:tc>
        <w:tc>
          <w:tcPr>
            <w:tcW w:w="1527" w:type="dxa"/>
          </w:tcPr>
          <w:p w:rsidR="00E02432" w:rsidRPr="00E02432" w:rsidP="00604577" w14:paraId="33287419" w14:textId="77777777">
            <w:pPr>
              <w:spacing w:line="276" w:lineRule="auto"/>
              <w:rPr>
                <w:rFonts w:cs="Times New Roman"/>
                <w:bCs/>
              </w:rPr>
            </w:pPr>
            <w:r w:rsidRPr="00E02432">
              <w:rPr>
                <w:rFonts w:cs="Times New Roman"/>
                <w:bCs/>
              </w:rPr>
              <w:t xml:space="preserve">0.5 </w:t>
            </w:r>
          </w:p>
        </w:tc>
        <w:tc>
          <w:tcPr>
            <w:tcW w:w="1067" w:type="dxa"/>
          </w:tcPr>
          <w:p w:rsidR="00E02432" w:rsidRPr="00E02432" w:rsidP="00604577" w14:paraId="31FAB8CD" w14:textId="77777777">
            <w:pPr>
              <w:spacing w:line="276" w:lineRule="auto"/>
              <w:rPr>
                <w:rFonts w:cs="Times New Roman"/>
                <w:bCs/>
              </w:rPr>
            </w:pPr>
            <w:r w:rsidRPr="00E02432">
              <w:rPr>
                <w:rFonts w:cs="Times New Roman"/>
                <w:bCs/>
              </w:rPr>
              <w:t xml:space="preserve">250 </w:t>
            </w:r>
          </w:p>
        </w:tc>
      </w:tr>
      <w:tr w14:paraId="68369F6A" w14:textId="77777777" w:rsidTr="00500586">
        <w:tblPrEx>
          <w:tblW w:w="10063" w:type="dxa"/>
          <w:jc w:val="center"/>
          <w:tblLook w:val="04A0"/>
        </w:tblPrEx>
        <w:trPr>
          <w:trHeight w:val="154"/>
          <w:jc w:val="center"/>
        </w:trPr>
        <w:tc>
          <w:tcPr>
            <w:tcW w:w="1919" w:type="dxa"/>
          </w:tcPr>
          <w:p w:rsidR="00E02432" w:rsidRPr="00E02432" w:rsidP="00604577" w14:paraId="10205E30" w14:textId="77777777">
            <w:pPr>
              <w:spacing w:line="276" w:lineRule="auto"/>
              <w:rPr>
                <w:rFonts w:cs="Times New Roman"/>
                <w:bCs/>
              </w:rPr>
            </w:pPr>
            <w:r w:rsidRPr="00E02432">
              <w:rPr>
                <w:rFonts w:cs="Times New Roman"/>
                <w:bCs/>
              </w:rPr>
              <w:t>TOTAL</w:t>
            </w:r>
          </w:p>
        </w:tc>
        <w:tc>
          <w:tcPr>
            <w:tcW w:w="7077" w:type="dxa"/>
            <w:gridSpan w:val="4"/>
          </w:tcPr>
          <w:p w:rsidR="00E02432" w:rsidRPr="00E02432" w:rsidP="00604577" w14:paraId="44CA1135" w14:textId="77777777">
            <w:pPr>
              <w:spacing w:line="276" w:lineRule="auto"/>
              <w:rPr>
                <w:rFonts w:cs="Times New Roman"/>
                <w:bCs/>
              </w:rPr>
            </w:pPr>
          </w:p>
        </w:tc>
        <w:tc>
          <w:tcPr>
            <w:tcW w:w="1067" w:type="dxa"/>
          </w:tcPr>
          <w:p w:rsidR="00E02432" w:rsidRPr="00E02432" w:rsidP="00604577" w14:paraId="1702F9D2" w14:textId="77777777">
            <w:pPr>
              <w:spacing w:line="276" w:lineRule="auto"/>
              <w:rPr>
                <w:rFonts w:cs="Times New Roman"/>
                <w:bCs/>
              </w:rPr>
            </w:pPr>
            <w:r w:rsidRPr="00E02432">
              <w:rPr>
                <w:rFonts w:cs="Times New Roman"/>
                <w:bCs/>
              </w:rPr>
              <w:t>438</w:t>
            </w:r>
          </w:p>
        </w:tc>
      </w:tr>
    </w:tbl>
    <w:p w:rsidR="00E02432" w:rsidP="004A13E8" w14:paraId="1E5691A6" w14:textId="77777777">
      <w:pPr>
        <w:rPr>
          <w:i/>
          <w:iCs/>
        </w:rPr>
      </w:pPr>
    </w:p>
    <w:p w:rsidR="00E02432" w:rsidP="004A13E8" w14:paraId="3660141B" w14:textId="77777777">
      <w:pPr>
        <w:rPr>
          <w:i/>
          <w:iCs/>
        </w:rPr>
      </w:pPr>
    </w:p>
    <w:p w:rsidR="00E02432" w:rsidRPr="00E02432" w:rsidP="004A13E8" w14:paraId="7DE7FD92" w14:textId="77777777">
      <w:pPr>
        <w:rPr>
          <w:i/>
          <w:iCs/>
        </w:rPr>
      </w:pPr>
    </w:p>
    <w:p w:rsidR="00C553B7" w:rsidP="004A13E8" w14:paraId="505C920E" w14:textId="20E63586">
      <w:pPr>
        <w:spacing w:before="240"/>
      </w:pPr>
      <w:r>
        <w:t>B.</w:t>
      </w:r>
      <w:r>
        <w:t xml:space="preserve"> Estimated Annualized Burden Costs</w:t>
      </w:r>
      <w:r w:rsidR="009B0947">
        <w:t xml:space="preserve"> </w:t>
      </w:r>
    </w:p>
    <w:p w:rsidR="004A13E8" w:rsidP="004A13E8" w14:paraId="55FE17EC" w14:textId="3E49CCFD">
      <w:pPr>
        <w:spacing w:before="240"/>
      </w:pPr>
    </w:p>
    <w:tbl>
      <w:tblPr>
        <w:tblStyle w:val="TableGrid"/>
        <w:tblW w:w="10132" w:type="dxa"/>
        <w:tblLook w:val="04A0"/>
      </w:tblPr>
      <w:tblGrid>
        <w:gridCol w:w="2026"/>
        <w:gridCol w:w="2026"/>
        <w:gridCol w:w="2026"/>
        <w:gridCol w:w="2028"/>
        <w:gridCol w:w="2026"/>
      </w:tblGrid>
      <w:tr w14:paraId="55FE17F2" w14:textId="77777777" w:rsidTr="00E31DD8">
        <w:tblPrEx>
          <w:tblW w:w="10132" w:type="dxa"/>
          <w:tblLook w:val="04A0"/>
        </w:tblPrEx>
        <w:trPr>
          <w:trHeight w:val="837"/>
        </w:trPr>
        <w:tc>
          <w:tcPr>
            <w:tcW w:w="2026" w:type="dxa"/>
          </w:tcPr>
          <w:p w:rsidR="004A13E8" w:rsidP="00612C0A" w14:paraId="55FE17ED" w14:textId="77777777">
            <w:r>
              <w:t>Type of Respondent</w:t>
            </w:r>
          </w:p>
        </w:tc>
        <w:tc>
          <w:tcPr>
            <w:tcW w:w="2026" w:type="dxa"/>
          </w:tcPr>
          <w:p w:rsidR="004A13E8" w:rsidP="00612C0A" w14:paraId="55FE17EE" w14:textId="77777777">
            <w:r>
              <w:t>Form Name</w:t>
            </w:r>
          </w:p>
        </w:tc>
        <w:tc>
          <w:tcPr>
            <w:tcW w:w="2026" w:type="dxa"/>
          </w:tcPr>
          <w:p w:rsidR="004A13E8" w:rsidP="00612C0A" w14:paraId="55FE17EF" w14:textId="77777777">
            <w:r>
              <w:t>Total Burden Hours</w:t>
            </w:r>
          </w:p>
        </w:tc>
        <w:tc>
          <w:tcPr>
            <w:tcW w:w="2028" w:type="dxa"/>
          </w:tcPr>
          <w:p w:rsidR="004A13E8" w:rsidP="00612C0A" w14:paraId="55FE17F0" w14:textId="77777777">
            <w:r>
              <w:t>Hourly Wage Rate</w:t>
            </w:r>
          </w:p>
        </w:tc>
        <w:tc>
          <w:tcPr>
            <w:tcW w:w="2026" w:type="dxa"/>
          </w:tcPr>
          <w:p w:rsidR="004A13E8" w:rsidP="00612C0A" w14:paraId="55FE17F1" w14:textId="77777777">
            <w:r>
              <w:t>Total Respondent Costs</w:t>
            </w:r>
          </w:p>
        </w:tc>
      </w:tr>
      <w:tr w14:paraId="55FE17F8" w14:textId="77777777" w:rsidTr="00E31DD8">
        <w:tblPrEx>
          <w:tblW w:w="10132" w:type="dxa"/>
          <w:tblLook w:val="04A0"/>
        </w:tblPrEx>
        <w:trPr>
          <w:trHeight w:val="860"/>
        </w:trPr>
        <w:tc>
          <w:tcPr>
            <w:tcW w:w="2026" w:type="dxa"/>
          </w:tcPr>
          <w:p w:rsidR="004A13E8" w:rsidP="00612C0A" w14:paraId="55FE17F3" w14:textId="0A0C4A57">
            <w:r w:rsidRPr="00E02432">
              <w:rPr>
                <w:rFonts w:cs="Times New Roman"/>
                <w:bCs/>
              </w:rPr>
              <w:t>State/Local Health department staff</w:t>
            </w:r>
          </w:p>
        </w:tc>
        <w:tc>
          <w:tcPr>
            <w:tcW w:w="2026" w:type="dxa"/>
          </w:tcPr>
          <w:p w:rsidR="00114653" w:rsidRPr="00E02432" w:rsidP="00114653" w14:paraId="71E84E17" w14:textId="77777777">
            <w:pPr>
              <w:spacing w:line="276" w:lineRule="auto"/>
              <w:rPr>
                <w:rFonts w:cs="Times New Roman"/>
                <w:bCs/>
              </w:rPr>
            </w:pPr>
            <w:r w:rsidRPr="00E02432">
              <w:rPr>
                <w:rFonts w:cs="Times New Roman"/>
                <w:bCs/>
              </w:rPr>
              <w:t>Form 1</w:t>
            </w:r>
          </w:p>
          <w:p w:rsidR="004A13E8" w:rsidP="00114653" w14:paraId="55FE17F4" w14:textId="7808BD51">
            <w:r w:rsidRPr="00E02432">
              <w:rPr>
                <w:rFonts w:cs="Times New Roman"/>
                <w:bCs/>
              </w:rPr>
              <w:t>Medical Tourism Case Intake Form (Part B-Medical Chart Abstraction)</w:t>
            </w:r>
          </w:p>
        </w:tc>
        <w:tc>
          <w:tcPr>
            <w:tcW w:w="2026" w:type="dxa"/>
          </w:tcPr>
          <w:p w:rsidR="004A13E8" w:rsidP="00612C0A" w14:paraId="55FE17F5" w14:textId="1564A066">
            <w:r>
              <w:t>63</w:t>
            </w:r>
          </w:p>
        </w:tc>
        <w:tc>
          <w:tcPr>
            <w:tcW w:w="2028" w:type="dxa"/>
          </w:tcPr>
          <w:p w:rsidR="004A13E8" w:rsidP="00612C0A" w14:paraId="55FE17F6" w14:textId="3049C96C">
            <w:r>
              <w:t xml:space="preserve"> </w:t>
            </w:r>
            <w:r w:rsidR="00AF0F75">
              <w:t>$</w:t>
            </w:r>
            <w:r>
              <w:t>39.13*</w:t>
            </w:r>
          </w:p>
        </w:tc>
        <w:tc>
          <w:tcPr>
            <w:tcW w:w="2026" w:type="dxa"/>
          </w:tcPr>
          <w:p w:rsidR="004A13E8" w:rsidP="00612C0A" w14:paraId="55FE17F7" w14:textId="3BB47FDB">
            <w:r>
              <w:t>$2,465.19</w:t>
            </w:r>
          </w:p>
        </w:tc>
      </w:tr>
      <w:tr w14:paraId="4684E990" w14:textId="77777777" w:rsidTr="00E31DD8">
        <w:tblPrEx>
          <w:tblW w:w="10132" w:type="dxa"/>
          <w:tblLook w:val="04A0"/>
        </w:tblPrEx>
        <w:trPr>
          <w:trHeight w:val="418"/>
        </w:trPr>
        <w:tc>
          <w:tcPr>
            <w:tcW w:w="2026" w:type="dxa"/>
          </w:tcPr>
          <w:p w:rsidR="00410A24" w:rsidRPr="00E02432" w:rsidP="00410A24" w14:paraId="072D111B" w14:textId="77777777">
            <w:pPr>
              <w:spacing w:line="276" w:lineRule="auto"/>
              <w:rPr>
                <w:rFonts w:cs="Times New Roman"/>
                <w:bCs/>
              </w:rPr>
            </w:pPr>
            <w:r w:rsidRPr="00E02432">
              <w:rPr>
                <w:rFonts w:cs="Times New Roman"/>
                <w:bCs/>
              </w:rPr>
              <w:t>Ill persons who have experienced an adverse health outcome related to medical tourism</w:t>
            </w:r>
          </w:p>
          <w:p w:rsidR="009E5ADD" w:rsidP="00612C0A" w14:paraId="6D23871B" w14:textId="19C100F7"/>
        </w:tc>
        <w:tc>
          <w:tcPr>
            <w:tcW w:w="2026" w:type="dxa"/>
          </w:tcPr>
          <w:p w:rsidR="00114653" w:rsidRPr="00E02432" w:rsidP="00114653" w14:paraId="17EFB4EC" w14:textId="77777777">
            <w:pPr>
              <w:spacing w:line="276" w:lineRule="auto"/>
              <w:rPr>
                <w:rFonts w:cs="Times New Roman"/>
                <w:bCs/>
              </w:rPr>
            </w:pPr>
            <w:r w:rsidRPr="00E02432">
              <w:rPr>
                <w:rFonts w:cs="Times New Roman"/>
                <w:bCs/>
              </w:rPr>
              <w:t>Form 1</w:t>
            </w:r>
          </w:p>
          <w:p w:rsidR="009E5ADD" w:rsidP="00114653" w14:paraId="07031870" w14:textId="61FC7369">
            <w:r w:rsidRPr="00E02432">
              <w:rPr>
                <w:rFonts w:cs="Times New Roman"/>
                <w:bCs/>
              </w:rPr>
              <w:t>Medical Tourism Case Intake Form (Part A-Interviews)</w:t>
            </w:r>
          </w:p>
        </w:tc>
        <w:tc>
          <w:tcPr>
            <w:tcW w:w="2026" w:type="dxa"/>
          </w:tcPr>
          <w:p w:rsidR="009E5ADD" w:rsidP="00612C0A" w14:paraId="1CCD3D75" w14:textId="437F4EA1">
            <w:r>
              <w:t>125</w:t>
            </w:r>
          </w:p>
        </w:tc>
        <w:tc>
          <w:tcPr>
            <w:tcW w:w="2028" w:type="dxa"/>
          </w:tcPr>
          <w:p w:rsidR="009E5ADD" w:rsidP="00612C0A" w14:paraId="08BB70E6" w14:textId="1C4EB735">
            <w:r>
              <w:t>$</w:t>
            </w:r>
            <w:r w:rsidR="006C0147">
              <w:t>21</w:t>
            </w:r>
            <w:r w:rsidR="00114653">
              <w:t>.</w:t>
            </w:r>
            <w:r w:rsidR="006C0147">
              <w:t>39</w:t>
            </w:r>
            <w:r w:rsidR="00114653">
              <w:t>*</w:t>
            </w:r>
            <w:r w:rsidR="00414801">
              <w:t>*</w:t>
            </w:r>
          </w:p>
        </w:tc>
        <w:tc>
          <w:tcPr>
            <w:tcW w:w="2026" w:type="dxa"/>
          </w:tcPr>
          <w:p w:rsidR="009E5ADD" w:rsidP="00612C0A" w14:paraId="19E6CE4C" w14:textId="24454A8F">
            <w:r>
              <w:t>$</w:t>
            </w:r>
            <w:r w:rsidR="002B06C6">
              <w:t>2,673.75</w:t>
            </w:r>
          </w:p>
        </w:tc>
      </w:tr>
      <w:tr w14:paraId="2B5C59CA" w14:textId="77777777" w:rsidTr="00E31DD8">
        <w:tblPrEx>
          <w:tblW w:w="10132" w:type="dxa"/>
          <w:tblLook w:val="04A0"/>
        </w:tblPrEx>
        <w:trPr>
          <w:trHeight w:val="418"/>
        </w:trPr>
        <w:tc>
          <w:tcPr>
            <w:tcW w:w="2026" w:type="dxa"/>
          </w:tcPr>
          <w:p w:rsidR="00410A24" w:rsidRPr="00E02432" w:rsidP="00410A24" w14:paraId="30801B0D" w14:textId="77777777">
            <w:pPr>
              <w:spacing w:line="276" w:lineRule="auto"/>
              <w:rPr>
                <w:rFonts w:cs="Times New Roman"/>
                <w:bCs/>
              </w:rPr>
            </w:pPr>
            <w:r w:rsidRPr="00E02432">
              <w:rPr>
                <w:rFonts w:cs="Times New Roman"/>
                <w:bCs/>
              </w:rPr>
              <w:t>Ill persons who have experienced an adverse health outcome related to medical tourism</w:t>
            </w:r>
          </w:p>
          <w:p w:rsidR="00114653" w:rsidRPr="00E02432" w:rsidP="00612C0A" w14:paraId="612C3787" w14:textId="12D73DEE">
            <w:pPr>
              <w:rPr>
                <w:rFonts w:cs="Times New Roman"/>
                <w:bCs/>
              </w:rPr>
            </w:pPr>
          </w:p>
        </w:tc>
        <w:tc>
          <w:tcPr>
            <w:tcW w:w="2026" w:type="dxa"/>
          </w:tcPr>
          <w:p w:rsidR="00114653" w:rsidRPr="00E02432" w:rsidP="00114653" w14:paraId="785B1EA4" w14:textId="07ADA215">
            <w:pPr>
              <w:rPr>
                <w:rFonts w:cs="Times New Roman"/>
                <w:bCs/>
              </w:rPr>
            </w:pPr>
            <w:r>
              <w:rPr>
                <w:rFonts w:cs="Times New Roman"/>
                <w:bCs/>
              </w:rPr>
              <w:t>Form 2 Medical Tourism Enhanced Surveillance Form</w:t>
            </w:r>
          </w:p>
        </w:tc>
        <w:tc>
          <w:tcPr>
            <w:tcW w:w="2026" w:type="dxa"/>
          </w:tcPr>
          <w:p w:rsidR="00114653" w:rsidP="00612C0A" w14:paraId="5AB3694B" w14:textId="24F2D502">
            <w:r>
              <w:t>250</w:t>
            </w:r>
          </w:p>
        </w:tc>
        <w:tc>
          <w:tcPr>
            <w:tcW w:w="2028" w:type="dxa"/>
          </w:tcPr>
          <w:p w:rsidR="00114653" w:rsidP="00612C0A" w14:paraId="2FDB5BDB" w14:textId="792C008F">
            <w:r>
              <w:t>$</w:t>
            </w:r>
            <w:r w:rsidR="006C0147">
              <w:t>21.39</w:t>
            </w:r>
            <w:r>
              <w:t>*</w:t>
            </w:r>
            <w:r w:rsidR="00414801">
              <w:t>*</w:t>
            </w:r>
          </w:p>
        </w:tc>
        <w:tc>
          <w:tcPr>
            <w:tcW w:w="2026" w:type="dxa"/>
          </w:tcPr>
          <w:p w:rsidR="00114653" w:rsidP="00612C0A" w14:paraId="0D5FB2D5" w14:textId="09B29668">
            <w:r>
              <w:t>$</w:t>
            </w:r>
            <w:r w:rsidR="002B06C6">
              <w:t>5,347.50</w:t>
            </w:r>
          </w:p>
        </w:tc>
      </w:tr>
      <w:tr w14:paraId="55FE17FC" w14:textId="77777777" w:rsidTr="00E31DD8">
        <w:tblPrEx>
          <w:tblW w:w="10132" w:type="dxa"/>
          <w:tblLook w:val="04A0"/>
        </w:tblPrEx>
        <w:trPr>
          <w:trHeight w:val="418"/>
        </w:trPr>
        <w:tc>
          <w:tcPr>
            <w:tcW w:w="2026" w:type="dxa"/>
          </w:tcPr>
          <w:p w:rsidR="004A13E8" w:rsidRPr="00DC08D0" w:rsidP="00612C0A" w14:paraId="55FE17F9" w14:textId="77777777">
            <w:pPr>
              <w:rPr>
                <w:b/>
              </w:rPr>
            </w:pPr>
            <w:r>
              <w:rPr>
                <w:b/>
              </w:rPr>
              <w:t>Total</w:t>
            </w:r>
          </w:p>
        </w:tc>
        <w:tc>
          <w:tcPr>
            <w:tcW w:w="6080" w:type="dxa"/>
            <w:gridSpan w:val="3"/>
          </w:tcPr>
          <w:p w:rsidR="004A13E8" w:rsidP="00612C0A" w14:paraId="55FE17FA" w14:textId="77777777"/>
        </w:tc>
        <w:tc>
          <w:tcPr>
            <w:tcW w:w="2026" w:type="dxa"/>
          </w:tcPr>
          <w:p w:rsidR="004A13E8" w:rsidP="00612C0A" w14:paraId="55FE17FB" w14:textId="451DFA42">
            <w:r>
              <w:t>$</w:t>
            </w:r>
            <w:r w:rsidR="002B06C6">
              <w:t>10,486.44</w:t>
            </w:r>
          </w:p>
        </w:tc>
      </w:tr>
    </w:tbl>
    <w:p w:rsidR="00E31DD8" w:rsidP="00E31DD8" w14:paraId="28DA89F0" w14:textId="06CD24DD">
      <w:bookmarkStart w:id="18" w:name="_Toc473880029"/>
      <w:r w:rsidRPr="00E31DD8">
        <w:t>*</w:t>
      </w:r>
      <w:r>
        <w:t xml:space="preserve">National 50% (median) percentile estimate for epidemiologists, Department of Labor Occupational Employment and Wages, May 2023. </w:t>
      </w:r>
      <w:hyperlink r:id="rId9" w:history="1">
        <w:r w:rsidRPr="0093775F" w:rsidR="00414801">
          <w:rPr>
            <w:rStyle w:val="Hyperlink"/>
          </w:rPr>
          <w:t>https://www.bls.gov/oes/current/oes191041.htm</w:t>
        </w:r>
      </w:hyperlink>
    </w:p>
    <w:p w:rsidR="00414801" w:rsidRPr="00E31DD8" w:rsidP="00E31DD8" w14:paraId="6CC6141E" w14:textId="5BA54430">
      <w:r>
        <w:t>**</w:t>
      </w:r>
      <w:r w:rsidR="006C0147">
        <w:t xml:space="preserve">National 50% (median) percentile estimate for office and administrative support occupations, Department of Labor Occupational Employment and Wages, May 2023. </w:t>
      </w:r>
      <w:r w:rsidRPr="006C0147" w:rsidR="006C0147">
        <w:t>https://www.bls.gov/oes/current/oes430000.htm</w:t>
      </w:r>
    </w:p>
    <w:p w:rsidR="00E31DD8" w:rsidP="00E31DD8" w14:paraId="3345318E" w14:textId="77777777"/>
    <w:p w:rsidR="00E31DD8" w:rsidRPr="00E31DD8" w:rsidP="00E31DD8" w14:paraId="00D631C7" w14:textId="77777777"/>
    <w:p w:rsidR="004A13E8" w:rsidP="00D27CA4" w14:paraId="55FE17FE" w14:textId="04C5870C">
      <w:pPr>
        <w:pStyle w:val="Heading1"/>
        <w:numPr>
          <w:ilvl w:val="0"/>
          <w:numId w:val="11"/>
        </w:numPr>
        <w:spacing w:before="240"/>
      </w:pPr>
      <w:r>
        <w:t>Estimates of Other Total Annual Cost Burden to Respondents or Record Keepers</w:t>
      </w:r>
      <w:bookmarkEnd w:id="18"/>
    </w:p>
    <w:p w:rsidR="00AF0F75" w:rsidRPr="00EA1C24" w:rsidP="004A13E8" w14:paraId="204AEB3C" w14:textId="03DAED04">
      <w:r w:rsidRPr="00EA1C24">
        <w:t>There are no costs to respondents other than their time to participate</w:t>
      </w:r>
      <w:r w:rsidRPr="00EA1C24" w:rsidR="00AC4306">
        <w:t>.</w:t>
      </w:r>
    </w:p>
    <w:p w:rsidR="004A13E8" w:rsidP="004A13E8" w14:paraId="55FE1801" w14:textId="77777777">
      <w:pPr>
        <w:pStyle w:val="Heading1"/>
      </w:pPr>
      <w:bookmarkStart w:id="19" w:name="_Toc473880030"/>
      <w:r>
        <w:t>Annualized Cost to the Government</w:t>
      </w:r>
      <w:bookmarkEnd w:id="19"/>
    </w:p>
    <w:p w:rsidR="00B7606D" w:rsidP="00FE0398" w14:paraId="75D43C10" w14:textId="6C2A4F6C"/>
    <w:p w:rsidR="0019023F" w:rsidP="00FE0398" w14:paraId="76C8105A" w14:textId="46D85F7E">
      <w:r w:rsidRPr="007D201F">
        <w:t>We anticipate staff resources to be minimal, as the system will be integrated with systems and tools already provided by CDC, especially compared to the amount of time and level of effort staff are putting into responding to current medical tourism outbreaks without any informatic support.</w:t>
      </w:r>
    </w:p>
    <w:tbl>
      <w:tblPr>
        <w:tblW w:w="942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55"/>
        <w:gridCol w:w="1770"/>
        <w:gridCol w:w="1830"/>
        <w:gridCol w:w="1665"/>
      </w:tblGrid>
      <w:tr w14:paraId="146F8954" w14:textId="77777777" w:rsidTr="004C2E54">
        <w:tblPrEx>
          <w:tblW w:w="942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85"/>
        </w:trPr>
        <w:tc>
          <w:tcPr>
            <w:tcW w:w="415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D201F" w:rsidRPr="004427C8" w:rsidP="0091085C" w14:paraId="7D1BFDC0" w14:textId="3F61F574">
            <w:pPr>
              <w:jc w:val="center"/>
              <w:textAlignment w:val="baseline"/>
              <w:rPr>
                <w:rFonts w:ascii="Segoe UI" w:hAnsi="Segoe UI" w:cs="Segoe UI"/>
                <w:sz w:val="18"/>
                <w:szCs w:val="18"/>
              </w:rPr>
            </w:pPr>
            <w:r w:rsidRPr="004427C8">
              <w:rPr>
                <w:b/>
                <w:bCs/>
                <w:szCs w:val="24"/>
              </w:rPr>
              <w:t>Staff (FTE)</w:t>
            </w:r>
          </w:p>
        </w:tc>
        <w:tc>
          <w:tcPr>
            <w:tcW w:w="177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D201F" w:rsidRPr="004427C8" w:rsidP="0091085C" w14:paraId="35E2A091" w14:textId="63737D7C">
            <w:pPr>
              <w:jc w:val="center"/>
              <w:textAlignment w:val="baseline"/>
              <w:rPr>
                <w:rFonts w:ascii="Segoe UI" w:hAnsi="Segoe UI" w:cs="Segoe UI"/>
                <w:sz w:val="18"/>
                <w:szCs w:val="18"/>
              </w:rPr>
            </w:pPr>
            <w:r w:rsidRPr="004427C8">
              <w:rPr>
                <w:b/>
                <w:bCs/>
                <w:szCs w:val="24"/>
              </w:rPr>
              <w:t xml:space="preserve">Average Hours </w:t>
            </w:r>
          </w:p>
        </w:tc>
        <w:tc>
          <w:tcPr>
            <w:tcW w:w="18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D201F" w:rsidRPr="004427C8" w:rsidP="0091085C" w14:paraId="5236B138" w14:textId="77777777">
            <w:pPr>
              <w:jc w:val="center"/>
              <w:textAlignment w:val="baseline"/>
              <w:rPr>
                <w:rFonts w:ascii="Segoe UI" w:hAnsi="Segoe UI" w:cs="Segoe UI"/>
                <w:sz w:val="18"/>
                <w:szCs w:val="18"/>
              </w:rPr>
            </w:pPr>
            <w:r w:rsidRPr="004427C8">
              <w:rPr>
                <w:b/>
                <w:bCs/>
                <w:szCs w:val="24"/>
              </w:rPr>
              <w:t>Average Hourly Rate</w:t>
            </w:r>
            <w:r w:rsidRPr="004427C8">
              <w:rPr>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D201F" w:rsidRPr="004427C8" w:rsidP="0091085C" w14:paraId="17398351" w14:textId="77777777">
            <w:pPr>
              <w:jc w:val="center"/>
              <w:textAlignment w:val="baseline"/>
              <w:rPr>
                <w:rFonts w:ascii="Segoe UI" w:hAnsi="Segoe UI" w:cs="Segoe UI"/>
                <w:sz w:val="18"/>
                <w:szCs w:val="18"/>
              </w:rPr>
            </w:pPr>
            <w:r w:rsidRPr="004427C8">
              <w:rPr>
                <w:b/>
                <w:bCs/>
                <w:szCs w:val="24"/>
              </w:rPr>
              <w:t>Total Average Cost</w:t>
            </w:r>
            <w:r w:rsidRPr="004427C8">
              <w:rPr>
                <w:szCs w:val="24"/>
              </w:rPr>
              <w:t> </w:t>
            </w:r>
          </w:p>
        </w:tc>
      </w:tr>
      <w:tr w14:paraId="796FFF9D" w14:textId="77777777" w:rsidTr="004C2E54">
        <w:tblPrEx>
          <w:tblW w:w="9420" w:type="dxa"/>
          <w:tblInd w:w="-15" w:type="dxa"/>
          <w:tblCellMar>
            <w:left w:w="0" w:type="dxa"/>
            <w:right w:w="0" w:type="dxa"/>
          </w:tblCellMar>
          <w:tblLook w:val="04A0"/>
        </w:tblPrEx>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rsidR="007D201F" w:rsidRPr="004427C8" w:rsidP="0091085C" w14:paraId="15F41942" w14:textId="77777777">
            <w:pPr>
              <w:textAlignment w:val="baseline"/>
              <w:rPr>
                <w:rFonts w:ascii="Segoe UI" w:hAnsi="Segoe UI" w:cs="Segoe UI"/>
                <w:color w:val="1F497D"/>
                <w:sz w:val="18"/>
                <w:szCs w:val="18"/>
              </w:rPr>
            </w:pPr>
            <w:r w:rsidRPr="004427C8">
              <w:rPr>
                <w:b/>
                <w:bCs/>
                <w:szCs w:val="24"/>
              </w:rPr>
              <w:t>Epidemiologist – (GS-1</w:t>
            </w:r>
            <w:r>
              <w:rPr>
                <w:b/>
                <w:bCs/>
                <w:szCs w:val="24"/>
              </w:rPr>
              <w:t>2</w:t>
            </w:r>
            <w:r w:rsidRPr="004427C8">
              <w:rPr>
                <w:b/>
                <w:bCs/>
                <w:szCs w:val="24"/>
              </w:rPr>
              <w:t>);</w:t>
            </w:r>
            <w:r w:rsidRPr="004427C8">
              <w:rPr>
                <w:szCs w:val="24"/>
              </w:rPr>
              <w:t xml:space="preserve"> Epi project development and project management, data management, data analysis, publication, and dissemination of results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rsidR="007D201F" w:rsidRPr="004427C8" w:rsidP="0091085C" w14:paraId="5079C63A" w14:textId="77777777">
            <w:pPr>
              <w:jc w:val="center"/>
              <w:textAlignment w:val="baseline"/>
              <w:rPr>
                <w:rFonts w:ascii="Segoe UI" w:hAnsi="Segoe UI" w:cs="Segoe UI"/>
                <w:sz w:val="18"/>
                <w:szCs w:val="18"/>
              </w:rPr>
            </w:pPr>
            <w:r w:rsidRPr="004427C8">
              <w:rPr>
                <w:szCs w:val="24"/>
              </w:rPr>
              <w:t>200 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rsidR="007D201F" w:rsidRPr="004427C8" w:rsidP="0091085C" w14:paraId="6AB68352" w14:textId="3FDAA37C">
            <w:pPr>
              <w:jc w:val="center"/>
              <w:textAlignment w:val="baseline"/>
              <w:rPr>
                <w:rFonts w:ascii="Segoe UI" w:hAnsi="Segoe UI" w:cs="Segoe UI"/>
                <w:sz w:val="18"/>
                <w:szCs w:val="18"/>
              </w:rPr>
            </w:pPr>
            <w:r w:rsidRPr="004427C8">
              <w:rPr>
                <w:szCs w:val="24"/>
              </w:rPr>
              <w:t>$</w:t>
            </w:r>
            <w:r w:rsidR="00641A52">
              <w:rPr>
                <w:szCs w:val="24"/>
              </w:rPr>
              <w:t>44.90</w:t>
            </w:r>
            <w:r w:rsidRPr="004427C8">
              <w:rPr>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7D201F" w:rsidRPr="004427C8" w:rsidP="0091085C" w14:paraId="76D8E256" w14:textId="41BEA882">
            <w:pPr>
              <w:jc w:val="center"/>
              <w:textAlignment w:val="baseline"/>
              <w:rPr>
                <w:rFonts w:ascii="Segoe UI" w:hAnsi="Segoe UI" w:cs="Segoe UI"/>
                <w:sz w:val="18"/>
                <w:szCs w:val="18"/>
              </w:rPr>
            </w:pPr>
            <w:r w:rsidRPr="004427C8">
              <w:rPr>
                <w:szCs w:val="24"/>
              </w:rPr>
              <w:t>$8,</w:t>
            </w:r>
            <w:r w:rsidR="004C2E54">
              <w:rPr>
                <w:szCs w:val="24"/>
              </w:rPr>
              <w:t>980</w:t>
            </w:r>
            <w:r w:rsidRPr="004427C8">
              <w:rPr>
                <w:szCs w:val="24"/>
              </w:rPr>
              <w:t>.00 </w:t>
            </w:r>
          </w:p>
        </w:tc>
      </w:tr>
      <w:tr w14:paraId="73910148" w14:textId="77777777" w:rsidTr="004C2E54">
        <w:tblPrEx>
          <w:tblW w:w="9420" w:type="dxa"/>
          <w:tblInd w:w="-15" w:type="dxa"/>
          <w:tblCellMar>
            <w:left w:w="0" w:type="dxa"/>
            <w:right w:w="0" w:type="dxa"/>
          </w:tblCellMar>
          <w:tblLook w:val="04A0"/>
        </w:tblPrEx>
        <w:trPr>
          <w:trHeight w:val="330"/>
        </w:trPr>
        <w:tc>
          <w:tcPr>
            <w:tcW w:w="775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7D201F" w:rsidRPr="004427C8" w:rsidP="0091085C" w14:paraId="01E4043B" w14:textId="77777777">
            <w:pPr>
              <w:textAlignment w:val="baseline"/>
              <w:rPr>
                <w:rFonts w:ascii="Segoe UI" w:hAnsi="Segoe UI" w:cs="Segoe UI"/>
                <w:sz w:val="18"/>
                <w:szCs w:val="18"/>
              </w:rPr>
            </w:pPr>
            <w:r w:rsidRPr="004427C8">
              <w:rPr>
                <w:b/>
                <w:bCs/>
                <w:szCs w:val="24"/>
              </w:rPr>
              <w:t>Estimated Total Cost of Information Collection</w:t>
            </w:r>
            <w:r w:rsidRPr="004427C8">
              <w:rPr>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7D201F" w:rsidRPr="004427C8" w:rsidP="0091085C" w14:paraId="2382FF83" w14:textId="5F958403">
            <w:pPr>
              <w:jc w:val="center"/>
              <w:textAlignment w:val="baseline"/>
              <w:rPr>
                <w:rFonts w:ascii="Segoe UI" w:hAnsi="Segoe UI" w:cs="Segoe UI"/>
                <w:sz w:val="18"/>
                <w:szCs w:val="18"/>
              </w:rPr>
            </w:pPr>
            <w:r w:rsidRPr="004427C8">
              <w:rPr>
                <w:b/>
                <w:bCs/>
                <w:szCs w:val="24"/>
              </w:rPr>
              <w:t>$</w:t>
            </w:r>
            <w:r w:rsidR="004C2E54">
              <w:rPr>
                <w:b/>
                <w:bCs/>
                <w:szCs w:val="24"/>
              </w:rPr>
              <w:t>8,980</w:t>
            </w:r>
          </w:p>
        </w:tc>
      </w:tr>
    </w:tbl>
    <w:p w:rsidR="007D201F" w:rsidRPr="007D201F" w:rsidP="00FE0398" w14:paraId="2B693BD5" w14:textId="77777777"/>
    <w:p w:rsidR="004A13E8" w:rsidP="0025156B" w14:paraId="55FE1810" w14:textId="77777777">
      <w:pPr>
        <w:pStyle w:val="Heading1"/>
        <w:spacing w:before="240"/>
      </w:pPr>
      <w:bookmarkStart w:id="20" w:name="_Toc473880031"/>
      <w:r>
        <w:t>Explanation for Program Changes or Adjustments</w:t>
      </w:r>
      <w:bookmarkEnd w:id="20"/>
    </w:p>
    <w:p w:rsidR="00AC4306" w:rsidRPr="00500586" w:rsidP="004A13E8" w14:paraId="6867655B" w14:textId="703D21D1">
      <w:pPr>
        <w:rPr>
          <w:i/>
          <w:iCs/>
        </w:rPr>
      </w:pPr>
      <w:r w:rsidRPr="007034AB">
        <w:t>This is a new information collection.</w:t>
      </w:r>
    </w:p>
    <w:p w:rsidR="004A13E8" w:rsidP="004A13E8" w14:paraId="55FE1812" w14:textId="77777777">
      <w:pPr>
        <w:pStyle w:val="Heading1"/>
      </w:pPr>
      <w:bookmarkStart w:id="21" w:name="_Toc473880032"/>
      <w:r>
        <w:t>Plans for Tabulation and Publication and Project Time Schedule</w:t>
      </w:r>
      <w:bookmarkEnd w:id="21"/>
    </w:p>
    <w:p w:rsidR="00B7606D" w:rsidP="008F1415" w14:paraId="4649AEA9" w14:textId="54BAE078"/>
    <w:p w:rsidR="005364ED" w:rsidRPr="00202B92" w:rsidP="008F1415" w14:paraId="62C57E06" w14:textId="7F324338">
      <w:r w:rsidRPr="00202B92">
        <w:t>This will be a recurring data collection. Three years from the OMB approval date are requested.</w:t>
      </w:r>
      <w:r w:rsidRPr="00202B92" w:rsidR="00E66171">
        <w:t xml:space="preserve"> </w:t>
      </w:r>
      <w:r w:rsidRPr="00202B92" w:rsidR="00E66171">
        <w:rPr>
          <w:szCs w:val="24"/>
        </w:rPr>
        <w:t>Information will be shared with collaborators from DHQP for healthcare-associated infection/antimicrobial resistance investigations and public health surveillance. Other CDC programs may be informed as appropriate. Information collected may also be analyzed and disseminated in publications. Appropriate approvals will be obtained prior to any analyses.  A summary of findings will be posted on the THB Medical Tourism webpage annually.</w:t>
      </w:r>
    </w:p>
    <w:p w:rsidR="004A13E8" w:rsidP="0025156B" w14:paraId="55FE1826" w14:textId="77777777">
      <w:pPr>
        <w:pStyle w:val="Heading1"/>
        <w:spacing w:before="240"/>
      </w:pPr>
      <w:bookmarkStart w:id="22" w:name="_Toc473880033"/>
      <w:r>
        <w:t>Reason(s) Display of OMB Expiration Date is Inappropriate</w:t>
      </w:r>
      <w:bookmarkEnd w:id="22"/>
    </w:p>
    <w:p w:rsidR="004A13E8" w:rsidRPr="00500586" w:rsidP="004A13E8" w14:paraId="55FE1827" w14:textId="77777777">
      <w:pPr>
        <w:rPr>
          <w:i/>
          <w:iCs/>
        </w:rPr>
      </w:pPr>
      <w:r w:rsidRPr="002C723E">
        <w:t>The display of the OMB Expiration date is not inappropriate</w:t>
      </w:r>
      <w:r w:rsidRPr="00500586">
        <w:rPr>
          <w:i/>
          <w:iCs/>
        </w:rPr>
        <w:t>.</w:t>
      </w:r>
    </w:p>
    <w:p w:rsidR="004A13E8" w:rsidP="004A13E8" w14:paraId="55FE1828" w14:textId="77777777">
      <w:pPr>
        <w:pStyle w:val="Heading1"/>
      </w:pPr>
      <w:bookmarkStart w:id="23" w:name="_Toc473880034"/>
      <w:r>
        <w:t>Exceptions to Certification for Paperwork Reduction Act Submissions</w:t>
      </w:r>
      <w:bookmarkEnd w:id="23"/>
    </w:p>
    <w:p w:rsidR="004A13E8" w:rsidRPr="002C723E" w:rsidP="004A13E8" w14:paraId="55FE1829" w14:textId="77777777">
      <w:r w:rsidRPr="002C723E">
        <w:t>There are no exceptions to the certification.</w:t>
      </w:r>
    </w:p>
    <w:p w:rsidR="00305F72" w:rsidRPr="00D0745C" w:rsidP="00500586" w14:paraId="398C7F58" w14:textId="6BA029F4">
      <w:pPr>
        <w:pStyle w:val="Heading1"/>
        <w:numPr>
          <w:ilvl w:val="0"/>
          <w:numId w:val="0"/>
        </w:numPr>
      </w:pPr>
      <w:bookmarkStart w:id="24" w:name="_Toc473880035"/>
      <w:r>
        <w:t>Attachments</w:t>
      </w:r>
      <w:bookmarkEnd w:id="24"/>
    </w:p>
    <w:p w:rsidR="00305F72" w:rsidRPr="00305F72" w:rsidP="00305F72" w14:paraId="76E8D0F2" w14:textId="77777777">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 xml:space="preserve">A1: </w:t>
      </w:r>
      <w:r w:rsidRPr="00500586">
        <w:rPr>
          <w:rFonts w:eastAsia="Times New Roman" w:cs="Times New Roman"/>
          <w:szCs w:val="24"/>
        </w:rPr>
        <w:t>Section 361 of the Public Health Service Act</w:t>
      </w:r>
    </w:p>
    <w:p w:rsidR="00305F72" w:rsidRPr="00305F72" w:rsidP="00305F72" w14:paraId="3916849B" w14:textId="77777777">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 xml:space="preserve">A2: </w:t>
      </w:r>
      <w:r w:rsidRPr="00500586">
        <w:rPr>
          <w:rFonts w:eastAsia="Times New Roman" w:cs="Times New Roman"/>
          <w:szCs w:val="24"/>
        </w:rPr>
        <w:t>42 CFR Part 70</w:t>
      </w:r>
    </w:p>
    <w:p w:rsidR="00305F72" w:rsidRPr="00305F72" w:rsidP="00305F72" w14:paraId="791EACAF" w14:textId="77777777">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 xml:space="preserve">A3: </w:t>
      </w:r>
      <w:r w:rsidRPr="00500586">
        <w:rPr>
          <w:rFonts w:eastAsia="Times New Roman" w:cs="Times New Roman"/>
          <w:szCs w:val="24"/>
        </w:rPr>
        <w:t>42 CFR Part 71</w:t>
      </w:r>
    </w:p>
    <w:p w:rsidR="00305F72" w:rsidRPr="00305F72" w:rsidP="00305F72" w14:paraId="77333FD2" w14:textId="77777777">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A4:</w:t>
      </w:r>
      <w:r w:rsidRPr="00500586">
        <w:rPr>
          <w:rFonts w:eastAsia="Times New Roman" w:cs="Times New Roman"/>
          <w:szCs w:val="24"/>
        </w:rPr>
        <w:t xml:space="preserve"> Section 301 of the Public Health Service Act</w:t>
      </w:r>
    </w:p>
    <w:p w:rsidR="00305F72" w:rsidP="00305F72" w14:paraId="495F2976" w14:textId="24DE175E">
      <w:pPr>
        <w:spacing w:before="100" w:beforeAutospacing="1" w:after="100" w:afterAutospacing="1" w:line="240" w:lineRule="auto"/>
        <w:rPr>
          <w:rFonts w:eastAsia="Times New Roman" w:cs="Times New Roman"/>
          <w:szCs w:val="24"/>
        </w:rPr>
      </w:pPr>
      <w:r w:rsidRPr="00305F72">
        <w:rPr>
          <w:rFonts w:eastAsia="Times New Roman" w:cs="Times New Roman"/>
          <w:b/>
          <w:bCs/>
          <w:szCs w:val="24"/>
        </w:rPr>
        <w:t>A5:</w:t>
      </w:r>
      <w:r w:rsidRPr="00305F72">
        <w:rPr>
          <w:rFonts w:eastAsia="Times New Roman" w:cs="Times New Roman"/>
          <w:szCs w:val="24"/>
        </w:rPr>
        <w:t xml:space="preserve"> Section 311 of the Public Health Service Act</w:t>
      </w:r>
    </w:p>
    <w:p w:rsidR="00305F72" w:rsidP="00305F72" w14:paraId="4F03A606" w14:textId="0FA2BA60">
      <w:pPr>
        <w:spacing w:before="100" w:beforeAutospacing="1" w:after="100" w:afterAutospacing="1" w:line="240" w:lineRule="auto"/>
        <w:rPr>
          <w:rFonts w:eastAsia="Times New Roman" w:cs="Times New Roman"/>
          <w:szCs w:val="24"/>
        </w:rPr>
      </w:pPr>
      <w:r w:rsidRPr="00305F72">
        <w:rPr>
          <w:rFonts w:eastAsia="Times New Roman" w:cs="Times New Roman"/>
          <w:b/>
          <w:bCs/>
          <w:szCs w:val="24"/>
        </w:rPr>
        <w:t>B1</w:t>
      </w:r>
      <w:r>
        <w:rPr>
          <w:rFonts w:eastAsia="Times New Roman" w:cs="Times New Roman"/>
          <w:szCs w:val="24"/>
        </w:rPr>
        <w:t>: Published 60-Day FRN</w:t>
      </w:r>
    </w:p>
    <w:p w:rsidR="00305F72" w:rsidP="00305F72" w14:paraId="4597D2FF" w14:textId="21545169">
      <w:pPr>
        <w:spacing w:before="100" w:beforeAutospacing="1" w:after="100" w:afterAutospacing="1" w:line="240" w:lineRule="auto"/>
        <w:rPr>
          <w:rFonts w:eastAsia="Times New Roman" w:cs="Times New Roman"/>
          <w:szCs w:val="24"/>
        </w:rPr>
      </w:pPr>
      <w:r w:rsidRPr="00305F72">
        <w:rPr>
          <w:rFonts w:eastAsia="Times New Roman" w:cs="Times New Roman"/>
          <w:b/>
          <w:bCs/>
          <w:szCs w:val="24"/>
        </w:rPr>
        <w:t>B2:</w:t>
      </w:r>
      <w:r>
        <w:rPr>
          <w:rFonts w:eastAsia="Times New Roman" w:cs="Times New Roman"/>
          <w:szCs w:val="24"/>
        </w:rPr>
        <w:t xml:space="preserve"> Public Comment </w:t>
      </w:r>
      <w:r w:rsidR="00162693">
        <w:rPr>
          <w:rFonts w:eastAsia="Times New Roman" w:cs="Times New Roman"/>
          <w:szCs w:val="24"/>
        </w:rPr>
        <w:t xml:space="preserve">#1 </w:t>
      </w:r>
      <w:r>
        <w:rPr>
          <w:rFonts w:eastAsia="Times New Roman" w:cs="Times New Roman"/>
          <w:szCs w:val="24"/>
        </w:rPr>
        <w:t>from 60-Day FRN Notice</w:t>
      </w:r>
    </w:p>
    <w:p w:rsidR="00E13194" w:rsidP="00305F72" w14:paraId="4C7E337E" w14:textId="605E26BB">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B3:</w:t>
      </w:r>
      <w:r>
        <w:rPr>
          <w:rFonts w:eastAsia="Times New Roman" w:cs="Times New Roman"/>
          <w:szCs w:val="24"/>
        </w:rPr>
        <w:t xml:space="preserve"> Response to Public Comment </w:t>
      </w:r>
      <w:r w:rsidR="00162693">
        <w:rPr>
          <w:rFonts w:eastAsia="Times New Roman" w:cs="Times New Roman"/>
          <w:szCs w:val="24"/>
        </w:rPr>
        <w:t xml:space="preserve">#1 </w:t>
      </w:r>
      <w:r>
        <w:rPr>
          <w:rFonts w:eastAsia="Times New Roman" w:cs="Times New Roman"/>
          <w:szCs w:val="24"/>
        </w:rPr>
        <w:t>from 60-Day FRN Notice</w:t>
      </w:r>
    </w:p>
    <w:p w:rsidR="00162693" w:rsidRPr="00162693" w:rsidP="00162693" w14:paraId="677EA43E" w14:textId="77777777">
      <w:pPr>
        <w:spacing w:before="100" w:beforeAutospacing="1" w:after="100" w:afterAutospacing="1" w:line="240" w:lineRule="auto"/>
        <w:rPr>
          <w:rFonts w:eastAsia="Times New Roman" w:cs="Times New Roman"/>
          <w:b/>
          <w:bCs/>
          <w:szCs w:val="24"/>
        </w:rPr>
      </w:pPr>
      <w:r w:rsidRPr="00162693">
        <w:rPr>
          <w:rFonts w:eastAsia="Times New Roman" w:cs="Times New Roman"/>
          <w:b/>
          <w:bCs/>
          <w:szCs w:val="24"/>
        </w:rPr>
        <w:t>B4-B6 Public Comments #2-4 from 60-Day FRN Notice</w:t>
      </w:r>
    </w:p>
    <w:p w:rsidR="00162693" w:rsidRPr="00162693" w:rsidP="00162693" w14:paraId="006FCAF3" w14:textId="77777777">
      <w:pPr>
        <w:spacing w:before="100" w:beforeAutospacing="1" w:after="100" w:afterAutospacing="1" w:line="240" w:lineRule="auto"/>
        <w:rPr>
          <w:rFonts w:eastAsia="Times New Roman" w:cs="Times New Roman"/>
          <w:b/>
          <w:bCs/>
          <w:szCs w:val="24"/>
        </w:rPr>
      </w:pPr>
      <w:r w:rsidRPr="00162693">
        <w:rPr>
          <w:rFonts w:eastAsia="Times New Roman" w:cs="Times New Roman"/>
          <w:b/>
          <w:bCs/>
          <w:szCs w:val="24"/>
        </w:rPr>
        <w:t>B7: Response to Public Comment #4 from 60-Day FRN Notice</w:t>
      </w:r>
    </w:p>
    <w:p w:rsidR="003A3644" w:rsidP="00305F72" w14:paraId="0156AC8C" w14:textId="077EAF1C">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C:</w:t>
      </w:r>
      <w:r>
        <w:rPr>
          <w:rFonts w:eastAsia="Times New Roman" w:cs="Times New Roman"/>
          <w:szCs w:val="24"/>
        </w:rPr>
        <w:t xml:space="preserve"> Form 1 Medical Tourism Intake Form Part A and Part B</w:t>
      </w:r>
    </w:p>
    <w:p w:rsidR="003A3644" w:rsidP="00305F72" w14:paraId="6AE6A166" w14:textId="3E9A2477">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D:</w:t>
      </w:r>
      <w:r>
        <w:rPr>
          <w:rFonts w:eastAsia="Times New Roman" w:cs="Times New Roman"/>
          <w:szCs w:val="24"/>
        </w:rPr>
        <w:t xml:space="preserve"> Form 2 Medical Tourism Enhanced Surveillance Form</w:t>
      </w:r>
    </w:p>
    <w:p w:rsidR="003A3644" w:rsidP="00305F72" w14:paraId="2DC7683B" w14:textId="5F8A6D6C">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E:</w:t>
      </w:r>
      <w:r>
        <w:rPr>
          <w:rFonts w:eastAsia="Times New Roman" w:cs="Times New Roman"/>
          <w:szCs w:val="24"/>
        </w:rPr>
        <w:t xml:space="preserve"> Consent Script</w:t>
      </w:r>
    </w:p>
    <w:p w:rsidR="003A3644" w:rsidP="00305F72" w14:paraId="345FFD70" w14:textId="3357A2E1">
      <w:pPr>
        <w:spacing w:before="100" w:beforeAutospacing="1" w:after="100" w:afterAutospacing="1" w:line="240" w:lineRule="auto"/>
        <w:rPr>
          <w:rFonts w:eastAsia="Times New Roman" w:cs="Times New Roman"/>
          <w:szCs w:val="24"/>
        </w:rPr>
      </w:pPr>
      <w:r w:rsidRPr="00500586">
        <w:rPr>
          <w:rFonts w:eastAsia="Times New Roman" w:cs="Times New Roman"/>
          <w:b/>
          <w:bCs/>
          <w:szCs w:val="24"/>
        </w:rPr>
        <w:t>F:</w:t>
      </w:r>
      <w:r>
        <w:rPr>
          <w:rFonts w:eastAsia="Times New Roman" w:cs="Times New Roman"/>
          <w:szCs w:val="24"/>
        </w:rPr>
        <w:t xml:space="preserve"> Human Subjects Determination </w:t>
      </w:r>
    </w:p>
    <w:p w:rsidR="00F9415D" w:rsidRPr="00305F72" w:rsidP="00305F72" w14:paraId="62D0D54E" w14:textId="67CA0C4A">
      <w:pPr>
        <w:spacing w:before="100" w:beforeAutospacing="1" w:after="100" w:afterAutospacing="1" w:line="240" w:lineRule="auto"/>
        <w:rPr>
          <w:rFonts w:eastAsia="Times New Roman" w:cs="Times New Roman"/>
          <w:szCs w:val="24"/>
        </w:rPr>
      </w:pPr>
      <w:r>
        <w:rPr>
          <w:rFonts w:eastAsia="Times New Roman" w:cs="Times New Roman"/>
          <w:szCs w:val="24"/>
        </w:rPr>
        <w:t xml:space="preserve">G: Privacy Impact Assessment </w:t>
      </w:r>
    </w:p>
    <w:p w:rsidR="00305F72" w:rsidRPr="004A13E8" w:rsidP="00305F72" w14:paraId="574A4D6A" w14:textId="77777777"/>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D3532"/>
    <w:multiLevelType w:val="hybridMultilevel"/>
    <w:tmpl w:val="6E5425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2D1E01"/>
    <w:multiLevelType w:val="hybridMultilevel"/>
    <w:tmpl w:val="959E5EDE"/>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86A31"/>
    <w:multiLevelType w:val="hybridMultilevel"/>
    <w:tmpl w:val="3FF2AB28"/>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054101"/>
    <w:multiLevelType w:val="hybridMultilevel"/>
    <w:tmpl w:val="124E8AF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4B57C50"/>
    <w:multiLevelType w:val="hybridMultilevel"/>
    <w:tmpl w:val="ACB88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CC4847"/>
    <w:multiLevelType w:val="hybridMultilevel"/>
    <w:tmpl w:val="01CE86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07B670C"/>
    <w:multiLevelType w:val="hybridMultilevel"/>
    <w:tmpl w:val="F4A2A8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8EA6A45"/>
    <w:multiLevelType w:val="hybridMultilevel"/>
    <w:tmpl w:val="62109AA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1620849">
    <w:abstractNumId w:val="9"/>
  </w:num>
  <w:num w:numId="2" w16cid:durableId="1210460565">
    <w:abstractNumId w:val="3"/>
  </w:num>
  <w:num w:numId="3" w16cid:durableId="1686981630">
    <w:abstractNumId w:val="7"/>
  </w:num>
  <w:num w:numId="4" w16cid:durableId="73405580">
    <w:abstractNumId w:val="0"/>
  </w:num>
  <w:num w:numId="5" w16cid:durableId="1974944178">
    <w:abstractNumId w:val="5"/>
  </w:num>
  <w:num w:numId="6" w16cid:durableId="286355974">
    <w:abstractNumId w:val="1"/>
  </w:num>
  <w:num w:numId="7" w16cid:durableId="823663542">
    <w:abstractNumId w:val="8"/>
  </w:num>
  <w:num w:numId="8" w16cid:durableId="1068377305">
    <w:abstractNumId w:val="6"/>
  </w:num>
  <w:num w:numId="9" w16cid:durableId="105924721">
    <w:abstractNumId w:val="4"/>
  </w:num>
  <w:num w:numId="10" w16cid:durableId="423696539">
    <w:abstractNumId w:val="2"/>
  </w:num>
  <w:num w:numId="11" w16cid:durableId="1731541080">
    <w:abstractNumId w:val="3"/>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FBC"/>
    <w:rsid w:val="000042EA"/>
    <w:rsid w:val="00015C1E"/>
    <w:rsid w:val="00015DFE"/>
    <w:rsid w:val="0002044E"/>
    <w:rsid w:val="0002421F"/>
    <w:rsid w:val="00034FFA"/>
    <w:rsid w:val="000372D1"/>
    <w:rsid w:val="00043BAC"/>
    <w:rsid w:val="000541B2"/>
    <w:rsid w:val="0005699B"/>
    <w:rsid w:val="000619E5"/>
    <w:rsid w:val="00062AF8"/>
    <w:rsid w:val="00071527"/>
    <w:rsid w:val="00077A77"/>
    <w:rsid w:val="000C1760"/>
    <w:rsid w:val="000C34A5"/>
    <w:rsid w:val="000C518D"/>
    <w:rsid w:val="000D5FDC"/>
    <w:rsid w:val="000E3EE4"/>
    <w:rsid w:val="000E4042"/>
    <w:rsid w:val="0010552D"/>
    <w:rsid w:val="00114614"/>
    <w:rsid w:val="00114653"/>
    <w:rsid w:val="00124128"/>
    <w:rsid w:val="001266C9"/>
    <w:rsid w:val="00137C0D"/>
    <w:rsid w:val="00145393"/>
    <w:rsid w:val="001523DF"/>
    <w:rsid w:val="00162693"/>
    <w:rsid w:val="0016640C"/>
    <w:rsid w:val="00174BC9"/>
    <w:rsid w:val="00181DB5"/>
    <w:rsid w:val="0019023F"/>
    <w:rsid w:val="00191D48"/>
    <w:rsid w:val="00196CD9"/>
    <w:rsid w:val="001A58BE"/>
    <w:rsid w:val="001B222C"/>
    <w:rsid w:val="001B52BF"/>
    <w:rsid w:val="001B65CA"/>
    <w:rsid w:val="001C4942"/>
    <w:rsid w:val="001D0659"/>
    <w:rsid w:val="001E08A8"/>
    <w:rsid w:val="001F131C"/>
    <w:rsid w:val="00202B92"/>
    <w:rsid w:val="00216298"/>
    <w:rsid w:val="00221C35"/>
    <w:rsid w:val="00237BB7"/>
    <w:rsid w:val="002441B9"/>
    <w:rsid w:val="0025049B"/>
    <w:rsid w:val="0025156B"/>
    <w:rsid w:val="00251775"/>
    <w:rsid w:val="00252E6F"/>
    <w:rsid w:val="00275DD3"/>
    <w:rsid w:val="00290EE1"/>
    <w:rsid w:val="002A15BE"/>
    <w:rsid w:val="002A2339"/>
    <w:rsid w:val="002A2AB5"/>
    <w:rsid w:val="002B06C6"/>
    <w:rsid w:val="002C723E"/>
    <w:rsid w:val="002F1B39"/>
    <w:rsid w:val="00304BBB"/>
    <w:rsid w:val="00305F72"/>
    <w:rsid w:val="003203E6"/>
    <w:rsid w:val="003419B3"/>
    <w:rsid w:val="00372583"/>
    <w:rsid w:val="00373C6E"/>
    <w:rsid w:val="00374947"/>
    <w:rsid w:val="003A3644"/>
    <w:rsid w:val="003B08CF"/>
    <w:rsid w:val="003B2FB4"/>
    <w:rsid w:val="003B7B0C"/>
    <w:rsid w:val="003C0639"/>
    <w:rsid w:val="003C5C3A"/>
    <w:rsid w:val="003C6937"/>
    <w:rsid w:val="003E0D5E"/>
    <w:rsid w:val="003E164C"/>
    <w:rsid w:val="003F0784"/>
    <w:rsid w:val="003F2274"/>
    <w:rsid w:val="003F5A34"/>
    <w:rsid w:val="003F60CF"/>
    <w:rsid w:val="00410A24"/>
    <w:rsid w:val="00411039"/>
    <w:rsid w:val="00414801"/>
    <w:rsid w:val="00425897"/>
    <w:rsid w:val="0043440D"/>
    <w:rsid w:val="004427C8"/>
    <w:rsid w:val="004463FC"/>
    <w:rsid w:val="00446A7C"/>
    <w:rsid w:val="00447673"/>
    <w:rsid w:val="00457614"/>
    <w:rsid w:val="0046228E"/>
    <w:rsid w:val="00481233"/>
    <w:rsid w:val="004841D1"/>
    <w:rsid w:val="004A0034"/>
    <w:rsid w:val="004A0176"/>
    <w:rsid w:val="004A13E8"/>
    <w:rsid w:val="004A2CA2"/>
    <w:rsid w:val="004B2385"/>
    <w:rsid w:val="004B357F"/>
    <w:rsid w:val="004C24FD"/>
    <w:rsid w:val="004C2E54"/>
    <w:rsid w:val="004C52FF"/>
    <w:rsid w:val="004D0080"/>
    <w:rsid w:val="004D0CD2"/>
    <w:rsid w:val="004D4B33"/>
    <w:rsid w:val="004E721E"/>
    <w:rsid w:val="004F5F60"/>
    <w:rsid w:val="00500586"/>
    <w:rsid w:val="0050115F"/>
    <w:rsid w:val="00516012"/>
    <w:rsid w:val="00516D22"/>
    <w:rsid w:val="005210A9"/>
    <w:rsid w:val="005364ED"/>
    <w:rsid w:val="00552F8D"/>
    <w:rsid w:val="0058016D"/>
    <w:rsid w:val="00583EA2"/>
    <w:rsid w:val="005863D1"/>
    <w:rsid w:val="00593E7F"/>
    <w:rsid w:val="005A38C0"/>
    <w:rsid w:val="005D2D18"/>
    <w:rsid w:val="005E0B37"/>
    <w:rsid w:val="005F686B"/>
    <w:rsid w:val="0060046D"/>
    <w:rsid w:val="0060402D"/>
    <w:rsid w:val="00604577"/>
    <w:rsid w:val="006046C0"/>
    <w:rsid w:val="00612C0A"/>
    <w:rsid w:val="00624D5E"/>
    <w:rsid w:val="00635971"/>
    <w:rsid w:val="00641A52"/>
    <w:rsid w:val="0065202C"/>
    <w:rsid w:val="00653F83"/>
    <w:rsid w:val="00653FB3"/>
    <w:rsid w:val="00674026"/>
    <w:rsid w:val="006774E8"/>
    <w:rsid w:val="006854E4"/>
    <w:rsid w:val="00686168"/>
    <w:rsid w:val="00694FBB"/>
    <w:rsid w:val="006C0147"/>
    <w:rsid w:val="006C6578"/>
    <w:rsid w:val="006E1E7E"/>
    <w:rsid w:val="007034AB"/>
    <w:rsid w:val="00713C81"/>
    <w:rsid w:val="007335B2"/>
    <w:rsid w:val="00766B83"/>
    <w:rsid w:val="00767E66"/>
    <w:rsid w:val="00780DC1"/>
    <w:rsid w:val="007A2275"/>
    <w:rsid w:val="007B0F2E"/>
    <w:rsid w:val="007B5F13"/>
    <w:rsid w:val="007C79F4"/>
    <w:rsid w:val="007D201F"/>
    <w:rsid w:val="007E3FCE"/>
    <w:rsid w:val="007F15D2"/>
    <w:rsid w:val="007F22BC"/>
    <w:rsid w:val="007F46E9"/>
    <w:rsid w:val="00802CFF"/>
    <w:rsid w:val="00804687"/>
    <w:rsid w:val="008067FE"/>
    <w:rsid w:val="0081352B"/>
    <w:rsid w:val="00824964"/>
    <w:rsid w:val="00827F0C"/>
    <w:rsid w:val="00841893"/>
    <w:rsid w:val="00852D2E"/>
    <w:rsid w:val="00853BA1"/>
    <w:rsid w:val="00865BEC"/>
    <w:rsid w:val="00867237"/>
    <w:rsid w:val="00867A51"/>
    <w:rsid w:val="00872DA8"/>
    <w:rsid w:val="008901CF"/>
    <w:rsid w:val="008B21BB"/>
    <w:rsid w:val="008B479C"/>
    <w:rsid w:val="008B5D54"/>
    <w:rsid w:val="008C29D2"/>
    <w:rsid w:val="008C2A1E"/>
    <w:rsid w:val="008D5AEA"/>
    <w:rsid w:val="008E2035"/>
    <w:rsid w:val="008F05D3"/>
    <w:rsid w:val="008F1415"/>
    <w:rsid w:val="009066C7"/>
    <w:rsid w:val="009068A6"/>
    <w:rsid w:val="0091085C"/>
    <w:rsid w:val="009323D9"/>
    <w:rsid w:val="0093775F"/>
    <w:rsid w:val="00937D6B"/>
    <w:rsid w:val="00960879"/>
    <w:rsid w:val="00963E7C"/>
    <w:rsid w:val="00984FE5"/>
    <w:rsid w:val="00986B4D"/>
    <w:rsid w:val="00990600"/>
    <w:rsid w:val="009951C2"/>
    <w:rsid w:val="00995270"/>
    <w:rsid w:val="00996FBD"/>
    <w:rsid w:val="00997D0E"/>
    <w:rsid w:val="009A79E1"/>
    <w:rsid w:val="009B0947"/>
    <w:rsid w:val="009B2463"/>
    <w:rsid w:val="009C04BE"/>
    <w:rsid w:val="009E126B"/>
    <w:rsid w:val="009E5ADD"/>
    <w:rsid w:val="009E5D95"/>
    <w:rsid w:val="00A25CE1"/>
    <w:rsid w:val="00A2606A"/>
    <w:rsid w:val="00A35C56"/>
    <w:rsid w:val="00A67086"/>
    <w:rsid w:val="00A7097D"/>
    <w:rsid w:val="00A84F93"/>
    <w:rsid w:val="00A86D91"/>
    <w:rsid w:val="00AC4306"/>
    <w:rsid w:val="00AD2F36"/>
    <w:rsid w:val="00AF0F75"/>
    <w:rsid w:val="00AF7B1D"/>
    <w:rsid w:val="00B12395"/>
    <w:rsid w:val="00B149CB"/>
    <w:rsid w:val="00B33C2D"/>
    <w:rsid w:val="00B55735"/>
    <w:rsid w:val="00B608AC"/>
    <w:rsid w:val="00B635E5"/>
    <w:rsid w:val="00B64B9E"/>
    <w:rsid w:val="00B749E0"/>
    <w:rsid w:val="00B7606D"/>
    <w:rsid w:val="00B91400"/>
    <w:rsid w:val="00B92139"/>
    <w:rsid w:val="00B95EF3"/>
    <w:rsid w:val="00BA0055"/>
    <w:rsid w:val="00BA6B1A"/>
    <w:rsid w:val="00BA7606"/>
    <w:rsid w:val="00BC7BBC"/>
    <w:rsid w:val="00C13051"/>
    <w:rsid w:val="00C16439"/>
    <w:rsid w:val="00C23242"/>
    <w:rsid w:val="00C24E1D"/>
    <w:rsid w:val="00C27B4E"/>
    <w:rsid w:val="00C32380"/>
    <w:rsid w:val="00C33FD3"/>
    <w:rsid w:val="00C367EF"/>
    <w:rsid w:val="00C36B53"/>
    <w:rsid w:val="00C3799C"/>
    <w:rsid w:val="00C46FD3"/>
    <w:rsid w:val="00C51C30"/>
    <w:rsid w:val="00C540E0"/>
    <w:rsid w:val="00C553B7"/>
    <w:rsid w:val="00C632AB"/>
    <w:rsid w:val="00C63C0B"/>
    <w:rsid w:val="00C90B13"/>
    <w:rsid w:val="00C95F40"/>
    <w:rsid w:val="00CC36F7"/>
    <w:rsid w:val="00CD2AA4"/>
    <w:rsid w:val="00CD31CB"/>
    <w:rsid w:val="00CD3B9A"/>
    <w:rsid w:val="00CD545D"/>
    <w:rsid w:val="00CF01C8"/>
    <w:rsid w:val="00D0745C"/>
    <w:rsid w:val="00D13EA1"/>
    <w:rsid w:val="00D16D44"/>
    <w:rsid w:val="00D17856"/>
    <w:rsid w:val="00D2502D"/>
    <w:rsid w:val="00D27CA4"/>
    <w:rsid w:val="00D315FF"/>
    <w:rsid w:val="00D37AA3"/>
    <w:rsid w:val="00D42969"/>
    <w:rsid w:val="00D44E1F"/>
    <w:rsid w:val="00D52E3A"/>
    <w:rsid w:val="00D606B2"/>
    <w:rsid w:val="00D6653D"/>
    <w:rsid w:val="00D709E0"/>
    <w:rsid w:val="00D73349"/>
    <w:rsid w:val="00D73622"/>
    <w:rsid w:val="00D75D30"/>
    <w:rsid w:val="00D8795F"/>
    <w:rsid w:val="00D952DF"/>
    <w:rsid w:val="00DA0E26"/>
    <w:rsid w:val="00DC08D0"/>
    <w:rsid w:val="00DC57CC"/>
    <w:rsid w:val="00DC74EE"/>
    <w:rsid w:val="00DD07E0"/>
    <w:rsid w:val="00DD6B95"/>
    <w:rsid w:val="00DE5374"/>
    <w:rsid w:val="00DF5D25"/>
    <w:rsid w:val="00DF6DAD"/>
    <w:rsid w:val="00E02432"/>
    <w:rsid w:val="00E13194"/>
    <w:rsid w:val="00E21A15"/>
    <w:rsid w:val="00E31DD8"/>
    <w:rsid w:val="00E44FC5"/>
    <w:rsid w:val="00E6155E"/>
    <w:rsid w:val="00E6297A"/>
    <w:rsid w:val="00E66171"/>
    <w:rsid w:val="00E80D2C"/>
    <w:rsid w:val="00E81559"/>
    <w:rsid w:val="00E87B76"/>
    <w:rsid w:val="00E921F2"/>
    <w:rsid w:val="00EA03DA"/>
    <w:rsid w:val="00EA1AA1"/>
    <w:rsid w:val="00EA1C24"/>
    <w:rsid w:val="00EA4F59"/>
    <w:rsid w:val="00EB045B"/>
    <w:rsid w:val="00EB10FD"/>
    <w:rsid w:val="00EB1F14"/>
    <w:rsid w:val="00EC0F15"/>
    <w:rsid w:val="00EC25C1"/>
    <w:rsid w:val="00EC309D"/>
    <w:rsid w:val="00ED0D0F"/>
    <w:rsid w:val="00F00226"/>
    <w:rsid w:val="00F0098C"/>
    <w:rsid w:val="00F17FC9"/>
    <w:rsid w:val="00F20F3F"/>
    <w:rsid w:val="00F216B6"/>
    <w:rsid w:val="00F2218F"/>
    <w:rsid w:val="00F27243"/>
    <w:rsid w:val="00F30A03"/>
    <w:rsid w:val="00F37315"/>
    <w:rsid w:val="00F548DB"/>
    <w:rsid w:val="00F56C86"/>
    <w:rsid w:val="00F641C5"/>
    <w:rsid w:val="00F724F8"/>
    <w:rsid w:val="00F7396C"/>
    <w:rsid w:val="00F80F92"/>
    <w:rsid w:val="00F85A2D"/>
    <w:rsid w:val="00F9415D"/>
    <w:rsid w:val="00FA4344"/>
    <w:rsid w:val="00FE0398"/>
    <w:rsid w:val="00FF3F1B"/>
    <w:rsid w:val="00FF40BC"/>
    <w:rsid w:val="0BEF09D2"/>
    <w:rsid w:val="0C0C273D"/>
    <w:rsid w:val="0E82F6DB"/>
    <w:rsid w:val="5707EA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653"/>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customStyle="1" w:styleId="normaltextrun">
    <w:name w:val="normaltextrun"/>
    <w:basedOn w:val="DefaultParagraphFont"/>
    <w:rsid w:val="007A2275"/>
  </w:style>
  <w:style w:type="character" w:customStyle="1" w:styleId="eop">
    <w:name w:val="eop"/>
    <w:basedOn w:val="DefaultParagraphFont"/>
    <w:rsid w:val="007A2275"/>
  </w:style>
  <w:style w:type="character" w:customStyle="1" w:styleId="cf01">
    <w:name w:val="cf01"/>
    <w:basedOn w:val="DefaultParagraphFont"/>
    <w:rsid w:val="007A2275"/>
    <w:rPr>
      <w:rFonts w:ascii="Segoe UI" w:hAnsi="Segoe UI" w:cs="Segoe UI" w:hint="default"/>
      <w:sz w:val="18"/>
      <w:szCs w:val="18"/>
    </w:rPr>
  </w:style>
  <w:style w:type="paragraph" w:styleId="Revision">
    <w:name w:val="Revision"/>
    <w:hidden/>
    <w:uiPriority w:val="99"/>
    <w:semiHidden/>
    <w:rsid w:val="00E0243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9323D9"/>
    <w:rPr>
      <w:sz w:val="16"/>
      <w:szCs w:val="16"/>
    </w:rPr>
  </w:style>
  <w:style w:type="paragraph" w:styleId="CommentText">
    <w:name w:val="annotation text"/>
    <w:basedOn w:val="Normal"/>
    <w:link w:val="CommentTextChar"/>
    <w:uiPriority w:val="99"/>
    <w:unhideWhenUsed/>
    <w:rsid w:val="009323D9"/>
    <w:pPr>
      <w:spacing w:line="240" w:lineRule="auto"/>
    </w:pPr>
    <w:rPr>
      <w:sz w:val="20"/>
      <w:szCs w:val="20"/>
    </w:rPr>
  </w:style>
  <w:style w:type="character" w:customStyle="1" w:styleId="CommentTextChar">
    <w:name w:val="Comment Text Char"/>
    <w:basedOn w:val="DefaultParagraphFont"/>
    <w:link w:val="CommentText"/>
    <w:uiPriority w:val="99"/>
    <w:rsid w:val="009323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23D9"/>
    <w:rPr>
      <w:b/>
      <w:bCs/>
    </w:rPr>
  </w:style>
  <w:style w:type="character" w:customStyle="1" w:styleId="CommentSubjectChar">
    <w:name w:val="Comment Subject Char"/>
    <w:basedOn w:val="CommentTextChar"/>
    <w:link w:val="CommentSubject"/>
    <w:uiPriority w:val="99"/>
    <w:semiHidden/>
    <w:rsid w:val="009323D9"/>
    <w:rPr>
      <w:rFonts w:ascii="Times New Roman" w:hAnsi="Times New Roman"/>
      <w:b/>
      <w:bCs/>
      <w:sz w:val="20"/>
      <w:szCs w:val="20"/>
    </w:rPr>
  </w:style>
  <w:style w:type="character" w:styleId="UnresolvedMention">
    <w:name w:val="Unresolved Mention"/>
    <w:basedOn w:val="DefaultParagraphFont"/>
    <w:uiPriority w:val="99"/>
    <w:semiHidden/>
    <w:unhideWhenUsed/>
    <w:rsid w:val="00414801"/>
    <w:rPr>
      <w:color w:val="605E5C"/>
      <w:shd w:val="clear" w:color="auto" w:fill="E1DFDD"/>
    </w:rPr>
  </w:style>
  <w:style w:type="paragraph" w:customStyle="1" w:styleId="pf0">
    <w:name w:val="pf0"/>
    <w:basedOn w:val="Normal"/>
    <w:rsid w:val="00305F72"/>
    <w:pPr>
      <w:spacing w:before="100" w:beforeAutospacing="1" w:after="100" w:afterAutospacing="1" w:line="240" w:lineRule="auto"/>
    </w:pPr>
    <w:rPr>
      <w:rFonts w:eastAsia="Times New Roman" w:cs="Times New Roman"/>
      <w:szCs w:val="24"/>
    </w:rPr>
  </w:style>
  <w:style w:type="character" w:customStyle="1" w:styleId="cf11">
    <w:name w:val="cf11"/>
    <w:basedOn w:val="DefaultParagraphFont"/>
    <w:rsid w:val="00305F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https://www.bls.gov/oes/current/oes191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6" ma:contentTypeDescription="Create a new document." ma:contentTypeScope="" ma:versionID="d441d35556775b67b8fc29e2022f78df">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4e6218c76cbcf0264d5a65f4d00c066b"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3.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4.xml><?xml version="1.0" encoding="utf-8"?>
<ds:datastoreItem xmlns:ds="http://schemas.openxmlformats.org/officeDocument/2006/customXml" ds:itemID="{07AFD0EC-B753-4F2D-9409-972DECD17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3</cp:revision>
  <dcterms:created xsi:type="dcterms:W3CDTF">2025-07-23T09:53:00Z</dcterms:created>
  <dcterms:modified xsi:type="dcterms:W3CDTF">2025-07-23T10:12:00Z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e685074c-0e82-4e23-b780-e5d2d7c63283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2024-10-03T18:35:54Z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