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er3.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body>
    <w:p w:rsidRPr="00672AF8" w:rsidR="00B91235" w:rsidP="00B91235" w:rsidRDefault="00B91235" w14:paraId="01D6A617" w14:textId="77777777">
      <w:pPr>
        <w:ind w:left="-1260" w:hanging="180"/>
      </w:pPr>
      <w:r w:rsidRPr="00672AF8">
        <w:pict w14:anchorId="0C602DFD">
          <v:shapetype id="_x0000_t75" coordsize="21600,21600" filled="f" stroked="f" o:spt="75" o:preferrelative="t" path="m@4@5l@4@11@9@11@9@5xe">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gradientshapeok="t" o:connecttype="rect" o:extrusionok="f"/>
            <o:lock v:ext="edit" aspectratio="t"/>
          </v:shapetype>
          <v:shape id="_x0000_i1025" style="width:576.6pt;height:108pt" type="#_x0000_t75">
            <v:imagedata o:title="hhsblue" r:id="rId7"/>
          </v:shape>
        </w:pict>
      </w:r>
    </w:p>
    <w:p w:rsidRPr="00672AF8" w:rsidR="00645435" w:rsidP="00645435" w:rsidRDefault="00BA4664" w14:paraId="22AE6D9D" w14:textId="77777777">
      <w:pPr>
        <w:spacing w:before="30"/>
        <w:ind w:right="-20"/>
        <w:rPr>
          <w:iCs/>
        </w:rPr>
      </w:pPr>
      <w:r>
        <w:rPr>
          <w:iCs/>
        </w:rPr>
        <w:t>March</w:t>
      </w:r>
      <w:r w:rsidR="003230C4">
        <w:rPr>
          <w:iCs/>
        </w:rPr>
        <w:t xml:space="preserve"> 2</w:t>
      </w:r>
      <w:r>
        <w:rPr>
          <w:iCs/>
        </w:rPr>
        <w:t>5</w:t>
      </w:r>
      <w:r w:rsidR="003230C4">
        <w:rPr>
          <w:iCs/>
        </w:rPr>
        <w:t>, 20</w:t>
      </w:r>
      <w:r>
        <w:rPr>
          <w:iCs/>
        </w:rPr>
        <w:t>21</w:t>
      </w:r>
    </w:p>
    <w:p w:rsidRPr="00672AF8" w:rsidR="00645435" w:rsidP="00645435" w:rsidRDefault="00645435" w14:paraId="18AFEECA" w14:textId="77777777">
      <w:pPr>
        <w:spacing w:before="3" w:line="280" w:lineRule="exact"/>
        <w:rPr>
          <w:iCs/>
        </w:rPr>
      </w:pPr>
    </w:p>
    <w:p w:rsidRPr="00127C05" w:rsidR="00127C05" w:rsidP="00127C05" w:rsidRDefault="00127C05" w14:paraId="30688231" w14:textId="77777777">
      <w:pPr>
        <w:ind w:right="-20"/>
        <w:rPr>
          <w:iCs/>
        </w:rPr>
      </w:pPr>
      <w:r w:rsidRPr="00127C05">
        <w:rPr>
          <w:iCs/>
        </w:rPr>
        <w:t xml:space="preserve">Anjani Chandra, PhD </w:t>
      </w:r>
    </w:p>
    <w:p w:rsidRPr="00127C05" w:rsidR="00127C05" w:rsidP="00127C05" w:rsidRDefault="00127C05" w14:paraId="34575E3B" w14:textId="77777777">
      <w:pPr>
        <w:ind w:right="-20"/>
        <w:rPr>
          <w:iCs/>
        </w:rPr>
      </w:pPr>
      <w:r w:rsidRPr="00127C05">
        <w:rPr>
          <w:iCs/>
        </w:rPr>
        <w:t xml:space="preserve">Principal Investigator and Team Leader </w:t>
      </w:r>
    </w:p>
    <w:p w:rsidRPr="00127C05" w:rsidR="00127C05" w:rsidP="00127C05" w:rsidRDefault="00127C05" w14:paraId="16C6BB67" w14:textId="77777777">
      <w:pPr>
        <w:ind w:right="-20"/>
        <w:rPr>
          <w:iCs/>
        </w:rPr>
      </w:pPr>
      <w:r w:rsidRPr="00127C05">
        <w:rPr>
          <w:iCs/>
        </w:rPr>
        <w:t>National Survey of Family Growth</w:t>
      </w:r>
    </w:p>
    <w:p w:rsidRPr="00127C05" w:rsidR="00127C05" w:rsidP="00127C05" w:rsidRDefault="00127C05" w14:paraId="61101A36" w14:textId="77777777">
      <w:pPr>
        <w:ind w:right="-20"/>
        <w:rPr>
          <w:iCs/>
        </w:rPr>
      </w:pPr>
      <w:r w:rsidRPr="00127C05">
        <w:rPr>
          <w:iCs/>
        </w:rPr>
        <w:t xml:space="preserve">National Center for Health Statistics </w:t>
      </w:r>
    </w:p>
    <w:p w:rsidRPr="00127C05" w:rsidR="00127C05" w:rsidP="00127C05" w:rsidRDefault="00127C05" w14:paraId="41CA6182" w14:textId="77777777">
      <w:pPr>
        <w:ind w:right="-20"/>
        <w:rPr>
          <w:iCs/>
        </w:rPr>
      </w:pPr>
      <w:r w:rsidRPr="00127C05">
        <w:rPr>
          <w:iCs/>
        </w:rPr>
        <w:t xml:space="preserve">3311 Toledo Road </w:t>
      </w:r>
    </w:p>
    <w:p w:rsidR="00E60E43" w:rsidP="00127C05" w:rsidRDefault="00127C05" w14:paraId="0C0B948B" w14:textId="77777777">
      <w:pPr>
        <w:ind w:right="-20"/>
        <w:rPr>
          <w:iCs/>
        </w:rPr>
      </w:pPr>
      <w:r w:rsidRPr="00127C05">
        <w:rPr>
          <w:iCs/>
        </w:rPr>
        <w:t>Hyattsville, MD 20782</w:t>
      </w:r>
    </w:p>
    <w:p w:rsidRPr="00672AF8" w:rsidR="00127C05" w:rsidP="00127C05" w:rsidRDefault="00127C05" w14:paraId="334E4395" w14:textId="77777777">
      <w:pPr>
        <w:ind w:right="-20"/>
        <w:rPr>
          <w:iCs/>
        </w:rPr>
      </w:pPr>
    </w:p>
    <w:p w:rsidRPr="00672AF8" w:rsidR="00645435" w:rsidP="00672AF8" w:rsidRDefault="00645435" w14:paraId="5C836F9D" w14:textId="77777777">
      <w:pPr>
        <w:ind w:right="-20"/>
        <w:jc w:val="both"/>
        <w:rPr>
          <w:iCs/>
        </w:rPr>
      </w:pPr>
      <w:r w:rsidRPr="00672AF8">
        <w:rPr>
          <w:iCs/>
        </w:rPr>
        <w:t xml:space="preserve">Dear Dr. </w:t>
      </w:r>
      <w:r w:rsidRPr="00672AF8" w:rsidR="00E60E43">
        <w:rPr>
          <w:iCs/>
        </w:rPr>
        <w:t>Chandra</w:t>
      </w:r>
      <w:r w:rsidRPr="00672AF8">
        <w:rPr>
          <w:iCs/>
        </w:rPr>
        <w:t>,</w:t>
      </w:r>
    </w:p>
    <w:p w:rsidRPr="00672AF8" w:rsidR="005A67A5" w:rsidP="00672AF8" w:rsidRDefault="005A67A5" w14:paraId="395DB4A0" w14:textId="77777777">
      <w:pPr>
        <w:spacing w:line="248" w:lineRule="auto"/>
        <w:ind w:firstLine="10"/>
        <w:jc w:val="both"/>
        <w:rPr>
          <w:iCs/>
        </w:rPr>
      </w:pPr>
    </w:p>
    <w:p w:rsidRPr="00672AF8" w:rsidR="005A67A5" w:rsidP="00672AF8" w:rsidRDefault="005A67A5" w14:paraId="5AE728C1" w14:textId="77777777">
      <w:pPr>
        <w:spacing w:line="248" w:lineRule="auto"/>
        <w:ind w:firstLine="10"/>
        <w:jc w:val="both"/>
        <w:rPr>
          <w:iCs/>
        </w:rPr>
      </w:pPr>
      <w:r w:rsidRPr="00672AF8">
        <w:rPr>
          <w:iCs/>
        </w:rPr>
        <w:t xml:space="preserve">I am writing in support of the National Survey of Family Growth (NSFG) and to emphasize its importance in </w:t>
      </w:r>
      <w:r w:rsidR="00447DB4">
        <w:rPr>
          <w:iCs/>
        </w:rPr>
        <w:t xml:space="preserve">monitoring </w:t>
      </w:r>
      <w:r w:rsidRPr="00672AF8">
        <w:rPr>
          <w:iCs/>
        </w:rPr>
        <w:t xml:space="preserve">HIV prevention activities. </w:t>
      </w:r>
      <w:r w:rsidR="00022224">
        <w:rPr>
          <w:iCs/>
        </w:rPr>
        <w:t>T</w:t>
      </w:r>
      <w:r w:rsidRPr="00672AF8">
        <w:rPr>
          <w:iCs/>
        </w:rPr>
        <w:t>he Division of</w:t>
      </w:r>
      <w:r w:rsidRPr="00672AF8" w:rsidR="00486178">
        <w:rPr>
          <w:iCs/>
        </w:rPr>
        <w:t xml:space="preserve"> </w:t>
      </w:r>
      <w:r w:rsidRPr="00672AF8">
        <w:rPr>
          <w:iCs/>
        </w:rPr>
        <w:t>HIV Prevention</w:t>
      </w:r>
      <w:r w:rsidR="00022224">
        <w:rPr>
          <w:iCs/>
        </w:rPr>
        <w:t xml:space="preserve"> (DHP)</w:t>
      </w:r>
      <w:r w:rsidR="00666C40">
        <w:rPr>
          <w:iCs/>
        </w:rPr>
        <w:t xml:space="preserve"> at the Centers for Disease Control and Prevention (CDC)</w:t>
      </w:r>
      <w:r w:rsidRPr="00672AF8">
        <w:rPr>
          <w:iCs/>
        </w:rPr>
        <w:t xml:space="preserve"> is responsible for funding HIV prevention activities in the U</w:t>
      </w:r>
      <w:r w:rsidRPr="00672AF8" w:rsidR="003C2C14">
        <w:rPr>
          <w:iCs/>
        </w:rPr>
        <w:t>nited States</w:t>
      </w:r>
      <w:r w:rsidRPr="00672AF8">
        <w:rPr>
          <w:iCs/>
        </w:rPr>
        <w:t xml:space="preserve"> </w:t>
      </w:r>
      <w:r w:rsidRPr="00672AF8" w:rsidR="00486178">
        <w:rPr>
          <w:iCs/>
        </w:rPr>
        <w:t xml:space="preserve">and </w:t>
      </w:r>
      <w:r w:rsidRPr="00672AF8">
        <w:rPr>
          <w:iCs/>
        </w:rPr>
        <w:t xml:space="preserve">evaluating those efforts. </w:t>
      </w:r>
      <w:r w:rsidR="00666C40">
        <w:rPr>
          <w:iCs/>
        </w:rPr>
        <w:t>Although m</w:t>
      </w:r>
      <w:r w:rsidRPr="00672AF8">
        <w:rPr>
          <w:iCs/>
        </w:rPr>
        <w:t>uch of what we know about HIV infection has come from HIV</w:t>
      </w:r>
      <w:r w:rsidRPr="00672AF8" w:rsidR="00486178">
        <w:rPr>
          <w:iCs/>
        </w:rPr>
        <w:t xml:space="preserve"> </w:t>
      </w:r>
      <w:r w:rsidRPr="00672AF8">
        <w:rPr>
          <w:iCs/>
        </w:rPr>
        <w:t xml:space="preserve">case surveillance data and from behavioral surveillance studies of groups at increased risk </w:t>
      </w:r>
      <w:r w:rsidRPr="00672AF8" w:rsidR="00486178">
        <w:rPr>
          <w:iCs/>
        </w:rPr>
        <w:t xml:space="preserve">for </w:t>
      </w:r>
      <w:r w:rsidRPr="00672AF8">
        <w:rPr>
          <w:iCs/>
        </w:rPr>
        <w:t xml:space="preserve">acquiring HIV </w:t>
      </w:r>
      <w:r w:rsidR="00666C40">
        <w:rPr>
          <w:iCs/>
        </w:rPr>
        <w:t>or people</w:t>
      </w:r>
      <w:r w:rsidRPr="00672AF8">
        <w:rPr>
          <w:iCs/>
        </w:rPr>
        <w:t xml:space="preserve"> living with HIV</w:t>
      </w:r>
      <w:r w:rsidR="00666C40">
        <w:rPr>
          <w:iCs/>
        </w:rPr>
        <w:t>,</w:t>
      </w:r>
      <w:r w:rsidR="00447DB4">
        <w:rPr>
          <w:iCs/>
        </w:rPr>
        <w:t xml:space="preserve"> </w:t>
      </w:r>
      <w:r w:rsidR="00022224">
        <w:rPr>
          <w:iCs/>
        </w:rPr>
        <w:t>d</w:t>
      </w:r>
      <w:r w:rsidRPr="00672AF8">
        <w:rPr>
          <w:iCs/>
        </w:rPr>
        <w:t xml:space="preserve">ata from </w:t>
      </w:r>
      <w:r w:rsidR="00655CD6">
        <w:rPr>
          <w:iCs/>
        </w:rPr>
        <w:t>national probability samples</w:t>
      </w:r>
      <w:r w:rsidRPr="00672AF8" w:rsidR="00486178">
        <w:rPr>
          <w:iCs/>
        </w:rPr>
        <w:t xml:space="preserve"> </w:t>
      </w:r>
      <w:r w:rsidR="00655CD6">
        <w:rPr>
          <w:iCs/>
        </w:rPr>
        <w:t>such as</w:t>
      </w:r>
      <w:r w:rsidRPr="00672AF8">
        <w:rPr>
          <w:iCs/>
        </w:rPr>
        <w:t xml:space="preserve"> the NSFG </w:t>
      </w:r>
      <w:r w:rsidR="00FD2350">
        <w:rPr>
          <w:iCs/>
        </w:rPr>
        <w:t>are</w:t>
      </w:r>
      <w:r w:rsidRPr="00672AF8" w:rsidR="00FD2350">
        <w:rPr>
          <w:iCs/>
        </w:rPr>
        <w:t xml:space="preserve"> </w:t>
      </w:r>
      <w:r w:rsidR="00022224">
        <w:rPr>
          <w:iCs/>
        </w:rPr>
        <w:t xml:space="preserve">also </w:t>
      </w:r>
      <w:r w:rsidRPr="00672AF8">
        <w:rPr>
          <w:iCs/>
        </w:rPr>
        <w:t xml:space="preserve">critical to our ability to monitor HIV </w:t>
      </w:r>
      <w:r w:rsidR="009B46AB">
        <w:rPr>
          <w:iCs/>
        </w:rPr>
        <w:t>in the United States</w:t>
      </w:r>
      <w:r w:rsidRPr="00672AF8">
        <w:rPr>
          <w:iCs/>
        </w:rPr>
        <w:t>.</w:t>
      </w:r>
    </w:p>
    <w:p w:rsidRPr="00672AF8" w:rsidR="004D331A" w:rsidP="00672AF8" w:rsidRDefault="004D331A" w14:paraId="71134AA7" w14:textId="77777777">
      <w:pPr>
        <w:spacing w:line="248" w:lineRule="auto"/>
        <w:ind w:firstLine="10"/>
        <w:jc w:val="both"/>
        <w:rPr>
          <w:iCs/>
        </w:rPr>
      </w:pPr>
    </w:p>
    <w:p w:rsidRPr="00672AF8" w:rsidR="007336BA" w:rsidP="00672AF8" w:rsidRDefault="00022224" w14:paraId="0C23E102" w14:textId="77777777">
      <w:pPr>
        <w:spacing w:line="248" w:lineRule="auto"/>
        <w:ind w:firstLine="10"/>
        <w:jc w:val="both"/>
        <w:rPr>
          <w:iCs/>
        </w:rPr>
      </w:pPr>
      <w:r>
        <w:rPr>
          <w:iCs/>
        </w:rPr>
        <w:t xml:space="preserve">The </w:t>
      </w:r>
      <w:r w:rsidRPr="00672AF8" w:rsidR="00937C2E">
        <w:rPr>
          <w:iCs/>
        </w:rPr>
        <w:t xml:space="preserve">NSFG is </w:t>
      </w:r>
      <w:r w:rsidR="009B46AB">
        <w:rPr>
          <w:iCs/>
        </w:rPr>
        <w:t>a source of</w:t>
      </w:r>
      <w:r w:rsidR="00655CD6">
        <w:rPr>
          <w:iCs/>
        </w:rPr>
        <w:t xml:space="preserve"> several </w:t>
      </w:r>
      <w:r w:rsidR="009B46AB">
        <w:rPr>
          <w:iCs/>
        </w:rPr>
        <w:t xml:space="preserve">important </w:t>
      </w:r>
      <w:r w:rsidR="00655CD6">
        <w:rPr>
          <w:iCs/>
        </w:rPr>
        <w:t xml:space="preserve">indicators we use to monitor </w:t>
      </w:r>
      <w:r w:rsidR="00B47C20">
        <w:rPr>
          <w:iCs/>
        </w:rPr>
        <w:t>progress toward national goals.</w:t>
      </w:r>
      <w:r w:rsidRPr="00672AF8" w:rsidR="00937C2E">
        <w:rPr>
          <w:iCs/>
        </w:rPr>
        <w:t xml:space="preserve"> These include </w:t>
      </w:r>
      <w:r w:rsidR="00655CD6">
        <w:rPr>
          <w:iCs/>
        </w:rPr>
        <w:t>indicators</w:t>
      </w:r>
      <w:r w:rsidRPr="00672AF8" w:rsidR="00655CD6">
        <w:rPr>
          <w:iCs/>
        </w:rPr>
        <w:t xml:space="preserve"> </w:t>
      </w:r>
      <w:r w:rsidR="00655CD6">
        <w:rPr>
          <w:iCs/>
        </w:rPr>
        <w:t xml:space="preserve">of </w:t>
      </w:r>
      <w:r w:rsidRPr="00672AF8" w:rsidR="00937C2E">
        <w:rPr>
          <w:iCs/>
        </w:rPr>
        <w:t xml:space="preserve">sexual risk such as multiple sex partners, sex with </w:t>
      </w:r>
      <w:r w:rsidR="003230C4">
        <w:rPr>
          <w:iCs/>
        </w:rPr>
        <w:t>persons who inject drugs</w:t>
      </w:r>
      <w:r w:rsidRPr="00672AF8" w:rsidR="00937C2E">
        <w:rPr>
          <w:iCs/>
        </w:rPr>
        <w:t xml:space="preserve"> or HIV-infected person</w:t>
      </w:r>
      <w:r w:rsidRPr="00672AF8" w:rsidR="003B13BA">
        <w:rPr>
          <w:iCs/>
        </w:rPr>
        <w:t>s</w:t>
      </w:r>
      <w:r w:rsidRPr="00672AF8" w:rsidR="00937C2E">
        <w:rPr>
          <w:iCs/>
        </w:rPr>
        <w:t xml:space="preserve">, and </w:t>
      </w:r>
      <w:r w:rsidR="00655CD6">
        <w:rPr>
          <w:iCs/>
        </w:rPr>
        <w:t xml:space="preserve">the </w:t>
      </w:r>
      <w:r w:rsidRPr="00672AF8" w:rsidR="00937C2E">
        <w:rPr>
          <w:iCs/>
        </w:rPr>
        <w:t>exchange</w:t>
      </w:r>
      <w:r w:rsidR="00A22DB1">
        <w:rPr>
          <w:iCs/>
        </w:rPr>
        <w:t xml:space="preserve"> of</w:t>
      </w:r>
      <w:r w:rsidRPr="00672AF8" w:rsidR="00937C2E">
        <w:rPr>
          <w:iCs/>
        </w:rPr>
        <w:t xml:space="preserve"> sex for money or drugs</w:t>
      </w:r>
      <w:r w:rsidR="00A22DB1">
        <w:rPr>
          <w:iCs/>
        </w:rPr>
        <w:t>. Each of these behaviors place</w:t>
      </w:r>
      <w:r w:rsidRPr="00672AF8" w:rsidR="00937C2E">
        <w:rPr>
          <w:iCs/>
        </w:rPr>
        <w:t xml:space="preserve"> individuals at increased risk for HIV infection.</w:t>
      </w:r>
      <w:r w:rsidRPr="00672AF8" w:rsidR="00FB3470">
        <w:rPr>
          <w:iCs/>
        </w:rPr>
        <w:t xml:space="preserve"> </w:t>
      </w:r>
      <w:r w:rsidR="00025DE2">
        <w:rPr>
          <w:iCs/>
        </w:rPr>
        <w:t xml:space="preserve">The NSFG also provides important information about </w:t>
      </w:r>
      <w:r w:rsidR="009B46AB">
        <w:rPr>
          <w:iCs/>
        </w:rPr>
        <w:t>behaviors tha</w:t>
      </w:r>
      <w:r w:rsidR="00E96E02">
        <w:rPr>
          <w:iCs/>
        </w:rPr>
        <w:t>t can reduce HIV acquisition or</w:t>
      </w:r>
      <w:r w:rsidR="009B46AB">
        <w:rPr>
          <w:iCs/>
        </w:rPr>
        <w:t xml:space="preserve"> transmission in the U.S. population, such as</w:t>
      </w:r>
      <w:r w:rsidR="00025DE2">
        <w:rPr>
          <w:iCs/>
        </w:rPr>
        <w:t xml:space="preserve"> condom use and HIV testing. </w:t>
      </w:r>
      <w:r w:rsidR="00E96E02">
        <w:rPr>
          <w:iCs/>
        </w:rPr>
        <w:t>HIV testing</w:t>
      </w:r>
      <w:r w:rsidR="00EC5A21">
        <w:rPr>
          <w:iCs/>
        </w:rPr>
        <w:t xml:space="preserve"> data</w:t>
      </w:r>
      <w:r w:rsidR="00B05AFB">
        <w:rPr>
          <w:iCs/>
        </w:rPr>
        <w:t xml:space="preserve"> provided by NSFG</w:t>
      </w:r>
      <w:r w:rsidR="00E96E02">
        <w:rPr>
          <w:iCs/>
        </w:rPr>
        <w:t xml:space="preserve"> help</w:t>
      </w:r>
      <w:r w:rsidR="009B46AB">
        <w:rPr>
          <w:iCs/>
        </w:rPr>
        <w:t xml:space="preserve"> evaluate</w:t>
      </w:r>
      <w:r w:rsidRPr="00672AF8" w:rsidR="00FB3470">
        <w:rPr>
          <w:iCs/>
        </w:rPr>
        <w:t xml:space="preserve"> the uptake of</w:t>
      </w:r>
      <w:r w:rsidR="009B46AB">
        <w:rPr>
          <w:iCs/>
        </w:rPr>
        <w:t xml:space="preserve"> CDC’s</w:t>
      </w:r>
      <w:r w:rsidRPr="00672AF8" w:rsidR="008261AE">
        <w:rPr>
          <w:iCs/>
        </w:rPr>
        <w:t xml:space="preserve"> recommendations on routine HIV testing </w:t>
      </w:r>
      <w:r w:rsidRPr="00672AF8" w:rsidR="00641FB2">
        <w:rPr>
          <w:iCs/>
        </w:rPr>
        <w:t>in all healthcare settings for patients between the ages of 13 through 64</w:t>
      </w:r>
      <w:r w:rsidR="009B46AB">
        <w:rPr>
          <w:iCs/>
        </w:rPr>
        <w:t>,</w:t>
      </w:r>
      <w:r w:rsidRPr="00672AF8" w:rsidR="00641FB2">
        <w:rPr>
          <w:iCs/>
        </w:rPr>
        <w:t xml:space="preserve"> as well as repeat screening every year for patients at high risk for HIV infection.</w:t>
      </w:r>
      <w:r w:rsidR="00450CAE">
        <w:rPr>
          <w:iCs/>
        </w:rPr>
        <w:t xml:space="preserve"> </w:t>
      </w:r>
    </w:p>
    <w:p w:rsidRPr="00672AF8" w:rsidR="00BE782A" w:rsidP="00672AF8" w:rsidRDefault="009F28FA" w14:paraId="577BB269" w14:textId="77777777">
      <w:pPr>
        <w:spacing w:line="248" w:lineRule="auto"/>
        <w:ind w:firstLine="10"/>
        <w:jc w:val="both"/>
        <w:rPr>
          <w:iCs/>
        </w:rPr>
      </w:pPr>
      <w:r w:rsidRPr="00672AF8">
        <w:rPr>
          <w:iCs/>
        </w:rPr>
        <w:t xml:space="preserve"> </w:t>
      </w:r>
    </w:p>
    <w:p w:rsidR="00563039" w:rsidP="00672AF8" w:rsidRDefault="003F1479" w14:paraId="3F785830" w14:textId="77777777">
      <w:pPr>
        <w:spacing w:line="248" w:lineRule="auto"/>
        <w:ind w:firstLine="10"/>
        <w:jc w:val="both"/>
        <w:rPr>
          <w:iCs/>
        </w:rPr>
      </w:pPr>
      <w:r>
        <w:rPr>
          <w:iCs/>
        </w:rPr>
        <w:t xml:space="preserve">DHP </w:t>
      </w:r>
      <w:r w:rsidR="00757C49">
        <w:rPr>
          <w:iCs/>
        </w:rPr>
        <w:t xml:space="preserve">also </w:t>
      </w:r>
      <w:r w:rsidRPr="00672AF8" w:rsidR="00890565">
        <w:rPr>
          <w:iCs/>
        </w:rPr>
        <w:t>us</w:t>
      </w:r>
      <w:r w:rsidR="00A850CA">
        <w:rPr>
          <w:iCs/>
        </w:rPr>
        <w:t>es</w:t>
      </w:r>
      <w:r w:rsidR="008B4593">
        <w:rPr>
          <w:iCs/>
        </w:rPr>
        <w:t xml:space="preserve"> </w:t>
      </w:r>
      <w:r w:rsidRPr="00672AF8" w:rsidR="00890565">
        <w:rPr>
          <w:iCs/>
        </w:rPr>
        <w:t>data</w:t>
      </w:r>
      <w:r w:rsidRPr="00672AF8" w:rsidR="00BE782A">
        <w:rPr>
          <w:iCs/>
        </w:rPr>
        <w:t xml:space="preserve"> from NSFG</w:t>
      </w:r>
      <w:r w:rsidRPr="00672AF8" w:rsidR="00890565">
        <w:rPr>
          <w:iCs/>
        </w:rPr>
        <w:t xml:space="preserve"> to </w:t>
      </w:r>
      <w:r w:rsidR="00A850CA">
        <w:rPr>
          <w:iCs/>
        </w:rPr>
        <w:t xml:space="preserve">monitor </w:t>
      </w:r>
      <w:r w:rsidR="00757C49">
        <w:rPr>
          <w:iCs/>
        </w:rPr>
        <w:t xml:space="preserve">indicators in populations at high risk for HIV, such as men who have sex with men (MSM), a population that accounted for </w:t>
      </w:r>
      <w:r w:rsidR="00714EDC">
        <w:rPr>
          <w:iCs/>
        </w:rPr>
        <w:t>69</w:t>
      </w:r>
      <w:r w:rsidR="00757C49">
        <w:rPr>
          <w:iCs/>
        </w:rPr>
        <w:t xml:space="preserve">% of all </w:t>
      </w:r>
      <w:r w:rsidR="00714EDC">
        <w:rPr>
          <w:iCs/>
        </w:rPr>
        <w:t xml:space="preserve">new </w:t>
      </w:r>
      <w:r w:rsidR="00757C49">
        <w:rPr>
          <w:iCs/>
        </w:rPr>
        <w:t>diagnoses in 201</w:t>
      </w:r>
      <w:r w:rsidR="00714EDC">
        <w:rPr>
          <w:iCs/>
        </w:rPr>
        <w:t>8</w:t>
      </w:r>
      <w:r w:rsidR="00757C49">
        <w:rPr>
          <w:iCs/>
        </w:rPr>
        <w:t>. DHP has frequent</w:t>
      </w:r>
      <w:r w:rsidR="007857C7">
        <w:rPr>
          <w:iCs/>
        </w:rPr>
        <w:t>ly relied on NSFG data to analyze and disseminate information about</w:t>
      </w:r>
      <w:r w:rsidR="00757C49">
        <w:rPr>
          <w:iCs/>
        </w:rPr>
        <w:t xml:space="preserve"> HIV testing and risk behaviors among MSM as well as other populations at increased risk</w:t>
      </w:r>
      <w:r w:rsidR="008B4593">
        <w:rPr>
          <w:iCs/>
        </w:rPr>
        <w:t xml:space="preserve"> (see references</w:t>
      </w:r>
      <w:r w:rsidR="00447DB4">
        <w:rPr>
          <w:iCs/>
        </w:rPr>
        <w:t xml:space="preserve"> below</w:t>
      </w:r>
      <w:r w:rsidR="008B4593">
        <w:rPr>
          <w:iCs/>
        </w:rPr>
        <w:t>)</w:t>
      </w:r>
      <w:r w:rsidR="00E711AC">
        <w:rPr>
          <w:iCs/>
        </w:rPr>
        <w:t xml:space="preserve">. </w:t>
      </w:r>
      <w:r w:rsidR="007857C7">
        <w:rPr>
          <w:iCs/>
        </w:rPr>
        <w:t xml:space="preserve">Furthermore, NSFG data were instrumental in enabling </w:t>
      </w:r>
      <w:r w:rsidR="00DA13BC">
        <w:rPr>
          <w:iCs/>
        </w:rPr>
        <w:t xml:space="preserve">DHP </w:t>
      </w:r>
      <w:r w:rsidR="00E711AC">
        <w:rPr>
          <w:iCs/>
        </w:rPr>
        <w:t>to produce national</w:t>
      </w:r>
      <w:r w:rsidR="008E57D0">
        <w:rPr>
          <w:iCs/>
        </w:rPr>
        <w:t xml:space="preserve"> </w:t>
      </w:r>
      <w:r w:rsidR="00ED2AF1">
        <w:rPr>
          <w:iCs/>
        </w:rPr>
        <w:t xml:space="preserve">population </w:t>
      </w:r>
      <w:r w:rsidR="008E57D0">
        <w:rPr>
          <w:iCs/>
        </w:rPr>
        <w:t>size</w:t>
      </w:r>
      <w:r w:rsidR="00E711AC">
        <w:rPr>
          <w:iCs/>
        </w:rPr>
        <w:t xml:space="preserve"> estimates </w:t>
      </w:r>
      <w:r w:rsidR="00ED2AF1">
        <w:rPr>
          <w:iCs/>
        </w:rPr>
        <w:t>for</w:t>
      </w:r>
      <w:r w:rsidR="00E711AC">
        <w:rPr>
          <w:iCs/>
        </w:rPr>
        <w:t xml:space="preserve"> </w:t>
      </w:r>
      <w:r w:rsidR="00E711AC">
        <w:rPr>
          <w:iCs/>
        </w:rPr>
        <w:lastRenderedPageBreak/>
        <w:t>populations at</w:t>
      </w:r>
      <w:r w:rsidR="008E57D0">
        <w:rPr>
          <w:iCs/>
        </w:rPr>
        <w:t xml:space="preserve"> </w:t>
      </w:r>
      <w:r w:rsidR="00E711AC">
        <w:rPr>
          <w:iCs/>
        </w:rPr>
        <w:t xml:space="preserve">risk </w:t>
      </w:r>
      <w:r w:rsidR="008E57D0">
        <w:rPr>
          <w:iCs/>
        </w:rPr>
        <w:t>for</w:t>
      </w:r>
      <w:r w:rsidR="00E711AC">
        <w:rPr>
          <w:iCs/>
        </w:rPr>
        <w:t xml:space="preserve"> HIV</w:t>
      </w:r>
      <w:r w:rsidR="008E57D0">
        <w:rPr>
          <w:iCs/>
        </w:rPr>
        <w:t>, including</w:t>
      </w:r>
      <w:r w:rsidR="00E711AC">
        <w:rPr>
          <w:iCs/>
        </w:rPr>
        <w:t xml:space="preserve"> MSM (Purcell 2011)</w:t>
      </w:r>
      <w:r w:rsidR="008E57D0">
        <w:rPr>
          <w:iCs/>
        </w:rPr>
        <w:t>, persons who inject drugs</w:t>
      </w:r>
      <w:r w:rsidR="00E711AC">
        <w:rPr>
          <w:iCs/>
        </w:rPr>
        <w:t xml:space="preserve"> (Lansky 2013)</w:t>
      </w:r>
      <w:r w:rsidR="008E57D0">
        <w:rPr>
          <w:iCs/>
        </w:rPr>
        <w:t>, and heterosexuals</w:t>
      </w:r>
      <w:r w:rsidR="005B44F2">
        <w:rPr>
          <w:iCs/>
        </w:rPr>
        <w:t xml:space="preserve"> at risk</w:t>
      </w:r>
      <w:r w:rsidR="00B05AFB">
        <w:rPr>
          <w:iCs/>
        </w:rPr>
        <w:t xml:space="preserve"> (Lansky 2015), which have</w:t>
      </w:r>
      <w:r w:rsidR="005B44F2">
        <w:rPr>
          <w:iCs/>
        </w:rPr>
        <w:t xml:space="preserve"> improved our estimation of HIV rates in these populations.</w:t>
      </w:r>
    </w:p>
    <w:p w:rsidRPr="00672AF8" w:rsidR="00DC563A" w:rsidP="00672AF8" w:rsidRDefault="00DC563A" w14:paraId="06DBEE73" w14:textId="77777777">
      <w:pPr>
        <w:spacing w:line="248" w:lineRule="auto"/>
        <w:ind w:firstLine="10"/>
        <w:jc w:val="both"/>
        <w:rPr>
          <w:iCs/>
        </w:rPr>
      </w:pPr>
    </w:p>
    <w:p w:rsidRPr="00672AF8" w:rsidR="003C2C14" w:rsidP="00672AF8" w:rsidRDefault="00890565" w14:paraId="3E57706B" w14:textId="77777777">
      <w:pPr>
        <w:spacing w:before="78" w:line="248" w:lineRule="auto"/>
        <w:jc w:val="both"/>
        <w:rPr>
          <w:iCs/>
        </w:rPr>
      </w:pPr>
      <w:r w:rsidRPr="00672AF8">
        <w:rPr>
          <w:iCs/>
        </w:rPr>
        <w:t xml:space="preserve">The NSFG is one of </w:t>
      </w:r>
      <w:r w:rsidR="00EC5A21">
        <w:rPr>
          <w:iCs/>
        </w:rPr>
        <w:t xml:space="preserve">only </w:t>
      </w:r>
      <w:r w:rsidRPr="00672AF8">
        <w:rPr>
          <w:iCs/>
        </w:rPr>
        <w:t xml:space="preserve">a few nationally representative surveys </w:t>
      </w:r>
      <w:r w:rsidR="00EC5A21">
        <w:rPr>
          <w:iCs/>
        </w:rPr>
        <w:t xml:space="preserve">that </w:t>
      </w:r>
      <w:r w:rsidRPr="00672AF8">
        <w:rPr>
          <w:iCs/>
        </w:rPr>
        <w:t xml:space="preserve">collect </w:t>
      </w:r>
      <w:r w:rsidR="00E711AC">
        <w:rPr>
          <w:iCs/>
        </w:rPr>
        <w:t>data</w:t>
      </w:r>
      <w:r w:rsidRPr="00672AF8" w:rsidR="00E711AC">
        <w:rPr>
          <w:iCs/>
        </w:rPr>
        <w:t xml:space="preserve"> </w:t>
      </w:r>
      <w:r w:rsidRPr="00672AF8">
        <w:rPr>
          <w:iCs/>
        </w:rPr>
        <w:t xml:space="preserve">related to HIV </w:t>
      </w:r>
      <w:r w:rsidR="00E711AC">
        <w:rPr>
          <w:iCs/>
        </w:rPr>
        <w:t>risk</w:t>
      </w:r>
      <w:r w:rsidRPr="00672AF8" w:rsidR="00E711AC">
        <w:rPr>
          <w:iCs/>
        </w:rPr>
        <w:t xml:space="preserve"> </w:t>
      </w:r>
      <w:r w:rsidRPr="00672AF8">
        <w:rPr>
          <w:iCs/>
        </w:rPr>
        <w:t xml:space="preserve">and prevention on a regular basis. It has a </w:t>
      </w:r>
      <w:r w:rsidRPr="00672AF8" w:rsidR="00563039">
        <w:rPr>
          <w:iCs/>
        </w:rPr>
        <w:t>h</w:t>
      </w:r>
      <w:r w:rsidRPr="00672AF8">
        <w:rPr>
          <w:iCs/>
        </w:rPr>
        <w:t>istory of successfully collecting sensitive information from respondents, and</w:t>
      </w:r>
      <w:r w:rsidRPr="00672AF8" w:rsidR="00563039">
        <w:rPr>
          <w:iCs/>
        </w:rPr>
        <w:t xml:space="preserve"> </w:t>
      </w:r>
      <w:r w:rsidR="00447DB4">
        <w:rPr>
          <w:iCs/>
        </w:rPr>
        <w:t xml:space="preserve">it continues to be an important </w:t>
      </w:r>
      <w:r w:rsidRPr="00672AF8">
        <w:rPr>
          <w:iCs/>
        </w:rPr>
        <w:t xml:space="preserve">data </w:t>
      </w:r>
      <w:r w:rsidR="00447DB4">
        <w:rPr>
          <w:iCs/>
        </w:rPr>
        <w:t xml:space="preserve">source for </w:t>
      </w:r>
      <w:r w:rsidR="00C718BF">
        <w:rPr>
          <w:iCs/>
        </w:rPr>
        <w:t>DHP</w:t>
      </w:r>
      <w:r w:rsidRPr="00672AF8">
        <w:rPr>
          <w:iCs/>
        </w:rPr>
        <w:t xml:space="preserve">. </w:t>
      </w:r>
    </w:p>
    <w:p w:rsidRPr="00672AF8" w:rsidR="003C2C14" w:rsidP="00672AF8" w:rsidRDefault="003C2C14" w14:paraId="3B808D04" w14:textId="77777777">
      <w:pPr>
        <w:spacing w:before="78" w:line="248" w:lineRule="auto"/>
        <w:jc w:val="both"/>
        <w:rPr>
          <w:iCs/>
        </w:rPr>
      </w:pPr>
    </w:p>
    <w:p w:rsidRPr="00672AF8" w:rsidR="00890565" w:rsidP="00672AF8" w:rsidRDefault="00890565" w14:paraId="4DAEAB9E" w14:textId="77777777">
      <w:pPr>
        <w:spacing w:before="78" w:line="248" w:lineRule="auto"/>
        <w:jc w:val="both"/>
        <w:rPr>
          <w:iCs/>
        </w:rPr>
      </w:pPr>
      <w:r w:rsidRPr="00672AF8">
        <w:rPr>
          <w:iCs/>
        </w:rPr>
        <w:t xml:space="preserve">We look forward to continued success </w:t>
      </w:r>
      <w:r w:rsidRPr="00672AF8" w:rsidR="003C2C14">
        <w:rPr>
          <w:iCs/>
        </w:rPr>
        <w:t xml:space="preserve">of </w:t>
      </w:r>
      <w:r w:rsidR="00C718BF">
        <w:rPr>
          <w:iCs/>
        </w:rPr>
        <w:t xml:space="preserve">the </w:t>
      </w:r>
      <w:r w:rsidRPr="00672AF8" w:rsidR="003C2C14">
        <w:rPr>
          <w:iCs/>
        </w:rPr>
        <w:t>NSFG</w:t>
      </w:r>
      <w:r w:rsidRPr="00672AF8">
        <w:rPr>
          <w:iCs/>
        </w:rPr>
        <w:t>.</w:t>
      </w:r>
    </w:p>
    <w:p w:rsidRPr="00672AF8" w:rsidR="00890565" w:rsidP="00672AF8" w:rsidRDefault="00890565" w14:paraId="40FAAC15" w14:textId="77777777">
      <w:pPr>
        <w:spacing w:line="248" w:lineRule="auto"/>
        <w:ind w:firstLine="10"/>
        <w:jc w:val="both"/>
        <w:rPr>
          <w:iCs/>
        </w:rPr>
      </w:pPr>
    </w:p>
    <w:p w:rsidRPr="00672AF8" w:rsidR="005A67A5" w:rsidP="00672AF8" w:rsidRDefault="005A67A5" w14:paraId="6BA879BE" w14:textId="77777777">
      <w:pPr>
        <w:jc w:val="both"/>
        <w:rPr>
          <w:iCs/>
        </w:rPr>
      </w:pPr>
    </w:p>
    <w:p w:rsidR="00DA13BC" w:rsidP="00BA4664" w:rsidRDefault="00C66D0B" w14:paraId="39535F3E" w14:textId="77777777">
      <w:pPr>
        <w:jc w:val="both"/>
        <w:rPr>
          <w:iCs/>
        </w:rPr>
      </w:pPr>
      <w:r w:rsidRPr="00672AF8">
        <w:rPr>
          <w:iCs/>
        </w:rPr>
        <w:t>Sincerely</w:t>
      </w:r>
      <w:r w:rsidR="00BA4664">
        <w:rPr>
          <w:iCs/>
        </w:rPr>
        <w:t>,</w:t>
      </w:r>
    </w:p>
    <w:p w:rsidR="00DA13BC" w:rsidP="00C66D0B" w:rsidRDefault="00DA13BC" w14:paraId="4E7992AF" w14:textId="77777777">
      <w:pPr>
        <w:autoSpaceDE w:val="0"/>
        <w:autoSpaceDN w:val="0"/>
        <w:adjustRightInd w:val="0"/>
        <w:rPr>
          <w:iCs/>
        </w:rPr>
      </w:pPr>
    </w:p>
    <w:p w:rsidRPr="00672AF8" w:rsidR="00C66D0B" w:rsidP="00C66D0B" w:rsidRDefault="00BA5F7B" w14:paraId="28FD1027" w14:textId="77777777">
      <w:pPr>
        <w:autoSpaceDE w:val="0"/>
        <w:autoSpaceDN w:val="0"/>
        <w:adjustRightInd w:val="0"/>
      </w:pPr>
      <w:r>
        <w:rPr>
          <w:iCs/>
        </w:rPr>
        <w:t>Marc Pitasi, MPH</w:t>
      </w:r>
    </w:p>
    <w:p w:rsidRPr="00672AF8" w:rsidR="00C66D0B" w:rsidP="00C66D0B" w:rsidRDefault="00672AF8" w14:paraId="0F617413" w14:textId="77777777">
      <w:pPr>
        <w:autoSpaceDE w:val="0"/>
        <w:autoSpaceDN w:val="0"/>
        <w:adjustRightInd w:val="0"/>
      </w:pPr>
      <w:r w:rsidRPr="00672AF8">
        <w:rPr>
          <w:iCs/>
        </w:rPr>
        <w:t>Epidemiologist</w:t>
      </w:r>
    </w:p>
    <w:p w:rsidRPr="00672AF8" w:rsidR="00C66D0B" w:rsidP="00C66D0B" w:rsidRDefault="00672AF8" w14:paraId="28AEB074" w14:textId="77777777">
      <w:pPr>
        <w:autoSpaceDE w:val="0"/>
        <w:autoSpaceDN w:val="0"/>
        <w:adjustRightInd w:val="0"/>
      </w:pPr>
      <w:r w:rsidRPr="00672AF8">
        <w:t>Special Studies and Diagnostics Team</w:t>
      </w:r>
    </w:p>
    <w:p w:rsidRPr="00672AF8" w:rsidR="00672AF8" w:rsidP="00C66D0B" w:rsidRDefault="00672AF8" w14:paraId="50B42AC8" w14:textId="77777777">
      <w:pPr>
        <w:autoSpaceDE w:val="0"/>
        <w:autoSpaceDN w:val="0"/>
        <w:adjustRightInd w:val="0"/>
      </w:pPr>
      <w:r w:rsidRPr="00672AF8">
        <w:t>Behavioral and Clinical Surveillance Branch</w:t>
      </w:r>
    </w:p>
    <w:p w:rsidRPr="00672AF8" w:rsidR="00672AF8" w:rsidP="00672AF8" w:rsidRDefault="00672AF8" w14:paraId="2ADA0FED" w14:textId="77777777">
      <w:pPr>
        <w:autoSpaceDE w:val="0"/>
        <w:autoSpaceDN w:val="0"/>
        <w:adjustRightInd w:val="0"/>
      </w:pPr>
      <w:r w:rsidRPr="00672AF8">
        <w:t>Division of HIV Prevention</w:t>
      </w:r>
    </w:p>
    <w:p w:rsidRPr="00672AF8" w:rsidR="00672AF8" w:rsidP="00672AF8" w:rsidRDefault="00672AF8" w14:paraId="0AA1C5B3" w14:textId="77777777">
      <w:r w:rsidRPr="00672AF8">
        <w:t>Centers for Disease Control and Prevention</w:t>
      </w:r>
    </w:p>
    <w:p w:rsidRPr="00672AF8" w:rsidR="00672AF8" w:rsidP="00672AF8" w:rsidRDefault="00672AF8" w14:paraId="7B2A2C41" w14:textId="77777777">
      <w:pPr>
        <w:autoSpaceDE w:val="0"/>
        <w:autoSpaceDN w:val="0"/>
        <w:adjustRightInd w:val="0"/>
      </w:pPr>
      <w:r w:rsidRPr="00672AF8">
        <w:t>1600 Clifton Rd. NE, MS-E46</w:t>
      </w:r>
    </w:p>
    <w:p w:rsidRPr="00672AF8" w:rsidR="00672AF8" w:rsidP="00672AF8" w:rsidRDefault="00672AF8" w14:paraId="1BF0BDB7" w14:textId="77777777">
      <w:pPr>
        <w:autoSpaceDE w:val="0"/>
        <w:autoSpaceDN w:val="0"/>
        <w:adjustRightInd w:val="0"/>
      </w:pPr>
      <w:r w:rsidRPr="00672AF8">
        <w:t>Atlanta, GA 30333</w:t>
      </w:r>
    </w:p>
    <w:p w:rsidRPr="00672AF8" w:rsidR="00672AF8" w:rsidP="00672AF8" w:rsidRDefault="00672AF8" w14:paraId="7DAAD1F2" w14:textId="77777777">
      <w:pPr>
        <w:autoSpaceDE w:val="0"/>
        <w:autoSpaceDN w:val="0"/>
        <w:adjustRightInd w:val="0"/>
      </w:pPr>
      <w:r w:rsidRPr="00672AF8">
        <w:t xml:space="preserve">Phone: 404 639 </w:t>
      </w:r>
      <w:r w:rsidR="00BA5F7B">
        <w:t>6361</w:t>
      </w:r>
    </w:p>
    <w:p w:rsidRPr="00672AF8" w:rsidR="00672AF8" w:rsidP="00672AF8" w:rsidRDefault="00672AF8" w14:paraId="1D452129" w14:textId="77777777">
      <w:pPr>
        <w:autoSpaceDE w:val="0"/>
        <w:autoSpaceDN w:val="0"/>
        <w:adjustRightInd w:val="0"/>
      </w:pPr>
      <w:r w:rsidRPr="00672AF8">
        <w:t xml:space="preserve">Email: </w:t>
      </w:r>
      <w:r w:rsidR="00BA5F7B">
        <w:t>mpitasi@cdc.gov</w:t>
      </w:r>
      <w:r w:rsidRPr="00672AF8" w:rsidDel="00BA5F7B" w:rsidR="00BA5F7B">
        <w:t xml:space="preserve"> </w:t>
      </w:r>
      <w:hyperlink w:history="1" r:id="rId8"/>
    </w:p>
    <w:p w:rsidRPr="00672AF8" w:rsidR="00C66D0B" w:rsidP="00C66D0B" w:rsidRDefault="00C66D0B" w14:paraId="0015D945" w14:textId="77777777">
      <w:pPr>
        <w:autoSpaceDE w:val="0"/>
        <w:autoSpaceDN w:val="0"/>
        <w:adjustRightInd w:val="0"/>
      </w:pPr>
    </w:p>
    <w:p w:rsidRPr="00672AF8" w:rsidR="00C66D0B" w:rsidP="00C66D0B" w:rsidRDefault="00C66D0B" w14:paraId="613CE875" w14:textId="77777777"/>
    <w:p w:rsidRPr="00672AF8" w:rsidR="00C66D0B" w:rsidP="00C66D0B" w:rsidRDefault="00C66D0B" w14:paraId="78AEB9C7" w14:textId="77777777">
      <w:r w:rsidRPr="00672AF8">
        <w:t>cc:</w:t>
      </w:r>
      <w:r w:rsidRPr="00672AF8">
        <w:tab/>
      </w:r>
      <w:r w:rsidRPr="00672AF8" w:rsidR="00E60E43">
        <w:t>Joseph Prejean,</w:t>
      </w:r>
      <w:r w:rsidR="007A4DD7">
        <w:t xml:space="preserve"> PhD,</w:t>
      </w:r>
      <w:r w:rsidRPr="00672AF8" w:rsidR="00E60E43">
        <w:t xml:space="preserve"> Chief</w:t>
      </w:r>
      <w:r w:rsidRPr="00672AF8">
        <w:t xml:space="preserve">, </w:t>
      </w:r>
      <w:r w:rsidRPr="00672AF8" w:rsidR="00E60E43">
        <w:t>Behavioral and Clinical Surveillance Branch</w:t>
      </w:r>
    </w:p>
    <w:p w:rsidR="00E77EFC" w:rsidP="00C66D0B" w:rsidRDefault="00672AF8" w14:paraId="6219F6A2" w14:textId="77777777">
      <w:r w:rsidRPr="00672AF8">
        <w:tab/>
      </w:r>
      <w:r w:rsidR="003230C4">
        <w:t>Kevin Delaney</w:t>
      </w:r>
      <w:r w:rsidRPr="00672AF8">
        <w:t>,</w:t>
      </w:r>
      <w:r w:rsidR="007A4DD7">
        <w:t xml:space="preserve"> PhD, MPH,</w:t>
      </w:r>
      <w:r w:rsidRPr="00672AF8">
        <w:t xml:space="preserve"> Team Lead</w:t>
      </w:r>
      <w:r w:rsidR="00BA4664">
        <w:t>er</w:t>
      </w:r>
      <w:r w:rsidRPr="00672AF8">
        <w:t>, Special Studies and Diagnostics Team</w:t>
      </w:r>
    </w:p>
    <w:p w:rsidRPr="00D468DF" w:rsidR="00F64C02" w:rsidP="00983771" w:rsidRDefault="00004FCD" w14:paraId="1917A20F" w14:textId="77777777">
      <w:pPr>
        <w:rPr>
          <w:b/>
        </w:rPr>
      </w:pPr>
      <w:r>
        <w:rPr>
          <w:b/>
        </w:rPr>
        <w:br w:type="page"/>
      </w:r>
      <w:r w:rsidRPr="00D468DF" w:rsidR="00F64C02">
        <w:rPr>
          <w:b/>
        </w:rPr>
        <w:lastRenderedPageBreak/>
        <w:t>References</w:t>
      </w:r>
    </w:p>
    <w:p w:rsidR="00F64C02" w:rsidP="001E66D0" w:rsidRDefault="00F64C02" w14:paraId="3AB0E0EE" w14:textId="77777777"/>
    <w:p w:rsidR="00383CAA" w:rsidP="007F7983" w:rsidRDefault="00383CAA" w14:paraId="2EB1EF3E" w14:textId="77777777">
      <w:proofErr w:type="spellStart"/>
      <w:r>
        <w:t>Abara</w:t>
      </w:r>
      <w:proofErr w:type="spellEnd"/>
      <w:r>
        <w:t xml:space="preserve"> WE, Oraka E, Jeffries WL 4th, Chavez P, Nasrullah M, et al. (2017) Prevalence and Correlates of Condom Use Among Sexually Active Men Who Have Sex with Men in the United States: Findings from the National Survey of Family Growth, 2002, 2006</w:t>
      </w:r>
      <w:r>
        <w:rPr>
          <w:rFonts w:ascii="Engravers MT" w:hAnsi="Engravers MT"/>
        </w:rPr>
        <w:t>–</w:t>
      </w:r>
      <w:r w:rsidRPr="00E86A83">
        <w:t>10 and 2011–13.</w:t>
      </w:r>
      <w:r>
        <w:t xml:space="preserve"> </w:t>
      </w:r>
      <w:r>
        <w:rPr>
          <w:i/>
        </w:rPr>
        <w:t>Sex Health</w:t>
      </w:r>
      <w:r>
        <w:t xml:space="preserve"> </w:t>
      </w:r>
      <w:r w:rsidR="007F7983">
        <w:t>14(4): 363-71</w:t>
      </w:r>
    </w:p>
    <w:p w:rsidR="007F7983" w:rsidP="007F7983" w:rsidRDefault="007F7983" w14:paraId="7B33DCC2" w14:textId="77777777"/>
    <w:p w:rsidR="00383CAA" w:rsidP="007F7983" w:rsidRDefault="00383CAA" w14:paraId="0FA90A5F" w14:textId="77777777">
      <w:r>
        <w:t xml:space="preserve">Aholou TM, McCree DH, Oraka E, Jeffries WL 4th, Rose CE, et al. (2017) Sexual Risk and Protective Behaviors Among Reproductive-Aged Women in the United States. </w:t>
      </w:r>
      <w:r>
        <w:rPr>
          <w:i/>
        </w:rPr>
        <w:t xml:space="preserve">J </w:t>
      </w:r>
      <w:proofErr w:type="spellStart"/>
      <w:r>
        <w:rPr>
          <w:i/>
        </w:rPr>
        <w:t>Womens</w:t>
      </w:r>
      <w:proofErr w:type="spellEnd"/>
      <w:r>
        <w:rPr>
          <w:i/>
        </w:rPr>
        <w:t xml:space="preserve"> Health (</w:t>
      </w:r>
      <w:proofErr w:type="spellStart"/>
      <w:r>
        <w:rPr>
          <w:i/>
        </w:rPr>
        <w:t>Larchmt</w:t>
      </w:r>
      <w:proofErr w:type="spellEnd"/>
      <w:r>
        <w:rPr>
          <w:i/>
        </w:rPr>
        <w:t>)</w:t>
      </w:r>
      <w:r>
        <w:t xml:space="preserve"> </w:t>
      </w:r>
      <w:r w:rsidR="007F7983">
        <w:t>26(11): 1150-60</w:t>
      </w:r>
    </w:p>
    <w:p w:rsidR="007F7983" w:rsidP="007F7983" w:rsidRDefault="007F7983" w14:paraId="62FF96C8" w14:textId="77777777"/>
    <w:p w:rsidR="00383CAA" w:rsidP="007F7983" w:rsidRDefault="00383CAA" w14:paraId="0248604F" w14:textId="77777777">
      <w:r>
        <w:t>Balaji AB, Oraka E, Fasula AM, Jayne PE, Carry MG, et al. (2017) Association Between Parent-Adolescent Communication About Sex-Related Topics and HIV Testing, United States. 2006</w:t>
      </w:r>
      <w:r>
        <w:rPr>
          <w:rFonts w:ascii="Engravers MT" w:hAnsi="Engravers MT"/>
        </w:rPr>
        <w:t>–</w:t>
      </w:r>
      <w:r>
        <w:t xml:space="preserve">2013. </w:t>
      </w:r>
      <w:r>
        <w:rPr>
          <w:i/>
        </w:rPr>
        <w:t>AIDS Care</w:t>
      </w:r>
      <w:r>
        <w:t xml:space="preserve"> 29(3): 344-9</w:t>
      </w:r>
    </w:p>
    <w:p w:rsidR="007F7983" w:rsidP="007F7983" w:rsidRDefault="007F7983" w14:paraId="2DA36E86" w14:textId="77777777"/>
    <w:p w:rsidR="007F7983" w:rsidP="007F7983" w:rsidRDefault="007F7983" w14:paraId="71D3CA85" w14:textId="77777777">
      <w:r>
        <w:t>Evans ME, Tao G, Porter SE, Gray SC, Huang YA, Hoover KW.</w:t>
      </w:r>
      <w:r w:rsidR="00727219">
        <w:t xml:space="preserve"> (2018)</w:t>
      </w:r>
      <w:r>
        <w:t xml:space="preserve"> Low HIV Testing Rates Among US Women Who Report Anal Sex and Other HIV Sexual Risk Behaviors, 2011</w:t>
      </w:r>
      <w:r>
        <w:rPr>
          <w:rFonts w:ascii="Engravers MT" w:hAnsi="Engravers MT"/>
        </w:rPr>
        <w:t>–</w:t>
      </w:r>
      <w:r>
        <w:t xml:space="preserve">2015. </w:t>
      </w:r>
      <w:r w:rsidRPr="00727219">
        <w:rPr>
          <w:i/>
          <w:iCs/>
        </w:rPr>
        <w:t xml:space="preserve">Am J </w:t>
      </w:r>
      <w:proofErr w:type="spellStart"/>
      <w:r w:rsidRPr="00727219">
        <w:rPr>
          <w:i/>
          <w:iCs/>
        </w:rPr>
        <w:t>Obstet</w:t>
      </w:r>
      <w:proofErr w:type="spellEnd"/>
      <w:r w:rsidRPr="00727219">
        <w:rPr>
          <w:i/>
          <w:iCs/>
        </w:rPr>
        <w:t xml:space="preserve"> </w:t>
      </w:r>
      <w:proofErr w:type="spellStart"/>
      <w:r w:rsidRPr="00727219">
        <w:rPr>
          <w:i/>
          <w:iCs/>
        </w:rPr>
        <w:t>Gynecol</w:t>
      </w:r>
      <w:proofErr w:type="spellEnd"/>
      <w:r>
        <w:t xml:space="preserve"> 219(4): 383.e1-383.e7</w:t>
      </w:r>
    </w:p>
    <w:p w:rsidR="007F7983" w:rsidP="007F7983" w:rsidRDefault="007F7983" w14:paraId="650D37DE" w14:textId="77777777"/>
    <w:p w:rsidR="00383CAA" w:rsidP="007F7983" w:rsidRDefault="00383CAA" w14:paraId="47251AB0" w14:textId="77777777">
      <w:r>
        <w:t xml:space="preserve">Fasula AM, Oraka E, Jeffries WL 4th, Carry M, Banez Ocfemia MC, et al. (2016) Young Sexual Minority Males in the United States: Sociodemographic Characteristics and Sexual Attraction, Identity and Behavior. </w:t>
      </w:r>
      <w:proofErr w:type="spellStart"/>
      <w:r>
        <w:rPr>
          <w:i/>
        </w:rPr>
        <w:t>Perspect</w:t>
      </w:r>
      <w:proofErr w:type="spellEnd"/>
      <w:r>
        <w:rPr>
          <w:i/>
        </w:rPr>
        <w:t xml:space="preserve"> Sex </w:t>
      </w:r>
      <w:proofErr w:type="spellStart"/>
      <w:r>
        <w:rPr>
          <w:i/>
        </w:rPr>
        <w:t>Reprod</w:t>
      </w:r>
      <w:proofErr w:type="spellEnd"/>
      <w:r>
        <w:rPr>
          <w:i/>
        </w:rPr>
        <w:t xml:space="preserve"> Health</w:t>
      </w:r>
      <w:r>
        <w:t xml:space="preserve"> 48(1): 3-8</w:t>
      </w:r>
    </w:p>
    <w:p w:rsidR="007F7983" w:rsidP="007F7983" w:rsidRDefault="007F7983" w14:paraId="757DA003" w14:textId="77777777"/>
    <w:p w:rsidR="00727219" w:rsidP="007F7983" w:rsidRDefault="00727219" w14:paraId="6F707744" w14:textId="77777777">
      <w:r>
        <w:t>Jeffries WL 4</w:t>
      </w:r>
      <w:r w:rsidRPr="00727219">
        <w:rPr>
          <w:vertAlign w:val="superscript"/>
        </w:rPr>
        <w:t>th</w:t>
      </w:r>
      <w:r>
        <w:t>, Johnson OD. (201</w:t>
      </w:r>
      <w:r w:rsidR="00A81104">
        <w:t>8</w:t>
      </w:r>
      <w:r>
        <w:t xml:space="preserve">) Internalized Homonegativity and Substance Use Among U.S. Men Who Have Sex with Men Only (MSMO) and Men Who Have Sex with Men and Women (MSMW). </w:t>
      </w:r>
      <w:proofErr w:type="spellStart"/>
      <w:r w:rsidRPr="00A81104" w:rsidR="00A81104">
        <w:rPr>
          <w:i/>
          <w:iCs/>
        </w:rPr>
        <w:t>Subst</w:t>
      </w:r>
      <w:proofErr w:type="spellEnd"/>
      <w:r w:rsidRPr="00A81104" w:rsidR="00A81104">
        <w:rPr>
          <w:i/>
          <w:iCs/>
        </w:rPr>
        <w:t xml:space="preserve"> Use Misuse</w:t>
      </w:r>
      <w:r w:rsidR="00A81104">
        <w:t xml:space="preserve"> 53(4): 559-64</w:t>
      </w:r>
    </w:p>
    <w:p w:rsidR="00727219" w:rsidP="007F7983" w:rsidRDefault="00727219" w14:paraId="489C665C" w14:textId="77777777"/>
    <w:p w:rsidR="00383CAA" w:rsidP="007F7983" w:rsidRDefault="00383CAA" w14:paraId="330FBE99" w14:textId="77777777">
      <w:r>
        <w:t xml:space="preserve">Jeffries WL 4th, Johnson OD. (2015) Homonegative Attitudes and Risk Behaviors for HIV and Other Sexually Transmitted Infections Among Sexually Active Men in the United States. </w:t>
      </w:r>
      <w:r>
        <w:rPr>
          <w:i/>
        </w:rPr>
        <w:t>Am J Public Health</w:t>
      </w:r>
      <w:r>
        <w:t xml:space="preserve"> 105(12): 2466-72</w:t>
      </w:r>
    </w:p>
    <w:p w:rsidR="007F7983" w:rsidP="007F7983" w:rsidRDefault="007F7983" w14:paraId="7E0FD1FD" w14:textId="77777777"/>
    <w:p w:rsidR="007F7983" w:rsidP="007F7983" w:rsidRDefault="007F7983" w14:paraId="3FF7D205" w14:textId="77777777">
      <w:pPr>
        <w:jc w:val="both"/>
      </w:pPr>
      <w:r>
        <w:t xml:space="preserve">Lansky A, Johnson C, Oraka E, Sionean C, Joyce MP, et al. (2015) Estimating the Number of Heterosexual Persons in the United States to Calculate National Rates of HIV Infection. </w:t>
      </w:r>
      <w:proofErr w:type="spellStart"/>
      <w:r w:rsidRPr="00757C49">
        <w:rPr>
          <w:i/>
        </w:rPr>
        <w:t>PLoS</w:t>
      </w:r>
      <w:proofErr w:type="spellEnd"/>
      <w:r w:rsidRPr="00757C49">
        <w:rPr>
          <w:i/>
        </w:rPr>
        <w:t xml:space="preserve"> ONE</w:t>
      </w:r>
      <w:r>
        <w:rPr>
          <w:i/>
        </w:rPr>
        <w:t xml:space="preserve"> </w:t>
      </w:r>
      <w:r>
        <w:t xml:space="preserve">10(7): </w:t>
      </w:r>
      <w:r w:rsidRPr="00757C49">
        <w:t>e0133543</w:t>
      </w:r>
    </w:p>
    <w:p w:rsidR="007F7983" w:rsidP="007F7983" w:rsidRDefault="007F7983" w14:paraId="2140CE14" w14:textId="77777777">
      <w:pPr>
        <w:jc w:val="both"/>
      </w:pPr>
    </w:p>
    <w:p w:rsidR="007F7983" w:rsidP="007F7983" w:rsidRDefault="007F7983" w14:paraId="4E2E9AF3" w14:textId="77777777">
      <w:pPr>
        <w:jc w:val="both"/>
      </w:pPr>
      <w:r w:rsidRPr="00A479E5">
        <w:t xml:space="preserve">Lansky A, Finlayson T, Johnson C, Holtzman D, Wejnert C, et al. (2014) Estimating the Number of Persons Who Inject Drugs in the United States by Meta-Analysis to Calculate National Rates of HIV and Hepatitis C Virus Infections. </w:t>
      </w:r>
      <w:proofErr w:type="spellStart"/>
      <w:r w:rsidRPr="00983771">
        <w:rPr>
          <w:i/>
        </w:rPr>
        <w:t>PLoS</w:t>
      </w:r>
      <w:proofErr w:type="spellEnd"/>
      <w:r w:rsidRPr="00983771">
        <w:rPr>
          <w:i/>
        </w:rPr>
        <w:t xml:space="preserve"> ONE</w:t>
      </w:r>
      <w:r w:rsidRPr="00A479E5">
        <w:t xml:space="preserve"> 9(5):</w:t>
      </w:r>
      <w:r w:rsidRPr="00D468DF">
        <w:rPr>
          <w:rFonts w:ascii="AdvP403A40" w:hAnsi="AdvP403A40" w:cs="AdvP403A40"/>
          <w:sz w:val="16"/>
          <w:szCs w:val="16"/>
        </w:rPr>
        <w:t xml:space="preserve"> </w:t>
      </w:r>
      <w:r w:rsidRPr="00D468DF">
        <w:t>e97596</w:t>
      </w:r>
    </w:p>
    <w:p w:rsidR="00A81104" w:rsidP="007F7983" w:rsidRDefault="00A81104" w14:paraId="6CFB3344" w14:textId="77777777">
      <w:pPr>
        <w:jc w:val="both"/>
      </w:pPr>
    </w:p>
    <w:p w:rsidR="00A81104" w:rsidP="007F7983" w:rsidRDefault="00A81104" w14:paraId="7BEAB37B" w14:textId="77777777">
      <w:pPr>
        <w:jc w:val="both"/>
      </w:pPr>
      <w:r>
        <w:t xml:space="preserve">McCree DH, Walker T, DiNenno E, Hoots B, Valverde E, </w:t>
      </w:r>
      <w:proofErr w:type="spellStart"/>
      <w:r>
        <w:t>Ocfemia</w:t>
      </w:r>
      <w:proofErr w:type="spellEnd"/>
      <w:r>
        <w:t xml:space="preserve"> MCB, et al. (2018) A Programmatic Approach to Address Increasing HIV Diagnoses Among Hispanic/Latino MSM, 2010-2014. </w:t>
      </w:r>
      <w:proofErr w:type="spellStart"/>
      <w:r>
        <w:t>Prev</w:t>
      </w:r>
      <w:proofErr w:type="spellEnd"/>
      <w:r>
        <w:t xml:space="preserve"> Med 114: 64-71.</w:t>
      </w:r>
    </w:p>
    <w:p w:rsidRPr="008B4593" w:rsidR="007F7983" w:rsidP="007F7983" w:rsidRDefault="007F7983" w14:paraId="75F47895" w14:textId="77777777">
      <w:pPr>
        <w:jc w:val="both"/>
      </w:pPr>
    </w:p>
    <w:p w:rsidR="00DA13BC" w:rsidP="007F7983" w:rsidRDefault="008B4593" w14:paraId="3EC2D28E" w14:textId="77777777">
      <w:pPr>
        <w:jc w:val="both"/>
      </w:pPr>
      <w:r w:rsidRPr="008B4593">
        <w:lastRenderedPageBreak/>
        <w:t>Nasrullah M,</w:t>
      </w:r>
      <w:r w:rsidRPr="00C70DE8">
        <w:t xml:space="preserve"> Oraka E, Chavez P</w:t>
      </w:r>
      <w:r>
        <w:t>, Valverde E, DiNenno E.</w:t>
      </w:r>
      <w:r w:rsidR="00F9144F">
        <w:t xml:space="preserve"> (2015)</w:t>
      </w:r>
      <w:r w:rsidRPr="00C70DE8">
        <w:t xml:space="preserve"> </w:t>
      </w:r>
      <w:bookmarkStart w:name="_GoBack" w:id="0"/>
      <w:bookmarkEnd w:id="0"/>
      <w:r w:rsidR="005F1A40">
        <w:t xml:space="preserve">Nonvolitional Sex and HIV-related Sexual Risk </w:t>
      </w:r>
      <w:proofErr w:type="spellStart"/>
      <w:r w:rsidR="005F1A40">
        <w:t>Behaviours</w:t>
      </w:r>
      <w:proofErr w:type="spellEnd"/>
      <w:r w:rsidR="005F1A40">
        <w:t xml:space="preserve"> </w:t>
      </w:r>
      <w:r w:rsidR="00E86A83">
        <w:t>A</w:t>
      </w:r>
      <w:r w:rsidR="005F1A40">
        <w:t xml:space="preserve">mong MSM in the United States. </w:t>
      </w:r>
      <w:r w:rsidR="005F1A40">
        <w:rPr>
          <w:i/>
        </w:rPr>
        <w:t>AIDS</w:t>
      </w:r>
      <w:r w:rsidR="005F1A40">
        <w:t xml:space="preserve"> 29(13): 1673-80</w:t>
      </w:r>
    </w:p>
    <w:p w:rsidR="007F7983" w:rsidP="007F7983" w:rsidRDefault="007F7983" w14:paraId="5314771D" w14:textId="77777777">
      <w:pPr>
        <w:jc w:val="both"/>
      </w:pPr>
    </w:p>
    <w:p w:rsidR="007F7983" w:rsidP="007F7983" w:rsidRDefault="00383CAA" w14:paraId="532A7218" w14:textId="77777777">
      <w:pPr>
        <w:jc w:val="both"/>
      </w:pPr>
      <w:r>
        <w:t>Nasrullah M, Oraka E, Chavez PR, Johnson CH, DiNenno E. (2017) Factors Associated with Condom Use Among Sexually Active US Adults, National Survey of Family Growth, 2006</w:t>
      </w:r>
      <w:r>
        <w:rPr>
          <w:rFonts w:ascii="Engravers MT" w:hAnsi="Engravers MT"/>
        </w:rPr>
        <w:t>–</w:t>
      </w:r>
      <w:r>
        <w:t>2010 and 2011</w:t>
      </w:r>
      <w:r>
        <w:rPr>
          <w:rFonts w:ascii="Engravers MT" w:hAnsi="Engravers MT"/>
        </w:rPr>
        <w:t>–</w:t>
      </w:r>
      <w:r w:rsidRPr="00E86A83">
        <w:t>2013</w:t>
      </w:r>
      <w:r>
        <w:t xml:space="preserve">. </w:t>
      </w:r>
      <w:r>
        <w:rPr>
          <w:i/>
        </w:rPr>
        <w:t xml:space="preserve">J Sex Med </w:t>
      </w:r>
      <w:r>
        <w:t>14(4): 541-50</w:t>
      </w:r>
    </w:p>
    <w:p w:rsidR="007F7983" w:rsidP="007F7983" w:rsidRDefault="007F7983" w14:paraId="1E67E567" w14:textId="77777777">
      <w:pPr>
        <w:jc w:val="both"/>
      </w:pPr>
    </w:p>
    <w:p w:rsidR="007F7983" w:rsidP="007F7983" w:rsidRDefault="007F7983" w14:paraId="12D85C5D" w14:textId="77777777">
      <w:pPr>
        <w:jc w:val="both"/>
      </w:pPr>
      <w:r w:rsidRPr="00A479E5">
        <w:t xml:space="preserve">Purcell DW, Johnson CH, Lansky A, Prejean J, Stein R, et al. (2012) Estimating the population size of men who have sex with men in the United States to obtain HIV and syphilis rates. </w:t>
      </w:r>
      <w:r w:rsidRPr="00983771">
        <w:rPr>
          <w:i/>
        </w:rPr>
        <w:t>Open AIDS J</w:t>
      </w:r>
      <w:r w:rsidRPr="00A479E5">
        <w:t xml:space="preserve"> 6: 98–107</w:t>
      </w:r>
    </w:p>
    <w:p w:rsidR="007F7983" w:rsidP="007F7983" w:rsidRDefault="007F7983" w14:paraId="115C1B41" w14:textId="77777777">
      <w:pPr>
        <w:jc w:val="both"/>
      </w:pPr>
    </w:p>
    <w:p w:rsidRPr="00672AF8" w:rsidR="008B4593" w:rsidP="007F7983" w:rsidRDefault="00F9144F" w14:paraId="158E3A53" w14:textId="77777777">
      <w:pPr>
        <w:jc w:val="both"/>
      </w:pPr>
      <w:r>
        <w:t>Van Handel M, Lyons B, Oraka E, Nasrullah M, DiNenno E, et al. (2015) Factors Associated with Time Since Last HIV Test Among Persons at High Risk for HIV Infection, National Survey of Family Growth, 2006</w:t>
      </w:r>
      <w:r>
        <w:rPr>
          <w:rFonts w:ascii="Engravers MT" w:hAnsi="Engravers MT"/>
        </w:rPr>
        <w:t>–</w:t>
      </w:r>
      <w:r>
        <w:t>2010.</w:t>
      </w:r>
      <w:r w:rsidR="00407C07">
        <w:t xml:space="preserve"> </w:t>
      </w:r>
      <w:r w:rsidR="00407C07">
        <w:rPr>
          <w:i/>
        </w:rPr>
        <w:t xml:space="preserve">AIDS Patient Care STDS </w:t>
      </w:r>
      <w:r w:rsidR="00407C07">
        <w:t>29(10): 533-40</w:t>
      </w:r>
    </w:p>
    <w:sectPr w:rsidRPr="00672AF8" w:rsidR="008B4593" w:rsidSect="00B91235">
      <w:headerReference w:type="even" r:id="rId9"/>
      <w:headerReference w:type="default" r:id="rId10"/>
      <w:footerReference w:type="even" r:id="rId11"/>
      <w:footerReference w:type="default" r:id="rId12"/>
      <w:headerReference w:type="first" r:id="rId13"/>
      <w:footerReference w:type="first" r:id="rId14"/>
      <w:pgSz w:w="12240" w:h="15840"/>
      <w:pgMar w:top="1080" w:right="1800" w:bottom="1440" w:left="1800" w:header="720" w:footer="720" w:gutter="0"/>
      <w:cols w:space="720"/>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endnote w:type="separator" w:id="-1">
    <w:p w14:paraId="757F2E98" w14:textId="77777777" w:rsidR="00B80709" w:rsidRDefault="00B80709">
      <w:r>
        <w:separator/>
      </w:r>
    </w:p>
  </w:endnote>
  <w:endnote w:type="continuationSeparator" w:id="0">
    <w:p w14:paraId="3FA25C88" w14:textId="77777777" w:rsidR="00B80709" w:rsidRDefault="00B80709">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font w:name="Times New Roman">
    <w:panose1 w:val="02020603050405020304"/>
    <w:charset w:val="00"/>
    <w:family w:val="roman"/>
    <w:pitch w:val="variable"/>
    <w:sig w:usb0="E0002EFF" w:usb1="C000785B"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Tahoma">
    <w:panose1 w:val="020B0604030504040204"/>
    <w:charset w:val="00"/>
    <w:family w:val="swiss"/>
    <w:pitch w:val="variable"/>
    <w:sig w:usb0="E1002EFF" w:usb1="C000605B" w:usb2="00000029" w:usb3="00000000" w:csb0="000101FF" w:csb1="00000000"/>
  </w:font>
  <w:font w:name="Calibri">
    <w:panose1 w:val="020F0502020204030204"/>
    <w:charset w:val="00"/>
    <w:family w:val="swiss"/>
    <w:pitch w:val="variable"/>
    <w:sig w:usb0="E4002EFF" w:usb1="C000247B" w:usb2="00000009" w:usb3="00000000" w:csb0="000001FF" w:csb1="00000000"/>
  </w:font>
  <w:font w:name="Engravers MT">
    <w:panose1 w:val="02090707080505020304"/>
    <w:charset w:val="00"/>
    <w:family w:val="roman"/>
    <w:pitch w:val="variable"/>
    <w:sig w:usb0="00000003" w:usb1="00000000" w:usb2="00000000" w:usb3="00000000" w:csb0="00000001" w:csb1="00000000"/>
  </w:font>
  <w:font w:name="AdvP403A40">
    <w:altName w:val="Calibri"/>
    <w:panose1 w:val="00000000000000000000"/>
    <w:charset w:val="00"/>
    <w:family w:val="swiss"/>
    <w:notTrueType/>
    <w:pitch w:val="default"/>
    <w:sig w:usb0="00000003" w:usb1="00000000" w:usb2="00000000" w:usb3="00000000" w:csb0="00000001" w:csb1="00000000"/>
  </w:font>
  <w:font w:name="Calibri Light">
    <w:panose1 w:val="020F03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BA8CB6C" w14:textId="77777777" w:rsidR="00A22DB1" w:rsidRDefault="00A22DB1" w:rsidP="00B84D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end"/>
    </w:r>
  </w:p>
  <w:p w14:paraId="2590CD3F" w14:textId="77777777" w:rsidR="00A22DB1" w:rsidRDefault="00A22DB1" w:rsidP="00B91235">
    <w:pPr>
      <w:pStyle w:val="Footer"/>
      <w:ind w:right="360"/>
    </w:pPr>
  </w:p>
  <w:p w14:paraId="3F1EA9A7" w14:textId="77777777" w:rsidR="00A22DB1" w:rsidRDefault="00A22DB1"/>
  <w:p w14:paraId="165F3540" w14:textId="77777777" w:rsidR="00A22DB1" w:rsidRDefault="00A22DB1"/>
  <w:p w14:paraId="5D8A99F6" w14:textId="77777777" w:rsidR="00A22DB1" w:rsidRDefault="00A22DB1"/>
  <w:p w14:paraId="294157AC" w14:textId="77777777" w:rsidR="00A22DB1" w:rsidRDefault="00A22DB1"/>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3BFCCCC2" w14:textId="77777777" w:rsidR="00A22DB1" w:rsidRDefault="00A22DB1" w:rsidP="00B84DE2">
    <w:pPr>
      <w:pStyle w:val="Footer"/>
      <w:framePr w:wrap="around" w:vAnchor="text" w:hAnchor="margin" w:xAlign="right" w:y="1"/>
      <w:rPr>
        <w:rStyle w:val="PageNumber"/>
      </w:rPr>
    </w:pPr>
    <w:r>
      <w:rPr>
        <w:rStyle w:val="PageNumber"/>
      </w:rPr>
      <w:fldChar w:fldCharType="begin"/>
    </w:r>
    <w:r>
      <w:rPr>
        <w:rStyle w:val="PageNumber"/>
      </w:rPr>
      <w:instrText xml:space="preserve">PAGE  </w:instrText>
    </w:r>
    <w:r>
      <w:rPr>
        <w:rStyle w:val="PageNumber"/>
      </w:rPr>
      <w:fldChar w:fldCharType="separate"/>
    </w:r>
    <w:r w:rsidR="002C253B">
      <w:rPr>
        <w:rStyle w:val="PageNumber"/>
        <w:noProof/>
      </w:rPr>
      <w:t>3</w:t>
    </w:r>
    <w:r>
      <w:rPr>
        <w:rStyle w:val="PageNumber"/>
      </w:rPr>
      <w:fldChar w:fldCharType="end"/>
    </w:r>
  </w:p>
  <w:p w14:paraId="6C480FA8" w14:textId="77777777" w:rsidR="00A22DB1" w:rsidRDefault="00A22DB1" w:rsidP="00B91235">
    <w:pPr>
      <w:pStyle w:val="Footer"/>
      <w:ind w:right="360"/>
    </w:pPr>
  </w:p>
  <w:p w14:paraId="238D906D" w14:textId="77777777" w:rsidR="00A22DB1" w:rsidRDefault="00A22DB1"/>
  <w:p w14:paraId="08EA6AC3" w14:textId="77777777" w:rsidR="00A22DB1" w:rsidRDefault="00A22DB1"/>
  <w:p w14:paraId="240E610E" w14:textId="77777777" w:rsidR="00A22DB1" w:rsidRDefault="00A22DB1"/>
  <w:p w14:paraId="56AE21FD" w14:textId="77777777" w:rsidR="00A22DB1" w:rsidRDefault="00A22DB1"/>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5182F6C" w14:textId="77777777" w:rsidR="00BA4664" w:rsidRDefault="00BA4664">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footnote w:type="separator" w:id="-1">
    <w:p w14:paraId="60D1005A" w14:textId="77777777" w:rsidR="00B80709" w:rsidRDefault="00B80709">
      <w:r>
        <w:separator/>
      </w:r>
    </w:p>
  </w:footnote>
  <w:footnote w:type="continuationSeparator" w:id="0">
    <w:p w14:paraId="2D3F1B10" w14:textId="77777777" w:rsidR="00B80709" w:rsidRDefault="00B80709">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5D4E0DB0" w14:textId="77777777" w:rsidR="00BA4664" w:rsidRDefault="00BA4664">
    <w:pPr>
      <w:pStyle w:val="Heade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604E67A0" w14:textId="77777777" w:rsidR="00BA4664" w:rsidRPr="00D12258" w:rsidRDefault="00D12258" w:rsidP="00D12258">
    <w:pPr>
      <w:pStyle w:val="Header"/>
      <w:tabs>
        <w:tab w:val="clear" w:pos="4680"/>
        <w:tab w:val="clear" w:pos="9360"/>
        <w:tab w:val="center" w:pos="4320"/>
        <w:tab w:val="right" w:pos="8640"/>
      </w:tabs>
      <w:rPr>
        <w:rFonts w:ascii="Calibri" w:hAnsi="Calibri" w:cs="Calibri"/>
        <w:sz w:val="22"/>
        <w:szCs w:val="22"/>
      </w:rPr>
    </w:pPr>
    <w:r w:rsidRPr="00D12258">
      <w:rPr>
        <w:rFonts w:ascii="Calibri" w:hAnsi="Calibri" w:cs="Calibri"/>
        <w:sz w:val="22"/>
        <w:szCs w:val="22"/>
      </w:rPr>
      <w:t>NSFG</w:t>
    </w:r>
    <w:r w:rsidRPr="00D12258">
      <w:rPr>
        <w:rFonts w:ascii="Calibri" w:hAnsi="Calibri" w:cs="Calibri"/>
        <w:sz w:val="22"/>
        <w:szCs w:val="22"/>
      </w:rPr>
      <w:tab/>
      <w:t>OMB Attachment E8</w:t>
    </w:r>
    <w:r w:rsidRPr="00D12258">
      <w:rPr>
        <w:rFonts w:ascii="Calibri" w:hAnsi="Calibri" w:cs="Calibri"/>
        <w:sz w:val="22"/>
        <w:szCs w:val="22"/>
      </w:rPr>
      <w:tab/>
      <w:t>OMB No. 0920-0314</w:t>
    </w: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p w14:paraId="41A4374B" w14:textId="77777777" w:rsidR="00BA4664" w:rsidRDefault="00BA4664">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p14">
  <w:abstractNum w:abstractNumId="0" w15:restartNumberingAfterBreak="0">
    <w:nsid w:val="0D2165A1"/>
    <w:multiLevelType w:val="hybridMultilevel"/>
    <w:tmpl w:val="39B2DFE4"/>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1" w15:restartNumberingAfterBreak="0">
    <w:nsid w:val="12853C1D"/>
    <w:multiLevelType w:val="hybridMultilevel"/>
    <w:tmpl w:val="BC245AF4"/>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2" w15:restartNumberingAfterBreak="0">
    <w:nsid w:val="1B9A17EF"/>
    <w:multiLevelType w:val="hybridMultilevel"/>
    <w:tmpl w:val="C09222C2"/>
    <w:lvl w:ilvl="0" w:tplc="CDB423EE">
      <w:start w:val="1"/>
      <w:numFmt w:val="bullet"/>
      <w:lvlText w:val=""/>
      <w:lvlJc w:val="left"/>
      <w:pPr>
        <w:tabs>
          <w:tab w:val="num" w:pos="720"/>
        </w:tabs>
        <w:ind w:left="720" w:hanging="360"/>
      </w:pPr>
      <w:rPr>
        <w:rFonts w:ascii="Wingdings" w:hAnsi="Wingdings" w:hint="default"/>
      </w:rPr>
    </w:lvl>
    <w:lvl w:ilvl="1" w:tplc="B1CA0F34" w:tentative="1">
      <w:start w:val="1"/>
      <w:numFmt w:val="bullet"/>
      <w:lvlText w:val=""/>
      <w:lvlJc w:val="left"/>
      <w:pPr>
        <w:tabs>
          <w:tab w:val="num" w:pos="1440"/>
        </w:tabs>
        <w:ind w:left="1440" w:hanging="360"/>
      </w:pPr>
      <w:rPr>
        <w:rFonts w:ascii="Wingdings" w:hAnsi="Wingdings" w:hint="default"/>
      </w:rPr>
    </w:lvl>
    <w:lvl w:ilvl="2" w:tplc="A274D0D4" w:tentative="1">
      <w:start w:val="1"/>
      <w:numFmt w:val="bullet"/>
      <w:lvlText w:val=""/>
      <w:lvlJc w:val="left"/>
      <w:pPr>
        <w:tabs>
          <w:tab w:val="num" w:pos="2160"/>
        </w:tabs>
        <w:ind w:left="2160" w:hanging="360"/>
      </w:pPr>
      <w:rPr>
        <w:rFonts w:ascii="Wingdings" w:hAnsi="Wingdings" w:hint="default"/>
      </w:rPr>
    </w:lvl>
    <w:lvl w:ilvl="3" w:tplc="FD7C2A46" w:tentative="1">
      <w:start w:val="1"/>
      <w:numFmt w:val="bullet"/>
      <w:lvlText w:val=""/>
      <w:lvlJc w:val="left"/>
      <w:pPr>
        <w:tabs>
          <w:tab w:val="num" w:pos="2880"/>
        </w:tabs>
        <w:ind w:left="2880" w:hanging="360"/>
      </w:pPr>
      <w:rPr>
        <w:rFonts w:ascii="Wingdings" w:hAnsi="Wingdings" w:hint="default"/>
      </w:rPr>
    </w:lvl>
    <w:lvl w:ilvl="4" w:tplc="1128A052" w:tentative="1">
      <w:start w:val="1"/>
      <w:numFmt w:val="bullet"/>
      <w:lvlText w:val=""/>
      <w:lvlJc w:val="left"/>
      <w:pPr>
        <w:tabs>
          <w:tab w:val="num" w:pos="3600"/>
        </w:tabs>
        <w:ind w:left="3600" w:hanging="360"/>
      </w:pPr>
      <w:rPr>
        <w:rFonts w:ascii="Wingdings" w:hAnsi="Wingdings" w:hint="default"/>
      </w:rPr>
    </w:lvl>
    <w:lvl w:ilvl="5" w:tplc="F2FC2EFE" w:tentative="1">
      <w:start w:val="1"/>
      <w:numFmt w:val="bullet"/>
      <w:lvlText w:val=""/>
      <w:lvlJc w:val="left"/>
      <w:pPr>
        <w:tabs>
          <w:tab w:val="num" w:pos="4320"/>
        </w:tabs>
        <w:ind w:left="4320" w:hanging="360"/>
      </w:pPr>
      <w:rPr>
        <w:rFonts w:ascii="Wingdings" w:hAnsi="Wingdings" w:hint="default"/>
      </w:rPr>
    </w:lvl>
    <w:lvl w:ilvl="6" w:tplc="47B09E02" w:tentative="1">
      <w:start w:val="1"/>
      <w:numFmt w:val="bullet"/>
      <w:lvlText w:val=""/>
      <w:lvlJc w:val="left"/>
      <w:pPr>
        <w:tabs>
          <w:tab w:val="num" w:pos="5040"/>
        </w:tabs>
        <w:ind w:left="5040" w:hanging="360"/>
      </w:pPr>
      <w:rPr>
        <w:rFonts w:ascii="Wingdings" w:hAnsi="Wingdings" w:hint="default"/>
      </w:rPr>
    </w:lvl>
    <w:lvl w:ilvl="7" w:tplc="40C675CC" w:tentative="1">
      <w:start w:val="1"/>
      <w:numFmt w:val="bullet"/>
      <w:lvlText w:val=""/>
      <w:lvlJc w:val="left"/>
      <w:pPr>
        <w:tabs>
          <w:tab w:val="num" w:pos="5760"/>
        </w:tabs>
        <w:ind w:left="5760" w:hanging="360"/>
      </w:pPr>
      <w:rPr>
        <w:rFonts w:ascii="Wingdings" w:hAnsi="Wingdings" w:hint="default"/>
      </w:rPr>
    </w:lvl>
    <w:lvl w:ilvl="8" w:tplc="B8620014" w:tentative="1">
      <w:start w:val="1"/>
      <w:numFmt w:val="bullet"/>
      <w:lvlText w:val=""/>
      <w:lvlJc w:val="left"/>
      <w:pPr>
        <w:tabs>
          <w:tab w:val="num" w:pos="6480"/>
        </w:tabs>
        <w:ind w:left="6480" w:hanging="360"/>
      </w:pPr>
      <w:rPr>
        <w:rFonts w:ascii="Wingdings" w:hAnsi="Wingdings" w:hint="default"/>
      </w:rPr>
    </w:lvl>
  </w:abstractNum>
  <w:abstractNum w:abstractNumId="3" w15:restartNumberingAfterBreak="0">
    <w:nsid w:val="2A6C3283"/>
    <w:multiLevelType w:val="hybridMultilevel"/>
    <w:tmpl w:val="F6C446E2"/>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4" w15:restartNumberingAfterBreak="0">
    <w:nsid w:val="36517C0D"/>
    <w:multiLevelType w:val="hybridMultilevel"/>
    <w:tmpl w:val="3F2006AA"/>
    <w:lvl w:ilvl="0" w:tplc="CD6A15DE">
      <w:start w:val="1"/>
      <w:numFmt w:val="decimal"/>
      <w:lvlText w:val="%1."/>
      <w:lvlJc w:val="left"/>
      <w:pPr>
        <w:ind w:left="720" w:hanging="360"/>
      </w:pPr>
      <w:rPr>
        <w:rFonts w:cs="Times New Roman"/>
      </w:r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start w:val="1"/>
      <w:numFmt w:val="decimal"/>
      <w:lvlText w:val="%4."/>
      <w:lvlJc w:val="left"/>
      <w:pPr>
        <w:ind w:left="2880" w:hanging="360"/>
      </w:pPr>
    </w:lvl>
    <w:lvl w:ilvl="4" w:tplc="04090019">
      <w:start w:val="1"/>
      <w:numFmt w:val="lowerLetter"/>
      <w:lvlText w:val="%5."/>
      <w:lvlJc w:val="left"/>
      <w:pPr>
        <w:ind w:left="3600" w:hanging="360"/>
      </w:pPr>
    </w:lvl>
    <w:lvl w:ilvl="5" w:tplc="0409001B">
      <w:start w:val="1"/>
      <w:numFmt w:val="lowerRoman"/>
      <w:lvlText w:val="%6."/>
      <w:lvlJc w:val="right"/>
      <w:pPr>
        <w:ind w:left="4320" w:hanging="180"/>
      </w:pPr>
    </w:lvl>
    <w:lvl w:ilvl="6" w:tplc="0409000F">
      <w:start w:val="1"/>
      <w:numFmt w:val="decimal"/>
      <w:lvlText w:val="%7."/>
      <w:lvlJc w:val="left"/>
      <w:pPr>
        <w:ind w:left="5040" w:hanging="360"/>
      </w:pPr>
    </w:lvl>
    <w:lvl w:ilvl="7" w:tplc="04090019">
      <w:start w:val="1"/>
      <w:numFmt w:val="lowerLetter"/>
      <w:lvlText w:val="%8."/>
      <w:lvlJc w:val="left"/>
      <w:pPr>
        <w:ind w:left="5760" w:hanging="360"/>
      </w:pPr>
    </w:lvl>
    <w:lvl w:ilvl="8" w:tplc="0409001B">
      <w:start w:val="1"/>
      <w:numFmt w:val="lowerRoman"/>
      <w:lvlText w:val="%9."/>
      <w:lvlJc w:val="right"/>
      <w:pPr>
        <w:ind w:left="6480" w:hanging="180"/>
      </w:pPr>
    </w:lvl>
  </w:abstractNum>
  <w:abstractNum w:abstractNumId="5" w15:restartNumberingAfterBreak="0">
    <w:nsid w:val="3FF852F6"/>
    <w:multiLevelType w:val="hybridMultilevel"/>
    <w:tmpl w:val="D5F8233E"/>
    <w:lvl w:ilvl="0" w:tplc="0409000F">
      <w:start w:val="1"/>
      <w:numFmt w:val="decimal"/>
      <w:lvlText w:val="%1."/>
      <w:lvlJc w:val="left"/>
      <w:pPr>
        <w:ind w:left="720" w:hanging="360"/>
      </w:p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6" w15:restartNumberingAfterBreak="0">
    <w:nsid w:val="45922E1D"/>
    <w:multiLevelType w:val="hybridMultilevel"/>
    <w:tmpl w:val="ADB20968"/>
    <w:lvl w:ilvl="0" w:tplc="0409000F">
      <w:start w:val="1"/>
      <w:numFmt w:val="decimal"/>
      <w:lvlText w:val="%1."/>
      <w:lvlJc w:val="left"/>
      <w:pPr>
        <w:ind w:left="720" w:hanging="360"/>
      </w:pPr>
    </w:lvl>
    <w:lvl w:ilvl="1" w:tplc="04090019">
      <w:start w:val="1"/>
      <w:numFmt w:val="lowerLetter"/>
      <w:lvlText w:val="%2."/>
      <w:lvlJc w:val="left"/>
      <w:pPr>
        <w:ind w:left="1440" w:hanging="360"/>
      </w:pPr>
    </w:lvl>
    <w:lvl w:ilvl="2" w:tplc="0409001B">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7" w15:restartNumberingAfterBreak="0">
    <w:nsid w:val="5ECF05BE"/>
    <w:multiLevelType w:val="hybridMultilevel"/>
    <w:tmpl w:val="12EC292E"/>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8" w15:restartNumberingAfterBreak="0">
    <w:nsid w:val="65FC3FE0"/>
    <w:multiLevelType w:val="hybridMultilevel"/>
    <w:tmpl w:val="60F0377C"/>
    <w:lvl w:ilvl="0" w:tplc="0409000F">
      <w:start w:val="1"/>
      <w:numFmt w:val="decimal"/>
      <w:lvlText w:val="%1."/>
      <w:lvlJc w:val="left"/>
      <w:pPr>
        <w:tabs>
          <w:tab w:val="num" w:pos="720"/>
        </w:tabs>
        <w:ind w:left="720" w:hanging="360"/>
      </w:pPr>
    </w:lvl>
    <w:lvl w:ilvl="1" w:tplc="04090019" w:tentative="1">
      <w:start w:val="1"/>
      <w:numFmt w:val="lowerLetter"/>
      <w:lvlText w:val="%2."/>
      <w:lvlJc w:val="left"/>
      <w:pPr>
        <w:tabs>
          <w:tab w:val="num" w:pos="1440"/>
        </w:tabs>
        <w:ind w:left="1440" w:hanging="360"/>
      </w:pPr>
    </w:lvl>
    <w:lvl w:ilvl="2" w:tplc="0409001B" w:tentative="1">
      <w:start w:val="1"/>
      <w:numFmt w:val="lowerRoman"/>
      <w:lvlText w:val="%3."/>
      <w:lvlJc w:val="right"/>
      <w:pPr>
        <w:tabs>
          <w:tab w:val="num" w:pos="2160"/>
        </w:tabs>
        <w:ind w:left="2160" w:hanging="180"/>
      </w:pPr>
    </w:lvl>
    <w:lvl w:ilvl="3" w:tplc="0409000F" w:tentative="1">
      <w:start w:val="1"/>
      <w:numFmt w:val="decimal"/>
      <w:lvlText w:val="%4."/>
      <w:lvlJc w:val="left"/>
      <w:pPr>
        <w:tabs>
          <w:tab w:val="num" w:pos="2880"/>
        </w:tabs>
        <w:ind w:left="2880" w:hanging="360"/>
      </w:pPr>
    </w:lvl>
    <w:lvl w:ilvl="4" w:tplc="04090019" w:tentative="1">
      <w:start w:val="1"/>
      <w:numFmt w:val="lowerLetter"/>
      <w:lvlText w:val="%5."/>
      <w:lvlJc w:val="left"/>
      <w:pPr>
        <w:tabs>
          <w:tab w:val="num" w:pos="3600"/>
        </w:tabs>
        <w:ind w:left="3600" w:hanging="360"/>
      </w:pPr>
    </w:lvl>
    <w:lvl w:ilvl="5" w:tplc="0409001B" w:tentative="1">
      <w:start w:val="1"/>
      <w:numFmt w:val="lowerRoman"/>
      <w:lvlText w:val="%6."/>
      <w:lvlJc w:val="right"/>
      <w:pPr>
        <w:tabs>
          <w:tab w:val="num" w:pos="4320"/>
        </w:tabs>
        <w:ind w:left="4320" w:hanging="180"/>
      </w:pPr>
    </w:lvl>
    <w:lvl w:ilvl="6" w:tplc="0409000F" w:tentative="1">
      <w:start w:val="1"/>
      <w:numFmt w:val="decimal"/>
      <w:lvlText w:val="%7."/>
      <w:lvlJc w:val="left"/>
      <w:pPr>
        <w:tabs>
          <w:tab w:val="num" w:pos="5040"/>
        </w:tabs>
        <w:ind w:left="5040" w:hanging="360"/>
      </w:pPr>
    </w:lvl>
    <w:lvl w:ilvl="7" w:tplc="04090019" w:tentative="1">
      <w:start w:val="1"/>
      <w:numFmt w:val="lowerLetter"/>
      <w:lvlText w:val="%8."/>
      <w:lvlJc w:val="left"/>
      <w:pPr>
        <w:tabs>
          <w:tab w:val="num" w:pos="5760"/>
        </w:tabs>
        <w:ind w:left="5760" w:hanging="360"/>
      </w:pPr>
    </w:lvl>
    <w:lvl w:ilvl="8" w:tplc="0409001B" w:tentative="1">
      <w:start w:val="1"/>
      <w:numFmt w:val="lowerRoman"/>
      <w:lvlText w:val="%9."/>
      <w:lvlJc w:val="right"/>
      <w:pPr>
        <w:tabs>
          <w:tab w:val="num" w:pos="6480"/>
        </w:tabs>
        <w:ind w:left="6480" w:hanging="180"/>
      </w:pPr>
    </w:lvl>
  </w:abstractNum>
  <w:abstractNum w:abstractNumId="9" w15:restartNumberingAfterBreak="0">
    <w:nsid w:val="6DE11AEA"/>
    <w:multiLevelType w:val="hybridMultilevel"/>
    <w:tmpl w:val="A538E296"/>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0" w15:restartNumberingAfterBreak="0">
    <w:nsid w:val="73106AC6"/>
    <w:multiLevelType w:val="hybridMultilevel"/>
    <w:tmpl w:val="10BC5BEA"/>
    <w:lvl w:ilvl="0" w:tplc="78E0A3E0">
      <w:start w:val="1"/>
      <w:numFmt w:val="bullet"/>
      <w:lvlText w:val="–"/>
      <w:lvlJc w:val="left"/>
      <w:pPr>
        <w:tabs>
          <w:tab w:val="num" w:pos="720"/>
        </w:tabs>
        <w:ind w:left="720" w:hanging="360"/>
      </w:pPr>
      <w:rPr>
        <w:rFonts w:ascii="Arial" w:hAnsi="Arial" w:hint="default"/>
      </w:rPr>
    </w:lvl>
    <w:lvl w:ilvl="1" w:tplc="4CBAD910">
      <w:start w:val="1"/>
      <w:numFmt w:val="bullet"/>
      <w:lvlText w:val="–"/>
      <w:lvlJc w:val="left"/>
      <w:pPr>
        <w:tabs>
          <w:tab w:val="num" w:pos="1440"/>
        </w:tabs>
        <w:ind w:left="1440" w:hanging="360"/>
      </w:pPr>
      <w:rPr>
        <w:rFonts w:ascii="Arial" w:hAnsi="Arial" w:hint="default"/>
      </w:rPr>
    </w:lvl>
    <w:lvl w:ilvl="2" w:tplc="E67CA5D4">
      <w:start w:val="3322"/>
      <w:numFmt w:val="bullet"/>
      <w:lvlText w:val="•"/>
      <w:lvlJc w:val="left"/>
      <w:pPr>
        <w:tabs>
          <w:tab w:val="num" w:pos="2160"/>
        </w:tabs>
        <w:ind w:left="2160" w:hanging="360"/>
      </w:pPr>
      <w:rPr>
        <w:rFonts w:ascii="Arial" w:hAnsi="Arial" w:hint="default"/>
      </w:rPr>
    </w:lvl>
    <w:lvl w:ilvl="3" w:tplc="5FF2659C" w:tentative="1">
      <w:start w:val="1"/>
      <w:numFmt w:val="bullet"/>
      <w:lvlText w:val="–"/>
      <w:lvlJc w:val="left"/>
      <w:pPr>
        <w:tabs>
          <w:tab w:val="num" w:pos="2880"/>
        </w:tabs>
        <w:ind w:left="2880" w:hanging="360"/>
      </w:pPr>
      <w:rPr>
        <w:rFonts w:ascii="Arial" w:hAnsi="Arial" w:hint="default"/>
      </w:rPr>
    </w:lvl>
    <w:lvl w:ilvl="4" w:tplc="A0404370" w:tentative="1">
      <w:start w:val="1"/>
      <w:numFmt w:val="bullet"/>
      <w:lvlText w:val="–"/>
      <w:lvlJc w:val="left"/>
      <w:pPr>
        <w:tabs>
          <w:tab w:val="num" w:pos="3600"/>
        </w:tabs>
        <w:ind w:left="3600" w:hanging="360"/>
      </w:pPr>
      <w:rPr>
        <w:rFonts w:ascii="Arial" w:hAnsi="Arial" w:hint="default"/>
      </w:rPr>
    </w:lvl>
    <w:lvl w:ilvl="5" w:tplc="A4C0DA32" w:tentative="1">
      <w:start w:val="1"/>
      <w:numFmt w:val="bullet"/>
      <w:lvlText w:val="–"/>
      <w:lvlJc w:val="left"/>
      <w:pPr>
        <w:tabs>
          <w:tab w:val="num" w:pos="4320"/>
        </w:tabs>
        <w:ind w:left="4320" w:hanging="360"/>
      </w:pPr>
      <w:rPr>
        <w:rFonts w:ascii="Arial" w:hAnsi="Arial" w:hint="default"/>
      </w:rPr>
    </w:lvl>
    <w:lvl w:ilvl="6" w:tplc="4A700078" w:tentative="1">
      <w:start w:val="1"/>
      <w:numFmt w:val="bullet"/>
      <w:lvlText w:val="–"/>
      <w:lvlJc w:val="left"/>
      <w:pPr>
        <w:tabs>
          <w:tab w:val="num" w:pos="5040"/>
        </w:tabs>
        <w:ind w:left="5040" w:hanging="360"/>
      </w:pPr>
      <w:rPr>
        <w:rFonts w:ascii="Arial" w:hAnsi="Arial" w:hint="default"/>
      </w:rPr>
    </w:lvl>
    <w:lvl w:ilvl="7" w:tplc="79B0F13E" w:tentative="1">
      <w:start w:val="1"/>
      <w:numFmt w:val="bullet"/>
      <w:lvlText w:val="–"/>
      <w:lvlJc w:val="left"/>
      <w:pPr>
        <w:tabs>
          <w:tab w:val="num" w:pos="5760"/>
        </w:tabs>
        <w:ind w:left="5760" w:hanging="360"/>
      </w:pPr>
      <w:rPr>
        <w:rFonts w:ascii="Arial" w:hAnsi="Arial" w:hint="default"/>
      </w:rPr>
    </w:lvl>
    <w:lvl w:ilvl="8" w:tplc="6538A9A2" w:tentative="1">
      <w:start w:val="1"/>
      <w:numFmt w:val="bullet"/>
      <w:lvlText w:val="–"/>
      <w:lvlJc w:val="left"/>
      <w:pPr>
        <w:tabs>
          <w:tab w:val="num" w:pos="6480"/>
        </w:tabs>
        <w:ind w:left="6480" w:hanging="360"/>
      </w:pPr>
      <w:rPr>
        <w:rFonts w:ascii="Arial" w:hAnsi="Arial" w:hint="default"/>
      </w:rPr>
    </w:lvl>
  </w:abstractNum>
  <w:num w:numId="1">
    <w:abstractNumId w:val="7"/>
  </w:num>
  <w:num w:numId="2">
    <w:abstractNumId w:val="0"/>
  </w:num>
  <w:num w:numId="3">
    <w:abstractNumId w:val="8"/>
  </w:num>
  <w:num w:numId="4">
    <w:abstractNumId w:val="1"/>
  </w:num>
  <w:num w:numId="5">
    <w:abstractNumId w:val="2"/>
  </w:num>
  <w:num w:numId="6">
    <w:abstractNumId w:val="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5"/>
  </w:num>
  <w:num w:numId="8">
    <w:abstractNumId w:val="10"/>
  </w:num>
  <w:num w:numId="9">
    <w:abstractNumId w:val="6"/>
  </w:num>
  <w:num w:numId="10">
    <w:abstractNumId w:val="9"/>
  </w:num>
  <w:num w:numId="11">
    <w:abstractNumId w:val="3"/>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xmlns:sl="http://schemas.openxmlformats.org/schemaLibrary/2006/main" mc:Ignorable="w14 w15 w16se w16cid w16 w16cex">
  <w:zoom w:percent="100"/>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efaultTabStop w:val="720"/>
  <w:characterSpacingControl w:val="doNotCompress"/>
  <w:hdrShapeDefaults>
    <o:shapedefaults v:ext="edit" spidmax="3074"/>
  </w:hdrShapeDefaults>
  <w:footnotePr>
    <w:footnote w:id="-1"/>
    <w:footnote w:id="0"/>
  </w:footnotePr>
  <w:endnotePr>
    <w:endnote w:id="-1"/>
    <w:endnote w:id="0"/>
  </w:endnotePr>
  <w:compat>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1"/>
    <w:compatSetting w:name="allowHyphenationAtTrackBottom" w:uri="http://schemas.microsoft.com/office/word" w:val="1"/>
    <w:compatSetting w:name="useWord2013TrackBottomHyphenation" w:uri="http://schemas.microsoft.com/office/word" w:val="1"/>
  </w:compat>
  <w:rsids>
    <w:rsidRoot w:val="00B91235"/>
    <w:rsid w:val="00004FCD"/>
    <w:rsid w:val="000100A0"/>
    <w:rsid w:val="00012EC9"/>
    <w:rsid w:val="00022224"/>
    <w:rsid w:val="00025DE2"/>
    <w:rsid w:val="000366D9"/>
    <w:rsid w:val="0003774E"/>
    <w:rsid w:val="00041300"/>
    <w:rsid w:val="00041D60"/>
    <w:rsid w:val="00041DB3"/>
    <w:rsid w:val="00047F51"/>
    <w:rsid w:val="00052991"/>
    <w:rsid w:val="00053514"/>
    <w:rsid w:val="00054454"/>
    <w:rsid w:val="000574D4"/>
    <w:rsid w:val="00057766"/>
    <w:rsid w:val="00061F7E"/>
    <w:rsid w:val="00072CC6"/>
    <w:rsid w:val="00082D52"/>
    <w:rsid w:val="000918A1"/>
    <w:rsid w:val="00092C52"/>
    <w:rsid w:val="0009451E"/>
    <w:rsid w:val="000A0F9C"/>
    <w:rsid w:val="000A65DE"/>
    <w:rsid w:val="000C6B16"/>
    <w:rsid w:val="000C7BB2"/>
    <w:rsid w:val="000D1027"/>
    <w:rsid w:val="000D6131"/>
    <w:rsid w:val="000D7A27"/>
    <w:rsid w:val="000E0604"/>
    <w:rsid w:val="000E1B8D"/>
    <w:rsid w:val="000E26F7"/>
    <w:rsid w:val="000E2886"/>
    <w:rsid w:val="000E73DF"/>
    <w:rsid w:val="000F0F3C"/>
    <w:rsid w:val="000F6F95"/>
    <w:rsid w:val="00105BF1"/>
    <w:rsid w:val="00106323"/>
    <w:rsid w:val="0011303F"/>
    <w:rsid w:val="00117325"/>
    <w:rsid w:val="001232BF"/>
    <w:rsid w:val="00125566"/>
    <w:rsid w:val="00125E73"/>
    <w:rsid w:val="0012722C"/>
    <w:rsid w:val="00127C05"/>
    <w:rsid w:val="00133F30"/>
    <w:rsid w:val="00137BFA"/>
    <w:rsid w:val="00143ED7"/>
    <w:rsid w:val="00150C7B"/>
    <w:rsid w:val="0015713F"/>
    <w:rsid w:val="00162DBE"/>
    <w:rsid w:val="001775B9"/>
    <w:rsid w:val="00182EA1"/>
    <w:rsid w:val="00184FE5"/>
    <w:rsid w:val="00196406"/>
    <w:rsid w:val="00196BC5"/>
    <w:rsid w:val="00197DC0"/>
    <w:rsid w:val="001A1285"/>
    <w:rsid w:val="001A2191"/>
    <w:rsid w:val="001A43FA"/>
    <w:rsid w:val="001A5202"/>
    <w:rsid w:val="001A56B4"/>
    <w:rsid w:val="001B1857"/>
    <w:rsid w:val="001B402D"/>
    <w:rsid w:val="001B41F6"/>
    <w:rsid w:val="001B73F9"/>
    <w:rsid w:val="001B7A6D"/>
    <w:rsid w:val="001C35EC"/>
    <w:rsid w:val="001C7F75"/>
    <w:rsid w:val="001D4876"/>
    <w:rsid w:val="001E22BB"/>
    <w:rsid w:val="001E3EBA"/>
    <w:rsid w:val="001E516A"/>
    <w:rsid w:val="001E66D0"/>
    <w:rsid w:val="001F378E"/>
    <w:rsid w:val="001F5737"/>
    <w:rsid w:val="002031D9"/>
    <w:rsid w:val="00203E05"/>
    <w:rsid w:val="00207CE1"/>
    <w:rsid w:val="0021122F"/>
    <w:rsid w:val="0023267A"/>
    <w:rsid w:val="00243134"/>
    <w:rsid w:val="00245250"/>
    <w:rsid w:val="00247146"/>
    <w:rsid w:val="00257D04"/>
    <w:rsid w:val="0026281F"/>
    <w:rsid w:val="00270E18"/>
    <w:rsid w:val="0027437C"/>
    <w:rsid w:val="00276514"/>
    <w:rsid w:val="0028197C"/>
    <w:rsid w:val="00283339"/>
    <w:rsid w:val="00284C39"/>
    <w:rsid w:val="00287F00"/>
    <w:rsid w:val="002A1DD4"/>
    <w:rsid w:val="002A2B01"/>
    <w:rsid w:val="002A4B6B"/>
    <w:rsid w:val="002A7DBF"/>
    <w:rsid w:val="002B1984"/>
    <w:rsid w:val="002C0382"/>
    <w:rsid w:val="002C0598"/>
    <w:rsid w:val="002C253B"/>
    <w:rsid w:val="002C76CC"/>
    <w:rsid w:val="002D0126"/>
    <w:rsid w:val="002D67D7"/>
    <w:rsid w:val="002E4224"/>
    <w:rsid w:val="002E6DC4"/>
    <w:rsid w:val="002F40CE"/>
    <w:rsid w:val="002F6790"/>
    <w:rsid w:val="00301EA6"/>
    <w:rsid w:val="00302AF7"/>
    <w:rsid w:val="003069A7"/>
    <w:rsid w:val="00316312"/>
    <w:rsid w:val="003163CE"/>
    <w:rsid w:val="00316BAB"/>
    <w:rsid w:val="00316BC1"/>
    <w:rsid w:val="00320641"/>
    <w:rsid w:val="00321D2F"/>
    <w:rsid w:val="003230C4"/>
    <w:rsid w:val="00323F2C"/>
    <w:rsid w:val="003243DA"/>
    <w:rsid w:val="00324B73"/>
    <w:rsid w:val="00333106"/>
    <w:rsid w:val="0033333A"/>
    <w:rsid w:val="00336EB3"/>
    <w:rsid w:val="00340192"/>
    <w:rsid w:val="00340239"/>
    <w:rsid w:val="00341336"/>
    <w:rsid w:val="003413A2"/>
    <w:rsid w:val="00345BA6"/>
    <w:rsid w:val="00345D25"/>
    <w:rsid w:val="00346A7B"/>
    <w:rsid w:val="00351822"/>
    <w:rsid w:val="00355857"/>
    <w:rsid w:val="0036234E"/>
    <w:rsid w:val="00371041"/>
    <w:rsid w:val="00373B23"/>
    <w:rsid w:val="00373EB3"/>
    <w:rsid w:val="00383CAA"/>
    <w:rsid w:val="0038676C"/>
    <w:rsid w:val="003A12C9"/>
    <w:rsid w:val="003A2A95"/>
    <w:rsid w:val="003A541A"/>
    <w:rsid w:val="003B0513"/>
    <w:rsid w:val="003B13BA"/>
    <w:rsid w:val="003B2F65"/>
    <w:rsid w:val="003C2C14"/>
    <w:rsid w:val="003C6F08"/>
    <w:rsid w:val="003D529B"/>
    <w:rsid w:val="003D58D0"/>
    <w:rsid w:val="003D6983"/>
    <w:rsid w:val="003D7CEC"/>
    <w:rsid w:val="003F1479"/>
    <w:rsid w:val="003F1E5F"/>
    <w:rsid w:val="003F59F8"/>
    <w:rsid w:val="004059B2"/>
    <w:rsid w:val="00407C07"/>
    <w:rsid w:val="0041489C"/>
    <w:rsid w:val="0042077C"/>
    <w:rsid w:val="00447DB4"/>
    <w:rsid w:val="00450CAE"/>
    <w:rsid w:val="004517C5"/>
    <w:rsid w:val="00454935"/>
    <w:rsid w:val="0046621E"/>
    <w:rsid w:val="00471570"/>
    <w:rsid w:val="00472110"/>
    <w:rsid w:val="00481A27"/>
    <w:rsid w:val="004845BB"/>
    <w:rsid w:val="00484B51"/>
    <w:rsid w:val="00484C72"/>
    <w:rsid w:val="00486178"/>
    <w:rsid w:val="00486232"/>
    <w:rsid w:val="004911CA"/>
    <w:rsid w:val="00492046"/>
    <w:rsid w:val="00497643"/>
    <w:rsid w:val="004A42D2"/>
    <w:rsid w:val="004A5754"/>
    <w:rsid w:val="004A72F8"/>
    <w:rsid w:val="004B2F96"/>
    <w:rsid w:val="004B5BD0"/>
    <w:rsid w:val="004B71DC"/>
    <w:rsid w:val="004C13FC"/>
    <w:rsid w:val="004C5088"/>
    <w:rsid w:val="004C568F"/>
    <w:rsid w:val="004D331A"/>
    <w:rsid w:val="004D49C4"/>
    <w:rsid w:val="004D6AC7"/>
    <w:rsid w:val="004D7884"/>
    <w:rsid w:val="004E6E1F"/>
    <w:rsid w:val="004F7F01"/>
    <w:rsid w:val="0051171F"/>
    <w:rsid w:val="00511F4E"/>
    <w:rsid w:val="00513AAD"/>
    <w:rsid w:val="005231DC"/>
    <w:rsid w:val="0054562D"/>
    <w:rsid w:val="00551B80"/>
    <w:rsid w:val="005570B0"/>
    <w:rsid w:val="00560DD5"/>
    <w:rsid w:val="00563039"/>
    <w:rsid w:val="00570DA6"/>
    <w:rsid w:val="00572F5D"/>
    <w:rsid w:val="00573203"/>
    <w:rsid w:val="005734FC"/>
    <w:rsid w:val="00577F28"/>
    <w:rsid w:val="0059220B"/>
    <w:rsid w:val="005979C8"/>
    <w:rsid w:val="005A67A5"/>
    <w:rsid w:val="005B44F2"/>
    <w:rsid w:val="005B510D"/>
    <w:rsid w:val="005C717D"/>
    <w:rsid w:val="005C7F9F"/>
    <w:rsid w:val="005D6464"/>
    <w:rsid w:val="005E0265"/>
    <w:rsid w:val="005E1D47"/>
    <w:rsid w:val="005E7EA3"/>
    <w:rsid w:val="005F1797"/>
    <w:rsid w:val="005F1A40"/>
    <w:rsid w:val="005F7C5C"/>
    <w:rsid w:val="00600DE7"/>
    <w:rsid w:val="00602146"/>
    <w:rsid w:val="00607034"/>
    <w:rsid w:val="00607D7B"/>
    <w:rsid w:val="00607FD1"/>
    <w:rsid w:val="00610598"/>
    <w:rsid w:val="00610D77"/>
    <w:rsid w:val="00613156"/>
    <w:rsid w:val="00623999"/>
    <w:rsid w:val="00624347"/>
    <w:rsid w:val="00627915"/>
    <w:rsid w:val="00637FAE"/>
    <w:rsid w:val="00641E01"/>
    <w:rsid w:val="00641FB2"/>
    <w:rsid w:val="00645435"/>
    <w:rsid w:val="006524BD"/>
    <w:rsid w:val="00655CD6"/>
    <w:rsid w:val="00666C40"/>
    <w:rsid w:val="006714C0"/>
    <w:rsid w:val="006728BE"/>
    <w:rsid w:val="00672AF8"/>
    <w:rsid w:val="006820D8"/>
    <w:rsid w:val="00684AF7"/>
    <w:rsid w:val="00685AC0"/>
    <w:rsid w:val="006872B4"/>
    <w:rsid w:val="006A2270"/>
    <w:rsid w:val="006A2A7A"/>
    <w:rsid w:val="006B567A"/>
    <w:rsid w:val="006C17C9"/>
    <w:rsid w:val="006D3017"/>
    <w:rsid w:val="006E4952"/>
    <w:rsid w:val="006E7499"/>
    <w:rsid w:val="006F7C4E"/>
    <w:rsid w:val="00707A1A"/>
    <w:rsid w:val="00714EDC"/>
    <w:rsid w:val="00721F06"/>
    <w:rsid w:val="00727219"/>
    <w:rsid w:val="007336BA"/>
    <w:rsid w:val="00734FDA"/>
    <w:rsid w:val="00742188"/>
    <w:rsid w:val="00747DCF"/>
    <w:rsid w:val="0075554D"/>
    <w:rsid w:val="00757C49"/>
    <w:rsid w:val="00762862"/>
    <w:rsid w:val="00764184"/>
    <w:rsid w:val="00784FD7"/>
    <w:rsid w:val="007857C7"/>
    <w:rsid w:val="00787BB0"/>
    <w:rsid w:val="007A2184"/>
    <w:rsid w:val="007A4DD7"/>
    <w:rsid w:val="007A59AE"/>
    <w:rsid w:val="007A6D08"/>
    <w:rsid w:val="007B1D4C"/>
    <w:rsid w:val="007B2E91"/>
    <w:rsid w:val="007B2EC3"/>
    <w:rsid w:val="007B6056"/>
    <w:rsid w:val="007B7A68"/>
    <w:rsid w:val="007B7BAB"/>
    <w:rsid w:val="007D11E0"/>
    <w:rsid w:val="007D2614"/>
    <w:rsid w:val="007D3BF3"/>
    <w:rsid w:val="007D4531"/>
    <w:rsid w:val="007D70CD"/>
    <w:rsid w:val="007E584B"/>
    <w:rsid w:val="007F051D"/>
    <w:rsid w:val="007F125A"/>
    <w:rsid w:val="007F43D7"/>
    <w:rsid w:val="007F6168"/>
    <w:rsid w:val="007F7424"/>
    <w:rsid w:val="007F7983"/>
    <w:rsid w:val="007F7CE3"/>
    <w:rsid w:val="00800F02"/>
    <w:rsid w:val="008039D0"/>
    <w:rsid w:val="00804506"/>
    <w:rsid w:val="008143D3"/>
    <w:rsid w:val="00815495"/>
    <w:rsid w:val="00820024"/>
    <w:rsid w:val="00822091"/>
    <w:rsid w:val="008256E3"/>
    <w:rsid w:val="008261AE"/>
    <w:rsid w:val="008275AF"/>
    <w:rsid w:val="00840B9E"/>
    <w:rsid w:val="00843F3D"/>
    <w:rsid w:val="008442FD"/>
    <w:rsid w:val="00860981"/>
    <w:rsid w:val="008624C6"/>
    <w:rsid w:val="00873575"/>
    <w:rsid w:val="008737B5"/>
    <w:rsid w:val="0087635E"/>
    <w:rsid w:val="0088085B"/>
    <w:rsid w:val="00890565"/>
    <w:rsid w:val="00890C2C"/>
    <w:rsid w:val="00895360"/>
    <w:rsid w:val="00896027"/>
    <w:rsid w:val="008A42B6"/>
    <w:rsid w:val="008A719E"/>
    <w:rsid w:val="008B057D"/>
    <w:rsid w:val="008B157A"/>
    <w:rsid w:val="008B4593"/>
    <w:rsid w:val="008B542F"/>
    <w:rsid w:val="008B607B"/>
    <w:rsid w:val="008C6711"/>
    <w:rsid w:val="008D5E27"/>
    <w:rsid w:val="008E3013"/>
    <w:rsid w:val="008E57D0"/>
    <w:rsid w:val="008E6248"/>
    <w:rsid w:val="008E7545"/>
    <w:rsid w:val="008F0AEB"/>
    <w:rsid w:val="008F0BCB"/>
    <w:rsid w:val="008F742F"/>
    <w:rsid w:val="008F75F5"/>
    <w:rsid w:val="00910A64"/>
    <w:rsid w:val="009119EF"/>
    <w:rsid w:val="009121C8"/>
    <w:rsid w:val="00914588"/>
    <w:rsid w:val="00915EBF"/>
    <w:rsid w:val="00920CFC"/>
    <w:rsid w:val="00922672"/>
    <w:rsid w:val="0092445D"/>
    <w:rsid w:val="00931F50"/>
    <w:rsid w:val="0093275C"/>
    <w:rsid w:val="009331DF"/>
    <w:rsid w:val="00937C2E"/>
    <w:rsid w:val="00952E27"/>
    <w:rsid w:val="009608CC"/>
    <w:rsid w:val="00967725"/>
    <w:rsid w:val="00971556"/>
    <w:rsid w:val="00976130"/>
    <w:rsid w:val="00976B25"/>
    <w:rsid w:val="0097707F"/>
    <w:rsid w:val="009774DA"/>
    <w:rsid w:val="00983771"/>
    <w:rsid w:val="00991A57"/>
    <w:rsid w:val="009A1385"/>
    <w:rsid w:val="009A159A"/>
    <w:rsid w:val="009A2E34"/>
    <w:rsid w:val="009A4A69"/>
    <w:rsid w:val="009A6FB9"/>
    <w:rsid w:val="009B3E32"/>
    <w:rsid w:val="009B46AB"/>
    <w:rsid w:val="009B65CB"/>
    <w:rsid w:val="009C0253"/>
    <w:rsid w:val="009C2890"/>
    <w:rsid w:val="009C344E"/>
    <w:rsid w:val="009D312B"/>
    <w:rsid w:val="009E01EE"/>
    <w:rsid w:val="009E2EF0"/>
    <w:rsid w:val="009F28FA"/>
    <w:rsid w:val="009F55E3"/>
    <w:rsid w:val="00A00598"/>
    <w:rsid w:val="00A07A8C"/>
    <w:rsid w:val="00A10F4F"/>
    <w:rsid w:val="00A207CC"/>
    <w:rsid w:val="00A22DB1"/>
    <w:rsid w:val="00A34780"/>
    <w:rsid w:val="00A35D7C"/>
    <w:rsid w:val="00A4392C"/>
    <w:rsid w:val="00A45868"/>
    <w:rsid w:val="00A479E5"/>
    <w:rsid w:val="00A51F20"/>
    <w:rsid w:val="00A5400D"/>
    <w:rsid w:val="00A57E5A"/>
    <w:rsid w:val="00A6220E"/>
    <w:rsid w:val="00A76C62"/>
    <w:rsid w:val="00A81104"/>
    <w:rsid w:val="00A84008"/>
    <w:rsid w:val="00A850CA"/>
    <w:rsid w:val="00AC4270"/>
    <w:rsid w:val="00AC4B29"/>
    <w:rsid w:val="00AC4B3D"/>
    <w:rsid w:val="00AC7981"/>
    <w:rsid w:val="00AC7FCA"/>
    <w:rsid w:val="00AE5ABD"/>
    <w:rsid w:val="00AE6B96"/>
    <w:rsid w:val="00B05AFB"/>
    <w:rsid w:val="00B15B7B"/>
    <w:rsid w:val="00B17579"/>
    <w:rsid w:val="00B220A5"/>
    <w:rsid w:val="00B25565"/>
    <w:rsid w:val="00B426B8"/>
    <w:rsid w:val="00B461DB"/>
    <w:rsid w:val="00B47C20"/>
    <w:rsid w:val="00B517AB"/>
    <w:rsid w:val="00B56B75"/>
    <w:rsid w:val="00B56F63"/>
    <w:rsid w:val="00B651A2"/>
    <w:rsid w:val="00B67127"/>
    <w:rsid w:val="00B6733A"/>
    <w:rsid w:val="00B755AD"/>
    <w:rsid w:val="00B75A1F"/>
    <w:rsid w:val="00B76503"/>
    <w:rsid w:val="00B80709"/>
    <w:rsid w:val="00B82CD2"/>
    <w:rsid w:val="00B84DE2"/>
    <w:rsid w:val="00B9053D"/>
    <w:rsid w:val="00B90805"/>
    <w:rsid w:val="00B90DFE"/>
    <w:rsid w:val="00B91235"/>
    <w:rsid w:val="00BA4664"/>
    <w:rsid w:val="00BA5F7B"/>
    <w:rsid w:val="00BD4ACF"/>
    <w:rsid w:val="00BD6EE6"/>
    <w:rsid w:val="00BE15E8"/>
    <w:rsid w:val="00BE18A8"/>
    <w:rsid w:val="00BE250F"/>
    <w:rsid w:val="00BE782A"/>
    <w:rsid w:val="00BF057F"/>
    <w:rsid w:val="00BF4A90"/>
    <w:rsid w:val="00BF5D92"/>
    <w:rsid w:val="00BF6089"/>
    <w:rsid w:val="00C35DE8"/>
    <w:rsid w:val="00C41724"/>
    <w:rsid w:val="00C45F73"/>
    <w:rsid w:val="00C50478"/>
    <w:rsid w:val="00C5641C"/>
    <w:rsid w:val="00C66D0B"/>
    <w:rsid w:val="00C718BF"/>
    <w:rsid w:val="00C725C3"/>
    <w:rsid w:val="00C74C0F"/>
    <w:rsid w:val="00C75DD1"/>
    <w:rsid w:val="00C764EA"/>
    <w:rsid w:val="00C80D93"/>
    <w:rsid w:val="00C837DF"/>
    <w:rsid w:val="00C838DC"/>
    <w:rsid w:val="00C83A5F"/>
    <w:rsid w:val="00C907D2"/>
    <w:rsid w:val="00C94706"/>
    <w:rsid w:val="00C9781B"/>
    <w:rsid w:val="00CA12B6"/>
    <w:rsid w:val="00CA3878"/>
    <w:rsid w:val="00CA429D"/>
    <w:rsid w:val="00CA78CF"/>
    <w:rsid w:val="00CC1761"/>
    <w:rsid w:val="00CC2490"/>
    <w:rsid w:val="00CC27A5"/>
    <w:rsid w:val="00CC408F"/>
    <w:rsid w:val="00CD7374"/>
    <w:rsid w:val="00CE4EE0"/>
    <w:rsid w:val="00CE644C"/>
    <w:rsid w:val="00D01E69"/>
    <w:rsid w:val="00D05B6A"/>
    <w:rsid w:val="00D11260"/>
    <w:rsid w:val="00D12258"/>
    <w:rsid w:val="00D1489B"/>
    <w:rsid w:val="00D148CE"/>
    <w:rsid w:val="00D177E7"/>
    <w:rsid w:val="00D21661"/>
    <w:rsid w:val="00D23230"/>
    <w:rsid w:val="00D355EB"/>
    <w:rsid w:val="00D41AA6"/>
    <w:rsid w:val="00D445EB"/>
    <w:rsid w:val="00D449D8"/>
    <w:rsid w:val="00D468DF"/>
    <w:rsid w:val="00D6004A"/>
    <w:rsid w:val="00D60E91"/>
    <w:rsid w:val="00D62492"/>
    <w:rsid w:val="00D73289"/>
    <w:rsid w:val="00D75F37"/>
    <w:rsid w:val="00D834D2"/>
    <w:rsid w:val="00D8690D"/>
    <w:rsid w:val="00DA0BCE"/>
    <w:rsid w:val="00DA13BC"/>
    <w:rsid w:val="00DA6DB7"/>
    <w:rsid w:val="00DA73AD"/>
    <w:rsid w:val="00DA7B30"/>
    <w:rsid w:val="00DB5877"/>
    <w:rsid w:val="00DB702D"/>
    <w:rsid w:val="00DC563A"/>
    <w:rsid w:val="00DD234C"/>
    <w:rsid w:val="00DD56A1"/>
    <w:rsid w:val="00DD5C1F"/>
    <w:rsid w:val="00DF10C5"/>
    <w:rsid w:val="00DF2278"/>
    <w:rsid w:val="00DF26D4"/>
    <w:rsid w:val="00DF396D"/>
    <w:rsid w:val="00DF650E"/>
    <w:rsid w:val="00E030C1"/>
    <w:rsid w:val="00E037FA"/>
    <w:rsid w:val="00E10588"/>
    <w:rsid w:val="00E157C4"/>
    <w:rsid w:val="00E17F21"/>
    <w:rsid w:val="00E21665"/>
    <w:rsid w:val="00E25370"/>
    <w:rsid w:val="00E3033B"/>
    <w:rsid w:val="00E30A5B"/>
    <w:rsid w:val="00E330D1"/>
    <w:rsid w:val="00E50540"/>
    <w:rsid w:val="00E54E4E"/>
    <w:rsid w:val="00E55082"/>
    <w:rsid w:val="00E56849"/>
    <w:rsid w:val="00E60E43"/>
    <w:rsid w:val="00E6142A"/>
    <w:rsid w:val="00E711AC"/>
    <w:rsid w:val="00E73E6F"/>
    <w:rsid w:val="00E74183"/>
    <w:rsid w:val="00E77EFC"/>
    <w:rsid w:val="00E8209B"/>
    <w:rsid w:val="00E820E8"/>
    <w:rsid w:val="00E86A83"/>
    <w:rsid w:val="00E87656"/>
    <w:rsid w:val="00E96E02"/>
    <w:rsid w:val="00EA1244"/>
    <w:rsid w:val="00EA13D1"/>
    <w:rsid w:val="00EA4EE5"/>
    <w:rsid w:val="00EA64F2"/>
    <w:rsid w:val="00EB38E6"/>
    <w:rsid w:val="00EC11C0"/>
    <w:rsid w:val="00EC1B25"/>
    <w:rsid w:val="00EC2DF4"/>
    <w:rsid w:val="00EC5A21"/>
    <w:rsid w:val="00ED18E8"/>
    <w:rsid w:val="00ED1EC0"/>
    <w:rsid w:val="00ED2AF1"/>
    <w:rsid w:val="00ED410C"/>
    <w:rsid w:val="00EE3A1F"/>
    <w:rsid w:val="00EE3DF1"/>
    <w:rsid w:val="00EE4B5E"/>
    <w:rsid w:val="00EF692C"/>
    <w:rsid w:val="00F015E8"/>
    <w:rsid w:val="00F01AA1"/>
    <w:rsid w:val="00F14C8B"/>
    <w:rsid w:val="00F15787"/>
    <w:rsid w:val="00F21718"/>
    <w:rsid w:val="00F24547"/>
    <w:rsid w:val="00F33034"/>
    <w:rsid w:val="00F33212"/>
    <w:rsid w:val="00F33D1F"/>
    <w:rsid w:val="00F34105"/>
    <w:rsid w:val="00F40F37"/>
    <w:rsid w:val="00F47E08"/>
    <w:rsid w:val="00F62F0F"/>
    <w:rsid w:val="00F6395A"/>
    <w:rsid w:val="00F643E0"/>
    <w:rsid w:val="00F64C02"/>
    <w:rsid w:val="00F6553C"/>
    <w:rsid w:val="00F66E70"/>
    <w:rsid w:val="00F734A0"/>
    <w:rsid w:val="00F76BD6"/>
    <w:rsid w:val="00F816D9"/>
    <w:rsid w:val="00F82804"/>
    <w:rsid w:val="00F838BF"/>
    <w:rsid w:val="00F846CC"/>
    <w:rsid w:val="00F87B34"/>
    <w:rsid w:val="00F9144F"/>
    <w:rsid w:val="00F93318"/>
    <w:rsid w:val="00FB3470"/>
    <w:rsid w:val="00FD2350"/>
    <w:rsid w:val="00FD2A95"/>
    <w:rsid w:val="00FD6003"/>
    <w:rsid w:val="00FE0F08"/>
    <w:rsid w:val="00FE7596"/>
    <w:rsid w:val="00FF36A7"/>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3074"/>
    <o:shapelayout v:ext="edit">
      <o:idmap v:ext="edit" data="1"/>
    </o:shapelayout>
  </w:shapeDefaults>
  <w:decimalSymbol w:val="."/>
  <w:listSeparator w:val=","/>
  <w14:docId w14:val="5B532CFD"/>
  <w15:chartTrackingRefBased/>
  <w15:docId w15:val="{1FE85935-AB96-42CD-805D-CEF768CD63B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ocDefaults>
    <w:rPrDefault>
      <w:rPr>
        <w:rFonts w:ascii="Times New Roman" w:eastAsia="Times New Roman" w:hAnsi="Times New Roman" w:cs="Times New Roman"/>
        <w:lang w:val="en-US" w:eastAsia="en-US"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Hyperlink" w:uiPriority="99"/>
    <w:lsdException w:name="Strong" w:qFormat="1"/>
    <w:lsdException w:name="Emphasis" w:qFormat="1"/>
    <w:lsdException w:name="Normal (Web)" w:uiPriority="99"/>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 w:type="paragraph" w:styleId="Footer">
    <w:name w:val="footer"/>
    <w:basedOn w:val="Normal"/>
    <w:rsid w:val="00B91235"/>
    <w:pPr>
      <w:tabs>
        <w:tab w:val="center" w:pos="4320"/>
        <w:tab w:val="right" w:pos="8640"/>
      </w:tabs>
    </w:pPr>
  </w:style>
  <w:style w:type="character" w:styleId="PageNumber">
    <w:name w:val="page number"/>
    <w:basedOn w:val="DefaultParagraphFont"/>
    <w:rsid w:val="00B91235"/>
  </w:style>
  <w:style w:type="character" w:styleId="CommentReference">
    <w:name w:val="annotation reference"/>
    <w:semiHidden/>
    <w:rsid w:val="00A35D7C"/>
    <w:rPr>
      <w:sz w:val="16"/>
      <w:szCs w:val="16"/>
    </w:rPr>
  </w:style>
  <w:style w:type="paragraph" w:styleId="CommentText">
    <w:name w:val="annotation text"/>
    <w:basedOn w:val="Normal"/>
    <w:semiHidden/>
    <w:rsid w:val="00A35D7C"/>
    <w:rPr>
      <w:sz w:val="20"/>
      <w:szCs w:val="20"/>
    </w:rPr>
  </w:style>
  <w:style w:type="paragraph" w:styleId="CommentSubject">
    <w:name w:val="annotation subject"/>
    <w:basedOn w:val="CommentText"/>
    <w:next w:val="CommentText"/>
    <w:semiHidden/>
    <w:rsid w:val="00A35D7C"/>
    <w:rPr>
      <w:b/>
      <w:bCs/>
    </w:rPr>
  </w:style>
  <w:style w:type="paragraph" w:styleId="BalloonText">
    <w:name w:val="Balloon Text"/>
    <w:basedOn w:val="Normal"/>
    <w:semiHidden/>
    <w:rsid w:val="00A35D7C"/>
    <w:rPr>
      <w:rFonts w:ascii="Tahoma" w:hAnsi="Tahoma" w:cs="Tahoma"/>
      <w:sz w:val="16"/>
      <w:szCs w:val="16"/>
    </w:rPr>
  </w:style>
  <w:style w:type="paragraph" w:styleId="NormalWeb">
    <w:name w:val="Normal (Web)"/>
    <w:basedOn w:val="Normal"/>
    <w:uiPriority w:val="99"/>
    <w:unhideWhenUsed/>
    <w:rsid w:val="00637FAE"/>
    <w:pPr>
      <w:spacing w:before="100" w:beforeAutospacing="1" w:after="100" w:afterAutospacing="1"/>
    </w:pPr>
  </w:style>
  <w:style w:type="paragraph" w:styleId="ListParagraph">
    <w:name w:val="List Paragraph"/>
    <w:basedOn w:val="Normal"/>
    <w:uiPriority w:val="34"/>
    <w:qFormat/>
    <w:rsid w:val="00572F5D"/>
    <w:pPr>
      <w:ind w:left="720"/>
      <w:contextualSpacing/>
    </w:pPr>
  </w:style>
  <w:style w:type="character" w:styleId="Hyperlink">
    <w:name w:val="Hyperlink"/>
    <w:uiPriority w:val="99"/>
    <w:unhideWhenUsed/>
    <w:rsid w:val="006728BE"/>
    <w:rPr>
      <w:color w:val="0000FF"/>
      <w:u w:val="single"/>
    </w:rPr>
  </w:style>
  <w:style w:type="paragraph" w:customStyle="1" w:styleId="Default">
    <w:name w:val="Default"/>
    <w:rsid w:val="00492046"/>
    <w:pPr>
      <w:autoSpaceDE w:val="0"/>
      <w:autoSpaceDN w:val="0"/>
      <w:adjustRightInd w:val="0"/>
    </w:pPr>
    <w:rPr>
      <w:rFonts w:ascii="Arial" w:eastAsia="Calibri" w:hAnsi="Arial" w:cs="Arial"/>
      <w:color w:val="000000"/>
      <w:sz w:val="24"/>
      <w:szCs w:val="24"/>
    </w:rPr>
  </w:style>
  <w:style w:type="character" w:customStyle="1" w:styleId="jrnl">
    <w:name w:val="jrnl"/>
    <w:rsid w:val="008B4593"/>
  </w:style>
  <w:style w:type="character" w:styleId="FollowedHyperlink">
    <w:name w:val="FollowedHyperlink"/>
    <w:rsid w:val="003F1479"/>
    <w:rPr>
      <w:color w:val="954F72"/>
      <w:u w:val="single"/>
    </w:rPr>
  </w:style>
  <w:style w:type="paragraph" w:styleId="Header">
    <w:name w:val="header"/>
    <w:basedOn w:val="Normal"/>
    <w:link w:val="HeaderChar"/>
    <w:rsid w:val="00BA4664"/>
    <w:pPr>
      <w:tabs>
        <w:tab w:val="center" w:pos="4680"/>
        <w:tab w:val="right" w:pos="9360"/>
      </w:tabs>
    </w:pPr>
  </w:style>
  <w:style w:type="character" w:customStyle="1" w:styleId="HeaderChar">
    <w:name w:val="Header Char"/>
    <w:link w:val="Header"/>
    <w:rsid w:val="00BA4664"/>
    <w:rPr>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e="http://schemas.microsoft.com/office/word/2015/wordml/symex" mc:Ignorable="w14 w15 w16se w16cid w16 w16cex">
  <w:divs>
    <w:div w:id="188103064">
      <w:bodyDiv w:val="1"/>
      <w:marLeft w:val="0"/>
      <w:marRight w:val="0"/>
      <w:marTop w:val="0"/>
      <w:marBottom w:val="0"/>
      <w:divBdr>
        <w:top w:val="none" w:sz="0" w:space="0" w:color="auto"/>
        <w:left w:val="none" w:sz="0" w:space="0" w:color="auto"/>
        <w:bottom w:val="none" w:sz="0" w:space="0" w:color="auto"/>
        <w:right w:val="none" w:sz="0" w:space="0" w:color="auto"/>
      </w:divBdr>
    </w:div>
    <w:div w:id="343751965">
      <w:bodyDiv w:val="1"/>
      <w:marLeft w:val="0"/>
      <w:marRight w:val="0"/>
      <w:marTop w:val="0"/>
      <w:marBottom w:val="0"/>
      <w:divBdr>
        <w:top w:val="none" w:sz="0" w:space="0" w:color="auto"/>
        <w:left w:val="none" w:sz="0" w:space="0" w:color="auto"/>
        <w:bottom w:val="none" w:sz="0" w:space="0" w:color="auto"/>
        <w:right w:val="none" w:sz="0" w:space="0" w:color="auto"/>
      </w:divBdr>
    </w:div>
    <w:div w:id="385448801">
      <w:bodyDiv w:val="1"/>
      <w:marLeft w:val="0"/>
      <w:marRight w:val="0"/>
      <w:marTop w:val="0"/>
      <w:marBottom w:val="0"/>
      <w:divBdr>
        <w:top w:val="none" w:sz="0" w:space="0" w:color="auto"/>
        <w:left w:val="none" w:sz="0" w:space="0" w:color="auto"/>
        <w:bottom w:val="none" w:sz="0" w:space="0" w:color="auto"/>
        <w:right w:val="none" w:sz="0" w:space="0" w:color="auto"/>
      </w:divBdr>
    </w:div>
    <w:div w:id="653879158">
      <w:bodyDiv w:val="1"/>
      <w:marLeft w:val="0"/>
      <w:marRight w:val="0"/>
      <w:marTop w:val="0"/>
      <w:marBottom w:val="0"/>
      <w:divBdr>
        <w:top w:val="none" w:sz="0" w:space="0" w:color="auto"/>
        <w:left w:val="none" w:sz="0" w:space="0" w:color="auto"/>
        <w:bottom w:val="none" w:sz="0" w:space="0" w:color="auto"/>
        <w:right w:val="none" w:sz="0" w:space="0" w:color="auto"/>
      </w:divBdr>
      <w:divsChild>
        <w:div w:id="84024">
          <w:marLeft w:val="1800"/>
          <w:marRight w:val="0"/>
          <w:marTop w:val="0"/>
          <w:marBottom w:val="0"/>
          <w:divBdr>
            <w:top w:val="none" w:sz="0" w:space="0" w:color="auto"/>
            <w:left w:val="none" w:sz="0" w:space="0" w:color="auto"/>
            <w:bottom w:val="none" w:sz="0" w:space="0" w:color="auto"/>
            <w:right w:val="none" w:sz="0" w:space="0" w:color="auto"/>
          </w:divBdr>
        </w:div>
        <w:div w:id="19207140">
          <w:marLeft w:val="1800"/>
          <w:marRight w:val="0"/>
          <w:marTop w:val="0"/>
          <w:marBottom w:val="0"/>
          <w:divBdr>
            <w:top w:val="none" w:sz="0" w:space="0" w:color="auto"/>
            <w:left w:val="none" w:sz="0" w:space="0" w:color="auto"/>
            <w:bottom w:val="none" w:sz="0" w:space="0" w:color="auto"/>
            <w:right w:val="none" w:sz="0" w:space="0" w:color="auto"/>
          </w:divBdr>
        </w:div>
        <w:div w:id="90972704">
          <w:marLeft w:val="1800"/>
          <w:marRight w:val="0"/>
          <w:marTop w:val="0"/>
          <w:marBottom w:val="0"/>
          <w:divBdr>
            <w:top w:val="none" w:sz="0" w:space="0" w:color="auto"/>
            <w:left w:val="none" w:sz="0" w:space="0" w:color="auto"/>
            <w:bottom w:val="none" w:sz="0" w:space="0" w:color="auto"/>
            <w:right w:val="none" w:sz="0" w:space="0" w:color="auto"/>
          </w:divBdr>
        </w:div>
        <w:div w:id="203637998">
          <w:marLeft w:val="1166"/>
          <w:marRight w:val="0"/>
          <w:marTop w:val="0"/>
          <w:marBottom w:val="0"/>
          <w:divBdr>
            <w:top w:val="none" w:sz="0" w:space="0" w:color="auto"/>
            <w:left w:val="none" w:sz="0" w:space="0" w:color="auto"/>
            <w:bottom w:val="none" w:sz="0" w:space="0" w:color="auto"/>
            <w:right w:val="none" w:sz="0" w:space="0" w:color="auto"/>
          </w:divBdr>
        </w:div>
        <w:div w:id="1011645272">
          <w:marLeft w:val="1800"/>
          <w:marRight w:val="0"/>
          <w:marTop w:val="0"/>
          <w:marBottom w:val="0"/>
          <w:divBdr>
            <w:top w:val="none" w:sz="0" w:space="0" w:color="auto"/>
            <w:left w:val="none" w:sz="0" w:space="0" w:color="auto"/>
            <w:bottom w:val="none" w:sz="0" w:space="0" w:color="auto"/>
            <w:right w:val="none" w:sz="0" w:space="0" w:color="auto"/>
          </w:divBdr>
        </w:div>
        <w:div w:id="1640525614">
          <w:marLeft w:val="1166"/>
          <w:marRight w:val="0"/>
          <w:marTop w:val="0"/>
          <w:marBottom w:val="0"/>
          <w:divBdr>
            <w:top w:val="none" w:sz="0" w:space="0" w:color="auto"/>
            <w:left w:val="none" w:sz="0" w:space="0" w:color="auto"/>
            <w:bottom w:val="none" w:sz="0" w:space="0" w:color="auto"/>
            <w:right w:val="none" w:sz="0" w:space="0" w:color="auto"/>
          </w:divBdr>
        </w:div>
        <w:div w:id="1670979948">
          <w:marLeft w:val="1166"/>
          <w:marRight w:val="0"/>
          <w:marTop w:val="0"/>
          <w:marBottom w:val="0"/>
          <w:divBdr>
            <w:top w:val="none" w:sz="0" w:space="0" w:color="auto"/>
            <w:left w:val="none" w:sz="0" w:space="0" w:color="auto"/>
            <w:bottom w:val="none" w:sz="0" w:space="0" w:color="auto"/>
            <w:right w:val="none" w:sz="0" w:space="0" w:color="auto"/>
          </w:divBdr>
        </w:div>
        <w:div w:id="2043438301">
          <w:marLeft w:val="1166"/>
          <w:marRight w:val="0"/>
          <w:marTop w:val="0"/>
          <w:marBottom w:val="0"/>
          <w:divBdr>
            <w:top w:val="none" w:sz="0" w:space="0" w:color="auto"/>
            <w:left w:val="none" w:sz="0" w:space="0" w:color="auto"/>
            <w:bottom w:val="none" w:sz="0" w:space="0" w:color="auto"/>
            <w:right w:val="none" w:sz="0" w:space="0" w:color="auto"/>
          </w:divBdr>
        </w:div>
      </w:divsChild>
    </w:div>
    <w:div w:id="676887273">
      <w:bodyDiv w:val="1"/>
      <w:marLeft w:val="0"/>
      <w:marRight w:val="0"/>
      <w:marTop w:val="0"/>
      <w:marBottom w:val="0"/>
      <w:divBdr>
        <w:top w:val="none" w:sz="0" w:space="0" w:color="auto"/>
        <w:left w:val="none" w:sz="0" w:space="0" w:color="auto"/>
        <w:bottom w:val="none" w:sz="0" w:space="0" w:color="auto"/>
        <w:right w:val="none" w:sz="0" w:space="0" w:color="auto"/>
      </w:divBdr>
    </w:div>
    <w:div w:id="927079792">
      <w:bodyDiv w:val="1"/>
      <w:marLeft w:val="0"/>
      <w:marRight w:val="0"/>
      <w:marTop w:val="0"/>
      <w:marBottom w:val="0"/>
      <w:divBdr>
        <w:top w:val="none" w:sz="0" w:space="0" w:color="auto"/>
        <w:left w:val="none" w:sz="0" w:space="0" w:color="auto"/>
        <w:bottom w:val="none" w:sz="0" w:space="0" w:color="auto"/>
        <w:right w:val="none" w:sz="0" w:space="0" w:color="auto"/>
      </w:divBdr>
    </w:div>
    <w:div w:id="1035540162">
      <w:bodyDiv w:val="1"/>
      <w:marLeft w:val="0"/>
      <w:marRight w:val="0"/>
      <w:marTop w:val="0"/>
      <w:marBottom w:val="0"/>
      <w:divBdr>
        <w:top w:val="none" w:sz="0" w:space="0" w:color="auto"/>
        <w:left w:val="none" w:sz="0" w:space="0" w:color="auto"/>
        <w:bottom w:val="none" w:sz="0" w:space="0" w:color="auto"/>
        <w:right w:val="none" w:sz="0" w:space="0" w:color="auto"/>
      </w:divBdr>
    </w:div>
    <w:div w:id="1110704614">
      <w:bodyDiv w:val="1"/>
      <w:marLeft w:val="0"/>
      <w:marRight w:val="0"/>
      <w:marTop w:val="0"/>
      <w:marBottom w:val="0"/>
      <w:divBdr>
        <w:top w:val="none" w:sz="0" w:space="0" w:color="auto"/>
        <w:left w:val="none" w:sz="0" w:space="0" w:color="auto"/>
        <w:bottom w:val="none" w:sz="0" w:space="0" w:color="auto"/>
        <w:right w:val="none" w:sz="0" w:space="0" w:color="auto"/>
      </w:divBdr>
    </w:div>
    <w:div w:id="1262445022">
      <w:bodyDiv w:val="1"/>
      <w:marLeft w:val="0"/>
      <w:marRight w:val="0"/>
      <w:marTop w:val="0"/>
      <w:marBottom w:val="0"/>
      <w:divBdr>
        <w:top w:val="none" w:sz="0" w:space="0" w:color="auto"/>
        <w:left w:val="none" w:sz="0" w:space="0" w:color="auto"/>
        <w:bottom w:val="none" w:sz="0" w:space="0" w:color="auto"/>
        <w:right w:val="none" w:sz="0" w:space="0" w:color="auto"/>
      </w:divBdr>
    </w:div>
    <w:div w:id="1289510251">
      <w:bodyDiv w:val="1"/>
      <w:marLeft w:val="0"/>
      <w:marRight w:val="0"/>
      <w:marTop w:val="0"/>
      <w:marBottom w:val="0"/>
      <w:divBdr>
        <w:top w:val="none" w:sz="0" w:space="0" w:color="auto"/>
        <w:left w:val="none" w:sz="0" w:space="0" w:color="auto"/>
        <w:bottom w:val="none" w:sz="0" w:space="0" w:color="auto"/>
        <w:right w:val="none" w:sz="0" w:space="0" w:color="auto"/>
      </w:divBdr>
    </w:div>
    <w:div w:id="1341422818">
      <w:bodyDiv w:val="1"/>
      <w:marLeft w:val="0"/>
      <w:marRight w:val="0"/>
      <w:marTop w:val="0"/>
      <w:marBottom w:val="0"/>
      <w:divBdr>
        <w:top w:val="none" w:sz="0" w:space="0" w:color="auto"/>
        <w:left w:val="none" w:sz="0" w:space="0" w:color="auto"/>
        <w:bottom w:val="none" w:sz="0" w:space="0" w:color="auto"/>
        <w:right w:val="none" w:sz="0" w:space="0" w:color="auto"/>
      </w:divBdr>
    </w:div>
    <w:div w:id="1740247042">
      <w:bodyDiv w:val="1"/>
      <w:marLeft w:val="0"/>
      <w:marRight w:val="0"/>
      <w:marTop w:val="0"/>
      <w:marBottom w:val="0"/>
      <w:divBdr>
        <w:top w:val="none" w:sz="0" w:space="0" w:color="auto"/>
        <w:left w:val="none" w:sz="0" w:space="0" w:color="auto"/>
        <w:bottom w:val="none" w:sz="0" w:space="0" w:color="auto"/>
        <w:right w:val="none" w:sz="0" w:space="0" w:color="auto"/>
      </w:divBdr>
    </w:div>
    <w:div w:id="2014913205">
      <w:bodyDiv w:val="1"/>
      <w:marLeft w:val="0"/>
      <w:marRight w:val="0"/>
      <w:marTop w:val="0"/>
      <w:marBottom w:val="0"/>
      <w:divBdr>
        <w:top w:val="none" w:sz="0" w:space="0" w:color="auto"/>
        <w:left w:val="none" w:sz="0" w:space="0" w:color="auto"/>
        <w:bottom w:val="none" w:sz="0" w:space="0" w:color="auto"/>
        <w:right w:val="none" w:sz="0" w:space="0" w:color="auto"/>
      </w:divBdr>
      <w:divsChild>
        <w:div w:id="669331099">
          <w:marLeft w:val="547"/>
          <w:marRight w:val="0"/>
          <w:marTop w:val="154"/>
          <w:marBottom w:val="160"/>
          <w:divBdr>
            <w:top w:val="none" w:sz="0" w:space="0" w:color="auto"/>
            <w:left w:val="none" w:sz="0" w:space="0" w:color="auto"/>
            <w:bottom w:val="none" w:sz="0" w:space="0" w:color="auto"/>
            <w:right w:val="none" w:sz="0" w:space="0" w:color="auto"/>
          </w:divBdr>
        </w:div>
        <w:div w:id="1669357397">
          <w:marLeft w:val="547"/>
          <w:marRight w:val="0"/>
          <w:marTop w:val="154"/>
          <w:marBottom w:val="160"/>
          <w:divBdr>
            <w:top w:val="none" w:sz="0" w:space="0" w:color="auto"/>
            <w:left w:val="none" w:sz="0" w:space="0" w:color="auto"/>
            <w:bottom w:val="none" w:sz="0" w:space="0" w:color="auto"/>
            <w:right w:val="none" w:sz="0" w:space="0" w:color="auto"/>
          </w:divBdr>
        </w:div>
        <w:div w:id="1746610437">
          <w:marLeft w:val="547"/>
          <w:marRight w:val="0"/>
          <w:marTop w:val="154"/>
          <w:marBottom w:val="160"/>
          <w:divBdr>
            <w:top w:val="none" w:sz="0" w:space="0" w:color="auto"/>
            <w:left w:val="none" w:sz="0" w:space="0" w:color="auto"/>
            <w:bottom w:val="none" w:sz="0" w:space="0" w:color="auto"/>
            <w:right w:val="none" w:sz="0" w:space="0" w:color="auto"/>
          </w:divBdr>
        </w:div>
      </w:divsChild>
    </w:div>
  </w:divs>
  <w:optimizeForBrowser/>
  <w:targetScreenSz w:val="800x600"/>
</w:webSettings>
</file>

<file path=word/_rels/document.xml.rels><?xml version="1.0" encoding="UTF-8" standalone="yes"?>
<Relationships xmlns="http://schemas.openxmlformats.org/package/2006/relationships"><Relationship Id="rId8" Type="http://schemas.openxmlformats.org/officeDocument/2006/relationships/hyperlink" Target="mailto:" TargetMode="External"/><Relationship Id="rId13" Type="http://schemas.openxmlformats.org/officeDocument/2006/relationships/header" Target="header3.xml"/><Relationship Id="rId3" Type="http://schemas.openxmlformats.org/officeDocument/2006/relationships/settings" Target="settings.xml"/><Relationship Id="rId7" Type="http://schemas.openxmlformats.org/officeDocument/2006/relationships/image" Target="media/image1.jpeg"/><Relationship Id="rId12" Type="http://schemas.openxmlformats.org/officeDocument/2006/relationships/footer" Target="footer2.xml"/><Relationship Id="rId2" Type="http://schemas.openxmlformats.org/officeDocument/2006/relationships/styles" Target="styles.xml"/><Relationship Id="rId16"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footer" Target="footer1.xml"/><Relationship Id="rId5" Type="http://schemas.openxmlformats.org/officeDocument/2006/relationships/footnotes" Target="footnotes.xml"/><Relationship Id="rId15" Type="http://schemas.openxmlformats.org/officeDocument/2006/relationships/fontTable" Target="fontTable.xml"/><Relationship Id="rId10" Type="http://schemas.openxmlformats.org/officeDocument/2006/relationships/header" Target="header2.xml"/><Relationship Id="rId4" Type="http://schemas.openxmlformats.org/officeDocument/2006/relationships/webSettings" Target="webSettings.xml"/><Relationship Id="rId9" Type="http://schemas.openxmlformats.org/officeDocument/2006/relationships/header" Target="header1.xml"/><Relationship Id="rId14" Type="http://schemas.openxmlformats.org/officeDocument/2006/relationships/footer" Target="footer3.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4</Pages>
  <Words>936</Words>
  <Characters>5339</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lpstr>
    </vt:vector>
  </TitlesOfParts>
  <Company>ITSO</Company>
  <LinksUpToDate>false</LinksUpToDate>
  <CharactersWithSpaces>6263</CharactersWithSpaces>
  <SharedDoc>false</SharedDoc>
  <HLinks>
    <vt:vector size="6" baseType="variant">
      <vt:variant>
        <vt:i4>6422640</vt:i4>
      </vt:variant>
      <vt:variant>
        <vt:i4>0</vt:i4>
      </vt:variant>
      <vt:variant>
        <vt:i4>0</vt:i4>
      </vt:variant>
      <vt:variant>
        <vt:i4>5</vt:i4>
      </vt:variant>
      <vt:variant>
        <vt:lpwstr>mailto:</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title>
  <dc:subject/>
  <dc:creator>Pitasi, Marc (CDC/OID/NCHHSTP)</dc:creator>
  <cp:keywords/>
  <cp:lastModifiedBy>Macaluso, Renita (CDC/DDPHSS/OS/OSI)</cp:lastModifiedBy>
  <cp:revision>2</cp:revision>
  <cp:lastPrinted>2017-09-26T13:59:00Z</cp:lastPrinted>
  <dcterms:created xsi:type="dcterms:W3CDTF">2021-09-16T22:07:00Z</dcterms:created>
  <dcterms:modified xsi:type="dcterms:W3CDTF">2021-09-16T22:07:00Z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MSIP_Label_7b94a7b8-f06c-4dfe-bdcc-9b548fd58c31_Enabled">
    <vt:lpwstr>true</vt:lpwstr>
  </property>
  <property fmtid="{D5CDD505-2E9C-101B-9397-08002B2CF9AE}" pid="3" name="MSIP_Label_7b94a7b8-f06c-4dfe-bdcc-9b548fd58c31_SetDate">
    <vt:lpwstr>2021-03-25T15:09:39Z</vt:lpwstr>
  </property>
  <property fmtid="{D5CDD505-2E9C-101B-9397-08002B2CF9AE}" pid="4" name="MSIP_Label_7b94a7b8-f06c-4dfe-bdcc-9b548fd58c31_Method">
    <vt:lpwstr>Privileged</vt:lpwstr>
  </property>
  <property fmtid="{D5CDD505-2E9C-101B-9397-08002B2CF9AE}" pid="5" name="MSIP_Label_7b94a7b8-f06c-4dfe-bdcc-9b548fd58c31_Name">
    <vt:lpwstr>7b94a7b8-f06c-4dfe-bdcc-9b548fd58c31</vt:lpwstr>
  </property>
  <property fmtid="{D5CDD505-2E9C-101B-9397-08002B2CF9AE}" pid="6" name="MSIP_Label_7b94a7b8-f06c-4dfe-bdcc-9b548fd58c31_SiteId">
    <vt:lpwstr>9ce70869-60db-44fd-abe8-d2767077fc8f</vt:lpwstr>
  </property>
  <property fmtid="{D5CDD505-2E9C-101B-9397-08002B2CF9AE}" pid="7" name="MSIP_Label_7b94a7b8-f06c-4dfe-bdcc-9b548fd58c31_ActionId">
    <vt:lpwstr>903afc34-cdfb-4270-9287-494248677115</vt:lpwstr>
  </property>
  <property fmtid="{D5CDD505-2E9C-101B-9397-08002B2CF9AE}" pid="8" name="MSIP_Label_7b94a7b8-f06c-4dfe-bdcc-9b548fd58c31_ContentBits">
    <vt:lpwstr>0</vt:lpwstr>
  </property>
</Properties>
</file>