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4CD7" w:rsidP="00AA275A" w14:paraId="14B4F152" w14:textId="4196362B">
      <w:pPr>
        <w:jc w:val="center"/>
        <w:rPr>
          <w:rFonts w:ascii="Times New Roman" w:hAnsi="Times New Roman" w:cs="Times New Roman"/>
          <w:b/>
          <w:bCs/>
        </w:rPr>
      </w:pPr>
      <w:r>
        <w:rPr>
          <w:rFonts w:ascii="Times New Roman" w:hAnsi="Times New Roman" w:cs="Times New Roman"/>
          <w:b/>
          <w:bCs/>
        </w:rPr>
        <w:t xml:space="preserve">Paper Screener </w:t>
      </w:r>
      <w:r w:rsidRPr="00AA275A" w:rsidR="00AA275A">
        <w:rPr>
          <w:rFonts w:ascii="Times New Roman" w:hAnsi="Times New Roman" w:cs="Times New Roman"/>
          <w:b/>
          <w:bCs/>
        </w:rPr>
        <w:t>Experiment for NSFG</w:t>
      </w:r>
      <w:r>
        <w:rPr>
          <w:rFonts w:ascii="Times New Roman" w:hAnsi="Times New Roman" w:cs="Times New Roman"/>
          <w:b/>
          <w:bCs/>
        </w:rPr>
        <w:t>,</w:t>
      </w:r>
    </w:p>
    <w:p w:rsidR="00AA275A" w:rsidP="00AA275A" w14:paraId="71CAE6FB" w14:textId="60115311">
      <w:pPr>
        <w:jc w:val="center"/>
        <w:rPr>
          <w:rFonts w:ascii="Times New Roman" w:hAnsi="Times New Roman" w:cs="Times New Roman"/>
          <w:b/>
          <w:bCs/>
        </w:rPr>
      </w:pPr>
      <w:r>
        <w:rPr>
          <w:rFonts w:ascii="Times New Roman" w:hAnsi="Times New Roman" w:cs="Times New Roman"/>
          <w:b/>
          <w:bCs/>
        </w:rPr>
        <w:t>Implemented</w:t>
      </w:r>
      <w:r w:rsidR="00154CD7">
        <w:rPr>
          <w:rFonts w:ascii="Times New Roman" w:hAnsi="Times New Roman" w:cs="Times New Roman"/>
          <w:b/>
          <w:bCs/>
        </w:rPr>
        <w:t xml:space="preserve"> in </w:t>
      </w:r>
      <w:r w:rsidR="00E526A6">
        <w:rPr>
          <w:rFonts w:ascii="Times New Roman" w:hAnsi="Times New Roman" w:cs="Times New Roman"/>
          <w:b/>
          <w:bCs/>
        </w:rPr>
        <w:t>Quarter</w:t>
      </w:r>
      <w:r w:rsidR="00154CD7">
        <w:rPr>
          <w:rFonts w:ascii="Times New Roman" w:hAnsi="Times New Roman" w:cs="Times New Roman"/>
          <w:b/>
          <w:bCs/>
        </w:rPr>
        <w:t>s</w:t>
      </w:r>
      <w:r w:rsidR="00E526A6">
        <w:rPr>
          <w:rFonts w:ascii="Times New Roman" w:hAnsi="Times New Roman" w:cs="Times New Roman"/>
          <w:b/>
          <w:bCs/>
        </w:rPr>
        <w:t xml:space="preserve"> 3 and 4 of 2022</w:t>
      </w:r>
    </w:p>
    <w:p w:rsidR="00AA275A" w:rsidRPr="00AA275A" w:rsidP="00AA275A" w14:paraId="41F87768" w14:textId="77777777">
      <w:pPr>
        <w:jc w:val="center"/>
        <w:rPr>
          <w:rFonts w:ascii="Times New Roman" w:hAnsi="Times New Roman" w:cs="Times New Roman"/>
          <w:b/>
          <w:bCs/>
        </w:rPr>
      </w:pPr>
    </w:p>
    <w:p w:rsidR="00F8745E" w:rsidP="00AD063B" w14:paraId="4AD5F7F2" w14:textId="1DF142AB">
      <w:pPr>
        <w:rPr>
          <w:rFonts w:ascii="Times New Roman" w:hAnsi="Times New Roman" w:cs="Times New Roman"/>
        </w:rPr>
      </w:pPr>
      <w:r w:rsidRPr="00F8745E">
        <w:rPr>
          <w:rFonts w:ascii="Times New Roman" w:hAnsi="Times New Roman" w:cs="Times New Roman"/>
        </w:rPr>
        <w:t xml:space="preserve">The paper screener experiment </w:t>
      </w:r>
      <w:r w:rsidR="00E526A6">
        <w:rPr>
          <w:rFonts w:ascii="Times New Roman" w:hAnsi="Times New Roman" w:cs="Times New Roman"/>
        </w:rPr>
        <w:t>was</w:t>
      </w:r>
      <w:r w:rsidRPr="00F8745E">
        <w:rPr>
          <w:rFonts w:ascii="Times New Roman" w:hAnsi="Times New Roman" w:cs="Times New Roman"/>
        </w:rPr>
        <w:t xml:space="preserve"> implemented in Quarter</w:t>
      </w:r>
      <w:r w:rsidR="00E526A6">
        <w:rPr>
          <w:rFonts w:ascii="Times New Roman" w:hAnsi="Times New Roman" w:cs="Times New Roman"/>
        </w:rPr>
        <w:t>s</w:t>
      </w:r>
      <w:r w:rsidRPr="00F8745E">
        <w:rPr>
          <w:rFonts w:ascii="Times New Roman" w:hAnsi="Times New Roman" w:cs="Times New Roman"/>
        </w:rPr>
        <w:t xml:space="preserve"> 3</w:t>
      </w:r>
      <w:r w:rsidR="00E526A6">
        <w:rPr>
          <w:rFonts w:ascii="Times New Roman" w:hAnsi="Times New Roman" w:cs="Times New Roman"/>
        </w:rPr>
        <w:t>&amp;4</w:t>
      </w:r>
      <w:r w:rsidRPr="00F8745E">
        <w:rPr>
          <w:rFonts w:ascii="Times New Roman" w:hAnsi="Times New Roman" w:cs="Times New Roman"/>
        </w:rPr>
        <w:t xml:space="preserve"> of 2022. </w:t>
      </w:r>
      <w:r w:rsidR="00E526A6">
        <w:rPr>
          <w:rFonts w:ascii="Times New Roman" w:hAnsi="Times New Roman" w:cs="Times New Roman"/>
        </w:rPr>
        <w:t>Sample addresses were mailed a short paper screener in the third mailing for the NSFG screener, in addition to including the web login information again</w:t>
      </w:r>
      <w:r w:rsidR="0093102F">
        <w:rPr>
          <w:rFonts w:ascii="Times New Roman" w:hAnsi="Times New Roman" w:cs="Times New Roman"/>
        </w:rPr>
        <w:t>.</w:t>
      </w:r>
    </w:p>
    <w:p w:rsidR="00A35B1F" w:rsidP="00AD063B" w14:paraId="4B976952" w14:textId="0AB04868">
      <w:pPr>
        <w:rPr>
          <w:rFonts w:ascii="Times New Roman" w:hAnsi="Times New Roman" w:cs="Times New Roman"/>
        </w:rPr>
      </w:pPr>
    </w:p>
    <w:p w:rsidR="00A35B1F" w:rsidP="00AD063B" w14:paraId="27D67A8D" w14:textId="0516ADBE">
      <w:pPr>
        <w:rPr>
          <w:rFonts w:ascii="Times New Roman" w:hAnsi="Times New Roman" w:cs="Times New Roman"/>
        </w:rPr>
      </w:pPr>
      <w:r>
        <w:rPr>
          <w:rFonts w:ascii="Times New Roman" w:hAnsi="Times New Roman" w:cs="Times New Roman"/>
        </w:rPr>
        <w:t xml:space="preserve">The sole objective of the paper screener was to help increase the screening and overall response rates. The paper screener adds cost and complexity, </w:t>
      </w:r>
      <w:r w:rsidR="00204B86">
        <w:rPr>
          <w:rFonts w:ascii="Times New Roman" w:hAnsi="Times New Roman" w:cs="Times New Roman"/>
        </w:rPr>
        <w:t>including necessary</w:t>
      </w:r>
      <w:r>
        <w:rPr>
          <w:rFonts w:ascii="Times New Roman" w:hAnsi="Times New Roman" w:cs="Times New Roman"/>
        </w:rPr>
        <w:t xml:space="preserve"> procedures and time to mail the screener forms, scan returned forms, process the data and </w:t>
      </w:r>
      <w:r w:rsidR="00204B86">
        <w:rPr>
          <w:rFonts w:ascii="Times New Roman" w:hAnsi="Times New Roman" w:cs="Times New Roman"/>
        </w:rPr>
        <w:t>apply respondent selection algorithms, and add information back into the survey systems.</w:t>
      </w:r>
    </w:p>
    <w:p w:rsidR="00204B86" w:rsidP="00AD063B" w14:paraId="5213F3BE" w14:textId="627A8FD2">
      <w:pPr>
        <w:rPr>
          <w:rFonts w:ascii="Times New Roman" w:hAnsi="Times New Roman" w:cs="Times New Roman"/>
        </w:rPr>
      </w:pPr>
    </w:p>
    <w:p w:rsidR="00204B86" w:rsidP="00AD063B" w14:paraId="12EC564A" w14:textId="7BE0E791">
      <w:pPr>
        <w:rPr>
          <w:rFonts w:ascii="Times New Roman" w:hAnsi="Times New Roman" w:cs="Times New Roman"/>
        </w:rPr>
      </w:pPr>
      <w:r>
        <w:rPr>
          <w:rFonts w:ascii="Times New Roman" w:hAnsi="Times New Roman" w:cs="Times New Roman"/>
        </w:rPr>
        <w:t>Receipt of completed paper screeners does not imply increased participation. Those who complete the paper screeners may have completed the screener using another mode (web or in-person) if not given the paper screener option. Similarly, someone else in the household may complete the screener in another mode before a completed paper screener is received and processed. Therefore, the paper screener experiment should be evaluated as a net effect on the response rate, rather than limited to the number of received completed forms.</w:t>
      </w:r>
    </w:p>
    <w:p w:rsidR="00DF3FF1" w:rsidP="002F4FFC" w14:paraId="2C160EDB" w14:textId="77777777">
      <w:pPr>
        <w:rPr>
          <w:rFonts w:ascii="Times New Roman" w:hAnsi="Times New Roman" w:cs="Times New Roman"/>
        </w:rPr>
      </w:pPr>
    </w:p>
    <w:p w:rsidR="00523DC4" w:rsidP="00A35B1F" w14:paraId="69B5B910" w14:textId="30176144">
      <w:pPr>
        <w:rPr>
          <w:rFonts w:ascii="Times New Roman" w:hAnsi="Times New Roman" w:cs="Times New Roman"/>
        </w:rPr>
      </w:pPr>
      <w:r w:rsidRPr="00A35B1F">
        <w:rPr>
          <w:rFonts w:ascii="Times New Roman" w:hAnsi="Times New Roman" w:cs="Times New Roman"/>
        </w:rPr>
        <w:t>The interim AAPOR RR4</w:t>
      </w:r>
      <w:r>
        <w:rPr>
          <w:rStyle w:val="FootnoteReference"/>
          <w:rFonts w:ascii="Times New Roman" w:hAnsi="Times New Roman" w:cs="Times New Roman"/>
        </w:rPr>
        <w:footnoteReference w:id="2"/>
      </w:r>
      <w:r w:rsidRPr="00A35B1F">
        <w:rPr>
          <w:rFonts w:ascii="Times New Roman" w:hAnsi="Times New Roman" w:cs="Times New Roman"/>
        </w:rPr>
        <w:t xml:space="preserve"> unweighted response rates for the screener, conditional male and female, and overall male and female response rates for the conditions without and with a paper screener on the third screener mailing are shown in Table 1.</w:t>
      </w:r>
      <w:r w:rsidRPr="00A35B1F" w:rsidR="009824C0">
        <w:rPr>
          <w:rFonts w:ascii="Times New Roman" w:hAnsi="Times New Roman" w:cs="Times New Roman"/>
        </w:rPr>
        <w:t xml:space="preserve"> </w:t>
      </w:r>
      <w:r>
        <w:rPr>
          <w:rFonts w:ascii="Times New Roman" w:hAnsi="Times New Roman" w:cs="Times New Roman"/>
        </w:rPr>
        <w:t>Even if there is a positive impact of the paper screener on the screener response rate, any benefit on the overall response rate may be lost if those who complete the screener on paper are less likely to complete the main survey on the web or in-person. However, there is no beneficial impact of the paper screener on the screener response rate (49.5% with a paper screener vs. 51.5% without a paper screener) or on the conditional main survey response rates.</w:t>
      </w:r>
    </w:p>
    <w:p w:rsidR="002F4FFC" w:rsidP="002F4FFC" w14:paraId="0626416C" w14:textId="77777777">
      <w:pPr>
        <w:widowControl/>
        <w:autoSpaceDE/>
        <w:autoSpaceDN/>
        <w:adjustRightInd/>
        <w:rPr>
          <w:rFonts w:ascii="Times New Roman" w:hAnsi="Times New Roman" w:cs="Times New Roman"/>
          <w:b/>
          <w:bCs/>
        </w:rPr>
      </w:pPr>
    </w:p>
    <w:p w:rsidR="002F4FFC" w:rsidRPr="00C1055A" w:rsidP="006E04E1" w14:paraId="04A88D47" w14:textId="5B6B48C8">
      <w:pPr>
        <w:keepNext/>
        <w:ind w:left="864" w:hanging="864"/>
        <w:rPr>
          <w:rFonts w:ascii="Times New Roman" w:hAnsi="Times New Roman" w:cs="Times New Roman"/>
          <w:b/>
          <w:bCs/>
        </w:rPr>
      </w:pPr>
      <w:r w:rsidRPr="00C1055A">
        <w:rPr>
          <w:rFonts w:ascii="Times New Roman" w:hAnsi="Times New Roman" w:cs="Times New Roman"/>
          <w:b/>
          <w:bCs/>
        </w:rPr>
        <w:t xml:space="preserve">Table </w:t>
      </w:r>
      <w:r w:rsidR="00F31CDC">
        <w:rPr>
          <w:rFonts w:ascii="Times New Roman" w:hAnsi="Times New Roman" w:cs="Times New Roman"/>
          <w:b/>
          <w:bCs/>
        </w:rPr>
        <w:t>1</w:t>
      </w:r>
      <w:r w:rsidRPr="00C1055A">
        <w:rPr>
          <w:rFonts w:ascii="Times New Roman" w:hAnsi="Times New Roman" w:cs="Times New Roman"/>
          <w:b/>
          <w:bCs/>
        </w:rPr>
        <w:t xml:space="preserve">. </w:t>
      </w:r>
      <w:r w:rsidR="001A1787">
        <w:rPr>
          <w:rFonts w:ascii="Times New Roman" w:hAnsi="Times New Roman" w:cs="Times New Roman"/>
          <w:b/>
          <w:bCs/>
        </w:rPr>
        <w:t xml:space="preserve">Unweighted </w:t>
      </w:r>
      <w:r>
        <w:rPr>
          <w:rFonts w:ascii="Times New Roman" w:hAnsi="Times New Roman" w:cs="Times New Roman"/>
          <w:b/>
          <w:bCs/>
        </w:rPr>
        <w:t>Response Rates by Paper Screener Condition</w:t>
      </w:r>
      <w:r w:rsidRPr="00C1055A">
        <w:rPr>
          <w:rFonts w:ascii="Times New Roman" w:hAnsi="Times New Roman" w:cs="Times New Roman"/>
          <w:b/>
          <w:bCs/>
        </w:rPr>
        <w:t>, Quarter</w:t>
      </w:r>
      <w:r w:rsidR="00A35B1F">
        <w:rPr>
          <w:rFonts w:ascii="Times New Roman" w:hAnsi="Times New Roman" w:cs="Times New Roman"/>
          <w:b/>
          <w:bCs/>
        </w:rPr>
        <w:t>s</w:t>
      </w:r>
      <w:r w:rsidRPr="00C1055A">
        <w:rPr>
          <w:rFonts w:ascii="Times New Roman" w:hAnsi="Times New Roman" w:cs="Times New Roman"/>
          <w:b/>
          <w:bCs/>
        </w:rPr>
        <w:t xml:space="preserve"> </w:t>
      </w:r>
      <w:r>
        <w:rPr>
          <w:rFonts w:ascii="Times New Roman" w:hAnsi="Times New Roman" w:cs="Times New Roman"/>
          <w:b/>
          <w:bCs/>
        </w:rPr>
        <w:t>3</w:t>
      </w:r>
      <w:r w:rsidR="00A35B1F">
        <w:rPr>
          <w:rFonts w:ascii="Times New Roman" w:hAnsi="Times New Roman" w:cs="Times New Roman"/>
          <w:b/>
          <w:bCs/>
        </w:rPr>
        <w:t>&amp;4</w:t>
      </w:r>
      <w:r w:rsidRPr="00C1055A">
        <w:rPr>
          <w:rFonts w:ascii="Times New Roman" w:hAnsi="Times New Roman" w:cs="Times New Roman"/>
          <w:b/>
          <w:bCs/>
        </w:rPr>
        <w:t xml:space="preserve"> of 2022.</w:t>
      </w:r>
    </w:p>
    <w:tbl>
      <w:tblPr>
        <w:tblStyle w:val="TableGrid"/>
        <w:tblW w:w="0" w:type="auto"/>
        <w:tblBorders>
          <w:left w:val="none" w:sz="0" w:space="0" w:color="auto"/>
          <w:right w:val="none" w:sz="0" w:space="0" w:color="auto"/>
        </w:tblBorders>
        <w:tblLook w:val="04A0"/>
      </w:tblPr>
      <w:tblGrid>
        <w:gridCol w:w="4410"/>
        <w:gridCol w:w="2430"/>
        <w:gridCol w:w="2430"/>
      </w:tblGrid>
      <w:tr w14:paraId="52CB166A" w14:textId="77777777" w:rsidTr="00214121">
        <w:tblPrEx>
          <w:tblW w:w="0" w:type="auto"/>
          <w:tblBorders>
            <w:left w:val="none" w:sz="0" w:space="0" w:color="auto"/>
            <w:right w:val="none" w:sz="0" w:space="0" w:color="auto"/>
          </w:tblBorders>
          <w:tblLook w:val="04A0"/>
        </w:tblPrEx>
        <w:tc>
          <w:tcPr>
            <w:tcW w:w="4410" w:type="dxa"/>
            <w:tcBorders>
              <w:bottom w:val="nil"/>
            </w:tcBorders>
          </w:tcPr>
          <w:p w:rsidR="001A1787" w:rsidRPr="007C2593" w:rsidP="006E04E1" w14:paraId="3E54FBF6" w14:textId="77777777">
            <w:pPr>
              <w:keepNext/>
              <w:rPr>
                <w:rFonts w:ascii="Times New Roman" w:hAnsi="Times New Roman" w:cs="Times New Roman"/>
                <w:b/>
                <w:bCs/>
                <w:sz w:val="24"/>
                <w:szCs w:val="24"/>
              </w:rPr>
            </w:pPr>
          </w:p>
        </w:tc>
        <w:tc>
          <w:tcPr>
            <w:tcW w:w="4860" w:type="dxa"/>
            <w:gridSpan w:val="2"/>
            <w:tcBorders>
              <w:bottom w:val="nil"/>
            </w:tcBorders>
          </w:tcPr>
          <w:p w:rsidR="001A1787" w:rsidRPr="007C2593" w:rsidP="006E04E1" w14:paraId="2ABA93F6" w14:textId="31ADAA73">
            <w:pPr>
              <w:keepNext/>
              <w:jc w:val="center"/>
              <w:rPr>
                <w:rFonts w:ascii="Times New Roman" w:hAnsi="Times New Roman" w:cs="Times New Roman"/>
                <w:b/>
                <w:bCs/>
                <w:sz w:val="24"/>
                <w:szCs w:val="24"/>
              </w:rPr>
            </w:pPr>
            <w:r w:rsidRPr="007C2593">
              <w:rPr>
                <w:rFonts w:ascii="Times New Roman" w:hAnsi="Times New Roman" w:cs="Times New Roman"/>
                <w:b/>
                <w:bCs/>
                <w:sz w:val="24"/>
                <w:szCs w:val="24"/>
              </w:rPr>
              <w:t>Paper Screener Condition</w:t>
            </w:r>
          </w:p>
        </w:tc>
      </w:tr>
      <w:tr w14:paraId="467874D0" w14:textId="77777777" w:rsidTr="00214121">
        <w:tblPrEx>
          <w:tblW w:w="0" w:type="auto"/>
          <w:tblLook w:val="04A0"/>
        </w:tblPrEx>
        <w:tc>
          <w:tcPr>
            <w:tcW w:w="4410" w:type="dxa"/>
            <w:tcBorders>
              <w:top w:val="nil"/>
              <w:bottom w:val="single" w:sz="4" w:space="0" w:color="auto"/>
            </w:tcBorders>
          </w:tcPr>
          <w:p w:rsidR="001A1787" w:rsidRPr="007C2593" w:rsidP="006E04E1" w14:paraId="3C8F6684" w14:textId="77777777">
            <w:pPr>
              <w:keepNext/>
              <w:rPr>
                <w:rFonts w:ascii="Times New Roman" w:hAnsi="Times New Roman" w:cs="Times New Roman"/>
                <w:b/>
                <w:bCs/>
                <w:sz w:val="24"/>
                <w:szCs w:val="24"/>
              </w:rPr>
            </w:pPr>
            <w:r w:rsidRPr="007C2593">
              <w:rPr>
                <w:rFonts w:ascii="Times New Roman" w:hAnsi="Times New Roman" w:cs="Times New Roman"/>
                <w:b/>
                <w:bCs/>
                <w:sz w:val="24"/>
                <w:szCs w:val="24"/>
              </w:rPr>
              <w:t xml:space="preserve"> </w:t>
            </w:r>
          </w:p>
        </w:tc>
        <w:tc>
          <w:tcPr>
            <w:tcW w:w="2430" w:type="dxa"/>
            <w:tcBorders>
              <w:top w:val="nil"/>
              <w:bottom w:val="single" w:sz="4" w:space="0" w:color="auto"/>
            </w:tcBorders>
          </w:tcPr>
          <w:p w:rsidR="00EA78C1" w:rsidP="006E04E1" w14:paraId="062637C6" w14:textId="77777777">
            <w:pPr>
              <w:keepNext/>
              <w:jc w:val="center"/>
              <w:rPr>
                <w:rFonts w:ascii="Times New Roman" w:hAnsi="Times New Roman" w:cs="Times New Roman"/>
                <w:b/>
                <w:bCs/>
                <w:sz w:val="24"/>
                <w:szCs w:val="24"/>
              </w:rPr>
            </w:pPr>
            <w:r w:rsidRPr="007C2593">
              <w:rPr>
                <w:rFonts w:ascii="Times New Roman" w:hAnsi="Times New Roman" w:cs="Times New Roman"/>
                <w:b/>
                <w:bCs/>
                <w:sz w:val="24"/>
                <w:szCs w:val="24"/>
              </w:rPr>
              <w:t>No Paper Screener</w:t>
            </w:r>
          </w:p>
          <w:p w:rsidR="001A1787" w:rsidRPr="007C2593" w:rsidP="006E04E1" w14:paraId="645CB689" w14:textId="0E02555F">
            <w:pPr>
              <w:keepNext/>
              <w:jc w:val="center"/>
              <w:rPr>
                <w:rFonts w:ascii="Times New Roman" w:hAnsi="Times New Roman" w:cs="Times New Roman"/>
                <w:b/>
                <w:bCs/>
                <w:sz w:val="24"/>
                <w:szCs w:val="24"/>
              </w:rPr>
            </w:pPr>
            <w:r>
              <w:rPr>
                <w:rFonts w:ascii="Times New Roman" w:hAnsi="Times New Roman" w:cs="Times New Roman"/>
                <w:b/>
                <w:bCs/>
                <w:sz w:val="24"/>
                <w:szCs w:val="24"/>
              </w:rPr>
              <w:t>n=</w:t>
            </w:r>
            <w:r w:rsidR="002C79C3">
              <w:rPr>
                <w:rFonts w:ascii="Times New Roman" w:hAnsi="Times New Roman" w:cs="Times New Roman"/>
                <w:b/>
                <w:bCs/>
                <w:sz w:val="24"/>
                <w:szCs w:val="24"/>
              </w:rPr>
              <w:t>10,069</w:t>
            </w:r>
          </w:p>
        </w:tc>
        <w:tc>
          <w:tcPr>
            <w:tcW w:w="2430" w:type="dxa"/>
            <w:tcBorders>
              <w:top w:val="nil"/>
              <w:left w:val="single" w:sz="4" w:space="0" w:color="auto"/>
              <w:bottom w:val="single" w:sz="4" w:space="0" w:color="auto"/>
            </w:tcBorders>
          </w:tcPr>
          <w:p w:rsidR="00EA78C1" w:rsidP="006E04E1" w14:paraId="5722FA5B" w14:textId="77777777">
            <w:pPr>
              <w:keepNext/>
              <w:jc w:val="center"/>
              <w:rPr>
                <w:rFonts w:ascii="Times New Roman" w:hAnsi="Times New Roman" w:cs="Times New Roman"/>
                <w:b/>
                <w:bCs/>
                <w:sz w:val="24"/>
                <w:szCs w:val="24"/>
              </w:rPr>
            </w:pPr>
            <w:r w:rsidRPr="007C2593">
              <w:rPr>
                <w:rFonts w:ascii="Times New Roman" w:hAnsi="Times New Roman" w:cs="Times New Roman"/>
                <w:b/>
                <w:bCs/>
                <w:sz w:val="24"/>
                <w:szCs w:val="24"/>
              </w:rPr>
              <w:t>Paper Screener</w:t>
            </w:r>
          </w:p>
          <w:p w:rsidR="001A1787" w:rsidRPr="007C2593" w:rsidP="006E04E1" w14:paraId="7499AC6B" w14:textId="03B9822B">
            <w:pPr>
              <w:keepNext/>
              <w:jc w:val="center"/>
              <w:rPr>
                <w:rFonts w:ascii="Times New Roman" w:hAnsi="Times New Roman" w:cs="Times New Roman"/>
                <w:b/>
                <w:bCs/>
                <w:sz w:val="24"/>
                <w:szCs w:val="24"/>
              </w:rPr>
            </w:pPr>
            <w:r>
              <w:rPr>
                <w:rFonts w:ascii="Times New Roman" w:hAnsi="Times New Roman" w:cs="Times New Roman"/>
                <w:b/>
                <w:bCs/>
                <w:sz w:val="24"/>
                <w:szCs w:val="24"/>
              </w:rPr>
              <w:t>n=</w:t>
            </w:r>
            <w:r w:rsidR="002C79C3">
              <w:rPr>
                <w:rFonts w:ascii="Times New Roman" w:hAnsi="Times New Roman" w:cs="Times New Roman"/>
                <w:b/>
                <w:bCs/>
                <w:sz w:val="24"/>
                <w:szCs w:val="24"/>
              </w:rPr>
              <w:t>9,921</w:t>
            </w:r>
          </w:p>
        </w:tc>
      </w:tr>
      <w:tr w14:paraId="112613A4" w14:textId="77777777" w:rsidTr="00214121">
        <w:tblPrEx>
          <w:tblW w:w="0" w:type="auto"/>
          <w:tblLook w:val="04A0"/>
        </w:tblPrEx>
        <w:tc>
          <w:tcPr>
            <w:tcW w:w="4410" w:type="dxa"/>
            <w:tcBorders>
              <w:bottom w:val="nil"/>
            </w:tcBorders>
          </w:tcPr>
          <w:p w:rsidR="001A1787" w:rsidRPr="007C2593" w:rsidP="006E04E1" w14:paraId="162637CA" w14:textId="77777777">
            <w:pPr>
              <w:keepNext/>
              <w:rPr>
                <w:rFonts w:ascii="Times New Roman" w:hAnsi="Times New Roman" w:cs="Times New Roman"/>
                <w:sz w:val="24"/>
                <w:szCs w:val="24"/>
              </w:rPr>
            </w:pPr>
            <w:r w:rsidRPr="007C2593">
              <w:rPr>
                <w:rFonts w:ascii="Times New Roman" w:hAnsi="Times New Roman" w:cs="Times New Roman"/>
                <w:sz w:val="24"/>
                <w:szCs w:val="24"/>
              </w:rPr>
              <w:t>Screener</w:t>
            </w:r>
          </w:p>
        </w:tc>
        <w:tc>
          <w:tcPr>
            <w:tcW w:w="2430" w:type="dxa"/>
            <w:tcBorders>
              <w:bottom w:val="nil"/>
            </w:tcBorders>
            <w:vAlign w:val="bottom"/>
          </w:tcPr>
          <w:p w:rsidR="001A1787" w:rsidRPr="007C2593" w:rsidP="006E04E1" w14:paraId="53370D42" w14:textId="1AA63057">
            <w:pPr>
              <w:keepNext/>
              <w:jc w:val="center"/>
              <w:rPr>
                <w:rFonts w:ascii="Times New Roman" w:hAnsi="Times New Roman" w:cs="Times New Roman"/>
                <w:sz w:val="24"/>
                <w:szCs w:val="24"/>
              </w:rPr>
            </w:pPr>
            <w:r>
              <w:rPr>
                <w:rFonts w:ascii="Times New Roman" w:hAnsi="Times New Roman" w:cs="Times New Roman"/>
                <w:sz w:val="24"/>
                <w:szCs w:val="24"/>
              </w:rPr>
              <w:t>51.5</w:t>
            </w:r>
            <w:r w:rsidRPr="007C2593" w:rsidR="00D055F2">
              <w:rPr>
                <w:rFonts w:ascii="Times New Roman" w:hAnsi="Times New Roman" w:cs="Times New Roman"/>
                <w:sz w:val="24"/>
                <w:szCs w:val="24"/>
              </w:rPr>
              <w:t>%</w:t>
            </w:r>
          </w:p>
        </w:tc>
        <w:tc>
          <w:tcPr>
            <w:tcW w:w="2430" w:type="dxa"/>
            <w:tcBorders>
              <w:left w:val="single" w:sz="4" w:space="0" w:color="auto"/>
              <w:bottom w:val="nil"/>
            </w:tcBorders>
            <w:vAlign w:val="bottom"/>
          </w:tcPr>
          <w:p w:rsidR="001A1787" w:rsidRPr="007C2593" w:rsidP="006E04E1" w14:paraId="0265A98C" w14:textId="4933BBB3">
            <w:pPr>
              <w:keepNext/>
              <w:jc w:val="center"/>
              <w:rPr>
                <w:rFonts w:ascii="Times New Roman" w:hAnsi="Times New Roman" w:cs="Times New Roman"/>
                <w:sz w:val="24"/>
                <w:szCs w:val="24"/>
              </w:rPr>
            </w:pPr>
            <w:r>
              <w:rPr>
                <w:rFonts w:ascii="Times New Roman" w:hAnsi="Times New Roman" w:cs="Times New Roman"/>
                <w:sz w:val="24"/>
                <w:szCs w:val="24"/>
              </w:rPr>
              <w:t>49.5</w:t>
            </w:r>
            <w:r w:rsidRPr="007C2593" w:rsidR="00D055F2">
              <w:rPr>
                <w:rFonts w:ascii="Times New Roman" w:hAnsi="Times New Roman" w:cs="Times New Roman"/>
                <w:sz w:val="24"/>
                <w:szCs w:val="24"/>
              </w:rPr>
              <w:t>%</w:t>
            </w:r>
          </w:p>
        </w:tc>
      </w:tr>
      <w:tr w14:paraId="4D3DDC80" w14:textId="77777777" w:rsidTr="00214121">
        <w:tblPrEx>
          <w:tblW w:w="0" w:type="auto"/>
          <w:tblLook w:val="04A0"/>
        </w:tblPrEx>
        <w:tc>
          <w:tcPr>
            <w:tcW w:w="4410" w:type="dxa"/>
            <w:tcBorders>
              <w:top w:val="nil"/>
              <w:bottom w:val="nil"/>
            </w:tcBorders>
          </w:tcPr>
          <w:p w:rsidR="001A1787" w:rsidRPr="007C2593" w:rsidP="006E04E1" w14:paraId="7CCC3264" w14:textId="77777777">
            <w:pPr>
              <w:keepNext/>
              <w:rPr>
                <w:rFonts w:ascii="Times New Roman" w:hAnsi="Times New Roman" w:cs="Times New Roman"/>
                <w:sz w:val="24"/>
                <w:szCs w:val="24"/>
              </w:rPr>
            </w:pPr>
            <w:r w:rsidRPr="007C2593">
              <w:rPr>
                <w:rFonts w:ascii="Times New Roman" w:hAnsi="Times New Roman" w:cs="Times New Roman"/>
                <w:sz w:val="24"/>
                <w:szCs w:val="24"/>
              </w:rPr>
              <w:t>Male Survey</w:t>
            </w:r>
          </w:p>
        </w:tc>
        <w:tc>
          <w:tcPr>
            <w:tcW w:w="2430" w:type="dxa"/>
            <w:tcBorders>
              <w:top w:val="nil"/>
              <w:bottom w:val="nil"/>
            </w:tcBorders>
            <w:vAlign w:val="bottom"/>
          </w:tcPr>
          <w:p w:rsidR="001A1787" w:rsidRPr="007C2593" w:rsidP="006E04E1" w14:paraId="40B62B45" w14:textId="66746845">
            <w:pPr>
              <w:keepNext/>
              <w:jc w:val="center"/>
              <w:rPr>
                <w:rFonts w:ascii="Times New Roman" w:hAnsi="Times New Roman" w:cs="Times New Roman"/>
                <w:sz w:val="24"/>
                <w:szCs w:val="24"/>
              </w:rPr>
            </w:pPr>
            <w:r>
              <w:rPr>
                <w:rFonts w:ascii="Times New Roman" w:hAnsi="Times New Roman" w:cs="Times New Roman"/>
                <w:sz w:val="24"/>
                <w:szCs w:val="24"/>
              </w:rPr>
              <w:t>62.9</w:t>
            </w:r>
            <w:r w:rsidRPr="007C2593" w:rsidR="00D055F2">
              <w:rPr>
                <w:rFonts w:ascii="Times New Roman" w:hAnsi="Times New Roman" w:cs="Times New Roman"/>
                <w:sz w:val="24"/>
                <w:szCs w:val="24"/>
              </w:rPr>
              <w:t>%</w:t>
            </w:r>
          </w:p>
        </w:tc>
        <w:tc>
          <w:tcPr>
            <w:tcW w:w="2430" w:type="dxa"/>
            <w:tcBorders>
              <w:top w:val="nil"/>
              <w:left w:val="single" w:sz="4" w:space="0" w:color="auto"/>
              <w:bottom w:val="nil"/>
            </w:tcBorders>
            <w:vAlign w:val="bottom"/>
          </w:tcPr>
          <w:p w:rsidR="001A1787" w:rsidRPr="007C2593" w:rsidP="006E04E1" w14:paraId="45AB0724" w14:textId="17333BB2">
            <w:pPr>
              <w:keepNext/>
              <w:jc w:val="center"/>
              <w:rPr>
                <w:rFonts w:ascii="Times New Roman" w:hAnsi="Times New Roman" w:cs="Times New Roman"/>
                <w:sz w:val="24"/>
                <w:szCs w:val="24"/>
              </w:rPr>
            </w:pPr>
            <w:r>
              <w:rPr>
                <w:rFonts w:ascii="Times New Roman" w:hAnsi="Times New Roman" w:cs="Times New Roman"/>
                <w:sz w:val="24"/>
                <w:szCs w:val="24"/>
              </w:rPr>
              <w:t>62.6</w:t>
            </w:r>
            <w:r w:rsidRPr="007C2593" w:rsidR="00D055F2">
              <w:rPr>
                <w:rFonts w:ascii="Times New Roman" w:hAnsi="Times New Roman" w:cs="Times New Roman"/>
                <w:sz w:val="24"/>
                <w:szCs w:val="24"/>
              </w:rPr>
              <w:t>%</w:t>
            </w:r>
          </w:p>
        </w:tc>
      </w:tr>
      <w:tr w14:paraId="4BA3485C" w14:textId="77777777" w:rsidTr="00214121">
        <w:tblPrEx>
          <w:tblW w:w="0" w:type="auto"/>
          <w:tblLook w:val="04A0"/>
        </w:tblPrEx>
        <w:tc>
          <w:tcPr>
            <w:tcW w:w="4410" w:type="dxa"/>
            <w:tcBorders>
              <w:top w:val="nil"/>
              <w:bottom w:val="single" w:sz="4" w:space="0" w:color="auto"/>
            </w:tcBorders>
          </w:tcPr>
          <w:p w:rsidR="001A1787" w:rsidRPr="007C2593" w:rsidP="006E04E1" w14:paraId="5940EDF8" w14:textId="77777777">
            <w:pPr>
              <w:keepNext/>
              <w:rPr>
                <w:rFonts w:ascii="Times New Roman" w:hAnsi="Times New Roman" w:cs="Times New Roman"/>
                <w:sz w:val="24"/>
                <w:szCs w:val="24"/>
              </w:rPr>
            </w:pPr>
            <w:r w:rsidRPr="007C2593">
              <w:rPr>
                <w:rFonts w:ascii="Times New Roman" w:hAnsi="Times New Roman" w:cs="Times New Roman"/>
                <w:sz w:val="24"/>
                <w:szCs w:val="24"/>
              </w:rPr>
              <w:t>Female Survey</w:t>
            </w:r>
          </w:p>
        </w:tc>
        <w:tc>
          <w:tcPr>
            <w:tcW w:w="2430" w:type="dxa"/>
            <w:tcBorders>
              <w:top w:val="nil"/>
              <w:bottom w:val="single" w:sz="4" w:space="0" w:color="auto"/>
            </w:tcBorders>
            <w:vAlign w:val="bottom"/>
          </w:tcPr>
          <w:p w:rsidR="001A1787" w:rsidRPr="007C2593" w:rsidP="006E04E1" w14:paraId="2AF62A46" w14:textId="1722105C">
            <w:pPr>
              <w:keepNext/>
              <w:jc w:val="center"/>
              <w:rPr>
                <w:rFonts w:ascii="Times New Roman" w:hAnsi="Times New Roman" w:cs="Times New Roman"/>
                <w:sz w:val="24"/>
                <w:szCs w:val="24"/>
              </w:rPr>
            </w:pPr>
            <w:r>
              <w:rPr>
                <w:rFonts w:ascii="Times New Roman" w:hAnsi="Times New Roman" w:cs="Times New Roman"/>
                <w:sz w:val="24"/>
                <w:szCs w:val="24"/>
              </w:rPr>
              <w:t>59.8</w:t>
            </w:r>
            <w:r w:rsidRPr="007C2593" w:rsidR="00D055F2">
              <w:rPr>
                <w:rFonts w:ascii="Times New Roman" w:hAnsi="Times New Roman" w:cs="Times New Roman"/>
                <w:sz w:val="24"/>
                <w:szCs w:val="24"/>
              </w:rPr>
              <w:t>%</w:t>
            </w:r>
          </w:p>
        </w:tc>
        <w:tc>
          <w:tcPr>
            <w:tcW w:w="2430" w:type="dxa"/>
            <w:tcBorders>
              <w:top w:val="nil"/>
              <w:left w:val="single" w:sz="4" w:space="0" w:color="auto"/>
              <w:bottom w:val="single" w:sz="4" w:space="0" w:color="auto"/>
            </w:tcBorders>
            <w:vAlign w:val="bottom"/>
          </w:tcPr>
          <w:p w:rsidR="001A1787" w:rsidRPr="007C2593" w:rsidP="006E04E1" w14:paraId="32B45811" w14:textId="0063C0C0">
            <w:pPr>
              <w:keepNext/>
              <w:jc w:val="center"/>
              <w:rPr>
                <w:rFonts w:ascii="Times New Roman" w:hAnsi="Times New Roman" w:cs="Times New Roman"/>
                <w:sz w:val="24"/>
                <w:szCs w:val="24"/>
              </w:rPr>
            </w:pPr>
            <w:r>
              <w:rPr>
                <w:rFonts w:ascii="Times New Roman" w:hAnsi="Times New Roman" w:cs="Times New Roman"/>
                <w:sz w:val="24"/>
                <w:szCs w:val="24"/>
              </w:rPr>
              <w:t>56.7</w:t>
            </w:r>
            <w:r w:rsidRPr="007C2593" w:rsidR="00D055F2">
              <w:rPr>
                <w:rFonts w:ascii="Times New Roman" w:hAnsi="Times New Roman" w:cs="Times New Roman"/>
                <w:sz w:val="24"/>
                <w:szCs w:val="24"/>
              </w:rPr>
              <w:t>%</w:t>
            </w:r>
          </w:p>
        </w:tc>
      </w:tr>
      <w:tr w14:paraId="72FC36AD" w14:textId="77777777" w:rsidTr="00214121">
        <w:tblPrEx>
          <w:tblW w:w="0" w:type="auto"/>
          <w:tblLook w:val="04A0"/>
        </w:tblPrEx>
        <w:tc>
          <w:tcPr>
            <w:tcW w:w="4410" w:type="dxa"/>
            <w:tcBorders>
              <w:bottom w:val="nil"/>
            </w:tcBorders>
          </w:tcPr>
          <w:p w:rsidR="004332BE" w:rsidRPr="007C2593" w:rsidP="006E04E1" w14:paraId="1D090592" w14:textId="193FE1A8">
            <w:pPr>
              <w:keepNext/>
              <w:rPr>
                <w:rFonts w:ascii="Times New Roman" w:hAnsi="Times New Roman" w:cs="Times New Roman"/>
                <w:b/>
                <w:bCs/>
                <w:sz w:val="24"/>
                <w:szCs w:val="24"/>
              </w:rPr>
            </w:pPr>
            <w:r w:rsidRPr="007C2593">
              <w:rPr>
                <w:rFonts w:ascii="Times New Roman" w:hAnsi="Times New Roman" w:cs="Times New Roman"/>
                <w:b/>
                <w:bCs/>
                <w:sz w:val="24"/>
                <w:szCs w:val="24"/>
              </w:rPr>
              <w:t>Overall Male Response Rate</w:t>
            </w:r>
          </w:p>
        </w:tc>
        <w:tc>
          <w:tcPr>
            <w:tcW w:w="2430" w:type="dxa"/>
            <w:tcBorders>
              <w:bottom w:val="nil"/>
            </w:tcBorders>
            <w:vAlign w:val="bottom"/>
          </w:tcPr>
          <w:p w:rsidR="004332BE" w:rsidRPr="007C2593" w:rsidP="006E04E1" w14:paraId="7E277C11" w14:textId="61BFB02C">
            <w:pPr>
              <w:keepNext/>
              <w:jc w:val="center"/>
              <w:rPr>
                <w:rFonts w:ascii="Times New Roman" w:hAnsi="Times New Roman" w:cs="Times New Roman"/>
                <w:b/>
                <w:bCs/>
                <w:sz w:val="24"/>
                <w:szCs w:val="24"/>
              </w:rPr>
            </w:pPr>
            <w:r>
              <w:rPr>
                <w:rFonts w:ascii="Times New Roman" w:hAnsi="Times New Roman" w:cs="Times New Roman"/>
                <w:b/>
                <w:bCs/>
                <w:sz w:val="24"/>
                <w:szCs w:val="24"/>
              </w:rPr>
              <w:t>32.4</w:t>
            </w:r>
            <w:r w:rsidRPr="007C2593" w:rsidR="00231197">
              <w:rPr>
                <w:rFonts w:ascii="Times New Roman" w:hAnsi="Times New Roman" w:cs="Times New Roman"/>
                <w:b/>
                <w:bCs/>
                <w:sz w:val="24"/>
                <w:szCs w:val="24"/>
              </w:rPr>
              <w:t>%</w:t>
            </w:r>
          </w:p>
        </w:tc>
        <w:tc>
          <w:tcPr>
            <w:tcW w:w="2430" w:type="dxa"/>
            <w:tcBorders>
              <w:left w:val="single" w:sz="4" w:space="0" w:color="auto"/>
              <w:bottom w:val="nil"/>
            </w:tcBorders>
            <w:vAlign w:val="bottom"/>
          </w:tcPr>
          <w:p w:rsidR="004332BE" w:rsidRPr="007C2593" w:rsidP="006E04E1" w14:paraId="4BCF83B3" w14:textId="3973B150">
            <w:pPr>
              <w:keepNext/>
              <w:jc w:val="center"/>
              <w:rPr>
                <w:rFonts w:ascii="Times New Roman" w:hAnsi="Times New Roman" w:cs="Times New Roman"/>
                <w:b/>
                <w:bCs/>
                <w:sz w:val="24"/>
                <w:szCs w:val="24"/>
              </w:rPr>
            </w:pPr>
            <w:r>
              <w:rPr>
                <w:rFonts w:ascii="Times New Roman" w:hAnsi="Times New Roman" w:cs="Times New Roman"/>
                <w:b/>
                <w:bCs/>
                <w:sz w:val="24"/>
                <w:szCs w:val="24"/>
              </w:rPr>
              <w:t>31.0</w:t>
            </w:r>
            <w:r w:rsidRPr="007C2593" w:rsidR="00231197">
              <w:rPr>
                <w:rFonts w:ascii="Times New Roman" w:hAnsi="Times New Roman" w:cs="Times New Roman"/>
                <w:b/>
                <w:bCs/>
                <w:sz w:val="24"/>
                <w:szCs w:val="24"/>
              </w:rPr>
              <w:t>%</w:t>
            </w:r>
          </w:p>
        </w:tc>
      </w:tr>
      <w:tr w14:paraId="25BB49C0" w14:textId="77777777" w:rsidTr="00214121">
        <w:tblPrEx>
          <w:tblW w:w="0" w:type="auto"/>
          <w:tblLook w:val="04A0"/>
        </w:tblPrEx>
        <w:tc>
          <w:tcPr>
            <w:tcW w:w="4410" w:type="dxa"/>
            <w:tcBorders>
              <w:top w:val="nil"/>
              <w:bottom w:val="single" w:sz="4" w:space="0" w:color="auto"/>
            </w:tcBorders>
          </w:tcPr>
          <w:p w:rsidR="004332BE" w:rsidRPr="007C2593" w:rsidP="006E04E1" w14:paraId="0B036490" w14:textId="481373A2">
            <w:pPr>
              <w:keepNext/>
              <w:rPr>
                <w:rFonts w:ascii="Times New Roman" w:hAnsi="Times New Roman" w:cs="Times New Roman"/>
                <w:b/>
                <w:bCs/>
                <w:sz w:val="24"/>
                <w:szCs w:val="24"/>
              </w:rPr>
            </w:pPr>
            <w:r w:rsidRPr="007C2593">
              <w:rPr>
                <w:rFonts w:ascii="Times New Roman" w:hAnsi="Times New Roman" w:cs="Times New Roman"/>
                <w:b/>
                <w:bCs/>
                <w:sz w:val="24"/>
                <w:szCs w:val="24"/>
              </w:rPr>
              <w:t>Overall Female Response Rate</w:t>
            </w:r>
          </w:p>
        </w:tc>
        <w:tc>
          <w:tcPr>
            <w:tcW w:w="2430" w:type="dxa"/>
            <w:tcBorders>
              <w:top w:val="nil"/>
              <w:bottom w:val="single" w:sz="4" w:space="0" w:color="auto"/>
            </w:tcBorders>
            <w:vAlign w:val="bottom"/>
          </w:tcPr>
          <w:p w:rsidR="004332BE" w:rsidRPr="007C2593" w:rsidP="006E04E1" w14:paraId="1C35A741" w14:textId="4F880BE7">
            <w:pPr>
              <w:keepNext/>
              <w:jc w:val="center"/>
              <w:rPr>
                <w:rFonts w:ascii="Times New Roman" w:hAnsi="Times New Roman" w:cs="Times New Roman"/>
                <w:b/>
                <w:bCs/>
                <w:sz w:val="24"/>
                <w:szCs w:val="24"/>
              </w:rPr>
            </w:pPr>
            <w:r>
              <w:rPr>
                <w:rFonts w:ascii="Times New Roman" w:hAnsi="Times New Roman" w:cs="Times New Roman"/>
                <w:b/>
                <w:bCs/>
                <w:sz w:val="24"/>
                <w:szCs w:val="24"/>
              </w:rPr>
              <w:t>30.8</w:t>
            </w:r>
            <w:r w:rsidRPr="007C2593" w:rsidR="00231197">
              <w:rPr>
                <w:rFonts w:ascii="Times New Roman" w:hAnsi="Times New Roman" w:cs="Times New Roman"/>
                <w:b/>
                <w:bCs/>
                <w:sz w:val="24"/>
                <w:szCs w:val="24"/>
              </w:rPr>
              <w:t>%</w:t>
            </w:r>
          </w:p>
        </w:tc>
        <w:tc>
          <w:tcPr>
            <w:tcW w:w="2430" w:type="dxa"/>
            <w:tcBorders>
              <w:top w:val="nil"/>
              <w:left w:val="single" w:sz="4" w:space="0" w:color="auto"/>
              <w:bottom w:val="single" w:sz="4" w:space="0" w:color="auto"/>
            </w:tcBorders>
            <w:vAlign w:val="bottom"/>
          </w:tcPr>
          <w:p w:rsidR="004332BE" w:rsidRPr="007C2593" w:rsidP="006E04E1" w14:paraId="515E3244" w14:textId="21E4EA32">
            <w:pPr>
              <w:keepNext/>
              <w:jc w:val="center"/>
              <w:rPr>
                <w:rFonts w:ascii="Times New Roman" w:hAnsi="Times New Roman" w:cs="Times New Roman"/>
                <w:b/>
                <w:bCs/>
                <w:sz w:val="24"/>
                <w:szCs w:val="24"/>
              </w:rPr>
            </w:pPr>
            <w:r>
              <w:rPr>
                <w:rFonts w:ascii="Times New Roman" w:hAnsi="Times New Roman" w:cs="Times New Roman"/>
                <w:b/>
                <w:bCs/>
                <w:sz w:val="24"/>
                <w:szCs w:val="24"/>
              </w:rPr>
              <w:t>28.1</w:t>
            </w:r>
            <w:r w:rsidRPr="007C2593" w:rsidR="00231197">
              <w:rPr>
                <w:rFonts w:ascii="Times New Roman" w:hAnsi="Times New Roman" w:cs="Times New Roman"/>
                <w:b/>
                <w:bCs/>
                <w:sz w:val="24"/>
                <w:szCs w:val="24"/>
              </w:rPr>
              <w:t>%</w:t>
            </w:r>
          </w:p>
        </w:tc>
      </w:tr>
    </w:tbl>
    <w:p w:rsidR="002F4FFC" w:rsidP="002F4FFC" w14:paraId="6B9BFDB6" w14:textId="0BFB3843">
      <w:pPr>
        <w:rPr>
          <w:rFonts w:ascii="Times New Roman" w:hAnsi="Times New Roman" w:cs="Times New Roman"/>
        </w:rPr>
      </w:pPr>
    </w:p>
    <w:p w:rsidR="00523DC4" w:rsidRPr="00C1055A" w:rsidP="002F4FFC" w14:paraId="3FAA0B8D" w14:textId="0933965F">
      <w:pPr>
        <w:rPr>
          <w:rFonts w:ascii="Times New Roman" w:hAnsi="Times New Roman" w:cs="Times New Roman"/>
        </w:rPr>
      </w:pPr>
      <w:r>
        <w:rPr>
          <w:rFonts w:ascii="Times New Roman" w:hAnsi="Times New Roman" w:cs="Times New Roman"/>
        </w:rPr>
        <w:t xml:space="preserve">Since the overall response rates are the product of the screener response rates and the conditional male and female main survey response rates, there is no increase in the overall response rates from inclusion of the paper screener. The overall response rates are one percentage point lower for males </w:t>
      </w:r>
      <w:r w:rsidR="002C79C3">
        <w:rPr>
          <w:rFonts w:ascii="Times New Roman" w:hAnsi="Times New Roman" w:cs="Times New Roman"/>
        </w:rPr>
        <w:t xml:space="preserve">(31.0-32.4) </w:t>
      </w:r>
      <w:r>
        <w:rPr>
          <w:rFonts w:ascii="Times New Roman" w:hAnsi="Times New Roman" w:cs="Times New Roman"/>
        </w:rPr>
        <w:t>and three percentage points lower for females</w:t>
      </w:r>
      <w:r w:rsidR="002C79C3">
        <w:rPr>
          <w:rFonts w:ascii="Times New Roman" w:hAnsi="Times New Roman" w:cs="Times New Roman"/>
        </w:rPr>
        <w:t xml:space="preserve"> (28.1-30.8)</w:t>
      </w:r>
      <w:r>
        <w:rPr>
          <w:rFonts w:ascii="Times New Roman" w:hAnsi="Times New Roman" w:cs="Times New Roman"/>
        </w:rPr>
        <w:t>.</w:t>
      </w:r>
      <w:r w:rsidR="002C79C3">
        <w:rPr>
          <w:rFonts w:ascii="Times New Roman" w:hAnsi="Times New Roman" w:cs="Times New Roman"/>
        </w:rPr>
        <w:t xml:space="preserve"> The paper screener is not recommended for inclusion in the NSFG study design, as tested.</w:t>
      </w:r>
    </w:p>
    <w:sectPr w:rsidSect="00C64C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74A" w14:paraId="33EC02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ACA" w:rsidRPr="004A374A" w14:paraId="7C8F152C" w14:textId="61CAA013">
    <w:pPr>
      <w:pStyle w:val="Footer"/>
      <w:jc w:val="center"/>
      <w:rPr>
        <w:rFonts w:ascii="Times New Roman" w:hAnsi="Times New Roman" w:cs="Times New Roman"/>
        <w:sz w:val="20"/>
        <w:szCs w:val="20"/>
      </w:rPr>
    </w:pPr>
    <w:r w:rsidRPr="004A374A">
      <w:rPr>
        <w:rFonts w:ascii="Times New Roman" w:hAnsi="Times New Roman" w:cs="Times New Roman"/>
        <w:sz w:val="20"/>
        <w:szCs w:val="20"/>
      </w:rPr>
      <w:t xml:space="preserve">Page </w:t>
    </w:r>
    <w:sdt>
      <w:sdtPr>
        <w:rPr>
          <w:rFonts w:ascii="Times New Roman" w:hAnsi="Times New Roman" w:cs="Times New Roman"/>
          <w:sz w:val="20"/>
          <w:szCs w:val="20"/>
        </w:rPr>
        <w:id w:val="-233476319"/>
        <w:docPartObj>
          <w:docPartGallery w:val="Page Numbers (Bottom of Page)"/>
          <w:docPartUnique/>
        </w:docPartObj>
      </w:sdtPr>
      <w:sdtEndPr>
        <w:rPr>
          <w:noProof/>
        </w:rPr>
      </w:sdtEndPr>
      <w:sdtContent>
        <w:r w:rsidRPr="004A374A">
          <w:rPr>
            <w:rFonts w:ascii="Times New Roman" w:hAnsi="Times New Roman" w:cs="Times New Roman"/>
            <w:sz w:val="20"/>
            <w:szCs w:val="20"/>
          </w:rPr>
          <w:fldChar w:fldCharType="begin"/>
        </w:r>
        <w:r w:rsidRPr="004A374A">
          <w:rPr>
            <w:rFonts w:ascii="Times New Roman" w:hAnsi="Times New Roman" w:cs="Times New Roman"/>
            <w:sz w:val="20"/>
            <w:szCs w:val="20"/>
          </w:rPr>
          <w:instrText xml:space="preserve"> PAGE   \* MERGEFORMAT </w:instrText>
        </w:r>
        <w:r w:rsidRPr="004A374A">
          <w:rPr>
            <w:rFonts w:ascii="Times New Roman" w:hAnsi="Times New Roman" w:cs="Times New Roman"/>
            <w:sz w:val="20"/>
            <w:szCs w:val="20"/>
          </w:rPr>
          <w:fldChar w:fldCharType="separate"/>
        </w:r>
        <w:r w:rsidRPr="004A374A">
          <w:rPr>
            <w:rFonts w:ascii="Times New Roman" w:hAnsi="Times New Roman" w:cs="Times New Roman"/>
            <w:noProof/>
            <w:sz w:val="20"/>
            <w:szCs w:val="20"/>
          </w:rPr>
          <w:t>2</w:t>
        </w:r>
        <w:r w:rsidRPr="004A374A">
          <w:rPr>
            <w:rFonts w:ascii="Times New Roman" w:hAnsi="Times New Roman" w:cs="Times New Roman"/>
            <w:noProof/>
            <w:sz w:val="20"/>
            <w:szCs w:val="20"/>
          </w:rPr>
          <w:fldChar w:fldCharType="end"/>
        </w:r>
        <w:r w:rsidRPr="004A374A">
          <w:rPr>
            <w:rFonts w:ascii="Times New Roman" w:hAnsi="Times New Roman" w:cs="Times New Roman"/>
            <w:noProof/>
            <w:sz w:val="20"/>
            <w:szCs w:val="20"/>
          </w:rPr>
          <w:t xml:space="preserve"> of </w:t>
        </w:r>
        <w:r w:rsidRPr="004A374A">
          <w:rPr>
            <w:rFonts w:ascii="Times New Roman" w:hAnsi="Times New Roman" w:cs="Times New Roman"/>
            <w:noProof/>
            <w:sz w:val="20"/>
            <w:szCs w:val="20"/>
          </w:rPr>
          <w:fldChar w:fldCharType="begin"/>
        </w:r>
        <w:r w:rsidRPr="004A374A">
          <w:rPr>
            <w:rFonts w:ascii="Times New Roman" w:hAnsi="Times New Roman" w:cs="Times New Roman"/>
            <w:noProof/>
            <w:sz w:val="20"/>
            <w:szCs w:val="20"/>
          </w:rPr>
          <w:instrText xml:space="preserve"> NUMPAGES   \* MERGEFORMAT </w:instrText>
        </w:r>
        <w:r w:rsidRPr="004A374A">
          <w:rPr>
            <w:rFonts w:ascii="Times New Roman" w:hAnsi="Times New Roman" w:cs="Times New Roman"/>
            <w:noProof/>
            <w:sz w:val="20"/>
            <w:szCs w:val="20"/>
          </w:rPr>
          <w:fldChar w:fldCharType="separate"/>
        </w:r>
        <w:r w:rsidRPr="004A374A">
          <w:rPr>
            <w:rFonts w:ascii="Times New Roman" w:hAnsi="Times New Roman" w:cs="Times New Roman"/>
            <w:noProof/>
            <w:sz w:val="20"/>
            <w:szCs w:val="20"/>
          </w:rPr>
          <w:t>1</w:t>
        </w:r>
        <w:r w:rsidRPr="004A374A">
          <w:rPr>
            <w:rFonts w:ascii="Times New Roman" w:hAnsi="Times New Roman" w:cs="Times New Roman"/>
            <w:noProof/>
            <w:sz w:val="20"/>
            <w:szCs w:val="20"/>
          </w:rPr>
          <w:fldChar w:fldCharType="end"/>
        </w:r>
      </w:sdtContent>
    </w:sdt>
  </w:p>
  <w:p w:rsidR="00143ACA" w14:paraId="6B42E7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74A" w14:paraId="371A07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6A86" w:rsidP="0062576C" w14:paraId="52E2C3E7" w14:textId="77777777">
      <w:r>
        <w:separator/>
      </w:r>
    </w:p>
  </w:footnote>
  <w:footnote w:type="continuationSeparator" w:id="1">
    <w:p w:rsidR="00506A86" w:rsidP="0062576C" w14:paraId="056CD39D" w14:textId="77777777">
      <w:r>
        <w:continuationSeparator/>
      </w:r>
    </w:p>
  </w:footnote>
  <w:footnote w:id="2">
    <w:p w:rsidR="00523DC4" w:rsidRPr="000F3AE3" w:rsidP="00523DC4" w14:paraId="0635F623" w14:textId="77777777">
      <w:pPr>
        <w:rPr>
          <w:rFonts w:ascii="Times New Roman" w:hAnsi="Times New Roman" w:cs="Times New Roman"/>
          <w:sz w:val="20"/>
          <w:szCs w:val="20"/>
        </w:rPr>
      </w:pPr>
      <w:r w:rsidRPr="000F3AE3">
        <w:rPr>
          <w:rStyle w:val="FootnoteReference"/>
          <w:rFonts w:ascii="Times New Roman" w:hAnsi="Times New Roman" w:cs="Times New Roman"/>
        </w:rPr>
        <w:footnoteRef/>
      </w:r>
      <w:r w:rsidRPr="000F3AE3">
        <w:rPr>
          <w:rFonts w:ascii="Times New Roman" w:hAnsi="Times New Roman" w:cs="Times New Roman"/>
          <w:sz w:val="20"/>
          <w:szCs w:val="20"/>
        </w:rPr>
        <w:t xml:space="preserve"> The American Association for Public Opinion Research. 2016. Standard Definitions: Final Dispositions of Case Codes and Outcome Rates for Surveys. 9th edition. AAPOR.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74A" w14:paraId="748C46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D39" w:rsidRPr="00590DB8" w:rsidP="00C90D39" w14:paraId="275D6BEF" w14:textId="5D0485FD">
    <w:pPr>
      <w:tabs>
        <w:tab w:val="center" w:pos="4320"/>
        <w:tab w:val="right" w:pos="8640"/>
      </w:tabs>
      <w:rPr>
        <w:rFonts w:ascii="Calibri" w:hAnsi="Calibri" w:cs="Calibri"/>
        <w:b/>
        <w:bCs/>
        <w:sz w:val="20"/>
        <w:szCs w:val="20"/>
      </w:rPr>
    </w:pPr>
    <w:r w:rsidRPr="001E3341">
      <w:rPr>
        <w:rFonts w:ascii="Calibri" w:hAnsi="Calibri" w:cs="Calibri"/>
        <w:i/>
        <w:iCs/>
        <w:sz w:val="20"/>
        <w:szCs w:val="20"/>
      </w:rPr>
      <w:t>N</w:t>
    </w:r>
    <w:r>
      <w:rPr>
        <w:rFonts w:ascii="Calibri" w:hAnsi="Calibri" w:cs="Calibri"/>
        <w:i/>
        <w:iCs/>
        <w:sz w:val="20"/>
        <w:szCs w:val="20"/>
      </w:rPr>
      <w:t>SFG</w:t>
    </w:r>
    <w:r>
      <w:rPr>
        <w:rFonts w:ascii="Calibri" w:hAnsi="Calibri" w:cs="Calibri"/>
        <w:i/>
        <w:iCs/>
        <w:sz w:val="20"/>
        <w:szCs w:val="20"/>
      </w:rPr>
      <w:tab/>
      <w:t>OMB Attachment D1</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rsidR="00386B27" w14:paraId="6B0CAE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74A" w14:paraId="0AA825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8362E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24301A"/>
    <w:multiLevelType w:val="multilevel"/>
    <w:tmpl w:val="CC2A25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EC27415"/>
    <w:multiLevelType w:val="hybridMultilevel"/>
    <w:tmpl w:val="987AFCC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19747E"/>
    <w:multiLevelType w:val="multilevel"/>
    <w:tmpl w:val="0409001F"/>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20364D6"/>
    <w:multiLevelType w:val="multilevel"/>
    <w:tmpl w:val="A3CE80D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549231">
    <w:abstractNumId w:val="2"/>
  </w:num>
  <w:num w:numId="2" w16cid:durableId="603460087">
    <w:abstractNumId w:val="1"/>
  </w:num>
  <w:num w:numId="3" w16cid:durableId="1774013634">
    <w:abstractNumId w:val="4"/>
  </w:num>
  <w:num w:numId="4" w16cid:durableId="1178351368">
    <w:abstractNumId w:val="0"/>
  </w:num>
  <w:num w:numId="5" w16cid:durableId="1249801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3B"/>
    <w:rsid w:val="00004366"/>
    <w:rsid w:val="00020718"/>
    <w:rsid w:val="00035612"/>
    <w:rsid w:val="00051F0E"/>
    <w:rsid w:val="000546BF"/>
    <w:rsid w:val="000777C8"/>
    <w:rsid w:val="000906A9"/>
    <w:rsid w:val="00094D7C"/>
    <w:rsid w:val="000A2DF6"/>
    <w:rsid w:val="000A7057"/>
    <w:rsid w:val="000C77C4"/>
    <w:rsid w:val="000F3AE3"/>
    <w:rsid w:val="000F4BD9"/>
    <w:rsid w:val="001024D3"/>
    <w:rsid w:val="00110077"/>
    <w:rsid w:val="00132B44"/>
    <w:rsid w:val="00143ACA"/>
    <w:rsid w:val="00154CD7"/>
    <w:rsid w:val="00161323"/>
    <w:rsid w:val="001668A0"/>
    <w:rsid w:val="00166EEC"/>
    <w:rsid w:val="00180BBE"/>
    <w:rsid w:val="0019444E"/>
    <w:rsid w:val="001A1787"/>
    <w:rsid w:val="001A1E72"/>
    <w:rsid w:val="001C4027"/>
    <w:rsid w:val="001C514E"/>
    <w:rsid w:val="001C78FA"/>
    <w:rsid w:val="001D7E86"/>
    <w:rsid w:val="001E3341"/>
    <w:rsid w:val="00204B86"/>
    <w:rsid w:val="002119C3"/>
    <w:rsid w:val="00214121"/>
    <w:rsid w:val="00231197"/>
    <w:rsid w:val="00256C85"/>
    <w:rsid w:val="00264735"/>
    <w:rsid w:val="002843F4"/>
    <w:rsid w:val="0029638A"/>
    <w:rsid w:val="00297D5A"/>
    <w:rsid w:val="002A3355"/>
    <w:rsid w:val="002B1635"/>
    <w:rsid w:val="002B484B"/>
    <w:rsid w:val="002C79C3"/>
    <w:rsid w:val="002D0965"/>
    <w:rsid w:val="002D7D29"/>
    <w:rsid w:val="002E7DE7"/>
    <w:rsid w:val="002F3EE5"/>
    <w:rsid w:val="002F4FFC"/>
    <w:rsid w:val="002F662E"/>
    <w:rsid w:val="003029E1"/>
    <w:rsid w:val="00317093"/>
    <w:rsid w:val="00317746"/>
    <w:rsid w:val="00321E6A"/>
    <w:rsid w:val="00344386"/>
    <w:rsid w:val="00347EB9"/>
    <w:rsid w:val="003612AD"/>
    <w:rsid w:val="00372CF5"/>
    <w:rsid w:val="00375D27"/>
    <w:rsid w:val="0038005C"/>
    <w:rsid w:val="00383A86"/>
    <w:rsid w:val="00384207"/>
    <w:rsid w:val="00386B27"/>
    <w:rsid w:val="003A2DDE"/>
    <w:rsid w:val="003A389B"/>
    <w:rsid w:val="003A64E7"/>
    <w:rsid w:val="003A7D44"/>
    <w:rsid w:val="003B5855"/>
    <w:rsid w:val="003C6A1E"/>
    <w:rsid w:val="003F758B"/>
    <w:rsid w:val="00411DF2"/>
    <w:rsid w:val="00422B72"/>
    <w:rsid w:val="0042754F"/>
    <w:rsid w:val="004332BE"/>
    <w:rsid w:val="0044627E"/>
    <w:rsid w:val="00452EBB"/>
    <w:rsid w:val="0046508A"/>
    <w:rsid w:val="00466EF2"/>
    <w:rsid w:val="00470997"/>
    <w:rsid w:val="004A0B01"/>
    <w:rsid w:val="004A2C7C"/>
    <w:rsid w:val="004A374A"/>
    <w:rsid w:val="004A4692"/>
    <w:rsid w:val="004A7036"/>
    <w:rsid w:val="004B78BF"/>
    <w:rsid w:val="004C7915"/>
    <w:rsid w:val="004D2286"/>
    <w:rsid w:val="004E2A58"/>
    <w:rsid w:val="004E55D2"/>
    <w:rsid w:val="004E6B5D"/>
    <w:rsid w:val="004F36CB"/>
    <w:rsid w:val="004F523E"/>
    <w:rsid w:val="005064C3"/>
    <w:rsid w:val="00506A86"/>
    <w:rsid w:val="00523DC4"/>
    <w:rsid w:val="00526393"/>
    <w:rsid w:val="0053566A"/>
    <w:rsid w:val="005413DA"/>
    <w:rsid w:val="00542855"/>
    <w:rsid w:val="0055143D"/>
    <w:rsid w:val="00560A83"/>
    <w:rsid w:val="00581681"/>
    <w:rsid w:val="00585351"/>
    <w:rsid w:val="00590DB8"/>
    <w:rsid w:val="00595B16"/>
    <w:rsid w:val="00596587"/>
    <w:rsid w:val="005A5BDA"/>
    <w:rsid w:val="005B0CC6"/>
    <w:rsid w:val="005B3EA2"/>
    <w:rsid w:val="005C693B"/>
    <w:rsid w:val="005D02E5"/>
    <w:rsid w:val="005D1DC5"/>
    <w:rsid w:val="005D2DBF"/>
    <w:rsid w:val="005D6F79"/>
    <w:rsid w:val="005E15E8"/>
    <w:rsid w:val="005E19E8"/>
    <w:rsid w:val="005E6315"/>
    <w:rsid w:val="005E670F"/>
    <w:rsid w:val="00605217"/>
    <w:rsid w:val="00607DC1"/>
    <w:rsid w:val="006123C3"/>
    <w:rsid w:val="00614BB6"/>
    <w:rsid w:val="00615733"/>
    <w:rsid w:val="0062576C"/>
    <w:rsid w:val="0063588E"/>
    <w:rsid w:val="006466E9"/>
    <w:rsid w:val="00647C1B"/>
    <w:rsid w:val="00656E2C"/>
    <w:rsid w:val="00664AAA"/>
    <w:rsid w:val="00667E4C"/>
    <w:rsid w:val="00681134"/>
    <w:rsid w:val="0068440C"/>
    <w:rsid w:val="006C151E"/>
    <w:rsid w:val="006D39F7"/>
    <w:rsid w:val="006D6710"/>
    <w:rsid w:val="006D6F8F"/>
    <w:rsid w:val="006E04E1"/>
    <w:rsid w:val="006E2E3C"/>
    <w:rsid w:val="007019D2"/>
    <w:rsid w:val="00705AB0"/>
    <w:rsid w:val="0073470E"/>
    <w:rsid w:val="007351D9"/>
    <w:rsid w:val="00750F05"/>
    <w:rsid w:val="00761729"/>
    <w:rsid w:val="0076317F"/>
    <w:rsid w:val="007636DC"/>
    <w:rsid w:val="00773DB3"/>
    <w:rsid w:val="00781451"/>
    <w:rsid w:val="007A0A81"/>
    <w:rsid w:val="007B2ABA"/>
    <w:rsid w:val="007B6167"/>
    <w:rsid w:val="007B682F"/>
    <w:rsid w:val="007C2593"/>
    <w:rsid w:val="007D24DD"/>
    <w:rsid w:val="007E75CA"/>
    <w:rsid w:val="007F6A43"/>
    <w:rsid w:val="008026AF"/>
    <w:rsid w:val="00821F1B"/>
    <w:rsid w:val="00825169"/>
    <w:rsid w:val="00844689"/>
    <w:rsid w:val="00861F59"/>
    <w:rsid w:val="0086232A"/>
    <w:rsid w:val="00874858"/>
    <w:rsid w:val="00894E52"/>
    <w:rsid w:val="008A1EE7"/>
    <w:rsid w:val="008B6819"/>
    <w:rsid w:val="008D0D82"/>
    <w:rsid w:val="00916B80"/>
    <w:rsid w:val="0093102F"/>
    <w:rsid w:val="0093358E"/>
    <w:rsid w:val="00933A22"/>
    <w:rsid w:val="0094488E"/>
    <w:rsid w:val="00945C81"/>
    <w:rsid w:val="009824C0"/>
    <w:rsid w:val="009907A9"/>
    <w:rsid w:val="009A737B"/>
    <w:rsid w:val="009B5C70"/>
    <w:rsid w:val="009D16C9"/>
    <w:rsid w:val="009D2A3C"/>
    <w:rsid w:val="009E2057"/>
    <w:rsid w:val="009E60C7"/>
    <w:rsid w:val="00A0084D"/>
    <w:rsid w:val="00A14B0E"/>
    <w:rsid w:val="00A156B9"/>
    <w:rsid w:val="00A23AB4"/>
    <w:rsid w:val="00A26F6C"/>
    <w:rsid w:val="00A30A41"/>
    <w:rsid w:val="00A3169E"/>
    <w:rsid w:val="00A3207E"/>
    <w:rsid w:val="00A35B1F"/>
    <w:rsid w:val="00A35D13"/>
    <w:rsid w:val="00A540EA"/>
    <w:rsid w:val="00A66A1C"/>
    <w:rsid w:val="00A75028"/>
    <w:rsid w:val="00A7617E"/>
    <w:rsid w:val="00A80114"/>
    <w:rsid w:val="00AA07EE"/>
    <w:rsid w:val="00AA275A"/>
    <w:rsid w:val="00AD063B"/>
    <w:rsid w:val="00AE75D7"/>
    <w:rsid w:val="00B0549D"/>
    <w:rsid w:val="00B136D4"/>
    <w:rsid w:val="00B27412"/>
    <w:rsid w:val="00B36937"/>
    <w:rsid w:val="00B522EA"/>
    <w:rsid w:val="00B63F80"/>
    <w:rsid w:val="00B74B89"/>
    <w:rsid w:val="00B828E3"/>
    <w:rsid w:val="00B874B6"/>
    <w:rsid w:val="00B9025A"/>
    <w:rsid w:val="00BA35CC"/>
    <w:rsid w:val="00BB64FF"/>
    <w:rsid w:val="00BD2C58"/>
    <w:rsid w:val="00BD503B"/>
    <w:rsid w:val="00BE05C3"/>
    <w:rsid w:val="00BE53F3"/>
    <w:rsid w:val="00BE7AE8"/>
    <w:rsid w:val="00BE7C70"/>
    <w:rsid w:val="00C05B53"/>
    <w:rsid w:val="00C1055A"/>
    <w:rsid w:val="00C54FE0"/>
    <w:rsid w:val="00C5649E"/>
    <w:rsid w:val="00C56C20"/>
    <w:rsid w:val="00C64C92"/>
    <w:rsid w:val="00C814C4"/>
    <w:rsid w:val="00C82E96"/>
    <w:rsid w:val="00C90D39"/>
    <w:rsid w:val="00CA6833"/>
    <w:rsid w:val="00CA7B5D"/>
    <w:rsid w:val="00CA7BE0"/>
    <w:rsid w:val="00CB3B93"/>
    <w:rsid w:val="00CC0C02"/>
    <w:rsid w:val="00CD31F9"/>
    <w:rsid w:val="00CD4172"/>
    <w:rsid w:val="00CE37D4"/>
    <w:rsid w:val="00CF44B8"/>
    <w:rsid w:val="00D04B3E"/>
    <w:rsid w:val="00D055F2"/>
    <w:rsid w:val="00D0590B"/>
    <w:rsid w:val="00D129C9"/>
    <w:rsid w:val="00D138F8"/>
    <w:rsid w:val="00D14486"/>
    <w:rsid w:val="00D16719"/>
    <w:rsid w:val="00D3273B"/>
    <w:rsid w:val="00D338D8"/>
    <w:rsid w:val="00D36CE4"/>
    <w:rsid w:val="00D43E2A"/>
    <w:rsid w:val="00D45D0A"/>
    <w:rsid w:val="00D51019"/>
    <w:rsid w:val="00D8091C"/>
    <w:rsid w:val="00D9260A"/>
    <w:rsid w:val="00DA3BC0"/>
    <w:rsid w:val="00DA7346"/>
    <w:rsid w:val="00DB47BF"/>
    <w:rsid w:val="00DB7B6A"/>
    <w:rsid w:val="00DC3F0B"/>
    <w:rsid w:val="00DC4F27"/>
    <w:rsid w:val="00DF3FF1"/>
    <w:rsid w:val="00E0341B"/>
    <w:rsid w:val="00E03D34"/>
    <w:rsid w:val="00E06311"/>
    <w:rsid w:val="00E144AE"/>
    <w:rsid w:val="00E32EC2"/>
    <w:rsid w:val="00E349AF"/>
    <w:rsid w:val="00E36FB0"/>
    <w:rsid w:val="00E522CF"/>
    <w:rsid w:val="00E526A6"/>
    <w:rsid w:val="00E5651F"/>
    <w:rsid w:val="00E56DBC"/>
    <w:rsid w:val="00E77B73"/>
    <w:rsid w:val="00EA165F"/>
    <w:rsid w:val="00EA78C1"/>
    <w:rsid w:val="00EB2388"/>
    <w:rsid w:val="00EF209A"/>
    <w:rsid w:val="00EF2435"/>
    <w:rsid w:val="00F01348"/>
    <w:rsid w:val="00F06CCE"/>
    <w:rsid w:val="00F23ECE"/>
    <w:rsid w:val="00F2448D"/>
    <w:rsid w:val="00F24A20"/>
    <w:rsid w:val="00F26924"/>
    <w:rsid w:val="00F31CDC"/>
    <w:rsid w:val="00F43FF4"/>
    <w:rsid w:val="00F45DF2"/>
    <w:rsid w:val="00F54E42"/>
    <w:rsid w:val="00F6613E"/>
    <w:rsid w:val="00F67A9D"/>
    <w:rsid w:val="00F87369"/>
    <w:rsid w:val="00F8745E"/>
    <w:rsid w:val="00FA0FDB"/>
    <w:rsid w:val="00FC6F2C"/>
    <w:rsid w:val="00FC7266"/>
    <w:rsid w:val="00FD1BFD"/>
    <w:rsid w:val="00FD78A8"/>
  </w:rsids>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e0eptdr05fxpepweypvst6sz9xrps9r55a&quot;&gt;EndNote_library-Converted&lt;record-ids&gt;&lt;item&gt;226&lt;/item&gt;&lt;item&gt;532&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65488C"/>
  <w15:chartTrackingRefBased/>
  <w15:docId w15:val="{CAA121F0-8B9B-5F40-B284-046941D6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63B"/>
    <w:pPr>
      <w:widowControl w:val="0"/>
      <w:autoSpaceDE w:val="0"/>
      <w:autoSpaceDN w:val="0"/>
      <w:adjustRightInd w:val="0"/>
    </w:pPr>
    <w:rPr>
      <w:rFonts w:ascii="Courier" w:eastAsia="Times New Roman"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063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413DA"/>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5413DA"/>
    <w:rPr>
      <w:rFonts w:ascii="Times New Roman" w:eastAsia="Times New Roman" w:hAnsi="Times New Roman" w:cs="Times New Roman"/>
    </w:rPr>
  </w:style>
  <w:style w:type="paragraph" w:customStyle="1" w:styleId="EndNoteBibliography">
    <w:name w:val="EndNote Bibliography"/>
    <w:basedOn w:val="Normal"/>
    <w:link w:val="EndNoteBibliographyChar"/>
    <w:rsid w:val="005413DA"/>
    <w:rPr>
      <w:rFonts w:ascii="Times New Roman" w:hAnsi="Times New Roman" w:cs="Times New Roman"/>
    </w:rPr>
  </w:style>
  <w:style w:type="character" w:customStyle="1" w:styleId="EndNoteBibliographyChar">
    <w:name w:val="EndNote Bibliography Char"/>
    <w:basedOn w:val="DefaultParagraphFont"/>
    <w:link w:val="EndNoteBibliography"/>
    <w:rsid w:val="005413DA"/>
    <w:rPr>
      <w:rFonts w:ascii="Times New Roman" w:eastAsia="Times New Roman" w:hAnsi="Times New Roman" w:cs="Times New Roman"/>
    </w:rPr>
  </w:style>
  <w:style w:type="paragraph" w:styleId="ListParagraph">
    <w:name w:val="List Paragraph"/>
    <w:basedOn w:val="Normal"/>
    <w:uiPriority w:val="34"/>
    <w:qFormat/>
    <w:rsid w:val="00132B44"/>
    <w:pPr>
      <w:ind w:left="720"/>
      <w:contextualSpacing/>
    </w:pPr>
  </w:style>
  <w:style w:type="character" w:styleId="CommentReference">
    <w:name w:val="annotation reference"/>
    <w:basedOn w:val="DefaultParagraphFont"/>
    <w:uiPriority w:val="99"/>
    <w:semiHidden/>
    <w:unhideWhenUsed/>
    <w:rsid w:val="0062576C"/>
    <w:rPr>
      <w:sz w:val="16"/>
      <w:szCs w:val="16"/>
    </w:rPr>
  </w:style>
  <w:style w:type="paragraph" w:styleId="CommentText">
    <w:name w:val="annotation text"/>
    <w:basedOn w:val="Normal"/>
    <w:link w:val="CommentTextChar"/>
    <w:uiPriority w:val="99"/>
    <w:semiHidden/>
    <w:unhideWhenUsed/>
    <w:rsid w:val="0062576C"/>
    <w:rPr>
      <w:sz w:val="20"/>
      <w:szCs w:val="20"/>
    </w:rPr>
  </w:style>
  <w:style w:type="character" w:customStyle="1" w:styleId="CommentTextChar">
    <w:name w:val="Comment Text Char"/>
    <w:basedOn w:val="DefaultParagraphFont"/>
    <w:link w:val="CommentText"/>
    <w:uiPriority w:val="99"/>
    <w:semiHidden/>
    <w:rsid w:val="0062576C"/>
    <w:rPr>
      <w:rFonts w:ascii="Courier" w:eastAsia="Times New Roman" w:hAnsi="Courier" w:cs="Courier"/>
      <w:sz w:val="20"/>
      <w:szCs w:val="20"/>
    </w:rPr>
  </w:style>
  <w:style w:type="paragraph" w:styleId="CommentSubject">
    <w:name w:val="annotation subject"/>
    <w:basedOn w:val="CommentText"/>
    <w:next w:val="CommentText"/>
    <w:link w:val="CommentSubjectChar"/>
    <w:uiPriority w:val="99"/>
    <w:semiHidden/>
    <w:unhideWhenUsed/>
    <w:rsid w:val="0062576C"/>
    <w:rPr>
      <w:b/>
      <w:bCs/>
    </w:rPr>
  </w:style>
  <w:style w:type="character" w:customStyle="1" w:styleId="CommentSubjectChar">
    <w:name w:val="Comment Subject Char"/>
    <w:basedOn w:val="CommentTextChar"/>
    <w:link w:val="CommentSubject"/>
    <w:uiPriority w:val="99"/>
    <w:semiHidden/>
    <w:rsid w:val="0062576C"/>
    <w:rPr>
      <w:rFonts w:ascii="Courier" w:eastAsia="Times New Roman" w:hAnsi="Courier" w:cs="Courier"/>
      <w:b/>
      <w:bCs/>
      <w:sz w:val="20"/>
      <w:szCs w:val="20"/>
    </w:rPr>
  </w:style>
  <w:style w:type="paragraph" w:styleId="Header">
    <w:name w:val="header"/>
    <w:basedOn w:val="Normal"/>
    <w:link w:val="HeaderChar"/>
    <w:uiPriority w:val="99"/>
    <w:unhideWhenUsed/>
    <w:rsid w:val="00143ACA"/>
    <w:pPr>
      <w:tabs>
        <w:tab w:val="center" w:pos="4680"/>
        <w:tab w:val="right" w:pos="9360"/>
      </w:tabs>
    </w:pPr>
  </w:style>
  <w:style w:type="character" w:customStyle="1" w:styleId="HeaderChar">
    <w:name w:val="Header Char"/>
    <w:basedOn w:val="DefaultParagraphFont"/>
    <w:link w:val="Header"/>
    <w:uiPriority w:val="99"/>
    <w:rsid w:val="00143ACA"/>
    <w:rPr>
      <w:rFonts w:ascii="Courier" w:eastAsia="Times New Roman" w:hAnsi="Courier" w:cs="Courier"/>
    </w:rPr>
  </w:style>
  <w:style w:type="paragraph" w:styleId="Footer">
    <w:name w:val="footer"/>
    <w:basedOn w:val="Normal"/>
    <w:link w:val="FooterChar"/>
    <w:uiPriority w:val="99"/>
    <w:unhideWhenUsed/>
    <w:rsid w:val="00143ACA"/>
    <w:pPr>
      <w:tabs>
        <w:tab w:val="center" w:pos="4680"/>
        <w:tab w:val="right" w:pos="9360"/>
      </w:tabs>
    </w:pPr>
  </w:style>
  <w:style w:type="character" w:customStyle="1" w:styleId="FooterChar">
    <w:name w:val="Footer Char"/>
    <w:basedOn w:val="DefaultParagraphFont"/>
    <w:link w:val="Footer"/>
    <w:uiPriority w:val="99"/>
    <w:rsid w:val="00143ACA"/>
    <w:rPr>
      <w:rFonts w:ascii="Courier" w:eastAsia="Times New Roman" w:hAnsi="Courier" w:cs="Courier"/>
    </w:rPr>
  </w:style>
  <w:style w:type="numbering" w:customStyle="1" w:styleId="CurrentList1">
    <w:name w:val="Current List1"/>
    <w:uiPriority w:val="99"/>
    <w:rsid w:val="00E36FB0"/>
    <w:pPr>
      <w:numPr>
        <w:numId w:val="3"/>
      </w:numPr>
    </w:pPr>
  </w:style>
  <w:style w:type="paragraph" w:styleId="Revision">
    <w:name w:val="Revision"/>
    <w:hidden/>
    <w:uiPriority w:val="99"/>
    <w:semiHidden/>
    <w:rsid w:val="00297D5A"/>
    <w:rPr>
      <w:rFonts w:ascii="Courier" w:eastAsia="Times New Roman" w:hAnsi="Courier" w:cs="Courier"/>
    </w:rPr>
  </w:style>
  <w:style w:type="paragraph" w:styleId="BalloonText">
    <w:name w:val="Balloon Text"/>
    <w:basedOn w:val="Normal"/>
    <w:link w:val="BalloonTextChar"/>
    <w:uiPriority w:val="99"/>
    <w:semiHidden/>
    <w:unhideWhenUsed/>
    <w:rsid w:val="00284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3F4"/>
    <w:rPr>
      <w:rFonts w:ascii="Segoe UI" w:eastAsia="Times New Roman" w:hAnsi="Segoe UI" w:cs="Segoe UI"/>
      <w:sz w:val="18"/>
      <w:szCs w:val="18"/>
    </w:rPr>
  </w:style>
  <w:style w:type="character" w:styleId="PlaceholderText">
    <w:name w:val="Placeholder Text"/>
    <w:basedOn w:val="DefaultParagraphFont"/>
    <w:uiPriority w:val="99"/>
    <w:semiHidden/>
    <w:rsid w:val="003A389B"/>
    <w:rPr>
      <w:color w:val="808080"/>
    </w:rPr>
  </w:style>
  <w:style w:type="paragraph" w:styleId="FootnoteText">
    <w:name w:val="footnote text"/>
    <w:basedOn w:val="Normal"/>
    <w:link w:val="FootnoteTextChar"/>
    <w:uiPriority w:val="99"/>
    <w:semiHidden/>
    <w:unhideWhenUsed/>
    <w:rsid w:val="006E04E1"/>
    <w:rPr>
      <w:sz w:val="20"/>
      <w:szCs w:val="20"/>
    </w:rPr>
  </w:style>
  <w:style w:type="character" w:customStyle="1" w:styleId="FootnoteTextChar">
    <w:name w:val="Footnote Text Char"/>
    <w:basedOn w:val="DefaultParagraphFont"/>
    <w:link w:val="FootnoteText"/>
    <w:uiPriority w:val="99"/>
    <w:semiHidden/>
    <w:rsid w:val="006E04E1"/>
    <w:rPr>
      <w:rFonts w:ascii="Courier" w:eastAsia="Times New Roman" w:hAnsi="Courier" w:cs="Courier"/>
      <w:sz w:val="20"/>
      <w:szCs w:val="20"/>
    </w:rPr>
  </w:style>
  <w:style w:type="character" w:styleId="FootnoteReference">
    <w:name w:val="footnote reference"/>
    <w:basedOn w:val="DefaultParagraphFont"/>
    <w:uiPriority w:val="99"/>
    <w:semiHidden/>
    <w:unhideWhenUsed/>
    <w:rsid w:val="006E04E1"/>
    <w:rPr>
      <w:vertAlign w:val="superscript"/>
    </w:rPr>
  </w:style>
  <w:style w:type="numbering" w:customStyle="1" w:styleId="CurrentList2">
    <w:name w:val="Current List2"/>
    <w:uiPriority w:val="99"/>
    <w:rsid w:val="00E77B7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889A2-B270-9F4B-A47D-FAB2FE18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Peytchev, Andy</dc:creator>
  <cp:lastModifiedBy>Chandra, Anjani (CDC/DDPHSS/NCHS/DVS)</cp:lastModifiedBy>
  <cp:revision>5</cp:revision>
  <dcterms:created xsi:type="dcterms:W3CDTF">2023-02-24T15:47:00Z</dcterms:created>
  <dcterms:modified xsi:type="dcterms:W3CDTF">2023-02-24T16:04:00Z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cb0d804c-8e33-4bb5-9355-7344bcd8a3e1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2022-05-16T17:15:10Z</vt:lpwstr>
  </property>
  <property fmtid="{D5CDD505-2E9C-101B-9397-08002B2CF9AE}" pid="8" name="MSIP_Label_7b94a7b8-f06c-4dfe-bdcc-9b548fd58c31_SiteId">
    <vt:lpwstr>9ce70869-60db-44fd-abe8-d2767077fc8f</vt:lpwstr>
  </property>
</Properties>
</file>