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CF4" w14:paraId="543F0896" w14:textId="77777777">
      <w:pPr>
        <w:spacing w:before="79"/>
        <w:ind w:right="212"/>
        <w:jc w:val="center"/>
        <w:rPr>
          <w:b/>
          <w:sz w:val="24"/>
        </w:rPr>
      </w:pPr>
      <w:r>
        <w:rPr>
          <w:b/>
          <w:sz w:val="24"/>
          <w:u w:val="single"/>
        </w:rPr>
        <w:t>Supporting</w:t>
      </w:r>
      <w:r>
        <w:rPr>
          <w:b/>
          <w:spacing w:val="-3"/>
          <w:sz w:val="24"/>
          <w:u w:val="single"/>
        </w:rPr>
        <w:t xml:space="preserve"> </w:t>
      </w:r>
      <w:r>
        <w:rPr>
          <w:b/>
          <w:spacing w:val="-2"/>
          <w:sz w:val="24"/>
          <w:u w:val="single"/>
        </w:rPr>
        <w:t>Statement</w:t>
      </w:r>
    </w:p>
    <w:p w:rsidR="00936CF4" w14:paraId="11395057" w14:textId="77777777">
      <w:pPr>
        <w:ind w:right="217"/>
        <w:jc w:val="center"/>
        <w:rPr>
          <w:b/>
          <w:sz w:val="24"/>
        </w:rPr>
      </w:pPr>
      <w:r>
        <w:rPr>
          <w:b/>
          <w:sz w:val="24"/>
        </w:rPr>
        <w:t>Disclosure</w:t>
      </w:r>
      <w:r>
        <w:rPr>
          <w:b/>
          <w:spacing w:val="-6"/>
          <w:sz w:val="24"/>
        </w:rPr>
        <w:t xml:space="preserve"> </w:t>
      </w:r>
      <w:r>
        <w:rPr>
          <w:b/>
          <w:sz w:val="24"/>
        </w:rPr>
        <w:t>and</w:t>
      </w:r>
      <w:r>
        <w:rPr>
          <w:b/>
          <w:spacing w:val="-5"/>
          <w:sz w:val="24"/>
        </w:rPr>
        <w:t xml:space="preserve"> </w:t>
      </w:r>
      <w:r>
        <w:rPr>
          <w:b/>
          <w:sz w:val="24"/>
        </w:rPr>
        <w:t>Recordkeeping</w:t>
      </w:r>
      <w:r>
        <w:rPr>
          <w:b/>
          <w:spacing w:val="-5"/>
          <w:sz w:val="24"/>
        </w:rPr>
        <w:t xml:space="preserve"> </w:t>
      </w:r>
      <w:r>
        <w:rPr>
          <w:b/>
          <w:sz w:val="24"/>
        </w:rPr>
        <w:t>Requirements</w:t>
      </w:r>
      <w:r>
        <w:rPr>
          <w:b/>
          <w:spacing w:val="-5"/>
          <w:sz w:val="24"/>
        </w:rPr>
        <w:t xml:space="preserve"> </w:t>
      </w:r>
      <w:r>
        <w:rPr>
          <w:b/>
          <w:sz w:val="24"/>
        </w:rPr>
        <w:t>for</w:t>
      </w:r>
      <w:r>
        <w:rPr>
          <w:b/>
          <w:spacing w:val="-6"/>
          <w:sz w:val="24"/>
        </w:rPr>
        <w:t xml:space="preserve"> </w:t>
      </w:r>
      <w:r>
        <w:rPr>
          <w:b/>
          <w:sz w:val="24"/>
        </w:rPr>
        <w:t>Grandfathered</w:t>
      </w:r>
      <w:r>
        <w:rPr>
          <w:b/>
          <w:spacing w:val="-5"/>
          <w:sz w:val="24"/>
        </w:rPr>
        <w:t xml:space="preserve"> </w:t>
      </w:r>
      <w:r>
        <w:rPr>
          <w:b/>
          <w:sz w:val="24"/>
        </w:rPr>
        <w:t>Health</w:t>
      </w:r>
      <w:r>
        <w:rPr>
          <w:b/>
          <w:spacing w:val="-5"/>
          <w:sz w:val="24"/>
        </w:rPr>
        <w:t xml:space="preserve"> </w:t>
      </w:r>
      <w:r>
        <w:rPr>
          <w:b/>
          <w:sz w:val="24"/>
        </w:rPr>
        <w:t>Plans</w:t>
      </w:r>
      <w:r>
        <w:rPr>
          <w:b/>
          <w:spacing w:val="-5"/>
          <w:sz w:val="24"/>
        </w:rPr>
        <w:t xml:space="preserve"> </w:t>
      </w:r>
      <w:r>
        <w:rPr>
          <w:b/>
          <w:sz w:val="24"/>
        </w:rPr>
        <w:t>under</w:t>
      </w:r>
      <w:r>
        <w:rPr>
          <w:b/>
          <w:spacing w:val="-6"/>
          <w:sz w:val="24"/>
        </w:rPr>
        <w:t xml:space="preserve"> </w:t>
      </w:r>
      <w:r>
        <w:rPr>
          <w:b/>
          <w:sz w:val="24"/>
        </w:rPr>
        <w:t>the Affordable Care Act (CMS-10325/OMB Control Number: 0938-1093)</w:t>
      </w:r>
    </w:p>
    <w:p w:rsidR="00936CF4" w14:paraId="5ECBD805" w14:textId="77777777">
      <w:pPr>
        <w:pStyle w:val="BodyText"/>
        <w:spacing w:before="91"/>
        <w:ind w:left="0"/>
        <w:rPr>
          <w:b/>
        </w:rPr>
      </w:pPr>
    </w:p>
    <w:p w:rsidR="00936CF4" w14:paraId="4D2B1D6B" w14:textId="77777777">
      <w:pPr>
        <w:pStyle w:val="ListParagraph"/>
        <w:numPr>
          <w:ilvl w:val="0"/>
          <w:numId w:val="1"/>
        </w:numPr>
        <w:tabs>
          <w:tab w:val="left" w:pos="431"/>
        </w:tabs>
        <w:spacing w:before="1"/>
        <w:ind w:left="431" w:hanging="431"/>
        <w:rPr>
          <w:b/>
          <w:sz w:val="24"/>
          <w:u w:val="none"/>
        </w:rPr>
      </w:pPr>
      <w:r>
        <w:rPr>
          <w:b/>
          <w:spacing w:val="-2"/>
          <w:sz w:val="24"/>
        </w:rPr>
        <w:t>Background</w:t>
      </w:r>
    </w:p>
    <w:p w:rsidR="00936CF4" w14:paraId="0A147767" w14:textId="77777777">
      <w:pPr>
        <w:pStyle w:val="BodyText"/>
        <w:spacing w:before="276"/>
        <w:ind w:right="300"/>
      </w:pPr>
      <w:r>
        <w:t>The</w:t>
      </w:r>
      <w:r>
        <w:rPr>
          <w:spacing w:val="-5"/>
        </w:rPr>
        <w:t xml:space="preserve"> </w:t>
      </w:r>
      <w:r>
        <w:t>Patient</w:t>
      </w:r>
      <w:r>
        <w:rPr>
          <w:spacing w:val="-3"/>
        </w:rPr>
        <w:t xml:space="preserve"> </w:t>
      </w:r>
      <w:r>
        <w:t>Protection</w:t>
      </w:r>
      <w:r>
        <w:rPr>
          <w:spacing w:val="-3"/>
        </w:rPr>
        <w:t xml:space="preserve"> </w:t>
      </w:r>
      <w:r>
        <w:t>and</w:t>
      </w:r>
      <w:r>
        <w:rPr>
          <w:spacing w:val="-3"/>
        </w:rPr>
        <w:t xml:space="preserve"> </w:t>
      </w:r>
      <w:r>
        <w:t>Affordable</w:t>
      </w:r>
      <w:r>
        <w:rPr>
          <w:spacing w:val="-3"/>
        </w:rPr>
        <w:t xml:space="preserve"> </w:t>
      </w:r>
      <w:r>
        <w:t>Care</w:t>
      </w:r>
      <w:r>
        <w:rPr>
          <w:spacing w:val="-3"/>
        </w:rPr>
        <w:t xml:space="preserve"> </w:t>
      </w:r>
      <w:r>
        <w:t>Act,</w:t>
      </w:r>
      <w:r>
        <w:rPr>
          <w:spacing w:val="-3"/>
        </w:rPr>
        <w:t xml:space="preserve"> </w:t>
      </w:r>
      <w:r>
        <w:t>Pub.</w:t>
      </w:r>
      <w:r>
        <w:rPr>
          <w:spacing w:val="-3"/>
        </w:rPr>
        <w:t xml:space="preserve"> </w:t>
      </w:r>
      <w:r>
        <w:t>L.</w:t>
      </w:r>
      <w:r>
        <w:rPr>
          <w:spacing w:val="-3"/>
        </w:rPr>
        <w:t xml:space="preserve"> </w:t>
      </w:r>
      <w:r>
        <w:t>111-148,</w:t>
      </w:r>
      <w:r>
        <w:rPr>
          <w:spacing w:val="-3"/>
        </w:rPr>
        <w:t xml:space="preserve"> </w:t>
      </w:r>
      <w:r>
        <w:t>was</w:t>
      </w:r>
      <w:r>
        <w:rPr>
          <w:spacing w:val="-3"/>
        </w:rPr>
        <w:t xml:space="preserve"> </w:t>
      </w:r>
      <w:r>
        <w:t>enacted</w:t>
      </w:r>
      <w:r>
        <w:rPr>
          <w:spacing w:val="-3"/>
        </w:rPr>
        <w:t xml:space="preserve"> </w:t>
      </w:r>
      <w:r>
        <w:t>on</w:t>
      </w:r>
      <w:r>
        <w:rPr>
          <w:spacing w:val="-3"/>
        </w:rPr>
        <w:t xml:space="preserve"> </w:t>
      </w:r>
      <w:r>
        <w:t>March</w:t>
      </w:r>
      <w:r>
        <w:rPr>
          <w:spacing w:val="-3"/>
        </w:rPr>
        <w:t xml:space="preserve"> </w:t>
      </w:r>
      <w:r>
        <w:t>23, 2010; and the Health Care and Education Reconciliation Act of 2010, Pub. L. 111-152, was enacted on March 30, 2010 (collectively known as the “Affordable Care Act”). The Affordable Care Act reorganizes, amends, and adds to the provisions of title XXVII of the Public Health Service Act (PHS Act) relating to group health plans and health insurance issuers in the group and individual markets.</w:t>
      </w:r>
    </w:p>
    <w:p w:rsidR="00936CF4" w14:paraId="4E35629D" w14:textId="77777777">
      <w:pPr>
        <w:pStyle w:val="BodyText"/>
        <w:spacing w:before="240"/>
        <w:ind w:right="300"/>
      </w:pPr>
      <w:r>
        <w:t>Under section 1251 of the Affordable Care Act, as modified by section 10103 of the Affordable Care Act and section 2301 of the Reconciliation Act, certain provisions of the Affordable Care Act do not apply to a group health plan or health insurance coverage in which an individual was enrolled on March 23, 2010 (a grandfathered health plan). The interim final regulations titled “Interim Final Rules for Group Health Plans and Health Insurance Coverage Relating to Status as a Grandfathered Health Plan Under the Patient Protection</w:t>
      </w:r>
      <w:r>
        <w:rPr>
          <w:spacing w:val="-3"/>
        </w:rPr>
        <w:t xml:space="preserve"> </w:t>
      </w:r>
      <w:r>
        <w:t>and</w:t>
      </w:r>
      <w:r>
        <w:rPr>
          <w:spacing w:val="-3"/>
        </w:rPr>
        <w:t xml:space="preserve"> </w:t>
      </w:r>
      <w:r>
        <w:t>Affordable</w:t>
      </w:r>
      <w:r>
        <w:rPr>
          <w:spacing w:val="-4"/>
        </w:rPr>
        <w:t xml:space="preserve"> </w:t>
      </w:r>
      <w:r>
        <w:t>Care</w:t>
      </w:r>
      <w:r>
        <w:rPr>
          <w:spacing w:val="-4"/>
        </w:rPr>
        <w:t xml:space="preserve"> </w:t>
      </w:r>
      <w:r>
        <w:t>Act”</w:t>
      </w:r>
      <w:r>
        <w:rPr>
          <w:spacing w:val="-4"/>
        </w:rPr>
        <w:t xml:space="preserve"> </w:t>
      </w:r>
      <w:r>
        <w:t>(75</w:t>
      </w:r>
      <w:r>
        <w:rPr>
          <w:spacing w:val="-2"/>
        </w:rPr>
        <w:t xml:space="preserve"> </w:t>
      </w:r>
      <w:r>
        <w:t>FR</w:t>
      </w:r>
      <w:r>
        <w:rPr>
          <w:spacing w:val="-3"/>
        </w:rPr>
        <w:t xml:space="preserve"> </w:t>
      </w:r>
      <w:r>
        <w:t>34538,</w:t>
      </w:r>
      <w:r>
        <w:rPr>
          <w:spacing w:val="-3"/>
        </w:rPr>
        <w:t xml:space="preserve"> </w:t>
      </w:r>
      <w:r>
        <w:t>June</w:t>
      </w:r>
      <w:r>
        <w:rPr>
          <w:spacing w:val="-4"/>
        </w:rPr>
        <w:t xml:space="preserve"> </w:t>
      </w:r>
      <w:r>
        <w:t>17,</w:t>
      </w:r>
      <w:r>
        <w:rPr>
          <w:spacing w:val="-3"/>
        </w:rPr>
        <w:t xml:space="preserve"> </w:t>
      </w:r>
      <w:r>
        <w:t>2010)</w:t>
      </w:r>
      <w:r>
        <w:rPr>
          <w:spacing w:val="-4"/>
        </w:rPr>
        <w:t xml:space="preserve"> </w:t>
      </w:r>
      <w:r>
        <w:t>by</w:t>
      </w:r>
      <w:r>
        <w:rPr>
          <w:spacing w:val="-3"/>
        </w:rPr>
        <w:t xml:space="preserve"> </w:t>
      </w:r>
      <w:r>
        <w:t>the</w:t>
      </w:r>
      <w:r>
        <w:rPr>
          <w:spacing w:val="-2"/>
        </w:rPr>
        <w:t xml:space="preserve"> </w:t>
      </w:r>
      <w:r>
        <w:t>Department</w:t>
      </w:r>
      <w:r>
        <w:rPr>
          <w:spacing w:val="-3"/>
        </w:rPr>
        <w:t xml:space="preserve"> </w:t>
      </w:r>
      <w:r>
        <w:t>of</w:t>
      </w:r>
      <w:r>
        <w:rPr>
          <w:spacing w:val="-3"/>
        </w:rPr>
        <w:t xml:space="preserve"> </w:t>
      </w:r>
      <w:r>
        <w:t>the Treasury, Department of Labor, and the Department of Health and Human Services (the Departments) implemented the requirements for group health plans and health insurance coverage in the group and individual markets under provisions of the Affordable Care Act regarding status as a grandfathered health plan. An amendment to the interim final rule (75 FR 70114, November</w:t>
      </w:r>
      <w:r>
        <w:rPr>
          <w:spacing w:val="-1"/>
        </w:rPr>
        <w:t xml:space="preserve"> </w:t>
      </w:r>
      <w:r>
        <w:t>17, 2010) permits certain changes in policies, certificates, or contracts of insurance without loss of grandfathered status. The final regulations titled “Final Rules under the Affordable Care Act for Grandfathered Plans, Preexisting Condition Exclusions, Lifetime and Annual Limits, Rescissions, Dependent Coverage, Appeals, and Patient Protections” (80 FR 72192, November 18, 2015, 2015 final regulations) finalized the provisions of the interim final regulations and amendments. The final regulations titled “Grandfathered Group Health Plans and Grandfathered Group Health Insurance Coverage” (85 FR 81097, December 15, 2020) provided greater flexibility for certain grandfathered health plans to make changes to certain types of fixed-amount cost-sharing requirements without causing a loss of grandfather status under the Affordable Care Act.</w:t>
      </w:r>
    </w:p>
    <w:p w:rsidR="00936CF4" w14:paraId="711503B7" w14:textId="77777777">
      <w:pPr>
        <w:pStyle w:val="BodyText"/>
        <w:spacing w:before="241"/>
        <w:ind w:right="322"/>
      </w:pPr>
      <w:r>
        <w:t>The Centers for Medicare &amp; Medicaid Services (CMS) is requesting an extension of the Office</w:t>
      </w:r>
      <w:r>
        <w:rPr>
          <w:spacing w:val="-5"/>
        </w:rPr>
        <w:t xml:space="preserve"> </w:t>
      </w:r>
      <w:r>
        <w:t>of</w:t>
      </w:r>
      <w:r>
        <w:rPr>
          <w:spacing w:val="-4"/>
        </w:rPr>
        <w:t xml:space="preserve"> </w:t>
      </w:r>
      <w:r>
        <w:t>Management</w:t>
      </w:r>
      <w:r>
        <w:rPr>
          <w:spacing w:val="-4"/>
        </w:rPr>
        <w:t xml:space="preserve"> </w:t>
      </w:r>
      <w:r>
        <w:t>and</w:t>
      </w:r>
      <w:r>
        <w:rPr>
          <w:spacing w:val="-4"/>
        </w:rPr>
        <w:t xml:space="preserve"> </w:t>
      </w:r>
      <w:r>
        <w:t>Budget</w:t>
      </w:r>
      <w:r>
        <w:rPr>
          <w:spacing w:val="-4"/>
        </w:rPr>
        <w:t xml:space="preserve"> </w:t>
      </w:r>
      <w:r>
        <w:t>(OMB)</w:t>
      </w:r>
      <w:r>
        <w:rPr>
          <w:spacing w:val="-4"/>
        </w:rPr>
        <w:t xml:space="preserve"> </w:t>
      </w:r>
      <w:r>
        <w:t>approval</w:t>
      </w:r>
      <w:r>
        <w:rPr>
          <w:spacing w:val="-4"/>
        </w:rPr>
        <w:t xml:space="preserve"> </w:t>
      </w:r>
      <w:r>
        <w:t>for</w:t>
      </w:r>
      <w:r>
        <w:rPr>
          <w:spacing w:val="-5"/>
        </w:rPr>
        <w:t xml:space="preserve"> </w:t>
      </w:r>
      <w:r>
        <w:t>the</w:t>
      </w:r>
      <w:r>
        <w:rPr>
          <w:spacing w:val="-4"/>
        </w:rPr>
        <w:t xml:space="preserve"> </w:t>
      </w:r>
      <w:r>
        <w:t>information</w:t>
      </w:r>
      <w:r>
        <w:rPr>
          <w:spacing w:val="-4"/>
        </w:rPr>
        <w:t xml:space="preserve"> </w:t>
      </w:r>
      <w:r>
        <w:t>collections</w:t>
      </w:r>
      <w:r>
        <w:rPr>
          <w:spacing w:val="-4"/>
        </w:rPr>
        <w:t xml:space="preserve"> </w:t>
      </w:r>
      <w:r>
        <w:t>included in this information collection request (ICR).</w:t>
      </w:r>
    </w:p>
    <w:p w:rsidR="00936CF4" w14:paraId="4E3C65C9" w14:textId="77777777">
      <w:pPr>
        <w:pStyle w:val="ListParagraph"/>
        <w:numPr>
          <w:ilvl w:val="0"/>
          <w:numId w:val="1"/>
        </w:numPr>
        <w:tabs>
          <w:tab w:val="left" w:pos="432"/>
        </w:tabs>
        <w:spacing w:before="241"/>
        <w:rPr>
          <w:b/>
          <w:sz w:val="24"/>
          <w:u w:val="none"/>
        </w:rPr>
      </w:pPr>
      <w:r>
        <w:rPr>
          <w:b/>
          <w:spacing w:val="-2"/>
          <w:sz w:val="24"/>
        </w:rPr>
        <w:t>Justification</w:t>
      </w:r>
    </w:p>
    <w:p w:rsidR="00936CF4" w14:paraId="7E19B5D8" w14:textId="77777777">
      <w:pPr>
        <w:pStyle w:val="BodyText"/>
        <w:ind w:left="0"/>
        <w:rPr>
          <w:b/>
        </w:rPr>
      </w:pPr>
    </w:p>
    <w:p w:rsidR="00936CF4" w14:paraId="3B6219E7" w14:textId="77777777">
      <w:pPr>
        <w:pStyle w:val="ListParagraph"/>
        <w:numPr>
          <w:ilvl w:val="1"/>
          <w:numId w:val="1"/>
        </w:numPr>
        <w:tabs>
          <w:tab w:val="left" w:pos="432"/>
        </w:tabs>
        <w:rPr>
          <w:sz w:val="24"/>
          <w:u w:val="none"/>
        </w:rPr>
      </w:pPr>
      <w:r>
        <w:rPr>
          <w:sz w:val="24"/>
        </w:rPr>
        <w:t>Need</w:t>
      </w:r>
      <w:r>
        <w:rPr>
          <w:spacing w:val="-2"/>
          <w:sz w:val="24"/>
        </w:rPr>
        <w:t xml:space="preserve"> </w:t>
      </w:r>
      <w:r>
        <w:rPr>
          <w:sz w:val="24"/>
        </w:rPr>
        <w:t>and</w:t>
      </w:r>
      <w:r>
        <w:rPr>
          <w:spacing w:val="-2"/>
          <w:sz w:val="24"/>
        </w:rPr>
        <w:t xml:space="preserve"> </w:t>
      </w:r>
      <w:r>
        <w:rPr>
          <w:sz w:val="24"/>
        </w:rPr>
        <w:t>Legal</w:t>
      </w:r>
      <w:r>
        <w:rPr>
          <w:spacing w:val="-1"/>
          <w:sz w:val="24"/>
        </w:rPr>
        <w:t xml:space="preserve"> </w:t>
      </w:r>
      <w:r>
        <w:rPr>
          <w:spacing w:val="-4"/>
          <w:sz w:val="24"/>
        </w:rPr>
        <w:t>Basis</w:t>
      </w:r>
    </w:p>
    <w:p w:rsidR="00936CF4" w14:paraId="3D888544" w14:textId="77777777">
      <w:pPr>
        <w:pStyle w:val="BodyText"/>
        <w:ind w:left="0"/>
      </w:pPr>
    </w:p>
    <w:p w:rsidR="00936CF4" w14:paraId="396D4D15" w14:textId="77777777">
      <w:pPr>
        <w:pStyle w:val="BodyText"/>
      </w:pPr>
      <w:r>
        <w:t>A</w:t>
      </w:r>
      <w:r>
        <w:rPr>
          <w:spacing w:val="-2"/>
        </w:rPr>
        <w:t xml:space="preserve"> </w:t>
      </w:r>
      <w:r>
        <w:t>grandfathered</w:t>
      </w:r>
      <w:r>
        <w:rPr>
          <w:spacing w:val="-1"/>
        </w:rPr>
        <w:t xml:space="preserve"> </w:t>
      </w:r>
      <w:r>
        <w:t>group health</w:t>
      </w:r>
      <w:r>
        <w:rPr>
          <w:spacing w:val="-1"/>
        </w:rPr>
        <w:t xml:space="preserve"> </w:t>
      </w:r>
      <w:r>
        <w:t>plan</w:t>
      </w:r>
      <w:r>
        <w:rPr>
          <w:spacing w:val="-1"/>
        </w:rPr>
        <w:t xml:space="preserve"> </w:t>
      </w:r>
      <w:r>
        <w:t>or health</w:t>
      </w:r>
      <w:r>
        <w:rPr>
          <w:spacing w:val="-1"/>
        </w:rPr>
        <w:t xml:space="preserve"> </w:t>
      </w:r>
      <w:r>
        <w:t>insurance</w:t>
      </w:r>
      <w:r>
        <w:rPr>
          <w:spacing w:val="1"/>
        </w:rPr>
        <w:t xml:space="preserve"> </w:t>
      </w:r>
      <w:r>
        <w:t>coverage must include</w:t>
      </w:r>
      <w:r>
        <w:rPr>
          <w:spacing w:val="-1"/>
        </w:rPr>
        <w:t xml:space="preserve"> </w:t>
      </w:r>
      <w:r>
        <w:t>a</w:t>
      </w:r>
      <w:r>
        <w:rPr>
          <w:spacing w:val="-2"/>
        </w:rPr>
        <w:t xml:space="preserve"> </w:t>
      </w:r>
      <w:r>
        <w:t xml:space="preserve">statement </w:t>
      </w:r>
      <w:r>
        <w:rPr>
          <w:spacing w:val="-5"/>
        </w:rPr>
        <w:t>in</w:t>
      </w:r>
    </w:p>
    <w:p w:rsidR="00936CF4" w14:paraId="3132EE21" w14:textId="77777777">
      <w:pPr>
        <w:pStyle w:val="BodyText"/>
        <w:sectPr>
          <w:footerReference w:type="default" r:id="rId4"/>
          <w:type w:val="continuous"/>
          <w:pgSz w:w="12240" w:h="15840"/>
          <w:pgMar w:top="1360" w:right="1080" w:bottom="1980" w:left="1440" w:header="0" w:footer="1781" w:gutter="0"/>
          <w:pgNumType w:start="1"/>
          <w:cols w:space="720"/>
        </w:sectPr>
      </w:pPr>
    </w:p>
    <w:p w:rsidR="00936CF4" w14:paraId="09E6371E" w14:textId="77777777">
      <w:pPr>
        <w:pStyle w:val="BodyText"/>
        <w:spacing w:before="79"/>
        <w:ind w:right="300"/>
      </w:pPr>
      <w:r>
        <w:t>any summary of benefits provided to participants or beneficiaries (in the individual market, primary subscribers) under the plan or health insurance coverage that the plan or coverage believes</w:t>
      </w:r>
      <w:r>
        <w:rPr>
          <w:spacing w:val="-3"/>
        </w:rPr>
        <w:t xml:space="preserve"> </w:t>
      </w:r>
      <w:r>
        <w:t>it</w:t>
      </w:r>
      <w:r>
        <w:rPr>
          <w:spacing w:val="-3"/>
        </w:rPr>
        <w:t xml:space="preserve"> </w:t>
      </w:r>
      <w:r>
        <w:t>is</w:t>
      </w:r>
      <w:r>
        <w:rPr>
          <w:spacing w:val="-3"/>
        </w:rPr>
        <w:t xml:space="preserve"> </w:t>
      </w:r>
      <w:r>
        <w:t>a</w:t>
      </w:r>
      <w:r>
        <w:rPr>
          <w:spacing w:val="-3"/>
        </w:rPr>
        <w:t xml:space="preserve"> </w:t>
      </w:r>
      <w:r>
        <w:t>grandfathered</w:t>
      </w:r>
      <w:r>
        <w:rPr>
          <w:spacing w:val="-3"/>
        </w:rPr>
        <w:t xml:space="preserve"> </w:t>
      </w:r>
      <w:r>
        <w:t>plan</w:t>
      </w:r>
      <w:r>
        <w:rPr>
          <w:spacing w:val="-2"/>
        </w:rPr>
        <w:t xml:space="preserve"> </w:t>
      </w:r>
      <w:r>
        <w:t>within</w:t>
      </w:r>
      <w:r>
        <w:rPr>
          <w:spacing w:val="-3"/>
        </w:rPr>
        <w:t xml:space="preserve"> </w:t>
      </w:r>
      <w:r>
        <w:t>the</w:t>
      </w:r>
      <w:r>
        <w:rPr>
          <w:spacing w:val="-3"/>
        </w:rPr>
        <w:t xml:space="preserve"> </w:t>
      </w:r>
      <w:r>
        <w:t>meaning</w:t>
      </w:r>
      <w:r>
        <w:rPr>
          <w:spacing w:val="-3"/>
        </w:rPr>
        <w:t xml:space="preserve"> </w:t>
      </w:r>
      <w:r>
        <w:t>of</w:t>
      </w:r>
      <w:r>
        <w:rPr>
          <w:spacing w:val="-4"/>
        </w:rPr>
        <w:t xml:space="preserve"> </w:t>
      </w:r>
      <w:r>
        <w:t>section</w:t>
      </w:r>
      <w:r>
        <w:rPr>
          <w:spacing w:val="-3"/>
        </w:rPr>
        <w:t xml:space="preserve"> </w:t>
      </w:r>
      <w:r>
        <w:t>1251</w:t>
      </w:r>
      <w:r>
        <w:rPr>
          <w:spacing w:val="-3"/>
        </w:rPr>
        <w:t xml:space="preserve"> </w:t>
      </w:r>
      <w:r>
        <w:t>of</w:t>
      </w:r>
      <w:r>
        <w:rPr>
          <w:spacing w:val="-4"/>
        </w:rPr>
        <w:t xml:space="preserve"> </w:t>
      </w:r>
      <w:r>
        <w:t>the</w:t>
      </w:r>
      <w:r>
        <w:rPr>
          <w:spacing w:val="-2"/>
        </w:rPr>
        <w:t xml:space="preserve"> </w:t>
      </w:r>
      <w:r>
        <w:t>Affordable</w:t>
      </w:r>
      <w:r>
        <w:rPr>
          <w:spacing w:val="-3"/>
        </w:rPr>
        <w:t xml:space="preserve"> </w:t>
      </w:r>
      <w:r>
        <w:t>Care Act (“grandfathered health plan disclosure”) and provide contact information for questions and complaints. Plans and issuers may (but are not required to) utilize the model disclosure language in the 2015 final regulations to satisfy this disclosure requirement. The disclosure language</w:t>
      </w:r>
      <w:r>
        <w:rPr>
          <w:spacing w:val="-4"/>
        </w:rPr>
        <w:t xml:space="preserve"> </w:t>
      </w:r>
      <w:r>
        <w:t>is</w:t>
      </w:r>
      <w:r>
        <w:rPr>
          <w:spacing w:val="-3"/>
        </w:rPr>
        <w:t xml:space="preserve"> </w:t>
      </w:r>
      <w:r>
        <w:t>a</w:t>
      </w:r>
      <w:r>
        <w:rPr>
          <w:spacing w:val="-3"/>
        </w:rPr>
        <w:t xml:space="preserve"> </w:t>
      </w:r>
      <w:r>
        <w:t>model,</w:t>
      </w:r>
      <w:r>
        <w:rPr>
          <w:spacing w:val="-3"/>
        </w:rPr>
        <w:t xml:space="preserve"> </w:t>
      </w:r>
      <w:r>
        <w:t>and</w:t>
      </w:r>
      <w:r>
        <w:rPr>
          <w:spacing w:val="-1"/>
        </w:rPr>
        <w:t xml:space="preserve"> </w:t>
      </w:r>
      <w:r>
        <w:t>thus</w:t>
      </w:r>
      <w:r>
        <w:rPr>
          <w:spacing w:val="-3"/>
        </w:rPr>
        <w:t xml:space="preserve"> </w:t>
      </w:r>
      <w:r>
        <w:t>plans</w:t>
      </w:r>
      <w:r>
        <w:rPr>
          <w:spacing w:val="-3"/>
        </w:rPr>
        <w:t xml:space="preserve"> </w:t>
      </w:r>
      <w:r>
        <w:t>and</w:t>
      </w:r>
      <w:r>
        <w:rPr>
          <w:spacing w:val="-3"/>
        </w:rPr>
        <w:t xml:space="preserve"> </w:t>
      </w:r>
      <w:r>
        <w:t>issuers</w:t>
      </w:r>
      <w:r>
        <w:rPr>
          <w:spacing w:val="-3"/>
        </w:rPr>
        <w:t xml:space="preserve"> </w:t>
      </w:r>
      <w:r>
        <w:t>are</w:t>
      </w:r>
      <w:r>
        <w:rPr>
          <w:spacing w:val="-2"/>
        </w:rPr>
        <w:t xml:space="preserve"> </w:t>
      </w:r>
      <w:r>
        <w:t>permitted</w:t>
      </w:r>
      <w:r>
        <w:rPr>
          <w:spacing w:val="-3"/>
        </w:rPr>
        <w:t xml:space="preserve"> </w:t>
      </w:r>
      <w:r>
        <w:t>to</w:t>
      </w:r>
      <w:r>
        <w:rPr>
          <w:spacing w:val="-3"/>
        </w:rPr>
        <w:t xml:space="preserve"> </w:t>
      </w:r>
      <w:r>
        <w:t>include</w:t>
      </w:r>
      <w:r>
        <w:rPr>
          <w:spacing w:val="-3"/>
        </w:rPr>
        <w:t xml:space="preserve"> </w:t>
      </w:r>
      <w:r>
        <w:t>additional</w:t>
      </w:r>
      <w:r>
        <w:rPr>
          <w:spacing w:val="-3"/>
        </w:rPr>
        <w:t xml:space="preserve"> </w:t>
      </w:r>
      <w:r>
        <w:t>disclosure elements, such as the entire list of the market reform provisions that do not apply to grandfathered health plans.</w:t>
      </w:r>
    </w:p>
    <w:p w:rsidR="00936CF4" w14:paraId="5FDD262E" w14:textId="77777777">
      <w:pPr>
        <w:pStyle w:val="BodyText"/>
        <w:spacing w:before="240"/>
        <w:ind w:right="379"/>
        <w:jc w:val="both"/>
      </w:pPr>
      <w:r>
        <w:t>To</w:t>
      </w:r>
      <w:r>
        <w:rPr>
          <w:spacing w:val="-1"/>
        </w:rPr>
        <w:t xml:space="preserve"> </w:t>
      </w:r>
      <w:r>
        <w:t>maintain</w:t>
      </w:r>
      <w:r>
        <w:rPr>
          <w:spacing w:val="-1"/>
        </w:rPr>
        <w:t xml:space="preserve"> </w:t>
      </w:r>
      <w:r>
        <w:t>its</w:t>
      </w:r>
      <w:r>
        <w:rPr>
          <w:spacing w:val="-1"/>
        </w:rPr>
        <w:t xml:space="preserve"> </w:t>
      </w:r>
      <w:r>
        <w:t>status</w:t>
      </w:r>
      <w:r>
        <w:rPr>
          <w:spacing w:val="-1"/>
        </w:rPr>
        <w:t xml:space="preserve"> </w:t>
      </w:r>
      <w:r>
        <w:t>as</w:t>
      </w:r>
      <w:r>
        <w:rPr>
          <w:spacing w:val="-1"/>
        </w:rPr>
        <w:t xml:space="preserve"> </w:t>
      </w:r>
      <w:r>
        <w:t>a</w:t>
      </w:r>
      <w:r>
        <w:rPr>
          <w:spacing w:val="-2"/>
        </w:rPr>
        <w:t xml:space="preserve"> </w:t>
      </w:r>
      <w:r>
        <w:t>grandfathered</w:t>
      </w:r>
      <w:r>
        <w:rPr>
          <w:spacing w:val="-1"/>
        </w:rPr>
        <w:t xml:space="preserve"> </w:t>
      </w:r>
      <w:r>
        <w:t>health</w:t>
      </w:r>
      <w:r>
        <w:rPr>
          <w:spacing w:val="-1"/>
        </w:rPr>
        <w:t xml:space="preserve"> </w:t>
      </w:r>
      <w:r>
        <w:t>plan,</w:t>
      </w:r>
      <w:r>
        <w:rPr>
          <w:spacing w:val="-1"/>
        </w:rPr>
        <w:t xml:space="preserve"> </w:t>
      </w:r>
      <w:r>
        <w:t>the</w:t>
      </w:r>
      <w:r>
        <w:rPr>
          <w:spacing w:val="-1"/>
        </w:rPr>
        <w:t xml:space="preserve"> </w:t>
      </w:r>
      <w:r>
        <w:t>plan is</w:t>
      </w:r>
      <w:r>
        <w:rPr>
          <w:spacing w:val="-1"/>
        </w:rPr>
        <w:t xml:space="preserve"> </w:t>
      </w:r>
      <w:r>
        <w:t>required</w:t>
      </w:r>
      <w:r>
        <w:rPr>
          <w:spacing w:val="-1"/>
        </w:rPr>
        <w:t xml:space="preserve"> </w:t>
      </w:r>
      <w:r>
        <w:t>to</w:t>
      </w:r>
      <w:r>
        <w:rPr>
          <w:spacing w:val="-1"/>
        </w:rPr>
        <w:t xml:space="preserve"> </w:t>
      </w:r>
      <w:r>
        <w:t>maintain</w:t>
      </w:r>
      <w:r>
        <w:rPr>
          <w:spacing w:val="-1"/>
        </w:rPr>
        <w:t xml:space="preserve"> </w:t>
      </w:r>
      <w:r>
        <w:t>records documenting</w:t>
      </w:r>
      <w:r>
        <w:rPr>
          <w:spacing w:val="-3"/>
        </w:rPr>
        <w:t xml:space="preserve"> </w:t>
      </w:r>
      <w:r>
        <w:t>the</w:t>
      </w:r>
      <w:r>
        <w:rPr>
          <w:spacing w:val="-4"/>
        </w:rPr>
        <w:t xml:space="preserve"> </w:t>
      </w:r>
      <w:r>
        <w:t>terms</w:t>
      </w:r>
      <w:r>
        <w:rPr>
          <w:spacing w:val="-3"/>
        </w:rPr>
        <w:t xml:space="preserve"> </w:t>
      </w:r>
      <w:r>
        <w:t>of</w:t>
      </w:r>
      <w:r>
        <w:rPr>
          <w:spacing w:val="-3"/>
        </w:rPr>
        <w:t xml:space="preserve"> </w:t>
      </w:r>
      <w:r>
        <w:t>the</w:t>
      </w:r>
      <w:r>
        <w:rPr>
          <w:spacing w:val="-5"/>
        </w:rPr>
        <w:t xml:space="preserve"> </w:t>
      </w:r>
      <w:r>
        <w:t>plan</w:t>
      </w:r>
      <w:r>
        <w:rPr>
          <w:spacing w:val="-3"/>
        </w:rPr>
        <w:t xml:space="preserve"> </w:t>
      </w:r>
      <w:r>
        <w:t>in</w:t>
      </w:r>
      <w:r>
        <w:rPr>
          <w:spacing w:val="-3"/>
        </w:rPr>
        <w:t xml:space="preserve"> </w:t>
      </w:r>
      <w:r>
        <w:t>effect</w:t>
      </w:r>
      <w:r>
        <w:rPr>
          <w:spacing w:val="-3"/>
        </w:rPr>
        <w:t xml:space="preserve"> </w:t>
      </w:r>
      <w:r>
        <w:t>on</w:t>
      </w:r>
      <w:r>
        <w:rPr>
          <w:spacing w:val="-3"/>
        </w:rPr>
        <w:t xml:space="preserve"> </w:t>
      </w:r>
      <w:r>
        <w:t>March</w:t>
      </w:r>
      <w:r>
        <w:rPr>
          <w:spacing w:val="-3"/>
        </w:rPr>
        <w:t xml:space="preserve"> </w:t>
      </w:r>
      <w:r>
        <w:t>23,</w:t>
      </w:r>
      <w:r>
        <w:rPr>
          <w:spacing w:val="-3"/>
        </w:rPr>
        <w:t xml:space="preserve"> </w:t>
      </w:r>
      <w:r>
        <w:t>2010</w:t>
      </w:r>
      <w:r>
        <w:rPr>
          <w:spacing w:val="-3"/>
        </w:rPr>
        <w:t xml:space="preserve"> </w:t>
      </w:r>
      <w:r>
        <w:t>and</w:t>
      </w:r>
      <w:r>
        <w:rPr>
          <w:spacing w:val="-1"/>
        </w:rPr>
        <w:t xml:space="preserve"> </w:t>
      </w:r>
      <w:r>
        <w:t>any</w:t>
      </w:r>
      <w:r>
        <w:rPr>
          <w:spacing w:val="-3"/>
        </w:rPr>
        <w:t xml:space="preserve"> </w:t>
      </w:r>
      <w:r>
        <w:t>other</w:t>
      </w:r>
      <w:r>
        <w:rPr>
          <w:spacing w:val="-5"/>
        </w:rPr>
        <w:t xml:space="preserve"> </w:t>
      </w:r>
      <w:r>
        <w:t>documents</w:t>
      </w:r>
      <w:r>
        <w:rPr>
          <w:spacing w:val="-3"/>
        </w:rPr>
        <w:t xml:space="preserve"> </w:t>
      </w:r>
      <w:r>
        <w:t>that are necessary to verify, explain or clarify status as a grandfathered health plan (the</w:t>
      </w:r>
    </w:p>
    <w:p w:rsidR="00936CF4" w14:paraId="420E99F6" w14:textId="77777777">
      <w:pPr>
        <w:pStyle w:val="BodyText"/>
        <w:spacing w:before="1"/>
        <w:ind w:right="859"/>
        <w:jc w:val="both"/>
      </w:pPr>
      <w:r>
        <w:t>“recordkeeping</w:t>
      </w:r>
      <w:r>
        <w:rPr>
          <w:spacing w:val="-1"/>
        </w:rPr>
        <w:t xml:space="preserve"> </w:t>
      </w:r>
      <w:r>
        <w:t>requirement”),</w:t>
      </w:r>
      <w:r>
        <w:rPr>
          <w:spacing w:val="-1"/>
        </w:rPr>
        <w:t xml:space="preserve"> </w:t>
      </w:r>
      <w:r>
        <w:t>per</w:t>
      </w:r>
      <w:r>
        <w:rPr>
          <w:spacing w:val="-2"/>
        </w:rPr>
        <w:t xml:space="preserve"> </w:t>
      </w:r>
      <w:r>
        <w:t>the</w:t>
      </w:r>
      <w:r>
        <w:rPr>
          <w:spacing w:val="-2"/>
        </w:rPr>
        <w:t xml:space="preserve"> </w:t>
      </w:r>
      <w:r>
        <w:t>2015</w:t>
      </w:r>
      <w:r>
        <w:rPr>
          <w:spacing w:val="-1"/>
        </w:rPr>
        <w:t xml:space="preserve"> </w:t>
      </w:r>
      <w:r>
        <w:t>final</w:t>
      </w:r>
      <w:r>
        <w:rPr>
          <w:spacing w:val="-1"/>
        </w:rPr>
        <w:t xml:space="preserve"> </w:t>
      </w:r>
      <w:r>
        <w:t>regulations.</w:t>
      </w:r>
      <w:r>
        <w:rPr>
          <w:spacing w:val="-1"/>
        </w:rPr>
        <w:t xml:space="preserve"> </w:t>
      </w:r>
      <w:r>
        <w:t>The</w:t>
      </w:r>
      <w:r>
        <w:rPr>
          <w:spacing w:val="-3"/>
        </w:rPr>
        <w:t xml:space="preserve"> </w:t>
      </w:r>
      <w:r>
        <w:t>plan</w:t>
      </w:r>
      <w:r>
        <w:rPr>
          <w:spacing w:val="-1"/>
        </w:rPr>
        <w:t xml:space="preserve"> </w:t>
      </w:r>
      <w:r>
        <w:t>must</w:t>
      </w:r>
      <w:r>
        <w:rPr>
          <w:spacing w:val="-1"/>
        </w:rPr>
        <w:t xml:space="preserve"> </w:t>
      </w:r>
      <w:r>
        <w:t>make</w:t>
      </w:r>
      <w:r>
        <w:rPr>
          <w:spacing w:val="-3"/>
        </w:rPr>
        <w:t xml:space="preserve"> </w:t>
      </w:r>
      <w:r>
        <w:t>such records</w:t>
      </w:r>
      <w:r>
        <w:rPr>
          <w:spacing w:val="-4"/>
        </w:rPr>
        <w:t xml:space="preserve"> </w:t>
      </w:r>
      <w:r>
        <w:t>available</w:t>
      </w:r>
      <w:r>
        <w:rPr>
          <w:spacing w:val="-4"/>
        </w:rPr>
        <w:t xml:space="preserve"> </w:t>
      </w:r>
      <w:r>
        <w:t>for</w:t>
      </w:r>
      <w:r>
        <w:rPr>
          <w:spacing w:val="-7"/>
        </w:rPr>
        <w:t xml:space="preserve"> </w:t>
      </w:r>
      <w:r>
        <w:t>examination</w:t>
      </w:r>
      <w:r>
        <w:rPr>
          <w:spacing w:val="-5"/>
        </w:rPr>
        <w:t xml:space="preserve"> </w:t>
      </w:r>
      <w:r>
        <w:t>upon</w:t>
      </w:r>
      <w:r>
        <w:rPr>
          <w:spacing w:val="-5"/>
        </w:rPr>
        <w:t xml:space="preserve"> </w:t>
      </w:r>
      <w:r>
        <w:t>request</w:t>
      </w:r>
      <w:r>
        <w:rPr>
          <w:spacing w:val="-5"/>
        </w:rPr>
        <w:t xml:space="preserve"> </w:t>
      </w:r>
      <w:r>
        <w:t>by</w:t>
      </w:r>
      <w:r>
        <w:rPr>
          <w:spacing w:val="-5"/>
        </w:rPr>
        <w:t xml:space="preserve"> </w:t>
      </w:r>
      <w:r>
        <w:t>participants,</w:t>
      </w:r>
      <w:r>
        <w:rPr>
          <w:spacing w:val="-5"/>
        </w:rPr>
        <w:t xml:space="preserve"> </w:t>
      </w:r>
      <w:r>
        <w:t>beneficiaries,</w:t>
      </w:r>
      <w:r>
        <w:rPr>
          <w:spacing w:val="-5"/>
        </w:rPr>
        <w:t xml:space="preserve"> </w:t>
      </w:r>
      <w:r>
        <w:t>individual policy subscribers, or a State or Federal agency official.</w:t>
      </w:r>
    </w:p>
    <w:p w:rsidR="00936CF4" w14:paraId="453557BF" w14:textId="77777777">
      <w:pPr>
        <w:pStyle w:val="BodyText"/>
        <w:spacing w:before="240"/>
        <w:ind w:right="277"/>
      </w:pPr>
      <w:r>
        <w:t>The 2015 final regulations require a grandfathered group health plan that is changing health insurance</w:t>
      </w:r>
      <w:r>
        <w:rPr>
          <w:spacing w:val="-5"/>
        </w:rPr>
        <w:t xml:space="preserve"> </w:t>
      </w:r>
      <w:r>
        <w:t>issuers</w:t>
      </w:r>
      <w:r>
        <w:rPr>
          <w:spacing w:val="-4"/>
        </w:rPr>
        <w:t xml:space="preserve"> </w:t>
      </w:r>
      <w:r>
        <w:t>to</w:t>
      </w:r>
      <w:r>
        <w:rPr>
          <w:spacing w:val="-4"/>
        </w:rPr>
        <w:t xml:space="preserve"> </w:t>
      </w:r>
      <w:r>
        <w:t>provide</w:t>
      </w:r>
      <w:r>
        <w:rPr>
          <w:spacing w:val="-4"/>
        </w:rPr>
        <w:t xml:space="preserve"> </w:t>
      </w:r>
      <w:r>
        <w:t>the</w:t>
      </w:r>
      <w:r>
        <w:rPr>
          <w:spacing w:val="-5"/>
        </w:rPr>
        <w:t xml:space="preserve"> </w:t>
      </w:r>
      <w:r>
        <w:t>succeeding</w:t>
      </w:r>
      <w:r>
        <w:rPr>
          <w:spacing w:val="-4"/>
        </w:rPr>
        <w:t xml:space="preserve"> </w:t>
      </w:r>
      <w:r>
        <w:t>health</w:t>
      </w:r>
      <w:r>
        <w:rPr>
          <w:spacing w:val="-4"/>
        </w:rPr>
        <w:t xml:space="preserve"> </w:t>
      </w:r>
      <w:r>
        <w:t>insurance</w:t>
      </w:r>
      <w:r>
        <w:rPr>
          <w:spacing w:val="-5"/>
        </w:rPr>
        <w:t xml:space="preserve"> </w:t>
      </w:r>
      <w:r>
        <w:t>issuer</w:t>
      </w:r>
      <w:r>
        <w:rPr>
          <w:spacing w:val="-4"/>
        </w:rPr>
        <w:t xml:space="preserve"> </w:t>
      </w:r>
      <w:r>
        <w:t>(and</w:t>
      </w:r>
      <w:r>
        <w:rPr>
          <w:spacing w:val="-4"/>
        </w:rPr>
        <w:t xml:space="preserve"> </w:t>
      </w:r>
      <w:r>
        <w:t>the</w:t>
      </w:r>
      <w:r>
        <w:rPr>
          <w:spacing w:val="-3"/>
        </w:rPr>
        <w:t xml:space="preserve"> </w:t>
      </w:r>
      <w:r>
        <w:t>succeeding</w:t>
      </w:r>
      <w:r>
        <w:rPr>
          <w:spacing w:val="-4"/>
        </w:rPr>
        <w:t xml:space="preserve"> </w:t>
      </w:r>
      <w:r>
        <w:t>health insurance issuer must require) documentation of plan terms (including benefits, cost sharing, employer contributions, and annual limits) under the prior health insurance coverage sufficient to make a determination whether the standards of paragraph §147.140(g)(1) of the final regulations are exceeded (“grandfathered plan change in carrier disclosure”).</w:t>
      </w:r>
    </w:p>
    <w:p w:rsidR="00936CF4" w14:paraId="2A740B03" w14:textId="77777777">
      <w:pPr>
        <w:pStyle w:val="BodyText"/>
        <w:spacing w:before="240"/>
        <w:ind w:right="300"/>
      </w:pPr>
      <w:r>
        <w:t>The 2015 final regulations also require that, for an insured group health plan (or a multiemployer plan) that is a grandfathered plan, the relevant policies, certificates, contracts of insurance, or plan documents must disclose in a prominent and effective manner that employers,</w:t>
      </w:r>
      <w:r>
        <w:rPr>
          <w:spacing w:val="-4"/>
        </w:rPr>
        <w:t xml:space="preserve"> </w:t>
      </w:r>
      <w:r>
        <w:t>employee</w:t>
      </w:r>
      <w:r>
        <w:rPr>
          <w:spacing w:val="-5"/>
        </w:rPr>
        <w:t xml:space="preserve"> </w:t>
      </w:r>
      <w:r>
        <w:t>organizations,</w:t>
      </w:r>
      <w:r>
        <w:rPr>
          <w:spacing w:val="-4"/>
        </w:rPr>
        <w:t xml:space="preserve"> </w:t>
      </w:r>
      <w:r>
        <w:t>or</w:t>
      </w:r>
      <w:r>
        <w:rPr>
          <w:spacing w:val="-4"/>
        </w:rPr>
        <w:t xml:space="preserve"> </w:t>
      </w:r>
      <w:r>
        <w:t>plan</w:t>
      </w:r>
      <w:r>
        <w:rPr>
          <w:spacing w:val="-4"/>
        </w:rPr>
        <w:t xml:space="preserve"> </w:t>
      </w:r>
      <w:r>
        <w:t>sponsors,</w:t>
      </w:r>
      <w:r>
        <w:rPr>
          <w:spacing w:val="-4"/>
        </w:rPr>
        <w:t xml:space="preserve"> </w:t>
      </w:r>
      <w:r>
        <w:t>as</w:t>
      </w:r>
      <w:r>
        <w:rPr>
          <w:spacing w:val="-4"/>
        </w:rPr>
        <w:t xml:space="preserve"> </w:t>
      </w:r>
      <w:r>
        <w:t>applicable,</w:t>
      </w:r>
      <w:r>
        <w:rPr>
          <w:spacing w:val="-3"/>
        </w:rPr>
        <w:t xml:space="preserve"> </w:t>
      </w:r>
      <w:r>
        <w:t>are</w:t>
      </w:r>
      <w:r>
        <w:rPr>
          <w:spacing w:val="-5"/>
        </w:rPr>
        <w:t xml:space="preserve"> </w:t>
      </w:r>
      <w:r>
        <w:t>required</w:t>
      </w:r>
      <w:r>
        <w:rPr>
          <w:spacing w:val="-4"/>
        </w:rPr>
        <w:t xml:space="preserve"> </w:t>
      </w:r>
      <w:r>
        <w:t>to</w:t>
      </w:r>
      <w:r>
        <w:rPr>
          <w:spacing w:val="-4"/>
        </w:rPr>
        <w:t xml:space="preserve"> </w:t>
      </w:r>
      <w:r>
        <w:t>notify</w:t>
      </w:r>
      <w:r>
        <w:rPr>
          <w:spacing w:val="-4"/>
        </w:rPr>
        <w:t xml:space="preserve"> </w:t>
      </w:r>
      <w:r>
        <w:t xml:space="preserve">the issuer (or multiemployer plan) if the contribution rate changes at any point during the plan </w:t>
      </w:r>
      <w:r>
        <w:rPr>
          <w:spacing w:val="-2"/>
        </w:rPr>
        <w:t>year.</w:t>
      </w:r>
    </w:p>
    <w:p w:rsidR="00936CF4" w14:paraId="40D736A6" w14:textId="77777777">
      <w:pPr>
        <w:pStyle w:val="ListParagraph"/>
        <w:numPr>
          <w:ilvl w:val="1"/>
          <w:numId w:val="1"/>
        </w:numPr>
        <w:tabs>
          <w:tab w:val="left" w:pos="432"/>
        </w:tabs>
        <w:spacing w:before="241"/>
        <w:rPr>
          <w:sz w:val="24"/>
          <w:u w:val="none"/>
        </w:rPr>
      </w:pPr>
      <w:r>
        <w:rPr>
          <w:sz w:val="24"/>
        </w:rPr>
        <w:t>Information</w:t>
      </w:r>
      <w:r>
        <w:rPr>
          <w:spacing w:val="-4"/>
          <w:sz w:val="24"/>
        </w:rPr>
        <w:t xml:space="preserve"> </w:t>
      </w:r>
      <w:r>
        <w:rPr>
          <w:spacing w:val="-2"/>
          <w:sz w:val="24"/>
        </w:rPr>
        <w:t>Users</w:t>
      </w:r>
    </w:p>
    <w:p w:rsidR="00936CF4" w14:paraId="1B585FDD" w14:textId="77777777">
      <w:pPr>
        <w:pStyle w:val="BodyText"/>
        <w:ind w:left="0"/>
      </w:pPr>
    </w:p>
    <w:p w:rsidR="00936CF4" w14:paraId="286267CB" w14:textId="77777777">
      <w:pPr>
        <w:pStyle w:val="BodyText"/>
        <w:ind w:right="300"/>
      </w:pPr>
      <w:r>
        <w:t>The disclosure requirement will provide participants and beneficiaries (in the individual market, primary subscribers) with important information about their grandfathered health plans, including that grandfathered plans are not required to comply with certain consumer protection</w:t>
      </w:r>
      <w:r>
        <w:rPr>
          <w:spacing w:val="-4"/>
        </w:rPr>
        <w:t xml:space="preserve"> </w:t>
      </w:r>
      <w:r>
        <w:t>provisions</w:t>
      </w:r>
      <w:r>
        <w:rPr>
          <w:spacing w:val="-4"/>
        </w:rPr>
        <w:t xml:space="preserve"> </w:t>
      </w:r>
      <w:r>
        <w:t>contained</w:t>
      </w:r>
      <w:r>
        <w:rPr>
          <w:spacing w:val="-4"/>
        </w:rPr>
        <w:t xml:space="preserve"> </w:t>
      </w:r>
      <w:r>
        <w:t>in</w:t>
      </w:r>
      <w:r>
        <w:rPr>
          <w:spacing w:val="-4"/>
        </w:rPr>
        <w:t xml:space="preserve"> </w:t>
      </w:r>
      <w:r>
        <w:t>the</w:t>
      </w:r>
      <w:r>
        <w:rPr>
          <w:spacing w:val="-5"/>
        </w:rPr>
        <w:t xml:space="preserve"> </w:t>
      </w:r>
      <w:r>
        <w:t>Act.</w:t>
      </w:r>
      <w:r>
        <w:rPr>
          <w:spacing w:val="-2"/>
        </w:rPr>
        <w:t xml:space="preserve"> </w:t>
      </w:r>
      <w:r>
        <w:t>It</w:t>
      </w:r>
      <w:r>
        <w:rPr>
          <w:spacing w:val="-4"/>
        </w:rPr>
        <w:t xml:space="preserve"> </w:t>
      </w:r>
      <w:r>
        <w:t>will</w:t>
      </w:r>
      <w:r>
        <w:rPr>
          <w:spacing w:val="-1"/>
        </w:rPr>
        <w:t xml:space="preserve"> </w:t>
      </w:r>
      <w:r>
        <w:t>also</w:t>
      </w:r>
      <w:r>
        <w:rPr>
          <w:spacing w:val="-4"/>
        </w:rPr>
        <w:t xml:space="preserve"> </w:t>
      </w:r>
      <w:r>
        <w:t>provide</w:t>
      </w:r>
      <w:r>
        <w:rPr>
          <w:spacing w:val="-6"/>
        </w:rPr>
        <w:t xml:space="preserve"> </w:t>
      </w:r>
      <w:r>
        <w:t>important</w:t>
      </w:r>
      <w:r>
        <w:rPr>
          <w:spacing w:val="-4"/>
        </w:rPr>
        <w:t xml:space="preserve"> </w:t>
      </w:r>
      <w:r>
        <w:t>contact</w:t>
      </w:r>
      <w:r>
        <w:rPr>
          <w:spacing w:val="-4"/>
        </w:rPr>
        <w:t xml:space="preserve"> </w:t>
      </w:r>
      <w:r>
        <w:t>information for questions and complaints. The recordkeeping requirement will allow a participant, beneficiary, primary subscriber, or Federal or State official to inspect plan documents to verify that a</w:t>
      </w:r>
      <w:r>
        <w:rPr>
          <w:spacing w:val="-1"/>
        </w:rPr>
        <w:t xml:space="preserve"> </w:t>
      </w:r>
      <w:r>
        <w:t>plan or health insurance coverage</w:t>
      </w:r>
      <w:r>
        <w:rPr>
          <w:spacing w:val="-1"/>
        </w:rPr>
        <w:t xml:space="preserve"> </w:t>
      </w:r>
      <w:r>
        <w:t>is a grandfathered health plan. The</w:t>
      </w:r>
      <w:r>
        <w:rPr>
          <w:spacing w:val="-2"/>
        </w:rPr>
        <w:t xml:space="preserve"> </w:t>
      </w:r>
      <w:r>
        <w:t>disclosure required when a change in carrier occurs will ensure that the succeeding health insurance issuer has sufficient information to determine whether the standards set forth in paragraph</w:t>
      </w:r>
    </w:p>
    <w:p w:rsidR="00936CF4" w14:paraId="6234ADA9" w14:textId="77777777">
      <w:pPr>
        <w:pStyle w:val="BodyText"/>
        <w:spacing w:before="1"/>
      </w:pPr>
      <w:r>
        <w:t>§147.140(g)(1)</w:t>
      </w:r>
      <w:r>
        <w:rPr>
          <w:spacing w:val="-3"/>
        </w:rPr>
        <w:t xml:space="preserve"> </w:t>
      </w:r>
      <w:r>
        <w:t>under</w:t>
      </w:r>
      <w:r>
        <w:rPr>
          <w:spacing w:val="-1"/>
        </w:rPr>
        <w:t xml:space="preserve"> </w:t>
      </w:r>
      <w:r>
        <w:t>the</w:t>
      </w:r>
      <w:r>
        <w:rPr>
          <w:spacing w:val="1"/>
        </w:rPr>
        <w:t xml:space="preserve"> </w:t>
      </w:r>
      <w:r>
        <w:t>2015</w:t>
      </w:r>
      <w:r>
        <w:rPr>
          <w:spacing w:val="-1"/>
        </w:rPr>
        <w:t xml:space="preserve"> </w:t>
      </w:r>
      <w:r>
        <w:t>final</w:t>
      </w:r>
      <w:r>
        <w:rPr>
          <w:spacing w:val="-1"/>
        </w:rPr>
        <w:t xml:space="preserve"> </w:t>
      </w:r>
      <w:r>
        <w:t>regulations</w:t>
      </w:r>
      <w:r>
        <w:rPr>
          <w:spacing w:val="-1"/>
        </w:rPr>
        <w:t xml:space="preserve"> </w:t>
      </w:r>
      <w:r>
        <w:t>are</w:t>
      </w:r>
      <w:r>
        <w:rPr>
          <w:spacing w:val="-1"/>
        </w:rPr>
        <w:t xml:space="preserve"> </w:t>
      </w:r>
      <w:r>
        <w:rPr>
          <w:spacing w:val="-4"/>
        </w:rPr>
        <w:t>met.</w:t>
      </w:r>
    </w:p>
    <w:p w:rsidR="00936CF4" w14:paraId="19F72136" w14:textId="77777777">
      <w:pPr>
        <w:pStyle w:val="BodyText"/>
        <w:sectPr>
          <w:pgSz w:w="12240" w:h="15840"/>
          <w:pgMar w:top="1360" w:right="1080" w:bottom="1980" w:left="1440" w:header="0" w:footer="1781" w:gutter="0"/>
          <w:cols w:space="720"/>
        </w:sectPr>
      </w:pPr>
    </w:p>
    <w:p w:rsidR="00936CF4" w14:paraId="38C1CEEA" w14:textId="77777777">
      <w:pPr>
        <w:pStyle w:val="ListParagraph"/>
        <w:numPr>
          <w:ilvl w:val="1"/>
          <w:numId w:val="1"/>
        </w:numPr>
        <w:tabs>
          <w:tab w:val="left" w:pos="432"/>
        </w:tabs>
        <w:spacing w:before="171"/>
        <w:rPr>
          <w:sz w:val="24"/>
          <w:u w:val="none"/>
        </w:rPr>
      </w:pPr>
      <w:r>
        <w:rPr>
          <w:sz w:val="24"/>
        </w:rPr>
        <w:t>Use</w:t>
      </w:r>
      <w:r>
        <w:rPr>
          <w:spacing w:val="-4"/>
          <w:sz w:val="24"/>
        </w:rPr>
        <w:t xml:space="preserve"> </w:t>
      </w:r>
      <w:r>
        <w:rPr>
          <w:sz w:val="24"/>
        </w:rPr>
        <w:t>of</w:t>
      </w:r>
      <w:r>
        <w:rPr>
          <w:spacing w:val="-1"/>
          <w:sz w:val="24"/>
        </w:rPr>
        <w:t xml:space="preserve"> </w:t>
      </w:r>
      <w:r>
        <w:rPr>
          <w:sz w:val="24"/>
        </w:rPr>
        <w:t>Information</w:t>
      </w:r>
      <w:r>
        <w:rPr>
          <w:spacing w:val="-1"/>
          <w:sz w:val="24"/>
        </w:rPr>
        <w:t xml:space="preserve"> </w:t>
      </w:r>
      <w:r>
        <w:rPr>
          <w:spacing w:val="-2"/>
          <w:sz w:val="24"/>
        </w:rPr>
        <w:t>Technology</w:t>
      </w:r>
    </w:p>
    <w:p w:rsidR="00936CF4" w14:paraId="7E2BA69E" w14:textId="77777777">
      <w:pPr>
        <w:pStyle w:val="BodyText"/>
        <w:ind w:left="0"/>
      </w:pPr>
    </w:p>
    <w:p w:rsidR="00936CF4" w14:paraId="6BA403C4" w14:textId="77777777">
      <w:pPr>
        <w:pStyle w:val="BodyText"/>
        <w:ind w:right="300"/>
      </w:pPr>
      <w:r>
        <w:t>Plans</w:t>
      </w:r>
      <w:r>
        <w:rPr>
          <w:spacing w:val="-3"/>
        </w:rPr>
        <w:t xml:space="preserve"> </w:t>
      </w:r>
      <w:r>
        <w:t>or</w:t>
      </w:r>
      <w:r>
        <w:rPr>
          <w:spacing w:val="-4"/>
        </w:rPr>
        <w:t xml:space="preserve"> </w:t>
      </w:r>
      <w:r>
        <w:t>issuers</w:t>
      </w:r>
      <w:r>
        <w:rPr>
          <w:spacing w:val="-4"/>
        </w:rPr>
        <w:t xml:space="preserve"> </w:t>
      </w:r>
      <w:r>
        <w:t>may</w:t>
      </w:r>
      <w:r>
        <w:rPr>
          <w:spacing w:val="-3"/>
        </w:rPr>
        <w:t xml:space="preserve"> </w:t>
      </w:r>
      <w:r>
        <w:t>use</w:t>
      </w:r>
      <w:r>
        <w:rPr>
          <w:spacing w:val="-2"/>
        </w:rPr>
        <w:t xml:space="preserve"> </w:t>
      </w:r>
      <w:r>
        <w:t>electronic</w:t>
      </w:r>
      <w:r>
        <w:rPr>
          <w:spacing w:val="-4"/>
        </w:rPr>
        <w:t xml:space="preserve"> </w:t>
      </w:r>
      <w:r>
        <w:t>technology</w:t>
      </w:r>
      <w:r>
        <w:rPr>
          <w:spacing w:val="-3"/>
        </w:rPr>
        <w:t xml:space="preserve"> </w:t>
      </w:r>
      <w:r>
        <w:t>to</w:t>
      </w:r>
      <w:r>
        <w:rPr>
          <w:spacing w:val="-3"/>
        </w:rPr>
        <w:t xml:space="preserve"> </w:t>
      </w:r>
      <w:r>
        <w:t>provide</w:t>
      </w:r>
      <w:r>
        <w:rPr>
          <w:spacing w:val="-3"/>
        </w:rPr>
        <w:t xml:space="preserve"> </w:t>
      </w:r>
      <w:r>
        <w:t>either</w:t>
      </w:r>
      <w:r>
        <w:rPr>
          <w:spacing w:val="-3"/>
        </w:rPr>
        <w:t xml:space="preserve"> </w:t>
      </w:r>
      <w:r>
        <w:t>disclosure and</w:t>
      </w:r>
      <w:r>
        <w:rPr>
          <w:spacing w:val="-3"/>
        </w:rPr>
        <w:t xml:space="preserve"> </w:t>
      </w:r>
      <w:r>
        <w:t>to</w:t>
      </w:r>
      <w:r>
        <w:rPr>
          <w:spacing w:val="-3"/>
        </w:rPr>
        <w:t xml:space="preserve"> </w:t>
      </w:r>
      <w:r>
        <w:t>satisfy recordkeeping requirements.</w:t>
      </w:r>
    </w:p>
    <w:p w:rsidR="00936CF4" w14:paraId="0E316686" w14:textId="77777777">
      <w:pPr>
        <w:pStyle w:val="BodyText"/>
        <w:ind w:left="0"/>
      </w:pPr>
    </w:p>
    <w:p w:rsidR="00936CF4" w14:paraId="1836E0F3" w14:textId="77777777">
      <w:pPr>
        <w:pStyle w:val="ListParagraph"/>
        <w:numPr>
          <w:ilvl w:val="1"/>
          <w:numId w:val="1"/>
        </w:numPr>
        <w:tabs>
          <w:tab w:val="left" w:pos="432"/>
        </w:tabs>
        <w:rPr>
          <w:sz w:val="24"/>
          <w:u w:val="none"/>
        </w:rPr>
      </w:pPr>
      <w:r>
        <w:rPr>
          <w:sz w:val="24"/>
        </w:rPr>
        <w:t>Duplication</w:t>
      </w:r>
      <w:r>
        <w:rPr>
          <w:spacing w:val="-1"/>
          <w:sz w:val="24"/>
        </w:rPr>
        <w:t xml:space="preserve"> </w:t>
      </w:r>
      <w:r>
        <w:rPr>
          <w:sz w:val="24"/>
        </w:rPr>
        <w:t>of</w:t>
      </w:r>
      <w:r>
        <w:rPr>
          <w:spacing w:val="-2"/>
          <w:sz w:val="24"/>
        </w:rPr>
        <w:t xml:space="preserve"> Efforts</w:t>
      </w:r>
    </w:p>
    <w:p w:rsidR="00936CF4" w14:paraId="0C607B95" w14:textId="77777777">
      <w:pPr>
        <w:pStyle w:val="BodyText"/>
        <w:ind w:left="0"/>
      </w:pPr>
    </w:p>
    <w:p w:rsidR="00936CF4" w14:paraId="6C71CA88" w14:textId="77777777">
      <w:pPr>
        <w:pStyle w:val="BodyText"/>
        <w:ind w:left="482"/>
      </w:pPr>
      <w:r>
        <w:t>There</w:t>
      </w:r>
      <w:r>
        <w:rPr>
          <w:spacing w:val="-5"/>
        </w:rPr>
        <w:t xml:space="preserve"> </w:t>
      </w:r>
      <w:r>
        <w:t>is</w:t>
      </w:r>
      <w:r>
        <w:rPr>
          <w:spacing w:val="-1"/>
        </w:rPr>
        <w:t xml:space="preserve"> </w:t>
      </w:r>
      <w:r>
        <w:t>no duplication</w:t>
      </w:r>
      <w:r>
        <w:rPr>
          <w:spacing w:val="-1"/>
        </w:rPr>
        <w:t xml:space="preserve"> </w:t>
      </w:r>
      <w:r>
        <w:t>of</w:t>
      </w:r>
      <w:r>
        <w:rPr>
          <w:spacing w:val="-1"/>
        </w:rPr>
        <w:t xml:space="preserve"> </w:t>
      </w:r>
      <w:r>
        <w:t>efforts for</w:t>
      </w:r>
      <w:r>
        <w:rPr>
          <w:spacing w:val="-1"/>
        </w:rPr>
        <w:t xml:space="preserve"> </w:t>
      </w:r>
      <w:r>
        <w:t>these</w:t>
      </w:r>
      <w:r>
        <w:rPr>
          <w:spacing w:val="-2"/>
        </w:rPr>
        <w:t xml:space="preserve"> </w:t>
      </w:r>
      <w:r>
        <w:t xml:space="preserve">information </w:t>
      </w:r>
      <w:r>
        <w:rPr>
          <w:spacing w:val="-2"/>
        </w:rPr>
        <w:t>collections.</w:t>
      </w:r>
    </w:p>
    <w:p w:rsidR="00936CF4" w14:paraId="6473C794" w14:textId="77777777">
      <w:pPr>
        <w:pStyle w:val="BodyText"/>
        <w:ind w:left="0"/>
      </w:pPr>
    </w:p>
    <w:p w:rsidR="00936CF4" w14:paraId="48BC627D" w14:textId="77777777">
      <w:pPr>
        <w:pStyle w:val="ListParagraph"/>
        <w:numPr>
          <w:ilvl w:val="1"/>
          <w:numId w:val="1"/>
        </w:numPr>
        <w:tabs>
          <w:tab w:val="left" w:pos="432"/>
        </w:tabs>
        <w:rPr>
          <w:sz w:val="24"/>
          <w:u w:val="none"/>
        </w:rPr>
      </w:pPr>
      <w:r>
        <w:rPr>
          <w:sz w:val="24"/>
        </w:rPr>
        <w:t xml:space="preserve">Small </w:t>
      </w:r>
      <w:r>
        <w:rPr>
          <w:spacing w:val="-2"/>
          <w:sz w:val="24"/>
        </w:rPr>
        <w:t>Businesses</w:t>
      </w:r>
    </w:p>
    <w:p w:rsidR="00936CF4" w14:paraId="7E1B3A8F" w14:textId="77777777">
      <w:pPr>
        <w:pStyle w:val="BodyText"/>
        <w:spacing w:before="1"/>
        <w:ind w:left="0"/>
      </w:pPr>
    </w:p>
    <w:p w:rsidR="00936CF4" w14:paraId="75A28864" w14:textId="77777777">
      <w:pPr>
        <w:pStyle w:val="BodyText"/>
      </w:pPr>
      <w:r>
        <w:t>Small</w:t>
      </w:r>
      <w:r>
        <w:rPr>
          <w:spacing w:val="-3"/>
        </w:rPr>
        <w:t xml:space="preserve"> </w:t>
      </w:r>
      <w:r>
        <w:t>businesses</w:t>
      </w:r>
      <w:r>
        <w:rPr>
          <w:spacing w:val="-1"/>
        </w:rPr>
        <w:t xml:space="preserve"> </w:t>
      </w:r>
      <w:r>
        <w:t>are</w:t>
      </w:r>
      <w:r>
        <w:rPr>
          <w:spacing w:val="-2"/>
        </w:rPr>
        <w:t xml:space="preserve"> </w:t>
      </w:r>
      <w:r>
        <w:t>not</w:t>
      </w:r>
      <w:r>
        <w:rPr>
          <w:spacing w:val="-1"/>
        </w:rPr>
        <w:t xml:space="preserve"> </w:t>
      </w:r>
      <w:r>
        <w:t>affected</w:t>
      </w:r>
      <w:r>
        <w:rPr>
          <w:spacing w:val="-1"/>
        </w:rPr>
        <w:t xml:space="preserve"> </w:t>
      </w:r>
      <w:r>
        <w:t>by</w:t>
      </w:r>
      <w:r>
        <w:rPr>
          <w:spacing w:val="1"/>
        </w:rPr>
        <w:t xml:space="preserve"> </w:t>
      </w:r>
      <w:r>
        <w:t>these</w:t>
      </w:r>
      <w:r>
        <w:rPr>
          <w:spacing w:val="-3"/>
        </w:rPr>
        <w:t xml:space="preserve"> </w:t>
      </w:r>
      <w:r>
        <w:t>information</w:t>
      </w:r>
      <w:r>
        <w:rPr>
          <w:spacing w:val="1"/>
        </w:rPr>
        <w:t xml:space="preserve"> </w:t>
      </w:r>
      <w:r>
        <w:rPr>
          <w:spacing w:val="-2"/>
        </w:rPr>
        <w:t>collections.</w:t>
      </w:r>
    </w:p>
    <w:p w:rsidR="00936CF4" w14:paraId="77575BB0" w14:textId="77777777">
      <w:pPr>
        <w:pStyle w:val="ListParagraph"/>
        <w:numPr>
          <w:ilvl w:val="1"/>
          <w:numId w:val="1"/>
        </w:numPr>
        <w:tabs>
          <w:tab w:val="left" w:pos="432"/>
        </w:tabs>
        <w:spacing w:before="240"/>
        <w:rPr>
          <w:sz w:val="24"/>
          <w:u w:val="none"/>
        </w:rPr>
      </w:pPr>
      <w:r>
        <w:rPr>
          <w:sz w:val="24"/>
        </w:rPr>
        <w:t>Less</w:t>
      </w:r>
      <w:r>
        <w:rPr>
          <w:spacing w:val="-2"/>
          <w:sz w:val="24"/>
        </w:rPr>
        <w:t xml:space="preserve"> </w:t>
      </w:r>
      <w:r>
        <w:rPr>
          <w:sz w:val="24"/>
        </w:rPr>
        <w:t>Frequent</w:t>
      </w:r>
      <w:r>
        <w:rPr>
          <w:spacing w:val="-2"/>
          <w:sz w:val="24"/>
        </w:rPr>
        <w:t xml:space="preserve"> Collection</w:t>
      </w:r>
    </w:p>
    <w:p w:rsidR="00936CF4" w14:paraId="6D655669" w14:textId="77777777">
      <w:pPr>
        <w:pStyle w:val="BodyText"/>
        <w:ind w:left="0"/>
      </w:pPr>
    </w:p>
    <w:p w:rsidR="00936CF4" w14:paraId="63B0F480" w14:textId="77777777">
      <w:pPr>
        <w:pStyle w:val="BodyText"/>
        <w:ind w:right="300"/>
      </w:pPr>
      <w:r>
        <w:t>If these information collections were conducted less frequently, affected individuals would not</w:t>
      </w:r>
      <w:r>
        <w:rPr>
          <w:spacing w:val="-3"/>
        </w:rPr>
        <w:t xml:space="preserve"> </w:t>
      </w:r>
      <w:r>
        <w:t>be</w:t>
      </w:r>
      <w:r>
        <w:rPr>
          <w:spacing w:val="-3"/>
        </w:rPr>
        <w:t xml:space="preserve"> </w:t>
      </w:r>
      <w:r>
        <w:t>informed</w:t>
      </w:r>
      <w:r>
        <w:rPr>
          <w:spacing w:val="-3"/>
        </w:rPr>
        <w:t xml:space="preserve"> </w:t>
      </w:r>
      <w:r>
        <w:t>in</w:t>
      </w:r>
      <w:r>
        <w:rPr>
          <w:spacing w:val="-3"/>
        </w:rPr>
        <w:t xml:space="preserve"> </w:t>
      </w:r>
      <w:r>
        <w:t>a</w:t>
      </w:r>
      <w:r>
        <w:rPr>
          <w:spacing w:val="-3"/>
        </w:rPr>
        <w:t xml:space="preserve"> </w:t>
      </w:r>
      <w:r>
        <w:t>timely</w:t>
      </w:r>
      <w:r>
        <w:rPr>
          <w:spacing w:val="-2"/>
        </w:rPr>
        <w:t xml:space="preserve"> </w:t>
      </w:r>
      <w:r>
        <w:t>manner</w:t>
      </w:r>
      <w:r>
        <w:rPr>
          <w:spacing w:val="-3"/>
        </w:rPr>
        <w:t xml:space="preserve"> </w:t>
      </w:r>
      <w:r>
        <w:t>that</w:t>
      </w:r>
      <w:r>
        <w:rPr>
          <w:spacing w:val="-3"/>
        </w:rPr>
        <w:t xml:space="preserve"> </w:t>
      </w:r>
      <w:r>
        <w:t>their</w:t>
      </w:r>
      <w:r>
        <w:rPr>
          <w:spacing w:val="-3"/>
        </w:rPr>
        <w:t xml:space="preserve"> </w:t>
      </w:r>
      <w:r>
        <w:t>plan</w:t>
      </w:r>
      <w:r>
        <w:rPr>
          <w:spacing w:val="-2"/>
        </w:rPr>
        <w:t xml:space="preserve"> </w:t>
      </w:r>
      <w:r>
        <w:t>is</w:t>
      </w:r>
      <w:r>
        <w:rPr>
          <w:spacing w:val="-3"/>
        </w:rPr>
        <w:t xml:space="preserve"> </w:t>
      </w:r>
      <w:r>
        <w:t>a</w:t>
      </w:r>
      <w:r>
        <w:rPr>
          <w:spacing w:val="-3"/>
        </w:rPr>
        <w:t xml:space="preserve"> </w:t>
      </w:r>
      <w:r>
        <w:t>grandfathered</w:t>
      </w:r>
      <w:r>
        <w:rPr>
          <w:spacing w:val="-3"/>
        </w:rPr>
        <w:t xml:space="preserve"> </w:t>
      </w:r>
      <w:r>
        <w:t>health</w:t>
      </w:r>
      <w:r>
        <w:rPr>
          <w:spacing w:val="-1"/>
        </w:rPr>
        <w:t xml:space="preserve"> </w:t>
      </w:r>
      <w:r>
        <w:t>plan</w:t>
      </w:r>
      <w:r>
        <w:rPr>
          <w:spacing w:val="-3"/>
        </w:rPr>
        <w:t xml:space="preserve"> </w:t>
      </w:r>
      <w:r>
        <w:t>that</w:t>
      </w:r>
      <w:r>
        <w:rPr>
          <w:spacing w:val="-3"/>
        </w:rPr>
        <w:t xml:space="preserve"> </w:t>
      </w:r>
      <w:r>
        <w:t>does</w:t>
      </w:r>
      <w:r>
        <w:rPr>
          <w:spacing w:val="-3"/>
        </w:rPr>
        <w:t xml:space="preserve"> </w:t>
      </w:r>
      <w:r>
        <w:t>not have to comply with some of the Affordable Care Act’s consumer protection provisions.</w:t>
      </w:r>
    </w:p>
    <w:p w:rsidR="00936CF4" w14:paraId="16A0C42B" w14:textId="77777777">
      <w:pPr>
        <w:pStyle w:val="BodyText"/>
        <w:ind w:right="300"/>
      </w:pPr>
      <w:r>
        <w:t>Without the recordkeeping requirement, verifying a plan’s grandfathered status would be more difficult for participants, beneficiaries, primary subscribers, or a Federal or State official. Without the change in carrier disclosure, it would be difficult for the succeeding issuer</w:t>
      </w:r>
      <w:r>
        <w:rPr>
          <w:spacing w:val="-4"/>
        </w:rPr>
        <w:t xml:space="preserve"> </w:t>
      </w:r>
      <w:r>
        <w:t>to</w:t>
      </w:r>
      <w:r>
        <w:rPr>
          <w:spacing w:val="-3"/>
        </w:rPr>
        <w:t xml:space="preserve"> </w:t>
      </w:r>
      <w:r>
        <w:t>determine</w:t>
      </w:r>
      <w:r>
        <w:rPr>
          <w:spacing w:val="-4"/>
        </w:rPr>
        <w:t xml:space="preserve"> </w:t>
      </w:r>
      <w:r>
        <w:t>whether</w:t>
      </w:r>
      <w:r>
        <w:rPr>
          <w:spacing w:val="-5"/>
        </w:rPr>
        <w:t xml:space="preserve"> </w:t>
      </w:r>
      <w:r>
        <w:t>the</w:t>
      </w:r>
      <w:r>
        <w:rPr>
          <w:spacing w:val="-3"/>
        </w:rPr>
        <w:t xml:space="preserve"> </w:t>
      </w:r>
      <w:r>
        <w:t>requirements</w:t>
      </w:r>
      <w:r>
        <w:rPr>
          <w:spacing w:val="-2"/>
        </w:rPr>
        <w:t xml:space="preserve"> </w:t>
      </w:r>
      <w:r>
        <w:t>set</w:t>
      </w:r>
      <w:r>
        <w:rPr>
          <w:spacing w:val="-3"/>
        </w:rPr>
        <w:t xml:space="preserve"> </w:t>
      </w:r>
      <w:r>
        <w:t>forth</w:t>
      </w:r>
      <w:r>
        <w:rPr>
          <w:spacing w:val="-3"/>
        </w:rPr>
        <w:t xml:space="preserve"> </w:t>
      </w:r>
      <w:r>
        <w:t>in</w:t>
      </w:r>
      <w:r>
        <w:rPr>
          <w:spacing w:val="-2"/>
        </w:rPr>
        <w:t xml:space="preserve"> </w:t>
      </w:r>
      <w:r>
        <w:t>paragraph</w:t>
      </w:r>
      <w:r>
        <w:rPr>
          <w:spacing w:val="-3"/>
        </w:rPr>
        <w:t xml:space="preserve"> </w:t>
      </w:r>
      <w:r>
        <w:t>§147.140(g)(1)</w:t>
      </w:r>
      <w:r>
        <w:rPr>
          <w:spacing w:val="-5"/>
        </w:rPr>
        <w:t xml:space="preserve"> </w:t>
      </w:r>
      <w:r>
        <w:t>under</w:t>
      </w:r>
      <w:r>
        <w:rPr>
          <w:spacing w:val="-4"/>
        </w:rPr>
        <w:t xml:space="preserve"> </w:t>
      </w:r>
      <w:r>
        <w:t>the 2015 final regulations are met.</w:t>
      </w:r>
    </w:p>
    <w:p w:rsidR="00936CF4" w14:paraId="30926E27" w14:textId="77777777">
      <w:pPr>
        <w:pStyle w:val="BodyText"/>
        <w:spacing w:before="1"/>
        <w:ind w:left="0"/>
      </w:pPr>
    </w:p>
    <w:p w:rsidR="00936CF4" w14:paraId="7C98A169" w14:textId="77777777">
      <w:pPr>
        <w:pStyle w:val="ListParagraph"/>
        <w:numPr>
          <w:ilvl w:val="1"/>
          <w:numId w:val="1"/>
        </w:numPr>
        <w:tabs>
          <w:tab w:val="left" w:pos="432"/>
        </w:tabs>
        <w:rPr>
          <w:sz w:val="24"/>
          <w:u w:val="none"/>
        </w:rPr>
      </w:pPr>
      <w:r>
        <w:rPr>
          <w:sz w:val="24"/>
        </w:rPr>
        <w:t>Special</w:t>
      </w:r>
      <w:r>
        <w:rPr>
          <w:spacing w:val="-2"/>
          <w:sz w:val="24"/>
        </w:rPr>
        <w:t xml:space="preserve"> Circumstances</w:t>
      </w:r>
    </w:p>
    <w:p w:rsidR="00936CF4" w14:paraId="067531C8" w14:textId="77777777">
      <w:pPr>
        <w:pStyle w:val="BodyText"/>
        <w:ind w:left="0"/>
      </w:pPr>
    </w:p>
    <w:p w:rsidR="00936CF4" w14:paraId="59038A37" w14:textId="77777777">
      <w:pPr>
        <w:pStyle w:val="BodyText"/>
      </w:pPr>
      <w:r>
        <w:t>There</w:t>
      </w:r>
      <w:r>
        <w:rPr>
          <w:spacing w:val="-1"/>
        </w:rPr>
        <w:t xml:space="preserve"> </w:t>
      </w:r>
      <w:r>
        <w:t>are</w:t>
      </w:r>
      <w:r>
        <w:rPr>
          <w:spacing w:val="-3"/>
        </w:rPr>
        <w:t xml:space="preserve"> </w:t>
      </w:r>
      <w:r>
        <w:t>no</w:t>
      </w:r>
      <w:r>
        <w:rPr>
          <w:spacing w:val="-1"/>
        </w:rPr>
        <w:t xml:space="preserve"> </w:t>
      </w:r>
      <w:r>
        <w:t xml:space="preserve">special </w:t>
      </w:r>
      <w:r>
        <w:rPr>
          <w:spacing w:val="-2"/>
        </w:rPr>
        <w:t>circumstances.</w:t>
      </w:r>
    </w:p>
    <w:p w:rsidR="00936CF4" w14:paraId="77DA4189" w14:textId="77777777">
      <w:pPr>
        <w:pStyle w:val="BodyText"/>
        <w:ind w:left="0"/>
      </w:pPr>
    </w:p>
    <w:p w:rsidR="00936CF4" w14:paraId="0B1111A5" w14:textId="77777777">
      <w:pPr>
        <w:pStyle w:val="ListParagraph"/>
        <w:numPr>
          <w:ilvl w:val="1"/>
          <w:numId w:val="1"/>
        </w:numPr>
        <w:tabs>
          <w:tab w:val="left" w:pos="432"/>
        </w:tabs>
        <w:rPr>
          <w:sz w:val="24"/>
          <w:u w:val="none"/>
        </w:rPr>
      </w:pPr>
      <w:r>
        <w:rPr>
          <w:sz w:val="24"/>
        </w:rPr>
        <w:t>Federal</w:t>
      </w:r>
      <w:r>
        <w:rPr>
          <w:spacing w:val="-4"/>
          <w:sz w:val="24"/>
        </w:rPr>
        <w:t xml:space="preserve"> </w:t>
      </w:r>
      <w:r>
        <w:rPr>
          <w:sz w:val="24"/>
        </w:rPr>
        <w:t>Register/Outside</w:t>
      </w:r>
      <w:r>
        <w:rPr>
          <w:spacing w:val="-2"/>
          <w:sz w:val="24"/>
        </w:rPr>
        <w:t xml:space="preserve"> Consultation</w:t>
      </w:r>
    </w:p>
    <w:p w:rsidR="00936CF4" w14:paraId="28DE9792" w14:textId="77777777">
      <w:pPr>
        <w:pStyle w:val="BodyText"/>
        <w:ind w:left="0"/>
      </w:pPr>
    </w:p>
    <w:p w:rsidR="00936CF4" w14:paraId="7E699174" w14:textId="72987524">
      <w:pPr>
        <w:pStyle w:val="BodyText"/>
        <w:ind w:right="900"/>
        <w:jc w:val="both"/>
      </w:pPr>
      <w:r>
        <w:t>A</w:t>
      </w:r>
      <w:r>
        <w:rPr>
          <w:spacing w:val="-3"/>
        </w:rPr>
        <w:t xml:space="preserve"> </w:t>
      </w:r>
      <w:r>
        <w:t>notice</w:t>
      </w:r>
      <w:r>
        <w:rPr>
          <w:spacing w:val="-5"/>
        </w:rPr>
        <w:t xml:space="preserve"> </w:t>
      </w:r>
      <w:r>
        <w:t>was</w:t>
      </w:r>
      <w:r>
        <w:rPr>
          <w:spacing w:val="-3"/>
        </w:rPr>
        <w:t xml:space="preserve"> </w:t>
      </w:r>
      <w:r>
        <w:t>published</w:t>
      </w:r>
      <w:r>
        <w:rPr>
          <w:spacing w:val="-3"/>
        </w:rPr>
        <w:t xml:space="preserve"> </w:t>
      </w:r>
      <w:r>
        <w:t>in</w:t>
      </w:r>
      <w:r>
        <w:rPr>
          <w:spacing w:val="-3"/>
        </w:rPr>
        <w:t xml:space="preserve"> </w:t>
      </w:r>
      <w:r>
        <w:t>the</w:t>
      </w:r>
      <w:r>
        <w:rPr>
          <w:spacing w:val="-3"/>
        </w:rPr>
        <w:t xml:space="preserve"> </w:t>
      </w:r>
      <w:r>
        <w:t>Federal</w:t>
      </w:r>
      <w:r>
        <w:rPr>
          <w:spacing w:val="-3"/>
        </w:rPr>
        <w:t xml:space="preserve"> </w:t>
      </w:r>
      <w:r>
        <w:t>Register</w:t>
      </w:r>
      <w:r>
        <w:rPr>
          <w:spacing w:val="-2"/>
        </w:rPr>
        <w:t xml:space="preserve"> </w:t>
      </w:r>
      <w:r>
        <w:t>on</w:t>
      </w:r>
      <w:r>
        <w:rPr>
          <w:spacing w:val="-1"/>
        </w:rPr>
        <w:t xml:space="preserve"> </w:t>
      </w:r>
      <w:r>
        <w:t>December</w:t>
      </w:r>
      <w:r>
        <w:rPr>
          <w:spacing w:val="-3"/>
        </w:rPr>
        <w:t xml:space="preserve"> </w:t>
      </w:r>
      <w:r>
        <w:t>19,</w:t>
      </w:r>
      <w:r>
        <w:rPr>
          <w:spacing w:val="-4"/>
        </w:rPr>
        <w:t xml:space="preserve"> </w:t>
      </w:r>
      <w:r>
        <w:t>2024</w:t>
      </w:r>
      <w:r>
        <w:rPr>
          <w:spacing w:val="-3"/>
        </w:rPr>
        <w:t xml:space="preserve"> </w:t>
      </w:r>
      <w:r>
        <w:t>(89</w:t>
      </w:r>
      <w:r>
        <w:rPr>
          <w:spacing w:val="-1"/>
        </w:rPr>
        <w:t xml:space="preserve"> </w:t>
      </w:r>
      <w:r>
        <w:t>FR</w:t>
      </w:r>
      <w:r>
        <w:rPr>
          <w:spacing w:val="-3"/>
        </w:rPr>
        <w:t xml:space="preserve"> </w:t>
      </w:r>
      <w:r>
        <w:t xml:space="preserve">103831), providing the public with a 60-day period to submit written comments on this ICR. </w:t>
      </w:r>
      <w:r w:rsidRPr="00270F6C" w:rsidR="00270F6C">
        <w:t>A 30-day notice published on April 28, 2025 (90 FR 17601).</w:t>
      </w:r>
      <w:r w:rsidR="00270F6C">
        <w:t xml:space="preserve"> </w:t>
      </w:r>
      <w:r>
        <w:t>No comments were received.</w:t>
      </w:r>
    </w:p>
    <w:p w:rsidR="00936CF4" w14:paraId="32FE120B" w14:textId="77777777">
      <w:pPr>
        <w:pStyle w:val="BodyText"/>
        <w:ind w:left="0"/>
      </w:pPr>
    </w:p>
    <w:p w:rsidR="00936CF4" w14:paraId="5806F00F" w14:textId="77777777">
      <w:pPr>
        <w:pStyle w:val="ListParagraph"/>
        <w:numPr>
          <w:ilvl w:val="1"/>
          <w:numId w:val="1"/>
        </w:numPr>
        <w:tabs>
          <w:tab w:val="left" w:pos="432"/>
        </w:tabs>
        <w:rPr>
          <w:sz w:val="24"/>
          <w:u w:val="none"/>
        </w:rPr>
      </w:pPr>
      <w:r>
        <w:rPr>
          <w:sz w:val="24"/>
        </w:rPr>
        <w:t>Payments/Gifts</w:t>
      </w:r>
      <w:r>
        <w:rPr>
          <w:spacing w:val="-1"/>
          <w:sz w:val="24"/>
        </w:rPr>
        <w:t xml:space="preserve"> </w:t>
      </w:r>
      <w:r>
        <w:rPr>
          <w:sz w:val="24"/>
        </w:rPr>
        <w:t xml:space="preserve">to </w:t>
      </w:r>
      <w:r>
        <w:rPr>
          <w:spacing w:val="-2"/>
          <w:sz w:val="24"/>
        </w:rPr>
        <w:t>Respondents</w:t>
      </w:r>
    </w:p>
    <w:p w:rsidR="00936CF4" w14:paraId="1D3454E8" w14:textId="77777777">
      <w:pPr>
        <w:pStyle w:val="BodyText"/>
        <w:ind w:left="0"/>
      </w:pPr>
    </w:p>
    <w:p w:rsidR="00936CF4" w14:paraId="7BA9F981" w14:textId="77777777">
      <w:pPr>
        <w:pStyle w:val="BodyText"/>
        <w:spacing w:before="1"/>
        <w:ind w:left="451"/>
      </w:pPr>
      <w:r>
        <w:t>No</w:t>
      </w:r>
      <w:r>
        <w:rPr>
          <w:spacing w:val="-3"/>
        </w:rPr>
        <w:t xml:space="preserve"> </w:t>
      </w:r>
      <w:r>
        <w:t>payments</w:t>
      </w:r>
      <w:r>
        <w:rPr>
          <w:spacing w:val="-1"/>
        </w:rPr>
        <w:t xml:space="preserve"> </w:t>
      </w:r>
      <w:r>
        <w:t>or gifts</w:t>
      </w:r>
      <w:r>
        <w:rPr>
          <w:spacing w:val="-1"/>
        </w:rPr>
        <w:t xml:space="preserve"> </w:t>
      </w:r>
      <w:r>
        <w:t>are associated with</w:t>
      </w:r>
      <w:r>
        <w:rPr>
          <w:spacing w:val="-1"/>
        </w:rPr>
        <w:t xml:space="preserve"> </w:t>
      </w:r>
      <w:r>
        <w:t>these</w:t>
      </w:r>
      <w:r>
        <w:rPr>
          <w:spacing w:val="-1"/>
        </w:rPr>
        <w:t xml:space="preserve"> </w:t>
      </w:r>
      <w:r>
        <w:t xml:space="preserve">information </w:t>
      </w:r>
      <w:r>
        <w:rPr>
          <w:spacing w:val="-2"/>
        </w:rPr>
        <w:t>collections.</w:t>
      </w:r>
    </w:p>
    <w:p w:rsidR="00936CF4" w14:paraId="42D5D707" w14:textId="77777777">
      <w:pPr>
        <w:pStyle w:val="ListParagraph"/>
        <w:numPr>
          <w:ilvl w:val="1"/>
          <w:numId w:val="1"/>
        </w:numPr>
        <w:tabs>
          <w:tab w:val="left" w:pos="432"/>
        </w:tabs>
        <w:spacing w:before="240"/>
        <w:rPr>
          <w:sz w:val="24"/>
          <w:u w:val="none"/>
        </w:rPr>
      </w:pPr>
      <w:r>
        <w:rPr>
          <w:spacing w:val="-2"/>
          <w:sz w:val="24"/>
        </w:rPr>
        <w:t>Confidentiality</w:t>
      </w:r>
    </w:p>
    <w:p w:rsidR="00936CF4" w14:paraId="20A7097A" w14:textId="77777777">
      <w:pPr>
        <w:pStyle w:val="BodyText"/>
        <w:ind w:left="0"/>
      </w:pPr>
    </w:p>
    <w:p w:rsidR="00936CF4" w14:paraId="4323504E" w14:textId="77777777">
      <w:pPr>
        <w:pStyle w:val="BodyText"/>
        <w:ind w:right="300"/>
      </w:pPr>
      <w:r>
        <w:t>This</w:t>
      </w:r>
      <w:r>
        <w:rPr>
          <w:spacing w:val="-4"/>
        </w:rPr>
        <w:t xml:space="preserve"> </w:t>
      </w:r>
      <w:r>
        <w:t>ICR</w:t>
      </w:r>
      <w:r>
        <w:rPr>
          <w:spacing w:val="-4"/>
        </w:rPr>
        <w:t xml:space="preserve"> </w:t>
      </w:r>
      <w:r>
        <w:t>includes</w:t>
      </w:r>
      <w:r>
        <w:rPr>
          <w:spacing w:val="-4"/>
        </w:rPr>
        <w:t xml:space="preserve"> </w:t>
      </w:r>
      <w:r>
        <w:t>third-party</w:t>
      </w:r>
      <w:r>
        <w:rPr>
          <w:spacing w:val="-4"/>
        </w:rPr>
        <w:t xml:space="preserve"> </w:t>
      </w:r>
      <w:r>
        <w:t>disclosures,</w:t>
      </w:r>
      <w:r>
        <w:rPr>
          <w:spacing w:val="-4"/>
        </w:rPr>
        <w:t xml:space="preserve"> </w:t>
      </w:r>
      <w:r>
        <w:t>and</w:t>
      </w:r>
      <w:r>
        <w:rPr>
          <w:spacing w:val="-4"/>
        </w:rPr>
        <w:t xml:space="preserve"> </w:t>
      </w:r>
      <w:r>
        <w:t>the</w:t>
      </w:r>
      <w:r>
        <w:rPr>
          <w:spacing w:val="-3"/>
        </w:rPr>
        <w:t xml:space="preserve"> </w:t>
      </w:r>
      <w:r>
        <w:t>issue</w:t>
      </w:r>
      <w:r>
        <w:rPr>
          <w:spacing w:val="-5"/>
        </w:rPr>
        <w:t xml:space="preserve"> </w:t>
      </w:r>
      <w:r>
        <w:t>of</w:t>
      </w:r>
      <w:r>
        <w:rPr>
          <w:spacing w:val="-4"/>
        </w:rPr>
        <w:t xml:space="preserve"> </w:t>
      </w:r>
      <w:r>
        <w:t>confidentiality</w:t>
      </w:r>
      <w:r>
        <w:rPr>
          <w:spacing w:val="-4"/>
        </w:rPr>
        <w:t xml:space="preserve"> </w:t>
      </w:r>
      <w:r>
        <w:t>between</w:t>
      </w:r>
      <w:r>
        <w:rPr>
          <w:spacing w:val="-4"/>
        </w:rPr>
        <w:t xml:space="preserve"> </w:t>
      </w:r>
      <w:r>
        <w:t>third parties is out of scope for the information collections.</w:t>
      </w:r>
    </w:p>
    <w:p w:rsidR="00936CF4" w14:paraId="3CCCA903" w14:textId="77777777">
      <w:pPr>
        <w:pStyle w:val="BodyText"/>
        <w:sectPr>
          <w:pgSz w:w="12240" w:h="15840"/>
          <w:pgMar w:top="1820" w:right="1080" w:bottom="1980" w:left="1440" w:header="0" w:footer="1781" w:gutter="0"/>
          <w:cols w:space="720"/>
        </w:sectPr>
      </w:pPr>
    </w:p>
    <w:p w:rsidR="00936CF4" w14:paraId="127CA86B" w14:textId="77777777">
      <w:pPr>
        <w:pStyle w:val="ListParagraph"/>
        <w:numPr>
          <w:ilvl w:val="1"/>
          <w:numId w:val="1"/>
        </w:numPr>
        <w:tabs>
          <w:tab w:val="left" w:pos="432"/>
        </w:tabs>
        <w:spacing w:before="75"/>
        <w:rPr>
          <w:sz w:val="24"/>
          <w:u w:val="none"/>
        </w:rPr>
      </w:pPr>
      <w:r>
        <w:rPr>
          <w:sz w:val="24"/>
        </w:rPr>
        <w:t>Sensitive</w:t>
      </w:r>
      <w:r>
        <w:rPr>
          <w:spacing w:val="-3"/>
          <w:sz w:val="24"/>
        </w:rPr>
        <w:t xml:space="preserve"> </w:t>
      </w:r>
      <w:r>
        <w:rPr>
          <w:spacing w:val="-2"/>
          <w:sz w:val="24"/>
        </w:rPr>
        <w:t>Questions</w:t>
      </w:r>
    </w:p>
    <w:p w:rsidR="00936CF4" w14:paraId="5355B98E" w14:textId="77777777">
      <w:pPr>
        <w:pStyle w:val="BodyText"/>
        <w:ind w:left="0"/>
      </w:pPr>
    </w:p>
    <w:p w:rsidR="00936CF4" w14:paraId="1ABC6EA1" w14:textId="77777777">
      <w:pPr>
        <w:pStyle w:val="BodyText"/>
      </w:pPr>
      <w:r>
        <w:t>These</w:t>
      </w:r>
      <w:r>
        <w:rPr>
          <w:spacing w:val="-2"/>
        </w:rPr>
        <w:t xml:space="preserve"> </w:t>
      </w:r>
      <w:r>
        <w:t>information collections</w:t>
      </w:r>
      <w:r>
        <w:rPr>
          <w:spacing w:val="-1"/>
        </w:rPr>
        <w:t xml:space="preserve"> </w:t>
      </w:r>
      <w:r>
        <w:t>do</w:t>
      </w:r>
      <w:r>
        <w:rPr>
          <w:spacing w:val="2"/>
        </w:rPr>
        <w:t xml:space="preserve"> </w:t>
      </w:r>
      <w:r>
        <w:t>not</w:t>
      </w:r>
      <w:r>
        <w:rPr>
          <w:spacing w:val="-1"/>
        </w:rPr>
        <w:t xml:space="preserve"> </w:t>
      </w:r>
      <w:r>
        <w:t>involve</w:t>
      </w:r>
      <w:r>
        <w:rPr>
          <w:spacing w:val="-1"/>
        </w:rPr>
        <w:t xml:space="preserve"> </w:t>
      </w:r>
      <w:r>
        <w:t>any</w:t>
      </w:r>
      <w:r>
        <w:rPr>
          <w:spacing w:val="-1"/>
        </w:rPr>
        <w:t xml:space="preserve"> </w:t>
      </w:r>
      <w:r>
        <w:t xml:space="preserve">sensitive </w:t>
      </w:r>
      <w:r>
        <w:rPr>
          <w:spacing w:val="-2"/>
        </w:rPr>
        <w:t>questions.</w:t>
      </w:r>
    </w:p>
    <w:p w:rsidR="00936CF4" w14:paraId="49ECDB7F" w14:textId="77777777">
      <w:pPr>
        <w:pStyle w:val="BodyText"/>
        <w:ind w:left="0"/>
      </w:pPr>
    </w:p>
    <w:p w:rsidR="00936CF4" w14:paraId="1EAD7C24" w14:textId="77777777">
      <w:pPr>
        <w:pStyle w:val="ListParagraph"/>
        <w:numPr>
          <w:ilvl w:val="1"/>
          <w:numId w:val="1"/>
        </w:numPr>
        <w:tabs>
          <w:tab w:val="left" w:pos="432"/>
        </w:tabs>
        <w:rPr>
          <w:sz w:val="24"/>
          <w:u w:val="none"/>
        </w:rPr>
      </w:pPr>
      <w:r>
        <w:rPr>
          <w:sz w:val="24"/>
        </w:rPr>
        <w:t>Burden</w:t>
      </w:r>
      <w:r>
        <w:rPr>
          <w:spacing w:val="-1"/>
          <w:sz w:val="24"/>
        </w:rPr>
        <w:t xml:space="preserve"> </w:t>
      </w:r>
      <w:r>
        <w:rPr>
          <w:sz w:val="24"/>
        </w:rPr>
        <w:t>Estimates</w:t>
      </w:r>
      <w:r>
        <w:rPr>
          <w:spacing w:val="-1"/>
          <w:sz w:val="24"/>
        </w:rPr>
        <w:t xml:space="preserve"> </w:t>
      </w:r>
      <w:r>
        <w:rPr>
          <w:sz w:val="24"/>
        </w:rPr>
        <w:t>(Hours &amp;</w:t>
      </w:r>
      <w:r>
        <w:rPr>
          <w:spacing w:val="-1"/>
          <w:sz w:val="24"/>
        </w:rPr>
        <w:t xml:space="preserve"> </w:t>
      </w:r>
      <w:r>
        <w:rPr>
          <w:spacing w:val="-2"/>
          <w:sz w:val="24"/>
        </w:rPr>
        <w:t>Wages)</w:t>
      </w:r>
    </w:p>
    <w:p w:rsidR="00936CF4" w14:paraId="0080453A" w14:textId="77777777">
      <w:pPr>
        <w:pStyle w:val="BodyText"/>
        <w:ind w:left="0"/>
      </w:pPr>
    </w:p>
    <w:p w:rsidR="00936CF4" w14:paraId="53EC74DF" w14:textId="77777777">
      <w:pPr>
        <w:pStyle w:val="BodyText"/>
        <w:ind w:right="237"/>
      </w:pPr>
      <w:r>
        <w:t>The burden and equivalent cost estimates have been updated based on recent data. We used data</w:t>
      </w:r>
      <w:r>
        <w:rPr>
          <w:spacing w:val="-3"/>
        </w:rPr>
        <w:t xml:space="preserve"> </w:t>
      </w:r>
      <w:r>
        <w:t>from</w:t>
      </w:r>
      <w:r>
        <w:rPr>
          <w:spacing w:val="-3"/>
        </w:rPr>
        <w:t xml:space="preserve"> </w:t>
      </w:r>
      <w:r>
        <w:t>the</w:t>
      </w:r>
      <w:r>
        <w:rPr>
          <w:spacing w:val="-3"/>
        </w:rPr>
        <w:t xml:space="preserve"> </w:t>
      </w:r>
      <w:r>
        <w:t>Bureau</w:t>
      </w:r>
      <w:r>
        <w:rPr>
          <w:spacing w:val="-3"/>
        </w:rPr>
        <w:t xml:space="preserve"> </w:t>
      </w:r>
      <w:r>
        <w:t>of</w:t>
      </w:r>
      <w:r>
        <w:rPr>
          <w:spacing w:val="-2"/>
        </w:rPr>
        <w:t xml:space="preserve"> </w:t>
      </w:r>
      <w:r>
        <w:t>Labor</w:t>
      </w:r>
      <w:r>
        <w:rPr>
          <w:spacing w:val="-3"/>
        </w:rPr>
        <w:t xml:space="preserve"> </w:t>
      </w:r>
      <w:r>
        <w:t>Statistics</w:t>
      </w:r>
      <w:r>
        <w:rPr>
          <w:spacing w:val="-1"/>
        </w:rPr>
        <w:t xml:space="preserve"> </w:t>
      </w:r>
      <w:r>
        <w:t>(BLS)</w:t>
      </w:r>
      <w:r>
        <w:rPr>
          <w:spacing w:val="-4"/>
        </w:rPr>
        <w:t xml:space="preserve"> </w:t>
      </w:r>
      <w:r>
        <w:t>to</w:t>
      </w:r>
      <w:r>
        <w:rPr>
          <w:spacing w:val="-3"/>
        </w:rPr>
        <w:t xml:space="preserve"> </w:t>
      </w:r>
      <w:r>
        <w:t>calculate</w:t>
      </w:r>
      <w:r>
        <w:rPr>
          <w:spacing w:val="-4"/>
        </w:rPr>
        <w:t xml:space="preserve"> </w:t>
      </w:r>
      <w:r>
        <w:t>the</w:t>
      </w:r>
      <w:r>
        <w:rPr>
          <w:spacing w:val="-4"/>
        </w:rPr>
        <w:t xml:space="preserve"> </w:t>
      </w:r>
      <w:r>
        <w:t>median</w:t>
      </w:r>
      <w:r>
        <w:rPr>
          <w:spacing w:val="-4"/>
        </w:rPr>
        <w:t xml:space="preserve"> </w:t>
      </w:r>
      <w:r>
        <w:t>labor</w:t>
      </w:r>
      <w:r>
        <w:rPr>
          <w:spacing w:val="-3"/>
        </w:rPr>
        <w:t xml:space="preserve"> </w:t>
      </w:r>
      <w:r>
        <w:t>costs</w:t>
      </w:r>
      <w:r>
        <w:rPr>
          <w:spacing w:val="-3"/>
        </w:rPr>
        <w:t xml:space="preserve"> </w:t>
      </w:r>
      <w:r>
        <w:t>(doubled</w:t>
      </w:r>
      <w:r>
        <w:rPr>
          <w:spacing w:val="-3"/>
        </w:rPr>
        <w:t xml:space="preserve"> </w:t>
      </w:r>
      <w:r>
        <w:t>to include the cost of fringe benefits and other indirect costs) for estimating the burden and equivalent cost associated with this ICR</w:t>
      </w:r>
      <w:hyperlink w:anchor="_bookmark0" w:history="1">
        <w:r>
          <w:t>.</w:t>
        </w:r>
        <w:r>
          <w:rPr>
            <w:vertAlign w:val="superscript"/>
          </w:rPr>
          <w:t>1</w:t>
        </w:r>
      </w:hyperlink>
    </w:p>
    <w:p w:rsidR="00936CF4" w14:paraId="314C6EB3" w14:textId="77777777">
      <w:pPr>
        <w:pStyle w:val="BodyText"/>
        <w:ind w:left="0"/>
      </w:pPr>
    </w:p>
    <w:p w:rsidR="00936CF4" w14:paraId="5C3F863E" w14:textId="77777777">
      <w:pPr>
        <w:pStyle w:val="BodyText"/>
      </w:pPr>
      <w:r>
        <w:rPr>
          <w:u w:val="single"/>
        </w:rPr>
        <w:t>Adjusted</w:t>
      </w:r>
      <w:r>
        <w:rPr>
          <w:spacing w:val="-2"/>
          <w:u w:val="single"/>
        </w:rPr>
        <w:t xml:space="preserve"> </w:t>
      </w:r>
      <w:r>
        <w:rPr>
          <w:u w:val="single"/>
        </w:rPr>
        <w:t>Hourly</w:t>
      </w:r>
      <w:r>
        <w:rPr>
          <w:spacing w:val="-1"/>
          <w:u w:val="single"/>
        </w:rPr>
        <w:t xml:space="preserve"> </w:t>
      </w:r>
      <w:r>
        <w:rPr>
          <w:u w:val="single"/>
        </w:rPr>
        <w:t>Wages Used</w:t>
      </w:r>
      <w:r>
        <w:rPr>
          <w:spacing w:val="-1"/>
          <w:u w:val="single"/>
        </w:rPr>
        <w:t xml:space="preserve"> </w:t>
      </w:r>
      <w:r>
        <w:rPr>
          <w:u w:val="single"/>
        </w:rPr>
        <w:t>in</w:t>
      </w:r>
      <w:r>
        <w:rPr>
          <w:spacing w:val="-1"/>
          <w:u w:val="single"/>
        </w:rPr>
        <w:t xml:space="preserve"> </w:t>
      </w:r>
      <w:r>
        <w:rPr>
          <w:u w:val="single"/>
        </w:rPr>
        <w:t>Burden</w:t>
      </w:r>
      <w:r>
        <w:rPr>
          <w:spacing w:val="-1"/>
          <w:u w:val="single"/>
        </w:rPr>
        <w:t xml:space="preserve"> </w:t>
      </w:r>
      <w:r>
        <w:rPr>
          <w:spacing w:val="-2"/>
          <w:u w:val="single"/>
        </w:rPr>
        <w:t>Estimates</w:t>
      </w:r>
    </w:p>
    <w:p w:rsidR="00936CF4" w14:paraId="0C0DE1BA" w14:textId="77777777">
      <w:pPr>
        <w:pStyle w:val="BodyText"/>
        <w:spacing w:before="48"/>
        <w:ind w:left="0"/>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3"/>
        <w:gridCol w:w="1719"/>
        <w:gridCol w:w="1303"/>
        <w:gridCol w:w="1383"/>
        <w:gridCol w:w="1308"/>
      </w:tblGrid>
      <w:tr w14:paraId="0187018D" w14:textId="77777777">
        <w:tblPrEx>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55"/>
        </w:trPr>
        <w:tc>
          <w:tcPr>
            <w:tcW w:w="3783" w:type="dxa"/>
          </w:tcPr>
          <w:p w:rsidR="00936CF4" w14:paraId="0B9950F3" w14:textId="77777777">
            <w:pPr>
              <w:pStyle w:val="TableParagraph"/>
              <w:spacing w:before="0"/>
              <w:rPr>
                <w:sz w:val="24"/>
              </w:rPr>
            </w:pPr>
          </w:p>
          <w:p w:rsidR="00936CF4" w14:paraId="13C32C7B" w14:textId="77777777">
            <w:pPr>
              <w:pStyle w:val="TableParagraph"/>
              <w:spacing w:before="135"/>
              <w:rPr>
                <w:sz w:val="24"/>
              </w:rPr>
            </w:pPr>
          </w:p>
          <w:p w:rsidR="00936CF4" w14:paraId="418E38FC" w14:textId="77777777">
            <w:pPr>
              <w:pStyle w:val="TableParagraph"/>
              <w:spacing w:before="0"/>
              <w:ind w:left="830"/>
              <w:rPr>
                <w:sz w:val="24"/>
              </w:rPr>
            </w:pPr>
            <w:r>
              <w:rPr>
                <w:sz w:val="24"/>
              </w:rPr>
              <w:t>BLS</w:t>
            </w:r>
            <w:r>
              <w:rPr>
                <w:spacing w:val="-2"/>
                <w:sz w:val="24"/>
              </w:rPr>
              <w:t xml:space="preserve"> </w:t>
            </w:r>
            <w:r>
              <w:rPr>
                <w:sz w:val="24"/>
              </w:rPr>
              <w:t>Occupation</w:t>
            </w:r>
            <w:r>
              <w:rPr>
                <w:spacing w:val="-2"/>
                <w:sz w:val="24"/>
              </w:rPr>
              <w:t xml:space="preserve"> Title</w:t>
            </w:r>
          </w:p>
        </w:tc>
        <w:tc>
          <w:tcPr>
            <w:tcW w:w="1719" w:type="dxa"/>
          </w:tcPr>
          <w:p w:rsidR="00936CF4" w14:paraId="082CEE45" w14:textId="77777777">
            <w:pPr>
              <w:pStyle w:val="TableParagraph"/>
              <w:rPr>
                <w:sz w:val="24"/>
              </w:rPr>
            </w:pPr>
          </w:p>
          <w:p w:rsidR="00936CF4" w14:paraId="3EBD94EC" w14:textId="77777777">
            <w:pPr>
              <w:pStyle w:val="TableParagraph"/>
              <w:spacing w:before="1"/>
              <w:ind w:left="604" w:hanging="387"/>
              <w:rPr>
                <w:sz w:val="24"/>
              </w:rPr>
            </w:pPr>
            <w:r>
              <w:rPr>
                <w:spacing w:val="-2"/>
                <w:sz w:val="24"/>
              </w:rPr>
              <w:t xml:space="preserve">Occupational </w:t>
            </w:r>
            <w:r>
              <w:rPr>
                <w:spacing w:val="-4"/>
                <w:sz w:val="24"/>
              </w:rPr>
              <w:t>Code</w:t>
            </w:r>
          </w:p>
        </w:tc>
        <w:tc>
          <w:tcPr>
            <w:tcW w:w="1303" w:type="dxa"/>
          </w:tcPr>
          <w:p w:rsidR="00936CF4" w14:paraId="0A0702FF" w14:textId="77777777">
            <w:pPr>
              <w:pStyle w:val="TableParagraph"/>
              <w:spacing w:before="275"/>
              <w:ind w:left="256" w:right="249" w:firstLine="4"/>
              <w:jc w:val="center"/>
              <w:rPr>
                <w:sz w:val="24"/>
              </w:rPr>
            </w:pPr>
            <w:r>
              <w:rPr>
                <w:spacing w:val="-2"/>
                <w:sz w:val="24"/>
              </w:rPr>
              <w:t xml:space="preserve">Median Hourly </w:t>
            </w:r>
            <w:r>
              <w:rPr>
                <w:spacing w:val="-4"/>
                <w:sz w:val="24"/>
              </w:rPr>
              <w:t xml:space="preserve">Wage </w:t>
            </w:r>
            <w:r>
              <w:rPr>
                <w:spacing w:val="-2"/>
                <w:sz w:val="24"/>
              </w:rPr>
              <w:t>($/hour)</w:t>
            </w:r>
          </w:p>
        </w:tc>
        <w:tc>
          <w:tcPr>
            <w:tcW w:w="1383" w:type="dxa"/>
          </w:tcPr>
          <w:p w:rsidR="00936CF4" w14:paraId="4A0A9B45" w14:textId="77777777">
            <w:pPr>
              <w:pStyle w:val="TableParagraph"/>
              <w:spacing w:before="0" w:line="276" w:lineRule="exact"/>
              <w:ind w:left="14" w:right="6" w:firstLine="3"/>
              <w:jc w:val="center"/>
              <w:rPr>
                <w:sz w:val="24"/>
              </w:rPr>
            </w:pPr>
            <w:r>
              <w:rPr>
                <w:sz w:val="24"/>
              </w:rPr>
              <w:t>Cost of</w:t>
            </w:r>
            <w:r>
              <w:rPr>
                <w:spacing w:val="40"/>
                <w:sz w:val="24"/>
              </w:rPr>
              <w:t xml:space="preserve"> </w:t>
            </w:r>
            <w:r>
              <w:rPr>
                <w:spacing w:val="-2"/>
                <w:sz w:val="24"/>
              </w:rPr>
              <w:t xml:space="preserve">Fringe </w:t>
            </w:r>
            <w:r>
              <w:rPr>
                <w:sz w:val="24"/>
              </w:rPr>
              <w:t>Benefits and Other</w:t>
            </w:r>
            <w:r>
              <w:rPr>
                <w:spacing w:val="-15"/>
                <w:sz w:val="24"/>
              </w:rPr>
              <w:t xml:space="preserve"> </w:t>
            </w:r>
            <w:r>
              <w:rPr>
                <w:sz w:val="24"/>
              </w:rPr>
              <w:t xml:space="preserve">Indirect </w:t>
            </w:r>
            <w:r>
              <w:rPr>
                <w:spacing w:val="-2"/>
                <w:sz w:val="24"/>
              </w:rPr>
              <w:t>Costs</w:t>
            </w:r>
            <w:r>
              <w:rPr>
                <w:spacing w:val="40"/>
                <w:sz w:val="24"/>
              </w:rPr>
              <w:t xml:space="preserve"> </w:t>
            </w:r>
            <w:r>
              <w:rPr>
                <w:spacing w:val="-2"/>
                <w:sz w:val="24"/>
              </w:rPr>
              <w:t>($/hour)</w:t>
            </w:r>
          </w:p>
        </w:tc>
        <w:tc>
          <w:tcPr>
            <w:tcW w:w="1308" w:type="dxa"/>
          </w:tcPr>
          <w:p w:rsidR="00936CF4" w14:paraId="13F38D78" w14:textId="77777777">
            <w:pPr>
              <w:pStyle w:val="TableParagraph"/>
              <w:spacing w:before="275"/>
              <w:ind w:left="66" w:right="59"/>
              <w:jc w:val="center"/>
              <w:rPr>
                <w:sz w:val="24"/>
              </w:rPr>
            </w:pPr>
            <w:r>
              <w:rPr>
                <w:spacing w:val="-2"/>
                <w:sz w:val="24"/>
              </w:rPr>
              <w:t xml:space="preserve">Adjusted Hourly </w:t>
            </w:r>
            <w:r>
              <w:rPr>
                <w:spacing w:val="-4"/>
                <w:sz w:val="24"/>
              </w:rPr>
              <w:t xml:space="preserve">Wage </w:t>
            </w:r>
            <w:r>
              <w:rPr>
                <w:spacing w:val="-2"/>
                <w:sz w:val="24"/>
              </w:rPr>
              <w:t>($/hour)</w:t>
            </w:r>
          </w:p>
        </w:tc>
      </w:tr>
      <w:tr w14:paraId="09BB0D95" w14:textId="77777777">
        <w:tblPrEx>
          <w:tblW w:w="0" w:type="auto"/>
          <w:tblInd w:w="10" w:type="dxa"/>
          <w:tblLayout w:type="fixed"/>
          <w:tblCellMar>
            <w:left w:w="0" w:type="dxa"/>
            <w:right w:w="0" w:type="dxa"/>
          </w:tblCellMar>
          <w:tblLook w:val="01E0"/>
        </w:tblPrEx>
        <w:trPr>
          <w:trHeight w:val="827"/>
        </w:trPr>
        <w:tc>
          <w:tcPr>
            <w:tcW w:w="3783" w:type="dxa"/>
          </w:tcPr>
          <w:p w:rsidR="00936CF4" w14:paraId="3353203E" w14:textId="77777777">
            <w:pPr>
              <w:pStyle w:val="TableParagraph"/>
              <w:spacing w:before="0" w:line="276" w:lineRule="exact"/>
              <w:ind w:left="4"/>
              <w:rPr>
                <w:sz w:val="24"/>
              </w:rPr>
            </w:pPr>
            <w:r>
              <w:rPr>
                <w:sz w:val="24"/>
              </w:rPr>
              <w:t>Secretaries and Administrative Assistants,</w:t>
            </w:r>
            <w:r>
              <w:rPr>
                <w:spacing w:val="-11"/>
                <w:sz w:val="24"/>
              </w:rPr>
              <w:t xml:space="preserve"> </w:t>
            </w:r>
            <w:r>
              <w:rPr>
                <w:sz w:val="24"/>
              </w:rPr>
              <w:t>Except</w:t>
            </w:r>
            <w:r>
              <w:rPr>
                <w:spacing w:val="-11"/>
                <w:sz w:val="24"/>
              </w:rPr>
              <w:t xml:space="preserve"> </w:t>
            </w:r>
            <w:r>
              <w:rPr>
                <w:sz w:val="24"/>
              </w:rPr>
              <w:t>Legal,</w:t>
            </w:r>
            <w:r>
              <w:rPr>
                <w:spacing w:val="-8"/>
                <w:sz w:val="24"/>
              </w:rPr>
              <w:t xml:space="preserve"> </w:t>
            </w:r>
            <w:r>
              <w:rPr>
                <w:sz w:val="24"/>
              </w:rPr>
              <w:t>Medical,</w:t>
            </w:r>
            <w:r>
              <w:rPr>
                <w:spacing w:val="-11"/>
                <w:sz w:val="24"/>
              </w:rPr>
              <w:t xml:space="preserve"> </w:t>
            </w:r>
            <w:r>
              <w:rPr>
                <w:sz w:val="24"/>
              </w:rPr>
              <w:t xml:space="preserve">and </w:t>
            </w:r>
            <w:r>
              <w:rPr>
                <w:spacing w:val="-2"/>
                <w:sz w:val="24"/>
              </w:rPr>
              <w:t>Executive</w:t>
            </w:r>
          </w:p>
        </w:tc>
        <w:tc>
          <w:tcPr>
            <w:tcW w:w="1719" w:type="dxa"/>
          </w:tcPr>
          <w:p w:rsidR="00936CF4" w14:paraId="1708AFD6" w14:textId="77777777">
            <w:pPr>
              <w:pStyle w:val="TableParagraph"/>
              <w:ind w:left="453"/>
              <w:rPr>
                <w:sz w:val="24"/>
              </w:rPr>
            </w:pPr>
            <w:r>
              <w:rPr>
                <w:spacing w:val="-2"/>
                <w:sz w:val="24"/>
              </w:rPr>
              <w:t>43-</w:t>
            </w:r>
            <w:r>
              <w:rPr>
                <w:spacing w:val="-4"/>
                <w:sz w:val="24"/>
              </w:rPr>
              <w:t>6014</w:t>
            </w:r>
          </w:p>
        </w:tc>
        <w:tc>
          <w:tcPr>
            <w:tcW w:w="1303" w:type="dxa"/>
          </w:tcPr>
          <w:p w:rsidR="00936CF4" w14:paraId="434E6465" w14:textId="77777777">
            <w:pPr>
              <w:pStyle w:val="TableParagraph"/>
              <w:ind w:left="316"/>
              <w:rPr>
                <w:sz w:val="24"/>
              </w:rPr>
            </w:pPr>
            <w:r>
              <w:rPr>
                <w:spacing w:val="-2"/>
                <w:sz w:val="24"/>
              </w:rPr>
              <w:t>$21.29</w:t>
            </w:r>
          </w:p>
        </w:tc>
        <w:tc>
          <w:tcPr>
            <w:tcW w:w="1383" w:type="dxa"/>
          </w:tcPr>
          <w:p w:rsidR="00936CF4" w14:paraId="316E4900" w14:textId="77777777">
            <w:pPr>
              <w:pStyle w:val="TableParagraph"/>
              <w:ind w:left="354"/>
              <w:rPr>
                <w:sz w:val="24"/>
              </w:rPr>
            </w:pPr>
            <w:r>
              <w:rPr>
                <w:spacing w:val="-2"/>
                <w:sz w:val="24"/>
              </w:rPr>
              <w:t>$21.29</w:t>
            </w:r>
          </w:p>
        </w:tc>
        <w:tc>
          <w:tcPr>
            <w:tcW w:w="1308" w:type="dxa"/>
          </w:tcPr>
          <w:p w:rsidR="00936CF4" w14:paraId="6EF3601C" w14:textId="77777777">
            <w:pPr>
              <w:pStyle w:val="TableParagraph"/>
              <w:ind w:left="316"/>
              <w:rPr>
                <w:sz w:val="24"/>
              </w:rPr>
            </w:pPr>
            <w:r>
              <w:rPr>
                <w:spacing w:val="-2"/>
                <w:sz w:val="24"/>
              </w:rPr>
              <w:t>$42.58</w:t>
            </w:r>
          </w:p>
        </w:tc>
      </w:tr>
    </w:tbl>
    <w:p w:rsidR="00936CF4" w14:paraId="6804C6E6" w14:textId="77777777">
      <w:pPr>
        <w:pStyle w:val="BodyText"/>
        <w:spacing w:before="276"/>
      </w:pPr>
      <w:r>
        <w:rPr>
          <w:u w:val="single"/>
        </w:rPr>
        <w:t>Grandfathered</w:t>
      </w:r>
      <w:r>
        <w:rPr>
          <w:spacing w:val="-3"/>
          <w:u w:val="single"/>
        </w:rPr>
        <w:t xml:space="preserve"> </w:t>
      </w:r>
      <w:r>
        <w:rPr>
          <w:u w:val="single"/>
        </w:rPr>
        <w:t>Health</w:t>
      </w:r>
      <w:r>
        <w:rPr>
          <w:spacing w:val="-3"/>
          <w:u w:val="single"/>
        </w:rPr>
        <w:t xml:space="preserve"> </w:t>
      </w:r>
      <w:r>
        <w:rPr>
          <w:u w:val="single"/>
        </w:rPr>
        <w:t>Plan</w:t>
      </w:r>
      <w:r>
        <w:rPr>
          <w:spacing w:val="-2"/>
          <w:u w:val="single"/>
        </w:rPr>
        <w:t xml:space="preserve"> Disclosure</w:t>
      </w:r>
    </w:p>
    <w:p w:rsidR="00936CF4" w14:paraId="1A4F411F" w14:textId="77777777">
      <w:pPr>
        <w:pStyle w:val="BodyText"/>
        <w:ind w:left="0"/>
      </w:pPr>
    </w:p>
    <w:p w:rsidR="00936CF4" w14:paraId="6D81F463" w14:textId="77777777">
      <w:pPr>
        <w:pStyle w:val="BodyText"/>
        <w:ind w:right="263"/>
      </w:pPr>
      <w:r>
        <w:t>The 2015 final regulations provide model language for the grandfathered health plan disclosure</w:t>
      </w:r>
      <w:r>
        <w:rPr>
          <w:spacing w:val="-5"/>
        </w:rPr>
        <w:t xml:space="preserve"> </w:t>
      </w:r>
      <w:r>
        <w:t>that</w:t>
      </w:r>
      <w:r>
        <w:rPr>
          <w:spacing w:val="-3"/>
        </w:rPr>
        <w:t xml:space="preserve"> </w:t>
      </w:r>
      <w:r>
        <w:t>can</w:t>
      </w:r>
      <w:r>
        <w:rPr>
          <w:spacing w:val="-3"/>
        </w:rPr>
        <w:t xml:space="preserve"> </w:t>
      </w:r>
      <w:r>
        <w:t>be</w:t>
      </w:r>
      <w:r>
        <w:rPr>
          <w:spacing w:val="-4"/>
        </w:rPr>
        <w:t xml:space="preserve"> </w:t>
      </w:r>
      <w:r>
        <w:t>incorporated</w:t>
      </w:r>
      <w:r>
        <w:rPr>
          <w:spacing w:val="-3"/>
        </w:rPr>
        <w:t xml:space="preserve"> </w:t>
      </w:r>
      <w:r>
        <w:t>into</w:t>
      </w:r>
      <w:r>
        <w:rPr>
          <w:spacing w:val="-3"/>
        </w:rPr>
        <w:t xml:space="preserve"> </w:t>
      </w:r>
      <w:r>
        <w:t>existing</w:t>
      </w:r>
      <w:r>
        <w:rPr>
          <w:spacing w:val="-3"/>
        </w:rPr>
        <w:t xml:space="preserve"> </w:t>
      </w:r>
      <w:r>
        <w:t>plan</w:t>
      </w:r>
      <w:r>
        <w:rPr>
          <w:spacing w:val="-3"/>
        </w:rPr>
        <w:t xml:space="preserve"> </w:t>
      </w:r>
      <w:r>
        <w:t>documents.</w:t>
      </w:r>
      <w:r>
        <w:rPr>
          <w:spacing w:val="-3"/>
        </w:rPr>
        <w:t xml:space="preserve"> </w:t>
      </w:r>
      <w:r>
        <w:t>After</w:t>
      </w:r>
      <w:r>
        <w:rPr>
          <w:spacing w:val="-3"/>
        </w:rPr>
        <w:t xml:space="preserve"> </w:t>
      </w:r>
      <w:r>
        <w:t>plans</w:t>
      </w:r>
      <w:r>
        <w:rPr>
          <w:spacing w:val="-3"/>
        </w:rPr>
        <w:t xml:space="preserve"> </w:t>
      </w:r>
      <w:r>
        <w:t>first</w:t>
      </w:r>
      <w:r>
        <w:rPr>
          <w:spacing w:val="-3"/>
        </w:rPr>
        <w:t xml:space="preserve"> </w:t>
      </w:r>
      <w:r>
        <w:t>satisfied</w:t>
      </w:r>
      <w:r>
        <w:rPr>
          <w:spacing w:val="-2"/>
        </w:rPr>
        <w:t xml:space="preserve"> </w:t>
      </w:r>
      <w:r>
        <w:t>the disclosure requirement in 2011, any additional burden is expected to be negligible if a plan wants to maintain its grandfathered status in future years. It is also expected that the cost of removing the notice from plan documents as plans relinquish their grandfathered status will be negligible, and therefore it is not estimated.</w:t>
      </w:r>
    </w:p>
    <w:p w:rsidR="00936CF4" w14:paraId="2D8967A9" w14:textId="77777777">
      <w:pPr>
        <w:pStyle w:val="BodyText"/>
        <w:ind w:left="0"/>
      </w:pPr>
    </w:p>
    <w:p w:rsidR="00936CF4" w14:paraId="0B5A953D" w14:textId="77777777">
      <w:pPr>
        <w:pStyle w:val="BodyText"/>
        <w:ind w:right="250"/>
      </w:pPr>
      <w:r>
        <w:t>Issuers</w:t>
      </w:r>
      <w:r>
        <w:rPr>
          <w:spacing w:val="-5"/>
        </w:rPr>
        <w:t xml:space="preserve"> </w:t>
      </w:r>
      <w:r>
        <w:t>of</w:t>
      </w:r>
      <w:r>
        <w:rPr>
          <w:spacing w:val="-4"/>
        </w:rPr>
        <w:t xml:space="preserve"> </w:t>
      </w:r>
      <w:r>
        <w:t>grandfathered</w:t>
      </w:r>
      <w:r>
        <w:rPr>
          <w:spacing w:val="-2"/>
        </w:rPr>
        <w:t xml:space="preserve"> </w:t>
      </w:r>
      <w:r>
        <w:t>group</w:t>
      </w:r>
      <w:r>
        <w:rPr>
          <w:spacing w:val="-5"/>
        </w:rPr>
        <w:t xml:space="preserve"> </w:t>
      </w:r>
      <w:r>
        <w:t>health</w:t>
      </w:r>
      <w:r>
        <w:rPr>
          <w:spacing w:val="-4"/>
        </w:rPr>
        <w:t xml:space="preserve"> </w:t>
      </w:r>
      <w:r>
        <w:t>plans</w:t>
      </w:r>
      <w:r>
        <w:rPr>
          <w:spacing w:val="-4"/>
        </w:rPr>
        <w:t xml:space="preserve"> </w:t>
      </w:r>
      <w:r>
        <w:t>and</w:t>
      </w:r>
      <w:r>
        <w:rPr>
          <w:spacing w:val="-4"/>
        </w:rPr>
        <w:t xml:space="preserve"> </w:t>
      </w:r>
      <w:r>
        <w:t>grandfathered</w:t>
      </w:r>
      <w:r>
        <w:rPr>
          <w:spacing w:val="-4"/>
        </w:rPr>
        <w:t xml:space="preserve"> </w:t>
      </w:r>
      <w:r>
        <w:t>multi-employer</w:t>
      </w:r>
      <w:r>
        <w:rPr>
          <w:spacing w:val="-4"/>
        </w:rPr>
        <w:t xml:space="preserve"> </w:t>
      </w:r>
      <w:r>
        <w:t>plans</w:t>
      </w:r>
      <w:r>
        <w:rPr>
          <w:spacing w:val="-3"/>
        </w:rPr>
        <w:t xml:space="preserve"> </w:t>
      </w:r>
      <w:r>
        <w:t>must</w:t>
      </w:r>
      <w:r>
        <w:rPr>
          <w:spacing w:val="-4"/>
        </w:rPr>
        <w:t xml:space="preserve"> </w:t>
      </w:r>
      <w:r>
        <w:t>also add a prominent disclosure in their policies, certificates, contracts of insurance, or plan documents that employers, employee organizations, or plan sponsors, as applicable, are required to notify the issuer if the contribution rate changes at any point during the plan year. This requirement only affects issuers of fully insured group health plans and multi-employer plans. After this requirement is first satisfied, any additional burden in future years is</w:t>
      </w:r>
      <w:r>
        <w:rPr>
          <w:spacing w:val="40"/>
        </w:rPr>
        <w:t xml:space="preserve"> </w:t>
      </w:r>
      <w:r>
        <w:t>expected to be negligible and is therefore not estimated.</w:t>
      </w:r>
    </w:p>
    <w:p w:rsidR="00936CF4" w14:paraId="2D1C0CA5" w14:textId="77777777">
      <w:pPr>
        <w:pStyle w:val="BodyText"/>
        <w:spacing w:before="1"/>
        <w:ind w:left="0"/>
      </w:pPr>
    </w:p>
    <w:p w:rsidR="00936CF4" w14:paraId="281DD45C" w14:textId="77777777">
      <w:pPr>
        <w:pStyle w:val="BodyText"/>
      </w:pPr>
      <w:r>
        <w:rPr>
          <w:u w:val="single"/>
        </w:rPr>
        <w:t>Recordkeeping</w:t>
      </w:r>
      <w:r>
        <w:rPr>
          <w:spacing w:val="-3"/>
          <w:u w:val="single"/>
        </w:rPr>
        <w:t xml:space="preserve"> </w:t>
      </w:r>
      <w:r>
        <w:rPr>
          <w:spacing w:val="-2"/>
          <w:u w:val="single"/>
        </w:rPr>
        <w:t>Requirement</w:t>
      </w:r>
    </w:p>
    <w:p w:rsidR="00936CF4" w14:paraId="1B688CAA" w14:textId="77777777">
      <w:pPr>
        <w:pStyle w:val="BodyText"/>
        <w:spacing w:before="4"/>
        <w:ind w:left="0"/>
        <w:rPr>
          <w:sz w:val="17"/>
        </w:rPr>
      </w:pPr>
      <w:r>
        <w:rPr>
          <w:noProof/>
          <w:sz w:val="17"/>
        </w:rPr>
        <mc:AlternateContent>
          <mc:Choice Requires="wps">
            <w:drawing>
              <wp:anchor distT="0" distB="0" distL="0" distR="0" simplePos="0" relativeHeight="251658240" behindDoc="1" locked="0" layoutInCell="1" allowOverlap="1">
                <wp:simplePos x="0" y="0"/>
                <wp:positionH relativeFrom="page">
                  <wp:posOffset>914704</wp:posOffset>
                </wp:positionH>
                <wp:positionV relativeFrom="paragraph">
                  <wp:posOffset>142508</wp:posOffset>
                </wp:positionV>
                <wp:extent cx="1829435" cy="635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6350"/>
                        </a:xfrm>
                        <a:custGeom>
                          <a:avLst/>
                          <a:gdLst/>
                          <a:rect l="l" t="t" r="r" b="b"/>
                          <a:pathLst>
                            <a:path fill="norm" h="6350" w="1829435" stroke="1">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144.05pt;height:0.5pt;margin-top:11.2pt;margin-left:1in;mso-position-horizontal-relative:page;mso-wrap-distance-bottom:0;mso-wrap-distance-left:0;mso-wrap-distance-right:0;mso-wrap-distance-top:0;mso-wrap-style:square;position:absolute;visibility:visible;v-text-anchor:top;z-index:-251657216" coordsize="1829435,6350" path="m1829054,l,,,6095l1829054,6095l1829054,xe" fillcolor="black" stroked="f">
                <v:path arrowok="t"/>
                <w10:wrap type="topAndBottom"/>
              </v:shape>
            </w:pict>
          </mc:Fallback>
        </mc:AlternateContent>
      </w:r>
    </w:p>
    <w:p w:rsidR="00936CF4" w14:paraId="14E914ED" w14:textId="77777777">
      <w:pPr>
        <w:spacing w:before="84"/>
        <w:rPr>
          <w:sz w:val="20"/>
        </w:rPr>
      </w:pPr>
      <w:bookmarkStart w:id="0" w:name="_bookmark0"/>
      <w:bookmarkEnd w:id="0"/>
      <w:r>
        <w:rPr>
          <w:sz w:val="20"/>
          <w:vertAlign w:val="superscript"/>
        </w:rPr>
        <w:t>1</w:t>
      </w:r>
      <w:r>
        <w:rPr>
          <w:spacing w:val="-6"/>
          <w:sz w:val="20"/>
        </w:rPr>
        <w:t xml:space="preserve"> </w:t>
      </w:r>
      <w:r>
        <w:rPr>
          <w:sz w:val="20"/>
        </w:rPr>
        <w:t>May</w:t>
      </w:r>
      <w:r>
        <w:rPr>
          <w:spacing w:val="-4"/>
          <w:sz w:val="20"/>
        </w:rPr>
        <w:t xml:space="preserve"> </w:t>
      </w:r>
      <w:r>
        <w:rPr>
          <w:sz w:val="20"/>
        </w:rPr>
        <w:t>2023</w:t>
      </w:r>
      <w:r>
        <w:rPr>
          <w:spacing w:val="-4"/>
          <w:sz w:val="20"/>
        </w:rPr>
        <w:t xml:space="preserve"> </w:t>
      </w:r>
      <w:r>
        <w:rPr>
          <w:sz w:val="20"/>
        </w:rPr>
        <w:t>Occupational</w:t>
      </w:r>
      <w:r>
        <w:rPr>
          <w:spacing w:val="-6"/>
          <w:sz w:val="20"/>
        </w:rPr>
        <w:t xml:space="preserve"> </w:t>
      </w:r>
      <w:r>
        <w:rPr>
          <w:sz w:val="20"/>
        </w:rPr>
        <w:t>Employment</w:t>
      </w:r>
      <w:r>
        <w:rPr>
          <w:spacing w:val="-2"/>
          <w:sz w:val="20"/>
        </w:rPr>
        <w:t xml:space="preserve"> </w:t>
      </w:r>
      <w:r>
        <w:rPr>
          <w:sz w:val="20"/>
        </w:rPr>
        <w:t>Statistics</w:t>
      </w:r>
      <w:r>
        <w:rPr>
          <w:spacing w:val="-6"/>
          <w:sz w:val="20"/>
        </w:rPr>
        <w:t xml:space="preserve"> </w:t>
      </w:r>
      <w:r>
        <w:rPr>
          <w:sz w:val="20"/>
        </w:rPr>
        <w:t>found</w:t>
      </w:r>
      <w:r>
        <w:rPr>
          <w:spacing w:val="-5"/>
          <w:sz w:val="20"/>
        </w:rPr>
        <w:t xml:space="preserve"> </w:t>
      </w:r>
      <w:r>
        <w:rPr>
          <w:sz w:val="20"/>
        </w:rPr>
        <w:t>at</w:t>
      </w:r>
      <w:r>
        <w:rPr>
          <w:spacing w:val="-3"/>
          <w:sz w:val="20"/>
        </w:rPr>
        <w:t xml:space="preserve"> </w:t>
      </w:r>
      <w:hyperlink r:id="rId5">
        <w:r>
          <w:rPr>
            <w:color w:val="0000FF"/>
            <w:spacing w:val="-2"/>
            <w:sz w:val="20"/>
            <w:u w:val="single" w:color="0000FF"/>
          </w:rPr>
          <w:t>https://www.bls.gov/oes/current/oes_nat.htm</w:t>
        </w:r>
        <w:r>
          <w:rPr>
            <w:spacing w:val="-2"/>
            <w:sz w:val="20"/>
          </w:rPr>
          <w:t>.</w:t>
        </w:r>
      </w:hyperlink>
    </w:p>
    <w:p w:rsidR="00936CF4" w14:paraId="4CD4804B" w14:textId="77777777">
      <w:pPr>
        <w:rPr>
          <w:sz w:val="20"/>
        </w:rPr>
        <w:sectPr>
          <w:pgSz w:w="12240" w:h="15840"/>
          <w:pgMar w:top="1640" w:right="1080" w:bottom="1980" w:left="1440" w:header="0" w:footer="1781" w:gutter="0"/>
          <w:cols w:space="720"/>
        </w:sectPr>
      </w:pPr>
    </w:p>
    <w:p w:rsidR="00936CF4" w14:paraId="0F4A9FEE" w14:textId="77777777">
      <w:pPr>
        <w:pStyle w:val="BodyText"/>
        <w:spacing w:before="75"/>
        <w:ind w:right="300"/>
      </w:pPr>
      <w:r>
        <w:t>It</w:t>
      </w:r>
      <w:r>
        <w:rPr>
          <w:spacing w:val="-3"/>
        </w:rPr>
        <w:t xml:space="preserve"> </w:t>
      </w:r>
      <w:r>
        <w:t>is</w:t>
      </w:r>
      <w:r>
        <w:rPr>
          <w:spacing w:val="-3"/>
        </w:rPr>
        <w:t xml:space="preserve"> </w:t>
      </w:r>
      <w:r>
        <w:t>assumed</w:t>
      </w:r>
      <w:r>
        <w:rPr>
          <w:spacing w:val="-3"/>
        </w:rPr>
        <w:t xml:space="preserve"> </w:t>
      </w:r>
      <w:r>
        <w:t>that</w:t>
      </w:r>
      <w:r>
        <w:rPr>
          <w:spacing w:val="-3"/>
        </w:rPr>
        <w:t xml:space="preserve"> </w:t>
      </w:r>
      <w:r>
        <w:t>most</w:t>
      </w:r>
      <w:r>
        <w:rPr>
          <w:spacing w:val="-3"/>
        </w:rPr>
        <w:t xml:space="preserve"> </w:t>
      </w:r>
      <w:r>
        <w:t>of</w:t>
      </w:r>
      <w:r>
        <w:rPr>
          <w:spacing w:val="-3"/>
        </w:rPr>
        <w:t xml:space="preserve"> </w:t>
      </w:r>
      <w:r>
        <w:t>the</w:t>
      </w:r>
      <w:r>
        <w:rPr>
          <w:spacing w:val="-5"/>
        </w:rPr>
        <w:t xml:space="preserve"> </w:t>
      </w:r>
      <w:r>
        <w:t>documents</w:t>
      </w:r>
      <w:r>
        <w:rPr>
          <w:spacing w:val="-3"/>
        </w:rPr>
        <w:t xml:space="preserve"> </w:t>
      </w:r>
      <w:r>
        <w:t>required</w:t>
      </w:r>
      <w:r>
        <w:rPr>
          <w:spacing w:val="-1"/>
        </w:rPr>
        <w:t xml:space="preserve"> </w:t>
      </w:r>
      <w:r>
        <w:t>to</w:t>
      </w:r>
      <w:r>
        <w:rPr>
          <w:spacing w:val="-3"/>
        </w:rPr>
        <w:t xml:space="preserve"> </w:t>
      </w:r>
      <w:r>
        <w:t>be</w:t>
      </w:r>
      <w:r>
        <w:rPr>
          <w:spacing w:val="-3"/>
        </w:rPr>
        <w:t xml:space="preserve"> </w:t>
      </w:r>
      <w:r>
        <w:t>retained</w:t>
      </w:r>
      <w:r>
        <w:rPr>
          <w:spacing w:val="-3"/>
        </w:rPr>
        <w:t xml:space="preserve"> </w:t>
      </w:r>
      <w:r>
        <w:t>to</w:t>
      </w:r>
      <w:r>
        <w:rPr>
          <w:spacing w:val="-3"/>
        </w:rPr>
        <w:t xml:space="preserve"> </w:t>
      </w:r>
      <w:r>
        <w:t>satisfy</w:t>
      </w:r>
      <w:r>
        <w:rPr>
          <w:spacing w:val="-3"/>
        </w:rPr>
        <w:t xml:space="preserve"> </w:t>
      </w:r>
      <w:r>
        <w:t>the</w:t>
      </w:r>
      <w:r>
        <w:rPr>
          <w:spacing w:val="-4"/>
        </w:rPr>
        <w:t xml:space="preserve"> </w:t>
      </w:r>
      <w:r>
        <w:t>recordkeeping requirement of the 2015 final regulations are already retained by plans for tax purposes, to</w:t>
      </w:r>
    </w:p>
    <w:p w:rsidR="00936CF4" w14:paraId="3CE62967" w14:textId="77777777">
      <w:pPr>
        <w:pStyle w:val="BodyText"/>
        <w:ind w:right="277"/>
      </w:pPr>
      <w:r>
        <w:t>satisfy ERISA’s record retention and statute of limitations requirements, and for other business reasons. It was previously estimated that after the one-time cost related to the recordkeeping</w:t>
      </w:r>
      <w:r>
        <w:rPr>
          <w:spacing w:val="-4"/>
        </w:rPr>
        <w:t xml:space="preserve"> </w:t>
      </w:r>
      <w:r>
        <w:t>requirement</w:t>
      </w:r>
      <w:r>
        <w:rPr>
          <w:spacing w:val="-4"/>
        </w:rPr>
        <w:t xml:space="preserve"> </w:t>
      </w:r>
      <w:r>
        <w:t>was</w:t>
      </w:r>
      <w:r>
        <w:rPr>
          <w:spacing w:val="-4"/>
        </w:rPr>
        <w:t xml:space="preserve"> </w:t>
      </w:r>
      <w:r>
        <w:t>incurred</w:t>
      </w:r>
      <w:r>
        <w:rPr>
          <w:spacing w:val="-4"/>
        </w:rPr>
        <w:t xml:space="preserve"> </w:t>
      </w:r>
      <w:r>
        <w:t>in</w:t>
      </w:r>
      <w:r>
        <w:rPr>
          <w:spacing w:val="-4"/>
        </w:rPr>
        <w:t xml:space="preserve"> </w:t>
      </w:r>
      <w:r>
        <w:t>2011,</w:t>
      </w:r>
      <w:r>
        <w:rPr>
          <w:spacing w:val="-2"/>
        </w:rPr>
        <w:t xml:space="preserve"> </w:t>
      </w:r>
      <w:r>
        <w:t>costs</w:t>
      </w:r>
      <w:r>
        <w:rPr>
          <w:spacing w:val="-4"/>
        </w:rPr>
        <w:t xml:space="preserve"> </w:t>
      </w:r>
      <w:r>
        <w:t>in</w:t>
      </w:r>
      <w:r>
        <w:rPr>
          <w:spacing w:val="-4"/>
        </w:rPr>
        <w:t xml:space="preserve"> </w:t>
      </w:r>
      <w:r>
        <w:t>subsequent</w:t>
      </w:r>
      <w:r>
        <w:rPr>
          <w:spacing w:val="-4"/>
        </w:rPr>
        <w:t xml:space="preserve"> </w:t>
      </w:r>
      <w:r>
        <w:t>years</w:t>
      </w:r>
      <w:r>
        <w:rPr>
          <w:spacing w:val="-2"/>
        </w:rPr>
        <w:t xml:space="preserve"> </w:t>
      </w:r>
      <w:r>
        <w:t>will</w:t>
      </w:r>
      <w:r>
        <w:rPr>
          <w:spacing w:val="-4"/>
        </w:rPr>
        <w:t xml:space="preserve"> </w:t>
      </w:r>
      <w:r>
        <w:t>be</w:t>
      </w:r>
      <w:r>
        <w:rPr>
          <w:spacing w:val="-4"/>
        </w:rPr>
        <w:t xml:space="preserve"> </w:t>
      </w:r>
      <w:r>
        <w:t>negligible, and, therefore, are not estimated.</w:t>
      </w:r>
    </w:p>
    <w:p w:rsidR="00936CF4" w14:paraId="64CF3A3E" w14:textId="77777777">
      <w:pPr>
        <w:pStyle w:val="BodyText"/>
        <w:ind w:left="0"/>
      </w:pPr>
    </w:p>
    <w:p w:rsidR="00936CF4" w14:paraId="7CFA56F4" w14:textId="77777777">
      <w:pPr>
        <w:pStyle w:val="BodyText"/>
      </w:pPr>
      <w:r>
        <w:rPr>
          <w:u w:val="single"/>
        </w:rPr>
        <w:t>Grandfathered</w:t>
      </w:r>
      <w:r>
        <w:rPr>
          <w:spacing w:val="-4"/>
          <w:u w:val="single"/>
        </w:rPr>
        <w:t xml:space="preserve"> </w:t>
      </w:r>
      <w:r>
        <w:rPr>
          <w:u w:val="single"/>
        </w:rPr>
        <w:t>Plan</w:t>
      </w:r>
      <w:r>
        <w:rPr>
          <w:spacing w:val="-2"/>
          <w:u w:val="single"/>
        </w:rPr>
        <w:t xml:space="preserve"> </w:t>
      </w:r>
      <w:r>
        <w:rPr>
          <w:u w:val="single"/>
        </w:rPr>
        <w:t>Change</w:t>
      </w:r>
      <w:r>
        <w:rPr>
          <w:spacing w:val="-2"/>
          <w:u w:val="single"/>
        </w:rPr>
        <w:t xml:space="preserve"> </w:t>
      </w:r>
      <w:r>
        <w:rPr>
          <w:u w:val="single"/>
        </w:rPr>
        <w:t>in</w:t>
      </w:r>
      <w:r>
        <w:rPr>
          <w:spacing w:val="-2"/>
          <w:u w:val="single"/>
        </w:rPr>
        <w:t xml:space="preserve"> </w:t>
      </w:r>
      <w:r>
        <w:rPr>
          <w:u w:val="single"/>
        </w:rPr>
        <w:t>Carrier</w:t>
      </w:r>
      <w:r>
        <w:rPr>
          <w:spacing w:val="-1"/>
          <w:u w:val="single"/>
        </w:rPr>
        <w:t xml:space="preserve"> </w:t>
      </w:r>
      <w:r>
        <w:rPr>
          <w:spacing w:val="-2"/>
          <w:u w:val="single"/>
        </w:rPr>
        <w:t>Disclosure</w:t>
      </w:r>
    </w:p>
    <w:p w:rsidR="00936CF4" w14:paraId="2AE6C734" w14:textId="77777777">
      <w:pPr>
        <w:pStyle w:val="BodyText"/>
        <w:ind w:left="0"/>
      </w:pPr>
    </w:p>
    <w:p w:rsidR="00936CF4" w14:paraId="7274D367" w14:textId="77777777">
      <w:pPr>
        <w:pStyle w:val="BodyText"/>
        <w:ind w:right="300"/>
      </w:pPr>
      <w:r>
        <w:t>A group health plan that is changing health insurance coverage must provide to the succeeding</w:t>
      </w:r>
      <w:r>
        <w:rPr>
          <w:spacing w:val="-4"/>
        </w:rPr>
        <w:t xml:space="preserve"> </w:t>
      </w:r>
      <w:r>
        <w:t>health</w:t>
      </w:r>
      <w:r>
        <w:rPr>
          <w:spacing w:val="-4"/>
        </w:rPr>
        <w:t xml:space="preserve"> </w:t>
      </w:r>
      <w:r>
        <w:t>insurance</w:t>
      </w:r>
      <w:r>
        <w:rPr>
          <w:spacing w:val="-5"/>
        </w:rPr>
        <w:t xml:space="preserve"> </w:t>
      </w:r>
      <w:r>
        <w:t>issuer</w:t>
      </w:r>
      <w:r>
        <w:rPr>
          <w:spacing w:val="-4"/>
        </w:rPr>
        <w:t xml:space="preserve"> </w:t>
      </w:r>
      <w:r>
        <w:t>(and</w:t>
      </w:r>
      <w:r>
        <w:rPr>
          <w:spacing w:val="-4"/>
        </w:rPr>
        <w:t xml:space="preserve"> </w:t>
      </w:r>
      <w:r>
        <w:t>the</w:t>
      </w:r>
      <w:r>
        <w:rPr>
          <w:spacing w:val="-4"/>
        </w:rPr>
        <w:t xml:space="preserve"> </w:t>
      </w:r>
      <w:r>
        <w:t>succeeding</w:t>
      </w:r>
      <w:r>
        <w:rPr>
          <w:spacing w:val="-4"/>
        </w:rPr>
        <w:t xml:space="preserve"> </w:t>
      </w:r>
      <w:r>
        <w:t>health</w:t>
      </w:r>
      <w:r>
        <w:rPr>
          <w:spacing w:val="-4"/>
        </w:rPr>
        <w:t xml:space="preserve"> </w:t>
      </w:r>
      <w:r>
        <w:t>insurance</w:t>
      </w:r>
      <w:r>
        <w:rPr>
          <w:spacing w:val="-5"/>
        </w:rPr>
        <w:t xml:space="preserve"> </w:t>
      </w:r>
      <w:r>
        <w:t>issuer</w:t>
      </w:r>
      <w:r>
        <w:rPr>
          <w:spacing w:val="-4"/>
        </w:rPr>
        <w:t xml:space="preserve"> </w:t>
      </w:r>
      <w:r>
        <w:t>must</w:t>
      </w:r>
      <w:r>
        <w:rPr>
          <w:spacing w:val="-4"/>
        </w:rPr>
        <w:t xml:space="preserve"> </w:t>
      </w:r>
      <w:r>
        <w:t>require) documentation of plan terms (including benefits, cost sharing, employer contributions, and annual limits) under the prior health insurance coverage sufficient to make a determination whether</w:t>
      </w:r>
      <w:r>
        <w:rPr>
          <w:spacing w:val="-5"/>
        </w:rPr>
        <w:t xml:space="preserve"> </w:t>
      </w:r>
      <w:r>
        <w:t>the</w:t>
      </w:r>
      <w:r>
        <w:rPr>
          <w:spacing w:val="-3"/>
        </w:rPr>
        <w:t xml:space="preserve"> </w:t>
      </w:r>
      <w:r>
        <w:t>standards</w:t>
      </w:r>
      <w:r>
        <w:rPr>
          <w:spacing w:val="-3"/>
        </w:rPr>
        <w:t xml:space="preserve"> </w:t>
      </w:r>
      <w:r>
        <w:t>set</w:t>
      </w:r>
      <w:r>
        <w:rPr>
          <w:spacing w:val="-1"/>
        </w:rPr>
        <w:t xml:space="preserve"> </w:t>
      </w:r>
      <w:r>
        <w:t>forth</w:t>
      </w:r>
      <w:r>
        <w:rPr>
          <w:spacing w:val="-3"/>
        </w:rPr>
        <w:t xml:space="preserve"> </w:t>
      </w:r>
      <w:r>
        <w:t>in</w:t>
      </w:r>
      <w:r>
        <w:rPr>
          <w:spacing w:val="-3"/>
        </w:rPr>
        <w:t xml:space="preserve"> </w:t>
      </w:r>
      <w:r>
        <w:t>paragraph</w:t>
      </w:r>
      <w:r>
        <w:rPr>
          <w:spacing w:val="-3"/>
        </w:rPr>
        <w:t xml:space="preserve"> </w:t>
      </w:r>
      <w:r>
        <w:t>§147.140(g)(1)</w:t>
      </w:r>
      <w:r>
        <w:rPr>
          <w:spacing w:val="-5"/>
        </w:rPr>
        <w:t xml:space="preserve"> </w:t>
      </w:r>
      <w:r>
        <w:t>of</w:t>
      </w:r>
      <w:r>
        <w:rPr>
          <w:spacing w:val="-4"/>
        </w:rPr>
        <w:t xml:space="preserve"> </w:t>
      </w:r>
      <w:r>
        <w:t>the</w:t>
      </w:r>
      <w:r>
        <w:rPr>
          <w:spacing w:val="-4"/>
        </w:rPr>
        <w:t xml:space="preserve"> </w:t>
      </w:r>
      <w:r>
        <w:t>2015</w:t>
      </w:r>
      <w:r>
        <w:rPr>
          <w:spacing w:val="-3"/>
        </w:rPr>
        <w:t xml:space="preserve"> </w:t>
      </w:r>
      <w:r>
        <w:t>final</w:t>
      </w:r>
      <w:r>
        <w:rPr>
          <w:spacing w:val="-3"/>
        </w:rPr>
        <w:t xml:space="preserve"> </w:t>
      </w:r>
      <w:r>
        <w:t>regulations</w:t>
      </w:r>
      <w:r>
        <w:rPr>
          <w:spacing w:val="-2"/>
        </w:rPr>
        <w:t xml:space="preserve"> </w:t>
      </w:r>
      <w:r>
        <w:t xml:space="preserve">are </w:t>
      </w:r>
      <w:r>
        <w:rPr>
          <w:spacing w:val="-2"/>
        </w:rPr>
        <w:t>exceeded.</w:t>
      </w:r>
    </w:p>
    <w:p w:rsidR="00936CF4" w14:paraId="06DF1B7F" w14:textId="77777777">
      <w:pPr>
        <w:pStyle w:val="BodyText"/>
        <w:spacing w:before="1"/>
        <w:ind w:left="0"/>
      </w:pPr>
    </w:p>
    <w:p w:rsidR="00936CF4" w14:paraId="382E7B07" w14:textId="77777777">
      <w:pPr>
        <w:pStyle w:val="BodyText"/>
        <w:ind w:right="237"/>
      </w:pPr>
      <w:r>
        <w:t>It is estimated that there are approximately 90,887 state and local governments that offer health insurance coverage to employees</w:t>
      </w:r>
      <w:hyperlink w:anchor="_bookmark1" w:history="1">
        <w:r>
          <w:rPr>
            <w:vertAlign w:val="superscript"/>
          </w:rPr>
          <w:t>2</w:t>
        </w:r>
      </w:hyperlink>
      <w:r>
        <w:t>, with approximately 14,542 grandfathered plans.</w:t>
      </w:r>
      <w:hyperlink w:anchor="_bookmark2" w:history="1">
        <w:r>
          <w:rPr>
            <w:vertAlign w:val="superscript"/>
          </w:rPr>
          <w:t>3</w:t>
        </w:r>
      </w:hyperlink>
      <w:r>
        <w:t xml:space="preserve"> The number of plans that might change carriers and thus be affected (1,200) is estimated by multiplying the estimated number of grandfathered plans (14,542) by the percentage of plans shopping</w:t>
      </w:r>
      <w:r>
        <w:rPr>
          <w:spacing w:val="-3"/>
        </w:rPr>
        <w:t xml:space="preserve"> </w:t>
      </w:r>
      <w:r>
        <w:t>for</w:t>
      </w:r>
      <w:r>
        <w:rPr>
          <w:spacing w:val="-3"/>
        </w:rPr>
        <w:t xml:space="preserve"> </w:t>
      </w:r>
      <w:r>
        <w:t>a</w:t>
      </w:r>
      <w:r>
        <w:rPr>
          <w:spacing w:val="-5"/>
        </w:rPr>
        <w:t xml:space="preserve"> </w:t>
      </w:r>
      <w:r>
        <w:t>new</w:t>
      </w:r>
      <w:r>
        <w:rPr>
          <w:spacing w:val="-2"/>
        </w:rPr>
        <w:t xml:space="preserve"> </w:t>
      </w:r>
      <w:r>
        <w:t>carrier</w:t>
      </w:r>
      <w:r>
        <w:rPr>
          <w:spacing w:val="-3"/>
        </w:rPr>
        <w:t xml:space="preserve"> </w:t>
      </w:r>
      <w:r>
        <w:t>(55</w:t>
      </w:r>
      <w:r>
        <w:rPr>
          <w:spacing w:val="-3"/>
        </w:rPr>
        <w:t xml:space="preserve"> </w:t>
      </w:r>
      <w:r>
        <w:t>percent)</w:t>
      </w:r>
      <w:r>
        <w:rPr>
          <w:spacing w:val="-2"/>
        </w:rPr>
        <w:t xml:space="preserve"> </w:t>
      </w:r>
      <w:r>
        <w:t>and</w:t>
      </w:r>
      <w:r>
        <w:rPr>
          <w:spacing w:val="-3"/>
        </w:rPr>
        <w:t xml:space="preserve"> </w:t>
      </w:r>
      <w:r>
        <w:t>the</w:t>
      </w:r>
      <w:r>
        <w:rPr>
          <w:spacing w:val="-3"/>
        </w:rPr>
        <w:t xml:space="preserve"> </w:t>
      </w:r>
      <w:r>
        <w:t>percentage</w:t>
      </w:r>
      <w:r>
        <w:rPr>
          <w:spacing w:val="-4"/>
        </w:rPr>
        <w:t xml:space="preserve"> </w:t>
      </w:r>
      <w:r>
        <w:t>of</w:t>
      </w:r>
      <w:r>
        <w:rPr>
          <w:spacing w:val="-3"/>
        </w:rPr>
        <w:t xml:space="preserve"> </w:t>
      </w:r>
      <w:r>
        <w:t>plans</w:t>
      </w:r>
      <w:r>
        <w:rPr>
          <w:spacing w:val="-3"/>
        </w:rPr>
        <w:t xml:space="preserve"> </w:t>
      </w:r>
      <w:r>
        <w:t>shopping</w:t>
      </w:r>
      <w:r>
        <w:rPr>
          <w:spacing w:val="-3"/>
        </w:rPr>
        <w:t xml:space="preserve"> </w:t>
      </w:r>
      <w:r>
        <w:t>for</w:t>
      </w:r>
      <w:r>
        <w:rPr>
          <w:spacing w:val="-3"/>
        </w:rPr>
        <w:t xml:space="preserve"> </w:t>
      </w:r>
      <w:r>
        <w:t>a</w:t>
      </w:r>
      <w:r>
        <w:rPr>
          <w:spacing w:val="-5"/>
        </w:rPr>
        <w:t xml:space="preserve"> </w:t>
      </w:r>
      <w:r>
        <w:t>new</w:t>
      </w:r>
      <w:r>
        <w:rPr>
          <w:spacing w:val="-3"/>
        </w:rPr>
        <w:t xml:space="preserve"> </w:t>
      </w:r>
      <w:r>
        <w:t>carrier that switched (15 percent).</w:t>
      </w:r>
      <w:hyperlink w:anchor="_bookmark3" w:history="1">
        <w:r>
          <w:rPr>
            <w:vertAlign w:val="superscript"/>
          </w:rPr>
          <w:t>4</w:t>
        </w:r>
      </w:hyperlink>
    </w:p>
    <w:p w:rsidR="00936CF4" w14:paraId="6A32959B" w14:textId="77777777">
      <w:pPr>
        <w:pStyle w:val="BodyText"/>
        <w:ind w:left="0"/>
      </w:pPr>
    </w:p>
    <w:p w:rsidR="00936CF4" w14:paraId="31A241E3" w14:textId="77777777">
      <w:pPr>
        <w:pStyle w:val="BodyText"/>
        <w:ind w:right="322"/>
      </w:pPr>
      <w:r>
        <w:t>Each employer will require about 2 minutes of clerical labor (at an hourly cost of approximately $42.58) to send the information required for the disclosure (which is already retained under the recordkeeping requirement) electronically to the issuer. The total annual labor</w:t>
      </w:r>
      <w:r>
        <w:rPr>
          <w:spacing w:val="-4"/>
        </w:rPr>
        <w:t xml:space="preserve"> </w:t>
      </w:r>
      <w:r>
        <w:t>burden</w:t>
      </w:r>
      <w:r>
        <w:rPr>
          <w:spacing w:val="-2"/>
        </w:rPr>
        <w:t xml:space="preserve"> </w:t>
      </w:r>
      <w:r>
        <w:t>for</w:t>
      </w:r>
      <w:r>
        <w:rPr>
          <w:spacing w:val="-2"/>
        </w:rPr>
        <w:t xml:space="preserve"> </w:t>
      </w:r>
      <w:r>
        <w:t>all</w:t>
      </w:r>
      <w:r>
        <w:rPr>
          <w:spacing w:val="-2"/>
        </w:rPr>
        <w:t xml:space="preserve"> </w:t>
      </w:r>
      <w:r>
        <w:t>employers</w:t>
      </w:r>
      <w:r>
        <w:rPr>
          <w:spacing w:val="-2"/>
        </w:rPr>
        <w:t xml:space="preserve"> </w:t>
      </w:r>
      <w:r>
        <w:t>is</w:t>
      </w:r>
      <w:r>
        <w:rPr>
          <w:spacing w:val="-2"/>
        </w:rPr>
        <w:t xml:space="preserve"> </w:t>
      </w:r>
      <w:r>
        <w:t>estimated</w:t>
      </w:r>
      <w:r>
        <w:rPr>
          <w:spacing w:val="-2"/>
        </w:rPr>
        <w:t xml:space="preserve"> </w:t>
      </w:r>
      <w:r>
        <w:t>to</w:t>
      </w:r>
      <w:r>
        <w:rPr>
          <w:spacing w:val="-2"/>
        </w:rPr>
        <w:t xml:space="preserve"> </w:t>
      </w:r>
      <w:r>
        <w:t>be</w:t>
      </w:r>
      <w:r>
        <w:rPr>
          <w:spacing w:val="-2"/>
        </w:rPr>
        <w:t xml:space="preserve"> </w:t>
      </w:r>
      <w:r>
        <w:t>approximately 40</w:t>
      </w:r>
      <w:r>
        <w:rPr>
          <w:spacing w:val="-2"/>
        </w:rPr>
        <w:t xml:space="preserve"> </w:t>
      </w:r>
      <w:r>
        <w:t>hours</w:t>
      </w:r>
      <w:r>
        <w:rPr>
          <w:spacing w:val="-2"/>
        </w:rPr>
        <w:t xml:space="preserve"> </w:t>
      </w:r>
      <w:r>
        <w:t>with</w:t>
      </w:r>
      <w:r>
        <w:rPr>
          <w:spacing w:val="-2"/>
        </w:rPr>
        <w:t xml:space="preserve"> </w:t>
      </w:r>
      <w:r>
        <w:t>an</w:t>
      </w:r>
      <w:r>
        <w:rPr>
          <w:spacing w:val="-2"/>
        </w:rPr>
        <w:t xml:space="preserve"> </w:t>
      </w:r>
      <w:r>
        <w:t>equivalent annual</w:t>
      </w:r>
      <w:r>
        <w:rPr>
          <w:spacing w:val="-4"/>
        </w:rPr>
        <w:t xml:space="preserve"> </w:t>
      </w:r>
      <w:r>
        <w:t>cost</w:t>
      </w:r>
      <w:r>
        <w:rPr>
          <w:spacing w:val="-4"/>
        </w:rPr>
        <w:t xml:space="preserve"> </w:t>
      </w:r>
      <w:r>
        <w:t>of</w:t>
      </w:r>
      <w:r>
        <w:rPr>
          <w:spacing w:val="-4"/>
        </w:rPr>
        <w:t xml:space="preserve"> </w:t>
      </w:r>
      <w:r>
        <w:t>approximately</w:t>
      </w:r>
      <w:r>
        <w:rPr>
          <w:spacing w:val="-4"/>
        </w:rPr>
        <w:t xml:space="preserve"> </w:t>
      </w:r>
      <w:r>
        <w:t>$1,703.</w:t>
      </w:r>
      <w:r>
        <w:rPr>
          <w:spacing w:val="-4"/>
        </w:rPr>
        <w:t xml:space="preserve"> </w:t>
      </w:r>
      <w:r>
        <w:t>The</w:t>
      </w:r>
      <w:r>
        <w:rPr>
          <w:spacing w:val="-6"/>
        </w:rPr>
        <w:t xml:space="preserve"> </w:t>
      </w:r>
      <w:r>
        <w:t>cost</w:t>
      </w:r>
      <w:r>
        <w:rPr>
          <w:spacing w:val="-4"/>
        </w:rPr>
        <w:t xml:space="preserve"> </w:t>
      </w:r>
      <w:r>
        <w:t>of</w:t>
      </w:r>
      <w:r>
        <w:rPr>
          <w:spacing w:val="-4"/>
        </w:rPr>
        <w:t xml:space="preserve"> </w:t>
      </w:r>
      <w:r>
        <w:t>transmitting</w:t>
      </w:r>
      <w:r>
        <w:rPr>
          <w:spacing w:val="-3"/>
        </w:rPr>
        <w:t xml:space="preserve"> </w:t>
      </w:r>
      <w:r>
        <w:t>the</w:t>
      </w:r>
      <w:r>
        <w:rPr>
          <w:spacing w:val="-4"/>
        </w:rPr>
        <w:t xml:space="preserve"> </w:t>
      </w:r>
      <w:r>
        <w:t>information</w:t>
      </w:r>
      <w:r>
        <w:rPr>
          <w:spacing w:val="-4"/>
        </w:rPr>
        <w:t xml:space="preserve"> </w:t>
      </w:r>
      <w:r>
        <w:t xml:space="preserve">electronically to the issuer is negligible, and, therefore, not estimated. The number of disclosures and the cost burden may be lower in subsequent years as more plans relinquish their grandfathered status. In the absence of data regarding how many plans will retain grandfathered status in subsequent years, we consider this estimate to be the upper limit for the burden in future </w:t>
      </w:r>
      <w:r>
        <w:rPr>
          <w:spacing w:val="-2"/>
        </w:rPr>
        <w:t>years.</w:t>
      </w:r>
    </w:p>
    <w:p w:rsidR="00936CF4" w14:paraId="38C66E7E" w14:textId="77777777">
      <w:pPr>
        <w:pStyle w:val="BodyText"/>
        <w:spacing w:before="1"/>
        <w:ind w:left="0"/>
      </w:pPr>
    </w:p>
    <w:p w:rsidR="00936CF4" w14:paraId="2F89A720" w14:textId="77777777">
      <w:pPr>
        <w:pStyle w:val="ListParagraph"/>
        <w:numPr>
          <w:ilvl w:val="1"/>
          <w:numId w:val="1"/>
        </w:numPr>
        <w:tabs>
          <w:tab w:val="left" w:pos="432"/>
        </w:tabs>
        <w:rPr>
          <w:sz w:val="24"/>
          <w:u w:val="none"/>
        </w:rPr>
      </w:pPr>
      <w:r>
        <w:rPr>
          <w:sz w:val="24"/>
        </w:rPr>
        <w:t>Capital</w:t>
      </w:r>
      <w:r>
        <w:rPr>
          <w:spacing w:val="-2"/>
          <w:sz w:val="24"/>
        </w:rPr>
        <w:t xml:space="preserve"> Costs</w:t>
      </w:r>
    </w:p>
    <w:p w:rsidR="00936CF4" w14:paraId="4EDD37D0" w14:textId="77777777">
      <w:pPr>
        <w:pStyle w:val="BodyText"/>
        <w:ind w:left="0"/>
        <w:rPr>
          <w:sz w:val="20"/>
        </w:rPr>
      </w:pPr>
    </w:p>
    <w:p w:rsidR="00936CF4" w14:paraId="17B30174" w14:textId="77777777">
      <w:pPr>
        <w:pStyle w:val="BodyText"/>
        <w:spacing w:before="45"/>
        <w:ind w:left="0"/>
        <w:rPr>
          <w:sz w:val="20"/>
        </w:rPr>
      </w:pPr>
      <w:r>
        <w:rPr>
          <w:noProof/>
          <w:sz w:val="20"/>
        </w:rPr>
        <mc:AlternateContent>
          <mc:Choice Requires="wps">
            <w:drawing>
              <wp:anchor distT="0" distB="0" distL="0" distR="0" simplePos="0" relativeHeight="251660288" behindDoc="1" locked="0" layoutInCell="1" allowOverlap="1">
                <wp:simplePos x="0" y="0"/>
                <wp:positionH relativeFrom="page">
                  <wp:posOffset>914704</wp:posOffset>
                </wp:positionH>
                <wp:positionV relativeFrom="paragraph">
                  <wp:posOffset>190017</wp:posOffset>
                </wp:positionV>
                <wp:extent cx="1829435" cy="635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6350"/>
                        </a:xfrm>
                        <a:custGeom>
                          <a:avLst/>
                          <a:gdLst/>
                          <a:rect l="l" t="t" r="r" b="b"/>
                          <a:pathLst>
                            <a:path fill="norm" h="6350" w="1829435" stroke="1">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144.05pt;height:0.5pt;margin-top:14.95pt;margin-left:1in;mso-position-horizontal-relative:page;mso-wrap-distance-bottom:0;mso-wrap-distance-left:0;mso-wrap-distance-right:0;mso-wrap-distance-top:0;mso-wrap-style:square;position:absolute;visibility:visible;v-text-anchor:top;z-index:-251655168" coordsize="1829435,6350" path="m1829054,l,,,6095l1829054,6095l1829054,xe" fillcolor="black" stroked="f">
                <v:path arrowok="t"/>
                <w10:wrap type="topAndBottom"/>
              </v:shape>
            </w:pict>
          </mc:Fallback>
        </mc:AlternateContent>
      </w:r>
    </w:p>
    <w:p w:rsidR="00936CF4" w14:paraId="494B7F47" w14:textId="77777777">
      <w:pPr>
        <w:spacing w:before="85"/>
        <w:ind w:right="300"/>
        <w:rPr>
          <w:sz w:val="20"/>
        </w:rPr>
      </w:pPr>
      <w:bookmarkStart w:id="1" w:name="_bookmark1"/>
      <w:bookmarkEnd w:id="1"/>
      <w:r>
        <w:rPr>
          <w:sz w:val="20"/>
          <w:vertAlign w:val="superscript"/>
        </w:rPr>
        <w:t>2</w:t>
      </w:r>
      <w:r>
        <w:rPr>
          <w:spacing w:val="-3"/>
          <w:sz w:val="20"/>
        </w:rPr>
        <w:t xml:space="preserve"> </w:t>
      </w:r>
      <w:r>
        <w:rPr>
          <w:sz w:val="20"/>
        </w:rPr>
        <w:t>The</w:t>
      </w:r>
      <w:r>
        <w:rPr>
          <w:spacing w:val="-3"/>
          <w:sz w:val="20"/>
        </w:rPr>
        <w:t xml:space="preserve"> </w:t>
      </w:r>
      <w:r>
        <w:rPr>
          <w:sz w:val="20"/>
        </w:rPr>
        <w:t>estimate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total</w:t>
      </w:r>
      <w:r>
        <w:rPr>
          <w:spacing w:val="-3"/>
          <w:sz w:val="20"/>
        </w:rPr>
        <w:t xml:space="preserve"> </w:t>
      </w:r>
      <w:r>
        <w:rPr>
          <w:sz w:val="20"/>
        </w:rPr>
        <w:t>number</w:t>
      </w:r>
      <w:r>
        <w:rPr>
          <w:spacing w:val="-2"/>
          <w:sz w:val="20"/>
        </w:rPr>
        <w:t xml:space="preserve"> </w:t>
      </w:r>
      <w:r>
        <w:rPr>
          <w:sz w:val="20"/>
        </w:rPr>
        <w:t>of</w:t>
      </w:r>
      <w:r>
        <w:rPr>
          <w:spacing w:val="-3"/>
          <w:sz w:val="20"/>
        </w:rPr>
        <w:t xml:space="preserve"> </w:t>
      </w:r>
      <w:r>
        <w:rPr>
          <w:sz w:val="20"/>
        </w:rPr>
        <w:t>state</w:t>
      </w:r>
      <w:r>
        <w:rPr>
          <w:spacing w:val="-3"/>
          <w:sz w:val="20"/>
        </w:rPr>
        <w:t xml:space="preserve"> </w:t>
      </w:r>
      <w:r>
        <w:rPr>
          <w:sz w:val="20"/>
        </w:rPr>
        <w:t>and</w:t>
      </w:r>
      <w:r>
        <w:rPr>
          <w:spacing w:val="-2"/>
          <w:sz w:val="20"/>
        </w:rPr>
        <w:t xml:space="preserve"> </w:t>
      </w:r>
      <w:r>
        <w:rPr>
          <w:sz w:val="20"/>
        </w:rPr>
        <w:t>local</w:t>
      </w:r>
      <w:r>
        <w:rPr>
          <w:spacing w:val="-4"/>
          <w:sz w:val="20"/>
        </w:rPr>
        <w:t xml:space="preserve"> </w:t>
      </w:r>
      <w:r>
        <w:rPr>
          <w:sz w:val="20"/>
        </w:rPr>
        <w:t>governmental</w:t>
      </w:r>
      <w:r>
        <w:rPr>
          <w:spacing w:val="-3"/>
          <w:sz w:val="20"/>
        </w:rPr>
        <w:t xml:space="preserve"> </w:t>
      </w:r>
      <w:r>
        <w:rPr>
          <w:sz w:val="20"/>
        </w:rPr>
        <w:t>plans</w:t>
      </w:r>
      <w:r>
        <w:rPr>
          <w:spacing w:val="-4"/>
          <w:sz w:val="20"/>
        </w:rPr>
        <w:t xml:space="preserve"> </w:t>
      </w:r>
      <w:r>
        <w:rPr>
          <w:sz w:val="20"/>
        </w:rPr>
        <w:t>is</w:t>
      </w:r>
      <w:r>
        <w:rPr>
          <w:spacing w:val="-4"/>
          <w:sz w:val="20"/>
        </w:rPr>
        <w:t xml:space="preserve"> </w:t>
      </w:r>
      <w:r>
        <w:rPr>
          <w:sz w:val="20"/>
        </w:rPr>
        <w:t>based</w:t>
      </w:r>
      <w:r>
        <w:rPr>
          <w:spacing w:val="-2"/>
          <w:sz w:val="20"/>
        </w:rPr>
        <w:t xml:space="preserve"> </w:t>
      </w:r>
      <w:r>
        <w:rPr>
          <w:sz w:val="20"/>
        </w:rPr>
        <w:t>on</w:t>
      </w:r>
      <w:r>
        <w:rPr>
          <w:spacing w:val="-2"/>
          <w:sz w:val="20"/>
        </w:rPr>
        <w:t xml:space="preserve"> </w:t>
      </w:r>
      <w:r>
        <w:rPr>
          <w:sz w:val="20"/>
        </w:rPr>
        <w:t>the 2022</w:t>
      </w:r>
      <w:r>
        <w:rPr>
          <w:spacing w:val="-2"/>
          <w:sz w:val="20"/>
        </w:rPr>
        <w:t xml:space="preserve"> </w:t>
      </w:r>
      <w:r>
        <w:rPr>
          <w:sz w:val="20"/>
        </w:rPr>
        <w:t>Census</w:t>
      </w:r>
      <w:r>
        <w:rPr>
          <w:spacing w:val="-4"/>
          <w:sz w:val="20"/>
        </w:rPr>
        <w:t xml:space="preserve"> </w:t>
      </w:r>
      <w:r>
        <w:rPr>
          <w:sz w:val="20"/>
        </w:rPr>
        <w:t>of</w:t>
      </w:r>
      <w:r>
        <w:rPr>
          <w:spacing w:val="-3"/>
          <w:sz w:val="20"/>
        </w:rPr>
        <w:t xml:space="preserve"> </w:t>
      </w:r>
      <w:r>
        <w:rPr>
          <w:sz w:val="20"/>
        </w:rPr>
        <w:t>Governments (available at https</w:t>
      </w:r>
      <w:hyperlink r:id="rId6">
        <w:r>
          <w:rPr>
            <w:sz w:val="20"/>
          </w:rPr>
          <w:t>://www.census.gov/data/tables/2022/econ/gus/2022-governments.html).</w:t>
        </w:r>
      </w:hyperlink>
    </w:p>
    <w:p w:rsidR="00936CF4" w14:paraId="705EB336" w14:textId="77777777">
      <w:pPr>
        <w:ind w:right="300"/>
        <w:rPr>
          <w:sz w:val="20"/>
        </w:rPr>
      </w:pPr>
      <w:bookmarkStart w:id="2" w:name="_bookmark2"/>
      <w:bookmarkEnd w:id="2"/>
      <w:r>
        <w:rPr>
          <w:sz w:val="20"/>
          <w:vertAlign w:val="superscript"/>
        </w:rPr>
        <w:t>3</w:t>
      </w:r>
      <w:r>
        <w:rPr>
          <w:spacing w:val="-3"/>
          <w:sz w:val="20"/>
        </w:rPr>
        <w:t xml:space="preserve"> </w:t>
      </w:r>
      <w:r>
        <w:rPr>
          <w:sz w:val="20"/>
        </w:rPr>
        <w:t>HHS</w:t>
      </w:r>
      <w:r>
        <w:rPr>
          <w:spacing w:val="-4"/>
          <w:sz w:val="20"/>
        </w:rPr>
        <w:t xml:space="preserve"> </w:t>
      </w:r>
      <w:r>
        <w:rPr>
          <w:sz w:val="20"/>
        </w:rPr>
        <w:t>lacks</w:t>
      </w:r>
      <w:r>
        <w:rPr>
          <w:spacing w:val="-4"/>
          <w:sz w:val="20"/>
        </w:rPr>
        <w:t xml:space="preserve"> </w:t>
      </w:r>
      <w:r>
        <w:rPr>
          <w:sz w:val="20"/>
        </w:rPr>
        <w:t>data</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state</w:t>
      </w:r>
      <w:r>
        <w:rPr>
          <w:spacing w:val="-3"/>
          <w:sz w:val="20"/>
        </w:rPr>
        <w:t xml:space="preserve"> </w:t>
      </w:r>
      <w:r>
        <w:rPr>
          <w:sz w:val="20"/>
        </w:rPr>
        <w:t>and</w:t>
      </w:r>
      <w:r>
        <w:rPr>
          <w:spacing w:val="-2"/>
          <w:sz w:val="20"/>
        </w:rPr>
        <w:t xml:space="preserve"> </w:t>
      </w:r>
      <w:r>
        <w:rPr>
          <w:sz w:val="20"/>
        </w:rPr>
        <w:t>local</w:t>
      </w:r>
      <w:r>
        <w:rPr>
          <w:spacing w:val="-4"/>
          <w:sz w:val="20"/>
        </w:rPr>
        <w:t xml:space="preserve"> </w:t>
      </w:r>
      <w:r>
        <w:rPr>
          <w:sz w:val="20"/>
        </w:rPr>
        <w:t>plans</w:t>
      </w:r>
      <w:r>
        <w:rPr>
          <w:spacing w:val="-4"/>
          <w:sz w:val="20"/>
        </w:rPr>
        <w:t xml:space="preserve"> </w:t>
      </w:r>
      <w:r>
        <w:rPr>
          <w:sz w:val="20"/>
        </w:rPr>
        <w:t>that</w:t>
      </w:r>
      <w:r>
        <w:rPr>
          <w:spacing w:val="-3"/>
          <w:sz w:val="20"/>
        </w:rPr>
        <w:t xml:space="preserve"> </w:t>
      </w:r>
      <w:r>
        <w:rPr>
          <w:sz w:val="20"/>
        </w:rPr>
        <w:t>are</w:t>
      </w:r>
      <w:r>
        <w:rPr>
          <w:spacing w:val="-3"/>
          <w:sz w:val="20"/>
        </w:rPr>
        <w:t xml:space="preserve"> </w:t>
      </w:r>
      <w:r>
        <w:rPr>
          <w:sz w:val="20"/>
        </w:rPr>
        <w:t>grandfathered</w:t>
      </w:r>
      <w:r>
        <w:rPr>
          <w:spacing w:val="-2"/>
          <w:sz w:val="20"/>
        </w:rPr>
        <w:t xml:space="preserve"> </w:t>
      </w:r>
      <w:r>
        <w:rPr>
          <w:sz w:val="20"/>
        </w:rPr>
        <w:t>plans.</w:t>
      </w:r>
      <w:r>
        <w:rPr>
          <w:spacing w:val="-3"/>
          <w:sz w:val="20"/>
        </w:rPr>
        <w:t xml:space="preserve"> </w:t>
      </w:r>
      <w:r>
        <w:rPr>
          <w:sz w:val="20"/>
        </w:rPr>
        <w:t>The KFF</w:t>
      </w:r>
      <w:r>
        <w:rPr>
          <w:spacing w:val="-4"/>
          <w:sz w:val="20"/>
        </w:rPr>
        <w:t xml:space="preserve"> </w:t>
      </w:r>
      <w:r>
        <w:rPr>
          <w:sz w:val="20"/>
        </w:rPr>
        <w:t>2020</w:t>
      </w:r>
      <w:r>
        <w:rPr>
          <w:spacing w:val="-2"/>
          <w:sz w:val="20"/>
        </w:rPr>
        <w:t xml:space="preserve"> </w:t>
      </w:r>
      <w:r>
        <w:rPr>
          <w:sz w:val="20"/>
        </w:rPr>
        <w:t>Employer</w:t>
      </w:r>
      <w:r>
        <w:rPr>
          <w:spacing w:val="-2"/>
          <w:sz w:val="20"/>
        </w:rPr>
        <w:t xml:space="preserve"> </w:t>
      </w:r>
      <w:r>
        <w:rPr>
          <w:sz w:val="20"/>
        </w:rPr>
        <w:t>Health Benefits Survey estimated that 16 percent of employers offering health plans had at least one grandfathered plan in 2020. https</w:t>
      </w:r>
      <w:hyperlink r:id="rId7">
        <w:r>
          <w:rPr>
            <w:sz w:val="20"/>
          </w:rPr>
          <w:t>://www.kff.org/health-costs/report/2020-employer-health-benefits-survey/.</w:t>
        </w:r>
      </w:hyperlink>
    </w:p>
    <w:p w:rsidR="00936CF4" w14:paraId="7C0E1872" w14:textId="77777777">
      <w:pPr>
        <w:ind w:right="1028"/>
        <w:rPr>
          <w:sz w:val="20"/>
        </w:rPr>
      </w:pPr>
      <w:bookmarkStart w:id="3" w:name="_bookmark3"/>
      <w:bookmarkEnd w:id="3"/>
      <w:r>
        <w:rPr>
          <w:sz w:val="20"/>
          <w:vertAlign w:val="superscript"/>
        </w:rPr>
        <w:t>4</w:t>
      </w:r>
      <w:r>
        <w:rPr>
          <w:spacing w:val="-17"/>
          <w:sz w:val="20"/>
        </w:rPr>
        <w:t xml:space="preserve"> </w:t>
      </w:r>
      <w:r>
        <w:rPr>
          <w:sz w:val="20"/>
        </w:rPr>
        <w:t>See</w:t>
      </w:r>
      <w:r>
        <w:rPr>
          <w:spacing w:val="-5"/>
          <w:sz w:val="20"/>
        </w:rPr>
        <w:t xml:space="preserve"> </w:t>
      </w:r>
      <w:r>
        <w:rPr>
          <w:sz w:val="20"/>
        </w:rPr>
        <w:t>Section</w:t>
      </w:r>
      <w:r>
        <w:rPr>
          <w:spacing w:val="-1"/>
          <w:sz w:val="20"/>
        </w:rPr>
        <w:t xml:space="preserve"> </w:t>
      </w:r>
      <w:r>
        <w:rPr>
          <w:sz w:val="20"/>
        </w:rPr>
        <w:t>13</w:t>
      </w:r>
      <w:r>
        <w:rPr>
          <w:spacing w:val="-4"/>
          <w:sz w:val="20"/>
        </w:rPr>
        <w:t xml:space="preserve"> </w:t>
      </w:r>
      <w:r>
        <w:rPr>
          <w:sz w:val="20"/>
        </w:rPr>
        <w:t>of</w:t>
      </w:r>
      <w:r>
        <w:rPr>
          <w:spacing w:val="-3"/>
          <w:sz w:val="20"/>
        </w:rPr>
        <w:t xml:space="preserve"> </w:t>
      </w:r>
      <w:r>
        <w:rPr>
          <w:sz w:val="20"/>
        </w:rPr>
        <w:t>the</w:t>
      </w:r>
      <w:r>
        <w:rPr>
          <w:spacing w:val="-2"/>
          <w:sz w:val="20"/>
        </w:rPr>
        <w:t xml:space="preserve"> </w:t>
      </w:r>
      <w:r>
        <w:rPr>
          <w:sz w:val="20"/>
        </w:rPr>
        <w:t>KFF</w:t>
      </w:r>
      <w:r>
        <w:rPr>
          <w:spacing w:val="-4"/>
          <w:sz w:val="20"/>
        </w:rPr>
        <w:t xml:space="preserve"> </w:t>
      </w:r>
      <w:r>
        <w:rPr>
          <w:sz w:val="20"/>
        </w:rPr>
        <w:t>2020</w:t>
      </w:r>
      <w:r>
        <w:rPr>
          <w:spacing w:val="-2"/>
          <w:sz w:val="20"/>
        </w:rPr>
        <w:t xml:space="preserve"> </w:t>
      </w:r>
      <w:r>
        <w:rPr>
          <w:sz w:val="20"/>
        </w:rPr>
        <w:t>Employer</w:t>
      </w:r>
      <w:r>
        <w:rPr>
          <w:spacing w:val="-2"/>
          <w:sz w:val="20"/>
        </w:rPr>
        <w:t xml:space="preserve"> </w:t>
      </w:r>
      <w:r>
        <w:rPr>
          <w:sz w:val="20"/>
        </w:rPr>
        <w:t>Health</w:t>
      </w:r>
      <w:r>
        <w:rPr>
          <w:spacing w:val="-3"/>
          <w:sz w:val="20"/>
        </w:rPr>
        <w:t xml:space="preserve"> </w:t>
      </w:r>
      <w:r>
        <w:rPr>
          <w:sz w:val="20"/>
        </w:rPr>
        <w:t>Benefits</w:t>
      </w:r>
      <w:r>
        <w:rPr>
          <w:spacing w:val="-6"/>
          <w:sz w:val="20"/>
        </w:rPr>
        <w:t xml:space="preserve"> </w:t>
      </w:r>
      <w:r>
        <w:rPr>
          <w:sz w:val="20"/>
        </w:rPr>
        <w:t>Survey,</w:t>
      </w:r>
      <w:r>
        <w:rPr>
          <w:spacing w:val="-3"/>
          <w:sz w:val="20"/>
        </w:rPr>
        <w:t xml:space="preserve"> </w:t>
      </w:r>
      <w:r>
        <w:rPr>
          <w:sz w:val="20"/>
        </w:rPr>
        <w:t>available</w:t>
      </w:r>
      <w:r>
        <w:rPr>
          <w:spacing w:val="-3"/>
          <w:sz w:val="20"/>
        </w:rPr>
        <w:t xml:space="preserve"> </w:t>
      </w:r>
      <w:r>
        <w:rPr>
          <w:sz w:val="20"/>
        </w:rPr>
        <w:t>at</w:t>
      </w:r>
      <w:r>
        <w:rPr>
          <w:spacing w:val="-2"/>
          <w:sz w:val="20"/>
        </w:rPr>
        <w:t xml:space="preserve"> </w:t>
      </w:r>
      <w:r>
        <w:rPr>
          <w:sz w:val="20"/>
        </w:rPr>
        <w:t>https</w:t>
      </w:r>
      <w:hyperlink r:id="rId8">
        <w:r>
          <w:rPr>
            <w:sz w:val="20"/>
          </w:rPr>
          <w:t>://www.kff.org/health-</w:t>
        </w:r>
      </w:hyperlink>
      <w:r>
        <w:rPr>
          <w:sz w:val="20"/>
        </w:rPr>
        <w:t xml:space="preserve"> </w:t>
      </w:r>
      <w:r>
        <w:rPr>
          <w:spacing w:val="-2"/>
          <w:sz w:val="20"/>
        </w:rPr>
        <w:t>costs/report/2020-employer-health-benefits-survey/.</w:t>
      </w:r>
    </w:p>
    <w:p w:rsidR="00936CF4" w14:paraId="43CCDB1B" w14:textId="77777777">
      <w:pPr>
        <w:rPr>
          <w:sz w:val="20"/>
        </w:rPr>
        <w:sectPr>
          <w:pgSz w:w="12240" w:h="15840"/>
          <w:pgMar w:top="1640" w:right="1080" w:bottom="1980" w:left="1440" w:header="0" w:footer="1781" w:gutter="0"/>
          <w:cols w:space="720"/>
        </w:sectPr>
      </w:pPr>
    </w:p>
    <w:p w:rsidR="00936CF4" w14:paraId="24FE60DE" w14:textId="77777777">
      <w:pPr>
        <w:pStyle w:val="BodyText"/>
        <w:spacing w:before="79"/>
      </w:pPr>
      <w:r>
        <w:rPr>
          <w:u w:val="single"/>
        </w:rPr>
        <w:t>Grandfathered</w:t>
      </w:r>
      <w:r>
        <w:rPr>
          <w:spacing w:val="-3"/>
          <w:u w:val="single"/>
        </w:rPr>
        <w:t xml:space="preserve"> </w:t>
      </w:r>
      <w:r>
        <w:rPr>
          <w:u w:val="single"/>
        </w:rPr>
        <w:t>Health</w:t>
      </w:r>
      <w:r>
        <w:rPr>
          <w:spacing w:val="-3"/>
          <w:u w:val="single"/>
        </w:rPr>
        <w:t xml:space="preserve"> </w:t>
      </w:r>
      <w:r>
        <w:rPr>
          <w:u w:val="single"/>
        </w:rPr>
        <w:t>Plan</w:t>
      </w:r>
      <w:r>
        <w:rPr>
          <w:spacing w:val="-2"/>
          <w:u w:val="single"/>
        </w:rPr>
        <w:t xml:space="preserve"> Disclosure</w:t>
      </w:r>
    </w:p>
    <w:p w:rsidR="00936CF4" w14:paraId="4DD6F81E" w14:textId="77777777">
      <w:pPr>
        <w:pStyle w:val="BodyText"/>
        <w:ind w:left="0"/>
      </w:pPr>
    </w:p>
    <w:p w:rsidR="00936CF4" w14:paraId="4AF97E13" w14:textId="77777777">
      <w:pPr>
        <w:pStyle w:val="BodyText"/>
        <w:ind w:right="237"/>
      </w:pPr>
      <w:r>
        <w:t>Grandfathered plans will incur printing and material costs associated with the disclosure requirement. It is estimated that there are approximately 14,542 grandfathered state and local governmental health plans with approximately 1.8 million policyholders</w:t>
      </w:r>
      <w:hyperlink w:anchor="_bookmark4" w:history="1">
        <w:r>
          <w:t>.</w:t>
        </w:r>
        <w:r>
          <w:rPr>
            <w:vertAlign w:val="superscript"/>
          </w:rPr>
          <w:t>5</w:t>
        </w:r>
      </w:hyperlink>
      <w:r>
        <w:t xml:space="preserve"> It is further estimated that there are approximately 286,657 policyholders in the individual market with grandfathered coverage issued by approximately 61 issuers</w:t>
      </w:r>
      <w:hyperlink w:anchor="_bookmark5" w:history="1">
        <w:r>
          <w:t>.</w:t>
        </w:r>
        <w:r>
          <w:rPr>
            <w:vertAlign w:val="superscript"/>
          </w:rPr>
          <w:t>6</w:t>
        </w:r>
      </w:hyperlink>
      <w:r>
        <w:t xml:space="preserve"> Therefore, grandfathered state and local government plans and issuers in the individual markets will need to send approximately 2.1 million disclosures notifying plan participants and beneficiaries and policyholders in the individual market of their plan’s or coverage’s status as a grandfathered health plan. We anticipate that the notice will require one-half of a page and that a five cents per page printing and material cost will be incurred. We also assume that approximately 58 percent of the notices will be delivered electronically, with the remaining approximately 42 percent of the notices delivered by mail.</w:t>
      </w:r>
      <w:hyperlink w:anchor="_bookmark6" w:history="1">
        <w:r>
          <w:rPr>
            <w:vertAlign w:val="superscript"/>
          </w:rPr>
          <w:t>7</w:t>
        </w:r>
      </w:hyperlink>
      <w:r>
        <w:t xml:space="preserve"> This results in a total annual capital cost of approximately $21,823 ($0.05 per page * 1/2 pages per notice * 2,093,306 notices * 0.417). The</w:t>
      </w:r>
      <w:r>
        <w:rPr>
          <w:spacing w:val="-4"/>
        </w:rPr>
        <w:t xml:space="preserve"> </w:t>
      </w:r>
      <w:r>
        <w:t>number</w:t>
      </w:r>
      <w:r>
        <w:rPr>
          <w:spacing w:val="-4"/>
        </w:rPr>
        <w:t xml:space="preserve"> </w:t>
      </w:r>
      <w:r>
        <w:t>of</w:t>
      </w:r>
      <w:r>
        <w:rPr>
          <w:spacing w:val="-3"/>
        </w:rPr>
        <w:t xml:space="preserve"> </w:t>
      </w:r>
      <w:r>
        <w:t>notices</w:t>
      </w:r>
      <w:r>
        <w:rPr>
          <w:spacing w:val="-2"/>
        </w:rPr>
        <w:t xml:space="preserve"> </w:t>
      </w:r>
      <w:r>
        <w:t>sent</w:t>
      </w:r>
      <w:r>
        <w:rPr>
          <w:spacing w:val="-3"/>
        </w:rPr>
        <w:t xml:space="preserve"> </w:t>
      </w:r>
      <w:r>
        <w:t>annually</w:t>
      </w:r>
      <w:r>
        <w:rPr>
          <w:spacing w:val="-3"/>
        </w:rPr>
        <w:t xml:space="preserve"> </w:t>
      </w:r>
      <w:r>
        <w:t>and</w:t>
      </w:r>
      <w:r>
        <w:rPr>
          <w:spacing w:val="-3"/>
        </w:rPr>
        <w:t xml:space="preserve"> </w:t>
      </w:r>
      <w:r>
        <w:t>the</w:t>
      </w:r>
      <w:r>
        <w:rPr>
          <w:spacing w:val="-3"/>
        </w:rPr>
        <w:t xml:space="preserve"> </w:t>
      </w:r>
      <w:r>
        <w:t>total</w:t>
      </w:r>
      <w:r>
        <w:rPr>
          <w:spacing w:val="-3"/>
        </w:rPr>
        <w:t xml:space="preserve"> </w:t>
      </w:r>
      <w:r>
        <w:t>annual</w:t>
      </w:r>
      <w:r>
        <w:rPr>
          <w:spacing w:val="-3"/>
        </w:rPr>
        <w:t xml:space="preserve"> </w:t>
      </w:r>
      <w:r>
        <w:t>capital</w:t>
      </w:r>
      <w:r>
        <w:rPr>
          <w:spacing w:val="-3"/>
        </w:rPr>
        <w:t xml:space="preserve"> </w:t>
      </w:r>
      <w:r>
        <w:t>costs</w:t>
      </w:r>
      <w:r>
        <w:rPr>
          <w:spacing w:val="-1"/>
        </w:rPr>
        <w:t xml:space="preserve"> </w:t>
      </w:r>
      <w:r>
        <w:t>are</w:t>
      </w:r>
      <w:r>
        <w:rPr>
          <w:spacing w:val="-4"/>
        </w:rPr>
        <w:t xml:space="preserve"> </w:t>
      </w:r>
      <w:r>
        <w:t>likely</w:t>
      </w:r>
      <w:r>
        <w:rPr>
          <w:spacing w:val="-3"/>
        </w:rPr>
        <w:t xml:space="preserve"> </w:t>
      </w:r>
      <w:r>
        <w:t>to</w:t>
      </w:r>
      <w:r>
        <w:rPr>
          <w:spacing w:val="-2"/>
        </w:rPr>
        <w:t xml:space="preserve"> </w:t>
      </w:r>
      <w:r>
        <w:t>be</w:t>
      </w:r>
      <w:r>
        <w:rPr>
          <w:spacing w:val="-4"/>
        </w:rPr>
        <w:t xml:space="preserve"> </w:t>
      </w:r>
      <w:r>
        <w:t>lower</w:t>
      </w:r>
      <w:r>
        <w:rPr>
          <w:spacing w:val="-3"/>
        </w:rPr>
        <w:t xml:space="preserve"> </w:t>
      </w:r>
      <w:r>
        <w:t>in subsequent years as more plans relinquish their grandfather status. In the absence of data regarding how many plans will retain grandfather status in subsequent years, we consider these estimates to be the upper limits for the number of notices sent and the total capital cost, respectively, in future years.</w:t>
      </w:r>
    </w:p>
    <w:p w:rsidR="00936CF4" w14:paraId="60667D4F" w14:textId="77777777">
      <w:pPr>
        <w:pStyle w:val="BodyText"/>
        <w:spacing w:before="1"/>
        <w:ind w:left="0"/>
      </w:pPr>
    </w:p>
    <w:p w:rsidR="00936CF4" w14:paraId="56E23ACE" w14:textId="77777777">
      <w:pPr>
        <w:pStyle w:val="ListParagraph"/>
        <w:numPr>
          <w:ilvl w:val="1"/>
          <w:numId w:val="1"/>
        </w:numPr>
        <w:tabs>
          <w:tab w:val="left" w:pos="432"/>
        </w:tabs>
        <w:rPr>
          <w:sz w:val="24"/>
          <w:u w:val="none"/>
        </w:rPr>
      </w:pPr>
      <w:r>
        <w:rPr>
          <w:sz w:val="24"/>
        </w:rPr>
        <w:t>Cost</w:t>
      </w:r>
      <w:r>
        <w:rPr>
          <w:spacing w:val="-2"/>
          <w:sz w:val="24"/>
        </w:rPr>
        <w:t xml:space="preserve"> </w:t>
      </w:r>
      <w:r>
        <w:rPr>
          <w:sz w:val="24"/>
        </w:rPr>
        <w:t>to</w:t>
      </w:r>
      <w:r>
        <w:rPr>
          <w:spacing w:val="-2"/>
          <w:sz w:val="24"/>
        </w:rPr>
        <w:t xml:space="preserve"> </w:t>
      </w:r>
      <w:r>
        <w:rPr>
          <w:sz w:val="24"/>
        </w:rPr>
        <w:t>Federal</w:t>
      </w:r>
      <w:r>
        <w:rPr>
          <w:spacing w:val="-2"/>
          <w:sz w:val="24"/>
        </w:rPr>
        <w:t xml:space="preserve"> Government</w:t>
      </w:r>
    </w:p>
    <w:p w:rsidR="00936CF4" w14:paraId="3FF6DB62" w14:textId="77777777">
      <w:pPr>
        <w:pStyle w:val="BodyText"/>
        <w:ind w:left="0"/>
      </w:pPr>
    </w:p>
    <w:p w:rsidR="00936CF4" w14:paraId="7C4B23AD" w14:textId="77777777">
      <w:pPr>
        <w:pStyle w:val="BodyText"/>
      </w:pPr>
      <w:r>
        <w:t>There</w:t>
      </w:r>
      <w:r>
        <w:rPr>
          <w:spacing w:val="-3"/>
        </w:rPr>
        <w:t xml:space="preserve"> </w:t>
      </w:r>
      <w:r>
        <w:t>is</w:t>
      </w:r>
      <w:r>
        <w:rPr>
          <w:spacing w:val="-1"/>
        </w:rPr>
        <w:t xml:space="preserve"> </w:t>
      </w:r>
      <w:r>
        <w:t>no</w:t>
      </w:r>
      <w:r>
        <w:rPr>
          <w:spacing w:val="-1"/>
        </w:rPr>
        <w:t xml:space="preserve"> </w:t>
      </w:r>
      <w:r>
        <w:t>cost to</w:t>
      </w:r>
      <w:r>
        <w:rPr>
          <w:spacing w:val="-1"/>
        </w:rPr>
        <w:t xml:space="preserve"> </w:t>
      </w:r>
      <w:r>
        <w:t>the</w:t>
      </w:r>
      <w:r>
        <w:rPr>
          <w:spacing w:val="-1"/>
        </w:rPr>
        <w:t xml:space="preserve"> </w:t>
      </w:r>
      <w:r>
        <w:t xml:space="preserve">federal </w:t>
      </w:r>
      <w:r>
        <w:rPr>
          <w:spacing w:val="-2"/>
        </w:rPr>
        <w:t>government.</w:t>
      </w:r>
    </w:p>
    <w:p w:rsidR="00936CF4" w14:paraId="69A4A552" w14:textId="77777777">
      <w:pPr>
        <w:pStyle w:val="BodyText"/>
        <w:spacing w:before="1"/>
        <w:ind w:left="0"/>
      </w:pPr>
    </w:p>
    <w:p w:rsidR="00936CF4" w14:paraId="6C673632" w14:textId="77777777">
      <w:pPr>
        <w:pStyle w:val="ListParagraph"/>
        <w:numPr>
          <w:ilvl w:val="1"/>
          <w:numId w:val="1"/>
        </w:numPr>
        <w:tabs>
          <w:tab w:val="left" w:pos="432"/>
        </w:tabs>
        <w:rPr>
          <w:sz w:val="24"/>
          <w:u w:val="none"/>
        </w:rPr>
      </w:pPr>
      <w:r>
        <w:rPr>
          <w:sz w:val="24"/>
        </w:rPr>
        <w:t>Changes</w:t>
      </w:r>
      <w:r>
        <w:rPr>
          <w:spacing w:val="-1"/>
          <w:sz w:val="24"/>
        </w:rPr>
        <w:t xml:space="preserve"> </w:t>
      </w:r>
      <w:r>
        <w:rPr>
          <w:sz w:val="24"/>
        </w:rPr>
        <w:t>to</w:t>
      </w:r>
      <w:r>
        <w:rPr>
          <w:spacing w:val="-1"/>
          <w:sz w:val="24"/>
        </w:rPr>
        <w:t xml:space="preserve"> </w:t>
      </w:r>
      <w:r>
        <w:rPr>
          <w:spacing w:val="-2"/>
          <w:sz w:val="24"/>
        </w:rPr>
        <w:t>Burden</w:t>
      </w:r>
    </w:p>
    <w:p w:rsidR="00936CF4" w14:paraId="4E96FC39" w14:textId="77777777">
      <w:pPr>
        <w:pStyle w:val="BodyText"/>
        <w:ind w:left="0"/>
      </w:pPr>
    </w:p>
    <w:p w:rsidR="00936CF4" w14:paraId="1156EB74" w14:textId="77777777">
      <w:pPr>
        <w:pStyle w:val="BodyText"/>
      </w:pPr>
      <w:r>
        <w:t>There</w:t>
      </w:r>
      <w:r>
        <w:rPr>
          <w:spacing w:val="-3"/>
        </w:rPr>
        <w:t xml:space="preserve"> </w:t>
      </w:r>
      <w:r>
        <w:t>is no</w:t>
      </w:r>
      <w:r>
        <w:rPr>
          <w:spacing w:val="-1"/>
        </w:rPr>
        <w:t xml:space="preserve"> </w:t>
      </w:r>
      <w:r>
        <w:t>change</w:t>
      </w:r>
      <w:r>
        <w:rPr>
          <w:spacing w:val="-1"/>
        </w:rPr>
        <w:t xml:space="preserve"> </w:t>
      </w:r>
      <w:r>
        <w:t>in</w:t>
      </w:r>
      <w:r>
        <w:rPr>
          <w:spacing w:val="1"/>
        </w:rPr>
        <w:t xml:space="preserve"> </w:t>
      </w:r>
      <w:r>
        <w:rPr>
          <w:spacing w:val="-2"/>
        </w:rPr>
        <w:t>burden.</w:t>
      </w:r>
    </w:p>
    <w:p w:rsidR="00936CF4" w14:paraId="4E938553" w14:textId="77777777">
      <w:pPr>
        <w:pStyle w:val="BodyText"/>
        <w:ind w:left="0"/>
      </w:pPr>
    </w:p>
    <w:p w:rsidR="00936CF4" w14:paraId="0C6EA63C" w14:textId="77777777">
      <w:pPr>
        <w:pStyle w:val="ListParagraph"/>
        <w:numPr>
          <w:ilvl w:val="1"/>
          <w:numId w:val="1"/>
        </w:numPr>
        <w:tabs>
          <w:tab w:val="left" w:pos="432"/>
        </w:tabs>
        <w:rPr>
          <w:sz w:val="24"/>
          <w:u w:val="none"/>
        </w:rPr>
      </w:pPr>
      <w:r>
        <w:rPr>
          <w:sz w:val="24"/>
        </w:rPr>
        <w:t>Publication/Tabulation</w:t>
      </w:r>
      <w:r>
        <w:rPr>
          <w:spacing w:val="-3"/>
          <w:sz w:val="24"/>
        </w:rPr>
        <w:t xml:space="preserve"> </w:t>
      </w:r>
      <w:r>
        <w:rPr>
          <w:spacing w:val="-2"/>
          <w:sz w:val="24"/>
        </w:rPr>
        <w:t>Dates</w:t>
      </w:r>
    </w:p>
    <w:p w:rsidR="00936CF4" w14:paraId="0BEC008D" w14:textId="77777777">
      <w:pPr>
        <w:pStyle w:val="BodyText"/>
        <w:ind w:left="0"/>
      </w:pPr>
    </w:p>
    <w:p w:rsidR="00936CF4" w14:paraId="77DDCFE6" w14:textId="77777777">
      <w:pPr>
        <w:pStyle w:val="BodyText"/>
        <w:ind w:right="669"/>
      </w:pPr>
      <w:r>
        <w:t>There</w:t>
      </w:r>
      <w:r>
        <w:rPr>
          <w:spacing w:val="-3"/>
        </w:rPr>
        <w:t xml:space="preserve"> </w:t>
      </w:r>
      <w:r>
        <w:t>are</w:t>
      </w:r>
      <w:r>
        <w:rPr>
          <w:spacing w:val="-5"/>
        </w:rPr>
        <w:t xml:space="preserve"> </w:t>
      </w:r>
      <w:r>
        <w:t>no</w:t>
      </w:r>
      <w:r>
        <w:rPr>
          <w:spacing w:val="-3"/>
        </w:rPr>
        <w:t xml:space="preserve"> </w:t>
      </w:r>
      <w:r>
        <w:t>plans</w:t>
      </w:r>
      <w:r>
        <w:rPr>
          <w:spacing w:val="-3"/>
        </w:rPr>
        <w:t xml:space="preserve"> </w:t>
      </w:r>
      <w:r>
        <w:t>to</w:t>
      </w:r>
      <w:r>
        <w:rPr>
          <w:spacing w:val="-3"/>
        </w:rPr>
        <w:t xml:space="preserve"> </w:t>
      </w:r>
      <w:r>
        <w:t>publish</w:t>
      </w:r>
      <w:r>
        <w:rPr>
          <w:spacing w:val="-3"/>
        </w:rPr>
        <w:t xml:space="preserve"> </w:t>
      </w:r>
      <w:r>
        <w:t>the</w:t>
      </w:r>
      <w:r>
        <w:rPr>
          <w:spacing w:val="-4"/>
        </w:rPr>
        <w:t xml:space="preserve"> </w:t>
      </w:r>
      <w:r>
        <w:t>outcomes</w:t>
      </w:r>
      <w:r>
        <w:rPr>
          <w:spacing w:val="-3"/>
        </w:rPr>
        <w:t xml:space="preserve"> </w:t>
      </w:r>
      <w:r>
        <w:t>of</w:t>
      </w:r>
      <w:r>
        <w:rPr>
          <w:spacing w:val="-3"/>
        </w:rPr>
        <w:t xml:space="preserve"> </w:t>
      </w:r>
      <w:r>
        <w:t>these</w:t>
      </w:r>
      <w:r>
        <w:rPr>
          <w:spacing w:val="-4"/>
        </w:rPr>
        <w:t xml:space="preserve"> </w:t>
      </w:r>
      <w:r>
        <w:t>information</w:t>
      </w:r>
      <w:r>
        <w:rPr>
          <w:spacing w:val="-3"/>
        </w:rPr>
        <w:t xml:space="preserve"> </w:t>
      </w:r>
      <w:r>
        <w:t>collections,</w:t>
      </w:r>
      <w:r>
        <w:rPr>
          <w:spacing w:val="-3"/>
        </w:rPr>
        <w:t xml:space="preserve"> </w:t>
      </w:r>
      <w:r>
        <w:t>as</w:t>
      </w:r>
      <w:r>
        <w:rPr>
          <w:spacing w:val="-3"/>
        </w:rPr>
        <w:t xml:space="preserve"> </w:t>
      </w:r>
      <w:r>
        <w:t>they</w:t>
      </w:r>
      <w:r>
        <w:rPr>
          <w:spacing w:val="-3"/>
        </w:rPr>
        <w:t xml:space="preserve"> </w:t>
      </w:r>
      <w:r>
        <w:t>entail third-party disclosures and a recordkeeping requirement.</w:t>
      </w:r>
    </w:p>
    <w:p w:rsidR="00936CF4" w14:paraId="137DB0FB" w14:textId="77777777">
      <w:pPr>
        <w:pStyle w:val="BodyText"/>
        <w:ind w:left="0"/>
      </w:pPr>
    </w:p>
    <w:p w:rsidR="00936CF4" w14:paraId="57FB3B90" w14:textId="77777777">
      <w:pPr>
        <w:pStyle w:val="ListParagraph"/>
        <w:numPr>
          <w:ilvl w:val="1"/>
          <w:numId w:val="1"/>
        </w:numPr>
        <w:tabs>
          <w:tab w:val="left" w:pos="432"/>
        </w:tabs>
        <w:rPr>
          <w:sz w:val="24"/>
          <w:u w:val="none"/>
        </w:rPr>
      </w:pPr>
      <w:r>
        <w:rPr>
          <w:sz w:val="24"/>
        </w:rPr>
        <w:t>Expiration</w:t>
      </w:r>
      <w:r>
        <w:rPr>
          <w:spacing w:val="-2"/>
          <w:sz w:val="24"/>
        </w:rPr>
        <w:t xml:space="preserve"> </w:t>
      </w:r>
      <w:r>
        <w:rPr>
          <w:spacing w:val="-4"/>
          <w:sz w:val="24"/>
        </w:rPr>
        <w:t>Date</w:t>
      </w:r>
    </w:p>
    <w:p w:rsidR="00936CF4" w14:paraId="5C28EDDC" w14:textId="77777777">
      <w:pPr>
        <w:pStyle w:val="BodyText"/>
        <w:ind w:left="0"/>
      </w:pPr>
    </w:p>
    <w:p w:rsidR="00936CF4" w14:paraId="2939F600" w14:textId="77777777">
      <w:pPr>
        <w:pStyle w:val="BodyText"/>
      </w:pPr>
      <w:r>
        <w:t>There</w:t>
      </w:r>
      <w:r>
        <w:rPr>
          <w:spacing w:val="-4"/>
        </w:rPr>
        <w:t xml:space="preserve"> </w:t>
      </w:r>
      <w:r>
        <w:t>are</w:t>
      </w:r>
      <w:r>
        <w:rPr>
          <w:spacing w:val="-3"/>
        </w:rPr>
        <w:t xml:space="preserve"> </w:t>
      </w:r>
      <w:r>
        <w:t>no</w:t>
      </w:r>
      <w:r>
        <w:rPr>
          <w:spacing w:val="-1"/>
        </w:rPr>
        <w:t xml:space="preserve"> </w:t>
      </w:r>
      <w:r>
        <w:t>instruments</w:t>
      </w:r>
      <w:r>
        <w:rPr>
          <w:spacing w:val="3"/>
        </w:rPr>
        <w:t xml:space="preserve"> </w:t>
      </w:r>
      <w:r>
        <w:t>associated</w:t>
      </w:r>
      <w:r>
        <w:rPr>
          <w:spacing w:val="-1"/>
        </w:rPr>
        <w:t xml:space="preserve"> </w:t>
      </w:r>
      <w:r>
        <w:t>with</w:t>
      </w:r>
      <w:r>
        <w:rPr>
          <w:spacing w:val="-1"/>
        </w:rPr>
        <w:t xml:space="preserve"> </w:t>
      </w:r>
      <w:r>
        <w:t>these</w:t>
      </w:r>
      <w:r>
        <w:rPr>
          <w:spacing w:val="-2"/>
        </w:rPr>
        <w:t xml:space="preserve"> </w:t>
      </w:r>
      <w:r>
        <w:t>information</w:t>
      </w:r>
      <w:r>
        <w:rPr>
          <w:spacing w:val="-1"/>
        </w:rPr>
        <w:t xml:space="preserve"> </w:t>
      </w:r>
      <w:r>
        <w:rPr>
          <w:spacing w:val="-2"/>
        </w:rPr>
        <w:t>collections.</w:t>
      </w:r>
    </w:p>
    <w:p w:rsidR="00936CF4" w14:paraId="2F9F391D" w14:textId="77777777">
      <w:pPr>
        <w:pStyle w:val="BodyText"/>
        <w:ind w:left="0"/>
        <w:rPr>
          <w:sz w:val="20"/>
        </w:rPr>
      </w:pPr>
    </w:p>
    <w:p w:rsidR="00936CF4" w14:paraId="0A5EE295" w14:textId="77777777">
      <w:pPr>
        <w:pStyle w:val="BodyText"/>
        <w:ind w:left="0"/>
        <w:rPr>
          <w:sz w:val="20"/>
        </w:rPr>
      </w:pPr>
      <w:r>
        <w:rPr>
          <w:noProof/>
          <w:sz w:val="20"/>
        </w:rPr>
        <mc:AlternateContent>
          <mc:Choice Requires="wps">
            <w:drawing>
              <wp:anchor distT="0" distB="0" distL="0" distR="0" simplePos="0" relativeHeight="251662336" behindDoc="1" locked="0" layoutInCell="1" allowOverlap="1">
                <wp:simplePos x="0" y="0"/>
                <wp:positionH relativeFrom="page">
                  <wp:posOffset>914704</wp:posOffset>
                </wp:positionH>
                <wp:positionV relativeFrom="paragraph">
                  <wp:posOffset>161471</wp:posOffset>
                </wp:positionV>
                <wp:extent cx="1829435" cy="635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6350"/>
                        </a:xfrm>
                        <a:custGeom>
                          <a:avLst/>
                          <a:gdLst/>
                          <a:rect l="l" t="t" r="r" b="b"/>
                          <a:pathLst>
                            <a:path fill="norm" h="6350" w="1829435" stroke="1">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144.05pt;height:0.5pt;margin-top:12.7pt;margin-left:1in;mso-position-horizontal-relative:page;mso-wrap-distance-bottom:0;mso-wrap-distance-left:0;mso-wrap-distance-right:0;mso-wrap-distance-top:0;mso-wrap-style:square;position:absolute;visibility:visible;v-text-anchor:top;z-index:-251653120" coordsize="1829435,6350" path="m1829054,l,,,6096l1829054,6096l1829054,xe" fillcolor="black" stroked="f">
                <v:path arrowok="t"/>
                <w10:wrap type="topAndBottom"/>
              </v:shape>
            </w:pict>
          </mc:Fallback>
        </mc:AlternateContent>
      </w:r>
    </w:p>
    <w:p w:rsidR="00936CF4" w14:paraId="752727D2" w14:textId="77777777">
      <w:pPr>
        <w:spacing w:before="82"/>
        <w:rPr>
          <w:sz w:val="20"/>
        </w:rPr>
      </w:pPr>
      <w:bookmarkStart w:id="4" w:name="_bookmark4"/>
      <w:bookmarkEnd w:id="4"/>
      <w:r>
        <w:rPr>
          <w:sz w:val="20"/>
          <w:vertAlign w:val="superscript"/>
        </w:rPr>
        <w:t>5</w:t>
      </w:r>
      <w:r>
        <w:rPr>
          <w:spacing w:val="-17"/>
          <w:sz w:val="20"/>
        </w:rPr>
        <w:t xml:space="preserve"> </w:t>
      </w:r>
      <w:r>
        <w:rPr>
          <w:sz w:val="20"/>
        </w:rPr>
        <w:t>Estimates</w:t>
      </w:r>
      <w:r>
        <w:rPr>
          <w:spacing w:val="-5"/>
          <w:sz w:val="20"/>
        </w:rPr>
        <w:t xml:space="preserve"> </w:t>
      </w:r>
      <w:r>
        <w:rPr>
          <w:sz w:val="20"/>
        </w:rPr>
        <w:t>based</w:t>
      </w:r>
      <w:r>
        <w:rPr>
          <w:spacing w:val="-2"/>
          <w:sz w:val="20"/>
        </w:rPr>
        <w:t xml:space="preserve"> </w:t>
      </w:r>
      <w:r>
        <w:rPr>
          <w:sz w:val="20"/>
        </w:rPr>
        <w:t>on</w:t>
      </w:r>
      <w:r>
        <w:rPr>
          <w:spacing w:val="-2"/>
          <w:sz w:val="20"/>
        </w:rPr>
        <w:t xml:space="preserve"> </w:t>
      </w:r>
      <w:r>
        <w:rPr>
          <w:sz w:val="20"/>
        </w:rPr>
        <w:t>CMS</w:t>
      </w:r>
      <w:r>
        <w:rPr>
          <w:spacing w:val="-3"/>
          <w:sz w:val="20"/>
        </w:rPr>
        <w:t xml:space="preserve"> </w:t>
      </w:r>
      <w:r>
        <w:rPr>
          <w:sz w:val="20"/>
        </w:rPr>
        <w:t>analysis</w:t>
      </w:r>
      <w:r>
        <w:rPr>
          <w:spacing w:val="-4"/>
          <w:sz w:val="20"/>
        </w:rPr>
        <w:t xml:space="preserve"> </w:t>
      </w:r>
      <w:r>
        <w:rPr>
          <w:sz w:val="20"/>
        </w:rPr>
        <w:t>of</w:t>
      </w:r>
      <w:r>
        <w:rPr>
          <w:spacing w:val="-3"/>
          <w:sz w:val="20"/>
        </w:rPr>
        <w:t xml:space="preserve"> </w:t>
      </w:r>
      <w:r>
        <w:rPr>
          <w:sz w:val="20"/>
        </w:rPr>
        <w:t>data</w:t>
      </w:r>
      <w:r>
        <w:rPr>
          <w:spacing w:val="-3"/>
          <w:sz w:val="20"/>
        </w:rPr>
        <w:t xml:space="preserve"> </w:t>
      </w:r>
      <w:r>
        <w:rPr>
          <w:sz w:val="20"/>
        </w:rPr>
        <w:t>from</w:t>
      </w:r>
      <w:r>
        <w:rPr>
          <w:spacing w:val="-2"/>
          <w:sz w:val="20"/>
        </w:rPr>
        <w:t xml:space="preserve"> </w:t>
      </w:r>
      <w:r>
        <w:rPr>
          <w:sz w:val="20"/>
        </w:rPr>
        <w:t>the</w:t>
      </w:r>
      <w:r>
        <w:rPr>
          <w:spacing w:val="-3"/>
          <w:sz w:val="20"/>
        </w:rPr>
        <w:t xml:space="preserve"> </w:t>
      </w:r>
      <w:r>
        <w:rPr>
          <w:sz w:val="20"/>
        </w:rPr>
        <w:t>2022</w:t>
      </w:r>
      <w:r>
        <w:rPr>
          <w:spacing w:val="-4"/>
          <w:sz w:val="20"/>
        </w:rPr>
        <w:t xml:space="preserve"> </w:t>
      </w:r>
      <w:r>
        <w:rPr>
          <w:sz w:val="20"/>
        </w:rPr>
        <w:t>Census</w:t>
      </w:r>
      <w:r>
        <w:rPr>
          <w:spacing w:val="-4"/>
          <w:sz w:val="20"/>
        </w:rPr>
        <w:t xml:space="preserve"> </w:t>
      </w:r>
      <w:r>
        <w:rPr>
          <w:sz w:val="20"/>
        </w:rPr>
        <w:t>of</w:t>
      </w:r>
      <w:r>
        <w:rPr>
          <w:spacing w:val="-3"/>
          <w:sz w:val="20"/>
        </w:rPr>
        <w:t xml:space="preserve"> </w:t>
      </w:r>
      <w:r>
        <w:rPr>
          <w:sz w:val="20"/>
        </w:rPr>
        <w:t>Governments</w:t>
      </w:r>
      <w:r>
        <w:rPr>
          <w:spacing w:val="-4"/>
          <w:sz w:val="20"/>
        </w:rPr>
        <w:t xml:space="preserve"> </w:t>
      </w:r>
      <w:r>
        <w:rPr>
          <w:sz w:val="20"/>
        </w:rPr>
        <w:t>and</w:t>
      </w:r>
      <w:r>
        <w:rPr>
          <w:spacing w:val="-2"/>
          <w:sz w:val="20"/>
        </w:rPr>
        <w:t xml:space="preserve"> </w:t>
      </w:r>
      <w:r>
        <w:rPr>
          <w:sz w:val="20"/>
        </w:rPr>
        <w:t>the</w:t>
      </w:r>
      <w:r>
        <w:rPr>
          <w:spacing w:val="-5"/>
          <w:sz w:val="20"/>
        </w:rPr>
        <w:t xml:space="preserve"> </w:t>
      </w:r>
      <w:r>
        <w:rPr>
          <w:sz w:val="20"/>
        </w:rPr>
        <w:t>KFF</w:t>
      </w:r>
      <w:r>
        <w:rPr>
          <w:spacing w:val="-4"/>
          <w:sz w:val="20"/>
        </w:rPr>
        <w:t xml:space="preserve"> </w:t>
      </w:r>
      <w:r>
        <w:rPr>
          <w:sz w:val="20"/>
        </w:rPr>
        <w:t>2020</w:t>
      </w:r>
      <w:r>
        <w:rPr>
          <w:spacing w:val="-2"/>
          <w:sz w:val="20"/>
        </w:rPr>
        <w:t xml:space="preserve"> </w:t>
      </w:r>
      <w:r>
        <w:rPr>
          <w:sz w:val="20"/>
        </w:rPr>
        <w:t>Employer</w:t>
      </w:r>
      <w:r>
        <w:rPr>
          <w:spacing w:val="-2"/>
          <w:sz w:val="20"/>
        </w:rPr>
        <w:t xml:space="preserve"> </w:t>
      </w:r>
      <w:r>
        <w:rPr>
          <w:sz w:val="20"/>
        </w:rPr>
        <w:t>Health Benefits Survey.</w:t>
      </w:r>
    </w:p>
    <w:p w:rsidR="00936CF4" w14:paraId="7A2F9E3E" w14:textId="77777777">
      <w:pPr>
        <w:spacing w:before="1"/>
        <w:ind w:right="300"/>
        <w:rPr>
          <w:sz w:val="20"/>
        </w:rPr>
      </w:pPr>
      <w:bookmarkStart w:id="5" w:name="_bookmark5"/>
      <w:bookmarkEnd w:id="5"/>
      <w:r>
        <w:rPr>
          <w:sz w:val="20"/>
          <w:vertAlign w:val="superscript"/>
        </w:rPr>
        <w:t>6</w:t>
      </w:r>
      <w:r>
        <w:rPr>
          <w:spacing w:val="-17"/>
          <w:sz w:val="20"/>
        </w:rPr>
        <w:t xml:space="preserve"> </w:t>
      </w:r>
      <w:r>
        <w:rPr>
          <w:sz w:val="20"/>
        </w:rPr>
        <w:t>Estimates</w:t>
      </w:r>
      <w:r>
        <w:rPr>
          <w:spacing w:val="-7"/>
          <w:sz w:val="20"/>
        </w:rPr>
        <w:t xml:space="preserve"> </w:t>
      </w:r>
      <w:r>
        <w:rPr>
          <w:sz w:val="20"/>
        </w:rPr>
        <w:t>based</w:t>
      </w:r>
      <w:r>
        <w:rPr>
          <w:spacing w:val="-3"/>
          <w:sz w:val="20"/>
        </w:rPr>
        <w:t xml:space="preserve"> </w:t>
      </w:r>
      <w:r>
        <w:rPr>
          <w:sz w:val="20"/>
        </w:rPr>
        <w:t>on</w:t>
      </w:r>
      <w:r>
        <w:rPr>
          <w:spacing w:val="-3"/>
          <w:sz w:val="20"/>
        </w:rPr>
        <w:t xml:space="preserve"> </w:t>
      </w:r>
      <w:r>
        <w:rPr>
          <w:sz w:val="20"/>
        </w:rPr>
        <w:t>preliminary</w:t>
      </w:r>
      <w:r>
        <w:rPr>
          <w:spacing w:val="-3"/>
          <w:sz w:val="20"/>
        </w:rPr>
        <w:t xml:space="preserve"> </w:t>
      </w:r>
      <w:r>
        <w:rPr>
          <w:sz w:val="20"/>
        </w:rPr>
        <w:t>CMS</w:t>
      </w:r>
      <w:r>
        <w:rPr>
          <w:spacing w:val="-4"/>
          <w:sz w:val="20"/>
        </w:rPr>
        <w:t xml:space="preserve"> </w:t>
      </w:r>
      <w:r>
        <w:rPr>
          <w:sz w:val="20"/>
        </w:rPr>
        <w:t>analysis</w:t>
      </w:r>
      <w:r>
        <w:rPr>
          <w:spacing w:val="-5"/>
          <w:sz w:val="20"/>
        </w:rPr>
        <w:t xml:space="preserve"> </w:t>
      </w:r>
      <w:r>
        <w:rPr>
          <w:sz w:val="20"/>
        </w:rPr>
        <w:t>of</w:t>
      </w:r>
      <w:r>
        <w:rPr>
          <w:spacing w:val="-4"/>
          <w:sz w:val="20"/>
        </w:rPr>
        <w:t xml:space="preserve"> </w:t>
      </w:r>
      <w:r>
        <w:rPr>
          <w:sz w:val="20"/>
        </w:rPr>
        <w:t>2023</w:t>
      </w:r>
      <w:r>
        <w:rPr>
          <w:spacing w:val="-5"/>
          <w:sz w:val="20"/>
        </w:rPr>
        <w:t xml:space="preserve"> </w:t>
      </w:r>
      <w:r>
        <w:rPr>
          <w:sz w:val="20"/>
        </w:rPr>
        <w:t>Prescription</w:t>
      </w:r>
      <w:r>
        <w:rPr>
          <w:spacing w:val="-3"/>
          <w:sz w:val="20"/>
        </w:rPr>
        <w:t xml:space="preserve"> </w:t>
      </w:r>
      <w:r>
        <w:rPr>
          <w:sz w:val="20"/>
        </w:rPr>
        <w:t>Drug</w:t>
      </w:r>
      <w:r>
        <w:rPr>
          <w:spacing w:val="-3"/>
          <w:sz w:val="20"/>
        </w:rPr>
        <w:t xml:space="preserve"> </w:t>
      </w:r>
      <w:r>
        <w:rPr>
          <w:sz w:val="20"/>
        </w:rPr>
        <w:t>Data</w:t>
      </w:r>
      <w:r>
        <w:rPr>
          <w:spacing w:val="-4"/>
          <w:sz w:val="20"/>
        </w:rPr>
        <w:t xml:space="preserve"> </w:t>
      </w:r>
      <w:r>
        <w:rPr>
          <w:sz w:val="20"/>
        </w:rPr>
        <w:t>Collection</w:t>
      </w:r>
      <w:r>
        <w:rPr>
          <w:spacing w:val="-3"/>
          <w:sz w:val="20"/>
        </w:rPr>
        <w:t xml:space="preserve"> </w:t>
      </w:r>
      <w:r>
        <w:rPr>
          <w:sz w:val="20"/>
        </w:rPr>
        <w:t>(RxDC)</w:t>
      </w:r>
      <w:r>
        <w:rPr>
          <w:spacing w:val="-4"/>
          <w:sz w:val="20"/>
        </w:rPr>
        <w:t xml:space="preserve"> </w:t>
      </w:r>
      <w:r>
        <w:rPr>
          <w:sz w:val="20"/>
        </w:rPr>
        <w:t>data</w:t>
      </w:r>
      <w:r>
        <w:rPr>
          <w:spacing w:val="-4"/>
          <w:sz w:val="20"/>
        </w:rPr>
        <w:t xml:space="preserve"> </w:t>
      </w:r>
      <w:r>
        <w:rPr>
          <w:sz w:val="20"/>
        </w:rPr>
        <w:t>submissions required under Section 204 of Division BB, Title II of the Consolidated Appropriations Act, 2021.</w:t>
      </w:r>
    </w:p>
    <w:p w:rsidR="00936CF4" w14:paraId="0FD6B394" w14:textId="77777777">
      <w:pPr>
        <w:ind w:right="390"/>
        <w:rPr>
          <w:sz w:val="20"/>
        </w:rPr>
      </w:pPr>
      <w:bookmarkStart w:id="6" w:name="_bookmark6"/>
      <w:bookmarkEnd w:id="6"/>
      <w:r>
        <w:rPr>
          <w:sz w:val="20"/>
          <w:vertAlign w:val="superscript"/>
        </w:rPr>
        <w:t>7</w:t>
      </w:r>
      <w:r>
        <w:rPr>
          <w:spacing w:val="-17"/>
          <w:sz w:val="20"/>
        </w:rPr>
        <w:t xml:space="preserve"> </w:t>
      </w:r>
      <w:r>
        <w:rPr>
          <w:sz w:val="20"/>
        </w:rPr>
        <w:t>See</w:t>
      </w:r>
      <w:r>
        <w:rPr>
          <w:spacing w:val="-13"/>
          <w:sz w:val="20"/>
        </w:rPr>
        <w:t xml:space="preserve"> </w:t>
      </w:r>
      <w:r>
        <w:rPr>
          <w:sz w:val="20"/>
        </w:rPr>
        <w:t>calculation</w:t>
      </w:r>
      <w:r>
        <w:rPr>
          <w:spacing w:val="-12"/>
          <w:sz w:val="20"/>
        </w:rPr>
        <w:t xml:space="preserve"> </w:t>
      </w:r>
      <w:r>
        <w:rPr>
          <w:sz w:val="20"/>
        </w:rPr>
        <w:t>at</w:t>
      </w:r>
      <w:r>
        <w:rPr>
          <w:spacing w:val="-9"/>
          <w:sz w:val="20"/>
        </w:rPr>
        <w:t xml:space="preserve"> </w:t>
      </w:r>
      <w:hyperlink r:id="rId9" w:anchor="footnote-383-p77685">
        <w:r>
          <w:rPr>
            <w:color w:val="0000FF"/>
            <w:sz w:val="20"/>
            <w:u w:val="single" w:color="0000FF"/>
          </w:rPr>
          <w:t>https://www.federalregister.gov/documents/2024/09/23/2024-20612/requirements-related-to-the-</w:t>
        </w:r>
      </w:hyperlink>
      <w:r>
        <w:rPr>
          <w:color w:val="0000FF"/>
          <w:sz w:val="20"/>
        </w:rPr>
        <w:t xml:space="preserve"> </w:t>
      </w:r>
      <w:hyperlink r:id="rId9" w:anchor="footnote-383-p77685">
        <w:r>
          <w:rPr>
            <w:color w:val="0000FF"/>
            <w:spacing w:val="-2"/>
            <w:sz w:val="20"/>
            <w:u w:val="single" w:color="0000FF"/>
          </w:rPr>
          <w:t>mental-health-parity-and-addiction-equity-act#footnote-383-p77685</w:t>
        </w:r>
        <w:r>
          <w:rPr>
            <w:spacing w:val="-2"/>
            <w:sz w:val="20"/>
          </w:rPr>
          <w:t>.</w:t>
        </w:r>
      </w:hyperlink>
    </w:p>
    <w:sectPr>
      <w:pgSz w:w="12240" w:h="15840"/>
      <w:pgMar w:top="1360" w:right="1080" w:bottom="1980" w:left="1440" w:header="0" w:footer="178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CF4" w14:paraId="22B7532F" w14:textId="77777777">
    <w:pPr>
      <w:pStyle w:val="BodyText"/>
      <w:spacing w:line="14" w:lineRule="auto"/>
      <w:ind w:left="0"/>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3856354</wp:posOffset>
              </wp:positionH>
              <wp:positionV relativeFrom="page">
                <wp:posOffset>8787925</wp:posOffset>
              </wp:positionV>
              <wp:extent cx="1651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936CF4"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pt;height:15.3pt;margin-top:691.95pt;margin-left:303.6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936CF4" w14:paraId="73026FC7"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5745F"/>
    <w:multiLevelType w:val="hybridMultilevel"/>
    <w:tmpl w:val="7404202A"/>
    <w:lvl w:ilvl="0">
      <w:start w:val="1"/>
      <w:numFmt w:val="upperLetter"/>
      <w:lvlText w:val="%1."/>
      <w:lvlJc w:val="left"/>
      <w:pPr>
        <w:ind w:left="432" w:hanging="432"/>
        <w:jc w:val="left"/>
      </w:pPr>
      <w:rPr>
        <w:rFonts w:ascii="Times New Roman" w:eastAsia="Times New Roman" w:hAnsi="Times New Roman" w:cs="Times New Roman" w:hint="default"/>
        <w:b/>
        <w:bCs/>
        <w:i w:val="0"/>
        <w:iCs w:val="0"/>
        <w:spacing w:val="-1"/>
        <w:w w:val="100"/>
        <w:sz w:val="24"/>
        <w:szCs w:val="24"/>
        <w:u w:val="single" w:color="000000"/>
        <w:lang w:val="en-US" w:eastAsia="en-US" w:bidi="ar-SA"/>
      </w:rPr>
    </w:lvl>
    <w:lvl w:ilvl="1">
      <w:start w:val="1"/>
      <w:numFmt w:val="decimal"/>
      <w:lvlText w:val="%2."/>
      <w:lvlJc w:val="left"/>
      <w:pPr>
        <w:ind w:left="432"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296" w:hanging="432"/>
      </w:pPr>
      <w:rPr>
        <w:rFonts w:hint="default"/>
        <w:lang w:val="en-US" w:eastAsia="en-US" w:bidi="ar-SA"/>
      </w:rPr>
    </w:lvl>
    <w:lvl w:ilvl="3">
      <w:start w:val="0"/>
      <w:numFmt w:val="bullet"/>
      <w:lvlText w:val="•"/>
      <w:lvlJc w:val="left"/>
      <w:pPr>
        <w:ind w:left="3224" w:hanging="432"/>
      </w:pPr>
      <w:rPr>
        <w:rFonts w:hint="default"/>
        <w:lang w:val="en-US" w:eastAsia="en-US" w:bidi="ar-SA"/>
      </w:rPr>
    </w:lvl>
    <w:lvl w:ilvl="4">
      <w:start w:val="0"/>
      <w:numFmt w:val="bullet"/>
      <w:lvlText w:val="•"/>
      <w:lvlJc w:val="left"/>
      <w:pPr>
        <w:ind w:left="4152" w:hanging="432"/>
      </w:pPr>
      <w:rPr>
        <w:rFonts w:hint="default"/>
        <w:lang w:val="en-US" w:eastAsia="en-US" w:bidi="ar-SA"/>
      </w:rPr>
    </w:lvl>
    <w:lvl w:ilvl="5">
      <w:start w:val="0"/>
      <w:numFmt w:val="bullet"/>
      <w:lvlText w:val="•"/>
      <w:lvlJc w:val="left"/>
      <w:pPr>
        <w:ind w:left="5080" w:hanging="432"/>
      </w:pPr>
      <w:rPr>
        <w:rFonts w:hint="default"/>
        <w:lang w:val="en-US" w:eastAsia="en-US" w:bidi="ar-SA"/>
      </w:rPr>
    </w:lvl>
    <w:lvl w:ilvl="6">
      <w:start w:val="0"/>
      <w:numFmt w:val="bullet"/>
      <w:lvlText w:val="•"/>
      <w:lvlJc w:val="left"/>
      <w:pPr>
        <w:ind w:left="6008" w:hanging="432"/>
      </w:pPr>
      <w:rPr>
        <w:rFonts w:hint="default"/>
        <w:lang w:val="en-US" w:eastAsia="en-US" w:bidi="ar-SA"/>
      </w:rPr>
    </w:lvl>
    <w:lvl w:ilvl="7">
      <w:start w:val="0"/>
      <w:numFmt w:val="bullet"/>
      <w:lvlText w:val="•"/>
      <w:lvlJc w:val="left"/>
      <w:pPr>
        <w:ind w:left="6936" w:hanging="432"/>
      </w:pPr>
      <w:rPr>
        <w:rFonts w:hint="default"/>
        <w:lang w:val="en-US" w:eastAsia="en-US" w:bidi="ar-SA"/>
      </w:rPr>
    </w:lvl>
    <w:lvl w:ilvl="8">
      <w:start w:val="0"/>
      <w:numFmt w:val="bullet"/>
      <w:lvlText w:val="•"/>
      <w:lvlJc w:val="left"/>
      <w:pPr>
        <w:ind w:left="7864" w:hanging="432"/>
      </w:pPr>
      <w:rPr>
        <w:rFonts w:hint="default"/>
        <w:lang w:val="en-US" w:eastAsia="en-US" w:bidi="ar-SA"/>
      </w:rPr>
    </w:lvl>
  </w:abstractNum>
  <w:num w:numId="1" w16cid:durableId="213047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F4"/>
    <w:rsid w:val="00270F6C"/>
    <w:rsid w:val="00936CF4"/>
    <w:rsid w:val="00B92002"/>
    <w:rsid w:val="00BD47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CE9412"/>
  <w15:docId w15:val="{DB789406-0050-40C0-AA04-D0060CBC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2"/>
    </w:pPr>
    <w:rPr>
      <w:sz w:val="24"/>
      <w:szCs w:val="24"/>
    </w:rPr>
  </w:style>
  <w:style w:type="paragraph" w:styleId="ListParagraph">
    <w:name w:val="List Paragraph"/>
    <w:basedOn w:val="Normal"/>
    <w:uiPriority w:val="1"/>
    <w:qFormat/>
    <w:pPr>
      <w:ind w:left="432" w:hanging="432"/>
    </w:pPr>
    <w:rPr>
      <w:u w:val="single" w:color="000000"/>
    </w:rPr>
  </w:style>
  <w:style w:type="paragraph" w:customStyle="1" w:styleId="TableParagraph">
    <w:name w:val="Table Paragraph"/>
    <w:basedOn w:val="Normal"/>
    <w:uiPriority w:val="1"/>
    <w:qFormat/>
    <w:pPr>
      <w:spacing w:before="2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bls.gov/oes/current/oes_nat.htm" TargetMode="External" /><Relationship Id="rId6" Type="http://schemas.openxmlformats.org/officeDocument/2006/relationships/hyperlink" Target="http://www.census.gov/data/tables/2022/econ/gus/2022-governments.html)" TargetMode="External" /><Relationship Id="rId7" Type="http://schemas.openxmlformats.org/officeDocument/2006/relationships/hyperlink" Target="http://www.kff.org/health-costs/report/2020-employer-health-benefits-survey/" TargetMode="External" /><Relationship Id="rId8" Type="http://schemas.openxmlformats.org/officeDocument/2006/relationships/hyperlink" Target="http://www.kff.org/health-" TargetMode="External" /><Relationship Id="rId9" Type="http://schemas.openxmlformats.org/officeDocument/2006/relationships/hyperlink" Target="https://www.federalregister.gov/documents/2024/09/23/2024-20612/requirements-related-to-the-mental-health-parity-and-addiction-equity-a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2409</Words>
  <Characters>13733</Characters>
  <Application>Microsoft Office Word</Application>
  <DocSecurity>0</DocSecurity>
  <Lines>114</Lines>
  <Paragraphs>32</Paragraphs>
  <ScaleCrop>false</ScaleCrop>
  <Company>Center For Medicaid Services</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Disclosure and Recordkeeping Requirements for Grandfathered Health Plans under the Affordable Care Act (CMS-10325/OMB Control Number: 0938-1093)</dc:title>
  <dc:subject>Grandfathered Health Plans</dc:subject>
  <dc:creator>CMS</dc:creator>
  <cp:keywords>Grandfathered Health Plans</cp:keywords>
  <cp:lastModifiedBy>Hill, Jamaa (CMS/OSORA)</cp:lastModifiedBy>
  <cp:revision>2</cp:revision>
  <dcterms:created xsi:type="dcterms:W3CDTF">2025-07-06T16:59:00Z</dcterms:created>
  <dcterms:modified xsi:type="dcterms:W3CDTF">2025-07-06T17:01:00Z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for Microsoft 365</vt:lpwstr>
  </property>
  <property fmtid="{D5CDD505-2E9C-101B-9397-08002B2CF9AE}" pid="4" name="LastSaved">
    <vt:filetime>2025-07-06T00:00:00Z</vt:filetime>
  </property>
  <property fmtid="{D5CDD505-2E9C-101B-9397-08002B2CF9AE}" pid="5" name="Producer">
    <vt:lpwstr>Microsoft® Word for Microsoft 365</vt:lpwstr>
  </property>
</Properties>
</file>