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1F5" w:rsidP="00895DF7" w14:paraId="68D1C002" w14:textId="3F1EB75E">
      <w:pPr>
        <w:spacing w:after="0" w:line="259" w:lineRule="auto"/>
        <w:ind w:left="0" w:firstLine="0"/>
        <w:jc w:val="center"/>
      </w:pPr>
      <w:r>
        <w:t>S</w:t>
      </w:r>
      <w:r w:rsidR="00E83C66">
        <w:t>upporting</w:t>
      </w:r>
      <w:r w:rsidR="00D90C40">
        <w:t xml:space="preserve"> Statement Part</w:t>
      </w:r>
      <w:r w:rsidR="003C2083">
        <w:t>-</w:t>
      </w:r>
      <w:r w:rsidR="00D90C40">
        <w:t>A</w:t>
      </w:r>
    </w:p>
    <w:p w:rsidR="00D90C40" w:rsidP="00D90C40" w14:paraId="51BFEDFC" w14:textId="77777777">
      <w:pPr>
        <w:ind w:left="3286" w:right="0" w:hanging="1846"/>
      </w:pPr>
      <w:r>
        <w:t>Creditable Coverage Disclosure to CMS On-Line Form and Instructions</w:t>
      </w:r>
    </w:p>
    <w:p w:rsidR="009871F5" w:rsidP="00D90C40" w14:paraId="4B19AD8B" w14:textId="77777777">
      <w:pPr>
        <w:ind w:left="3286" w:right="0" w:hanging="1846"/>
      </w:pPr>
      <w:r>
        <w:t xml:space="preserve">                               (CMS</w:t>
      </w:r>
      <w:r w:rsidR="007F3B83">
        <w:t>-1</w:t>
      </w:r>
      <w:r>
        <w:t>0198, OMB 0938-1013)</w:t>
      </w:r>
    </w:p>
    <w:p w:rsidR="009871F5" w14:paraId="332394E6" w14:textId="77777777">
      <w:pPr>
        <w:spacing w:after="0" w:line="259" w:lineRule="auto"/>
        <w:ind w:left="0" w:right="0" w:firstLine="0"/>
      </w:pPr>
      <w:r>
        <w:t xml:space="preserve"> </w:t>
      </w:r>
    </w:p>
    <w:p w:rsidR="009871F5" w14:paraId="77140881" w14:textId="77777777">
      <w:pPr>
        <w:pStyle w:val="Heading1"/>
        <w:ind w:left="-5"/>
      </w:pPr>
      <w:r>
        <w:t xml:space="preserve">Background </w:t>
      </w:r>
    </w:p>
    <w:p w:rsidR="009871F5" w14:paraId="56972B9B" w14:textId="77777777">
      <w:pPr>
        <w:spacing w:after="0" w:line="259" w:lineRule="auto"/>
        <w:ind w:left="0" w:right="0" w:firstLine="0"/>
      </w:pPr>
      <w:r>
        <w:rPr>
          <w:b/>
        </w:rPr>
        <w:t xml:space="preserve"> </w:t>
      </w:r>
    </w:p>
    <w:p w:rsidR="00C6697C" w:rsidP="003C2083" w14:paraId="5CD71315" w14:textId="14DF2CE3">
      <w:pPr>
        <w:ind w:left="-5" w:right="0"/>
      </w:pPr>
      <w:r>
        <w:t xml:space="preserve">An entity that provides prescription drug benefits to any Medicare Part D eligible individual must disclose to the Centers for Medicare &amp; Medicaid Services (CMS) whether the prescription drug benefit they offer is creditable (expected to pay at least as much, on average, as the standard prescription drug plan under Medicare). CMS released an online form and guidance in January 2006 for this disclosure. The form is titled “Disclosure to CMS Form” and is found at </w:t>
      </w:r>
      <w:r>
        <w:t xml:space="preserve"> </w:t>
      </w:r>
      <w:hyperlink r:id="rId4" w:history="1">
        <w:r w:rsidRPr="00C6697C">
          <w:rPr>
            <w:rStyle w:val="Hyperlink"/>
          </w:rPr>
          <w:t>https://www.cms.gov/medicare/employers-plan-sponsors/creditable-coverage/disclosure-form</w:t>
        </w:r>
      </w:hyperlink>
      <w:r>
        <w:t>.</w:t>
      </w:r>
    </w:p>
    <w:p w:rsidR="003C2083" w14:paraId="2CF2C393" w14:textId="77777777">
      <w:pPr>
        <w:ind w:left="-5" w:right="0"/>
      </w:pPr>
    </w:p>
    <w:p w:rsidR="009871F5" w14:paraId="0070C522" w14:textId="1104D3A7">
      <w:pPr>
        <w:ind w:left="-5" w:right="0"/>
      </w:pPr>
      <w:r>
        <w:t xml:space="preserve">The form </w:t>
      </w:r>
      <w:r w:rsidR="00077440">
        <w:t>is</w:t>
      </w:r>
      <w:r>
        <w:t xml:space="preserve"> the only form the entity must submit to CMS under this control number. There have been no changes to the requirements or form in this package from </w:t>
      </w:r>
      <w:r w:rsidR="00C21331">
        <w:t>prior</w:t>
      </w:r>
      <w:r>
        <w:t xml:space="preserve"> PRA</w:t>
      </w:r>
      <w:r w:rsidR="00C21331">
        <w:t xml:space="preserve">, thus CMS is requesting a Reinstatement without change type of approval. The expiration date has lapsed due to administrative matters. </w:t>
      </w:r>
      <w:r>
        <w:t xml:space="preserve"> </w:t>
      </w:r>
    </w:p>
    <w:p w:rsidR="009871F5" w14:paraId="01476B71" w14:textId="77777777">
      <w:pPr>
        <w:spacing w:after="0" w:line="259" w:lineRule="auto"/>
        <w:ind w:left="0" w:right="0" w:firstLine="0"/>
      </w:pPr>
      <w:r>
        <w:t xml:space="preserve"> </w:t>
      </w:r>
    </w:p>
    <w:p w:rsidR="009871F5" w14:paraId="2BF18979" w14:textId="77777777">
      <w:pPr>
        <w:pStyle w:val="Heading1"/>
        <w:tabs>
          <w:tab w:val="center" w:pos="1155"/>
        </w:tabs>
        <w:ind w:left="-15" w:firstLine="0"/>
      </w:pPr>
      <w:r>
        <w:t>A.</w:t>
      </w:r>
      <w:r>
        <w:rPr>
          <w:rFonts w:ascii="Arial" w:eastAsia="Arial" w:hAnsi="Arial" w:cs="Arial"/>
        </w:rPr>
        <w:t xml:space="preserve"> </w:t>
      </w:r>
      <w:r>
        <w:rPr>
          <w:rFonts w:ascii="Arial" w:eastAsia="Arial" w:hAnsi="Arial" w:cs="Arial"/>
        </w:rPr>
        <w:tab/>
      </w:r>
      <w:r>
        <w:t xml:space="preserve">Justification </w:t>
      </w:r>
    </w:p>
    <w:p w:rsidR="009871F5" w14:paraId="6C33A781" w14:textId="77777777">
      <w:pPr>
        <w:spacing w:after="0" w:line="259" w:lineRule="auto"/>
        <w:ind w:left="0" w:right="0" w:firstLine="0"/>
      </w:pPr>
      <w:r>
        <w:t xml:space="preserve"> </w:t>
      </w:r>
    </w:p>
    <w:p w:rsidR="009871F5" w14:paraId="14ADE86E" w14:textId="77777777">
      <w:pPr>
        <w:pStyle w:val="Heading2"/>
        <w:ind w:left="-5"/>
      </w:pPr>
      <w:r>
        <w:rPr>
          <w:u w:val="none"/>
        </w:rPr>
        <w:t xml:space="preserve">1.   </w:t>
      </w:r>
      <w:r>
        <w:t>Legal Basis</w:t>
      </w:r>
      <w:r>
        <w:rPr>
          <w:u w:val="none"/>
        </w:rPr>
        <w:t xml:space="preserve"> </w:t>
      </w:r>
    </w:p>
    <w:p w:rsidR="009871F5" w14:paraId="6EBA76AF" w14:textId="77777777">
      <w:pPr>
        <w:spacing w:after="0" w:line="259" w:lineRule="auto"/>
        <w:ind w:left="0" w:right="0" w:firstLine="0"/>
      </w:pPr>
      <w:r>
        <w:t xml:space="preserve"> </w:t>
      </w:r>
    </w:p>
    <w:p w:rsidR="009871F5" w14:paraId="026816A8" w14:textId="77777777">
      <w:pPr>
        <w:ind w:left="-5" w:right="0"/>
      </w:pPr>
      <w:r>
        <w:t xml:space="preserve">Section 1860D-13 of the Social Security Act, as established by the Medicare Prescription Drug, </w:t>
      </w:r>
    </w:p>
    <w:p w:rsidR="009871F5" w14:paraId="6E39E0E7" w14:textId="77777777">
      <w:pPr>
        <w:ind w:left="-5" w:right="0"/>
      </w:pPr>
      <w:r>
        <w:t xml:space="preserve">Improvement, and Modernization Act of 2003 (MMA) and implementing regulations at 42 CFR §423.56(e), require that entities that offer prescription drug benefits under any of the types of coverage described in 42 CFR §423.56(b) provide a disclosure of creditable coverage to CMS. There are other disclosure and notification requirements to Part D eligible individuals in §423.56(c), (d), and (f); this PRA covers the requirement in subsection (e). Entities required to make this disclosure state whether their prescription drug coverage meets the actuarial requirements defined in §423.56(a). In general, this actuarial determination measures whether the expected amount of paid claims under the entity’s prescription drug coverage is at least as much as the expected amount of paid claims under the standard Medicare prescription drug benefit. See 70 FR 4225 (January 28, 2005) at </w:t>
      </w:r>
      <w:hyperlink r:id="rId5">
        <w:r>
          <w:rPr>
            <w:color w:val="0000FF"/>
            <w:u w:val="single" w:color="0000FF"/>
          </w:rPr>
          <w:t>https://www.govinfo.gov/content/pkg/FR-2005-01-28/pdf/05-1321.pdf</w:t>
        </w:r>
      </w:hyperlink>
      <w:hyperlink r:id="rId5">
        <w:r>
          <w:t xml:space="preserve"> </w:t>
        </w:r>
      </w:hyperlink>
      <w:r>
        <w:t xml:space="preserve">for more information. </w:t>
      </w:r>
    </w:p>
    <w:p w:rsidR="009871F5" w14:paraId="3D75EEC3" w14:textId="77777777">
      <w:pPr>
        <w:spacing w:after="0" w:line="259" w:lineRule="auto"/>
        <w:ind w:left="0" w:right="0" w:firstLine="0"/>
      </w:pPr>
      <w:r>
        <w:t xml:space="preserve"> </w:t>
      </w:r>
    </w:p>
    <w:p w:rsidR="009871F5" w14:paraId="70558E85" w14:textId="77777777">
      <w:pPr>
        <w:ind w:left="-5" w:right="0"/>
      </w:pPr>
      <w:r>
        <w:t xml:space="preserve">Section 423.56(e) states that the disclosure to CMS must occur in a form and manner described by </w:t>
      </w:r>
    </w:p>
    <w:p w:rsidR="009871F5" w14:paraId="1D4982CC" w14:textId="77777777">
      <w:pPr>
        <w:ind w:left="-5" w:right="0"/>
      </w:pPr>
      <w:r>
        <w:t xml:space="preserve">CMS. The entities exempted under 42 CFR §423.56(e) include Medicare prescription drug plans (PDPs), Medicare Advantage plans that offer prescription drug coverage (MA-PDs), and Programs of All-Inclusive Care for the Elderly (PACE) or cost-based HMOs or CMPs that provide “qualified Part D coverage” as defined in 42 CFR §423.100. As further explained in sub-regulatory guidance, a sponsor that has been approved for the Retiree Drug Subsidy (RDS) is exempt from filing the Disclosure to CMS Form with respect to those qualified covered retirees for which the sponsor is </w:t>
      </w:r>
      <w:r>
        <w:t xml:space="preserve">claiming the RDS. The reason for this is because the sponsor’s RDS application serves as its Disclosure to CMS under 42 CFR §423.56(e). For example: If a plan option has 100 retired beneficiaries and the plan claims RDS for 97 of them, the plan must report the 3 non-RDS participants on the Disclosure to CMS form, in addition to the non-RDS participants on other plan options. </w:t>
      </w:r>
    </w:p>
    <w:p w:rsidR="009871F5" w14:paraId="282B96F7" w14:textId="77777777">
      <w:pPr>
        <w:spacing w:after="0" w:line="259" w:lineRule="auto"/>
        <w:ind w:left="0" w:right="0" w:firstLine="0"/>
      </w:pPr>
      <w:r>
        <w:t xml:space="preserve"> </w:t>
      </w:r>
    </w:p>
    <w:p w:rsidR="009871F5" w14:paraId="2B4B46D1" w14:textId="77777777">
      <w:pPr>
        <w:pStyle w:val="Heading2"/>
        <w:ind w:left="-5"/>
      </w:pPr>
      <w:r>
        <w:t>Timing of CMS Disclosure</w:t>
      </w:r>
      <w:r>
        <w:rPr>
          <w:u w:val="none"/>
        </w:rPr>
        <w:t xml:space="preserve"> </w:t>
      </w:r>
    </w:p>
    <w:p w:rsidR="009871F5" w14:paraId="01E8858A" w14:textId="77777777">
      <w:pPr>
        <w:spacing w:after="0" w:line="259" w:lineRule="auto"/>
        <w:ind w:left="0" w:right="0" w:firstLine="0"/>
      </w:pPr>
      <w:r>
        <w:t xml:space="preserve"> </w:t>
      </w:r>
    </w:p>
    <w:p w:rsidR="009871F5" w14:paraId="5057A8CB" w14:textId="77777777">
      <w:pPr>
        <w:ind w:left="-5" w:right="0"/>
      </w:pPr>
      <w:r>
        <w:t xml:space="preserve">Entities subject to the creditable coverage disclosure to CMS must submit their information at these times:  </w:t>
      </w:r>
    </w:p>
    <w:p w:rsidR="009871F5" w14:paraId="4DF34D4A" w14:textId="77777777">
      <w:pPr>
        <w:numPr>
          <w:ilvl w:val="0"/>
          <w:numId w:val="1"/>
        </w:numPr>
        <w:ind w:right="0" w:hanging="360"/>
      </w:pPr>
      <w:r>
        <w:t xml:space="preserve">No later than sixty (60 days) following the beginning date of the entity’s plan year;  </w:t>
      </w:r>
    </w:p>
    <w:p w:rsidR="009871F5" w14:paraId="09E8DCB0" w14:textId="77777777">
      <w:pPr>
        <w:numPr>
          <w:ilvl w:val="0"/>
          <w:numId w:val="1"/>
        </w:numPr>
        <w:ind w:right="0" w:hanging="360"/>
      </w:pPr>
      <w:r>
        <w:t xml:space="preserve">Within 30 days after termination of a prescription drug plan; or  </w:t>
      </w:r>
    </w:p>
    <w:p w:rsidR="009871F5" w14:paraId="45670662" w14:textId="77777777">
      <w:pPr>
        <w:numPr>
          <w:ilvl w:val="0"/>
          <w:numId w:val="1"/>
        </w:numPr>
        <w:ind w:right="0" w:hanging="360"/>
      </w:pPr>
      <w:r>
        <w:t xml:space="preserve">Within 30 days after any change in creditable coverage status. </w:t>
      </w:r>
    </w:p>
    <w:p w:rsidR="009871F5" w14:paraId="1C6CAB28" w14:textId="77777777">
      <w:pPr>
        <w:spacing w:after="0" w:line="259" w:lineRule="auto"/>
        <w:ind w:left="0" w:right="0" w:firstLine="0"/>
      </w:pPr>
      <w:r>
        <w:t xml:space="preserve"> </w:t>
      </w:r>
    </w:p>
    <w:p w:rsidR="009871F5" w14:paraId="0FEED0EF" w14:textId="77777777">
      <w:pPr>
        <w:pStyle w:val="Heading3"/>
        <w:ind w:left="-5"/>
      </w:pPr>
      <w:r>
        <w:rPr>
          <w:u w:val="none"/>
        </w:rPr>
        <w:t xml:space="preserve">2.  </w:t>
      </w:r>
      <w:r>
        <w:t>Information Users</w:t>
      </w:r>
      <w:r>
        <w:rPr>
          <w:u w:val="none"/>
        </w:rPr>
        <w:t xml:space="preserve"> </w:t>
      </w:r>
    </w:p>
    <w:p w:rsidR="009871F5" w14:paraId="57D22B87" w14:textId="77777777">
      <w:pPr>
        <w:spacing w:after="0" w:line="259" w:lineRule="auto"/>
        <w:ind w:left="0" w:right="0" w:firstLine="0"/>
      </w:pPr>
      <w:r>
        <w:t xml:space="preserve"> </w:t>
      </w:r>
    </w:p>
    <w:p w:rsidR="009871F5" w14:paraId="34DCB78E" w14:textId="77777777">
      <w:pPr>
        <w:ind w:left="-5" w:right="0"/>
      </w:pPr>
      <w:r>
        <w:t xml:space="preserve">Disclosure of whether prescription drug coverage is creditable provides Medicare with important information relating to whether prescription drug benefits offered by an entity to Medicare Part D eligible individuals is expected to pay at least as much as the standard benefits under Medicare Part D. The form is used as a reporting tool where entities offering prescription drug coverage indicate whether the coverage being provided is considered creditable or non-creditable.        </w:t>
      </w:r>
    </w:p>
    <w:p w:rsidR="009871F5" w14:paraId="127A9071" w14:textId="77777777">
      <w:pPr>
        <w:spacing w:after="0" w:line="259" w:lineRule="auto"/>
        <w:ind w:left="0" w:right="0" w:firstLine="0"/>
      </w:pPr>
      <w:r>
        <w:t xml:space="preserve"> </w:t>
      </w:r>
    </w:p>
    <w:p w:rsidR="009871F5" w14:paraId="0303E7F7" w14:textId="77777777">
      <w:pPr>
        <w:ind w:left="-5" w:right="0"/>
      </w:pPr>
      <w:r>
        <w:t xml:space="preserve">Beneficiaries have appeal rights when assessed a Part D late enrollment penalty (LEP) due to lack of prior creditable coverage. In researching the facts related to the appeal, the Part D Independent Review Entity (IRE) may need to investigate whether the beneficiary had creditable coverage for the time period in question. The disclosures contain this information. </w:t>
      </w:r>
    </w:p>
    <w:p w:rsidR="009871F5" w14:paraId="47E6A8F3" w14:textId="77777777">
      <w:pPr>
        <w:spacing w:after="0" w:line="259" w:lineRule="auto"/>
        <w:ind w:left="0" w:right="0" w:firstLine="0"/>
      </w:pPr>
      <w:r>
        <w:t xml:space="preserve"> </w:t>
      </w:r>
    </w:p>
    <w:p w:rsidR="009871F5" w14:paraId="76EC5149" w14:textId="77777777">
      <w:pPr>
        <w:pStyle w:val="Heading3"/>
        <w:ind w:left="-5"/>
      </w:pPr>
      <w:r>
        <w:rPr>
          <w:u w:val="none"/>
        </w:rPr>
        <w:t>3.</w:t>
      </w:r>
      <w:r>
        <w:rPr>
          <w:rFonts w:ascii="Arial" w:eastAsia="Arial" w:hAnsi="Arial" w:cs="Arial"/>
          <w:u w:val="none"/>
        </w:rPr>
        <w:t xml:space="preserve"> </w:t>
      </w:r>
      <w:r>
        <w:t>Use of Information Technology</w:t>
      </w:r>
      <w:r>
        <w:rPr>
          <w:u w:val="none"/>
        </w:rPr>
        <w:t xml:space="preserve"> </w:t>
      </w:r>
    </w:p>
    <w:p w:rsidR="009871F5" w14:paraId="62F75AA6" w14:textId="77777777">
      <w:pPr>
        <w:spacing w:after="0" w:line="259" w:lineRule="auto"/>
        <w:ind w:left="0" w:right="0" w:firstLine="0"/>
      </w:pPr>
      <w:r>
        <w:t xml:space="preserve"> </w:t>
      </w:r>
    </w:p>
    <w:p w:rsidR="009871F5" w14:paraId="465D7955" w14:textId="77777777">
      <w:pPr>
        <w:spacing w:after="0" w:line="238" w:lineRule="auto"/>
        <w:ind w:left="0" w:right="0" w:firstLine="0"/>
      </w:pPr>
      <w:r>
        <w:t xml:space="preserve">CMS is continuing to use a web form titled “Disclosure to CMS Form”, available at </w:t>
      </w:r>
      <w:hyperlink r:id="rId6">
        <w:r>
          <w:rPr>
            <w:color w:val="0000FF"/>
            <w:u w:val="single" w:color="0000FF"/>
          </w:rPr>
          <w:t>https://www.cms.gov/Medicare/Prescription-Drug</w:t>
        </w:r>
      </w:hyperlink>
      <w:hyperlink r:id="rId6">
        <w:r>
          <w:rPr>
            <w:color w:val="0000FF"/>
            <w:u w:val="single" w:color="0000FF"/>
          </w:rPr>
          <w:t>Coverage/CreditableCoverage/CCDisclosureForm</w:t>
        </w:r>
      </w:hyperlink>
      <w:hyperlink r:id="rId6">
        <w:r>
          <w:t>.</w:t>
        </w:r>
      </w:hyperlink>
      <w:r>
        <w:t xml:space="preserve">  </w:t>
      </w:r>
    </w:p>
    <w:p w:rsidR="009871F5" w14:paraId="0B04825B" w14:textId="77777777">
      <w:pPr>
        <w:spacing w:after="0" w:line="259" w:lineRule="auto"/>
        <w:ind w:left="0" w:right="0" w:firstLine="0"/>
      </w:pPr>
      <w:r>
        <w:t xml:space="preserve"> </w:t>
      </w:r>
    </w:p>
    <w:p w:rsidR="009871F5" w14:paraId="470993AE" w14:textId="77777777">
      <w:pPr>
        <w:pStyle w:val="Heading3"/>
        <w:ind w:left="-5"/>
      </w:pPr>
      <w:r>
        <w:rPr>
          <w:u w:val="none"/>
        </w:rPr>
        <w:t>4.</w:t>
      </w:r>
      <w:r>
        <w:rPr>
          <w:rFonts w:ascii="Arial" w:eastAsia="Arial" w:hAnsi="Arial" w:cs="Arial"/>
          <w:u w:val="none"/>
        </w:rPr>
        <w:t xml:space="preserve"> </w:t>
      </w:r>
      <w:r>
        <w:t>Duplication of Efforts</w:t>
      </w:r>
      <w:r>
        <w:rPr>
          <w:u w:val="none"/>
        </w:rPr>
        <w:t xml:space="preserve"> </w:t>
      </w:r>
    </w:p>
    <w:p w:rsidR="009871F5" w14:paraId="55736402" w14:textId="77777777">
      <w:pPr>
        <w:spacing w:after="0" w:line="259" w:lineRule="auto"/>
        <w:ind w:left="0" w:right="0" w:firstLine="0"/>
      </w:pPr>
      <w:r>
        <w:t xml:space="preserve"> </w:t>
      </w:r>
    </w:p>
    <w:p w:rsidR="009871F5" w14:paraId="46D08CD9" w14:textId="77777777">
      <w:pPr>
        <w:ind w:left="-5" w:right="0"/>
      </w:pPr>
      <w:r>
        <w:t xml:space="preserve">The information collection requirements (ICRs) contained in the regulations are not duplicated through any other effort. </w:t>
      </w:r>
    </w:p>
    <w:p w:rsidR="009871F5" w14:paraId="49B83ECB" w14:textId="77777777">
      <w:pPr>
        <w:spacing w:after="0" w:line="259" w:lineRule="auto"/>
        <w:ind w:left="0" w:right="0" w:firstLine="0"/>
      </w:pPr>
      <w:r>
        <w:t xml:space="preserve"> </w:t>
      </w:r>
    </w:p>
    <w:p w:rsidR="009871F5" w14:paraId="3C4DC30B" w14:textId="77777777">
      <w:pPr>
        <w:pStyle w:val="Heading3"/>
        <w:ind w:left="-5"/>
      </w:pPr>
      <w:r>
        <w:rPr>
          <w:u w:val="none"/>
        </w:rPr>
        <w:t>5.</w:t>
      </w:r>
      <w:r>
        <w:rPr>
          <w:rFonts w:ascii="Arial" w:eastAsia="Arial" w:hAnsi="Arial" w:cs="Arial"/>
          <w:u w:val="none"/>
        </w:rPr>
        <w:t xml:space="preserve"> </w:t>
      </w:r>
      <w:r>
        <w:t>Small Businesses</w:t>
      </w:r>
      <w:r>
        <w:rPr>
          <w:u w:val="none"/>
        </w:rPr>
        <w:t xml:space="preserve"> </w:t>
      </w:r>
    </w:p>
    <w:p w:rsidR="009871F5" w14:paraId="0E4059E9" w14:textId="77777777">
      <w:pPr>
        <w:spacing w:after="0" w:line="259" w:lineRule="auto"/>
        <w:ind w:left="0" w:right="0" w:firstLine="0"/>
      </w:pPr>
      <w:r>
        <w:t xml:space="preserve"> </w:t>
      </w:r>
    </w:p>
    <w:p w:rsidR="009871F5" w14:paraId="55C5FC1C" w14:textId="77777777">
      <w:pPr>
        <w:ind w:left="-5" w:right="0"/>
      </w:pPr>
      <w:r>
        <w:t xml:space="preserve">Some entities subject to this disclosure requirement are small businesses and will have to comply with all the information requirements described in this supporting statement. The burden is small for all entities and no more or less burdensome on small businesses. </w:t>
      </w:r>
    </w:p>
    <w:p w:rsidR="009871F5" w14:paraId="2765AE6B" w14:textId="77777777">
      <w:pPr>
        <w:spacing w:after="0" w:line="259" w:lineRule="auto"/>
        <w:ind w:left="0" w:right="0" w:firstLine="0"/>
      </w:pPr>
      <w:r>
        <w:t xml:space="preserve"> </w:t>
      </w:r>
    </w:p>
    <w:p w:rsidR="009871F5" w14:paraId="02E0F619" w14:textId="77777777">
      <w:pPr>
        <w:pStyle w:val="Heading3"/>
        <w:tabs>
          <w:tab w:val="center" w:pos="1716"/>
        </w:tabs>
        <w:ind w:left="-15"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p>
    <w:p w:rsidR="009871F5" w14:paraId="0B4DCB8B" w14:textId="77777777">
      <w:pPr>
        <w:spacing w:after="0" w:line="259" w:lineRule="auto"/>
        <w:ind w:left="0" w:right="0" w:firstLine="0"/>
      </w:pPr>
      <w:r>
        <w:t xml:space="preserve"> </w:t>
      </w:r>
    </w:p>
    <w:p w:rsidR="009871F5" w14:paraId="4286384A" w14:textId="77777777">
      <w:pPr>
        <w:ind w:left="-5" w:right="0"/>
      </w:pPr>
      <w:r>
        <w:t xml:space="preserve">As defined in §423.56(a), prescription drug coverage is considered creditable only if the actuarial value of the coverage equals or exceeds the actuarial value of defined standard prescription drug coverage under Part D in effect at the start of such plan year. Given that this value can change from year to year, entities are expected to disclose their coverage on an annual basis. </w:t>
      </w:r>
    </w:p>
    <w:p w:rsidR="009871F5" w14:paraId="322A4079" w14:textId="77777777">
      <w:pPr>
        <w:spacing w:after="0" w:line="259" w:lineRule="auto"/>
        <w:ind w:left="0" w:right="0" w:firstLine="0"/>
      </w:pPr>
      <w:r>
        <w:t xml:space="preserve"> </w:t>
      </w:r>
    </w:p>
    <w:p w:rsidR="009871F5" w14:paraId="19F82518" w14:textId="77777777">
      <w:pPr>
        <w:pStyle w:val="Heading3"/>
        <w:tabs>
          <w:tab w:val="center" w:pos="1599"/>
        </w:tabs>
        <w:ind w:left="-15" w:firstLine="0"/>
      </w:pP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9871F5" w14:paraId="5FB3D9F7" w14:textId="77777777">
      <w:pPr>
        <w:spacing w:after="0" w:line="259" w:lineRule="auto"/>
        <w:ind w:left="0" w:right="0" w:firstLine="0"/>
      </w:pPr>
      <w:r>
        <w:t xml:space="preserve"> </w:t>
      </w:r>
    </w:p>
    <w:p w:rsidR="003C2083" w:rsidP="00B27BD9" w14:paraId="6FA72CCB" w14:textId="737E4E73">
      <w:pPr>
        <w:spacing w:line="240" w:lineRule="auto"/>
        <w:ind w:right="0"/>
      </w:pPr>
      <w:r>
        <w:t xml:space="preserve">There are no special circumstances that would require an information collection to be conducted </w:t>
      </w:r>
      <w:r w:rsidR="00B47E9E">
        <w:t xml:space="preserve"> </w:t>
      </w:r>
    </w:p>
    <w:p w:rsidR="009871F5" w14:paraId="388ED926" w14:textId="77777777">
      <w:pPr>
        <w:spacing w:after="0" w:line="259" w:lineRule="auto"/>
        <w:ind w:left="0" w:right="0" w:firstLine="0"/>
      </w:pPr>
      <w:r>
        <w:t xml:space="preserve"> </w:t>
      </w:r>
    </w:p>
    <w:p w:rsidR="009871F5" w14:paraId="5B2D4B70" w14:textId="77777777">
      <w:pPr>
        <w:tabs>
          <w:tab w:val="center" w:pos="2351"/>
        </w:tabs>
        <w:spacing w:after="0" w:line="259" w:lineRule="auto"/>
        <w:ind w:left="-15" w:right="0" w:firstLine="0"/>
      </w:pPr>
      <w:r>
        <w:t>8.</w:t>
      </w:r>
      <w:r>
        <w:rPr>
          <w:rFonts w:ascii="Arial" w:eastAsia="Arial" w:hAnsi="Arial" w:cs="Arial"/>
        </w:rPr>
        <w:t xml:space="preserve"> </w:t>
      </w:r>
      <w:r>
        <w:rPr>
          <w:rFonts w:ascii="Arial" w:eastAsia="Arial" w:hAnsi="Arial" w:cs="Arial"/>
        </w:rPr>
        <w:tab/>
      </w:r>
      <w:r>
        <w:rPr>
          <w:u w:val="single" w:color="000000"/>
        </w:rPr>
        <w:t>Federal Register/Outside Consultation</w:t>
      </w:r>
      <w:r>
        <w:t xml:space="preserve"> </w:t>
      </w:r>
    </w:p>
    <w:p w:rsidR="009871F5" w14:paraId="73B3F036" w14:textId="77777777">
      <w:pPr>
        <w:spacing w:after="0" w:line="259" w:lineRule="auto"/>
        <w:ind w:left="0" w:right="0" w:firstLine="0"/>
      </w:pPr>
      <w:r>
        <w:t xml:space="preserve"> </w:t>
      </w:r>
    </w:p>
    <w:p w:rsidR="009871F5" w14:paraId="5913305E" w14:textId="77777777">
      <w:pPr>
        <w:spacing w:after="0" w:line="259" w:lineRule="auto"/>
        <w:ind w:left="-5" w:right="0"/>
      </w:pPr>
      <w:r>
        <w:rPr>
          <w:i/>
        </w:rPr>
        <w:t xml:space="preserve">Federal Register Notice </w:t>
      </w:r>
    </w:p>
    <w:p w:rsidR="009871F5" w14:paraId="50335D97" w14:textId="77777777">
      <w:pPr>
        <w:spacing w:after="0" w:line="259" w:lineRule="auto"/>
        <w:ind w:left="0" w:right="0" w:firstLine="0"/>
      </w:pPr>
      <w:r>
        <w:t xml:space="preserve"> </w:t>
      </w:r>
    </w:p>
    <w:p w:rsidR="00797BA4" w:rsidRPr="00797BA4" w:rsidP="00797BA4" w14:paraId="5D9A42B8" w14:textId="5A3D7389">
      <w:pPr>
        <w:ind w:left="-5" w:right="0"/>
      </w:pPr>
      <w:r w:rsidRPr="00797BA4">
        <w:t xml:space="preserve">The 60-day notice published in the Federal Register on </w:t>
      </w:r>
      <w:r w:rsidR="00C21331">
        <w:t>4/21/2025</w:t>
      </w:r>
      <w:r w:rsidRPr="00797BA4">
        <w:t xml:space="preserve"> (</w:t>
      </w:r>
      <w:r w:rsidRPr="00C21331" w:rsidR="00C21331">
        <w:t>90 FR 16685</w:t>
      </w:r>
      <w:r w:rsidRPr="00797BA4">
        <w:t xml:space="preserve">).  </w:t>
      </w:r>
    </w:p>
    <w:p w:rsidR="009871F5" w14:paraId="45975839" w14:textId="4B0AC47C">
      <w:pPr>
        <w:ind w:left="-5" w:right="0"/>
      </w:pPr>
      <w:r>
        <w:t xml:space="preserve"> </w:t>
      </w:r>
      <w:r w:rsidR="00C21331">
        <w:t xml:space="preserve">No comments received during the 60-day comment period. </w:t>
      </w:r>
    </w:p>
    <w:p w:rsidR="00C21331" w14:paraId="3846E4F5" w14:textId="77777777">
      <w:pPr>
        <w:ind w:left="-5" w:right="0"/>
      </w:pPr>
    </w:p>
    <w:p w:rsidR="00C21331" w:rsidRPr="00797BA4" w:rsidP="00C21331" w14:paraId="5C819681" w14:textId="4254BDA9">
      <w:pPr>
        <w:ind w:left="-5" w:right="0"/>
      </w:pPr>
      <w:r w:rsidRPr="00797BA4">
        <w:t xml:space="preserve">The </w:t>
      </w:r>
      <w:r>
        <w:t>3</w:t>
      </w:r>
      <w:r w:rsidRPr="00797BA4">
        <w:t xml:space="preserve">0-day notice published in the Federal Register on </w:t>
      </w:r>
      <w:r w:rsidR="009F7DCF">
        <w:t>7/14/2025</w:t>
      </w:r>
      <w:r w:rsidRPr="00797BA4">
        <w:t xml:space="preserve"> (</w:t>
      </w:r>
      <w:r w:rsidRPr="00C21331">
        <w:t>90 FR</w:t>
      </w:r>
      <w:r w:rsidR="009F7DCF">
        <w:t xml:space="preserve"> 31209</w:t>
      </w:r>
      <w:r w:rsidRPr="00C21331">
        <w:t xml:space="preserve"> </w:t>
      </w:r>
      <w:r w:rsidRPr="00797BA4">
        <w:t xml:space="preserve">).  </w:t>
      </w:r>
    </w:p>
    <w:p w:rsidR="00C21331" w14:paraId="7B2F3141" w14:textId="77777777">
      <w:pPr>
        <w:ind w:left="-5" w:right="0"/>
      </w:pPr>
    </w:p>
    <w:p w:rsidR="009871F5" w14:paraId="5A206B4E" w14:textId="77777777">
      <w:pPr>
        <w:spacing w:after="0" w:line="259" w:lineRule="auto"/>
        <w:ind w:left="0" w:right="0" w:firstLine="0"/>
      </w:pPr>
      <w:r>
        <w:t xml:space="preserve"> </w:t>
      </w:r>
    </w:p>
    <w:p w:rsidR="009871F5" w14:paraId="28C17F0E" w14:textId="77777777">
      <w:pPr>
        <w:pStyle w:val="Heading3"/>
        <w:ind w:left="-5"/>
      </w:pPr>
      <w:r>
        <w:rPr>
          <w:i/>
          <w:u w:val="none"/>
        </w:rPr>
        <w:t xml:space="preserve">Outside Consultations </w:t>
      </w:r>
    </w:p>
    <w:p w:rsidR="009871F5" w14:paraId="22340F42" w14:textId="77777777">
      <w:pPr>
        <w:spacing w:after="0" w:line="259" w:lineRule="auto"/>
        <w:ind w:left="0" w:right="0" w:firstLine="0"/>
      </w:pPr>
      <w:r>
        <w:t xml:space="preserve"> </w:t>
      </w:r>
    </w:p>
    <w:p w:rsidR="009871F5" w14:paraId="423A2248" w14:textId="77777777">
      <w:pPr>
        <w:ind w:left="-5" w:right="0"/>
      </w:pPr>
      <w:r>
        <w:t xml:space="preserve">In the course of developing the Final Regulations for the Medicare Prescription Drug Benefit </w:t>
      </w:r>
    </w:p>
    <w:p w:rsidR="009871F5" w14:paraId="4B41ECB0" w14:textId="77777777">
      <w:pPr>
        <w:ind w:left="-5" w:right="0"/>
      </w:pPr>
      <w:r>
        <w:t xml:space="preserve">Program (CMS-4068-F), the required Federal Register notice was published on August 3, 2004 (69 </w:t>
      </w:r>
    </w:p>
    <w:p w:rsidR="009871F5" w14:paraId="3B21EF2F" w14:textId="67EB07CD">
      <w:pPr>
        <w:ind w:left="-5" w:right="0"/>
      </w:pPr>
      <w:r>
        <w:t xml:space="preserve">FR 46632). The Office of Management and Budget (OMB) waived the requirement for a second Federal Register notice. The final rule went on display on January 21, 2005 to announce the new or revised ICRs. The public meetings were held in February at CMS and written comments were received, which were in turn utilized by CMS during the regulations drafting stage. Also, CMS consulted with technical experts and industry and beneficiary advocates to obtain their opinions on the creditable coverage disclosure provisions of the statute. These consultations continued as CMS implemented the final rule. </w:t>
      </w:r>
      <w:r w:rsidR="00606213">
        <w:t xml:space="preserve">  Since the implementation of this online disclosure form, there has been no outside consultation.  </w:t>
      </w:r>
    </w:p>
    <w:p w:rsidR="009871F5" w14:paraId="1FE1B059" w14:textId="77777777">
      <w:pPr>
        <w:spacing w:after="0" w:line="259" w:lineRule="auto"/>
        <w:ind w:left="0" w:right="0" w:firstLine="0"/>
      </w:pPr>
      <w:r>
        <w:t xml:space="preserve"> </w:t>
      </w:r>
    </w:p>
    <w:p w:rsidR="009871F5" w14:paraId="30370ABE" w14:textId="77777777">
      <w:pPr>
        <w:tabs>
          <w:tab w:val="center" w:pos="2024"/>
        </w:tabs>
        <w:spacing w:after="0" w:line="259" w:lineRule="auto"/>
        <w:ind w:left="-15" w:right="0" w:firstLine="0"/>
      </w:pPr>
      <w:r>
        <w:t>9.</w:t>
      </w:r>
      <w:r>
        <w:rPr>
          <w:rFonts w:ascii="Arial" w:eastAsia="Arial" w:hAnsi="Arial" w:cs="Arial"/>
        </w:rPr>
        <w:t xml:space="preserve"> </w:t>
      </w:r>
      <w:r>
        <w:rPr>
          <w:rFonts w:ascii="Arial" w:eastAsia="Arial" w:hAnsi="Arial" w:cs="Arial"/>
        </w:rPr>
        <w:tab/>
      </w:r>
      <w:r>
        <w:rPr>
          <w:u w:val="single" w:color="000000"/>
        </w:rPr>
        <w:t>Payments/Gifts to Respondents</w:t>
      </w:r>
      <w:r>
        <w:t xml:space="preserve"> </w:t>
      </w:r>
    </w:p>
    <w:p w:rsidR="009871F5" w14:paraId="4AA3EEA5" w14:textId="77777777">
      <w:pPr>
        <w:spacing w:after="0" w:line="259" w:lineRule="auto"/>
        <w:ind w:left="0" w:right="0" w:firstLine="0"/>
      </w:pPr>
      <w:r>
        <w:t xml:space="preserve"> </w:t>
      </w:r>
    </w:p>
    <w:p w:rsidR="009871F5" w14:paraId="0E06FEB2" w14:textId="77777777">
      <w:pPr>
        <w:ind w:left="-5" w:right="0"/>
      </w:pPr>
      <w:r>
        <w:t xml:space="preserve">There are no payments/gifts to respondents.  </w:t>
      </w:r>
    </w:p>
    <w:p w:rsidR="00797BA4" w14:paraId="23AE4E80" w14:textId="491537A9">
      <w:pPr>
        <w:spacing w:after="0" w:line="259" w:lineRule="auto"/>
        <w:ind w:left="0" w:right="0" w:firstLine="0"/>
      </w:pPr>
      <w:r>
        <w:t xml:space="preserve"> </w:t>
      </w:r>
    </w:p>
    <w:p w:rsidR="009871F5" w14:paraId="7106405D" w14:textId="77777777">
      <w:pPr>
        <w:pStyle w:val="Heading4"/>
        <w:ind w:left="-5"/>
      </w:pPr>
      <w:r>
        <w:rPr>
          <w:u w:val="none"/>
        </w:rPr>
        <w:t>10.</w:t>
      </w:r>
      <w:r>
        <w:rPr>
          <w:rFonts w:ascii="Arial" w:eastAsia="Arial" w:hAnsi="Arial" w:cs="Arial"/>
          <w:u w:val="none"/>
        </w:rPr>
        <w:t xml:space="preserve"> </w:t>
      </w:r>
      <w:r>
        <w:t>Confidentiality</w:t>
      </w:r>
      <w:r>
        <w:rPr>
          <w:u w:val="none"/>
        </w:rPr>
        <w:t xml:space="preserve"> </w:t>
      </w:r>
    </w:p>
    <w:p w:rsidR="009871F5" w14:paraId="17E03503" w14:textId="77777777">
      <w:pPr>
        <w:spacing w:after="0" w:line="259" w:lineRule="auto"/>
        <w:ind w:left="0" w:right="0" w:firstLine="0"/>
      </w:pPr>
      <w:r>
        <w:t xml:space="preserve"> </w:t>
      </w:r>
    </w:p>
    <w:p w:rsidR="00B32D7E" w:rsidP="00B32D7E" w14:paraId="03CC9C86" w14:textId="77777777">
      <w:pPr>
        <w:spacing w:after="0" w:line="259" w:lineRule="auto"/>
        <w:ind w:left="0" w:firstLine="0"/>
      </w:pPr>
      <w:r>
        <w:t xml:space="preserve">The information disclosed in the “Disclosure to CMS Form” must conform to all requirements at 42 CFR §423.56, and in all Federal and State laws regarding confidentiality and disclosure. </w:t>
      </w:r>
      <w:r w:rsidRPr="00A1425B">
        <w:t>CMS pledges to maintain privacy to the extent provided by law</w:t>
      </w:r>
      <w:r>
        <w:t xml:space="preserve">. </w:t>
      </w:r>
    </w:p>
    <w:p w:rsidR="009871F5" w14:paraId="0F5E6612" w14:textId="5B9D6ACA">
      <w:pPr>
        <w:ind w:left="-5" w:right="0"/>
      </w:pPr>
    </w:p>
    <w:p w:rsidR="009871F5" w14:paraId="337E79EF" w14:textId="77777777">
      <w:pPr>
        <w:spacing w:after="0" w:line="259" w:lineRule="auto"/>
        <w:ind w:left="0" w:right="0" w:firstLine="0"/>
      </w:pPr>
      <w:r>
        <w:t xml:space="preserve"> </w:t>
      </w:r>
    </w:p>
    <w:p w:rsidR="009871F5" w14:paraId="1618A4E9" w14:textId="77777777">
      <w:pPr>
        <w:numPr>
          <w:ilvl w:val="0"/>
          <w:numId w:val="2"/>
        </w:numPr>
        <w:spacing w:after="0" w:line="259" w:lineRule="auto"/>
        <w:ind w:right="0" w:hanging="521"/>
      </w:pPr>
      <w:r>
        <w:rPr>
          <w:u w:val="single" w:color="000000"/>
        </w:rPr>
        <w:t>Sensitive Questions</w:t>
      </w:r>
      <w:r>
        <w:t xml:space="preserve"> </w:t>
      </w:r>
    </w:p>
    <w:p w:rsidR="009871F5" w14:paraId="4A7B4560" w14:textId="77777777">
      <w:pPr>
        <w:spacing w:after="0" w:line="259" w:lineRule="auto"/>
        <w:ind w:left="0" w:right="0" w:firstLine="0"/>
      </w:pPr>
      <w:r>
        <w:t xml:space="preserve"> </w:t>
      </w:r>
    </w:p>
    <w:p w:rsidR="009871F5" w14:paraId="76215FB2" w14:textId="77777777">
      <w:pPr>
        <w:ind w:left="-5" w:right="0"/>
      </w:pPr>
      <w:r>
        <w:t xml:space="preserve">There are no sensitive questions included in this collection effort. </w:t>
      </w:r>
    </w:p>
    <w:p w:rsidR="009871F5" w14:paraId="7961181C" w14:textId="77777777">
      <w:pPr>
        <w:spacing w:after="0" w:line="259" w:lineRule="auto"/>
        <w:ind w:left="0" w:right="0" w:firstLine="0"/>
      </w:pPr>
      <w:r>
        <w:t xml:space="preserve"> </w:t>
      </w:r>
    </w:p>
    <w:p w:rsidR="009871F5" w14:paraId="1CE6F278" w14:textId="77777777">
      <w:pPr>
        <w:numPr>
          <w:ilvl w:val="0"/>
          <w:numId w:val="2"/>
        </w:numPr>
        <w:spacing w:after="252" w:line="259" w:lineRule="auto"/>
        <w:ind w:right="0" w:hanging="521"/>
      </w:pPr>
      <w:r>
        <w:rPr>
          <w:u w:val="single" w:color="000000"/>
        </w:rPr>
        <w:t>Burden Estimates (Hours &amp; Wages)</w:t>
      </w:r>
    </w:p>
    <w:p w:rsidR="009871F5" w14:paraId="62F0A8A7" w14:textId="77777777">
      <w:pPr>
        <w:pStyle w:val="Heading3"/>
        <w:spacing w:after="252"/>
        <w:ind w:left="-5"/>
      </w:pPr>
      <w:r>
        <w:rPr>
          <w:i/>
          <w:u w:val="none"/>
        </w:rPr>
        <w:t xml:space="preserve">Wages </w:t>
      </w:r>
    </w:p>
    <w:p w:rsidR="009871F5" w14:paraId="4582FE50" w14:textId="444F1085">
      <w:pPr>
        <w:ind w:left="-5" w:right="0"/>
      </w:pPr>
      <w:r>
        <w:t>To derive average costs, we used data from the U.S. Bureau of Labor Statistics’ May 20</w:t>
      </w:r>
      <w:r w:rsidR="00B32D7E">
        <w:t>2</w:t>
      </w:r>
      <w:r w:rsidR="001E3AD9">
        <w:t>3</w:t>
      </w:r>
      <w:r>
        <w:t xml:space="preserve"> National </w:t>
      </w:r>
    </w:p>
    <w:p w:rsidR="009871F5" w14:paraId="4D630F44" w14:textId="77777777">
      <w:pPr>
        <w:ind w:left="-5" w:right="0"/>
      </w:pPr>
      <w:r>
        <w:t xml:space="preserve">Occupational Employment and Wage Estimates for all salary estimates </w:t>
      </w:r>
    </w:p>
    <w:p w:rsidR="00D251A2" w14:paraId="0DB7055D" w14:textId="2839A8DE">
      <w:pPr>
        <w:ind w:left="-5" w:right="0"/>
      </w:pPr>
      <w:hyperlink r:id="rId7">
        <w:r>
          <w:t>(</w:t>
        </w:r>
      </w:hyperlink>
      <w:hyperlink r:id="rId7">
        <w:r>
          <w:rPr>
            <w:color w:val="0000FF"/>
            <w:u w:val="single" w:color="0000FF"/>
          </w:rPr>
          <w:t>http://www.bls.gov/oes/current/oes_nat.htm</w:t>
        </w:r>
      </w:hyperlink>
      <w:hyperlink r:id="rId7">
        <w:r>
          <w:t>)</w:t>
        </w:r>
      </w:hyperlink>
      <w:r>
        <w:t>. Table 1 presents the me</w:t>
      </w:r>
      <w:r w:rsidR="00B32D7E">
        <w:t>dian</w:t>
      </w:r>
      <w:r>
        <w:t xml:space="preserve"> hourly wage plus an estimated cost of overhead and fringe benefits, which sum to the adjusted hourly wage. This is necessarily a rough estimate, both because fringe benefits and overhead costs vary significantly from employer to employer, and because methods of estimating these costs vary widely from study to study. Nonetheless, there is no practical alternative and we believe that our approach to doubling the hourly wage to account for overhead and fringe benefits is a reasonably accurate estimation method. </w:t>
      </w:r>
    </w:p>
    <w:p w:rsidR="00D251A2" w14:paraId="12DAD394" w14:textId="77777777">
      <w:pPr>
        <w:ind w:left="-5" w:right="0"/>
        <w:rPr>
          <w:b/>
        </w:rPr>
      </w:pPr>
    </w:p>
    <w:p w:rsidR="009871F5" w14:paraId="6C4D7320" w14:textId="012F68F9">
      <w:pPr>
        <w:ind w:left="-5" w:right="0"/>
      </w:pPr>
      <w:r>
        <w:rPr>
          <w:b/>
        </w:rPr>
        <w:t xml:space="preserve">Table 1. Occupations and Wages for Respondents </w:t>
      </w:r>
    </w:p>
    <w:tbl>
      <w:tblPr>
        <w:tblStyle w:val="TableGrid"/>
        <w:tblW w:w="8815" w:type="dxa"/>
        <w:tblInd w:w="5" w:type="dxa"/>
        <w:tblCellMar>
          <w:left w:w="106" w:type="dxa"/>
          <w:right w:w="115" w:type="dxa"/>
        </w:tblCellMar>
        <w:tblLook w:val="04A0"/>
      </w:tblPr>
      <w:tblGrid>
        <w:gridCol w:w="1795"/>
        <w:gridCol w:w="1800"/>
        <w:gridCol w:w="1711"/>
        <w:gridCol w:w="1800"/>
        <w:gridCol w:w="1709"/>
      </w:tblGrid>
      <w:tr w14:paraId="58A9F8CA" w14:textId="77777777">
        <w:tblPrEx>
          <w:tblW w:w="8815" w:type="dxa"/>
          <w:tblInd w:w="5" w:type="dxa"/>
          <w:tblCellMar>
            <w:left w:w="106" w:type="dxa"/>
            <w:right w:w="115" w:type="dxa"/>
          </w:tblCellMar>
          <w:tblLook w:val="04A0"/>
        </w:tblPrEx>
        <w:trPr>
          <w:trHeight w:val="929"/>
        </w:trPr>
        <w:tc>
          <w:tcPr>
            <w:tcW w:w="1795" w:type="dxa"/>
            <w:tcBorders>
              <w:top w:val="single" w:sz="4" w:space="0" w:color="000000"/>
              <w:left w:val="single" w:sz="4" w:space="0" w:color="000000"/>
              <w:bottom w:val="single" w:sz="4" w:space="0" w:color="000000"/>
              <w:right w:val="single" w:sz="4" w:space="0" w:color="000000"/>
            </w:tcBorders>
          </w:tcPr>
          <w:p w:rsidR="009871F5" w14:paraId="72468124" w14:textId="77777777">
            <w:pPr>
              <w:spacing w:after="0" w:line="259" w:lineRule="auto"/>
              <w:ind w:left="2" w:right="0" w:firstLine="0"/>
            </w:pPr>
            <w:r>
              <w:rPr>
                <w:sz w:val="20"/>
              </w:rPr>
              <w:t xml:space="preserve">Occupation Title </w:t>
            </w:r>
          </w:p>
        </w:tc>
        <w:tc>
          <w:tcPr>
            <w:tcW w:w="1800" w:type="dxa"/>
            <w:tcBorders>
              <w:top w:val="single" w:sz="4" w:space="0" w:color="000000"/>
              <w:left w:val="single" w:sz="4" w:space="0" w:color="000000"/>
              <w:bottom w:val="single" w:sz="4" w:space="0" w:color="000000"/>
              <w:right w:val="single" w:sz="4" w:space="0" w:color="000000"/>
            </w:tcBorders>
          </w:tcPr>
          <w:p w:rsidR="009871F5" w14:paraId="15D53F49" w14:textId="77777777">
            <w:pPr>
              <w:spacing w:after="0" w:line="259" w:lineRule="auto"/>
              <w:ind w:left="2" w:right="0" w:firstLine="0"/>
            </w:pPr>
            <w:r>
              <w:rPr>
                <w:sz w:val="20"/>
              </w:rPr>
              <w:t xml:space="preserve">Occupation Code </w:t>
            </w:r>
          </w:p>
        </w:tc>
        <w:tc>
          <w:tcPr>
            <w:tcW w:w="1711" w:type="dxa"/>
            <w:tcBorders>
              <w:top w:val="single" w:sz="4" w:space="0" w:color="000000"/>
              <w:left w:val="single" w:sz="4" w:space="0" w:color="000000"/>
              <w:bottom w:val="single" w:sz="4" w:space="0" w:color="000000"/>
              <w:right w:val="single" w:sz="4" w:space="0" w:color="000000"/>
            </w:tcBorders>
          </w:tcPr>
          <w:p w:rsidR="009871F5" w14:paraId="30E99B14" w14:textId="47100B5D">
            <w:pPr>
              <w:spacing w:after="0" w:line="259" w:lineRule="auto"/>
              <w:ind w:left="2" w:right="0" w:firstLine="0"/>
            </w:pPr>
            <w:r>
              <w:rPr>
                <w:sz w:val="20"/>
              </w:rPr>
              <w:t>Me</w:t>
            </w:r>
            <w:r w:rsidR="00B32D7E">
              <w:rPr>
                <w:sz w:val="20"/>
              </w:rPr>
              <w:t>dian</w:t>
            </w:r>
            <w:r>
              <w:rPr>
                <w:sz w:val="20"/>
              </w:rPr>
              <w:t xml:space="preserve"> Hourly Wage ($/hr) </w:t>
            </w:r>
          </w:p>
        </w:tc>
        <w:tc>
          <w:tcPr>
            <w:tcW w:w="1800" w:type="dxa"/>
            <w:tcBorders>
              <w:top w:val="single" w:sz="4" w:space="0" w:color="000000"/>
              <w:left w:val="single" w:sz="4" w:space="0" w:color="000000"/>
              <w:bottom w:val="single" w:sz="4" w:space="0" w:color="000000"/>
              <w:right w:val="single" w:sz="4" w:space="0" w:color="000000"/>
            </w:tcBorders>
          </w:tcPr>
          <w:p w:rsidR="009871F5" w14:paraId="0CEF13A7" w14:textId="77777777">
            <w:pPr>
              <w:spacing w:after="0" w:line="259" w:lineRule="auto"/>
              <w:ind w:left="0" w:right="0" w:firstLine="0"/>
            </w:pPr>
            <w:r>
              <w:rPr>
                <w:sz w:val="20"/>
              </w:rPr>
              <w:t xml:space="preserve">Estimated </w:t>
            </w:r>
          </w:p>
          <w:p w:rsidR="009871F5" w14:paraId="4AD1A8C9" w14:textId="77777777">
            <w:pPr>
              <w:spacing w:after="0" w:line="259" w:lineRule="auto"/>
              <w:ind w:left="0" w:right="0" w:firstLine="0"/>
            </w:pPr>
            <w:r>
              <w:rPr>
                <w:sz w:val="20"/>
              </w:rPr>
              <w:t xml:space="preserve">Overhead and </w:t>
            </w:r>
          </w:p>
          <w:p w:rsidR="009871F5" w14:paraId="68450CEB" w14:textId="77777777">
            <w:pPr>
              <w:spacing w:after="0" w:line="259" w:lineRule="auto"/>
              <w:ind w:left="0" w:right="0" w:firstLine="0"/>
            </w:pPr>
            <w:r>
              <w:rPr>
                <w:sz w:val="20"/>
              </w:rPr>
              <w:t xml:space="preserve">Fringe Benefits ($/hr) </w:t>
            </w:r>
          </w:p>
        </w:tc>
        <w:tc>
          <w:tcPr>
            <w:tcW w:w="1709" w:type="dxa"/>
            <w:tcBorders>
              <w:top w:val="single" w:sz="4" w:space="0" w:color="000000"/>
              <w:left w:val="single" w:sz="4" w:space="0" w:color="000000"/>
              <w:bottom w:val="single" w:sz="4" w:space="0" w:color="000000"/>
              <w:right w:val="single" w:sz="4" w:space="0" w:color="000000"/>
            </w:tcBorders>
          </w:tcPr>
          <w:p w:rsidR="009871F5" w14:paraId="3C0D94C6" w14:textId="77777777">
            <w:pPr>
              <w:spacing w:after="0" w:line="259" w:lineRule="auto"/>
              <w:ind w:left="0" w:right="0" w:firstLine="0"/>
            </w:pPr>
            <w:r>
              <w:rPr>
                <w:sz w:val="20"/>
              </w:rPr>
              <w:t xml:space="preserve">Total Adjusted </w:t>
            </w:r>
          </w:p>
          <w:p w:rsidR="009871F5" w14:paraId="70113E01" w14:textId="77777777">
            <w:pPr>
              <w:spacing w:after="0" w:line="259" w:lineRule="auto"/>
              <w:ind w:left="0" w:right="0" w:firstLine="0"/>
            </w:pPr>
            <w:r>
              <w:rPr>
                <w:sz w:val="20"/>
              </w:rPr>
              <w:t xml:space="preserve">Hourly Wage </w:t>
            </w:r>
          </w:p>
          <w:p w:rsidR="009871F5" w14:paraId="6084908A" w14:textId="77777777">
            <w:pPr>
              <w:spacing w:after="0" w:line="259" w:lineRule="auto"/>
              <w:ind w:left="0" w:right="0" w:firstLine="0"/>
            </w:pPr>
            <w:r>
              <w:rPr>
                <w:sz w:val="20"/>
              </w:rPr>
              <w:t xml:space="preserve">($/hr) </w:t>
            </w:r>
          </w:p>
        </w:tc>
      </w:tr>
      <w:tr w14:paraId="09C13338" w14:textId="77777777">
        <w:tblPrEx>
          <w:tblW w:w="8815" w:type="dxa"/>
          <w:tblInd w:w="5" w:type="dxa"/>
          <w:tblCellMar>
            <w:left w:w="106" w:type="dxa"/>
            <w:right w:w="115" w:type="dxa"/>
          </w:tblCellMar>
          <w:tblLook w:val="04A0"/>
        </w:tblPrEx>
        <w:trPr>
          <w:trHeight w:val="470"/>
        </w:trPr>
        <w:tc>
          <w:tcPr>
            <w:tcW w:w="1795" w:type="dxa"/>
            <w:tcBorders>
              <w:top w:val="single" w:sz="4" w:space="0" w:color="000000"/>
              <w:left w:val="single" w:sz="4" w:space="0" w:color="000000"/>
              <w:bottom w:val="single" w:sz="4" w:space="0" w:color="000000"/>
              <w:right w:val="single" w:sz="4" w:space="0" w:color="000000"/>
            </w:tcBorders>
          </w:tcPr>
          <w:p w:rsidR="009871F5" w14:paraId="0BBA447D" w14:textId="77777777">
            <w:pPr>
              <w:spacing w:after="0" w:line="259" w:lineRule="auto"/>
              <w:ind w:left="2" w:right="0" w:firstLine="0"/>
            </w:pPr>
            <w:r>
              <w:rPr>
                <w:sz w:val="20"/>
              </w:rPr>
              <w:t xml:space="preserve">Human Resources Managers </w:t>
            </w:r>
          </w:p>
        </w:tc>
        <w:tc>
          <w:tcPr>
            <w:tcW w:w="1800" w:type="dxa"/>
            <w:tcBorders>
              <w:top w:val="single" w:sz="4" w:space="0" w:color="000000"/>
              <w:left w:val="single" w:sz="4" w:space="0" w:color="000000"/>
              <w:bottom w:val="single" w:sz="4" w:space="0" w:color="000000"/>
              <w:right w:val="single" w:sz="4" w:space="0" w:color="000000"/>
            </w:tcBorders>
          </w:tcPr>
          <w:p w:rsidR="009871F5" w14:paraId="03E2207E" w14:textId="77777777">
            <w:pPr>
              <w:spacing w:after="0" w:line="259" w:lineRule="auto"/>
              <w:ind w:left="2" w:right="0" w:firstLine="0"/>
            </w:pPr>
            <w:r>
              <w:rPr>
                <w:sz w:val="20"/>
              </w:rPr>
              <w:t>11-3121</w:t>
            </w:r>
          </w:p>
        </w:tc>
        <w:tc>
          <w:tcPr>
            <w:tcW w:w="1711" w:type="dxa"/>
            <w:tcBorders>
              <w:top w:val="single" w:sz="4" w:space="0" w:color="000000"/>
              <w:left w:val="single" w:sz="4" w:space="0" w:color="000000"/>
              <w:bottom w:val="single" w:sz="4" w:space="0" w:color="000000"/>
              <w:right w:val="single" w:sz="4" w:space="0" w:color="000000"/>
            </w:tcBorders>
          </w:tcPr>
          <w:p w:rsidR="009871F5" w14:paraId="15053447" w14:textId="4D90C9E6">
            <w:pPr>
              <w:spacing w:after="0" w:line="259" w:lineRule="auto"/>
              <w:ind w:left="2" w:right="0" w:firstLine="0"/>
            </w:pPr>
            <w:r>
              <w:rPr>
                <w:sz w:val="20"/>
              </w:rPr>
              <w:t>65.55</w:t>
            </w:r>
          </w:p>
        </w:tc>
        <w:tc>
          <w:tcPr>
            <w:tcW w:w="1800" w:type="dxa"/>
            <w:tcBorders>
              <w:top w:val="single" w:sz="4" w:space="0" w:color="000000"/>
              <w:left w:val="single" w:sz="4" w:space="0" w:color="000000"/>
              <w:bottom w:val="single" w:sz="4" w:space="0" w:color="000000"/>
              <w:right w:val="single" w:sz="4" w:space="0" w:color="000000"/>
            </w:tcBorders>
          </w:tcPr>
          <w:p w:rsidR="009871F5" w14:paraId="03B34B9B" w14:textId="469E5199">
            <w:pPr>
              <w:spacing w:after="0" w:line="259" w:lineRule="auto"/>
              <w:ind w:left="0" w:right="0" w:firstLine="0"/>
            </w:pPr>
            <w:r>
              <w:rPr>
                <w:sz w:val="20"/>
              </w:rPr>
              <w:t>65.55</w:t>
            </w:r>
          </w:p>
        </w:tc>
        <w:tc>
          <w:tcPr>
            <w:tcW w:w="1709" w:type="dxa"/>
            <w:tcBorders>
              <w:top w:val="single" w:sz="4" w:space="0" w:color="000000"/>
              <w:left w:val="single" w:sz="4" w:space="0" w:color="000000"/>
              <w:bottom w:val="single" w:sz="4" w:space="0" w:color="000000"/>
              <w:right w:val="single" w:sz="4" w:space="0" w:color="000000"/>
            </w:tcBorders>
          </w:tcPr>
          <w:p w:rsidR="009871F5" w14:paraId="10683B8C" w14:textId="0AAF7A2D">
            <w:pPr>
              <w:spacing w:after="0" w:line="259" w:lineRule="auto"/>
              <w:ind w:left="0" w:right="0" w:firstLine="0"/>
            </w:pPr>
            <w:r>
              <w:rPr>
                <w:sz w:val="20"/>
              </w:rPr>
              <w:t>1</w:t>
            </w:r>
            <w:r w:rsidR="008F3727">
              <w:rPr>
                <w:sz w:val="20"/>
              </w:rPr>
              <w:t>31.10</w:t>
            </w:r>
          </w:p>
        </w:tc>
      </w:tr>
      <w:tr w14:paraId="30DDF2BF" w14:textId="77777777">
        <w:tblPrEx>
          <w:tblW w:w="8815" w:type="dxa"/>
          <w:tblInd w:w="5" w:type="dxa"/>
          <w:tblCellMar>
            <w:left w:w="106" w:type="dxa"/>
            <w:right w:w="115" w:type="dxa"/>
          </w:tblCellMar>
          <w:tblLook w:val="04A0"/>
        </w:tblPrEx>
        <w:trPr>
          <w:trHeight w:val="470"/>
        </w:trPr>
        <w:tc>
          <w:tcPr>
            <w:tcW w:w="1795" w:type="dxa"/>
            <w:tcBorders>
              <w:top w:val="single" w:sz="4" w:space="0" w:color="000000"/>
              <w:left w:val="single" w:sz="4" w:space="0" w:color="000000"/>
              <w:bottom w:val="single" w:sz="4" w:space="0" w:color="000000"/>
              <w:right w:val="single" w:sz="4" w:space="0" w:color="000000"/>
            </w:tcBorders>
          </w:tcPr>
          <w:p w:rsidR="009871F5" w14:paraId="53D69826" w14:textId="77777777">
            <w:pPr>
              <w:spacing w:after="0" w:line="259" w:lineRule="auto"/>
              <w:ind w:left="2" w:right="0" w:firstLine="0"/>
            </w:pPr>
            <w:r>
              <w:rPr>
                <w:sz w:val="20"/>
              </w:rPr>
              <w:t xml:space="preserve">Compensation and Benefits Managers </w:t>
            </w:r>
          </w:p>
        </w:tc>
        <w:tc>
          <w:tcPr>
            <w:tcW w:w="1800" w:type="dxa"/>
            <w:tcBorders>
              <w:top w:val="single" w:sz="4" w:space="0" w:color="000000"/>
              <w:left w:val="single" w:sz="4" w:space="0" w:color="000000"/>
              <w:bottom w:val="single" w:sz="4" w:space="0" w:color="000000"/>
              <w:right w:val="single" w:sz="4" w:space="0" w:color="000000"/>
            </w:tcBorders>
          </w:tcPr>
          <w:p w:rsidR="009871F5" w14:paraId="6A97DB78" w14:textId="77777777">
            <w:pPr>
              <w:spacing w:after="0" w:line="259" w:lineRule="auto"/>
              <w:ind w:left="2" w:right="0" w:firstLine="0"/>
            </w:pPr>
            <w:r>
              <w:rPr>
                <w:sz w:val="20"/>
              </w:rPr>
              <w:t>11-3111</w:t>
            </w:r>
          </w:p>
        </w:tc>
        <w:tc>
          <w:tcPr>
            <w:tcW w:w="1711" w:type="dxa"/>
            <w:tcBorders>
              <w:top w:val="single" w:sz="4" w:space="0" w:color="000000"/>
              <w:left w:val="single" w:sz="4" w:space="0" w:color="000000"/>
              <w:bottom w:val="single" w:sz="4" w:space="0" w:color="000000"/>
              <w:right w:val="single" w:sz="4" w:space="0" w:color="000000"/>
            </w:tcBorders>
          </w:tcPr>
          <w:p w:rsidR="009871F5" w14:paraId="5ECB797C" w14:textId="08EEC699">
            <w:pPr>
              <w:spacing w:after="0" w:line="259" w:lineRule="auto"/>
              <w:ind w:left="2" w:right="0" w:firstLine="0"/>
            </w:pPr>
            <w:r>
              <w:rPr>
                <w:sz w:val="20"/>
              </w:rPr>
              <w:t>65</w:t>
            </w:r>
            <w:r w:rsidR="000F617F">
              <w:rPr>
                <w:sz w:val="20"/>
              </w:rPr>
              <w:t>.57</w:t>
            </w:r>
            <w:r w:rsidR="00D90C40">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9871F5" w14:paraId="3F0083A8" w14:textId="4979627F">
            <w:pPr>
              <w:spacing w:after="0" w:line="259" w:lineRule="auto"/>
              <w:ind w:left="0" w:right="0" w:firstLine="0"/>
            </w:pPr>
            <w:r>
              <w:rPr>
                <w:sz w:val="20"/>
              </w:rPr>
              <w:t>65</w:t>
            </w:r>
            <w:r w:rsidR="008F3727">
              <w:rPr>
                <w:sz w:val="20"/>
              </w:rPr>
              <w:t>.57</w:t>
            </w:r>
          </w:p>
        </w:tc>
        <w:tc>
          <w:tcPr>
            <w:tcW w:w="1709" w:type="dxa"/>
            <w:tcBorders>
              <w:top w:val="single" w:sz="4" w:space="0" w:color="000000"/>
              <w:left w:val="single" w:sz="4" w:space="0" w:color="000000"/>
              <w:bottom w:val="single" w:sz="4" w:space="0" w:color="000000"/>
              <w:right w:val="single" w:sz="4" w:space="0" w:color="000000"/>
            </w:tcBorders>
          </w:tcPr>
          <w:p w:rsidR="009871F5" w14:paraId="11C7964E" w14:textId="50C47E39">
            <w:pPr>
              <w:spacing w:after="0" w:line="259" w:lineRule="auto"/>
              <w:ind w:left="0" w:right="0" w:firstLine="0"/>
            </w:pPr>
            <w:r>
              <w:rPr>
                <w:sz w:val="20"/>
              </w:rPr>
              <w:t>1</w:t>
            </w:r>
            <w:r w:rsidR="008F3727">
              <w:rPr>
                <w:sz w:val="20"/>
              </w:rPr>
              <w:t>31.14</w:t>
            </w:r>
          </w:p>
        </w:tc>
      </w:tr>
      <w:tr w14:paraId="7258B876" w14:textId="77777777">
        <w:tblPrEx>
          <w:tblW w:w="8815" w:type="dxa"/>
          <w:tblInd w:w="5" w:type="dxa"/>
          <w:tblCellMar>
            <w:left w:w="106" w:type="dxa"/>
            <w:right w:w="115" w:type="dxa"/>
          </w:tblCellMar>
          <w:tblLook w:val="04A0"/>
        </w:tblPrEx>
        <w:trPr>
          <w:trHeight w:val="240"/>
        </w:trPr>
        <w:tc>
          <w:tcPr>
            <w:tcW w:w="1795" w:type="dxa"/>
            <w:tcBorders>
              <w:top w:val="single" w:sz="4" w:space="0" w:color="000000"/>
              <w:left w:val="single" w:sz="4" w:space="0" w:color="000000"/>
              <w:bottom w:val="single" w:sz="4" w:space="0" w:color="000000"/>
              <w:right w:val="single" w:sz="4" w:space="0" w:color="000000"/>
            </w:tcBorders>
          </w:tcPr>
          <w:p w:rsidR="009871F5" w14:paraId="4DB65D02" w14:textId="77777777">
            <w:pPr>
              <w:spacing w:after="0" w:line="259" w:lineRule="auto"/>
              <w:ind w:left="2" w:right="0" w:firstLine="0"/>
            </w:pPr>
            <w:r>
              <w:rPr>
                <w:sz w:val="20"/>
              </w:rPr>
              <w:t xml:space="preserve">Average </w:t>
            </w:r>
          </w:p>
        </w:tc>
        <w:tc>
          <w:tcPr>
            <w:tcW w:w="1800" w:type="dxa"/>
            <w:tcBorders>
              <w:top w:val="single" w:sz="4" w:space="0" w:color="000000"/>
              <w:left w:val="single" w:sz="4" w:space="0" w:color="000000"/>
              <w:bottom w:val="single" w:sz="4" w:space="0" w:color="000000"/>
              <w:right w:val="single" w:sz="4" w:space="0" w:color="000000"/>
            </w:tcBorders>
          </w:tcPr>
          <w:p w:rsidR="009871F5" w14:paraId="681AE479" w14:textId="77777777">
            <w:pPr>
              <w:spacing w:after="160" w:line="259" w:lineRule="auto"/>
              <w:ind w:left="0" w:right="0" w:firstLine="0"/>
            </w:pPr>
          </w:p>
        </w:tc>
        <w:tc>
          <w:tcPr>
            <w:tcW w:w="1711" w:type="dxa"/>
            <w:tcBorders>
              <w:top w:val="single" w:sz="4" w:space="0" w:color="000000"/>
              <w:left w:val="single" w:sz="4" w:space="0" w:color="000000"/>
              <w:bottom w:val="single" w:sz="4" w:space="0" w:color="000000"/>
              <w:right w:val="single" w:sz="4" w:space="0" w:color="000000"/>
            </w:tcBorders>
          </w:tcPr>
          <w:p w:rsidR="009871F5" w14:paraId="6ABBF27C" w14:textId="77777777">
            <w:pPr>
              <w:spacing w:after="160" w:line="259" w:lineRule="auto"/>
              <w:ind w:left="0" w:right="0" w:firstLine="0"/>
            </w:pPr>
          </w:p>
        </w:tc>
        <w:tc>
          <w:tcPr>
            <w:tcW w:w="1800" w:type="dxa"/>
            <w:tcBorders>
              <w:top w:val="single" w:sz="4" w:space="0" w:color="000000"/>
              <w:left w:val="single" w:sz="4" w:space="0" w:color="000000"/>
              <w:bottom w:val="single" w:sz="4" w:space="0" w:color="000000"/>
              <w:right w:val="single" w:sz="4" w:space="0" w:color="000000"/>
            </w:tcBorders>
          </w:tcPr>
          <w:p w:rsidR="009871F5" w14:paraId="47527AE7" w14:textId="77777777">
            <w:pPr>
              <w:spacing w:after="160" w:line="259" w:lineRule="auto"/>
              <w:ind w:left="0" w:right="0" w:firstLine="0"/>
            </w:pPr>
          </w:p>
        </w:tc>
        <w:tc>
          <w:tcPr>
            <w:tcW w:w="1709" w:type="dxa"/>
            <w:tcBorders>
              <w:top w:val="single" w:sz="4" w:space="0" w:color="000000"/>
              <w:left w:val="single" w:sz="4" w:space="0" w:color="000000"/>
              <w:bottom w:val="single" w:sz="4" w:space="0" w:color="000000"/>
              <w:right w:val="single" w:sz="4" w:space="0" w:color="000000"/>
            </w:tcBorders>
          </w:tcPr>
          <w:p w:rsidR="009871F5" w14:paraId="4241D36C" w14:textId="1D2B339D">
            <w:pPr>
              <w:spacing w:after="0" w:line="259" w:lineRule="auto"/>
              <w:ind w:left="0" w:right="0" w:firstLine="0"/>
            </w:pPr>
            <w:r>
              <w:rPr>
                <w:b/>
                <w:sz w:val="20"/>
              </w:rPr>
              <w:t>1</w:t>
            </w:r>
            <w:r w:rsidR="008F3727">
              <w:rPr>
                <w:b/>
                <w:sz w:val="20"/>
              </w:rPr>
              <w:t>31</w:t>
            </w:r>
            <w:r>
              <w:rPr>
                <w:b/>
                <w:sz w:val="20"/>
              </w:rPr>
              <w:t>.</w:t>
            </w:r>
            <w:r w:rsidR="008F3727">
              <w:rPr>
                <w:b/>
                <w:sz w:val="20"/>
              </w:rPr>
              <w:t>1</w:t>
            </w:r>
            <w:r>
              <w:rPr>
                <w:b/>
                <w:sz w:val="20"/>
              </w:rPr>
              <w:t>2</w:t>
            </w:r>
          </w:p>
        </w:tc>
      </w:tr>
    </w:tbl>
    <w:p w:rsidR="009871F5" w14:paraId="50A98C17" w14:textId="77777777">
      <w:pPr>
        <w:pStyle w:val="Heading3"/>
        <w:spacing w:after="252"/>
        <w:ind w:left="-5"/>
      </w:pPr>
      <w:r>
        <w:rPr>
          <w:i/>
          <w:u w:val="none"/>
        </w:rPr>
        <w:t xml:space="preserve">Burden Estimates </w:t>
      </w:r>
    </w:p>
    <w:p w:rsidR="009871F5" w14:paraId="137026B3" w14:textId="1D67DEE3">
      <w:pPr>
        <w:spacing w:after="266"/>
        <w:ind w:left="-5" w:right="0"/>
      </w:pPr>
      <w:r>
        <w:t>In this section, we estimate the time and effort burden for entities to complete the “Disclosure to CMS Form”. Based on the prior year’s reporting, we estimate that CMS will receive around 1</w:t>
      </w:r>
      <w:r w:rsidR="0010490E">
        <w:t>4</w:t>
      </w:r>
      <w:r>
        <w:t xml:space="preserve">0,000 disclosures via the Disclosure to CMS online form. </w:t>
      </w:r>
    </w:p>
    <w:p w:rsidR="009871F5" w14:paraId="50895A6C" w14:textId="77777777">
      <w:pPr>
        <w:spacing w:after="266"/>
        <w:ind w:left="-5" w:right="0"/>
      </w:pPr>
      <w:r>
        <w:t xml:space="preserve">Given that each entity will have made their annual determination of the creditable coverage status of their prescription drug plan for disclosure to Medicare Part D eligible individuals, the burden to provide the disclosure to CMS via the Disclosure to CMS online form is modest.  </w:t>
      </w:r>
    </w:p>
    <w:p w:rsidR="009871F5" w14:paraId="405EC052" w14:textId="28362AA5">
      <w:pPr>
        <w:spacing w:after="326"/>
        <w:ind w:left="-5" w:right="0"/>
      </w:pPr>
      <w:r>
        <w:t>The estimated annual burden on the Human Resources Managers and Compensation and Benefits Managers who typically complete the Disclosure to CMS online form will be about 5 minutes at an average of $1</w:t>
      </w:r>
      <w:r w:rsidR="00BC3CAE">
        <w:t>31.12</w:t>
      </w:r>
      <w:r>
        <w:t xml:space="preserve">/hr for a total burden of </w:t>
      </w:r>
      <w:r w:rsidR="00106F1D">
        <w:t>11,786</w:t>
      </w:r>
      <w:r>
        <w:t xml:space="preserve"> hours at a cost of $1.</w:t>
      </w:r>
      <w:r w:rsidR="00106F1D">
        <w:t>7</w:t>
      </w:r>
      <w:r>
        <w:t xml:space="preserve"> million. Details of the estimate are provided in Table 2.  </w:t>
      </w:r>
    </w:p>
    <w:p w:rsidR="009871F5" w14:paraId="0E04D086" w14:textId="77777777">
      <w:pPr>
        <w:pStyle w:val="Heading1"/>
        <w:ind w:left="130"/>
      </w:pPr>
      <w:r>
        <w:t xml:space="preserve">Table 2: Summary of Coverage Types and Estimated Burden </w:t>
      </w:r>
    </w:p>
    <w:tbl>
      <w:tblPr>
        <w:tblStyle w:val="TableGrid"/>
        <w:tblW w:w="10162" w:type="dxa"/>
        <w:tblInd w:w="10" w:type="dxa"/>
        <w:tblCellMar>
          <w:left w:w="108" w:type="dxa"/>
          <w:right w:w="63" w:type="dxa"/>
        </w:tblCellMar>
        <w:tblLook w:val="04A0"/>
      </w:tblPr>
      <w:tblGrid>
        <w:gridCol w:w="3843"/>
        <w:gridCol w:w="1437"/>
        <w:gridCol w:w="1257"/>
        <w:gridCol w:w="901"/>
        <w:gridCol w:w="1435"/>
        <w:gridCol w:w="1289"/>
      </w:tblGrid>
      <w:tr w14:paraId="2C93FFC0" w14:textId="77777777">
        <w:tblPrEx>
          <w:tblW w:w="10162" w:type="dxa"/>
          <w:tblInd w:w="10" w:type="dxa"/>
          <w:tblCellMar>
            <w:left w:w="108" w:type="dxa"/>
            <w:right w:w="63" w:type="dxa"/>
          </w:tblCellMar>
          <w:tblLook w:val="04A0"/>
        </w:tblPrEx>
        <w:trPr>
          <w:trHeight w:val="986"/>
        </w:trPr>
        <w:tc>
          <w:tcPr>
            <w:tcW w:w="3862" w:type="dxa"/>
            <w:tcBorders>
              <w:top w:val="single" w:sz="8" w:space="0" w:color="000000"/>
              <w:left w:val="single" w:sz="8" w:space="0" w:color="000000"/>
              <w:bottom w:val="single" w:sz="8" w:space="0" w:color="000000"/>
              <w:right w:val="single" w:sz="8" w:space="0" w:color="000000"/>
            </w:tcBorders>
          </w:tcPr>
          <w:p w:rsidR="009871F5" w14:paraId="69C06A23" w14:textId="77777777">
            <w:pPr>
              <w:spacing w:after="0" w:line="259" w:lineRule="auto"/>
              <w:ind w:left="0" w:right="48" w:firstLine="0"/>
              <w:jc w:val="center"/>
            </w:pPr>
            <w:r>
              <w:rPr>
                <w:b/>
                <w:sz w:val="20"/>
              </w:rPr>
              <w:t xml:space="preserve">Type of Plan/Respondent </w:t>
            </w:r>
          </w:p>
        </w:tc>
        <w:tc>
          <w:tcPr>
            <w:tcW w:w="1440" w:type="dxa"/>
            <w:tcBorders>
              <w:top w:val="single" w:sz="8" w:space="0" w:color="000000"/>
              <w:left w:val="single" w:sz="8" w:space="0" w:color="000000"/>
              <w:bottom w:val="single" w:sz="8" w:space="0" w:color="000000"/>
              <w:right w:val="single" w:sz="8" w:space="0" w:color="000000"/>
            </w:tcBorders>
          </w:tcPr>
          <w:p w:rsidR="009871F5" w14:paraId="15B4A92B" w14:textId="77777777">
            <w:pPr>
              <w:spacing w:after="0" w:line="259" w:lineRule="auto"/>
              <w:ind w:left="0" w:right="49" w:firstLine="0"/>
              <w:jc w:val="center"/>
            </w:pPr>
            <w:r>
              <w:rPr>
                <w:b/>
                <w:sz w:val="20"/>
              </w:rPr>
              <w:t xml:space="preserve">Estimated </w:t>
            </w:r>
          </w:p>
          <w:p w:rsidR="009871F5" w14:paraId="4ECA920A" w14:textId="77777777">
            <w:pPr>
              <w:spacing w:after="0" w:line="240" w:lineRule="auto"/>
              <w:ind w:left="0" w:right="0" w:firstLine="0"/>
              <w:jc w:val="center"/>
            </w:pPr>
            <w:r>
              <w:rPr>
                <w:b/>
                <w:sz w:val="20"/>
              </w:rPr>
              <w:t xml:space="preserve">Number of Disclosures </w:t>
            </w:r>
          </w:p>
          <w:p w:rsidR="009871F5" w14:paraId="4C51650B" w14:textId="410EC84B">
            <w:pPr>
              <w:spacing w:after="0" w:line="259" w:lineRule="auto"/>
              <w:ind w:left="0" w:right="0" w:firstLine="0"/>
              <w:jc w:val="center"/>
            </w:pPr>
            <w:r>
              <w:rPr>
                <w:b/>
                <w:sz w:val="12"/>
              </w:rPr>
              <w:t>(using actual 20</w:t>
            </w:r>
            <w:r w:rsidR="00AA0042">
              <w:rPr>
                <w:b/>
                <w:sz w:val="12"/>
              </w:rPr>
              <w:t>23</w:t>
            </w:r>
            <w:r>
              <w:rPr>
                <w:b/>
                <w:sz w:val="12"/>
              </w:rPr>
              <w:t xml:space="preserve"> figures)</w:t>
            </w:r>
          </w:p>
        </w:tc>
        <w:tc>
          <w:tcPr>
            <w:tcW w:w="1260" w:type="dxa"/>
            <w:tcBorders>
              <w:top w:val="single" w:sz="8" w:space="0" w:color="000000"/>
              <w:left w:val="single" w:sz="8" w:space="0" w:color="000000"/>
              <w:bottom w:val="single" w:sz="8" w:space="0" w:color="000000"/>
              <w:right w:val="single" w:sz="8" w:space="0" w:color="000000"/>
            </w:tcBorders>
          </w:tcPr>
          <w:p w:rsidR="009871F5" w14:paraId="699E47E9" w14:textId="77777777">
            <w:pPr>
              <w:spacing w:after="0" w:line="259" w:lineRule="auto"/>
              <w:ind w:left="0" w:right="0" w:firstLine="0"/>
              <w:jc w:val="center"/>
            </w:pPr>
            <w:r>
              <w:rPr>
                <w:b/>
                <w:sz w:val="20"/>
              </w:rPr>
              <w:t xml:space="preserve">Minutes per Response </w:t>
            </w:r>
          </w:p>
        </w:tc>
        <w:tc>
          <w:tcPr>
            <w:tcW w:w="900" w:type="dxa"/>
            <w:tcBorders>
              <w:top w:val="single" w:sz="8" w:space="0" w:color="000000"/>
              <w:left w:val="single" w:sz="8" w:space="0" w:color="000000"/>
              <w:bottom w:val="single" w:sz="8" w:space="0" w:color="000000"/>
              <w:right w:val="single" w:sz="8" w:space="0" w:color="000000"/>
            </w:tcBorders>
          </w:tcPr>
          <w:p w:rsidR="009871F5" w:rsidP="007A75AC" w14:paraId="7839AB94" w14:textId="437959D8">
            <w:pPr>
              <w:spacing w:after="0" w:line="259" w:lineRule="auto"/>
              <w:ind w:left="24" w:right="0" w:firstLine="0"/>
              <w:jc w:val="center"/>
            </w:pPr>
            <w:r>
              <w:rPr>
                <w:b/>
                <w:sz w:val="20"/>
              </w:rPr>
              <w:t>Annual</w:t>
            </w:r>
          </w:p>
          <w:p w:rsidR="009871F5" w14:paraId="57784938" w14:textId="77777777">
            <w:pPr>
              <w:spacing w:after="0" w:line="259" w:lineRule="auto"/>
              <w:ind w:left="0" w:right="53" w:firstLine="0"/>
              <w:jc w:val="center"/>
            </w:pPr>
            <w:r>
              <w:rPr>
                <w:b/>
                <w:sz w:val="20"/>
              </w:rPr>
              <w:t xml:space="preserve">Time </w:t>
            </w:r>
          </w:p>
          <w:p w:rsidR="009871F5" w14:paraId="3C9DDE4F" w14:textId="77777777">
            <w:pPr>
              <w:spacing w:after="0" w:line="259" w:lineRule="auto"/>
              <w:ind w:left="0" w:right="55" w:firstLine="0"/>
              <w:jc w:val="center"/>
            </w:pPr>
            <w:r>
              <w:rPr>
                <w:b/>
                <w:sz w:val="12"/>
              </w:rPr>
              <w:t>(in hours)</w:t>
            </w:r>
          </w:p>
        </w:tc>
        <w:tc>
          <w:tcPr>
            <w:tcW w:w="1440" w:type="dxa"/>
            <w:tcBorders>
              <w:top w:val="single" w:sz="8" w:space="0" w:color="000000"/>
              <w:left w:val="single" w:sz="8" w:space="0" w:color="000000"/>
              <w:bottom w:val="single" w:sz="8" w:space="0" w:color="000000"/>
              <w:right w:val="single" w:sz="8" w:space="0" w:color="000000"/>
            </w:tcBorders>
          </w:tcPr>
          <w:p w:rsidR="009871F5" w14:paraId="0F6644EF" w14:textId="77777777">
            <w:pPr>
              <w:spacing w:after="0" w:line="259" w:lineRule="auto"/>
              <w:ind w:left="0" w:right="52" w:firstLine="0"/>
              <w:jc w:val="center"/>
            </w:pPr>
            <w:r>
              <w:rPr>
                <w:b/>
                <w:sz w:val="20"/>
              </w:rPr>
              <w:t xml:space="preserve">Average </w:t>
            </w:r>
          </w:p>
          <w:p w:rsidR="009871F5" w14:paraId="616F3C32" w14:textId="77777777">
            <w:pPr>
              <w:spacing w:after="0" w:line="240" w:lineRule="auto"/>
              <w:ind w:left="0" w:right="0" w:firstLine="0"/>
              <w:jc w:val="center"/>
            </w:pPr>
            <w:r>
              <w:rPr>
                <w:b/>
                <w:sz w:val="20"/>
              </w:rPr>
              <w:t xml:space="preserve">Adjusted Hourly Wage </w:t>
            </w:r>
          </w:p>
          <w:p w:rsidR="009871F5" w14:paraId="03652CEC" w14:textId="77777777">
            <w:pPr>
              <w:spacing w:after="0" w:line="259" w:lineRule="auto"/>
              <w:ind w:left="0" w:right="53" w:firstLine="0"/>
              <w:jc w:val="center"/>
            </w:pPr>
            <w:r>
              <w:rPr>
                <w:b/>
                <w:sz w:val="12"/>
              </w:rPr>
              <w:t>($/hr; from Table 1)</w:t>
            </w:r>
          </w:p>
        </w:tc>
        <w:tc>
          <w:tcPr>
            <w:tcW w:w="1260" w:type="dxa"/>
            <w:tcBorders>
              <w:top w:val="single" w:sz="8" w:space="0" w:color="000000"/>
              <w:left w:val="single" w:sz="8" w:space="0" w:color="000000"/>
              <w:bottom w:val="single" w:sz="8" w:space="0" w:color="000000"/>
              <w:right w:val="single" w:sz="8" w:space="0" w:color="000000"/>
            </w:tcBorders>
          </w:tcPr>
          <w:p w:rsidR="009871F5" w14:paraId="5B791CA5" w14:textId="77777777">
            <w:pPr>
              <w:spacing w:after="0" w:line="259" w:lineRule="auto"/>
              <w:ind w:left="0" w:right="51" w:firstLine="0"/>
              <w:jc w:val="center"/>
            </w:pPr>
            <w:r>
              <w:rPr>
                <w:b/>
                <w:sz w:val="20"/>
              </w:rPr>
              <w:t xml:space="preserve">Total Cost </w:t>
            </w:r>
          </w:p>
          <w:p w:rsidR="009871F5" w14:paraId="504CC7A6" w14:textId="77777777">
            <w:pPr>
              <w:spacing w:after="0" w:line="259" w:lineRule="auto"/>
              <w:ind w:left="0" w:right="51" w:firstLine="0"/>
              <w:jc w:val="center"/>
            </w:pPr>
            <w:r>
              <w:rPr>
                <w:b/>
                <w:sz w:val="12"/>
              </w:rPr>
              <w:t>($)</w:t>
            </w:r>
          </w:p>
        </w:tc>
      </w:tr>
      <w:tr w14:paraId="12C261FB" w14:textId="77777777">
        <w:tblPrEx>
          <w:tblW w:w="10162" w:type="dxa"/>
          <w:tblInd w:w="10" w:type="dxa"/>
          <w:tblCellMar>
            <w:left w:w="108" w:type="dxa"/>
            <w:right w:w="63" w:type="dxa"/>
          </w:tblCellMar>
          <w:tblLook w:val="04A0"/>
        </w:tblPrEx>
        <w:trPr>
          <w:trHeight w:val="1399"/>
        </w:trPr>
        <w:tc>
          <w:tcPr>
            <w:tcW w:w="3862" w:type="dxa"/>
            <w:tcBorders>
              <w:top w:val="single" w:sz="8" w:space="0" w:color="000000"/>
              <w:left w:val="single" w:sz="8" w:space="0" w:color="000000"/>
              <w:bottom w:val="single" w:sz="8" w:space="0" w:color="000000"/>
              <w:right w:val="single" w:sz="8" w:space="0" w:color="000000"/>
            </w:tcBorders>
          </w:tcPr>
          <w:p w:rsidR="009871F5" w14:paraId="44C7376D" w14:textId="77777777">
            <w:pPr>
              <w:spacing w:after="0" w:line="259" w:lineRule="auto"/>
              <w:ind w:left="0" w:right="0" w:firstLine="0"/>
            </w:pPr>
            <w:r>
              <w:t xml:space="preserve">Group health plans, including those offered by employers; union/TaftHartley plans; church plans; Federal, State and local government plans; and other group-sponsored plans </w:t>
            </w:r>
          </w:p>
        </w:tc>
        <w:tc>
          <w:tcPr>
            <w:tcW w:w="1440" w:type="dxa"/>
            <w:tcBorders>
              <w:top w:val="single" w:sz="8" w:space="0" w:color="000000"/>
              <w:left w:val="single" w:sz="8" w:space="0" w:color="000000"/>
              <w:bottom w:val="single" w:sz="8" w:space="0" w:color="000000"/>
              <w:right w:val="single" w:sz="8" w:space="0" w:color="000000"/>
            </w:tcBorders>
          </w:tcPr>
          <w:p w:rsidR="009871F5" w14:paraId="29A61FCC" w14:textId="695FC06E">
            <w:pPr>
              <w:spacing w:after="0" w:line="259" w:lineRule="auto"/>
              <w:ind w:left="0" w:right="22" w:firstLine="0"/>
              <w:jc w:val="center"/>
            </w:pPr>
            <w:r>
              <w:t>140,</w:t>
            </w:r>
            <w:r w:rsidR="000F52F2">
              <w:t>974</w:t>
            </w:r>
          </w:p>
        </w:tc>
        <w:tc>
          <w:tcPr>
            <w:tcW w:w="1260" w:type="dxa"/>
            <w:tcBorders>
              <w:top w:val="single" w:sz="8" w:space="0" w:color="000000"/>
              <w:left w:val="single" w:sz="8" w:space="0" w:color="000000"/>
              <w:bottom w:val="single" w:sz="8" w:space="0" w:color="000000"/>
              <w:right w:val="single" w:sz="8" w:space="0" w:color="000000"/>
            </w:tcBorders>
          </w:tcPr>
          <w:p w:rsidR="009871F5" w14:paraId="651EAEB9" w14:textId="77777777">
            <w:pPr>
              <w:spacing w:after="0" w:line="259" w:lineRule="auto"/>
              <w:ind w:left="0" w:right="22" w:firstLine="0"/>
              <w:jc w:val="center"/>
            </w:pPr>
            <w: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6521D256" w14:textId="19661DE5">
            <w:pPr>
              <w:spacing w:after="0" w:line="259" w:lineRule="auto"/>
              <w:ind w:left="70" w:right="0" w:firstLine="0"/>
            </w:pPr>
            <w:r>
              <w:t>11,74</w:t>
            </w:r>
            <w:r w:rsidR="00D90C40">
              <w:t xml:space="preserve">8 </w:t>
            </w:r>
          </w:p>
        </w:tc>
        <w:tc>
          <w:tcPr>
            <w:tcW w:w="1440" w:type="dxa"/>
            <w:tcBorders>
              <w:top w:val="single" w:sz="8" w:space="0" w:color="000000"/>
              <w:left w:val="single" w:sz="8" w:space="0" w:color="000000"/>
              <w:bottom w:val="single" w:sz="8" w:space="0" w:color="000000"/>
              <w:right w:val="single" w:sz="8" w:space="0" w:color="000000"/>
            </w:tcBorders>
          </w:tcPr>
          <w:p w:rsidR="009871F5" w14:paraId="5D8F12FE" w14:textId="7D959D2D">
            <w:pPr>
              <w:spacing w:after="0" w:line="259" w:lineRule="auto"/>
              <w:ind w:left="0" w:right="22" w:firstLine="0"/>
              <w:jc w:val="center"/>
            </w:pPr>
            <w:r>
              <w:t>1</w:t>
            </w:r>
            <w:r w:rsidR="00BC3CAE">
              <w:t>31.12</w:t>
            </w: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7A75AC" w14:paraId="54D88DBD" w14:textId="6FBBB005">
            <w:pPr>
              <w:spacing w:after="0" w:line="259" w:lineRule="auto"/>
              <w:ind w:left="38" w:right="0" w:firstLine="0"/>
              <w:jc w:val="center"/>
            </w:pPr>
            <w:r>
              <w:t>$</w:t>
            </w:r>
            <w:r w:rsidR="00D90C40">
              <w:t>1,</w:t>
            </w:r>
            <w:r w:rsidR="007E342C">
              <w:t>540,398</w:t>
            </w:r>
          </w:p>
        </w:tc>
      </w:tr>
      <w:tr w14:paraId="1062696E" w14:textId="77777777">
        <w:tblPrEx>
          <w:tblW w:w="10162" w:type="dxa"/>
          <w:tblInd w:w="10" w:type="dxa"/>
          <w:tblCellMar>
            <w:left w:w="108" w:type="dxa"/>
            <w:right w:w="63" w:type="dxa"/>
          </w:tblCellMar>
          <w:tblLook w:val="04A0"/>
        </w:tblPrEx>
        <w:trPr>
          <w:trHeight w:val="1126"/>
        </w:trPr>
        <w:tc>
          <w:tcPr>
            <w:tcW w:w="3862" w:type="dxa"/>
            <w:tcBorders>
              <w:top w:val="single" w:sz="8" w:space="0" w:color="000000"/>
              <w:left w:val="single" w:sz="8" w:space="0" w:color="000000"/>
              <w:bottom w:val="single" w:sz="8" w:space="0" w:color="000000"/>
              <w:right w:val="single" w:sz="8" w:space="0" w:color="000000"/>
            </w:tcBorders>
          </w:tcPr>
          <w:p w:rsidR="009871F5" w14:paraId="46359740" w14:textId="77777777">
            <w:pPr>
              <w:spacing w:after="0" w:line="238" w:lineRule="auto"/>
              <w:ind w:left="0" w:right="0" w:firstLine="0"/>
            </w:pPr>
            <w:r>
              <w:t xml:space="preserve">Government sponsored plans, including Medicaid; State </w:t>
            </w:r>
          </w:p>
          <w:p w:rsidR="009871F5" w14:paraId="10F84D84" w14:textId="77777777">
            <w:pPr>
              <w:spacing w:after="0" w:line="259" w:lineRule="auto"/>
              <w:ind w:left="0" w:right="0" w:firstLine="0"/>
            </w:pPr>
            <w:r>
              <w:t xml:space="preserve">Pharmaceutical Assistance Programs (SPAPs); State High Risk Pools </w:t>
            </w:r>
          </w:p>
        </w:tc>
        <w:tc>
          <w:tcPr>
            <w:tcW w:w="1440" w:type="dxa"/>
            <w:tcBorders>
              <w:top w:val="single" w:sz="8" w:space="0" w:color="000000"/>
              <w:left w:val="single" w:sz="8" w:space="0" w:color="000000"/>
              <w:bottom w:val="single" w:sz="8" w:space="0" w:color="000000"/>
              <w:right w:val="single" w:sz="8" w:space="0" w:color="000000"/>
            </w:tcBorders>
          </w:tcPr>
          <w:p w:rsidR="009871F5" w14:paraId="20C27D93" w14:textId="0E5CA695">
            <w:pPr>
              <w:spacing w:after="0" w:line="259" w:lineRule="auto"/>
              <w:ind w:left="0" w:right="19" w:firstLine="0"/>
              <w:jc w:val="center"/>
            </w:pPr>
            <w:r>
              <w:t>49</w:t>
            </w:r>
            <w:r w:rsidR="00D90C40">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14:paraId="605821DA" w14:textId="77777777">
            <w:pPr>
              <w:spacing w:after="0" w:line="259" w:lineRule="auto"/>
              <w:ind w:left="0" w:right="22" w:firstLine="0"/>
              <w:jc w:val="center"/>
            </w:pPr>
            <w: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3017A3E7" w14:textId="136F51DC">
            <w:pPr>
              <w:spacing w:after="0" w:line="259" w:lineRule="auto"/>
              <w:ind w:left="0" w:right="22" w:firstLine="0"/>
              <w:jc w:val="center"/>
            </w:pPr>
            <w:r>
              <w:t>4</w:t>
            </w:r>
            <w:r w:rsidR="00D90C40">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15F7AA7D" w14:textId="30A43373">
            <w:pPr>
              <w:spacing w:after="0" w:line="259" w:lineRule="auto"/>
              <w:ind w:left="0" w:right="22" w:firstLine="0"/>
              <w:jc w:val="center"/>
            </w:pPr>
            <w:r>
              <w:t>1</w:t>
            </w:r>
            <w:r w:rsidR="00BC3CAE">
              <w:t>31.12</w:t>
            </w: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895DF7" w14:paraId="59544185" w14:textId="2656840B">
            <w:pPr>
              <w:spacing w:after="0" w:line="259" w:lineRule="auto"/>
              <w:ind w:left="0" w:right="22" w:firstLine="0"/>
              <w:jc w:val="center"/>
            </w:pPr>
            <w:r>
              <w:t>$</w:t>
            </w:r>
            <w:r w:rsidR="00CE320F">
              <w:t>52</w:t>
            </w:r>
            <w:r w:rsidR="007E342C">
              <w:t>4</w:t>
            </w:r>
          </w:p>
        </w:tc>
      </w:tr>
      <w:tr w14:paraId="7E041EE0" w14:textId="77777777">
        <w:tblPrEx>
          <w:tblW w:w="10162" w:type="dxa"/>
          <w:tblInd w:w="10" w:type="dxa"/>
          <w:tblCellMar>
            <w:left w:w="108" w:type="dxa"/>
            <w:right w:w="63" w:type="dxa"/>
          </w:tblCellMar>
          <w:tblLook w:val="04A0"/>
        </w:tblPrEx>
        <w:trPr>
          <w:trHeight w:val="1123"/>
        </w:trPr>
        <w:tc>
          <w:tcPr>
            <w:tcW w:w="3862" w:type="dxa"/>
            <w:tcBorders>
              <w:top w:val="single" w:sz="8" w:space="0" w:color="000000"/>
              <w:left w:val="single" w:sz="8" w:space="0" w:color="000000"/>
              <w:bottom w:val="single" w:sz="8" w:space="0" w:color="000000"/>
              <w:right w:val="single" w:sz="8" w:space="0" w:color="000000"/>
            </w:tcBorders>
          </w:tcPr>
          <w:p w:rsidR="009871F5" w14:paraId="2A7359D5" w14:textId="77777777">
            <w:pPr>
              <w:spacing w:after="0" w:line="259" w:lineRule="auto"/>
              <w:ind w:left="0" w:right="0" w:firstLine="0"/>
            </w:pPr>
            <w:r>
              <w:t xml:space="preserve">Military coverage, including the </w:t>
            </w:r>
          </w:p>
          <w:p w:rsidR="009871F5" w14:paraId="264A150D" w14:textId="77777777">
            <w:pPr>
              <w:spacing w:after="0" w:line="259" w:lineRule="auto"/>
              <w:ind w:left="0" w:right="0" w:firstLine="0"/>
            </w:pPr>
            <w:r>
              <w:t xml:space="preserve">United States Department of </w:t>
            </w:r>
          </w:p>
          <w:p w:rsidR="009871F5" w14:paraId="031650F1" w14:textId="77777777">
            <w:pPr>
              <w:spacing w:after="0" w:line="259" w:lineRule="auto"/>
              <w:ind w:left="0" w:right="0" w:firstLine="0"/>
            </w:pPr>
            <w:r>
              <w:t xml:space="preserve">Veterans Affairs (VA) coverage and </w:t>
            </w:r>
          </w:p>
          <w:p w:rsidR="009871F5" w14:paraId="0A2BF064" w14:textId="77777777">
            <w:pPr>
              <w:spacing w:after="0" w:line="259" w:lineRule="auto"/>
              <w:ind w:left="0" w:right="0" w:firstLine="0"/>
            </w:pPr>
            <w:r>
              <w:t xml:space="preserve">TRICARE </w:t>
            </w:r>
          </w:p>
        </w:tc>
        <w:tc>
          <w:tcPr>
            <w:tcW w:w="1440" w:type="dxa"/>
            <w:tcBorders>
              <w:top w:val="single" w:sz="8" w:space="0" w:color="000000"/>
              <w:left w:val="single" w:sz="8" w:space="0" w:color="000000"/>
              <w:bottom w:val="single" w:sz="8" w:space="0" w:color="000000"/>
              <w:right w:val="single" w:sz="8" w:space="0" w:color="000000"/>
            </w:tcBorders>
          </w:tcPr>
          <w:p w:rsidR="009871F5" w14:paraId="52B1E0B4" w14:textId="6014557D">
            <w:pPr>
              <w:spacing w:after="0" w:line="259" w:lineRule="auto"/>
              <w:ind w:left="0" w:right="19" w:firstLine="0"/>
              <w:jc w:val="center"/>
            </w:pPr>
            <w:r>
              <w:t>7</w:t>
            </w:r>
          </w:p>
        </w:tc>
        <w:tc>
          <w:tcPr>
            <w:tcW w:w="1260" w:type="dxa"/>
            <w:tcBorders>
              <w:top w:val="single" w:sz="8" w:space="0" w:color="000000"/>
              <w:left w:val="single" w:sz="8" w:space="0" w:color="000000"/>
              <w:bottom w:val="single" w:sz="8" w:space="0" w:color="000000"/>
              <w:right w:val="single" w:sz="8" w:space="0" w:color="000000"/>
            </w:tcBorders>
          </w:tcPr>
          <w:p w:rsidR="009871F5" w14:paraId="0D0648F4" w14:textId="77777777">
            <w:pPr>
              <w:spacing w:after="0" w:line="259" w:lineRule="auto"/>
              <w:ind w:left="0" w:right="22" w:firstLine="0"/>
              <w:jc w:val="center"/>
            </w:pPr>
            <w: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45296E97" w14:textId="07207ECB">
            <w:pPr>
              <w:spacing w:after="0" w:line="259" w:lineRule="auto"/>
              <w:ind w:left="0" w:right="22" w:firstLine="0"/>
              <w:jc w:val="center"/>
            </w:pPr>
            <w:r>
              <w:t>1</w:t>
            </w:r>
            <w:r w:rsidR="00D90C40">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6184684D" w14:textId="04ACF82F">
            <w:pPr>
              <w:spacing w:after="0" w:line="259" w:lineRule="auto"/>
              <w:ind w:left="0" w:right="22" w:firstLine="0"/>
              <w:jc w:val="center"/>
            </w:pPr>
            <w:r>
              <w:t>1</w:t>
            </w:r>
            <w:r w:rsidR="007E342C">
              <w:t>31.1</w:t>
            </w:r>
            <w:r w:rsidR="00491F72">
              <w:t>2</w:t>
            </w: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895DF7" w14:paraId="2FA23CD2" w14:textId="7AB9CCA8">
            <w:pPr>
              <w:spacing w:after="0" w:line="259" w:lineRule="auto"/>
              <w:ind w:left="0" w:right="22" w:firstLine="0"/>
              <w:jc w:val="center"/>
            </w:pPr>
            <w:r>
              <w:t>$</w:t>
            </w:r>
            <w:r w:rsidR="006B1DFC">
              <w:t>1</w:t>
            </w:r>
            <w:r w:rsidR="007E342C">
              <w:t>31</w:t>
            </w:r>
          </w:p>
        </w:tc>
      </w:tr>
      <w:tr w14:paraId="44506DB7" w14:textId="77777777">
        <w:tblPrEx>
          <w:tblW w:w="10162" w:type="dxa"/>
          <w:tblInd w:w="10" w:type="dxa"/>
          <w:tblCellMar>
            <w:left w:w="108" w:type="dxa"/>
            <w:right w:w="63" w:type="dxa"/>
          </w:tblCellMar>
          <w:tblLook w:val="04A0"/>
        </w:tblPrEx>
        <w:trPr>
          <w:trHeight w:val="319"/>
        </w:trPr>
        <w:tc>
          <w:tcPr>
            <w:tcW w:w="3862" w:type="dxa"/>
            <w:tcBorders>
              <w:top w:val="single" w:sz="8" w:space="0" w:color="000000"/>
              <w:left w:val="single" w:sz="8" w:space="0" w:color="000000"/>
              <w:bottom w:val="single" w:sz="8" w:space="0" w:color="000000"/>
              <w:right w:val="single" w:sz="8" w:space="0" w:color="000000"/>
            </w:tcBorders>
          </w:tcPr>
          <w:p w:rsidR="009871F5" w14:paraId="7F21685D" w14:textId="77777777">
            <w:pPr>
              <w:spacing w:after="0" w:line="259" w:lineRule="auto"/>
              <w:ind w:left="0" w:right="0" w:firstLine="0"/>
            </w:pPr>
            <w:r>
              <w:t xml:space="preserve">Individual health insurance </w:t>
            </w:r>
          </w:p>
        </w:tc>
        <w:tc>
          <w:tcPr>
            <w:tcW w:w="1440" w:type="dxa"/>
            <w:tcBorders>
              <w:top w:val="single" w:sz="8" w:space="0" w:color="000000"/>
              <w:left w:val="single" w:sz="8" w:space="0" w:color="000000"/>
              <w:bottom w:val="single" w:sz="8" w:space="0" w:color="000000"/>
              <w:right w:val="single" w:sz="8" w:space="0" w:color="000000"/>
            </w:tcBorders>
          </w:tcPr>
          <w:p w:rsidR="009871F5" w14:paraId="3FADB4B1" w14:textId="44ED41F7">
            <w:pPr>
              <w:spacing w:after="0" w:line="259" w:lineRule="auto"/>
              <w:ind w:left="0" w:right="19" w:firstLine="0"/>
              <w:jc w:val="center"/>
            </w:pPr>
            <w:r>
              <w:t>180</w:t>
            </w:r>
          </w:p>
        </w:tc>
        <w:tc>
          <w:tcPr>
            <w:tcW w:w="1260" w:type="dxa"/>
            <w:tcBorders>
              <w:top w:val="single" w:sz="8" w:space="0" w:color="000000"/>
              <w:left w:val="single" w:sz="8" w:space="0" w:color="000000"/>
              <w:bottom w:val="single" w:sz="8" w:space="0" w:color="000000"/>
              <w:right w:val="single" w:sz="8" w:space="0" w:color="000000"/>
            </w:tcBorders>
          </w:tcPr>
          <w:p w:rsidR="009871F5" w14:paraId="05F9BC5A" w14:textId="77777777">
            <w:pPr>
              <w:spacing w:after="0" w:line="259" w:lineRule="auto"/>
              <w:ind w:left="0" w:right="22" w:firstLine="0"/>
              <w:jc w:val="center"/>
            </w:pPr>
            <w: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58BB7833" w14:textId="5D088129">
            <w:pPr>
              <w:spacing w:after="0" w:line="259" w:lineRule="auto"/>
              <w:ind w:left="0" w:right="22" w:firstLine="0"/>
              <w:jc w:val="center"/>
            </w:pPr>
            <w:r>
              <w:t>1</w:t>
            </w:r>
            <w:r w:rsidR="00CE320F">
              <w:t>5</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2AFF1C83" w14:textId="2A4FF955">
            <w:pPr>
              <w:spacing w:after="0" w:line="259" w:lineRule="auto"/>
              <w:ind w:left="0" w:right="22" w:firstLine="0"/>
              <w:jc w:val="center"/>
            </w:pPr>
            <w:r>
              <w:t>1</w:t>
            </w:r>
            <w:r w:rsidR="007E342C">
              <w:t>31.1</w:t>
            </w:r>
            <w:r w:rsidR="00491F72">
              <w:t>2</w:t>
            </w: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895DF7" w14:paraId="17F59B38" w14:textId="47AB424C">
            <w:pPr>
              <w:spacing w:after="0" w:line="259" w:lineRule="auto"/>
              <w:ind w:left="0" w:right="19" w:firstLine="0"/>
              <w:jc w:val="center"/>
            </w:pPr>
            <w:r>
              <w:t>$</w:t>
            </w:r>
            <w:r w:rsidR="00106F1D">
              <w:t>1</w:t>
            </w:r>
            <w:r w:rsidR="007E342C">
              <w:t>9</w:t>
            </w:r>
            <w:r w:rsidR="00106F1D">
              <w:t>6</w:t>
            </w:r>
            <w:r w:rsidR="007E342C">
              <w:t>7</w:t>
            </w:r>
          </w:p>
        </w:tc>
      </w:tr>
      <w:tr w14:paraId="73F0B4F3" w14:textId="77777777">
        <w:tblPrEx>
          <w:tblW w:w="10162" w:type="dxa"/>
          <w:tblInd w:w="10" w:type="dxa"/>
          <w:tblCellMar>
            <w:left w:w="108" w:type="dxa"/>
            <w:right w:w="63" w:type="dxa"/>
          </w:tblCellMar>
          <w:tblLook w:val="04A0"/>
        </w:tblPrEx>
        <w:trPr>
          <w:trHeight w:val="850"/>
        </w:trPr>
        <w:tc>
          <w:tcPr>
            <w:tcW w:w="3862" w:type="dxa"/>
            <w:tcBorders>
              <w:top w:val="single" w:sz="8" w:space="0" w:color="000000"/>
              <w:left w:val="single" w:sz="8" w:space="0" w:color="000000"/>
              <w:bottom w:val="single" w:sz="8" w:space="0" w:color="000000"/>
              <w:right w:val="single" w:sz="8" w:space="0" w:color="000000"/>
            </w:tcBorders>
          </w:tcPr>
          <w:p w:rsidR="009871F5" w14:paraId="5C8DCC10" w14:textId="77777777">
            <w:pPr>
              <w:spacing w:after="0" w:line="259" w:lineRule="auto"/>
              <w:ind w:left="0" w:right="0" w:firstLine="0"/>
            </w:pPr>
            <w:r>
              <w:t xml:space="preserve">Indian Health Service; Tribe or other </w:t>
            </w:r>
          </w:p>
          <w:p w:rsidR="009871F5" w14:paraId="46DA5FB3" w14:textId="77777777">
            <w:pPr>
              <w:spacing w:after="0" w:line="259" w:lineRule="auto"/>
              <w:ind w:left="0" w:right="0" w:firstLine="0"/>
            </w:pPr>
            <w:r>
              <w:t xml:space="preserve">Tribal Organizations; Urban Indian </w:t>
            </w:r>
          </w:p>
          <w:p w:rsidR="009871F5" w14:paraId="4296205B" w14:textId="77777777">
            <w:pPr>
              <w:spacing w:after="0" w:line="259" w:lineRule="auto"/>
              <w:ind w:left="0" w:right="0" w:firstLine="0"/>
            </w:pPr>
            <w:r>
              <w:t xml:space="preserve">Organizations </w:t>
            </w:r>
          </w:p>
        </w:tc>
        <w:tc>
          <w:tcPr>
            <w:tcW w:w="1440" w:type="dxa"/>
            <w:tcBorders>
              <w:top w:val="single" w:sz="8" w:space="0" w:color="000000"/>
              <w:left w:val="single" w:sz="8" w:space="0" w:color="000000"/>
              <w:bottom w:val="single" w:sz="8" w:space="0" w:color="000000"/>
              <w:right w:val="single" w:sz="8" w:space="0" w:color="000000"/>
            </w:tcBorders>
          </w:tcPr>
          <w:p w:rsidR="009871F5" w14:paraId="14642418" w14:textId="101B265E">
            <w:pPr>
              <w:spacing w:after="0" w:line="259" w:lineRule="auto"/>
              <w:ind w:left="0" w:right="19" w:firstLine="0"/>
              <w:jc w:val="center"/>
            </w:pPr>
            <w:r>
              <w:t>58</w:t>
            </w:r>
            <w:r w:rsidR="00D90C40">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14:paraId="60C968CF" w14:textId="77777777">
            <w:pPr>
              <w:spacing w:after="0" w:line="259" w:lineRule="auto"/>
              <w:ind w:left="0" w:right="22" w:firstLine="0"/>
              <w:jc w:val="center"/>
            </w:pPr>
            <w: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29C6C0F7" w14:textId="7C9BA5EF">
            <w:pPr>
              <w:spacing w:after="0" w:line="259" w:lineRule="auto"/>
              <w:ind w:left="0" w:right="22" w:firstLine="0"/>
              <w:jc w:val="center"/>
            </w:pPr>
            <w:r>
              <w:t>5</w:t>
            </w:r>
            <w:r w:rsidR="00D90C40">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48E58F8F" w14:textId="7A39AE18">
            <w:pPr>
              <w:spacing w:after="0" w:line="259" w:lineRule="auto"/>
              <w:ind w:left="0" w:right="22" w:firstLine="0"/>
              <w:jc w:val="center"/>
            </w:pPr>
            <w:r>
              <w:t>1</w:t>
            </w:r>
            <w:r w:rsidR="007E342C">
              <w:t>31.12</w:t>
            </w: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895DF7" w14:paraId="29C133E6" w14:textId="11D8BAB2">
            <w:pPr>
              <w:spacing w:after="0" w:line="259" w:lineRule="auto"/>
              <w:ind w:left="0" w:right="22" w:firstLine="0"/>
              <w:jc w:val="center"/>
            </w:pPr>
            <w:r>
              <w:t>$</w:t>
            </w:r>
            <w:r w:rsidR="007E342C">
              <w:t>656</w:t>
            </w:r>
          </w:p>
        </w:tc>
      </w:tr>
      <w:tr w14:paraId="2E09B27D" w14:textId="77777777">
        <w:tblPrEx>
          <w:tblW w:w="10162" w:type="dxa"/>
          <w:tblInd w:w="10" w:type="dxa"/>
          <w:tblCellMar>
            <w:left w:w="108" w:type="dxa"/>
            <w:right w:w="63" w:type="dxa"/>
          </w:tblCellMar>
          <w:tblLook w:val="04A0"/>
        </w:tblPrEx>
        <w:trPr>
          <w:trHeight w:val="1399"/>
        </w:trPr>
        <w:tc>
          <w:tcPr>
            <w:tcW w:w="3862" w:type="dxa"/>
            <w:tcBorders>
              <w:top w:val="single" w:sz="8" w:space="0" w:color="000000"/>
              <w:left w:val="single" w:sz="8" w:space="0" w:color="000000"/>
              <w:bottom w:val="single" w:sz="8" w:space="0" w:color="000000"/>
              <w:right w:val="single" w:sz="8" w:space="0" w:color="000000"/>
            </w:tcBorders>
          </w:tcPr>
          <w:p w:rsidR="009871F5" w14:paraId="745AC988" w14:textId="77777777">
            <w:pPr>
              <w:spacing w:after="0" w:line="259" w:lineRule="auto"/>
              <w:ind w:left="0" w:right="0" w:firstLine="0"/>
            </w:pPr>
            <w:r>
              <w:t xml:space="preserve">Medigap (Medicare Supplement) plans, including standardized plans H, I or J; prestandardized plans; waiver State plans; and plans with innovative benefits </w:t>
            </w:r>
          </w:p>
        </w:tc>
        <w:tc>
          <w:tcPr>
            <w:tcW w:w="1440" w:type="dxa"/>
            <w:tcBorders>
              <w:top w:val="single" w:sz="8" w:space="0" w:color="000000"/>
              <w:left w:val="single" w:sz="8" w:space="0" w:color="000000"/>
              <w:bottom w:val="single" w:sz="8" w:space="0" w:color="000000"/>
              <w:right w:val="single" w:sz="8" w:space="0" w:color="000000"/>
            </w:tcBorders>
          </w:tcPr>
          <w:p w:rsidR="009871F5" w14:paraId="59F25EF7" w14:textId="427EE866">
            <w:pPr>
              <w:spacing w:after="0" w:line="259" w:lineRule="auto"/>
              <w:ind w:left="0" w:right="19" w:firstLine="0"/>
              <w:jc w:val="center"/>
            </w:pPr>
            <w:r>
              <w:t>132</w:t>
            </w:r>
            <w:r w:rsidR="00D90C40">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14:paraId="42320D9C" w14:textId="77777777">
            <w:pPr>
              <w:spacing w:after="0" w:line="259" w:lineRule="auto"/>
              <w:ind w:left="0" w:right="22" w:firstLine="0"/>
              <w:jc w:val="center"/>
            </w:pPr>
            <w: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1540F862" w14:textId="19A67191">
            <w:pPr>
              <w:spacing w:after="0" w:line="259" w:lineRule="auto"/>
              <w:ind w:left="0" w:right="22" w:firstLine="0"/>
              <w:jc w:val="center"/>
            </w:pPr>
            <w:r>
              <w:t>1</w:t>
            </w:r>
            <w:r w:rsidR="00CE320F">
              <w:t>1</w:t>
            </w: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788591DA" w14:textId="215F795B">
            <w:pPr>
              <w:spacing w:after="0" w:line="259" w:lineRule="auto"/>
              <w:ind w:left="0" w:right="22" w:firstLine="0"/>
              <w:jc w:val="center"/>
            </w:pPr>
            <w:r>
              <w:t>1</w:t>
            </w:r>
            <w:r w:rsidR="007E342C">
              <w:t>31</w:t>
            </w:r>
            <w:r w:rsidR="00491F72">
              <w:t>.</w:t>
            </w:r>
            <w:r w:rsidR="007E342C">
              <w:t>1</w:t>
            </w:r>
            <w:r w:rsidR="00491F72">
              <w:t>2</w:t>
            </w: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895DF7" w14:paraId="373958A0" w14:textId="66BF5BF1">
            <w:pPr>
              <w:spacing w:after="0" w:line="259" w:lineRule="auto"/>
              <w:ind w:left="0" w:right="19" w:firstLine="0"/>
              <w:jc w:val="center"/>
            </w:pPr>
            <w:r>
              <w:t>$</w:t>
            </w:r>
            <w:r w:rsidR="00D90C40">
              <w:t>1,</w:t>
            </w:r>
            <w:r w:rsidR="007E342C">
              <w:t>442</w:t>
            </w:r>
          </w:p>
        </w:tc>
      </w:tr>
      <w:tr w14:paraId="0063378F" w14:textId="77777777">
        <w:tblPrEx>
          <w:tblW w:w="10162" w:type="dxa"/>
          <w:tblInd w:w="10" w:type="dxa"/>
          <w:tblCellMar>
            <w:left w:w="108" w:type="dxa"/>
            <w:right w:w="63" w:type="dxa"/>
          </w:tblCellMar>
          <w:tblLook w:val="04A0"/>
        </w:tblPrEx>
        <w:trPr>
          <w:trHeight w:val="319"/>
        </w:trPr>
        <w:tc>
          <w:tcPr>
            <w:tcW w:w="3862" w:type="dxa"/>
            <w:tcBorders>
              <w:top w:val="single" w:sz="8" w:space="0" w:color="000000"/>
              <w:left w:val="single" w:sz="8" w:space="0" w:color="000000"/>
              <w:bottom w:val="single" w:sz="8" w:space="0" w:color="000000"/>
              <w:right w:val="single" w:sz="8" w:space="0" w:color="000000"/>
            </w:tcBorders>
          </w:tcPr>
          <w:p w:rsidR="009871F5" w14:paraId="45114060" w14:textId="77777777">
            <w:pPr>
              <w:spacing w:after="0" w:line="259" w:lineRule="auto"/>
              <w:ind w:left="0" w:right="0" w:firstLine="0"/>
            </w:pP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41DF69FB" w14:textId="77777777">
            <w:pPr>
              <w:spacing w:after="0" w:line="259" w:lineRule="auto"/>
              <w:ind w:left="338" w:right="0" w:firstLine="0"/>
            </w:pP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14:paraId="32F1AA7C" w14:textId="77777777">
            <w:pPr>
              <w:spacing w:after="0" w:line="259" w:lineRule="auto"/>
              <w:ind w:left="0" w:right="82" w:firstLine="0"/>
              <w:jc w:val="center"/>
            </w:pPr>
            <w:r>
              <w:t xml:space="preserve"> </w:t>
            </w:r>
          </w:p>
        </w:tc>
        <w:tc>
          <w:tcPr>
            <w:tcW w:w="900" w:type="dxa"/>
            <w:tcBorders>
              <w:top w:val="single" w:sz="8" w:space="0" w:color="000000"/>
              <w:left w:val="single" w:sz="8" w:space="0" w:color="000000"/>
              <w:bottom w:val="single" w:sz="8" w:space="0" w:color="000000"/>
              <w:right w:val="single" w:sz="8" w:space="0" w:color="000000"/>
            </w:tcBorders>
          </w:tcPr>
          <w:p w:rsidR="009871F5" w14:paraId="7C262AE3" w14:textId="77777777">
            <w:pPr>
              <w:spacing w:after="0" w:line="259" w:lineRule="auto"/>
              <w:ind w:left="158" w:right="0" w:firstLine="0"/>
            </w:pP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5F48507B" w14:textId="77777777">
            <w:pPr>
              <w:spacing w:after="0" w:line="259" w:lineRule="auto"/>
              <w:ind w:left="278" w:right="0" w:firstLine="0"/>
            </w:pPr>
            <w: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7A75AC" w14:paraId="74446F00" w14:textId="79B457B8">
            <w:pPr>
              <w:spacing w:after="0" w:line="259" w:lineRule="auto"/>
              <w:ind w:left="190" w:right="0" w:firstLine="0"/>
              <w:jc w:val="center"/>
            </w:pPr>
          </w:p>
        </w:tc>
      </w:tr>
      <w:tr w14:paraId="33F5D334" w14:textId="77777777">
        <w:tblPrEx>
          <w:tblW w:w="10162" w:type="dxa"/>
          <w:tblInd w:w="10" w:type="dxa"/>
          <w:tblCellMar>
            <w:left w:w="108" w:type="dxa"/>
            <w:right w:w="63" w:type="dxa"/>
          </w:tblCellMar>
          <w:tblLook w:val="04A0"/>
        </w:tblPrEx>
        <w:trPr>
          <w:trHeight w:val="322"/>
        </w:trPr>
        <w:tc>
          <w:tcPr>
            <w:tcW w:w="3862" w:type="dxa"/>
            <w:tcBorders>
              <w:top w:val="single" w:sz="8" w:space="0" w:color="000000"/>
              <w:left w:val="single" w:sz="8" w:space="0" w:color="000000"/>
              <w:bottom w:val="single" w:sz="8" w:space="0" w:color="000000"/>
              <w:right w:val="single" w:sz="8" w:space="0" w:color="000000"/>
            </w:tcBorders>
          </w:tcPr>
          <w:p w:rsidR="009871F5" w14:paraId="7957136E" w14:textId="77777777">
            <w:pPr>
              <w:spacing w:after="0" w:line="259" w:lineRule="auto"/>
              <w:ind w:left="0" w:right="0" w:firstLine="0"/>
            </w:pPr>
            <w:r>
              <w:rPr>
                <w:b/>
              </w:rPr>
              <w:t xml:space="preserve">Total </w:t>
            </w:r>
          </w:p>
        </w:tc>
        <w:tc>
          <w:tcPr>
            <w:tcW w:w="1440" w:type="dxa"/>
            <w:tcBorders>
              <w:top w:val="single" w:sz="8" w:space="0" w:color="000000"/>
              <w:left w:val="single" w:sz="8" w:space="0" w:color="000000"/>
              <w:bottom w:val="single" w:sz="8" w:space="0" w:color="000000"/>
              <w:right w:val="single" w:sz="8" w:space="0" w:color="000000"/>
            </w:tcBorders>
          </w:tcPr>
          <w:p w:rsidR="009871F5" w14:paraId="1C9162CB" w14:textId="56371C1E">
            <w:pPr>
              <w:spacing w:after="0" w:line="259" w:lineRule="auto"/>
              <w:ind w:left="0" w:right="22" w:firstLine="0"/>
              <w:jc w:val="center"/>
            </w:pPr>
            <w:r>
              <w:rPr>
                <w:b/>
              </w:rPr>
              <w:t>141,400</w:t>
            </w:r>
            <w:r w:rsidR="00D90C40">
              <w:rPr>
                <w:b/>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14:paraId="1087C2F7" w14:textId="77777777">
            <w:pPr>
              <w:spacing w:after="0" w:line="259" w:lineRule="auto"/>
              <w:ind w:left="0" w:right="22" w:firstLine="0"/>
              <w:jc w:val="center"/>
            </w:pPr>
            <w:r>
              <w:rPr>
                <w:b/>
              </w:rPr>
              <w:t xml:space="preserve">5 </w:t>
            </w:r>
          </w:p>
        </w:tc>
        <w:tc>
          <w:tcPr>
            <w:tcW w:w="900" w:type="dxa"/>
            <w:tcBorders>
              <w:top w:val="single" w:sz="8" w:space="0" w:color="000000"/>
              <w:left w:val="single" w:sz="8" w:space="0" w:color="000000"/>
              <w:bottom w:val="single" w:sz="8" w:space="0" w:color="000000"/>
              <w:right w:val="single" w:sz="8" w:space="0" w:color="000000"/>
            </w:tcBorders>
          </w:tcPr>
          <w:p w:rsidR="009871F5" w14:paraId="434F4091" w14:textId="4AA0113E">
            <w:pPr>
              <w:spacing w:after="0" w:line="259" w:lineRule="auto"/>
              <w:ind w:left="70" w:right="0" w:firstLine="0"/>
            </w:pPr>
            <w:r>
              <w:rPr>
                <w:b/>
              </w:rPr>
              <w:t>11,78</w:t>
            </w:r>
            <w:r w:rsidR="00A74B62">
              <w:rPr>
                <w:b/>
              </w:rPr>
              <w:t>4</w:t>
            </w:r>
            <w:r w:rsidR="00D90C40">
              <w:rPr>
                <w:b/>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9871F5" w14:paraId="526CD56A" w14:textId="4B2059AE">
            <w:pPr>
              <w:spacing w:after="0" w:line="259" w:lineRule="auto"/>
              <w:ind w:left="0" w:right="22" w:firstLine="0"/>
              <w:jc w:val="center"/>
            </w:pPr>
            <w:r>
              <w:rPr>
                <w:b/>
              </w:rPr>
              <w:t>1</w:t>
            </w:r>
            <w:r w:rsidR="007E342C">
              <w:rPr>
                <w:b/>
              </w:rPr>
              <w:t>31</w:t>
            </w:r>
            <w:r w:rsidR="00491F72">
              <w:rPr>
                <w:b/>
              </w:rPr>
              <w:t>.</w:t>
            </w:r>
            <w:r w:rsidR="007E342C">
              <w:rPr>
                <w:b/>
              </w:rPr>
              <w:t>1</w:t>
            </w:r>
            <w:r w:rsidR="00491F72">
              <w:rPr>
                <w:b/>
              </w:rPr>
              <w:t>2</w:t>
            </w:r>
            <w:r>
              <w:rPr>
                <w:b/>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9871F5" w:rsidP="007A75AC" w14:paraId="34441C13" w14:textId="331D565B">
            <w:pPr>
              <w:spacing w:after="0" w:line="259" w:lineRule="auto"/>
              <w:ind w:left="38" w:right="0" w:firstLine="0"/>
              <w:jc w:val="center"/>
            </w:pPr>
            <w:r>
              <w:rPr>
                <w:b/>
              </w:rPr>
              <w:t>$</w:t>
            </w:r>
            <w:r w:rsidR="00D90C40">
              <w:rPr>
                <w:b/>
              </w:rPr>
              <w:t>1,</w:t>
            </w:r>
            <w:r w:rsidR="007E342C">
              <w:rPr>
                <w:b/>
              </w:rPr>
              <w:t>545</w:t>
            </w:r>
            <w:r w:rsidR="000D2095">
              <w:rPr>
                <w:b/>
              </w:rPr>
              <w:t>,</w:t>
            </w:r>
            <w:r w:rsidR="007E342C">
              <w:rPr>
                <w:b/>
              </w:rPr>
              <w:t>38</w:t>
            </w:r>
            <w:r w:rsidR="000D2095">
              <w:rPr>
                <w:b/>
              </w:rPr>
              <w:t>0</w:t>
            </w:r>
          </w:p>
        </w:tc>
      </w:tr>
    </w:tbl>
    <w:p w:rsidR="00B32D7E" w14:paraId="0059F159" w14:textId="77777777">
      <w:pPr>
        <w:tabs>
          <w:tab w:val="center" w:pos="1196"/>
        </w:tabs>
        <w:spacing w:after="264" w:line="259" w:lineRule="auto"/>
        <w:ind w:left="-15" w:right="0" w:firstLine="0"/>
      </w:pPr>
    </w:p>
    <w:p w:rsidR="009871F5" w14:paraId="78B4449C" w14:textId="200F270D">
      <w:pPr>
        <w:tabs>
          <w:tab w:val="center" w:pos="1196"/>
        </w:tabs>
        <w:spacing w:after="264" w:line="259" w:lineRule="auto"/>
        <w:ind w:left="-15" w:right="0" w:firstLine="0"/>
      </w:pPr>
      <w:r>
        <w:t>13.</w:t>
      </w:r>
      <w:r>
        <w:tab/>
      </w:r>
      <w:r>
        <w:rPr>
          <w:u w:val="single" w:color="000000"/>
        </w:rPr>
        <w:t>Capital Costs</w:t>
      </w:r>
    </w:p>
    <w:p w:rsidR="009871F5" w14:paraId="36B902E4" w14:textId="77777777">
      <w:pPr>
        <w:spacing w:after="275"/>
        <w:ind w:left="-5" w:right="0"/>
      </w:pPr>
      <w:r>
        <w:t xml:space="preserve">There is no additional capital costs associated with these ICRs. </w:t>
      </w:r>
    </w:p>
    <w:p w:rsidR="009871F5" w14:paraId="72B0C628" w14:textId="77777777">
      <w:pPr>
        <w:pStyle w:val="Heading2"/>
        <w:tabs>
          <w:tab w:val="center" w:pos="1909"/>
        </w:tabs>
        <w:spacing w:after="252"/>
        <w:ind w:left="-15" w:firstLine="0"/>
      </w:pPr>
      <w:r>
        <w:rPr>
          <w:u w:val="none"/>
        </w:rPr>
        <w:t>14.</w:t>
      </w:r>
      <w:r>
        <w:rPr>
          <w:u w:val="none"/>
        </w:rPr>
        <w:tab/>
      </w:r>
      <w:r>
        <w:t>Cost to Federal Government</w:t>
      </w:r>
    </w:p>
    <w:p w:rsidR="009871F5" w14:paraId="02AEEADD" w14:textId="3BD994CE">
      <w:pPr>
        <w:spacing w:after="271"/>
        <w:ind w:left="-5" w:right="0"/>
      </w:pPr>
      <w:r>
        <w:t>The cost to the Federal Government is $</w:t>
      </w:r>
      <w:r w:rsidR="006D02EC">
        <w:t>3</w:t>
      </w:r>
      <w:r w:rsidR="00EE639A">
        <w:t>558.27</w:t>
      </w:r>
      <w:r>
        <w:t>.  The costs/FTEs were obtained f</w:t>
      </w:r>
      <w:r w:rsidRPr="00EE639A" w:rsidR="00EE639A">
        <w:t>https://www.opm.gov/policy-data-oversight/pay-leave/salaries-wages/2025/general-schedule/</w:t>
      </w:r>
      <w:hyperlink r:id="rId8">
        <w:r>
          <w:t xml:space="preserve"> </w:t>
        </w:r>
      </w:hyperlink>
      <w:r>
        <w:t xml:space="preserve">and are summarized in Table 3. </w:t>
      </w:r>
    </w:p>
    <w:p w:rsidR="009871F5" w14:paraId="0B74DD5B" w14:textId="77777777">
      <w:pPr>
        <w:pStyle w:val="Heading1"/>
        <w:ind w:left="-5"/>
      </w:pPr>
      <w:r>
        <w:t xml:space="preserve">Table 3. Government Cost Estimate </w:t>
      </w:r>
    </w:p>
    <w:tbl>
      <w:tblPr>
        <w:tblStyle w:val="TableGrid"/>
        <w:tblW w:w="10399" w:type="dxa"/>
        <w:tblInd w:w="0" w:type="dxa"/>
        <w:tblCellMar>
          <w:left w:w="108" w:type="dxa"/>
          <w:right w:w="70" w:type="dxa"/>
        </w:tblCellMar>
        <w:tblLook w:val="04A0"/>
      </w:tblPr>
      <w:tblGrid>
        <w:gridCol w:w="3319"/>
        <w:gridCol w:w="2362"/>
        <w:gridCol w:w="2359"/>
        <w:gridCol w:w="2359"/>
      </w:tblGrid>
      <w:tr w14:paraId="1A961A05" w14:textId="77777777">
        <w:tblPrEx>
          <w:tblW w:w="10399" w:type="dxa"/>
          <w:tblInd w:w="0" w:type="dxa"/>
          <w:tblCellMar>
            <w:left w:w="108" w:type="dxa"/>
            <w:right w:w="70" w:type="dxa"/>
          </w:tblCellMar>
          <w:tblLook w:val="04A0"/>
        </w:tblPrEx>
        <w:trPr>
          <w:trHeight w:val="336"/>
        </w:trPr>
        <w:tc>
          <w:tcPr>
            <w:tcW w:w="3319" w:type="dxa"/>
            <w:tcBorders>
              <w:top w:val="single" w:sz="8" w:space="0" w:color="000000"/>
              <w:left w:val="single" w:sz="8" w:space="0" w:color="000000"/>
              <w:bottom w:val="single" w:sz="8" w:space="0" w:color="000000"/>
              <w:right w:val="single" w:sz="8" w:space="0" w:color="000000"/>
            </w:tcBorders>
          </w:tcPr>
          <w:p w:rsidR="009871F5" w14:paraId="1D5CA0F6" w14:textId="77777777">
            <w:pPr>
              <w:spacing w:after="0" w:line="259" w:lineRule="auto"/>
              <w:ind w:left="0" w:right="42" w:firstLine="0"/>
              <w:jc w:val="center"/>
            </w:pPr>
            <w:r>
              <w:rPr>
                <w:b/>
              </w:rPr>
              <w:t xml:space="preserve">Government Employee </w:t>
            </w:r>
          </w:p>
        </w:tc>
        <w:tc>
          <w:tcPr>
            <w:tcW w:w="2362" w:type="dxa"/>
            <w:tcBorders>
              <w:top w:val="single" w:sz="8" w:space="0" w:color="000000"/>
              <w:left w:val="single" w:sz="8" w:space="0" w:color="000000"/>
              <w:bottom w:val="single" w:sz="8" w:space="0" w:color="000000"/>
              <w:right w:val="single" w:sz="8" w:space="0" w:color="000000"/>
            </w:tcBorders>
          </w:tcPr>
          <w:p w:rsidR="009871F5" w14:paraId="0597D0FB" w14:textId="77777777">
            <w:pPr>
              <w:spacing w:after="0" w:line="259" w:lineRule="auto"/>
              <w:ind w:left="17" w:right="0" w:firstLine="0"/>
            </w:pPr>
            <w:r>
              <w:rPr>
                <w:b/>
              </w:rPr>
              <w:t xml:space="preserve">Hourly Salary ($/hr) </w:t>
            </w:r>
          </w:p>
        </w:tc>
        <w:tc>
          <w:tcPr>
            <w:tcW w:w="2359" w:type="dxa"/>
            <w:tcBorders>
              <w:top w:val="single" w:sz="8" w:space="0" w:color="000000"/>
              <w:left w:val="single" w:sz="8" w:space="0" w:color="000000"/>
              <w:bottom w:val="single" w:sz="8" w:space="0" w:color="000000"/>
              <w:right w:val="single" w:sz="8" w:space="0" w:color="000000"/>
            </w:tcBorders>
          </w:tcPr>
          <w:p w:rsidR="009871F5" w14:paraId="2C38ECB0" w14:textId="77777777">
            <w:pPr>
              <w:spacing w:after="0" w:line="259" w:lineRule="auto"/>
              <w:ind w:left="0" w:right="39" w:firstLine="0"/>
              <w:jc w:val="center"/>
            </w:pPr>
            <w:r>
              <w:rPr>
                <w:b/>
              </w:rPr>
              <w:t xml:space="preserve">Hours </w:t>
            </w:r>
          </w:p>
        </w:tc>
        <w:tc>
          <w:tcPr>
            <w:tcW w:w="2359" w:type="dxa"/>
            <w:tcBorders>
              <w:top w:val="single" w:sz="8" w:space="0" w:color="000000"/>
              <w:left w:val="single" w:sz="8" w:space="0" w:color="000000"/>
              <w:bottom w:val="single" w:sz="8" w:space="0" w:color="000000"/>
              <w:right w:val="single" w:sz="8" w:space="0" w:color="000000"/>
            </w:tcBorders>
          </w:tcPr>
          <w:p w:rsidR="009871F5" w14:paraId="1EDCE050" w14:textId="77777777">
            <w:pPr>
              <w:spacing w:after="0" w:line="259" w:lineRule="auto"/>
              <w:ind w:left="0" w:right="38" w:firstLine="0"/>
              <w:jc w:val="center"/>
            </w:pPr>
            <w:r>
              <w:rPr>
                <w:b/>
              </w:rPr>
              <w:t xml:space="preserve">Total Cost </w:t>
            </w:r>
          </w:p>
        </w:tc>
      </w:tr>
      <w:tr w14:paraId="3CC2AC6D" w14:textId="77777777">
        <w:tblPrEx>
          <w:tblW w:w="10399" w:type="dxa"/>
          <w:tblInd w:w="0" w:type="dxa"/>
          <w:tblCellMar>
            <w:left w:w="108" w:type="dxa"/>
            <w:right w:w="70" w:type="dxa"/>
          </w:tblCellMar>
          <w:tblLook w:val="04A0"/>
        </w:tblPrEx>
        <w:trPr>
          <w:trHeight w:val="336"/>
        </w:trPr>
        <w:tc>
          <w:tcPr>
            <w:tcW w:w="3319" w:type="dxa"/>
            <w:tcBorders>
              <w:top w:val="single" w:sz="8" w:space="0" w:color="000000"/>
              <w:left w:val="single" w:sz="8" w:space="0" w:color="000000"/>
              <w:bottom w:val="single" w:sz="8" w:space="0" w:color="000000"/>
              <w:right w:val="single" w:sz="8" w:space="0" w:color="000000"/>
            </w:tcBorders>
          </w:tcPr>
          <w:p w:rsidR="009871F5" w14:paraId="0B70EF73" w14:textId="020A7AB0">
            <w:pPr>
              <w:spacing w:after="0" w:line="259" w:lineRule="auto"/>
              <w:ind w:left="0" w:right="0" w:firstLine="0"/>
            </w:pPr>
            <w:r>
              <w:t>GS 1</w:t>
            </w:r>
            <w:r w:rsidR="00266FAC">
              <w:t>2</w:t>
            </w:r>
            <w:r>
              <w:t xml:space="preserve"> Step </w:t>
            </w:r>
            <w:r w:rsidR="00266FAC">
              <w:t>3</w:t>
            </w:r>
            <w:r>
              <w:t xml:space="preserve"> </w:t>
            </w:r>
          </w:p>
        </w:tc>
        <w:tc>
          <w:tcPr>
            <w:tcW w:w="2362" w:type="dxa"/>
            <w:tcBorders>
              <w:top w:val="single" w:sz="8" w:space="0" w:color="000000"/>
              <w:left w:val="single" w:sz="8" w:space="0" w:color="000000"/>
              <w:bottom w:val="single" w:sz="8" w:space="0" w:color="000000"/>
              <w:right w:val="single" w:sz="8" w:space="0" w:color="000000"/>
            </w:tcBorders>
          </w:tcPr>
          <w:p w:rsidR="009871F5" w14:paraId="069EBE66" w14:textId="6711755F">
            <w:pPr>
              <w:spacing w:after="0" w:line="259" w:lineRule="auto"/>
              <w:ind w:left="0" w:right="41" w:firstLine="0"/>
              <w:jc w:val="center"/>
            </w:pPr>
            <w:r>
              <w:t>50.21</w:t>
            </w:r>
            <w:r w:rsidR="00D90C40">
              <w:t xml:space="preserve"> </w:t>
            </w:r>
          </w:p>
        </w:tc>
        <w:tc>
          <w:tcPr>
            <w:tcW w:w="2359" w:type="dxa"/>
            <w:tcBorders>
              <w:top w:val="single" w:sz="8" w:space="0" w:color="000000"/>
              <w:left w:val="single" w:sz="8" w:space="0" w:color="000000"/>
              <w:bottom w:val="single" w:sz="8" w:space="0" w:color="000000"/>
              <w:right w:val="single" w:sz="8" w:space="0" w:color="000000"/>
            </w:tcBorders>
          </w:tcPr>
          <w:p w:rsidR="009871F5" w14:paraId="12FAFFF3" w14:textId="77777777">
            <w:pPr>
              <w:spacing w:after="0" w:line="259" w:lineRule="auto"/>
              <w:ind w:left="0" w:right="41" w:firstLine="0"/>
              <w:jc w:val="center"/>
            </w:pPr>
            <w:r>
              <w:t xml:space="preserve">5 </w:t>
            </w:r>
          </w:p>
        </w:tc>
        <w:tc>
          <w:tcPr>
            <w:tcW w:w="2359" w:type="dxa"/>
            <w:tcBorders>
              <w:top w:val="single" w:sz="8" w:space="0" w:color="000000"/>
              <w:left w:val="single" w:sz="8" w:space="0" w:color="000000"/>
              <w:bottom w:val="single" w:sz="8" w:space="0" w:color="000000"/>
              <w:right w:val="single" w:sz="8" w:space="0" w:color="000000"/>
            </w:tcBorders>
          </w:tcPr>
          <w:p w:rsidR="009871F5" w14:paraId="4239C18A" w14:textId="23D0A9A3">
            <w:pPr>
              <w:spacing w:after="0" w:line="259" w:lineRule="auto"/>
              <w:ind w:left="0" w:right="41" w:firstLine="0"/>
              <w:jc w:val="center"/>
            </w:pPr>
            <w:r>
              <w:t>$</w:t>
            </w:r>
            <w:r w:rsidR="006D02EC">
              <w:t>2</w:t>
            </w:r>
            <w:r w:rsidR="006A4B90">
              <w:t>51.05</w:t>
            </w:r>
            <w:r>
              <w:t xml:space="preserve"> </w:t>
            </w:r>
          </w:p>
        </w:tc>
      </w:tr>
      <w:tr w14:paraId="1002F87A" w14:textId="77777777">
        <w:tblPrEx>
          <w:tblW w:w="10399" w:type="dxa"/>
          <w:tblInd w:w="0" w:type="dxa"/>
          <w:tblCellMar>
            <w:left w:w="108" w:type="dxa"/>
            <w:right w:w="70" w:type="dxa"/>
          </w:tblCellMar>
          <w:tblLook w:val="04A0"/>
        </w:tblPrEx>
        <w:trPr>
          <w:trHeight w:val="334"/>
        </w:trPr>
        <w:tc>
          <w:tcPr>
            <w:tcW w:w="3319" w:type="dxa"/>
            <w:tcBorders>
              <w:top w:val="single" w:sz="8" w:space="0" w:color="000000"/>
              <w:left w:val="single" w:sz="8" w:space="0" w:color="000000"/>
              <w:bottom w:val="single" w:sz="8" w:space="0" w:color="000000"/>
              <w:right w:val="single" w:sz="8" w:space="0" w:color="000000"/>
            </w:tcBorders>
          </w:tcPr>
          <w:p w:rsidR="009871F5" w14:paraId="135DB94D" w14:textId="1708A0D1">
            <w:pPr>
              <w:spacing w:after="0" w:line="259" w:lineRule="auto"/>
              <w:ind w:left="0" w:right="0" w:firstLine="0"/>
            </w:pPr>
            <w:r>
              <w:t xml:space="preserve">GS 12 Step </w:t>
            </w:r>
            <w:r w:rsidR="00266FAC">
              <w:t>8</w:t>
            </w:r>
            <w:r>
              <w:t xml:space="preserve"> </w:t>
            </w:r>
          </w:p>
        </w:tc>
        <w:tc>
          <w:tcPr>
            <w:tcW w:w="2362" w:type="dxa"/>
            <w:tcBorders>
              <w:top w:val="single" w:sz="8" w:space="0" w:color="000000"/>
              <w:left w:val="single" w:sz="8" w:space="0" w:color="000000"/>
              <w:bottom w:val="single" w:sz="8" w:space="0" w:color="000000"/>
              <w:right w:val="single" w:sz="8" w:space="0" w:color="000000"/>
            </w:tcBorders>
          </w:tcPr>
          <w:p w:rsidR="009871F5" w14:paraId="0D9A8170" w14:textId="410E3A28">
            <w:pPr>
              <w:spacing w:after="0" w:line="259" w:lineRule="auto"/>
              <w:ind w:left="0" w:right="41" w:firstLine="0"/>
              <w:jc w:val="center"/>
            </w:pPr>
            <w:r>
              <w:t>5</w:t>
            </w:r>
            <w:r w:rsidR="006A4B90">
              <w:t>9.93</w:t>
            </w:r>
            <w:r w:rsidR="00D90C40">
              <w:t xml:space="preserve"> </w:t>
            </w:r>
          </w:p>
        </w:tc>
        <w:tc>
          <w:tcPr>
            <w:tcW w:w="2359" w:type="dxa"/>
            <w:tcBorders>
              <w:top w:val="single" w:sz="8" w:space="0" w:color="000000"/>
              <w:left w:val="single" w:sz="8" w:space="0" w:color="000000"/>
              <w:bottom w:val="single" w:sz="8" w:space="0" w:color="000000"/>
              <w:right w:val="single" w:sz="8" w:space="0" w:color="000000"/>
            </w:tcBorders>
          </w:tcPr>
          <w:p w:rsidR="009871F5" w14:paraId="7B645D95" w14:textId="59D9EE44">
            <w:pPr>
              <w:spacing w:after="0" w:line="259" w:lineRule="auto"/>
              <w:ind w:left="0" w:right="41" w:firstLine="0"/>
              <w:jc w:val="center"/>
            </w:pPr>
            <w:r>
              <w:t>4</w:t>
            </w:r>
            <w:r w:rsidR="00D90C40">
              <w:t xml:space="preserve">0 </w:t>
            </w:r>
          </w:p>
        </w:tc>
        <w:tc>
          <w:tcPr>
            <w:tcW w:w="2359" w:type="dxa"/>
            <w:tcBorders>
              <w:top w:val="single" w:sz="8" w:space="0" w:color="000000"/>
              <w:left w:val="single" w:sz="8" w:space="0" w:color="000000"/>
              <w:bottom w:val="single" w:sz="8" w:space="0" w:color="000000"/>
              <w:right w:val="single" w:sz="8" w:space="0" w:color="000000"/>
            </w:tcBorders>
          </w:tcPr>
          <w:p w:rsidR="009871F5" w14:paraId="54670A4C" w14:textId="18968976">
            <w:pPr>
              <w:spacing w:after="0" w:line="259" w:lineRule="auto"/>
              <w:ind w:left="0" w:right="41" w:firstLine="0"/>
              <w:jc w:val="center"/>
            </w:pPr>
            <w:r>
              <w:t>$</w:t>
            </w:r>
            <w:r w:rsidR="006D02EC">
              <w:t>2</w:t>
            </w:r>
            <w:r w:rsidR="00EE639A">
              <w:t>397.02</w:t>
            </w:r>
            <w:r>
              <w:t xml:space="preserve"> </w:t>
            </w:r>
          </w:p>
        </w:tc>
      </w:tr>
      <w:tr w14:paraId="54B29138" w14:textId="77777777">
        <w:tblPrEx>
          <w:tblW w:w="10399" w:type="dxa"/>
          <w:tblInd w:w="0" w:type="dxa"/>
          <w:tblCellMar>
            <w:left w:w="108" w:type="dxa"/>
            <w:right w:w="70" w:type="dxa"/>
          </w:tblCellMar>
          <w:tblLook w:val="04A0"/>
        </w:tblPrEx>
        <w:trPr>
          <w:trHeight w:val="336"/>
        </w:trPr>
        <w:tc>
          <w:tcPr>
            <w:tcW w:w="3319" w:type="dxa"/>
            <w:tcBorders>
              <w:top w:val="single" w:sz="8" w:space="0" w:color="000000"/>
              <w:left w:val="single" w:sz="8" w:space="0" w:color="000000"/>
              <w:bottom w:val="single" w:sz="8" w:space="0" w:color="000000"/>
              <w:right w:val="single" w:sz="8" w:space="0" w:color="000000"/>
            </w:tcBorders>
          </w:tcPr>
          <w:p w:rsidR="009871F5" w14:paraId="5D032541" w14:textId="77777777">
            <w:pPr>
              <w:spacing w:after="0" w:line="259" w:lineRule="auto"/>
              <w:ind w:left="0" w:right="0" w:firstLine="0"/>
            </w:pPr>
            <w:r>
              <w:t xml:space="preserve">GS 15 Step 5 </w:t>
            </w:r>
          </w:p>
        </w:tc>
        <w:tc>
          <w:tcPr>
            <w:tcW w:w="2362" w:type="dxa"/>
            <w:tcBorders>
              <w:top w:val="single" w:sz="8" w:space="0" w:color="000000"/>
              <w:left w:val="single" w:sz="8" w:space="0" w:color="000000"/>
              <w:bottom w:val="single" w:sz="8" w:space="0" w:color="000000"/>
              <w:right w:val="single" w:sz="8" w:space="0" w:color="000000"/>
            </w:tcBorders>
          </w:tcPr>
          <w:p w:rsidR="009871F5" w14:paraId="5CB90CA6" w14:textId="622436C7">
            <w:pPr>
              <w:spacing w:after="0" w:line="259" w:lineRule="auto"/>
              <w:ind w:left="0" w:right="41" w:firstLine="0"/>
              <w:jc w:val="center"/>
            </w:pPr>
            <w:r>
              <w:t>9</w:t>
            </w:r>
            <w:r w:rsidR="006A4B90">
              <w:t>1.02</w:t>
            </w:r>
            <w:r w:rsidR="00D90C40">
              <w:t xml:space="preserve"> </w:t>
            </w:r>
          </w:p>
        </w:tc>
        <w:tc>
          <w:tcPr>
            <w:tcW w:w="2359" w:type="dxa"/>
            <w:tcBorders>
              <w:top w:val="single" w:sz="8" w:space="0" w:color="000000"/>
              <w:left w:val="single" w:sz="8" w:space="0" w:color="000000"/>
              <w:bottom w:val="single" w:sz="8" w:space="0" w:color="000000"/>
              <w:right w:val="single" w:sz="8" w:space="0" w:color="000000"/>
            </w:tcBorders>
          </w:tcPr>
          <w:p w:rsidR="009871F5" w14:paraId="42271492" w14:textId="22565200">
            <w:pPr>
              <w:spacing w:after="0" w:line="259" w:lineRule="auto"/>
              <w:ind w:left="0" w:right="41" w:firstLine="0"/>
              <w:jc w:val="center"/>
            </w:pPr>
            <w:r>
              <w:t>10</w:t>
            </w:r>
            <w:r w:rsidR="00D90C40">
              <w:t xml:space="preserve"> </w:t>
            </w:r>
          </w:p>
        </w:tc>
        <w:tc>
          <w:tcPr>
            <w:tcW w:w="2359" w:type="dxa"/>
            <w:tcBorders>
              <w:top w:val="single" w:sz="8" w:space="0" w:color="000000"/>
              <w:left w:val="single" w:sz="8" w:space="0" w:color="000000"/>
              <w:bottom w:val="single" w:sz="8" w:space="0" w:color="000000"/>
              <w:right w:val="single" w:sz="8" w:space="0" w:color="000000"/>
            </w:tcBorders>
          </w:tcPr>
          <w:p w:rsidR="009871F5" w14:paraId="704CFDD4" w14:textId="64949E71">
            <w:pPr>
              <w:spacing w:after="0" w:line="259" w:lineRule="auto"/>
              <w:ind w:left="0" w:right="38" w:firstLine="0"/>
              <w:jc w:val="center"/>
            </w:pPr>
            <w:r>
              <w:t>$</w:t>
            </w:r>
            <w:r w:rsidR="00EE639A">
              <w:t>910.20</w:t>
            </w:r>
            <w:r>
              <w:t xml:space="preserve"> </w:t>
            </w:r>
          </w:p>
        </w:tc>
      </w:tr>
    </w:tbl>
    <w:p w:rsidR="009871F5" w14:paraId="6179FE10" w14:textId="3CBCFFA8">
      <w:pPr>
        <w:pStyle w:val="Heading1"/>
        <w:tabs>
          <w:tab w:val="center" w:pos="6859"/>
          <w:tab w:val="right" w:pos="9693"/>
        </w:tabs>
        <w:ind w:left="0" w:firstLine="0"/>
      </w:pPr>
      <w:r>
        <w:t xml:space="preserve">Totals: </w:t>
      </w:r>
      <w:r>
        <w:tab/>
      </w:r>
      <w:r w:rsidR="0010490E">
        <w:t>55</w:t>
      </w:r>
      <w:r>
        <w:t xml:space="preserve"> </w:t>
      </w:r>
      <w:r>
        <w:tab/>
        <w:t>$</w:t>
      </w:r>
      <w:r w:rsidR="00EE639A">
        <w:t>3558.27</w:t>
      </w:r>
      <w:r>
        <w:t xml:space="preserve"> </w:t>
      </w:r>
    </w:p>
    <w:p w:rsidR="00B32D7E" w14:paraId="1578638E" w14:textId="77777777">
      <w:pPr>
        <w:pStyle w:val="Heading2"/>
        <w:spacing w:after="91"/>
        <w:ind w:left="-5"/>
        <w:rPr>
          <w:u w:val="none"/>
        </w:rPr>
      </w:pPr>
    </w:p>
    <w:p w:rsidR="009871F5" w14:paraId="20149B29" w14:textId="0114C93A">
      <w:pPr>
        <w:pStyle w:val="Heading2"/>
        <w:spacing w:after="91"/>
        <w:ind w:left="-5"/>
      </w:pPr>
      <w:r>
        <w:rPr>
          <w:u w:val="none"/>
        </w:rPr>
        <w:t>15.</w:t>
      </w:r>
      <w:r>
        <w:rPr>
          <w:sz w:val="37"/>
          <w:u w:val="none"/>
          <w:vertAlign w:val="subscript"/>
        </w:rPr>
        <w:t xml:space="preserve"> </w:t>
      </w:r>
      <w:r>
        <w:t>Changes to Burden</w:t>
      </w:r>
    </w:p>
    <w:p w:rsidR="009871F5" w14:paraId="51912439" w14:textId="77777777">
      <w:pPr>
        <w:spacing w:after="266"/>
        <w:ind w:left="-5" w:right="0"/>
      </w:pPr>
      <w:r>
        <w:t xml:space="preserve">The information collection requirement, means, number of expected respondents all remain largely the same. There are no program changes or any revisions to the instructions and screenshots for this package. Our 5 min/response estimate is unchanged. </w:t>
      </w:r>
    </w:p>
    <w:p w:rsidR="009871F5" w14:paraId="48277E9D" w14:textId="40A57A6D">
      <w:pPr>
        <w:spacing w:after="271"/>
        <w:ind w:left="-5" w:right="0"/>
      </w:pPr>
      <w:r>
        <w:t xml:space="preserve">The key revisions have been to update our estimates using the most recent data available. For instance, the estimate for the number of expected forms is based on actual data of the number of forms we received last year: </w:t>
      </w:r>
      <w:r w:rsidR="00797BA4">
        <w:t>1</w:t>
      </w:r>
      <w:r w:rsidR="00A13803">
        <w:t>32,104</w:t>
      </w:r>
      <w:r w:rsidR="0054471C">
        <w:t>4</w:t>
      </w:r>
      <w:r>
        <w:t xml:space="preserve">. At five minutes a form, this totals </w:t>
      </w:r>
      <w:r w:rsidR="00A13803">
        <w:t>11,008</w:t>
      </w:r>
      <w:r>
        <w:t xml:space="preserve"> hours. Three years ago, the estimate for the number of forms was s</w:t>
      </w:r>
      <w:r w:rsidR="00A13803">
        <w:t>ignificantly</w:t>
      </w:r>
      <w:r>
        <w:t xml:space="preserve"> lower, at </w:t>
      </w:r>
      <w:r w:rsidR="00A13803">
        <w:t>50,517</w:t>
      </w:r>
      <w:r>
        <w:t>, which at five minutes a form totaled about $</w:t>
      </w:r>
      <w:r w:rsidR="00A13803">
        <w:t>4,210</w:t>
      </w:r>
      <w:r>
        <w:t xml:space="preserve">. </w:t>
      </w:r>
    </w:p>
    <w:p w:rsidR="009871F5" w14:paraId="2E313A0F" w14:textId="77777777">
      <w:pPr>
        <w:spacing w:after="90" w:line="259" w:lineRule="auto"/>
        <w:ind w:left="-5" w:right="0"/>
      </w:pPr>
      <w:r>
        <w:t>16.</w:t>
      </w:r>
      <w:r>
        <w:rPr>
          <w:sz w:val="37"/>
          <w:vertAlign w:val="subscript"/>
        </w:rPr>
        <w:t xml:space="preserve"> </w:t>
      </w:r>
      <w:r>
        <w:rPr>
          <w:u w:val="single" w:color="000000"/>
        </w:rPr>
        <w:t>Publication/Tabulation Dates</w:t>
      </w:r>
    </w:p>
    <w:p w:rsidR="009871F5" w14:paraId="318D0FF1" w14:textId="77777777">
      <w:pPr>
        <w:spacing w:after="277"/>
        <w:ind w:left="-5" w:right="0"/>
      </w:pPr>
      <w:r>
        <w:t xml:space="preserve">There are no publication or tabulation dates. </w:t>
      </w:r>
    </w:p>
    <w:p w:rsidR="009871F5" w14:paraId="0BA956C3" w14:textId="77777777">
      <w:pPr>
        <w:pStyle w:val="Heading2"/>
        <w:spacing w:after="100"/>
        <w:ind w:left="-5"/>
      </w:pPr>
      <w:r>
        <w:rPr>
          <w:u w:val="none"/>
        </w:rPr>
        <w:t>17.</w:t>
      </w:r>
      <w:r>
        <w:rPr>
          <w:sz w:val="37"/>
          <w:u w:val="none"/>
          <w:vertAlign w:val="subscript"/>
        </w:rPr>
        <w:t xml:space="preserve"> </w:t>
      </w:r>
      <w:r>
        <w:t>Expiration Date</w:t>
      </w:r>
    </w:p>
    <w:p w:rsidR="009871F5" w14:paraId="7A7231E1" w14:textId="77777777">
      <w:pPr>
        <w:spacing w:after="280"/>
        <w:ind w:left="-5" w:right="0"/>
      </w:pPr>
      <w:r>
        <w:t xml:space="preserve">The current expiration date is located under the PRA disclosure statement on the online disclosure form. </w:t>
      </w:r>
    </w:p>
    <w:p w:rsidR="009871F5" w14:paraId="09F08A0A" w14:textId="77777777">
      <w:pPr>
        <w:pStyle w:val="Heading2"/>
        <w:spacing w:after="90"/>
        <w:ind w:left="-5"/>
      </w:pPr>
      <w:r>
        <w:rPr>
          <w:u w:val="none"/>
        </w:rPr>
        <w:t>18.</w:t>
      </w:r>
      <w:r>
        <w:rPr>
          <w:sz w:val="37"/>
          <w:u w:val="none"/>
          <w:vertAlign w:val="subscript"/>
        </w:rPr>
        <w:t xml:space="preserve"> </w:t>
      </w:r>
      <w:r>
        <w:t>Certification Statement</w:t>
      </w:r>
    </w:p>
    <w:p w:rsidR="009871F5" w14:paraId="6BEC5A80" w14:textId="77777777">
      <w:pPr>
        <w:spacing w:after="247"/>
        <w:ind w:left="-5" w:right="0"/>
      </w:pPr>
      <w:r>
        <w:t xml:space="preserve">There are no exceptions to the certification statement. </w:t>
      </w:r>
    </w:p>
    <w:p w:rsidR="009871F5" w14:paraId="6558DB88" w14:textId="77777777">
      <w:pPr>
        <w:spacing w:after="3" w:line="473" w:lineRule="auto"/>
        <w:ind w:left="-5" w:right="2905"/>
      </w:pPr>
      <w:r>
        <w:rPr>
          <w:b/>
        </w:rPr>
        <w:t xml:space="preserve">B. </w:t>
      </w:r>
      <w:r>
        <w:rPr>
          <w:b/>
        </w:rPr>
        <w:tab/>
        <w:t xml:space="preserve">Collections of Information Employing Statistical Methods </w:t>
      </w:r>
      <w:r>
        <w:t xml:space="preserve">Not applicable. </w:t>
      </w:r>
    </w:p>
    <w:sectPr>
      <w:footerReference w:type="even" r:id="rId9"/>
      <w:footerReference w:type="default" r:id="rId10"/>
      <w:footerReference w:type="first" r:id="rId11"/>
      <w:pgSz w:w="12240" w:h="15840"/>
      <w:pgMar w:top="1469" w:right="1227" w:bottom="2094" w:left="1320" w:header="720" w:footer="16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1F5" w14:paraId="1783FC8D" w14:textId="77777777">
    <w:pPr>
      <w:spacing w:after="0" w:line="259" w:lineRule="auto"/>
      <w:ind w:left="0" w:right="0" w:firstLine="0"/>
    </w:pPr>
    <w:r>
      <w:rPr>
        <w:sz w:val="20"/>
      </w:rPr>
      <w:t xml:space="preserve"> Page |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1F5" w14:paraId="6A98E20A" w14:textId="77777777">
    <w:pPr>
      <w:spacing w:after="0" w:line="259" w:lineRule="auto"/>
      <w:ind w:left="0" w:right="0" w:firstLine="0"/>
    </w:pPr>
    <w:r>
      <w:rPr>
        <w:sz w:val="20"/>
      </w:rPr>
      <w:t xml:space="preserve"> Page | </w:t>
    </w:r>
    <w:r>
      <w:fldChar w:fldCharType="begin"/>
    </w:r>
    <w:r>
      <w:instrText xml:space="preserve"> PAGE   \* MERGEFORMAT </w:instrText>
    </w:r>
    <w:r>
      <w:fldChar w:fldCharType="separate"/>
    </w:r>
    <w:r w:rsidRPr="007F3B83" w:rsidR="007F3B83">
      <w:rPr>
        <w:noProof/>
        <w:sz w:val="20"/>
      </w:rPr>
      <w:t>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1F5" w14:paraId="4093ED70" w14:textId="77777777">
    <w:pPr>
      <w:spacing w:after="0" w:line="259" w:lineRule="auto"/>
      <w:ind w:left="0" w:right="0" w:firstLine="0"/>
    </w:pPr>
    <w:r>
      <w:rPr>
        <w:sz w:val="20"/>
      </w:rPr>
      <w:t xml:space="preserve"> Page |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7803"/>
    <w:multiLevelType w:val="hybridMultilevel"/>
    <w:tmpl w:val="A938410A"/>
    <w:lvl w:ilvl="0">
      <w:start w:val="11"/>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2F665F1"/>
    <w:multiLevelType w:val="hybridMultilevel"/>
    <w:tmpl w:val="14CC40D4"/>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ED8442B"/>
    <w:multiLevelType w:val="hybridMultilevel"/>
    <w:tmpl w:val="D78CD304"/>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num w:numId="1" w16cid:durableId="311832496">
    <w:abstractNumId w:val="1"/>
  </w:num>
  <w:num w:numId="2" w16cid:durableId="2088379279">
    <w:abstractNumId w:val="0"/>
  </w:num>
  <w:num w:numId="3" w16cid:durableId="205423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F5"/>
    <w:rsid w:val="00025C68"/>
    <w:rsid w:val="00077440"/>
    <w:rsid w:val="000B530B"/>
    <w:rsid w:val="000D2095"/>
    <w:rsid w:val="000F52F2"/>
    <w:rsid w:val="000F617F"/>
    <w:rsid w:val="0010490E"/>
    <w:rsid w:val="00106F1D"/>
    <w:rsid w:val="00143FF1"/>
    <w:rsid w:val="00192A5D"/>
    <w:rsid w:val="001E3AD9"/>
    <w:rsid w:val="001F7411"/>
    <w:rsid w:val="00266FAC"/>
    <w:rsid w:val="00267FED"/>
    <w:rsid w:val="0029463C"/>
    <w:rsid w:val="002A0011"/>
    <w:rsid w:val="002B572A"/>
    <w:rsid w:val="0030759D"/>
    <w:rsid w:val="00316485"/>
    <w:rsid w:val="003473CD"/>
    <w:rsid w:val="0036073D"/>
    <w:rsid w:val="0038273B"/>
    <w:rsid w:val="003C2083"/>
    <w:rsid w:val="00401025"/>
    <w:rsid w:val="004102AA"/>
    <w:rsid w:val="00491F72"/>
    <w:rsid w:val="004C6275"/>
    <w:rsid w:val="0054471C"/>
    <w:rsid w:val="0057193B"/>
    <w:rsid w:val="00584A55"/>
    <w:rsid w:val="0059711F"/>
    <w:rsid w:val="00606213"/>
    <w:rsid w:val="00637F6A"/>
    <w:rsid w:val="0069073B"/>
    <w:rsid w:val="006A4B90"/>
    <w:rsid w:val="006A4E62"/>
    <w:rsid w:val="006B1DFC"/>
    <w:rsid w:val="006D02EC"/>
    <w:rsid w:val="006E4B28"/>
    <w:rsid w:val="007125D0"/>
    <w:rsid w:val="007311A8"/>
    <w:rsid w:val="00775465"/>
    <w:rsid w:val="00782496"/>
    <w:rsid w:val="00797BA4"/>
    <w:rsid w:val="007A75AC"/>
    <w:rsid w:val="007E0C7F"/>
    <w:rsid w:val="007E1D46"/>
    <w:rsid w:val="007E342C"/>
    <w:rsid w:val="007F3B83"/>
    <w:rsid w:val="00822944"/>
    <w:rsid w:val="00846342"/>
    <w:rsid w:val="00881D53"/>
    <w:rsid w:val="00882676"/>
    <w:rsid w:val="00895DF7"/>
    <w:rsid w:val="008B011F"/>
    <w:rsid w:val="008F3727"/>
    <w:rsid w:val="009630A2"/>
    <w:rsid w:val="009871F5"/>
    <w:rsid w:val="009B27CC"/>
    <w:rsid w:val="009F7DCF"/>
    <w:rsid w:val="00A13803"/>
    <w:rsid w:val="00A1425B"/>
    <w:rsid w:val="00A404AB"/>
    <w:rsid w:val="00A42A19"/>
    <w:rsid w:val="00A44540"/>
    <w:rsid w:val="00A74B62"/>
    <w:rsid w:val="00AA0042"/>
    <w:rsid w:val="00AA0771"/>
    <w:rsid w:val="00AA32AD"/>
    <w:rsid w:val="00AD0363"/>
    <w:rsid w:val="00B1746E"/>
    <w:rsid w:val="00B27BD9"/>
    <w:rsid w:val="00B32D7E"/>
    <w:rsid w:val="00B40DAE"/>
    <w:rsid w:val="00B47E9E"/>
    <w:rsid w:val="00B90F84"/>
    <w:rsid w:val="00BC3CAE"/>
    <w:rsid w:val="00BD2211"/>
    <w:rsid w:val="00BE73A1"/>
    <w:rsid w:val="00C21331"/>
    <w:rsid w:val="00C6697C"/>
    <w:rsid w:val="00CA3BDD"/>
    <w:rsid w:val="00CE320F"/>
    <w:rsid w:val="00D04DE2"/>
    <w:rsid w:val="00D12348"/>
    <w:rsid w:val="00D13293"/>
    <w:rsid w:val="00D251A2"/>
    <w:rsid w:val="00D6736D"/>
    <w:rsid w:val="00D90C40"/>
    <w:rsid w:val="00DC22D5"/>
    <w:rsid w:val="00DC6EA6"/>
    <w:rsid w:val="00DF031A"/>
    <w:rsid w:val="00E27F4B"/>
    <w:rsid w:val="00E360EE"/>
    <w:rsid w:val="00E37D85"/>
    <w:rsid w:val="00E456B3"/>
    <w:rsid w:val="00E812C0"/>
    <w:rsid w:val="00E83C66"/>
    <w:rsid w:val="00EE639A"/>
    <w:rsid w:val="00FC32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4607B"/>
  <w15:docId w15:val="{641DD4D2-CE2C-4471-9A3F-9245B251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8" w:lineRule="auto"/>
      <w:ind w:left="10" w:right="2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C2083"/>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3C2083"/>
    <w:rPr>
      <w:color w:val="0563C1" w:themeColor="hyperlink"/>
      <w:u w:val="single"/>
    </w:rPr>
  </w:style>
  <w:style w:type="character" w:styleId="CommentReference">
    <w:name w:val="annotation reference"/>
    <w:basedOn w:val="DefaultParagraphFont"/>
    <w:uiPriority w:val="99"/>
    <w:semiHidden/>
    <w:unhideWhenUsed/>
    <w:rsid w:val="003C2083"/>
    <w:rPr>
      <w:sz w:val="16"/>
      <w:szCs w:val="16"/>
    </w:rPr>
  </w:style>
  <w:style w:type="paragraph" w:styleId="CommentText">
    <w:name w:val="annotation text"/>
    <w:basedOn w:val="Normal"/>
    <w:link w:val="CommentTextChar"/>
    <w:uiPriority w:val="99"/>
    <w:unhideWhenUsed/>
    <w:rsid w:val="003C2083"/>
    <w:pPr>
      <w:spacing w:line="240" w:lineRule="auto"/>
    </w:pPr>
    <w:rPr>
      <w:sz w:val="20"/>
      <w:szCs w:val="20"/>
    </w:rPr>
  </w:style>
  <w:style w:type="character" w:customStyle="1" w:styleId="CommentTextChar">
    <w:name w:val="Comment Text Char"/>
    <w:basedOn w:val="DefaultParagraphFont"/>
    <w:link w:val="CommentText"/>
    <w:uiPriority w:val="99"/>
    <w:rsid w:val="003C208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C2083"/>
    <w:rPr>
      <w:b/>
      <w:bCs/>
    </w:rPr>
  </w:style>
  <w:style w:type="character" w:customStyle="1" w:styleId="CommentSubjectChar">
    <w:name w:val="Comment Subject Char"/>
    <w:basedOn w:val="CommentTextChar"/>
    <w:link w:val="CommentSubject"/>
    <w:uiPriority w:val="99"/>
    <w:semiHidden/>
    <w:rsid w:val="003C2083"/>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C6697C"/>
    <w:rPr>
      <w:color w:val="605E5C"/>
      <w:shd w:val="clear" w:color="auto" w:fill="E1DFDD"/>
    </w:rPr>
  </w:style>
  <w:style w:type="paragraph" w:styleId="ListParagraph">
    <w:name w:val="List Paragraph"/>
    <w:basedOn w:val="Normal"/>
    <w:uiPriority w:val="34"/>
    <w:qFormat/>
    <w:rsid w:val="00B17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employers-plan-sponsors/creditable-coverage/disclosure-form" TargetMode="External" /><Relationship Id="rId5" Type="http://schemas.openxmlformats.org/officeDocument/2006/relationships/hyperlink" Target="https://www.govinfo.gov/content/pkg/FR-2005-01-28/pdf/05-1321.pdf" TargetMode="External" /><Relationship Id="rId6" Type="http://schemas.openxmlformats.org/officeDocument/2006/relationships/hyperlink" Target="https://www.cms.gov/Medicare/Prescription-Drug-Coverage/CreditableCoverage/CCDisclosureForm" TargetMode="External" /><Relationship Id="rId7" Type="http://schemas.openxmlformats.org/officeDocument/2006/relationships/hyperlink" Target="http://www.bls.gov/oes/current/oes_nat.htm" TargetMode="External" /><Relationship Id="rId8" Type="http://schemas.openxmlformats.org/officeDocument/2006/relationships/hyperlink" Target="https://www.opm.gov/policy-data-oversight/pay-leave/salaries-wages/salary-tables/pdf/2020/DCB.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1951</Words>
  <Characters>11028</Characters>
  <Application>Microsoft Office Word</Application>
  <DocSecurity>0</DocSecurity>
  <Lines>355</Lines>
  <Paragraphs>219</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 (CMS-4068-F)</vt:lpstr>
    </vt:vector>
  </TitlesOfParts>
  <Company>CMS</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 (CMS-4068-F)</dc:title>
  <dc:creator>CMS</dc:creator>
  <cp:lastModifiedBy>McKenzie, Stephan (CMS/OSORA)</cp:lastModifiedBy>
  <cp:revision>3</cp:revision>
  <dcterms:created xsi:type="dcterms:W3CDTF">2025-07-11T15:34:00Z</dcterms:created>
  <dcterms:modified xsi:type="dcterms:W3CDTF">2025-07-14T14:19:00Z</dcterms:modified>
</cp:coreProperties>
</file>