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0D59" w:rsidRPr="00676606" w:rsidP="00870D59" w14:paraId="605CB3C7" w14:textId="49204E1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36"/>
          <w:szCs w:val="36"/>
        </w:rPr>
      </w:pPr>
      <w:r w:rsidRPr="00676606">
        <w:rPr>
          <w:b/>
          <w:bCs/>
          <w:sz w:val="36"/>
          <w:szCs w:val="36"/>
        </w:rPr>
        <w:t>Supporting Statement – A</w:t>
      </w:r>
    </w:p>
    <w:p w:rsidR="00870D59" w14:paraId="7700FA63" w14:textId="77777777">
      <w:pPr>
        <w:tabs>
          <w:tab w:val="center" w:pos="4752"/>
          <w:tab w:val="left" w:pos="5040"/>
          <w:tab w:val="left" w:pos="5760"/>
          <w:tab w:val="left" w:pos="6480"/>
          <w:tab w:val="left" w:pos="7200"/>
          <w:tab w:val="left" w:pos="7920"/>
          <w:tab w:val="left" w:pos="8640"/>
          <w:tab w:val="left" w:pos="9360"/>
        </w:tabs>
        <w:rPr>
          <w:sz w:val="32"/>
          <w:szCs w:val="32"/>
        </w:rPr>
      </w:pPr>
    </w:p>
    <w:p w:rsidR="00A70E89" w:rsidRPr="00676606" w:rsidP="00002306" w14:paraId="73B6014D" w14:textId="67208D67">
      <w:pPr>
        <w:pStyle w:val="Heading1"/>
        <w:spacing w:after="0"/>
        <w:rPr>
          <w:sz w:val="36"/>
          <w:szCs w:val="36"/>
        </w:rPr>
      </w:pPr>
      <w:r>
        <w:rPr>
          <w:sz w:val="32"/>
          <w:szCs w:val="32"/>
        </w:rPr>
        <w:tab/>
      </w:r>
      <w:r w:rsidRPr="00676606" w:rsidR="00002306">
        <w:rPr>
          <w:sz w:val="36"/>
          <w:szCs w:val="36"/>
        </w:rPr>
        <w:t xml:space="preserve"> </w:t>
      </w:r>
      <w:bookmarkStart w:id="0" w:name="A._Background"/>
      <w:bookmarkEnd w:id="0"/>
      <w:r w:rsidR="00F23B97">
        <w:rPr>
          <w:sz w:val="36"/>
          <w:szCs w:val="36"/>
        </w:rPr>
        <w:t>Medicare Outpatient Prospective Payment System (OPP</w:t>
      </w:r>
      <w:r w:rsidR="005551E1">
        <w:rPr>
          <w:sz w:val="36"/>
          <w:szCs w:val="36"/>
        </w:rPr>
        <w:t>S</w:t>
      </w:r>
      <w:r w:rsidR="00F23B97">
        <w:rPr>
          <w:sz w:val="36"/>
          <w:szCs w:val="36"/>
        </w:rPr>
        <w:t>) Drug Acquisition Cost Survey</w:t>
      </w:r>
    </w:p>
    <w:p w:rsidR="00A70E89" w:rsidP="00002306" w14:paraId="19C2D267" w14:textId="77777777">
      <w:pPr>
        <w:pStyle w:val="Heading1"/>
        <w:spacing w:after="0"/>
      </w:pPr>
    </w:p>
    <w:p w:rsidR="00A70E89" w:rsidP="00002306" w14:paraId="54078EC8" w14:textId="77777777">
      <w:pPr>
        <w:pStyle w:val="Heading1"/>
        <w:spacing w:after="0"/>
        <w:rPr>
          <w:sz w:val="36"/>
          <w:szCs w:val="36"/>
        </w:rPr>
      </w:pPr>
    </w:p>
    <w:p w:rsidR="00002306" w:rsidRPr="00676606" w:rsidP="00970D31" w14:paraId="2DA2A88E" w14:textId="608C8CDC">
      <w:pPr>
        <w:pStyle w:val="Heading1"/>
        <w:spacing w:after="0"/>
        <w:rPr>
          <w:sz w:val="36"/>
          <w:szCs w:val="36"/>
        </w:rPr>
      </w:pPr>
      <w:r w:rsidRPr="00676606">
        <w:rPr>
          <w:sz w:val="36"/>
          <w:szCs w:val="36"/>
        </w:rPr>
        <w:t>(CMS-</w:t>
      </w:r>
      <w:r w:rsidRPr="00CD6567">
        <w:rPr>
          <w:sz w:val="36"/>
          <w:szCs w:val="36"/>
        </w:rPr>
        <w:t>10</w:t>
      </w:r>
      <w:r w:rsidRPr="00CD6567" w:rsidR="00FA60EA">
        <w:rPr>
          <w:sz w:val="36"/>
          <w:szCs w:val="36"/>
        </w:rPr>
        <w:t>931</w:t>
      </w:r>
      <w:r w:rsidRPr="00CD6567">
        <w:rPr>
          <w:sz w:val="36"/>
          <w:szCs w:val="36"/>
        </w:rPr>
        <w:t>; O</w:t>
      </w:r>
      <w:r w:rsidRPr="00676606">
        <w:rPr>
          <w:sz w:val="36"/>
          <w:szCs w:val="36"/>
        </w:rPr>
        <w:t>MB 0938-New)</w:t>
      </w:r>
    </w:p>
    <w:p w:rsidR="00A70E89" w:rsidRPr="0035720E" w:rsidP="00CD6567" w14:paraId="5372583B" w14:textId="6972C74B">
      <w:pPr>
        <w:ind w:left="2846" w:right="2832"/>
        <w:jc w:val="center"/>
        <w:rPr>
          <w:sz w:val="28"/>
          <w:szCs w:val="28"/>
        </w:rPr>
      </w:pPr>
      <w:r>
        <w:rPr>
          <w:b/>
          <w:bCs/>
          <w:sz w:val="24"/>
        </w:rPr>
        <w:tab/>
      </w:r>
      <w:r w:rsidRPr="0035720E" w:rsidR="00F23B97">
        <w:rPr>
          <w:sz w:val="28"/>
          <w:szCs w:val="28"/>
        </w:rPr>
        <w:t>C</w:t>
      </w:r>
      <w:r w:rsidRPr="0035720E">
        <w:rPr>
          <w:sz w:val="28"/>
          <w:szCs w:val="28"/>
        </w:rPr>
        <w:t xml:space="preserve">ontact Information: </w:t>
      </w:r>
    </w:p>
    <w:p w:rsidR="00A70E89" w:rsidRPr="0035720E" w:rsidP="005551E1" w14:paraId="1D2EA1A4" w14:textId="77777777">
      <w:pPr>
        <w:ind w:left="138" w:right="135"/>
        <w:jc w:val="center"/>
        <w:rPr>
          <w:sz w:val="28"/>
          <w:szCs w:val="28"/>
        </w:rPr>
      </w:pPr>
    </w:p>
    <w:p w:rsidR="00A70E89" w:rsidRPr="0035720E" w:rsidP="005551E1" w14:paraId="20FBC627" w14:textId="77777777">
      <w:pPr>
        <w:ind w:left="138" w:right="135"/>
        <w:jc w:val="center"/>
        <w:rPr>
          <w:sz w:val="28"/>
          <w:szCs w:val="28"/>
        </w:rPr>
      </w:pPr>
      <w:r w:rsidRPr="0035720E">
        <w:rPr>
          <w:sz w:val="28"/>
          <w:szCs w:val="28"/>
        </w:rPr>
        <w:t>Division of Outpatient Care</w:t>
      </w:r>
    </w:p>
    <w:p w:rsidR="00A70E89" w:rsidRPr="0035720E" w:rsidP="005551E1" w14:paraId="75ED9B22" w14:textId="77777777">
      <w:pPr>
        <w:ind w:left="138" w:right="135"/>
        <w:jc w:val="center"/>
        <w:rPr>
          <w:sz w:val="28"/>
          <w:szCs w:val="28"/>
        </w:rPr>
      </w:pPr>
      <w:r w:rsidRPr="0035720E">
        <w:rPr>
          <w:sz w:val="28"/>
          <w:szCs w:val="28"/>
        </w:rPr>
        <w:t xml:space="preserve">Hospital and Ambulatory Policy Group, Center for Medicare </w:t>
      </w:r>
    </w:p>
    <w:p w:rsidR="00A70E89" w:rsidP="005551E1" w14:paraId="376566CE" w14:textId="77777777">
      <w:pPr>
        <w:ind w:left="1254" w:right="1252"/>
        <w:jc w:val="center"/>
        <w:rPr>
          <w:sz w:val="28"/>
          <w:szCs w:val="28"/>
        </w:rPr>
      </w:pPr>
      <w:r w:rsidRPr="0035720E">
        <w:rPr>
          <w:sz w:val="28"/>
          <w:szCs w:val="28"/>
        </w:rPr>
        <w:t>7500 Security Boulevard, Baltimore, MD21244</w:t>
      </w:r>
    </w:p>
    <w:p w:rsidR="005551E1" w:rsidRPr="0035720E" w:rsidP="00CD6567" w14:paraId="75FCF823" w14:textId="73EA40A5">
      <w:pPr>
        <w:ind w:left="1254" w:right="1252"/>
        <w:jc w:val="center"/>
        <w:rPr>
          <w:sz w:val="28"/>
          <w:szCs w:val="28"/>
        </w:rPr>
      </w:pPr>
      <w:hyperlink r:id="rId9" w:history="1">
        <w:r w:rsidRPr="005551E1">
          <w:rPr>
            <w:rStyle w:val="Hyperlink"/>
            <w:sz w:val="28"/>
            <w:szCs w:val="28"/>
          </w:rPr>
          <w:t>OPPSDrugSurvey@cms.hhs.gov</w:t>
        </w:r>
      </w:hyperlink>
    </w:p>
    <w:p w:rsidR="00A70E89" w:rsidRPr="00676606" w:rsidP="005551E1" w14:paraId="7364793C" w14:textId="77777777">
      <w:pPr>
        <w:rPr>
          <w:sz w:val="28"/>
          <w:szCs w:val="28"/>
        </w:rPr>
      </w:pPr>
    </w:p>
    <w:p w:rsidR="00A70E89" w:rsidRPr="00676606" w:rsidP="00CD6567" w14:paraId="708BE236" w14:textId="77777777">
      <w:pPr>
        <w:rPr>
          <w:sz w:val="28"/>
          <w:szCs w:val="28"/>
        </w:rPr>
      </w:pPr>
    </w:p>
    <w:p w:rsidR="00A70E89" w:rsidRPr="0035720E" w:rsidP="005551E1" w14:paraId="417235B7" w14:textId="1B2CF5A4">
      <w:pPr>
        <w:ind w:left="138" w:right="134"/>
        <w:jc w:val="center"/>
        <w:rPr>
          <w:sz w:val="28"/>
          <w:szCs w:val="28"/>
        </w:rPr>
      </w:pPr>
      <w:r>
        <w:rPr>
          <w:sz w:val="28"/>
          <w:szCs w:val="28"/>
          <w:highlight w:val="yellow"/>
        </w:rPr>
        <w:t>July</w:t>
      </w:r>
      <w:r w:rsidRPr="00676606">
        <w:rPr>
          <w:sz w:val="28"/>
          <w:szCs w:val="28"/>
          <w:highlight w:val="yellow"/>
        </w:rPr>
        <w:t xml:space="preserve"> </w:t>
      </w:r>
      <w:r w:rsidR="005551E1">
        <w:rPr>
          <w:sz w:val="28"/>
          <w:szCs w:val="28"/>
          <w:highlight w:val="yellow"/>
        </w:rPr>
        <w:t>XX</w:t>
      </w:r>
      <w:r w:rsidRPr="00676606">
        <w:rPr>
          <w:sz w:val="28"/>
          <w:szCs w:val="28"/>
          <w:highlight w:val="yellow"/>
        </w:rPr>
        <w:t>,</w:t>
      </w:r>
      <w:r w:rsidRPr="0035720E">
        <w:rPr>
          <w:sz w:val="28"/>
          <w:szCs w:val="28"/>
        </w:rPr>
        <w:t xml:space="preserve"> 202</w:t>
      </w:r>
      <w:r w:rsidRPr="0035720E" w:rsidR="007815F5">
        <w:rPr>
          <w:sz w:val="28"/>
          <w:szCs w:val="28"/>
        </w:rPr>
        <w:t>5</w:t>
      </w:r>
    </w:p>
    <w:p w:rsidR="0035720E" w:rsidRPr="00676606" w:rsidP="00E641A7" w14:paraId="3903FBE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8"/>
          <w:szCs w:val="28"/>
          <w:u w:val="single"/>
        </w:rPr>
      </w:pPr>
    </w:p>
    <w:p w:rsidR="005551E1" w14:paraId="40E28D15" w14:textId="773BA468">
      <w:pPr>
        <w:widowControl/>
        <w:autoSpaceDE/>
        <w:autoSpaceDN/>
        <w:adjustRightInd/>
        <w:rPr>
          <w:b/>
          <w:bCs/>
          <w:sz w:val="24"/>
          <w:u w:val="single"/>
        </w:rPr>
      </w:pPr>
      <w:r>
        <w:rPr>
          <w:b/>
          <w:bCs/>
          <w:sz w:val="24"/>
          <w:u w:val="single"/>
        </w:rPr>
        <w:br w:type="page"/>
      </w:r>
    </w:p>
    <w:p w:rsidR="00E641A7" w:rsidRPr="0035720E" w:rsidP="00676606" w14:paraId="6969285D" w14:textId="3181A39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jc w:val="center"/>
        <w:rPr>
          <w:b/>
          <w:bCs/>
          <w:sz w:val="24"/>
          <w:u w:val="single"/>
        </w:rPr>
      </w:pPr>
      <w:r w:rsidRPr="0035720E">
        <w:rPr>
          <w:b/>
          <w:bCs/>
          <w:sz w:val="24"/>
          <w:u w:val="single"/>
        </w:rPr>
        <w:t>Supporting Statement – Part A</w:t>
      </w:r>
    </w:p>
    <w:p w:rsidR="00A70E89" w:rsidRPr="0035720E" w:rsidP="00676606" w14:paraId="7CE0305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b/>
          <w:bCs/>
          <w:sz w:val="24"/>
        </w:rPr>
      </w:pPr>
    </w:p>
    <w:p w:rsidR="00A70E89" w:rsidRPr="0035720E" w:rsidP="00676606" w14:paraId="11196F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b/>
          <w:bCs/>
          <w:sz w:val="24"/>
        </w:rPr>
      </w:pPr>
    </w:p>
    <w:p w:rsidR="008F1EB4" w:rsidRPr="0035720E" w:rsidP="00676606" w14:paraId="319D0ACC" w14:textId="0F9AFF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r w:rsidRPr="0035720E">
        <w:rPr>
          <w:b/>
          <w:bCs/>
          <w:sz w:val="24"/>
          <w:u w:val="single"/>
        </w:rPr>
        <w:t>Background</w:t>
      </w:r>
    </w:p>
    <w:p w:rsidR="009F21E8" w:rsidRPr="0035720E" w:rsidP="00676606" w14:paraId="126E1F29" w14:textId="4E7B53C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7483" w:rsidP="009F21E8" w14:paraId="5DA0F2A1" w14:textId="159F9C98">
      <w:pPr>
        <w:pStyle w:val="BodyText"/>
        <w:spacing w:before="0" w:after="120"/>
        <w:ind w:left="720"/>
        <w:contextualSpacing/>
      </w:pPr>
      <w:r w:rsidRPr="0035720E">
        <w:t xml:space="preserve">This is a request to conduct a survey of the acquisition costs for specified covered outpatient drugs (SCODs) of all hospitals </w:t>
      </w:r>
      <w:r w:rsidRPr="0035720E" w:rsidR="00546D4E">
        <w:t>paid</w:t>
      </w:r>
      <w:r w:rsidRPr="0035720E">
        <w:t xml:space="preserve"> under the Medicare Outpatient Prospective Payment System (OPPS)</w:t>
      </w:r>
      <w:r w:rsidRPr="0035720E" w:rsidR="00546D4E">
        <w:t>.</w:t>
      </w:r>
    </w:p>
    <w:p w:rsidR="0035720E" w:rsidRPr="0035720E" w:rsidP="00CD6567" w14:paraId="14E03BE3" w14:textId="77777777">
      <w:pPr>
        <w:pStyle w:val="BodyText"/>
        <w:spacing w:before="0" w:after="120"/>
        <w:contextualSpacing/>
      </w:pPr>
    </w:p>
    <w:p w:rsidR="00002306" w:rsidRPr="001761D5" w:rsidP="0035720E" w14:paraId="0FD0FAC3" w14:textId="2844AC32">
      <w:pPr>
        <w:pStyle w:val="BodyText"/>
        <w:spacing w:before="0" w:after="120"/>
        <w:ind w:left="720"/>
        <w:contextualSpacing/>
      </w:pPr>
      <w:r w:rsidRPr="001761D5">
        <w:t xml:space="preserve">The </w:t>
      </w:r>
      <w:r w:rsidRPr="001761D5" w:rsidR="00546D4E">
        <w:t xml:space="preserve">purpose of </w:t>
      </w:r>
      <w:r w:rsidRPr="001761D5" w:rsidR="00C50E38">
        <w:t>the survey</w:t>
      </w:r>
      <w:r w:rsidRPr="001761D5" w:rsidR="00546D4E">
        <w:t xml:space="preserve"> is</w:t>
      </w:r>
      <w:r w:rsidRPr="001761D5">
        <w:t xml:space="preserve"> to assess the cost of </w:t>
      </w:r>
      <w:r w:rsidRPr="001761D5" w:rsidR="006F3195">
        <w:t xml:space="preserve">certain </w:t>
      </w:r>
      <w:r w:rsidRPr="001761D5">
        <w:t>SCODs</w:t>
      </w:r>
      <w:r w:rsidRPr="001761D5" w:rsidR="006F3195">
        <w:t>, and drugs and biologicals CMS historically treats as SCOD</w:t>
      </w:r>
      <w:r w:rsidR="00EE093A">
        <w:t>s</w:t>
      </w:r>
      <w:r w:rsidRPr="001761D5" w:rsidR="006F3195">
        <w:t xml:space="preserve">, </w:t>
      </w:r>
      <w:r w:rsidRPr="001761D5">
        <w:t xml:space="preserve">for </w:t>
      </w:r>
      <w:r w:rsidRPr="001761D5" w:rsidR="00F36CE1">
        <w:t xml:space="preserve">consideration when proposing </w:t>
      </w:r>
      <w:r w:rsidRPr="001761D5">
        <w:t>appropriate payment rate</w:t>
      </w:r>
      <w:r w:rsidRPr="001761D5" w:rsidR="00F36CE1">
        <w:t>s for</w:t>
      </w:r>
      <w:r w:rsidRPr="001761D5">
        <w:t xml:space="preserve"> hospitals</w:t>
      </w:r>
      <w:r w:rsidRPr="001761D5" w:rsidR="00546D4E">
        <w:t xml:space="preserve"> </w:t>
      </w:r>
      <w:r w:rsidRPr="001761D5" w:rsidR="00C50E38">
        <w:t>paid</w:t>
      </w:r>
      <w:r w:rsidRPr="001761D5" w:rsidR="00546D4E">
        <w:t xml:space="preserve"> under the OPPS</w:t>
      </w:r>
      <w:r w:rsidRPr="001761D5">
        <w:t>.</w:t>
      </w:r>
    </w:p>
    <w:p w:rsidR="0035720E" w:rsidRPr="001761D5" w:rsidP="00676606" w14:paraId="268476C6" w14:textId="77777777">
      <w:pPr>
        <w:pStyle w:val="BodyText"/>
        <w:spacing w:before="0" w:after="120"/>
        <w:ind w:left="720"/>
        <w:contextualSpacing/>
      </w:pPr>
    </w:p>
    <w:p w:rsidR="00002306" w:rsidRPr="00CD6567" w:rsidP="0035720E" w14:paraId="5F30B1E0" w14:textId="5661B305">
      <w:pPr>
        <w:pStyle w:val="BodyText"/>
        <w:spacing w:before="0" w:after="120"/>
        <w:ind w:left="720"/>
        <w:contextualSpacing/>
      </w:pPr>
      <w:r w:rsidRPr="00CD6567">
        <w:t xml:space="preserve">The </w:t>
      </w:r>
      <w:r w:rsidRPr="001761D5">
        <w:t xml:space="preserve">data </w:t>
      </w:r>
      <w:r w:rsidRPr="00CD6567">
        <w:t xml:space="preserve">collection </w:t>
      </w:r>
      <w:r w:rsidRPr="001761D5">
        <w:t xml:space="preserve">captures </w:t>
      </w:r>
      <w:r w:rsidRPr="00CD6567">
        <w:t xml:space="preserve">the specific cost and utilization data for </w:t>
      </w:r>
      <w:r w:rsidRPr="001761D5" w:rsidR="006F3195">
        <w:t>drugs</w:t>
      </w:r>
      <w:r w:rsidRPr="00CD6567" w:rsidR="006F3195">
        <w:t xml:space="preserve"> </w:t>
      </w:r>
      <w:r w:rsidRPr="00CD6567">
        <w:t>that are furnished by a hospital</w:t>
      </w:r>
      <w:r w:rsidRPr="00CD6567" w:rsidR="00546D4E">
        <w:t xml:space="preserve"> </w:t>
      </w:r>
      <w:r w:rsidRPr="00CD6567" w:rsidR="001B4BEA">
        <w:t>paid</w:t>
      </w:r>
      <w:r w:rsidRPr="00CD6567" w:rsidR="00546D4E">
        <w:t xml:space="preserve"> under the OPPS</w:t>
      </w:r>
      <w:r w:rsidRPr="00CD6567">
        <w:t>.</w:t>
      </w:r>
    </w:p>
    <w:p w:rsidR="00B94CB8" w:rsidP="0035720E" w14:paraId="020436D1" w14:textId="77777777">
      <w:pPr>
        <w:pStyle w:val="BodyText"/>
        <w:spacing w:before="0" w:after="120"/>
        <w:ind w:left="720"/>
        <w:contextualSpacing/>
        <w:rPr>
          <w:spacing w:val="-11"/>
        </w:rPr>
      </w:pPr>
    </w:p>
    <w:p w:rsidR="00B94CB8" w:rsidRPr="00CD6567" w:rsidP="00B94CB8" w14:paraId="525A1CD1" w14:textId="18010339">
      <w:pPr>
        <w:pStyle w:val="BodyText"/>
        <w:spacing w:after="120"/>
        <w:ind w:left="720"/>
        <w:contextualSpacing/>
      </w:pPr>
      <w:r w:rsidRPr="00CD6567">
        <w:t>To date, CMS has not surveyed</w:t>
      </w:r>
      <w:r w:rsidRPr="00CD6567" w:rsidR="00A030FD">
        <w:t xml:space="preserve"> </w:t>
      </w:r>
      <w:r w:rsidRPr="00CD6567">
        <w:t xml:space="preserve">all </w:t>
      </w:r>
      <w:r w:rsidRPr="00CD6567" w:rsidR="00A030FD">
        <w:t>hospitals paid under the OPPS</w:t>
      </w:r>
      <w:r w:rsidRPr="00CD6567">
        <w:t xml:space="preserve"> for these costs</w:t>
      </w:r>
      <w:r w:rsidRPr="00CD6567" w:rsidR="00A030FD">
        <w:t>.</w:t>
      </w:r>
      <w:r w:rsidRPr="00CD6567" w:rsidR="00A90B0B">
        <w:t xml:space="preserve">  The Comptroller General conducted a survey in 2004 and 2005</w:t>
      </w:r>
      <w:r w:rsidRPr="00CD6567" w:rsidR="00C30B40">
        <w:t>,</w:t>
      </w:r>
      <w:r w:rsidRPr="00CD6567" w:rsidR="00A90B0B">
        <w:t xml:space="preserve"> and CMS surveyed a subset of hospitals paid under the OPPS in 2020 (see the previously approved CMS-10709 (OMB 0938-1374</w:t>
      </w:r>
      <w:r w:rsidRPr="00CD6567" w:rsidR="00367D27">
        <w:t>)</w:t>
      </w:r>
      <w:r w:rsidRPr="00CD6567" w:rsidR="00A030FD">
        <w:t xml:space="preserve"> </w:t>
      </w:r>
      <w:r w:rsidRPr="00CD6567" w:rsidR="00A90B0B">
        <w:t xml:space="preserve">package at </w:t>
      </w:r>
      <w:hyperlink r:id="rId10" w:history="1">
        <w:r w:rsidRPr="00CD6567" w:rsidR="00B82DE8">
          <w:rPr>
            <w:rStyle w:val="Hyperlink"/>
          </w:rPr>
          <w:t>https://www.reginfo.gov/public/do/PRAViewICR?ref_nbr=202008-0938-005</w:t>
        </w:r>
      </w:hyperlink>
      <w:r w:rsidRPr="00CD6567" w:rsidR="00A90B0B">
        <w:t xml:space="preserve">).  </w:t>
      </w:r>
      <w:r w:rsidRPr="00CD6567" w:rsidR="00A030FD">
        <w:t>We are requesting a new approval for this collection</w:t>
      </w:r>
      <w:r w:rsidR="00217C24">
        <w:t>,</w:t>
      </w:r>
      <w:r w:rsidRPr="00CD6567" w:rsidR="00A030FD">
        <w:t xml:space="preserve"> rather than a reinstatement of the previously approved collection</w:t>
      </w:r>
      <w:r w:rsidR="00217C24">
        <w:t xml:space="preserve">, </w:t>
      </w:r>
      <w:r w:rsidRPr="00CD6567" w:rsidR="00A030FD">
        <w:t xml:space="preserve">because </w:t>
      </w:r>
      <w:r w:rsidRPr="00CD6567">
        <w:t xml:space="preserve">we previously only surveyed </w:t>
      </w:r>
      <w:r w:rsidR="005461DB">
        <w:t>certain</w:t>
      </w:r>
      <w:r w:rsidRPr="00CD6567">
        <w:t xml:space="preserve"> hospitals </w:t>
      </w:r>
      <w:r w:rsidRPr="00CD6567" w:rsidR="004870FA">
        <w:t xml:space="preserve">paid under the OPPS </w:t>
      </w:r>
      <w:r w:rsidRPr="00CD6567">
        <w:t xml:space="preserve">whereas now we are surveying all hospitals paid under the OPPS. </w:t>
      </w:r>
    </w:p>
    <w:p w:rsidR="0035720E" w:rsidRPr="0035720E" w:rsidP="00CD6567" w14:paraId="4195E72B" w14:textId="77777777">
      <w:pPr>
        <w:pStyle w:val="BodyText"/>
        <w:spacing w:before="0" w:after="120"/>
        <w:contextualSpacing/>
      </w:pPr>
    </w:p>
    <w:p w:rsidR="00002306" w:rsidRPr="001761D5" w:rsidP="0035720E" w14:paraId="6A24D090" w14:textId="5A3DD54C">
      <w:pPr>
        <w:pStyle w:val="BodyText"/>
        <w:spacing w:before="0" w:after="120"/>
        <w:ind w:left="720"/>
        <w:contextualSpacing/>
      </w:pPr>
      <w:bookmarkStart w:id="1" w:name="_Hlk201913816"/>
      <w:r>
        <w:t>In order to facilitate this collection of data, we will be using the</w:t>
      </w:r>
      <w:r w:rsidRPr="00CD6567" w:rsidR="00970D31">
        <w:t xml:space="preserve"> </w:t>
      </w:r>
      <w:r w:rsidR="00A3397C">
        <w:t xml:space="preserve">Medicare </w:t>
      </w:r>
      <w:r w:rsidRPr="00CD6567" w:rsidR="00970D31">
        <w:t>Fee-for-Service Data Collection System (FFSDCS)</w:t>
      </w:r>
      <w:r>
        <w:t>. This</w:t>
      </w:r>
      <w:r w:rsidRPr="00CD6567" w:rsidR="00970D31">
        <w:t xml:space="preserve"> is </w:t>
      </w:r>
      <w:r w:rsidRPr="00CD6567">
        <w:t xml:space="preserve">the main data </w:t>
      </w:r>
      <w:r w:rsidRPr="001761D5">
        <w:t xml:space="preserve">system </w:t>
      </w:r>
      <w:r w:rsidRPr="00CD6567">
        <w:t xml:space="preserve">available to </w:t>
      </w:r>
      <w:r w:rsidRPr="001761D5">
        <w:t xml:space="preserve">serve </w:t>
      </w:r>
      <w:r w:rsidRPr="00CD6567">
        <w:t xml:space="preserve">the </w:t>
      </w:r>
      <w:r w:rsidRPr="001761D5">
        <w:t xml:space="preserve">needs </w:t>
      </w:r>
      <w:r w:rsidRPr="00CD6567">
        <w:t xml:space="preserve">of </w:t>
      </w:r>
      <w:r w:rsidRPr="001761D5">
        <w:t xml:space="preserve">the </w:t>
      </w:r>
      <w:r w:rsidRPr="00CD6567">
        <w:t xml:space="preserve">Department of </w:t>
      </w:r>
      <w:r w:rsidRPr="001761D5">
        <w:t xml:space="preserve">Health </w:t>
      </w:r>
      <w:r w:rsidRPr="00CD6567">
        <w:t xml:space="preserve">and </w:t>
      </w:r>
      <w:r w:rsidRPr="001761D5">
        <w:t xml:space="preserve">Human Services (HHS) and the Centers for Medicare &amp; Medicaid Services (CMS) </w:t>
      </w:r>
      <w:r w:rsidRPr="00CD6567">
        <w:t xml:space="preserve">in </w:t>
      </w:r>
      <w:r w:rsidRPr="001761D5">
        <w:t xml:space="preserve">support of </w:t>
      </w:r>
      <w:r w:rsidRPr="00CD6567">
        <w:t>the collection and management of data related to Medicare Fee-for-Service (FFS) payment systems</w:t>
      </w:r>
      <w:r w:rsidRPr="001761D5">
        <w:t>.</w:t>
      </w:r>
    </w:p>
    <w:bookmarkEnd w:id="1"/>
    <w:p w:rsidR="0035720E" w:rsidRPr="001761D5" w:rsidP="00676606" w14:paraId="1F8E669B" w14:textId="77777777">
      <w:pPr>
        <w:pStyle w:val="BodyText"/>
        <w:spacing w:before="0" w:after="120"/>
        <w:ind w:left="720"/>
        <w:contextualSpacing/>
      </w:pPr>
    </w:p>
    <w:p w:rsidR="00DA4E57" w:rsidRPr="001761D5" w:rsidP="00DA4E57" w14:paraId="55BA4346" w14:textId="0FD7D8D9">
      <w:pPr>
        <w:pStyle w:val="BodyText"/>
        <w:spacing w:before="0" w:after="120"/>
        <w:ind w:left="720"/>
        <w:contextualSpacing/>
      </w:pPr>
      <w:r w:rsidRPr="001761D5">
        <w:t>We are requesting new collection approval from OMB.</w:t>
      </w:r>
      <w:r w:rsidR="00C3213D">
        <w:t xml:space="preserve"> This collection includes requirements proposed in </w:t>
      </w:r>
      <w:r w:rsidRPr="00C3213D" w:rsidR="00C3213D">
        <w:t>2026 OPPS</w:t>
      </w:r>
      <w:r w:rsidR="00C3213D">
        <w:t>/ASC</w:t>
      </w:r>
      <w:r w:rsidRPr="00C3213D" w:rsidR="00C3213D">
        <w:t xml:space="preserve"> </w:t>
      </w:r>
      <w:r w:rsidR="00C3213D">
        <w:t xml:space="preserve">CMS-1834-P proposed </w:t>
      </w:r>
      <w:r w:rsidRPr="00C3213D" w:rsidR="00C3213D">
        <w:t>rule</w:t>
      </w:r>
      <w:r w:rsidR="00C3213D">
        <w:t>.</w:t>
      </w:r>
    </w:p>
    <w:p w:rsidR="008F1EB4" w:rsidRPr="0035720E" w:rsidP="00676606" w14:paraId="670520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1EB4" w:rsidRPr="0035720E" w:rsidP="00676606" w14:paraId="4AC794B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r w:rsidRPr="0035720E">
        <w:rPr>
          <w:b/>
          <w:bCs/>
          <w:sz w:val="24"/>
          <w:u w:val="single"/>
        </w:rPr>
        <w:t>A</w:t>
      </w:r>
      <w:r w:rsidRPr="0035720E">
        <w:rPr>
          <w:b/>
          <w:bCs/>
          <w:sz w:val="24"/>
          <w:u w:val="single"/>
        </w:rPr>
        <w:t>.</w:t>
      </w:r>
      <w:r w:rsidRPr="0035720E">
        <w:rPr>
          <w:b/>
          <w:bCs/>
          <w:sz w:val="24"/>
        </w:rPr>
        <w:tab/>
      </w:r>
      <w:r w:rsidRPr="0035720E">
        <w:rPr>
          <w:b/>
          <w:bCs/>
          <w:sz w:val="24"/>
          <w:u w:val="single"/>
        </w:rPr>
        <w:t>Justification</w:t>
      </w:r>
    </w:p>
    <w:p w:rsidR="00802066" w:rsidRPr="0035720E" w:rsidP="00676606" w14:paraId="10E3D0EC" w14:textId="683382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1EB4" w:rsidRPr="0035720E" w:rsidP="00676606" w14:paraId="0F693DA0" w14:textId="0CBF9C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r>
        <w:rPr>
          <w:sz w:val="24"/>
        </w:rPr>
        <w:tab/>
      </w:r>
      <w:r w:rsidRPr="0035720E">
        <w:rPr>
          <w:sz w:val="24"/>
          <w:u w:val="single"/>
        </w:rPr>
        <w:t>Need and Legal Basis</w:t>
      </w:r>
    </w:p>
    <w:p w:rsidR="00802066" w:rsidP="001A2984" w14:paraId="52677B7B" w14:textId="7F2A88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r>
        <w:rPr>
          <w:sz w:val="24"/>
        </w:rPr>
        <w:tab/>
      </w:r>
      <w:r w:rsidR="00840957">
        <w:rPr>
          <w:sz w:val="24"/>
        </w:rPr>
        <w:tab/>
      </w:r>
    </w:p>
    <w:p w:rsidR="003F66B9" w:rsidRPr="0035720E" w:rsidP="00CD6567" w14:paraId="426A6C27" w14:textId="51C1A0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pPr>
      <w:r w:rsidRPr="0035720E">
        <w:rPr>
          <w:sz w:val="24"/>
        </w:rPr>
        <w:t xml:space="preserve">Under Medicare’s Outpatient Prospective Payment System (OPPS), </w:t>
      </w:r>
      <w:bookmarkStart w:id="2" w:name="_Hlk200553486"/>
      <w:r>
        <w:rPr>
          <w:sz w:val="24"/>
        </w:rPr>
        <w:t>and pursuant to</w:t>
      </w:r>
      <w:r w:rsidR="00731E19">
        <w:rPr>
          <w:sz w:val="24"/>
        </w:rPr>
        <w:t xml:space="preserve"> </w:t>
      </w:r>
      <w:r w:rsidR="00B71DCD">
        <w:rPr>
          <w:sz w:val="24"/>
        </w:rPr>
        <w:t>section 1833(t)</w:t>
      </w:r>
      <w:r w:rsidR="005B58DA">
        <w:rPr>
          <w:sz w:val="24"/>
        </w:rPr>
        <w:t xml:space="preserve"> of the Social Security Act</w:t>
      </w:r>
      <w:r w:rsidRPr="0035720E">
        <w:rPr>
          <w:sz w:val="24"/>
        </w:rPr>
        <w:t xml:space="preserve">, </w:t>
      </w:r>
      <w:r w:rsidR="00181229">
        <w:rPr>
          <w:sz w:val="24"/>
        </w:rPr>
        <w:t>the Secretary</w:t>
      </w:r>
      <w:r w:rsidRPr="0035720E" w:rsidR="00181229">
        <w:rPr>
          <w:sz w:val="24"/>
        </w:rPr>
        <w:t xml:space="preserve"> </w:t>
      </w:r>
      <w:r w:rsidR="00843414">
        <w:rPr>
          <w:sz w:val="24"/>
        </w:rPr>
        <w:t>pays</w:t>
      </w:r>
      <w:r w:rsidRPr="0035720E" w:rsidR="00843414">
        <w:rPr>
          <w:sz w:val="24"/>
        </w:rPr>
        <w:t xml:space="preserve"> </w:t>
      </w:r>
      <w:r w:rsidRPr="0035720E">
        <w:rPr>
          <w:sz w:val="24"/>
        </w:rPr>
        <w:t xml:space="preserve">hospitals for outpatient services at predetermined rates based on the average cost that hospitals incur for certain services. </w:t>
      </w:r>
      <w:r w:rsidR="00B71DCD">
        <w:rPr>
          <w:sz w:val="24"/>
        </w:rPr>
        <w:t xml:space="preserve"> </w:t>
      </w:r>
      <w:r w:rsidR="005327DF">
        <w:rPr>
          <w:sz w:val="24"/>
        </w:rPr>
        <w:t xml:space="preserve">Paragraph (14) </w:t>
      </w:r>
      <w:r>
        <w:rPr>
          <w:sz w:val="24"/>
        </w:rPr>
        <w:t>directs</w:t>
      </w:r>
      <w:r w:rsidRPr="0035720E">
        <w:rPr>
          <w:sz w:val="24"/>
        </w:rPr>
        <w:t xml:space="preserve"> </w:t>
      </w:r>
      <w:r w:rsidR="00181229">
        <w:rPr>
          <w:sz w:val="24"/>
        </w:rPr>
        <w:t>the Secretary</w:t>
      </w:r>
      <w:r w:rsidRPr="0035720E" w:rsidR="00181229">
        <w:rPr>
          <w:sz w:val="24"/>
        </w:rPr>
        <w:t xml:space="preserve"> </w:t>
      </w:r>
      <w:r w:rsidRPr="0035720E">
        <w:rPr>
          <w:sz w:val="24"/>
        </w:rPr>
        <w:t xml:space="preserve">on how to calculate, review, and adjust </w:t>
      </w:r>
      <w:r w:rsidR="00843414">
        <w:rPr>
          <w:sz w:val="24"/>
        </w:rPr>
        <w:t>payment</w:t>
      </w:r>
      <w:r w:rsidRPr="0035720E" w:rsidR="00843414">
        <w:rPr>
          <w:sz w:val="24"/>
        </w:rPr>
        <w:t xml:space="preserve"> </w:t>
      </w:r>
      <w:r w:rsidRPr="0035720E">
        <w:rPr>
          <w:sz w:val="24"/>
        </w:rPr>
        <w:t>rates</w:t>
      </w:r>
      <w:r w:rsidR="005327DF">
        <w:rPr>
          <w:sz w:val="24"/>
        </w:rPr>
        <w:t xml:space="preserve"> for SCODs</w:t>
      </w:r>
      <w:r w:rsidRPr="0035720E">
        <w:rPr>
          <w:sz w:val="24"/>
        </w:rPr>
        <w:t>.</w:t>
      </w:r>
      <w:bookmarkEnd w:id="2"/>
    </w:p>
    <w:p w:rsidR="00B4666A" w:rsidP="00676606" w14:paraId="18A972D5" w14:textId="2FC41CBC">
      <w:pPr>
        <w:pStyle w:val="BodyText"/>
        <w:spacing w:before="0" w:after="120"/>
        <w:ind w:left="720"/>
        <w:contextualSpacing/>
      </w:pPr>
      <w:r>
        <w:t xml:space="preserve">In particular, subparagraph </w:t>
      </w:r>
      <w:r w:rsidR="001F2B7E">
        <w:t xml:space="preserve">(A)(iii) </w:t>
      </w:r>
      <w:r w:rsidRPr="0035720E" w:rsidR="003F66B9">
        <w:t xml:space="preserve">directs </w:t>
      </w:r>
      <w:r w:rsidR="003F66B9">
        <w:t xml:space="preserve">the Secretary of </w:t>
      </w:r>
      <w:r w:rsidRPr="0035720E" w:rsidR="003F66B9">
        <w:t xml:space="preserve">HHS to set </w:t>
      </w:r>
      <w:r w:rsidR="00843414">
        <w:t>payment</w:t>
      </w:r>
      <w:r w:rsidRPr="0035720E" w:rsidR="00843414">
        <w:t xml:space="preserve"> </w:t>
      </w:r>
      <w:r w:rsidRPr="0035720E" w:rsidR="003F66B9">
        <w:t>rate</w:t>
      </w:r>
      <w:r w:rsidR="003F66B9">
        <w:t xml:space="preserve">s based on </w:t>
      </w:r>
      <w:r w:rsidRPr="0035720E" w:rsidR="003F66B9">
        <w:t>either (I) the drug’s average acquisition cost</w:t>
      </w:r>
      <w:r w:rsidR="003F66B9">
        <w:t xml:space="preserve">, </w:t>
      </w:r>
      <w:r w:rsidRPr="0035720E" w:rsidR="003F66B9">
        <w:t>which may vary by hospital group</w:t>
      </w:r>
      <w:r w:rsidR="003F66B9">
        <w:t xml:space="preserve">, </w:t>
      </w:r>
      <w:r w:rsidRPr="0035720E" w:rsidR="003F66B9">
        <w:t xml:space="preserve"> as determined by the Secretary taking into account certain hospital cost survey data</w:t>
      </w:r>
      <w:r w:rsidR="00034CC6">
        <w:t xml:space="preserve"> under </w:t>
      </w:r>
      <w:r w:rsidR="00A32F31">
        <w:t xml:space="preserve">subparagraph </w:t>
      </w:r>
      <w:r w:rsidR="00034CC6">
        <w:t>(D)</w:t>
      </w:r>
      <w:r w:rsidR="002B7949">
        <w:t>(ii)</w:t>
      </w:r>
      <w:r w:rsidRPr="0035720E" w:rsidR="003F66B9">
        <w:t>, or (II)</w:t>
      </w:r>
      <w:r w:rsidR="00213B1B">
        <w:t> </w:t>
      </w:r>
      <w:r w:rsidRPr="0035720E" w:rsidR="003F66B9">
        <w:t>if hospital cost acquisition data are not available, the average sales price of the drug</w:t>
      </w:r>
      <w:r w:rsidR="00595739">
        <w:t xml:space="preserve">, with certain </w:t>
      </w:r>
      <w:r w:rsidRPr="0035720E" w:rsidR="003F66B9">
        <w:t>adjust</w:t>
      </w:r>
      <w:r w:rsidR="00595739">
        <w:t xml:space="preserve">ments </w:t>
      </w:r>
      <w:r w:rsidRPr="0035720E" w:rsidR="003F66B9">
        <w:t>by the Secretary</w:t>
      </w:r>
      <w:r w:rsidR="00372638">
        <w:t>.</w:t>
      </w:r>
      <w:r w:rsidRPr="0035720E" w:rsidR="003F66B9">
        <w:t xml:space="preserve"> </w:t>
      </w:r>
      <w:r w:rsidR="003F66B9">
        <w:t>(</w:t>
      </w:r>
      <w:r w:rsidR="00372638">
        <w:rPr>
          <w:i/>
          <w:iCs/>
        </w:rPr>
        <w:t xml:space="preserve">See </w:t>
      </w:r>
      <w:r w:rsidRPr="0035720E" w:rsidR="003F66B9">
        <w:t>42 U.S.C. §1395</w:t>
      </w:r>
      <w:r w:rsidRPr="00164AD0" w:rsidR="003F66B9">
        <w:rPr>
          <w:i/>
          <w:iCs/>
        </w:rPr>
        <w:t>l</w:t>
      </w:r>
      <w:r w:rsidRPr="0035720E" w:rsidR="003F66B9">
        <w:t>(t)(14)(A)(iii)</w:t>
      </w:r>
      <w:r w:rsidR="00372638">
        <w:t>.</w:t>
      </w:r>
      <w:r w:rsidR="003F66B9">
        <w:t>)</w:t>
      </w:r>
    </w:p>
    <w:p w:rsidR="00CD6CBB" w:rsidP="00B4666A" w14:paraId="4E361CE6" w14:textId="118F2D45">
      <w:pPr>
        <w:pStyle w:val="BodyText"/>
        <w:spacing w:before="0" w:after="120"/>
        <w:ind w:left="720"/>
        <w:contextualSpacing/>
      </w:pPr>
    </w:p>
    <w:p w:rsidR="00B4666A" w:rsidP="00CD6CBB" w14:paraId="3F4402A0" w14:textId="1AAE1B73">
      <w:pPr>
        <w:pStyle w:val="BodyText"/>
        <w:spacing w:before="0" w:after="120"/>
        <w:ind w:left="720"/>
        <w:contextualSpacing/>
      </w:pPr>
      <w:r>
        <w:t xml:space="preserve">The Secretary has </w:t>
      </w:r>
      <w:r w:rsidR="00B84AE7">
        <w:t>not collected hospital cost acquisition data</w:t>
      </w:r>
      <w:r w:rsidR="00A32F31">
        <w:t xml:space="preserve"> under subparagraph (D)</w:t>
      </w:r>
      <w:r w:rsidR="00B877EC">
        <w:t>(ii)</w:t>
      </w:r>
      <w:r w:rsidR="00B84AE7">
        <w:t xml:space="preserve">, and so has </w:t>
      </w:r>
      <w:r w:rsidR="00BF1A58">
        <w:t xml:space="preserve">generally </w:t>
      </w:r>
      <w:r>
        <w:t xml:space="preserve">set </w:t>
      </w:r>
      <w:r w:rsidR="00BF1A58">
        <w:t xml:space="preserve">the default </w:t>
      </w:r>
      <w:r>
        <w:t xml:space="preserve">payment rate for </w:t>
      </w:r>
      <w:r w:rsidR="00BF1A58">
        <w:t xml:space="preserve">most </w:t>
      </w:r>
      <w:r>
        <w:t xml:space="preserve">SCODs </w:t>
      </w:r>
      <w:r w:rsidR="00BF1A58">
        <w:t xml:space="preserve">at the average sales price plus six percent </w:t>
      </w:r>
      <w:r>
        <w:t xml:space="preserve">under </w:t>
      </w:r>
      <w:r w:rsidR="00A32F31">
        <w:t>subparagraph</w:t>
      </w:r>
      <w:r w:rsidR="00B84AE7">
        <w:t xml:space="preserve"> </w:t>
      </w:r>
      <w:r w:rsidR="00A32F31">
        <w:t>(A)</w:t>
      </w:r>
      <w:r>
        <w:t xml:space="preserve">(II).  </w:t>
      </w:r>
      <w:r w:rsidR="00CC1BF2">
        <w:t>Th</w:t>
      </w:r>
      <w:r w:rsidR="002B7949">
        <w:t>e</w:t>
      </w:r>
      <w:r w:rsidR="00CC1BF2">
        <w:t xml:space="preserve"> Secretary </w:t>
      </w:r>
      <w:r w:rsidR="008C6D9D">
        <w:t>set</w:t>
      </w:r>
      <w:r w:rsidR="00BF1A58">
        <w:t xml:space="preserve"> that rate </w:t>
      </w:r>
      <w:r w:rsidR="00B2234F">
        <w:t xml:space="preserve">in </w:t>
      </w:r>
      <w:r w:rsidR="00CD6567">
        <w:t>calendar</w:t>
      </w:r>
      <w:r w:rsidR="008C6D9D">
        <w:t xml:space="preserve"> year </w:t>
      </w:r>
      <w:r w:rsidR="00B2234F">
        <w:t xml:space="preserve">2006 </w:t>
      </w:r>
      <w:r w:rsidR="00BF1A58">
        <w:t xml:space="preserve">based on </w:t>
      </w:r>
      <w:r w:rsidR="00787ECD">
        <w:t xml:space="preserve">two </w:t>
      </w:r>
      <w:r>
        <w:t xml:space="preserve">surveys of hospital drug acquisition costs that </w:t>
      </w:r>
      <w:r w:rsidR="00F53249">
        <w:t>the statute</w:t>
      </w:r>
      <w:r>
        <w:t xml:space="preserve"> required the Comptroller General to conduct in 2004 and 2005.  (</w:t>
      </w:r>
      <w:r w:rsidR="00F53249">
        <w:rPr>
          <w:i/>
          <w:iCs/>
        </w:rPr>
        <w:t xml:space="preserve">See </w:t>
      </w:r>
      <w:r w:rsidRPr="0035720E">
        <w:t>42 U.S.C. §1395</w:t>
      </w:r>
      <w:r w:rsidRPr="00763B8A">
        <w:rPr>
          <w:i/>
          <w:iCs/>
        </w:rPr>
        <w:t>l</w:t>
      </w:r>
      <w:r w:rsidRPr="0035720E">
        <w:t>(t)(14)(</w:t>
      </w:r>
      <w:r>
        <w:t>D</w:t>
      </w:r>
      <w:r w:rsidRPr="0035720E">
        <w:t>)(i</w:t>
      </w:r>
      <w:r>
        <w:t xml:space="preserve">).) </w:t>
      </w:r>
      <w:r w:rsidR="00BF1A58">
        <w:t xml:space="preserve"> </w:t>
      </w:r>
    </w:p>
    <w:p w:rsidR="00CD6CBB" w:rsidP="00B4666A" w14:paraId="4CB12847" w14:textId="77777777">
      <w:pPr>
        <w:pStyle w:val="BodyText"/>
        <w:spacing w:before="0" w:after="120"/>
        <w:ind w:left="720"/>
        <w:contextualSpacing/>
      </w:pPr>
    </w:p>
    <w:p w:rsidR="00CA12C1" w:rsidP="00676606" w14:paraId="5C37C702" w14:textId="0C87C1F2">
      <w:pPr>
        <w:pStyle w:val="BodyText"/>
        <w:spacing w:before="0" w:after="120"/>
        <w:ind w:left="720"/>
        <w:contextualSpacing/>
      </w:pPr>
      <w:r>
        <w:t xml:space="preserve">The statute does not envision that </w:t>
      </w:r>
      <w:r w:rsidR="00AA7E9F">
        <w:t xml:space="preserve">the Secretary will rely on </w:t>
      </w:r>
      <w:r>
        <w:t xml:space="preserve">surveys from 2004 and 2005 </w:t>
      </w:r>
      <w:r w:rsidR="00AA7E9F">
        <w:t xml:space="preserve">to set </w:t>
      </w:r>
      <w:r>
        <w:t xml:space="preserve">payment rates </w:t>
      </w:r>
      <w:r w:rsidR="00D81662">
        <w:t xml:space="preserve">for SCODs </w:t>
      </w:r>
      <w:r>
        <w:t xml:space="preserve">forever.  </w:t>
      </w:r>
      <w:r w:rsidR="00B704C8">
        <w:t xml:space="preserve">As noted, </w:t>
      </w:r>
      <w:r w:rsidR="004A3E83">
        <w:t>subdivision</w:t>
      </w:r>
      <w:r w:rsidR="004A3E83">
        <w:t xml:space="preserve"> </w:t>
      </w:r>
      <w:r w:rsidR="00B704C8">
        <w:t>(A)(iii)(I) authorizes the Secretary to set payment rates based on a drug’s average acquisition cost if he has cost survey data</w:t>
      </w:r>
      <w:r w:rsidR="00080746">
        <w:t xml:space="preserve"> under paragraph (D)</w:t>
      </w:r>
      <w:r w:rsidR="00B704C8">
        <w:t xml:space="preserve">. </w:t>
      </w:r>
      <w:r w:rsidR="00A02E16">
        <w:t xml:space="preserve">And the statute </w:t>
      </w:r>
      <w:r>
        <w:t xml:space="preserve">required </w:t>
      </w:r>
      <w:r w:rsidR="00B24FCA">
        <w:t>that</w:t>
      </w:r>
      <w:r>
        <w:t xml:space="preserve"> </w:t>
      </w:r>
      <w:r w:rsidR="00521955">
        <w:t xml:space="preserve">the </w:t>
      </w:r>
      <w:r w:rsidRPr="0035720E">
        <w:t xml:space="preserve">Comptroller General </w:t>
      </w:r>
      <w:r w:rsidR="00B24FCA">
        <w:t>use his experience</w:t>
      </w:r>
      <w:r w:rsidR="00080746">
        <w:t xml:space="preserve"> conducting </w:t>
      </w:r>
      <w:r w:rsidR="00B24FCA">
        <w:t xml:space="preserve">cost acquisition </w:t>
      </w:r>
      <w:r w:rsidR="00080746">
        <w:t xml:space="preserve">surveys in 2004 and 2005 </w:t>
      </w:r>
      <w:r w:rsidR="00B24FCA">
        <w:t xml:space="preserve">to </w:t>
      </w:r>
      <w:r w:rsidRPr="0035720E">
        <w:t xml:space="preserve">make recommendations to the Secretary </w:t>
      </w:r>
      <w:r>
        <w:t xml:space="preserve">about </w:t>
      </w:r>
      <w:r w:rsidR="00B704C8">
        <w:t xml:space="preserve">what methodology he should use to conduct </w:t>
      </w:r>
      <w:r w:rsidR="00080746">
        <w:t xml:space="preserve">future cost acquisition </w:t>
      </w:r>
      <w:r w:rsidR="00B704C8">
        <w:t xml:space="preserve">surveys and </w:t>
      </w:r>
      <w:r>
        <w:t xml:space="preserve">how often </w:t>
      </w:r>
      <w:r w:rsidR="00B704C8">
        <w:t xml:space="preserve">he should </w:t>
      </w:r>
      <w:r w:rsidR="00080746">
        <w:t>conduct them</w:t>
      </w:r>
      <w:r w:rsidR="00B704C8">
        <w:t xml:space="preserve">.  </w:t>
      </w:r>
      <w:r w:rsidR="00D81662">
        <w:t>(</w:t>
      </w:r>
      <w:r w:rsidR="00D81662">
        <w:rPr>
          <w:i/>
          <w:iCs/>
        </w:rPr>
        <w:t xml:space="preserve">See </w:t>
      </w:r>
      <w:r w:rsidR="003D43CB">
        <w:rPr>
          <w:i/>
          <w:iCs/>
        </w:rPr>
        <w:t xml:space="preserve">id. </w:t>
      </w:r>
      <w:r w:rsidRPr="00CD6567" w:rsidR="003D43CB">
        <w:t>at</w:t>
      </w:r>
      <w:r w:rsidRPr="00CD6567" w:rsidR="00D81662">
        <w:t xml:space="preserve"> </w:t>
      </w:r>
      <w:r w:rsidRPr="0035720E" w:rsidR="00D81662">
        <w:t>(t)(14)(</w:t>
      </w:r>
      <w:r w:rsidR="00D81662">
        <w:t>D</w:t>
      </w:r>
      <w:r w:rsidRPr="0035720E" w:rsidR="00D81662">
        <w:t>)(i</w:t>
      </w:r>
      <w:r w:rsidR="00D81662">
        <w:t>)(</w:t>
      </w:r>
      <w:r w:rsidR="00784040">
        <w:t>II)</w:t>
      </w:r>
      <w:r w:rsidR="00D81662">
        <w:t xml:space="preserve">.)  </w:t>
      </w:r>
    </w:p>
    <w:p w:rsidR="0035720E" w:rsidRPr="0035720E" w:rsidP="00676606" w14:paraId="76E68E3B" w14:textId="77777777">
      <w:pPr>
        <w:pStyle w:val="BodyText"/>
        <w:spacing w:before="0" w:after="120"/>
        <w:ind w:left="720"/>
        <w:contextualSpacing/>
      </w:pPr>
    </w:p>
    <w:p w:rsidR="00E7644A" w:rsidP="00676606" w14:paraId="05D56388" w14:textId="23EF1A79">
      <w:pPr>
        <w:pStyle w:val="BodyText"/>
        <w:spacing w:before="0" w:after="120"/>
        <w:ind w:left="720"/>
        <w:contextualSpacing/>
        <w:rPr>
          <w:color w:val="000000"/>
        </w:rPr>
      </w:pPr>
      <w:r>
        <w:t>T</w:t>
      </w:r>
      <w:r w:rsidRPr="0035720E" w:rsidR="00CA12C1">
        <w:t xml:space="preserve">he Government Accountability Office (GAO) </w:t>
      </w:r>
      <w:r w:rsidR="00B24FCA">
        <w:t>accordingly</w:t>
      </w:r>
      <w:r>
        <w:t xml:space="preserve"> </w:t>
      </w:r>
      <w:r w:rsidRPr="0035720E" w:rsidR="00CA12C1">
        <w:t>prepared report</w:t>
      </w:r>
      <w:r w:rsidR="00825C60">
        <w:t>s in October 2005</w:t>
      </w:r>
      <w:r>
        <w:rPr>
          <w:rStyle w:val="FootnoteReference"/>
          <w:vertAlign w:val="superscript"/>
        </w:rPr>
        <w:footnoteReference w:id="3"/>
      </w:r>
      <w:r w:rsidR="00825C60">
        <w:t xml:space="preserve"> and</w:t>
      </w:r>
      <w:r>
        <w:t xml:space="preserve"> </w:t>
      </w:r>
      <w:r w:rsidR="006E40C1">
        <w:t>Apri</w:t>
      </w:r>
      <w:r w:rsidR="00B4666A">
        <w:t>l</w:t>
      </w:r>
      <w:r w:rsidR="006E40C1">
        <w:t xml:space="preserve"> 2006</w:t>
      </w:r>
      <w:r>
        <w:rPr>
          <w:rStyle w:val="FootnoteReference"/>
          <w:vertAlign w:val="superscript"/>
        </w:rPr>
        <w:footnoteReference w:id="4"/>
      </w:r>
      <w:r>
        <w:t xml:space="preserve"> </w:t>
      </w:r>
      <w:r w:rsidRPr="0035720E" w:rsidR="00CA12C1">
        <w:t xml:space="preserve">that included its recommendations for the Secretary regarding the frequency and methodology for subsequent </w:t>
      </w:r>
      <w:r>
        <w:t xml:space="preserve">cost acquisition </w:t>
      </w:r>
      <w:r w:rsidRPr="0035720E" w:rsidR="00CA12C1">
        <w:t xml:space="preserve">surveys. </w:t>
      </w:r>
      <w:r w:rsidRPr="0035720E" w:rsidR="00767A67">
        <w:t>To ensure that Medicare payments for SCOD products were based on sufficiently accurate data, GAO recommended that the Secretary of Health and Human Services “validate, on an occasional basis, manufacturers’ reported drug ASPs as a measure of hospitals’ acquisition costs using a survey of hospitals or other method that CMS determines to be similarly accurate and efficient.”</w:t>
      </w:r>
      <w:r>
        <w:rPr>
          <w:rStyle w:val="FootnoteReference"/>
          <w:vertAlign w:val="superscript"/>
        </w:rPr>
        <w:footnoteReference w:id="5"/>
      </w:r>
      <w:r w:rsidRPr="0035720E" w:rsidR="00767A67">
        <w:t xml:space="preserve"> </w:t>
      </w:r>
      <w:r w:rsidRPr="0035720E" w:rsidR="00CA12C1">
        <w:t xml:space="preserve">While GAO recognized that collecting current, accurate drug price data was important to ensure the agency does not pay too much or too little for drugs, GAO recommended that CMS conduct a streamlined survey </w:t>
      </w:r>
      <w:r w:rsidRPr="0035720E" w:rsidR="00EA6C5B">
        <w:t>“</w:t>
      </w:r>
      <w:r w:rsidRPr="0035720E" w:rsidR="00CA12C1">
        <w:t>once or twice per decade</w:t>
      </w:r>
      <w:r w:rsidRPr="0035720E" w:rsidR="00EA6C5B">
        <w:t>”</w:t>
      </w:r>
      <w:r w:rsidRPr="0035720E" w:rsidR="00CA12C1">
        <w:t xml:space="preserve"> because of the significant operational difficulties and burden that such a survey would place on hospitals and CMS</w:t>
      </w:r>
      <w:r w:rsidRPr="00676606" w:rsidR="006B34F8">
        <w:rPr>
          <w:color w:val="000000"/>
        </w:rPr>
        <w:t>.</w:t>
      </w:r>
      <w:r>
        <w:rPr>
          <w:rStyle w:val="FootnoteReference"/>
          <w:color w:val="000000"/>
          <w:vertAlign w:val="superscript"/>
        </w:rPr>
        <w:footnoteReference w:id="6"/>
      </w:r>
      <w:r w:rsidR="00C2602C">
        <w:rPr>
          <w:color w:val="000000"/>
        </w:rPr>
        <w:t xml:space="preserve"> </w:t>
      </w:r>
      <w:r w:rsidR="00926C54">
        <w:rPr>
          <w:color w:val="000000"/>
        </w:rPr>
        <w:t>T</w:t>
      </w:r>
      <w:r w:rsidRPr="00926C54" w:rsidR="00926C54">
        <w:rPr>
          <w:color w:val="000000"/>
        </w:rPr>
        <w:t>o better approximate hospitals’</w:t>
      </w:r>
      <w:r w:rsidR="00926C54">
        <w:rPr>
          <w:color w:val="000000"/>
        </w:rPr>
        <w:t xml:space="preserve"> </w:t>
      </w:r>
      <w:r w:rsidRPr="00926C54" w:rsidR="00926C54">
        <w:rPr>
          <w:color w:val="000000"/>
        </w:rPr>
        <w:t>acquisition costs of SCODs</w:t>
      </w:r>
      <w:r w:rsidR="00926C54">
        <w:rPr>
          <w:color w:val="000000"/>
        </w:rPr>
        <w:t xml:space="preserve">, </w:t>
      </w:r>
      <w:r w:rsidR="00C2602C">
        <w:rPr>
          <w:color w:val="000000"/>
        </w:rPr>
        <w:t xml:space="preserve">GAO also recommended that </w:t>
      </w:r>
      <w:r w:rsidR="00926C54">
        <w:rPr>
          <w:color w:val="000000"/>
        </w:rPr>
        <w:t>CMS (1) r</w:t>
      </w:r>
      <w:r w:rsidRPr="00C2602C" w:rsidR="00C2602C">
        <w:rPr>
          <w:color w:val="000000"/>
        </w:rPr>
        <w:t>econsider the level of proposed payment rates for drug SCODs, in relation to survey data on average purchase price, the role of rebates in determining acquisition costs, and the desirability of setting payment rates for SCODs at average acquisition costs</w:t>
      </w:r>
      <w:r w:rsidR="00926C54">
        <w:rPr>
          <w:color w:val="000000"/>
        </w:rPr>
        <w:t xml:space="preserve"> and</w:t>
      </w:r>
      <w:r w:rsidRPr="00926C54" w:rsidR="00926C54">
        <w:t xml:space="preserve"> </w:t>
      </w:r>
      <w:r w:rsidR="00926C54">
        <w:t xml:space="preserve">(2) </w:t>
      </w:r>
      <w:r w:rsidR="00926C54">
        <w:rPr>
          <w:color w:val="000000"/>
        </w:rPr>
        <w:t>c</w:t>
      </w:r>
      <w:r w:rsidRPr="00926C54" w:rsidR="00926C54">
        <w:rPr>
          <w:color w:val="000000"/>
        </w:rPr>
        <w:t>ollect information on ASP components and ASP by purchaser type to validate the reasonableness of reported ASPs as a measure of hospital acquisition costs.</w:t>
      </w:r>
      <w:r>
        <w:rPr>
          <w:rStyle w:val="FootnoteReference"/>
          <w:color w:val="000000"/>
          <w:vertAlign w:val="superscript"/>
        </w:rPr>
        <w:footnoteReference w:id="7"/>
      </w:r>
      <w:r w:rsidR="006E40C1">
        <w:rPr>
          <w:color w:val="000000"/>
        </w:rPr>
        <w:t xml:space="preserve">  </w:t>
      </w:r>
    </w:p>
    <w:p w:rsidR="0035720E" w:rsidRPr="00676606" w:rsidP="00676606" w14:paraId="7EBDCF65" w14:textId="77777777">
      <w:pPr>
        <w:pStyle w:val="BodyText"/>
        <w:spacing w:before="0" w:after="120"/>
        <w:ind w:left="720"/>
        <w:contextualSpacing/>
        <w:rPr>
          <w:color w:val="000000"/>
        </w:rPr>
      </w:pPr>
    </w:p>
    <w:p w:rsidR="004555DA" w:rsidRPr="00676606" w:rsidP="00676606" w14:paraId="5E365FFD" w14:textId="7605985C">
      <w:pPr>
        <w:pStyle w:val="BodyText"/>
        <w:spacing w:before="0" w:after="120"/>
        <w:ind w:left="720"/>
        <w:contextualSpacing/>
        <w:rPr>
          <w:color w:val="000000"/>
        </w:rPr>
      </w:pPr>
      <w:r>
        <w:rPr>
          <w:color w:val="000000"/>
        </w:rPr>
        <w:t>O</w:t>
      </w:r>
      <w:r w:rsidRPr="00676606">
        <w:rPr>
          <w:color w:val="000000"/>
        </w:rPr>
        <w:t>n April 18, 2025, President Trump signed Executive Order (E.O.) 14273, “Lowering Drug Prices by Once Again Putting Americans First.”  Section 5 of the E.O., “Appropriately Accounting for Acquisition Costs of Drugs in Medicare,” directs the Secretary of HHS to publish in the Federal Register a plan to conduct a survey under section 1833(t)(14)(D)(ii) of the Act</w:t>
      </w:r>
      <w:r w:rsidRPr="00676606" w:rsidR="00A604D1">
        <w:rPr>
          <w:color w:val="000000"/>
        </w:rPr>
        <w:t xml:space="preserve"> so </w:t>
      </w:r>
      <w:r w:rsidRPr="00676606">
        <w:rPr>
          <w:color w:val="000000"/>
        </w:rPr>
        <w:t xml:space="preserve">he can determine the hospital acquisition cost for covered outpatient drugs at hospital outpatient departments.  </w:t>
      </w:r>
    </w:p>
    <w:p w:rsidR="0035720E" w:rsidP="00676606" w14:paraId="17542C7A" w14:textId="7E1D7A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r w:rsidRPr="00676606">
        <w:rPr>
          <w:sz w:val="24"/>
        </w:rPr>
        <w:t>Accordingly, under section 1833(t)(14)(D)(ii) of the Act</w:t>
      </w:r>
      <w:r w:rsidR="004A3E83">
        <w:rPr>
          <w:sz w:val="24"/>
        </w:rPr>
        <w:t xml:space="preserve"> and consistent with E.O. 14273</w:t>
      </w:r>
      <w:r w:rsidRPr="00676606">
        <w:rPr>
          <w:sz w:val="24"/>
        </w:rPr>
        <w:t xml:space="preserve">, </w:t>
      </w:r>
      <w:r w:rsidRPr="00676606" w:rsidR="002F10B4">
        <w:rPr>
          <w:sz w:val="24"/>
        </w:rPr>
        <w:t xml:space="preserve">CMS </w:t>
      </w:r>
      <w:r w:rsidRPr="00676606">
        <w:rPr>
          <w:sz w:val="24"/>
        </w:rPr>
        <w:t>will be conducting a survey of the acquisition costs for each separately payable drug acquired by all hospitals paid under the OPPS</w:t>
      </w:r>
      <w:r w:rsidRPr="00676606" w:rsidR="0070653A">
        <w:rPr>
          <w:sz w:val="24"/>
        </w:rPr>
        <w:t>.</w:t>
      </w:r>
    </w:p>
    <w:p w:rsidR="008F1EB4" w:rsidRPr="0035720E" w:rsidP="00676606" w14:paraId="5FF5A8D2" w14:textId="210BA6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r w:rsidRPr="0035720E">
        <w:t xml:space="preserve"> </w:t>
      </w:r>
    </w:p>
    <w:p w:rsidR="008F1EB4" w:rsidRPr="0035720E" w:rsidP="00CD6567" w14:paraId="1E1D74AF" w14:textId="2D94B92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2.</w:t>
      </w:r>
      <w:r w:rsidRPr="0035720E">
        <w:rPr>
          <w:sz w:val="24"/>
        </w:rPr>
        <w:tab/>
      </w:r>
      <w:r w:rsidRPr="0035720E">
        <w:rPr>
          <w:sz w:val="24"/>
          <w:u w:val="single"/>
        </w:rPr>
        <w:t>Information Users</w:t>
      </w:r>
    </w:p>
    <w:p w:rsidR="00B4666A" w:rsidRPr="0035720E" w:rsidP="00676606" w14:paraId="711752D0" w14:textId="688FE8FB">
      <w:pPr>
        <w:pStyle w:val="BodyText"/>
        <w:spacing w:before="0" w:after="120"/>
        <w:ind w:left="720"/>
        <w:contextualSpacing/>
      </w:pPr>
      <w:r w:rsidRPr="0035720E">
        <w:t xml:space="preserve">CMS </w:t>
      </w:r>
      <w:r w:rsidRPr="0035720E" w:rsidR="00301D9D">
        <w:t>is</w:t>
      </w:r>
      <w:r w:rsidRPr="0035720E">
        <w:t xml:space="preserve"> exercis</w:t>
      </w:r>
      <w:r w:rsidRPr="0035720E" w:rsidR="00301D9D">
        <w:t>ing</w:t>
      </w:r>
      <w:r w:rsidRPr="0035720E">
        <w:t xml:space="preserve"> </w:t>
      </w:r>
      <w:r w:rsidR="00377ECB">
        <w:t xml:space="preserve">its </w:t>
      </w:r>
      <w:r w:rsidRPr="0035720E">
        <w:t xml:space="preserve">statutory authority to </w:t>
      </w:r>
      <w:r w:rsidR="00377ECB">
        <w:t xml:space="preserve">survey hospital </w:t>
      </w:r>
      <w:r w:rsidRPr="0035720E">
        <w:t>drug acquisition cost</w:t>
      </w:r>
      <w:r w:rsidR="00377ECB">
        <w:t>s</w:t>
      </w:r>
      <w:r w:rsidRPr="0035720E">
        <w:t xml:space="preserve"> </w:t>
      </w:r>
      <w:r w:rsidR="00377ECB">
        <w:t xml:space="preserve">under section </w:t>
      </w:r>
      <w:r w:rsidRPr="0035720E">
        <w:t>1833(t)(14)(D)</w:t>
      </w:r>
      <w:r w:rsidR="00377ECB">
        <w:t>(ii)</w:t>
      </w:r>
      <w:r w:rsidRPr="0035720E">
        <w:t xml:space="preserve"> of the Act</w:t>
      </w:r>
      <w:r w:rsidR="00377ECB">
        <w:t>,</w:t>
      </w:r>
      <w:r w:rsidRPr="0035720E">
        <w:t xml:space="preserve"> and the agency may use the information collected to set payment rates for drugs purchased </w:t>
      </w:r>
      <w:r w:rsidRPr="0035720E" w:rsidR="00301D9D">
        <w:t>by hospitals paid under the OPPS.</w:t>
      </w:r>
      <w:r w:rsidRPr="0035720E" w:rsidR="002F10B4">
        <w:t xml:space="preserve"> We intend for the survey to be completed in time for the survey results to be used to inform policy making beginning with the CY 2027 OPPS/ASC proposed rule.</w:t>
      </w:r>
    </w:p>
    <w:p w:rsidR="008F1EB4" w:rsidRPr="0035720E" w:rsidP="00CD6567" w14:paraId="329489D2" w14:textId="77777777">
      <w:pPr>
        <w:pStyle w:val="BodyText"/>
        <w:spacing w:before="0" w:after="120"/>
        <w:ind w:left="720"/>
        <w:contextualSpacing/>
      </w:pPr>
    </w:p>
    <w:p w:rsidR="008F1EB4" w:rsidRPr="0035720E" w:rsidP="00CD6567" w14:paraId="25C896E7" w14:textId="7BC609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3.</w:t>
      </w:r>
      <w:r w:rsidRPr="0035720E">
        <w:rPr>
          <w:sz w:val="24"/>
        </w:rPr>
        <w:tab/>
      </w:r>
      <w:r w:rsidRPr="0035720E">
        <w:rPr>
          <w:sz w:val="24"/>
          <w:u w:val="single"/>
        </w:rPr>
        <w:t>Use of Information Technology</w:t>
      </w:r>
    </w:p>
    <w:p w:rsidR="00E10E9F" w:rsidRPr="0035720E" w:rsidP="00CD6567" w14:paraId="6EC245D7" w14:textId="60A21D2E">
      <w:pPr>
        <w:pStyle w:val="BodyText"/>
        <w:spacing w:after="120"/>
        <w:ind w:left="720"/>
        <w:contextualSpacing/>
      </w:pPr>
      <w:r w:rsidRPr="0035720E">
        <w:t xml:space="preserve">CMS intends to use the FFSDCS for electronically obtaining drug acquisition cost </w:t>
      </w:r>
      <w:r w:rsidRPr="0035720E">
        <w:rPr>
          <w:spacing w:val="-4"/>
        </w:rPr>
        <w:t>information for each SCOD</w:t>
      </w:r>
      <w:r w:rsidR="0061661F">
        <w:rPr>
          <w:spacing w:val="-4"/>
        </w:rPr>
        <w:t xml:space="preserve"> acquired by the hospital over a one year period from July 1, 2024 through June 30, 2025</w:t>
      </w:r>
      <w:r w:rsidRPr="00164AD0">
        <w:t xml:space="preserve"> </w:t>
      </w:r>
      <w:r w:rsidRPr="0035720E" w:rsidR="006F3195">
        <w:rPr>
          <w:spacing w:val="-4"/>
        </w:rPr>
        <w:t>with the survey open</w:t>
      </w:r>
      <w:r w:rsidR="00B4093B">
        <w:rPr>
          <w:spacing w:val="-4"/>
        </w:rPr>
        <w:t xml:space="preserve"> January 1, 2026, through March 3</w:t>
      </w:r>
      <w:r w:rsidR="0061661F">
        <w:rPr>
          <w:spacing w:val="-4"/>
        </w:rPr>
        <w:t>1</w:t>
      </w:r>
      <w:r w:rsidR="00B4093B">
        <w:rPr>
          <w:spacing w:val="-4"/>
        </w:rPr>
        <w:t xml:space="preserve">, 2026, </w:t>
      </w:r>
      <w:r w:rsidR="00A3397C">
        <w:rPr>
          <w:spacing w:val="-4"/>
        </w:rPr>
        <w:t>with the potential to open the survey earlier</w:t>
      </w:r>
      <w:r w:rsidRPr="00164AD0" w:rsidR="001B05F6">
        <w:t>.</w:t>
      </w:r>
      <w:r w:rsidRPr="00164AD0" w:rsidR="00B4093B">
        <w:t xml:space="preserve"> </w:t>
      </w:r>
      <w:r w:rsidRPr="0035720E" w:rsidR="006B4D64">
        <w:rPr>
          <w:spacing w:val="-4"/>
        </w:rPr>
        <w:t>The entire survey</w:t>
      </w:r>
      <w:r w:rsidR="001751B0">
        <w:rPr>
          <w:spacing w:val="-4"/>
        </w:rPr>
        <w:t xml:space="preserve">, including any necessary </w:t>
      </w:r>
      <w:r w:rsidR="000A0175">
        <w:rPr>
          <w:spacing w:val="-4"/>
        </w:rPr>
        <w:t>respondent</w:t>
      </w:r>
      <w:r w:rsidR="001751B0">
        <w:rPr>
          <w:spacing w:val="-4"/>
        </w:rPr>
        <w:t xml:space="preserve"> identification information,</w:t>
      </w:r>
      <w:r w:rsidRPr="0035720E" w:rsidR="006B4D64">
        <w:rPr>
          <w:spacing w:val="-4"/>
        </w:rPr>
        <w:t xml:space="preserve"> will be captured by FFSDCS</w:t>
      </w:r>
      <w:r w:rsidRPr="00164AD0" w:rsidR="001751B0">
        <w:t>,</w:t>
      </w:r>
      <w:r w:rsidRPr="00164AD0" w:rsidR="006B4D64">
        <w:t xml:space="preserve"> </w:t>
      </w:r>
      <w:r w:rsidRPr="0035720E">
        <w:t xml:space="preserve">is a system operated by the CMS to gather and store data related to Medicare FFS payments. </w:t>
      </w:r>
      <w:bookmarkStart w:id="3" w:name="4._Duplication_of_Efforts"/>
      <w:bookmarkEnd w:id="3"/>
      <w:r w:rsidRPr="0035720E" w:rsidR="003B3758">
        <w:t xml:space="preserve">Hospitals may have familiarity with the system as it is primarily used to </w:t>
      </w:r>
      <w:r w:rsidR="006C0C9E">
        <w:t>determine</w:t>
      </w:r>
      <w:r w:rsidRPr="0035720E" w:rsidR="006C0C9E">
        <w:t xml:space="preserve"> </w:t>
      </w:r>
      <w:r w:rsidRPr="0035720E" w:rsidR="003B3758">
        <w:t xml:space="preserve">payment rates for services like laboratory tests through the Clinical Laboratory Fee Schedule where providers submit data on the services they provide to determine their </w:t>
      </w:r>
      <w:r w:rsidR="006C0C9E">
        <w:t>payment</w:t>
      </w:r>
      <w:r w:rsidRPr="0035720E" w:rsidR="006C0C9E">
        <w:t xml:space="preserve"> </w:t>
      </w:r>
      <w:r w:rsidRPr="0035720E" w:rsidR="003B3758">
        <w:t xml:space="preserve">amount; essentially, </w:t>
      </w:r>
      <w:r w:rsidR="003B3758">
        <w:t xml:space="preserve">the </w:t>
      </w:r>
      <w:bookmarkStart w:id="4" w:name="_Hlk202433740"/>
      <w:r w:rsidR="003B3758">
        <w:t>FFSDCS is</w:t>
      </w:r>
      <w:r w:rsidRPr="0035720E" w:rsidR="003B3758">
        <w:t xml:space="preserve"> a platform </w:t>
      </w:r>
      <w:bookmarkEnd w:id="4"/>
      <w:r w:rsidRPr="0035720E" w:rsidR="003B3758">
        <w:t>to collect information on individual medical services billed under the FFS model. </w:t>
      </w:r>
      <w:r w:rsidR="00F5494B">
        <w:t xml:space="preserve">Hospitals may also have familiarity with the FFSDCS as </w:t>
      </w:r>
      <w:r w:rsidRPr="00F5494B" w:rsidR="00F5494B">
        <w:t xml:space="preserve">hospital-based ambulance organizations </w:t>
      </w:r>
      <w:r w:rsidR="00F5494B">
        <w:t>may report</w:t>
      </w:r>
      <w:r w:rsidRPr="00F5494B" w:rsidR="00F5494B">
        <w:t xml:space="preserve"> in the Ground Ambulance Data Collection System (GADCS</w:t>
      </w:r>
      <w:r w:rsidR="00F5494B">
        <w:t xml:space="preserve">)(PRA-exempt), which is </w:t>
      </w:r>
      <w:r w:rsidRPr="00F5494B" w:rsidR="00F5494B">
        <w:t>another module in the FFSDCS</w:t>
      </w:r>
      <w:r w:rsidRPr="5B1E9A9A" w:rsidR="00F5494B">
        <w:t xml:space="preserve">. </w:t>
      </w:r>
      <w:r w:rsidRPr="0035720E" w:rsidR="003B3758">
        <w:t xml:space="preserve">Additionally, the FFSDCS collects data from drug manufacturers to determine Average Sales Price (ASP) </w:t>
      </w:r>
      <w:r w:rsidRPr="5B1E9A9A" w:rsidR="00285722">
        <w:t>(</w:t>
      </w:r>
      <w:r w:rsidRPr="00285722" w:rsidR="00285722">
        <w:t>OMB 0938-0921</w:t>
      </w:r>
      <w:r w:rsidRPr="5B1E9A9A" w:rsidR="00285722">
        <w:t xml:space="preserve">) </w:t>
      </w:r>
      <w:r w:rsidRPr="0035720E" w:rsidR="003B3758">
        <w:t>which is a drug pricing model that refers to the average price a manufacturer charges for a drug after accounting for discounts and rebates.</w:t>
      </w:r>
    </w:p>
    <w:p w:rsidR="008F1EB4" w:rsidRPr="0035720E" w:rsidP="00676606" w14:paraId="6D7CD6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1EB4" w:rsidRPr="0035720E" w:rsidP="00676606" w14:paraId="694207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4.</w:t>
      </w:r>
      <w:r w:rsidRPr="0035720E">
        <w:rPr>
          <w:sz w:val="24"/>
        </w:rPr>
        <w:tab/>
      </w:r>
      <w:r w:rsidRPr="0035720E">
        <w:rPr>
          <w:sz w:val="24"/>
          <w:u w:val="single"/>
        </w:rPr>
        <w:t>Duplication of Efforts</w:t>
      </w:r>
    </w:p>
    <w:p w:rsidR="008F1EB4" w:rsidRPr="0035720E" w:rsidP="00676606" w14:paraId="2515324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1EB4" w:rsidRPr="0035720E" w:rsidP="00676606" w14:paraId="39358164" w14:textId="1FEBD2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r w:rsidRPr="0035720E">
        <w:rPr>
          <w:sz w:val="24"/>
        </w:rPr>
        <w:t>T</w:t>
      </w:r>
      <w:r w:rsidRPr="0035720E">
        <w:rPr>
          <w:sz w:val="24"/>
        </w:rPr>
        <w:t xml:space="preserve">his information collection does not duplicate any other </w:t>
      </w:r>
      <w:r w:rsidRPr="0035720E">
        <w:rPr>
          <w:sz w:val="24"/>
        </w:rPr>
        <w:t>effort,</w:t>
      </w:r>
      <w:r w:rsidRPr="0035720E">
        <w:rPr>
          <w:sz w:val="24"/>
        </w:rPr>
        <w:t xml:space="preserve"> and the information cannot be obtained from any other source</w:t>
      </w:r>
      <w:r w:rsidRPr="0035720E">
        <w:rPr>
          <w:sz w:val="24"/>
        </w:rPr>
        <w:t>.</w:t>
      </w:r>
      <w:r w:rsidR="00CE6BE6">
        <w:rPr>
          <w:sz w:val="24"/>
        </w:rPr>
        <w:t xml:space="preserve"> The previously approved </w:t>
      </w:r>
      <w:r w:rsidR="00526D00">
        <w:rPr>
          <w:sz w:val="24"/>
        </w:rPr>
        <w:t>package (</w:t>
      </w:r>
      <w:r w:rsidR="00CE6BE6">
        <w:rPr>
          <w:sz w:val="24"/>
        </w:rPr>
        <w:t>CMS-10709</w:t>
      </w:r>
      <w:r w:rsidR="00526D00">
        <w:rPr>
          <w:sz w:val="24"/>
        </w:rPr>
        <w:t>)</w:t>
      </w:r>
      <w:r w:rsidR="00CE6BE6">
        <w:rPr>
          <w:sz w:val="24"/>
        </w:rPr>
        <w:t xml:space="preserve"> is not sufficient to</w:t>
      </w:r>
      <w:r w:rsidR="00526D00">
        <w:rPr>
          <w:sz w:val="24"/>
        </w:rPr>
        <w:t xml:space="preserve"> collect the </w:t>
      </w:r>
      <w:r w:rsidR="00360E47">
        <w:rPr>
          <w:sz w:val="24"/>
        </w:rPr>
        <w:t>required</w:t>
      </w:r>
      <w:r w:rsidR="00526D00">
        <w:rPr>
          <w:sz w:val="24"/>
        </w:rPr>
        <w:t xml:space="preserve"> information</w:t>
      </w:r>
      <w:r w:rsidR="00CE6BE6">
        <w:rPr>
          <w:sz w:val="24"/>
        </w:rPr>
        <w:t xml:space="preserve"> as it </w:t>
      </w:r>
      <w:r w:rsidRPr="00CE6BE6" w:rsidR="00CE6BE6">
        <w:rPr>
          <w:sz w:val="24"/>
        </w:rPr>
        <w:t xml:space="preserve">only surveyed </w:t>
      </w:r>
      <w:r w:rsidR="003025B8">
        <w:rPr>
          <w:sz w:val="24"/>
        </w:rPr>
        <w:t>certain</w:t>
      </w:r>
      <w:r w:rsidRPr="00CE6BE6" w:rsidR="00CE6BE6">
        <w:rPr>
          <w:sz w:val="24"/>
        </w:rPr>
        <w:t xml:space="preserve"> hospitals paid under the OPPS</w:t>
      </w:r>
      <w:r w:rsidR="007E0F9E">
        <w:rPr>
          <w:sz w:val="24"/>
        </w:rPr>
        <w:t>,</w:t>
      </w:r>
      <w:r w:rsidRPr="00CE6BE6" w:rsidR="00CE6BE6">
        <w:rPr>
          <w:sz w:val="24"/>
        </w:rPr>
        <w:t xml:space="preserve"> whereas now we are surveying all hospitals paid under the OPPS.</w:t>
      </w:r>
    </w:p>
    <w:p w:rsidR="008F1EB4" w:rsidRPr="0035720E" w:rsidP="00676606" w14:paraId="54B19F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1EB4" w:rsidRPr="0035720E" w:rsidP="00CD6567" w14:paraId="5218C580" w14:textId="7388AF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5.</w:t>
      </w:r>
      <w:r w:rsidRPr="0035720E">
        <w:rPr>
          <w:sz w:val="24"/>
        </w:rPr>
        <w:tab/>
      </w:r>
      <w:r w:rsidRPr="0035720E">
        <w:rPr>
          <w:sz w:val="24"/>
          <w:u w:val="single"/>
        </w:rPr>
        <w:t>Small Businesses</w:t>
      </w:r>
    </w:p>
    <w:p w:rsidR="006B4D64" w:rsidRPr="0035720E" w:rsidP="00676606" w14:paraId="1D79561A" w14:textId="5DAD030C">
      <w:pPr>
        <w:pStyle w:val="NormalWeb"/>
        <w:spacing w:after="120"/>
        <w:ind w:left="720"/>
        <w:contextualSpacing/>
      </w:pPr>
      <w:r w:rsidRPr="0035720E">
        <w:rPr>
          <w:spacing w:val="-12"/>
        </w:rPr>
        <w:t xml:space="preserve">Completion </w:t>
      </w:r>
      <w:r w:rsidRPr="0035720E">
        <w:rPr>
          <w:spacing w:val="4"/>
        </w:rPr>
        <w:t xml:space="preserve">of </w:t>
      </w:r>
      <w:r w:rsidRPr="0035720E" w:rsidR="00DC4413">
        <w:rPr>
          <w:spacing w:val="4"/>
        </w:rPr>
        <w:t>the survey</w:t>
      </w:r>
      <w:r w:rsidRPr="0035720E">
        <w:rPr>
          <w:spacing w:val="-3"/>
        </w:rPr>
        <w:t xml:space="preserve"> </w:t>
      </w:r>
      <w:r w:rsidRPr="0035720E">
        <w:t xml:space="preserve">may affect small entities, such </w:t>
      </w:r>
      <w:r w:rsidRPr="0035720E" w:rsidR="005F1513">
        <w:t>as small</w:t>
      </w:r>
      <w:r w:rsidRPr="0035720E">
        <w:t xml:space="preserve"> rural and urban hospitals. To minimize the burden, CMS has limited the specific information collected solely to the essential elements necessary to develop payment rates as statutorily </w:t>
      </w:r>
      <w:r w:rsidR="00CD6567">
        <w:t>authorized</w:t>
      </w:r>
      <w:r w:rsidRPr="0035720E">
        <w:t>.</w:t>
      </w:r>
      <w:r w:rsidRPr="0035720E" w:rsidR="0069480E">
        <w:t xml:space="preserve"> </w:t>
      </w:r>
    </w:p>
    <w:p w:rsidR="008F1EB4" w:rsidRPr="0035720E" w:rsidP="00676606" w14:paraId="717FC8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1EB4" w:rsidRPr="0035720E" w:rsidP="00CD6567" w14:paraId="3EB14ED2" w14:textId="4BB7A1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6.</w:t>
      </w:r>
      <w:r w:rsidRPr="0035720E">
        <w:rPr>
          <w:sz w:val="24"/>
        </w:rPr>
        <w:tab/>
      </w:r>
      <w:r w:rsidRPr="0035720E">
        <w:rPr>
          <w:sz w:val="24"/>
          <w:u w:val="single"/>
        </w:rPr>
        <w:t>Less Frequent Collection</w:t>
      </w:r>
    </w:p>
    <w:p w:rsidR="00DC255E" w:rsidRPr="0035720E" w:rsidP="00676606" w14:paraId="7DE212B2" w14:textId="060B422B">
      <w:pPr>
        <w:pStyle w:val="BodyText"/>
        <w:spacing w:before="0" w:after="120"/>
        <w:ind w:left="720"/>
        <w:contextualSpacing/>
      </w:pPr>
      <w:r w:rsidRPr="0035720E">
        <w:t xml:space="preserve">The </w:t>
      </w:r>
      <w:r w:rsidRPr="0035720E" w:rsidR="00DC4413">
        <w:t>survey</w:t>
      </w:r>
      <w:r w:rsidRPr="0035720E">
        <w:t xml:space="preserve"> is necessary to obtain acquisition cost data for use in setting payment rates for SCODs</w:t>
      </w:r>
      <w:r w:rsidRPr="0035720E" w:rsidR="00F467D4">
        <w:t>, and drugs and biologicals CMS historically treats as SCODS,</w:t>
      </w:r>
      <w:r w:rsidRPr="0035720E">
        <w:t xml:space="preserve"> acquired </w:t>
      </w:r>
      <w:r w:rsidRPr="0035720E" w:rsidR="00DC4413">
        <w:t xml:space="preserve">by hospitals paid </w:t>
      </w:r>
      <w:r w:rsidRPr="0035720E">
        <w:t xml:space="preserve">under the </w:t>
      </w:r>
      <w:r w:rsidRPr="0035720E" w:rsidR="00DC4413">
        <w:t>OPPS</w:t>
      </w:r>
      <w:r w:rsidRPr="0035720E">
        <w:t>. CMS believes that this survey will ensure that payment for these drugs is appropriate</w:t>
      </w:r>
      <w:r w:rsidR="004A3E83">
        <w:t>. A</w:t>
      </w:r>
      <w:r w:rsidRPr="0035720E">
        <w:t xml:space="preserve">s such, the collection of </w:t>
      </w:r>
      <w:r w:rsidRPr="0035720E" w:rsidR="002A11D3">
        <w:t>th</w:t>
      </w:r>
      <w:r w:rsidR="002A11D3">
        <w:t>ese</w:t>
      </w:r>
      <w:r w:rsidRPr="0035720E" w:rsidR="002A11D3">
        <w:t xml:space="preserve"> </w:t>
      </w:r>
      <w:r w:rsidRPr="0035720E">
        <w:t xml:space="preserve">data is essential. </w:t>
      </w:r>
      <w:r w:rsidR="004A3E83">
        <w:t xml:space="preserve"> </w:t>
      </w:r>
      <w:r w:rsidRPr="0035720E">
        <w:t xml:space="preserve">This survey will </w:t>
      </w:r>
      <w:r w:rsidRPr="0035720E" w:rsidR="00273918">
        <w:t>likely be conducted</w:t>
      </w:r>
      <w:r w:rsidRPr="0035720E">
        <w:t xml:space="preserve"> every </w:t>
      </w:r>
      <w:r w:rsidRPr="0035720E" w:rsidR="00273918">
        <w:t>four</w:t>
      </w:r>
      <w:r w:rsidRPr="0035720E">
        <w:t xml:space="preserve"> (</w:t>
      </w:r>
      <w:r w:rsidRPr="0035720E" w:rsidR="00273918">
        <w:t>4</w:t>
      </w:r>
      <w:r w:rsidRPr="0035720E">
        <w:t>) years</w:t>
      </w:r>
      <w:r w:rsidR="001274CF">
        <w:t>.</w:t>
      </w:r>
      <w:r w:rsidRPr="001274CF" w:rsidR="001274CF">
        <w:t xml:space="preserve"> </w:t>
      </w:r>
      <w:r w:rsidR="001274CF">
        <w:t xml:space="preserve">We believe that this frequency will appropriately balance </w:t>
      </w:r>
      <w:r w:rsidRPr="001274CF" w:rsidR="001274CF">
        <w:t xml:space="preserve">the burden </w:t>
      </w:r>
      <w:r w:rsidR="001274CF">
        <w:t xml:space="preserve">imposed </w:t>
      </w:r>
      <w:r w:rsidRPr="001274CF" w:rsidR="001274CF">
        <w:t xml:space="preserve">on hospitals </w:t>
      </w:r>
      <w:r w:rsidR="001274CF">
        <w:t xml:space="preserve">of completing the survey with </w:t>
      </w:r>
      <w:r w:rsidRPr="001274CF" w:rsidR="001274CF">
        <w:t xml:space="preserve">ensuring </w:t>
      </w:r>
      <w:r w:rsidR="001274CF">
        <w:t xml:space="preserve">that </w:t>
      </w:r>
      <w:r w:rsidRPr="001274CF" w:rsidR="001274CF">
        <w:t xml:space="preserve">we capture the required data to inform payment rates </w:t>
      </w:r>
      <w:r w:rsidR="001274CF">
        <w:t>under</w:t>
      </w:r>
      <w:r w:rsidRPr="0035720E">
        <w:t xml:space="preserve"> </w:t>
      </w:r>
      <w:r w:rsidR="00C70C27">
        <w:t xml:space="preserve">section </w:t>
      </w:r>
      <w:r w:rsidRPr="0035720E">
        <w:t xml:space="preserve">1833(t)(14)(D)(I)(ii) of the </w:t>
      </w:r>
      <w:r w:rsidRPr="0035720E" w:rsidR="002A11D3">
        <w:t>Act</w:t>
      </w:r>
      <w:r w:rsidR="002A11D3">
        <w:t>.</w:t>
      </w:r>
      <w:r w:rsidRPr="0035720E" w:rsidR="002A11D3">
        <w:t xml:space="preserve"> </w:t>
      </w:r>
      <w:r w:rsidR="002A11D3">
        <w:t>H</w:t>
      </w:r>
      <w:r w:rsidRPr="0035720E" w:rsidR="002A11D3">
        <w:t>owever</w:t>
      </w:r>
      <w:r w:rsidRPr="0035720E" w:rsidR="00273918">
        <w:t>, this</w:t>
      </w:r>
      <w:r w:rsidRPr="0035720E" w:rsidR="00C912B5">
        <w:t xml:space="preserve"> frequency is subject to revision based on the initial survey’s results</w:t>
      </w:r>
      <w:r w:rsidR="006C0C9E">
        <w:t xml:space="preserve"> </w:t>
      </w:r>
      <w:r w:rsidRPr="006C0C9E" w:rsidR="006C0C9E">
        <w:t>and other factors as appropriate</w:t>
      </w:r>
      <w:r w:rsidRPr="0035720E" w:rsidR="00C912B5">
        <w:t>.</w:t>
      </w:r>
      <w:r w:rsidRPr="0035720E" w:rsidR="00F467D4">
        <w:t xml:space="preserve"> This time frame also aligns with the approximate guidance provided by GAO in their original report, which states that a survey should be conducted once or twice per </w:t>
      </w:r>
      <w:r w:rsidRPr="0035720E" w:rsidR="00BC04D7">
        <w:t xml:space="preserve">decade. </w:t>
      </w:r>
    </w:p>
    <w:p w:rsidR="008F1EB4" w:rsidRPr="0035720E" w:rsidP="00676606" w14:paraId="5CAB93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1EB4" w:rsidRPr="0035720E" w:rsidP="00CD6567" w14:paraId="056D7D98" w14:textId="09A6A4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7.</w:t>
      </w:r>
      <w:r w:rsidRPr="0035720E">
        <w:rPr>
          <w:sz w:val="24"/>
        </w:rPr>
        <w:tab/>
      </w:r>
      <w:r w:rsidRPr="0035720E">
        <w:rPr>
          <w:sz w:val="24"/>
          <w:u w:val="single"/>
        </w:rPr>
        <w:t>Special Circumstances</w:t>
      </w:r>
    </w:p>
    <w:p w:rsidR="008F1EB4" w:rsidRPr="0035720E" w:rsidP="00676606" w14:paraId="38DC6393" w14:textId="1C9983D9">
      <w:pPr>
        <w:pStyle w:val="BodyText"/>
        <w:spacing w:before="0" w:after="120"/>
        <w:ind w:left="720"/>
        <w:contextualSpacing/>
      </w:pPr>
      <w:r w:rsidRPr="0035720E">
        <w:t>We are not requesting original documents of any kind. Furthermore, we are not requiring respondents to retain any records other than what hospitals already retain for drug</w:t>
      </w:r>
      <w:r w:rsidRPr="0035720E" w:rsidR="00F94DC7">
        <w:t xml:space="preserve"> acquisition</w:t>
      </w:r>
      <w:r w:rsidRPr="0035720E">
        <w:t xml:space="preserve">. The information collected via this survey tool is intended to be analyzed for suitability in determining payment amounts for </w:t>
      </w:r>
      <w:r w:rsidRPr="0035720E" w:rsidR="00F94DC7">
        <w:t xml:space="preserve">drugs paid under the Medicare </w:t>
      </w:r>
      <w:r w:rsidR="002A11D3">
        <w:t>OPPS</w:t>
      </w:r>
      <w:r w:rsidRPr="0035720E">
        <w:t xml:space="preserve">. This collection will not require the use of </w:t>
      </w:r>
      <w:r w:rsidRPr="0035720E" w:rsidR="002A11D3">
        <w:t xml:space="preserve">statistical </w:t>
      </w:r>
      <w:r w:rsidRPr="0035720E">
        <w:t xml:space="preserve">data classification or other large-scale data sorting procedures. The </w:t>
      </w:r>
      <w:r w:rsidR="006C0C9E">
        <w:t>Secretary</w:t>
      </w:r>
      <w:r w:rsidRPr="0035720E" w:rsidR="006C0C9E">
        <w:t xml:space="preserve"> </w:t>
      </w:r>
      <w:r w:rsidRPr="0035720E">
        <w:t xml:space="preserve">was given the authority to do this collection and collect this type of data under the law at section 1833(t)(14)(D)(ii). </w:t>
      </w:r>
      <w:r w:rsidRPr="0035720E" w:rsidR="0010616F">
        <w:t xml:space="preserve">CMS will maintain the confidentiality of any drug pricing </w:t>
      </w:r>
      <w:r w:rsidRPr="0035720E">
        <w:t>respondents submit</w:t>
      </w:r>
      <w:r w:rsidRPr="0035720E" w:rsidR="0010616F">
        <w:t xml:space="preserve"> as</w:t>
      </w:r>
      <w:r w:rsidRPr="0035720E">
        <w:t xml:space="preserve"> propri</w:t>
      </w:r>
      <w:r w:rsidRPr="0035720E">
        <w:softHyphen/>
        <w:t>etary or confidential to the extent permitted by law.</w:t>
      </w:r>
    </w:p>
    <w:p w:rsidR="008F1EB4" w:rsidRPr="0035720E" w:rsidP="00676606" w14:paraId="79E4C2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1EB4" w:rsidRPr="0035720E" w:rsidP="00CD6567" w14:paraId="658C7FB2" w14:textId="4EE9136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8.</w:t>
      </w:r>
      <w:r w:rsidRPr="0035720E">
        <w:rPr>
          <w:sz w:val="24"/>
        </w:rPr>
        <w:tab/>
      </w:r>
      <w:r w:rsidRPr="0035720E">
        <w:rPr>
          <w:sz w:val="24"/>
          <w:u w:val="single"/>
        </w:rPr>
        <w:t>Federal Register/Outside Consultation</w:t>
      </w:r>
    </w:p>
    <w:p w:rsidR="00C008C8" w:rsidRPr="0035720E" w:rsidP="00676606" w14:paraId="2A503DED" w14:textId="69A71E29">
      <w:pPr>
        <w:pStyle w:val="BodyText"/>
        <w:spacing w:before="0" w:after="120"/>
        <w:ind w:left="720"/>
        <w:contextualSpacing/>
      </w:pPr>
      <w:r w:rsidRPr="0035720E">
        <w:t xml:space="preserve">The 60-day Federal Register notice </w:t>
      </w:r>
      <w:r w:rsidRPr="00C84E52" w:rsidR="00C84E52">
        <w:t xml:space="preserve">as part of the CY 2026 OPPS </w:t>
      </w:r>
      <w:r w:rsidRPr="00C84E52" w:rsidR="00C3213D">
        <w:t xml:space="preserve">(CMS-1834-P) </w:t>
      </w:r>
      <w:r w:rsidRPr="00C84E52" w:rsidR="00C84E52">
        <w:t xml:space="preserve">notice of proposed rulemaking </w:t>
      </w:r>
      <w:r w:rsidRPr="00C84E52" w:rsidR="001628C0">
        <w:t>displayed on 07/</w:t>
      </w:r>
      <w:r w:rsidRPr="00C84E52" w:rsidR="00C84E52">
        <w:t>16</w:t>
      </w:r>
      <w:r w:rsidRPr="00C84E52" w:rsidR="001628C0">
        <w:t>/2025 and published on 07/</w:t>
      </w:r>
      <w:r w:rsidRPr="00C84E52" w:rsidR="00C84E52">
        <w:t>17</w:t>
      </w:r>
      <w:r w:rsidRPr="00C84E52" w:rsidR="001628C0">
        <w:t xml:space="preserve">/2025 (90 FR </w:t>
      </w:r>
      <w:r w:rsidRPr="00C84E52" w:rsidR="00C84E52">
        <w:t>33476</w:t>
      </w:r>
      <w:r w:rsidRPr="00C84E52" w:rsidR="001628C0">
        <w:t>)</w:t>
      </w:r>
      <w:r w:rsidRPr="00C84E52">
        <w:t>.</w:t>
      </w:r>
    </w:p>
    <w:p w:rsidR="008F1EB4" w:rsidRPr="0035720E" w:rsidP="00676606" w14:paraId="62492A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1EB4" w:rsidRPr="0035720E" w:rsidP="00CD6567" w14:paraId="469A9E76" w14:textId="1ACC72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9.</w:t>
      </w:r>
      <w:r w:rsidRPr="0035720E">
        <w:rPr>
          <w:sz w:val="24"/>
        </w:rPr>
        <w:tab/>
      </w:r>
      <w:r w:rsidRPr="0035720E">
        <w:rPr>
          <w:sz w:val="24"/>
          <w:u w:val="single"/>
        </w:rPr>
        <w:t>Payments/Gifts to Respondents</w:t>
      </w:r>
    </w:p>
    <w:p w:rsidR="004D0068" w:rsidRPr="0035720E" w:rsidP="00CD6567" w14:paraId="42C58E6E" w14:textId="3EAE3AA9">
      <w:pPr>
        <w:pStyle w:val="BodyText"/>
        <w:spacing w:after="120"/>
        <w:ind w:left="720"/>
        <w:contextualSpacing/>
      </w:pPr>
      <w:r w:rsidRPr="0035720E">
        <w:t>No payments or gifts are made to respondents.</w:t>
      </w:r>
      <w:r w:rsidR="007C3154">
        <w:t xml:space="preserve"> The acquisition cost data received as a result of respondents’ completion of the survey </w:t>
      </w:r>
      <w:r w:rsidR="00310C5D">
        <w:t xml:space="preserve">is intended to be used to inform policy making beginning with the CY 2027 OPPS/ASC proposed rule. </w:t>
      </w:r>
    </w:p>
    <w:p w:rsidR="008F1EB4" w:rsidRPr="0035720E" w:rsidP="00676606" w14:paraId="74EE8D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0F3AF4" w:rsidRPr="0035720E" w:rsidP="00CD6567" w14:paraId="59F3F333" w14:textId="496F6F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10.</w:t>
      </w:r>
      <w:r w:rsidRPr="0035720E">
        <w:rPr>
          <w:sz w:val="24"/>
        </w:rPr>
        <w:tab/>
      </w:r>
      <w:r w:rsidRPr="0035720E">
        <w:rPr>
          <w:sz w:val="24"/>
          <w:u w:val="single"/>
        </w:rPr>
        <w:t>Confidentiality</w:t>
      </w:r>
    </w:p>
    <w:p w:rsidR="00802066" w:rsidP="00B4666A" w14:paraId="1F2D91DC" w14:textId="48D86B0D">
      <w:pPr>
        <w:pStyle w:val="BodyText"/>
        <w:spacing w:before="0" w:after="120"/>
        <w:ind w:left="720"/>
        <w:contextualSpacing/>
      </w:pPr>
      <w:r w:rsidRPr="0035720E">
        <w:t xml:space="preserve">CMS pledges </w:t>
      </w:r>
      <w:r w:rsidR="00785984">
        <w:t>privacy</w:t>
      </w:r>
      <w:r w:rsidRPr="0035720E">
        <w:t xml:space="preserve"> to the extent required by law. </w:t>
      </w:r>
    </w:p>
    <w:p w:rsidR="00C008C8" w:rsidRPr="0035720E" w:rsidP="00676606" w14:paraId="6E1C9BD0" w14:textId="009F09E4">
      <w:pPr>
        <w:pStyle w:val="BodyText"/>
        <w:spacing w:before="0" w:after="120"/>
        <w:ind w:left="720"/>
        <w:contextualSpacing/>
      </w:pPr>
      <w:r w:rsidRPr="0035720E">
        <w:t xml:space="preserve">  </w:t>
      </w:r>
    </w:p>
    <w:p w:rsidR="004A3E83" w:rsidRPr="0035720E" w:rsidP="004A3E83" w14:paraId="3CCFC8C6" w14:textId="4863D201">
      <w:pPr>
        <w:pStyle w:val="BodyText"/>
        <w:spacing w:before="0" w:after="120"/>
        <w:ind w:left="720"/>
        <w:contextualSpacing/>
        <w:rPr>
          <w:spacing w:val="2"/>
        </w:rPr>
      </w:pPr>
      <w:r>
        <w:rPr>
          <w:spacing w:val="2"/>
        </w:rPr>
        <w:t xml:space="preserve">Only </w:t>
      </w:r>
      <w:r w:rsidR="006C0C9E">
        <w:rPr>
          <w:spacing w:val="2"/>
        </w:rPr>
        <w:t xml:space="preserve">the Department of Health and Human Services (HHS), The Executive Office of the President (EOP), and </w:t>
      </w:r>
      <w:r>
        <w:rPr>
          <w:spacing w:val="2"/>
        </w:rPr>
        <w:t>CMS and their contractor</w:t>
      </w:r>
      <w:r w:rsidR="006C0C9E">
        <w:rPr>
          <w:spacing w:val="2"/>
        </w:rPr>
        <w:t>(s)</w:t>
      </w:r>
      <w:r>
        <w:rPr>
          <w:spacing w:val="2"/>
        </w:rPr>
        <w:t xml:space="preserve"> will have access to these data.  </w:t>
      </w:r>
      <w:r w:rsidRPr="0035720E" w:rsidR="00C008C8">
        <w:rPr>
          <w:spacing w:val="2"/>
        </w:rPr>
        <w:t xml:space="preserve">In accordance with section 1833(t)(14)(A)(iii)(I) of the Act, the agency plans to use the data collected to determine acquisition costs for SCODs. Following the collection of data and its analysis, the aggregate results of the survey will be </w:t>
      </w:r>
      <w:r w:rsidRPr="0035720E" w:rsidR="001D4ACC">
        <w:rPr>
          <w:spacing w:val="2"/>
        </w:rPr>
        <w:t>considered</w:t>
      </w:r>
      <w:r w:rsidRPr="00164AD0" w:rsidR="00C008C8">
        <w:t xml:space="preserve"> </w:t>
      </w:r>
      <w:r w:rsidRPr="0035720E" w:rsidR="001D4ACC">
        <w:rPr>
          <w:spacing w:val="2"/>
        </w:rPr>
        <w:t>when determining</w:t>
      </w:r>
      <w:r w:rsidRPr="0035720E" w:rsidR="00C008C8">
        <w:rPr>
          <w:spacing w:val="2"/>
        </w:rPr>
        <w:t xml:space="preserve"> proposed payment rates. The proposed payment rates and calculations with aggregate data </w:t>
      </w:r>
      <w:r w:rsidR="00C5342F">
        <w:rPr>
          <w:spacing w:val="2"/>
        </w:rPr>
        <w:t>c</w:t>
      </w:r>
      <w:r w:rsidRPr="0035720E" w:rsidR="00C008C8">
        <w:rPr>
          <w:spacing w:val="2"/>
        </w:rPr>
        <w:t>ould appear in notice and comment rulemaking; however, the confidentiality of individual hospitals and proprietary information would be maintained</w:t>
      </w:r>
      <w:r>
        <w:rPr>
          <w:spacing w:val="2"/>
        </w:rPr>
        <w:t xml:space="preserve"> to the extent permitted by law</w:t>
      </w:r>
      <w:r w:rsidRPr="0035720E">
        <w:rPr>
          <w:spacing w:val="2"/>
        </w:rPr>
        <w:t>.</w:t>
      </w:r>
    </w:p>
    <w:p w:rsidR="00C008C8" w:rsidRPr="0035720E" w:rsidP="358AD1D3" w14:paraId="5A92658F" w14:textId="0A5635CA">
      <w:pPr>
        <w:pStyle w:val="BodyText"/>
        <w:spacing w:before="0" w:after="120"/>
        <w:ind w:left="720"/>
        <w:contextualSpacing/>
        <w:rPr>
          <w:spacing w:val="2"/>
        </w:rPr>
      </w:pPr>
    </w:p>
    <w:p w:rsidR="008F1EB4" w:rsidRPr="0035720E" w:rsidP="00676606" w14:paraId="04F4F0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1EB4" w:rsidRPr="0035720E" w:rsidP="00676606" w14:paraId="43A90A65" w14:textId="3A0DFA1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11.</w:t>
      </w:r>
      <w:r w:rsidRPr="0035720E">
        <w:rPr>
          <w:sz w:val="24"/>
        </w:rPr>
        <w:tab/>
      </w:r>
      <w:r w:rsidRPr="0035720E" w:rsidR="00F42E62">
        <w:rPr>
          <w:sz w:val="24"/>
          <w:u w:val="single"/>
        </w:rPr>
        <w:t>Sensitive Questions</w:t>
      </w:r>
    </w:p>
    <w:p w:rsidR="008F1EB4" w:rsidRPr="0035720E" w:rsidP="00676606" w14:paraId="470093F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4A3E83" w:rsidRPr="0035720E" w:rsidP="004A3E83" w14:paraId="48C2258C" w14:textId="58D054C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color w:val="FF0000"/>
        </w:rPr>
      </w:pPr>
      <w:r w:rsidRPr="0035720E">
        <w:rPr>
          <w:sz w:val="24"/>
        </w:rPr>
        <w:t>To the extent that acquisition prices for certain SCODs are deemed sensitive and/or confidential, we do not intend to make such prices available in an individually identifiable manner. As noted in section 10 above, we pledge confidentiality to the extent required by law. A</w:t>
      </w:r>
      <w:r w:rsidRPr="0035720E" w:rsidR="0094463C">
        <w:rPr>
          <w:sz w:val="24"/>
        </w:rPr>
        <w:t xml:space="preserve">cquisition cost data collected through a survey is directed </w:t>
      </w:r>
      <w:r>
        <w:rPr>
          <w:sz w:val="24"/>
        </w:rPr>
        <w:t xml:space="preserve">by sections </w:t>
      </w:r>
      <w:r w:rsidRPr="0035720E">
        <w:rPr>
          <w:sz w:val="24"/>
        </w:rPr>
        <w:t>1833(t)(14)(A)(iii)(I) and 1833(t)(14)(D)(ii)</w:t>
      </w:r>
      <w:r>
        <w:rPr>
          <w:sz w:val="24"/>
        </w:rPr>
        <w:t xml:space="preserve"> of the Social Security Act</w:t>
      </w:r>
      <w:r w:rsidRPr="0035720E">
        <w:rPr>
          <w:sz w:val="24"/>
        </w:rPr>
        <w:t xml:space="preserve">. CMS </w:t>
      </w:r>
      <w:r>
        <w:rPr>
          <w:sz w:val="24"/>
        </w:rPr>
        <w:t xml:space="preserve">is authorized to </w:t>
      </w:r>
      <w:r w:rsidRPr="0035720E">
        <w:rPr>
          <w:sz w:val="24"/>
        </w:rPr>
        <w:t>obtain the data to inform payment for drugs paid under the OPPS.</w:t>
      </w:r>
    </w:p>
    <w:p w:rsidR="004A3E83" w:rsidRPr="0035720E" w:rsidP="004A3E83" w14:paraId="5B2736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1EB4" w:rsidRPr="0035720E" w:rsidP="004A3E83" w14:paraId="3D0B1B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p>
    <w:p w:rsidR="008F1EB4" w:rsidRPr="0035720E" w:rsidP="00D17E10" w14:paraId="0607D4B4" w14:textId="5032E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12.</w:t>
      </w:r>
      <w:r w:rsidRPr="0035720E">
        <w:rPr>
          <w:sz w:val="24"/>
        </w:rPr>
        <w:tab/>
      </w:r>
      <w:r w:rsidRPr="0035720E">
        <w:rPr>
          <w:sz w:val="24"/>
          <w:u w:val="single"/>
        </w:rPr>
        <w:t>Burden Estimates (Hours &amp; Wages)</w:t>
      </w:r>
    </w:p>
    <w:p w:rsidR="006E5C69" w:rsidP="006E5C69" w14:paraId="72D84D05" w14:textId="761ACA38">
      <w:pPr>
        <w:pStyle w:val="BodyText"/>
        <w:spacing w:after="120"/>
        <w:ind w:left="720"/>
        <w:contextualSpacing/>
        <w:rPr>
          <w:spacing w:val="-20"/>
        </w:rPr>
      </w:pPr>
      <w:r w:rsidRPr="00802066">
        <w:t xml:space="preserve">To derive average costs, we used data from the </w:t>
      </w:r>
      <w:r w:rsidRPr="008D3E7D">
        <w:t>Occupational Employment and Wage Statistics (</w:t>
      </w:r>
      <w:hyperlink r:id="rId11" w:anchor="/industry/622000" w:history="1">
        <w:r w:rsidRPr="008D3E7D">
          <w:rPr>
            <w:rStyle w:val="Hyperlink"/>
          </w:rPr>
          <w:t>Hospital-Specific Wages</w:t>
        </w:r>
      </w:hyperlink>
      <w:r w:rsidRPr="008D3E7D">
        <w:t>)</w:t>
      </w:r>
      <w:r w:rsidRPr="00802066">
        <w:t xml:space="preserve"> for all salary estimates. In </w:t>
      </w:r>
      <w:r w:rsidRPr="00802066">
        <w:rPr>
          <w:spacing w:val="-8"/>
        </w:rPr>
        <w:t>this</w:t>
      </w:r>
      <w:r w:rsidRPr="00802066">
        <w:rPr>
          <w:spacing w:val="-10"/>
        </w:rPr>
        <w:t xml:space="preserve"> </w:t>
      </w:r>
      <w:r w:rsidRPr="00802066">
        <w:t>regard,</w:t>
      </w:r>
      <w:r w:rsidRPr="00802066">
        <w:rPr>
          <w:spacing w:val="8"/>
        </w:rPr>
        <w:t xml:space="preserve"> </w:t>
      </w:r>
      <w:r w:rsidRPr="00802066">
        <w:rPr>
          <w:spacing w:val="7"/>
        </w:rPr>
        <w:t>the</w:t>
      </w:r>
      <w:r w:rsidRPr="00802066">
        <w:rPr>
          <w:spacing w:val="-7"/>
        </w:rPr>
        <w:t xml:space="preserve"> </w:t>
      </w:r>
      <w:r w:rsidRPr="00802066">
        <w:rPr>
          <w:spacing w:val="-6"/>
        </w:rPr>
        <w:t>following</w:t>
      </w:r>
      <w:r w:rsidRPr="00802066">
        <w:rPr>
          <w:spacing w:val="-21"/>
        </w:rPr>
        <w:t xml:space="preserve"> </w:t>
      </w:r>
      <w:r w:rsidRPr="00802066">
        <w:t>table</w:t>
      </w:r>
      <w:r w:rsidRPr="00802066">
        <w:rPr>
          <w:spacing w:val="-23"/>
        </w:rPr>
        <w:t xml:space="preserve"> </w:t>
      </w:r>
      <w:r w:rsidRPr="00802066">
        <w:t>presents</w:t>
      </w:r>
      <w:r w:rsidRPr="00802066">
        <w:rPr>
          <w:spacing w:val="-26"/>
        </w:rPr>
        <w:t xml:space="preserve"> </w:t>
      </w:r>
      <w:r w:rsidRPr="00802066">
        <w:rPr>
          <w:spacing w:val="7"/>
        </w:rPr>
        <w:t>the</w:t>
      </w:r>
      <w:r w:rsidRPr="00802066">
        <w:rPr>
          <w:spacing w:val="-23"/>
        </w:rPr>
        <w:t xml:space="preserve"> </w:t>
      </w:r>
      <w:r w:rsidRPr="00802066">
        <w:t>mean</w:t>
      </w:r>
      <w:r w:rsidRPr="00802066">
        <w:rPr>
          <w:spacing w:val="-4"/>
        </w:rPr>
        <w:t xml:space="preserve"> </w:t>
      </w:r>
      <w:r w:rsidRPr="00802066">
        <w:rPr>
          <w:spacing w:val="-13"/>
        </w:rPr>
        <w:t>hourly</w:t>
      </w:r>
      <w:r w:rsidRPr="00802066">
        <w:rPr>
          <w:spacing w:val="-21"/>
        </w:rPr>
        <w:t xml:space="preserve"> </w:t>
      </w:r>
      <w:r w:rsidRPr="00802066">
        <w:rPr>
          <w:spacing w:val="-6"/>
        </w:rPr>
        <w:t>wage,</w:t>
      </w:r>
      <w:r w:rsidRPr="00802066">
        <w:rPr>
          <w:spacing w:val="24"/>
        </w:rPr>
        <w:t xml:space="preserve"> </w:t>
      </w:r>
      <w:r w:rsidRPr="00802066">
        <w:rPr>
          <w:spacing w:val="7"/>
        </w:rPr>
        <w:t>the</w:t>
      </w:r>
      <w:r w:rsidRPr="00802066">
        <w:rPr>
          <w:spacing w:val="-7"/>
        </w:rPr>
        <w:t xml:space="preserve"> </w:t>
      </w:r>
      <w:r w:rsidRPr="00802066">
        <w:t>cost</w:t>
      </w:r>
      <w:r w:rsidRPr="00802066">
        <w:rPr>
          <w:spacing w:val="2"/>
        </w:rPr>
        <w:t xml:space="preserve"> </w:t>
      </w:r>
      <w:r w:rsidRPr="00802066">
        <w:rPr>
          <w:spacing w:val="4"/>
        </w:rPr>
        <w:t>of</w:t>
      </w:r>
      <w:r w:rsidRPr="00802066">
        <w:rPr>
          <w:spacing w:val="-12"/>
        </w:rPr>
        <w:t xml:space="preserve"> </w:t>
      </w:r>
      <w:r w:rsidRPr="00802066">
        <w:rPr>
          <w:spacing w:val="-4"/>
        </w:rPr>
        <w:t>fringe</w:t>
      </w:r>
      <w:r w:rsidRPr="00802066">
        <w:rPr>
          <w:spacing w:val="-23"/>
        </w:rPr>
        <w:t xml:space="preserve"> </w:t>
      </w:r>
      <w:r w:rsidRPr="00802066">
        <w:rPr>
          <w:spacing w:val="-3"/>
        </w:rPr>
        <w:t xml:space="preserve">benefits, </w:t>
      </w:r>
      <w:r w:rsidRPr="00802066">
        <w:rPr>
          <w:spacing w:val="4"/>
        </w:rPr>
        <w:t>and</w:t>
      </w:r>
      <w:r w:rsidRPr="00802066">
        <w:rPr>
          <w:spacing w:val="-20"/>
        </w:rPr>
        <w:t xml:space="preserve"> </w:t>
      </w:r>
      <w:r w:rsidRPr="00802066">
        <w:rPr>
          <w:spacing w:val="7"/>
        </w:rPr>
        <w:t>the</w:t>
      </w:r>
      <w:r w:rsidRPr="00802066">
        <w:rPr>
          <w:spacing w:val="-7"/>
        </w:rPr>
        <w:t xml:space="preserve"> </w:t>
      </w:r>
      <w:r w:rsidRPr="00802066">
        <w:t>adjusted</w:t>
      </w:r>
      <w:r w:rsidRPr="00802066">
        <w:rPr>
          <w:spacing w:val="-21"/>
        </w:rPr>
        <w:t xml:space="preserve"> </w:t>
      </w:r>
      <w:r w:rsidRPr="00802066">
        <w:t>hourly</w:t>
      </w:r>
      <w:r w:rsidRPr="00802066">
        <w:rPr>
          <w:spacing w:val="-21"/>
        </w:rPr>
        <w:t xml:space="preserve"> wage</w:t>
      </w:r>
      <w:r w:rsidRPr="00802066">
        <w:rPr>
          <w:spacing w:val="10"/>
        </w:rPr>
        <w:t xml:space="preserve"> </w:t>
      </w:r>
      <w:r w:rsidRPr="00802066">
        <w:rPr>
          <w:spacing w:val="2"/>
        </w:rPr>
        <w:t>for</w:t>
      </w:r>
      <w:r w:rsidRPr="00802066">
        <w:rPr>
          <w:spacing w:val="-12"/>
        </w:rPr>
        <w:t xml:space="preserve"> </w:t>
      </w:r>
      <w:r w:rsidRPr="00802066">
        <w:t>providers</w:t>
      </w:r>
      <w:r w:rsidRPr="00802066">
        <w:rPr>
          <w:spacing w:val="-26"/>
        </w:rPr>
        <w:t xml:space="preserve"> </w:t>
      </w:r>
      <w:r w:rsidRPr="00802066">
        <w:rPr>
          <w:spacing w:val="-6"/>
        </w:rPr>
        <w:t>that</w:t>
      </w:r>
      <w:r w:rsidRPr="00802066">
        <w:rPr>
          <w:spacing w:val="-15"/>
        </w:rPr>
        <w:t xml:space="preserve"> </w:t>
      </w:r>
      <w:r w:rsidRPr="00802066">
        <w:t>are</w:t>
      </w:r>
      <w:r w:rsidRPr="00802066">
        <w:rPr>
          <w:spacing w:val="-7"/>
        </w:rPr>
        <w:t xml:space="preserve"> </w:t>
      </w:r>
      <w:r w:rsidRPr="00802066">
        <w:rPr>
          <w:spacing w:val="-5"/>
        </w:rPr>
        <w:t>responsible</w:t>
      </w:r>
      <w:r w:rsidRPr="00802066">
        <w:rPr>
          <w:spacing w:val="-23"/>
        </w:rPr>
        <w:t xml:space="preserve"> </w:t>
      </w:r>
      <w:r w:rsidRPr="00802066">
        <w:rPr>
          <w:spacing w:val="2"/>
        </w:rPr>
        <w:t>for</w:t>
      </w:r>
      <w:r w:rsidRPr="00802066">
        <w:rPr>
          <w:spacing w:val="-12"/>
        </w:rPr>
        <w:t xml:space="preserve"> </w:t>
      </w:r>
      <w:r w:rsidRPr="00802066">
        <w:rPr>
          <w:spacing w:val="-7"/>
        </w:rPr>
        <w:t>completing</w:t>
      </w:r>
      <w:r w:rsidRPr="00802066">
        <w:rPr>
          <w:spacing w:val="-20"/>
        </w:rPr>
        <w:t xml:space="preserve"> </w:t>
      </w:r>
      <w:r>
        <w:rPr>
          <w:spacing w:val="-20"/>
        </w:rPr>
        <w:t>the survey.</w:t>
      </w:r>
      <w:r>
        <w:rPr>
          <w:spacing w:val="-20"/>
        </w:rPr>
        <w:t xml:space="preserve"> </w:t>
      </w:r>
    </w:p>
    <w:p w:rsidR="00386E28" w:rsidP="00386E28" w14:paraId="210067F4" w14:textId="77777777">
      <w:pPr>
        <w:pStyle w:val="BodyText"/>
        <w:spacing w:after="120"/>
        <w:ind w:left="720"/>
        <w:contextualSpacing/>
        <w:rPr>
          <w:rFonts w:eastAsia="Calibri"/>
        </w:rPr>
      </w:pPr>
      <w:bookmarkStart w:id="5" w:name="_Hlk202172251"/>
    </w:p>
    <w:p w:rsidR="006E5C69" w:rsidP="006E5C69" w14:paraId="38453166" w14:textId="71BD8B3E">
      <w:pPr>
        <w:pStyle w:val="BodyText"/>
        <w:spacing w:after="120"/>
        <w:ind w:left="720"/>
        <w:contextualSpacing/>
        <w:rPr>
          <w:spacing w:val="-20"/>
        </w:rPr>
      </w:pPr>
      <w:r>
        <w:rPr>
          <w:rFonts w:eastAsia="Calibri"/>
        </w:rPr>
        <w:t xml:space="preserve">We estimated </w:t>
      </w:r>
      <w:r w:rsidRPr="00F200F9">
        <w:rPr>
          <w:rFonts w:eastAsia="Calibri"/>
        </w:rPr>
        <w:t>73.5</w:t>
      </w:r>
      <w:r>
        <w:rPr>
          <w:rFonts w:eastAsia="Calibri"/>
        </w:rPr>
        <w:t xml:space="preserve"> hours to complete the survey by aggregating time from the four roles that are most likely to be responsible. These roles are described below:</w:t>
      </w:r>
      <w:bookmarkEnd w:id="5"/>
    </w:p>
    <w:p w:rsidR="006E5C69" w:rsidRPr="008D3E7D" w:rsidP="006E5C69" w14:paraId="66C6D872" w14:textId="77777777">
      <w:pPr>
        <w:pStyle w:val="BodyText"/>
        <w:numPr>
          <w:ilvl w:val="0"/>
          <w:numId w:val="1"/>
        </w:numPr>
        <w:spacing w:after="120"/>
      </w:pPr>
      <w:r w:rsidRPr="008D3E7D">
        <w:t xml:space="preserve">A </w:t>
      </w:r>
      <w:r w:rsidRPr="008D3E7D">
        <w:rPr>
          <w:b/>
          <w:bCs/>
        </w:rPr>
        <w:t>Top Executive</w:t>
      </w:r>
      <w:r w:rsidRPr="008D3E7D">
        <w:t xml:space="preserve"> (11-1000) will </w:t>
      </w:r>
      <w:r>
        <w:t xml:space="preserve">likely </w:t>
      </w:r>
      <w:r w:rsidRPr="008D3E7D">
        <w:t xml:space="preserve">review the survey request and designate a Submitter prior to survey distribution. </w:t>
      </w:r>
    </w:p>
    <w:p w:rsidR="006E5C69" w:rsidRPr="008D3E7D" w:rsidP="006E5C69" w14:paraId="756A77BC" w14:textId="77777777">
      <w:pPr>
        <w:pStyle w:val="BodyText"/>
        <w:numPr>
          <w:ilvl w:val="0"/>
          <w:numId w:val="1"/>
        </w:numPr>
        <w:spacing w:after="120"/>
      </w:pPr>
      <w:r w:rsidRPr="008D3E7D">
        <w:t xml:space="preserve">A </w:t>
      </w:r>
      <w:r w:rsidRPr="008D3E7D">
        <w:rPr>
          <w:b/>
          <w:bCs/>
        </w:rPr>
        <w:t>Pharmacy Technician</w:t>
      </w:r>
      <w:r w:rsidRPr="008D3E7D">
        <w:t xml:space="preserve"> (29-1051) will </w:t>
      </w:r>
      <w:r>
        <w:t xml:space="preserve">likely </w:t>
      </w:r>
      <w:r w:rsidRPr="008D3E7D">
        <w:t xml:space="preserve">register for the module and apply to fill out the survey. Once the survey is distributed, the Pharmacy Technician reviews the survey. Then the Pharmacy Technician requests data from suppliers, and/or pulls data from internal systems, ensures data are in the appropriate format, manually enters data OR uploads data into system, reviews data, makes corrections as needed, and certifies data. </w:t>
      </w:r>
    </w:p>
    <w:p w:rsidR="006E5C69" w:rsidRPr="008D3E7D" w:rsidP="006E5C69" w14:paraId="10805DD6" w14:textId="77777777">
      <w:pPr>
        <w:pStyle w:val="BodyText"/>
        <w:numPr>
          <w:ilvl w:val="0"/>
          <w:numId w:val="1"/>
        </w:numPr>
        <w:spacing w:after="120"/>
      </w:pPr>
      <w:r w:rsidRPr="008D3E7D">
        <w:t xml:space="preserve">A </w:t>
      </w:r>
      <w:r w:rsidRPr="008D3E7D">
        <w:rPr>
          <w:b/>
          <w:bCs/>
        </w:rPr>
        <w:t>Lawyer</w:t>
      </w:r>
      <w:r w:rsidRPr="008D3E7D">
        <w:t xml:space="preserve"> (23-1011) will </w:t>
      </w:r>
      <w:r>
        <w:t xml:space="preserve">likely </w:t>
      </w:r>
      <w:r w:rsidRPr="008D3E7D">
        <w:t xml:space="preserve">review the survey request, the survey, and </w:t>
      </w:r>
      <w:r w:rsidRPr="008D3E7D">
        <w:t xml:space="preserve">requirements for compliance. </w:t>
      </w:r>
    </w:p>
    <w:p w:rsidR="006E5C69" w:rsidRPr="00802066" w:rsidP="006E5C69" w14:paraId="279C9C02" w14:textId="77777777">
      <w:pPr>
        <w:pStyle w:val="BodyText"/>
        <w:numPr>
          <w:ilvl w:val="0"/>
          <w:numId w:val="1"/>
        </w:numPr>
        <w:spacing w:after="120"/>
        <w:contextualSpacing/>
      </w:pPr>
      <w:r w:rsidRPr="008D3E7D">
        <w:t xml:space="preserve">A </w:t>
      </w:r>
      <w:r w:rsidRPr="008D3E7D">
        <w:rPr>
          <w:b/>
          <w:bCs/>
        </w:rPr>
        <w:t>Pharmacist</w:t>
      </w:r>
      <w:r w:rsidRPr="008D3E7D">
        <w:t xml:space="preserve"> (29-2052) will </w:t>
      </w:r>
      <w:r>
        <w:t xml:space="preserve">likely </w:t>
      </w:r>
      <w:r w:rsidRPr="008D3E7D">
        <w:t xml:space="preserve">review the survey request and data that are pulled by the Pharmacy Technician. </w:t>
      </w:r>
    </w:p>
    <w:p w:rsidR="006E5C69" w:rsidP="006E5C69" w14:paraId="280F0A4D" w14:textId="77777777">
      <w:pPr>
        <w:pStyle w:val="BodyText"/>
        <w:spacing w:after="120"/>
        <w:ind w:left="720"/>
        <w:contextualSpacing/>
        <w:rPr>
          <w:spacing w:val="-20"/>
        </w:rPr>
      </w:pPr>
    </w:p>
    <w:p w:rsidR="006E5C69" w:rsidP="006E5C69" w14:paraId="551C6420" w14:textId="77777777">
      <w:pPr>
        <w:pStyle w:val="Caption"/>
        <w:spacing w:before="0" w:after="120"/>
        <w:ind w:left="432"/>
        <w:contextualSpacing/>
        <w:rPr>
          <w:color w:val="auto"/>
        </w:rPr>
      </w:pPr>
      <w:r w:rsidRPr="00802066">
        <w:rPr>
          <w:color w:val="auto"/>
        </w:rPr>
        <w:t xml:space="preserve">Table </w:t>
      </w:r>
      <w:r w:rsidRPr="00802066">
        <w:rPr>
          <w:color w:val="auto"/>
        </w:rPr>
        <w:fldChar w:fldCharType="begin"/>
      </w:r>
      <w:r w:rsidRPr="00802066">
        <w:rPr>
          <w:color w:val="auto"/>
        </w:rPr>
        <w:instrText xml:space="preserve"> SEQ Table \* ARABIC </w:instrText>
      </w:r>
      <w:r w:rsidRPr="00802066">
        <w:rPr>
          <w:color w:val="auto"/>
        </w:rPr>
        <w:fldChar w:fldCharType="separate"/>
      </w:r>
      <w:r w:rsidRPr="00802066">
        <w:rPr>
          <w:noProof/>
          <w:color w:val="auto"/>
        </w:rPr>
        <w:t>1</w:t>
      </w:r>
      <w:r w:rsidRPr="00802066">
        <w:rPr>
          <w:noProof/>
          <w:color w:val="auto"/>
        </w:rPr>
        <w:fldChar w:fldCharType="end"/>
      </w:r>
      <w:r w:rsidRPr="00802066">
        <w:rPr>
          <w:color w:val="auto"/>
        </w:rPr>
        <w:t>. Salary Estimates for Providers Completing the Survey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70"/>
        <w:gridCol w:w="1350"/>
        <w:gridCol w:w="1890"/>
        <w:gridCol w:w="2070"/>
        <w:gridCol w:w="1800"/>
      </w:tblGrid>
      <w:tr w14:paraId="29C258D3" w14:textId="77777777" w:rsidTr="000F15D0">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cantSplit/>
          <w:tblHeader/>
          <w:jc w:val="center"/>
        </w:trPr>
        <w:tc>
          <w:tcPr>
            <w:tcW w:w="197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6E5C69" w:rsidRPr="008D3E7D" w:rsidP="000F15D0" w14:paraId="3D39FDA9" w14:textId="77777777">
            <w:pPr>
              <w:pStyle w:val="Tableheaderrow"/>
              <w:spacing w:after="120"/>
              <w:contextualSpacing/>
              <w:rPr>
                <w:szCs w:val="24"/>
              </w:rPr>
            </w:pPr>
            <w:r w:rsidRPr="008D3E7D">
              <w:rPr>
                <w:szCs w:val="24"/>
              </w:rPr>
              <w:t>Average Hourly Rate Analysis</w:t>
            </w:r>
          </w:p>
        </w:tc>
        <w:tc>
          <w:tcPr>
            <w:tcW w:w="135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6E5C69" w:rsidRPr="008D3E7D" w:rsidP="000F15D0" w14:paraId="74C514A8" w14:textId="77777777">
            <w:pPr>
              <w:pStyle w:val="Tableheaderrow"/>
              <w:spacing w:after="120"/>
              <w:contextualSpacing/>
              <w:rPr>
                <w:szCs w:val="24"/>
              </w:rPr>
            </w:pPr>
            <w:r w:rsidRPr="008D3E7D">
              <w:rPr>
                <w:szCs w:val="24"/>
              </w:rPr>
              <w:t>Hours per Response</w:t>
            </w:r>
          </w:p>
        </w:tc>
        <w:tc>
          <w:tcPr>
            <w:tcW w:w="189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6E5C69" w:rsidRPr="008D3E7D" w:rsidP="000F15D0" w14:paraId="47B6702F" w14:textId="77777777">
            <w:pPr>
              <w:pStyle w:val="Tableheaderrow"/>
              <w:spacing w:after="120"/>
              <w:contextualSpacing/>
              <w:rPr>
                <w:szCs w:val="24"/>
              </w:rPr>
            </w:pPr>
            <w:r w:rsidRPr="008D3E7D">
              <w:rPr>
                <w:szCs w:val="24"/>
              </w:rPr>
              <w:t>BLS Cost per Hour</w:t>
            </w:r>
            <w:r>
              <w:rPr>
                <w:szCs w:val="24"/>
              </w:rPr>
              <w:t xml:space="preserve"> ($)</w:t>
            </w:r>
          </w:p>
        </w:tc>
        <w:tc>
          <w:tcPr>
            <w:tcW w:w="207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6E5C69" w:rsidRPr="008D3E7D" w:rsidP="000F15D0" w14:paraId="3CFA9E5B" w14:textId="77777777">
            <w:pPr>
              <w:pStyle w:val="Tableheaderrow"/>
              <w:spacing w:after="120"/>
              <w:contextualSpacing/>
              <w:rPr>
                <w:szCs w:val="24"/>
              </w:rPr>
            </w:pPr>
            <w:r w:rsidRPr="008D3E7D">
              <w:rPr>
                <w:szCs w:val="24"/>
              </w:rPr>
              <w:t>Cost Per Hour with Overhead &amp; Fringes</w:t>
            </w:r>
            <w:r>
              <w:rPr>
                <w:szCs w:val="24"/>
              </w:rPr>
              <w:t xml:space="preserve"> ($)</w:t>
            </w:r>
          </w:p>
        </w:tc>
        <w:tc>
          <w:tcPr>
            <w:tcW w:w="1800" w:type="dxa"/>
            <w:tcBorders>
              <w:top w:val="single" w:sz="6" w:space="0" w:color="000000"/>
              <w:left w:val="single" w:sz="6" w:space="0" w:color="000000"/>
              <w:bottom w:val="single" w:sz="6" w:space="0" w:color="000000"/>
              <w:right w:val="single" w:sz="6" w:space="0" w:color="000000"/>
            </w:tcBorders>
            <w:shd w:val="clear" w:color="auto" w:fill="F2F2F2"/>
            <w:vAlign w:val="center"/>
          </w:tcPr>
          <w:p w:rsidR="006E5C69" w:rsidRPr="008D3E7D" w:rsidP="000F15D0" w14:paraId="7599D662" w14:textId="77777777">
            <w:pPr>
              <w:pStyle w:val="Tableheaderrow"/>
              <w:spacing w:after="120"/>
              <w:contextualSpacing/>
              <w:rPr>
                <w:szCs w:val="24"/>
              </w:rPr>
            </w:pPr>
            <w:r w:rsidRPr="008D3E7D">
              <w:rPr>
                <w:szCs w:val="24"/>
              </w:rPr>
              <w:t>Cost per Response</w:t>
            </w:r>
            <w:r>
              <w:rPr>
                <w:szCs w:val="24"/>
              </w:rPr>
              <w:t xml:space="preserve"> ($)</w:t>
            </w:r>
          </w:p>
        </w:tc>
      </w:tr>
      <w:tr w14:paraId="18E8C438" w14:textId="77777777" w:rsidTr="000F15D0">
        <w:tblPrEx>
          <w:tblW w:w="0" w:type="auto"/>
          <w:jc w:val="center"/>
          <w:tblLayout w:type="fixed"/>
          <w:tblCellMar>
            <w:left w:w="0" w:type="dxa"/>
            <w:right w:w="0" w:type="dxa"/>
          </w:tblCellMar>
          <w:tblLook w:val="01E0"/>
        </w:tblPrEx>
        <w:trPr>
          <w:cantSplit/>
          <w:tblHeader/>
          <w:jc w:val="center"/>
        </w:trPr>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1FD66DCC" w14:textId="77777777">
            <w:pPr>
              <w:pStyle w:val="Tableheaderrow"/>
              <w:spacing w:after="120"/>
              <w:contextualSpacing/>
              <w:rPr>
                <w:b w:val="0"/>
                <w:bCs/>
                <w:szCs w:val="24"/>
              </w:rPr>
            </w:pPr>
            <w:r w:rsidRPr="008D3E7D">
              <w:rPr>
                <w:b w:val="0"/>
                <w:bCs/>
                <w:szCs w:val="24"/>
              </w:rPr>
              <w:t>Top Executives (11-1000) / POC</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003EE81B" w14:textId="77777777">
            <w:pPr>
              <w:pStyle w:val="Tableheaderrow"/>
              <w:spacing w:after="120"/>
              <w:contextualSpacing/>
              <w:rPr>
                <w:b w:val="0"/>
                <w:bCs/>
                <w:szCs w:val="24"/>
              </w:rPr>
            </w:pPr>
            <w:r w:rsidRPr="008D3E7D">
              <w:rPr>
                <w:b w:val="0"/>
                <w:bCs/>
                <w:szCs w:val="24"/>
              </w:rPr>
              <w:t>0.5</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085B01BE" w14:textId="77777777">
            <w:pPr>
              <w:pStyle w:val="Tableheaderrow"/>
              <w:spacing w:after="120"/>
              <w:contextualSpacing/>
              <w:rPr>
                <w:b w:val="0"/>
                <w:bCs/>
                <w:szCs w:val="24"/>
              </w:rPr>
            </w:pPr>
            <w:r w:rsidRPr="008D3E7D">
              <w:rPr>
                <w:b w:val="0"/>
                <w:bCs/>
                <w:szCs w:val="24"/>
              </w:rPr>
              <w:t>116.99</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265E96C4" w14:textId="77777777">
            <w:pPr>
              <w:pStyle w:val="Tableheaderrow"/>
              <w:spacing w:after="120"/>
              <w:contextualSpacing/>
              <w:rPr>
                <w:b w:val="0"/>
                <w:bCs/>
                <w:szCs w:val="24"/>
              </w:rPr>
            </w:pPr>
            <w:r w:rsidRPr="008D3E7D">
              <w:rPr>
                <w:b w:val="0"/>
                <w:bCs/>
                <w:szCs w:val="24"/>
              </w:rPr>
              <w:t>233.98</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15CA9CA9" w14:textId="77777777">
            <w:pPr>
              <w:pStyle w:val="Tableheaderrow"/>
              <w:spacing w:after="120"/>
              <w:contextualSpacing/>
              <w:rPr>
                <w:b w:val="0"/>
                <w:bCs/>
                <w:szCs w:val="24"/>
              </w:rPr>
            </w:pPr>
            <w:r w:rsidRPr="008D3E7D">
              <w:rPr>
                <w:b w:val="0"/>
                <w:bCs/>
                <w:szCs w:val="24"/>
              </w:rPr>
              <w:t>116.99</w:t>
            </w:r>
          </w:p>
        </w:tc>
      </w:tr>
      <w:tr w14:paraId="63DD3ED5" w14:textId="77777777" w:rsidTr="000F15D0">
        <w:tblPrEx>
          <w:tblW w:w="0" w:type="auto"/>
          <w:jc w:val="center"/>
          <w:tblLayout w:type="fixed"/>
          <w:tblCellMar>
            <w:left w:w="0" w:type="dxa"/>
            <w:right w:w="0" w:type="dxa"/>
          </w:tblCellMar>
          <w:tblLook w:val="01E0"/>
        </w:tblPrEx>
        <w:trPr>
          <w:cantSplit/>
          <w:tblHeader/>
          <w:jc w:val="center"/>
        </w:trPr>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34BC58BF" w14:textId="77777777">
            <w:pPr>
              <w:pStyle w:val="Tableheaderrow"/>
              <w:spacing w:after="120"/>
              <w:contextualSpacing/>
              <w:rPr>
                <w:b w:val="0"/>
                <w:bCs/>
                <w:szCs w:val="24"/>
              </w:rPr>
            </w:pPr>
            <w:r w:rsidRPr="008D3E7D">
              <w:rPr>
                <w:b w:val="0"/>
                <w:bCs/>
                <w:szCs w:val="24"/>
              </w:rPr>
              <w:t>Lawyers (23-1011) / General Council</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38A562A7" w14:textId="77777777">
            <w:pPr>
              <w:pStyle w:val="Tableheaderrow"/>
              <w:spacing w:after="120"/>
              <w:contextualSpacing/>
              <w:rPr>
                <w:b w:val="0"/>
                <w:bCs/>
                <w:szCs w:val="24"/>
              </w:rPr>
            </w:pPr>
            <w:r w:rsidRPr="008D3E7D">
              <w:rPr>
                <w:b w:val="0"/>
                <w:bCs/>
                <w:szCs w:val="24"/>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3BC678E6" w14:textId="77777777">
            <w:pPr>
              <w:pStyle w:val="Tableheaderrow"/>
              <w:spacing w:after="120"/>
              <w:contextualSpacing/>
              <w:rPr>
                <w:b w:val="0"/>
                <w:bCs/>
                <w:szCs w:val="24"/>
              </w:rPr>
            </w:pPr>
            <w:r w:rsidRPr="008D3E7D">
              <w:rPr>
                <w:b w:val="0"/>
                <w:bCs/>
                <w:szCs w:val="24"/>
              </w:rPr>
              <w:t>108.36</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4818D1A4" w14:textId="77777777">
            <w:pPr>
              <w:pStyle w:val="Tableheaderrow"/>
              <w:spacing w:after="120"/>
              <w:contextualSpacing/>
              <w:rPr>
                <w:b w:val="0"/>
                <w:bCs/>
                <w:szCs w:val="24"/>
              </w:rPr>
            </w:pPr>
            <w:r w:rsidRPr="008D3E7D">
              <w:rPr>
                <w:b w:val="0"/>
                <w:bCs/>
                <w:szCs w:val="24"/>
              </w:rPr>
              <w:t>216.72</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7B2F625B" w14:textId="77777777">
            <w:pPr>
              <w:pStyle w:val="Tableheaderrow"/>
              <w:spacing w:after="120"/>
              <w:contextualSpacing/>
              <w:rPr>
                <w:b w:val="0"/>
                <w:bCs/>
                <w:szCs w:val="24"/>
              </w:rPr>
            </w:pPr>
            <w:r w:rsidRPr="008D3E7D">
              <w:rPr>
                <w:b w:val="0"/>
                <w:bCs/>
                <w:szCs w:val="24"/>
              </w:rPr>
              <w:t>216.72</w:t>
            </w:r>
          </w:p>
        </w:tc>
      </w:tr>
      <w:tr w14:paraId="7EB73707" w14:textId="77777777" w:rsidTr="000F15D0">
        <w:tblPrEx>
          <w:tblW w:w="0" w:type="auto"/>
          <w:jc w:val="center"/>
          <w:tblLayout w:type="fixed"/>
          <w:tblCellMar>
            <w:left w:w="0" w:type="dxa"/>
            <w:right w:w="0" w:type="dxa"/>
          </w:tblCellMar>
          <w:tblLook w:val="01E0"/>
        </w:tblPrEx>
        <w:trPr>
          <w:cantSplit/>
          <w:tblHeader/>
          <w:jc w:val="center"/>
        </w:trPr>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39C0624C" w14:textId="77777777">
            <w:pPr>
              <w:pStyle w:val="Tableheaderrow"/>
              <w:spacing w:after="120"/>
              <w:contextualSpacing/>
              <w:rPr>
                <w:b w:val="0"/>
                <w:bCs/>
                <w:szCs w:val="24"/>
              </w:rPr>
            </w:pPr>
            <w:r w:rsidRPr="008D3E7D">
              <w:rPr>
                <w:b w:val="0"/>
                <w:bCs/>
                <w:szCs w:val="24"/>
              </w:rPr>
              <w:t>Pharmacist (29-1051) / Pharmacy Director</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2487CD2F" w14:textId="77777777">
            <w:pPr>
              <w:pStyle w:val="Tableheaderrow"/>
              <w:spacing w:after="120"/>
              <w:contextualSpacing/>
              <w:rPr>
                <w:b w:val="0"/>
                <w:bCs/>
                <w:szCs w:val="24"/>
              </w:rPr>
            </w:pPr>
            <w:r w:rsidRPr="008D3E7D">
              <w:rPr>
                <w:b w:val="0"/>
                <w:bCs/>
                <w:szCs w:val="24"/>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08D75A2C" w14:textId="77777777">
            <w:pPr>
              <w:pStyle w:val="Tableheaderrow"/>
              <w:spacing w:after="120"/>
              <w:contextualSpacing/>
              <w:rPr>
                <w:b w:val="0"/>
                <w:bCs/>
                <w:szCs w:val="24"/>
              </w:rPr>
            </w:pPr>
            <w:r w:rsidRPr="008D3E7D">
              <w:rPr>
                <w:b w:val="0"/>
                <w:bCs/>
                <w:szCs w:val="24"/>
              </w:rPr>
              <w:t>70.94</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48AAF225" w14:textId="77777777">
            <w:pPr>
              <w:pStyle w:val="Tableheaderrow"/>
              <w:spacing w:after="120"/>
              <w:contextualSpacing/>
              <w:rPr>
                <w:b w:val="0"/>
                <w:bCs/>
                <w:szCs w:val="24"/>
              </w:rPr>
            </w:pPr>
            <w:r w:rsidRPr="008D3E7D">
              <w:rPr>
                <w:b w:val="0"/>
                <w:bCs/>
                <w:szCs w:val="24"/>
              </w:rPr>
              <w:t>141.88</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61185D11" w14:textId="77777777">
            <w:pPr>
              <w:pStyle w:val="Tableheaderrow"/>
              <w:spacing w:after="120"/>
              <w:contextualSpacing/>
              <w:rPr>
                <w:b w:val="0"/>
                <w:bCs/>
                <w:szCs w:val="24"/>
              </w:rPr>
            </w:pPr>
            <w:r w:rsidRPr="008D3E7D">
              <w:rPr>
                <w:b w:val="0"/>
                <w:bCs/>
                <w:szCs w:val="24"/>
              </w:rPr>
              <w:t>141.88</w:t>
            </w:r>
          </w:p>
        </w:tc>
      </w:tr>
      <w:tr w14:paraId="774B0787" w14:textId="77777777" w:rsidTr="000F15D0">
        <w:tblPrEx>
          <w:tblW w:w="0" w:type="auto"/>
          <w:jc w:val="center"/>
          <w:tblLayout w:type="fixed"/>
          <w:tblCellMar>
            <w:left w:w="0" w:type="dxa"/>
            <w:right w:w="0" w:type="dxa"/>
          </w:tblCellMar>
          <w:tblLook w:val="01E0"/>
        </w:tblPrEx>
        <w:trPr>
          <w:cantSplit/>
          <w:tblHeader/>
          <w:jc w:val="center"/>
        </w:trPr>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55C71049" w14:textId="77777777">
            <w:pPr>
              <w:pStyle w:val="Tableheaderrow"/>
              <w:spacing w:after="120"/>
              <w:contextualSpacing/>
              <w:rPr>
                <w:b w:val="0"/>
                <w:bCs/>
                <w:szCs w:val="24"/>
              </w:rPr>
            </w:pPr>
            <w:r w:rsidRPr="008D3E7D">
              <w:rPr>
                <w:b w:val="0"/>
                <w:bCs/>
                <w:szCs w:val="24"/>
              </w:rPr>
              <w:t>Pharmacy Technicians (29-2052) / Pharmacy Buyer</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50C8AD64" w14:textId="77777777">
            <w:pPr>
              <w:pStyle w:val="Tableheaderrow"/>
              <w:spacing w:after="120"/>
              <w:contextualSpacing/>
              <w:rPr>
                <w:b w:val="0"/>
                <w:bCs/>
                <w:szCs w:val="24"/>
              </w:rPr>
            </w:pPr>
            <w:r w:rsidRPr="008D3E7D">
              <w:rPr>
                <w:b w:val="0"/>
                <w:bCs/>
                <w:szCs w:val="24"/>
              </w:rPr>
              <w:t>7</w:t>
            </w:r>
            <w:r>
              <w:rPr>
                <w:b w:val="0"/>
                <w:bCs/>
                <w:szCs w:val="24"/>
              </w:rPr>
              <w:t>1</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3DB0AC3F" w14:textId="77777777">
            <w:pPr>
              <w:pStyle w:val="Tableheaderrow"/>
              <w:spacing w:after="120"/>
              <w:contextualSpacing/>
              <w:rPr>
                <w:b w:val="0"/>
                <w:bCs/>
                <w:szCs w:val="24"/>
              </w:rPr>
            </w:pPr>
            <w:r w:rsidRPr="008D3E7D">
              <w:rPr>
                <w:b w:val="0"/>
                <w:bCs/>
                <w:szCs w:val="24"/>
              </w:rPr>
              <w:t>25.2</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3DCCBB56" w14:textId="77777777">
            <w:pPr>
              <w:pStyle w:val="Tableheaderrow"/>
              <w:spacing w:after="120"/>
              <w:contextualSpacing/>
              <w:rPr>
                <w:b w:val="0"/>
                <w:bCs/>
                <w:szCs w:val="24"/>
              </w:rPr>
            </w:pPr>
            <w:r w:rsidRPr="008D3E7D">
              <w:rPr>
                <w:b w:val="0"/>
                <w:bCs/>
                <w:szCs w:val="24"/>
              </w:rPr>
              <w:t>50.4</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723BB2E6" w14:textId="77777777">
            <w:pPr>
              <w:pStyle w:val="Tableheaderrow"/>
              <w:spacing w:after="120"/>
              <w:contextualSpacing/>
              <w:rPr>
                <w:b w:val="0"/>
                <w:bCs/>
                <w:szCs w:val="24"/>
              </w:rPr>
            </w:pPr>
            <w:r w:rsidRPr="008D3E7D">
              <w:rPr>
                <w:b w:val="0"/>
                <w:bCs/>
                <w:szCs w:val="24"/>
              </w:rPr>
              <w:t>357</w:t>
            </w:r>
            <w:r>
              <w:rPr>
                <w:b w:val="0"/>
                <w:bCs/>
                <w:szCs w:val="24"/>
              </w:rPr>
              <w:t>8</w:t>
            </w:r>
            <w:r w:rsidRPr="008D3E7D">
              <w:rPr>
                <w:b w:val="0"/>
                <w:bCs/>
                <w:szCs w:val="24"/>
              </w:rPr>
              <w:t>.</w:t>
            </w:r>
            <w:r>
              <w:rPr>
                <w:b w:val="0"/>
                <w:bCs/>
                <w:szCs w:val="24"/>
              </w:rPr>
              <w:t>40</w:t>
            </w:r>
          </w:p>
        </w:tc>
      </w:tr>
      <w:tr w14:paraId="08095869" w14:textId="77777777" w:rsidTr="000F15D0">
        <w:tblPrEx>
          <w:tblW w:w="0" w:type="auto"/>
          <w:jc w:val="center"/>
          <w:tblLayout w:type="fixed"/>
          <w:tblCellMar>
            <w:left w:w="0" w:type="dxa"/>
            <w:right w:w="0" w:type="dxa"/>
          </w:tblCellMar>
          <w:tblLook w:val="01E0"/>
        </w:tblPrEx>
        <w:trPr>
          <w:cantSplit/>
          <w:tblHeader/>
          <w:jc w:val="center"/>
        </w:trPr>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146CCE7E" w14:textId="77777777">
            <w:pPr>
              <w:pStyle w:val="Tableheaderrow"/>
              <w:spacing w:after="120"/>
              <w:contextualSpacing/>
              <w:rPr>
                <w:b w:val="0"/>
                <w:bCs/>
                <w:szCs w:val="24"/>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2D3A6269" w14:textId="77777777">
            <w:pPr>
              <w:pStyle w:val="Tableheaderrow"/>
              <w:spacing w:after="120"/>
              <w:contextualSpacing/>
              <w:rPr>
                <w:b w:val="0"/>
                <w:bCs/>
                <w:szCs w:val="24"/>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33DE172F" w14:textId="77777777">
            <w:pPr>
              <w:pStyle w:val="Tableheaderrow"/>
              <w:spacing w:after="120"/>
              <w:contextualSpacing/>
              <w:rPr>
                <w:b w:val="0"/>
                <w:bCs/>
                <w:szCs w:val="24"/>
              </w:rPr>
            </w:pP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6A2C3306" w14:textId="77777777">
            <w:pPr>
              <w:pStyle w:val="Tableheaderrow"/>
              <w:spacing w:after="120"/>
              <w:contextualSpacing/>
              <w:rPr>
                <w:b w:val="0"/>
                <w:bCs/>
                <w:szCs w:val="24"/>
              </w:rPr>
            </w:pPr>
            <w:r>
              <w:rPr>
                <w:b w:val="0"/>
                <w:bCs/>
                <w:szCs w:val="24"/>
              </w:rPr>
              <w:t xml:space="preserve">Total Annual Cost Per Response: </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3CAE5BED" w14:textId="77777777">
            <w:pPr>
              <w:pStyle w:val="Tableheaderrow"/>
              <w:spacing w:after="120"/>
              <w:contextualSpacing/>
              <w:rPr>
                <w:b w:val="0"/>
                <w:bCs/>
                <w:szCs w:val="24"/>
              </w:rPr>
            </w:pPr>
            <w:r>
              <w:rPr>
                <w:b w:val="0"/>
                <w:bCs/>
                <w:szCs w:val="24"/>
              </w:rPr>
              <w:t>$4,053.93</w:t>
            </w:r>
          </w:p>
        </w:tc>
      </w:tr>
      <w:tr w14:paraId="7C8D1829" w14:textId="77777777" w:rsidTr="000F15D0">
        <w:tblPrEx>
          <w:tblW w:w="0" w:type="auto"/>
          <w:jc w:val="center"/>
          <w:tblLayout w:type="fixed"/>
          <w:tblCellMar>
            <w:left w:w="0" w:type="dxa"/>
            <w:right w:w="0" w:type="dxa"/>
          </w:tblCellMar>
          <w:tblLook w:val="01E0"/>
        </w:tblPrEx>
        <w:trPr>
          <w:cantSplit/>
          <w:tblHeader/>
          <w:jc w:val="center"/>
        </w:trPr>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6991684B" w14:textId="77777777">
            <w:pPr>
              <w:pStyle w:val="Tableheaderrow"/>
              <w:spacing w:after="120"/>
              <w:contextualSpacing/>
              <w:rPr>
                <w:b w:val="0"/>
                <w:bCs/>
                <w:szCs w:val="24"/>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0A5AEF46" w14:textId="77777777">
            <w:pPr>
              <w:pStyle w:val="Tableheaderrow"/>
              <w:spacing w:after="120"/>
              <w:contextualSpacing/>
              <w:rPr>
                <w:b w:val="0"/>
                <w:bCs/>
                <w:szCs w:val="24"/>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5D9A04BA" w14:textId="77777777">
            <w:pPr>
              <w:pStyle w:val="Tableheaderrow"/>
              <w:spacing w:after="120"/>
              <w:contextualSpacing/>
              <w:rPr>
                <w:b w:val="0"/>
                <w:bCs/>
                <w:szCs w:val="24"/>
              </w:rPr>
            </w:pP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P="000F15D0" w14:paraId="78B44B87" w14:textId="77777777">
            <w:pPr>
              <w:pStyle w:val="Tableheaderrow"/>
              <w:spacing w:after="120"/>
              <w:contextualSpacing/>
              <w:rPr>
                <w:b w:val="0"/>
                <w:bCs/>
                <w:szCs w:val="24"/>
              </w:rPr>
            </w:pPr>
            <w:r>
              <w:rPr>
                <w:b w:val="0"/>
                <w:bCs/>
                <w:szCs w:val="24"/>
              </w:rPr>
              <w:t>Total Estimated Cost Across all Survey Responses:</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P="000F15D0" w14:paraId="37C272D4" w14:textId="77777777">
            <w:pPr>
              <w:pStyle w:val="Tableheaderrow"/>
              <w:spacing w:after="120"/>
              <w:contextualSpacing/>
              <w:rPr>
                <w:b w:val="0"/>
                <w:bCs/>
                <w:szCs w:val="24"/>
              </w:rPr>
            </w:pPr>
            <w:r>
              <w:rPr>
                <w:b w:val="0"/>
                <w:bCs/>
                <w:szCs w:val="24"/>
              </w:rPr>
              <w:t xml:space="preserve">$4,053.93 * </w:t>
            </w:r>
            <w:r w:rsidRPr="00CD6567">
              <w:rPr>
                <w:b w:val="0"/>
                <w:bCs/>
                <w:szCs w:val="24"/>
              </w:rPr>
              <w:t>3500</w:t>
            </w:r>
            <w:r>
              <w:rPr>
                <w:b w:val="0"/>
                <w:bCs/>
                <w:szCs w:val="24"/>
              </w:rPr>
              <w:t xml:space="preserve"> hospitals = </w:t>
            </w:r>
          </w:p>
          <w:p w:rsidR="006E5C69" w:rsidP="000F15D0" w14:paraId="39BC015D" w14:textId="77777777">
            <w:pPr>
              <w:pStyle w:val="Tableheaderrow"/>
              <w:spacing w:after="120"/>
              <w:contextualSpacing/>
              <w:rPr>
                <w:b w:val="0"/>
                <w:bCs/>
                <w:szCs w:val="24"/>
              </w:rPr>
            </w:pPr>
            <w:r>
              <w:rPr>
                <w:b w:val="0"/>
                <w:bCs/>
                <w:szCs w:val="24"/>
              </w:rPr>
              <w:t>$14,188,965</w:t>
            </w:r>
          </w:p>
        </w:tc>
      </w:tr>
    </w:tbl>
    <w:p w:rsidR="00802066" w:rsidRPr="00802066" w:rsidP="0035720E" w14:paraId="6EDFED4E" w14:textId="77777777">
      <w:pPr>
        <w:pStyle w:val="BodyText"/>
        <w:spacing w:before="0" w:after="120"/>
        <w:contextualSpacing/>
      </w:pPr>
      <w:bookmarkStart w:id="6" w:name="Salary_Estimate_s_for_Provide_rs_Respons"/>
      <w:bookmarkEnd w:id="6"/>
    </w:p>
    <w:p w:rsidR="00F47C61" w:rsidRPr="00676606" w:rsidP="00CD6567" w14:paraId="7A04FC08" w14:textId="6479D679">
      <w:pPr>
        <w:pStyle w:val="BodyText"/>
        <w:spacing w:before="0" w:after="120"/>
        <w:ind w:left="720"/>
        <w:contextualSpacing/>
      </w:pPr>
      <w:r w:rsidRPr="00802066">
        <w:t>W</w:t>
      </w:r>
      <w:r w:rsidRPr="00802066" w:rsidR="0094463C">
        <w:t>e have adjusted our employee hourly wage estimates by a factor of 100 percent</w:t>
      </w:r>
      <w:r w:rsidRPr="00367E0F" w:rsidR="00367E0F">
        <w:t xml:space="preserve"> </w:t>
      </w:r>
      <w:r w:rsidR="00367E0F">
        <w:t>to account for fringe benefits and overhead costs</w:t>
      </w:r>
      <w:r w:rsidRPr="00802066" w:rsidR="0094463C">
        <w:t>. This is necessarily a rough adjustment, both because fringe benefits and overhead costs vary significantly from employer to employer, and because methods of estimating these costs vary widely from study to study. We believe that doubling the hourly wage to estimate total cost is a reasonably accurate estimation method.</w:t>
      </w:r>
    </w:p>
    <w:p w:rsidR="006E5C69" w:rsidP="00CD6567" w14:paraId="3BF71043" w14:textId="77777777">
      <w:pPr>
        <w:pStyle w:val="Caption"/>
        <w:spacing w:before="0" w:after="120"/>
        <w:ind w:firstLine="720"/>
        <w:contextualSpacing/>
        <w:rPr>
          <w:color w:val="auto"/>
        </w:rPr>
      </w:pPr>
      <w:r w:rsidRPr="00802066">
        <w:rPr>
          <w:color w:val="auto"/>
        </w:rPr>
        <w:t xml:space="preserve">Table </w:t>
      </w:r>
      <w:r>
        <w:rPr>
          <w:color w:val="auto"/>
        </w:rPr>
        <w:t>2</w:t>
      </w:r>
      <w:r w:rsidRPr="00802066">
        <w:rPr>
          <w:color w:val="auto"/>
        </w:rPr>
        <w:t xml:space="preserve">. </w:t>
      </w:r>
      <w:r>
        <w:rPr>
          <w:color w:val="auto"/>
        </w:rPr>
        <w:t xml:space="preserve">Hourly Burden Estimates </w:t>
      </w:r>
      <w:r w:rsidRPr="00A27780">
        <w:rPr>
          <w:color w:val="auto"/>
        </w:rPr>
        <w:t xml:space="preserve">for the </w:t>
      </w:r>
      <w:r>
        <w:rPr>
          <w:color w:val="auto"/>
        </w:rPr>
        <w:t>S</w:t>
      </w:r>
      <w:r w:rsidRPr="00A27780">
        <w:rPr>
          <w:color w:val="auto"/>
        </w:rPr>
        <w:t>urvey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70"/>
        <w:gridCol w:w="1350"/>
        <w:gridCol w:w="1890"/>
        <w:gridCol w:w="2070"/>
        <w:gridCol w:w="1800"/>
      </w:tblGrid>
      <w:tr w14:paraId="261D48B0" w14:textId="77777777" w:rsidTr="00CD6567">
        <w:tblPrEx>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cantSplit/>
          <w:tblHeader/>
          <w:jc w:val="center"/>
        </w:trPr>
        <w:tc>
          <w:tcPr>
            <w:tcW w:w="197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rsidR="006E5C69" w:rsidRPr="008D3E7D" w:rsidP="00CD6567" w14:paraId="1037B41B" w14:textId="325EBA1B">
            <w:pPr>
              <w:pStyle w:val="Tableheaderrow"/>
              <w:spacing w:after="120"/>
              <w:contextualSpacing/>
              <w:rPr>
                <w:szCs w:val="24"/>
              </w:rPr>
            </w:pPr>
            <w:r>
              <w:rPr>
                <w:szCs w:val="24"/>
              </w:rPr>
              <w:t>Potential Respondents</w:t>
            </w:r>
          </w:p>
        </w:tc>
        <w:tc>
          <w:tcPr>
            <w:tcW w:w="135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rsidR="006E5C69" w:rsidRPr="008D3E7D" w:rsidP="00B4666A" w14:paraId="44053A83" w14:textId="77777777">
            <w:pPr>
              <w:pStyle w:val="Tableheaderrow"/>
              <w:spacing w:after="120"/>
              <w:contextualSpacing/>
              <w:rPr>
                <w:szCs w:val="24"/>
              </w:rPr>
            </w:pPr>
            <w:r>
              <w:rPr>
                <w:szCs w:val="24"/>
              </w:rPr>
              <w:t>Respondent #</w:t>
            </w:r>
          </w:p>
        </w:tc>
        <w:tc>
          <w:tcPr>
            <w:tcW w:w="189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rsidR="006E5C69" w:rsidRPr="008D3E7D" w:rsidP="00B4666A" w14:paraId="17A2911A" w14:textId="77777777">
            <w:pPr>
              <w:pStyle w:val="Tableheaderrow"/>
              <w:spacing w:after="120"/>
              <w:contextualSpacing/>
              <w:rPr>
                <w:szCs w:val="24"/>
              </w:rPr>
            </w:pPr>
            <w:r>
              <w:rPr>
                <w:szCs w:val="24"/>
              </w:rPr>
              <w:t>Total Responses</w:t>
            </w:r>
          </w:p>
        </w:tc>
        <w:tc>
          <w:tcPr>
            <w:tcW w:w="207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rsidR="006E5C69" w:rsidRPr="008D3E7D" w:rsidP="00B4666A" w14:paraId="52A5604C" w14:textId="499560AE">
            <w:pPr>
              <w:pStyle w:val="Tableheaderrow"/>
              <w:spacing w:after="120"/>
              <w:contextualSpacing/>
              <w:rPr>
                <w:szCs w:val="24"/>
              </w:rPr>
            </w:pPr>
            <w:r>
              <w:rPr>
                <w:szCs w:val="24"/>
              </w:rPr>
              <w:t>Bur</w:t>
            </w:r>
            <w:r w:rsidR="005E698F">
              <w:rPr>
                <w:szCs w:val="24"/>
              </w:rPr>
              <w:t>d</w:t>
            </w:r>
            <w:r>
              <w:rPr>
                <w:szCs w:val="24"/>
              </w:rPr>
              <w:t>en per Response</w:t>
            </w:r>
            <w:r w:rsidR="002B64DA">
              <w:rPr>
                <w:szCs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tcPr>
          <w:p w:rsidR="006E5C69" w:rsidRPr="008D3E7D" w:rsidP="00B4666A" w14:paraId="2D6C12E3" w14:textId="77777777">
            <w:pPr>
              <w:pStyle w:val="Tableheaderrow"/>
              <w:spacing w:after="120"/>
              <w:contextualSpacing/>
              <w:rPr>
                <w:szCs w:val="24"/>
              </w:rPr>
            </w:pPr>
            <w:r>
              <w:rPr>
                <w:szCs w:val="24"/>
              </w:rPr>
              <w:t>Total Annual Burden (hours)</w:t>
            </w:r>
          </w:p>
        </w:tc>
      </w:tr>
      <w:tr w14:paraId="3DC2D6AF" w14:textId="77777777" w:rsidTr="000F15D0">
        <w:tblPrEx>
          <w:tblW w:w="0" w:type="auto"/>
          <w:jc w:val="center"/>
          <w:tblLayout w:type="fixed"/>
          <w:tblCellMar>
            <w:left w:w="0" w:type="dxa"/>
            <w:right w:w="0" w:type="dxa"/>
          </w:tblCellMar>
          <w:tblLook w:val="01E0"/>
        </w:tblPrEx>
        <w:trPr>
          <w:cantSplit/>
          <w:tblHeader/>
          <w:jc w:val="center"/>
        </w:trPr>
        <w:tc>
          <w:tcPr>
            <w:tcW w:w="19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4C7A4095" w14:textId="77777777">
            <w:pPr>
              <w:pStyle w:val="Tableheaderrow"/>
              <w:spacing w:after="120"/>
              <w:contextualSpacing/>
              <w:rPr>
                <w:b w:val="0"/>
                <w:bCs/>
                <w:szCs w:val="24"/>
              </w:rPr>
            </w:pPr>
            <w:r>
              <w:rPr>
                <w:b w:val="0"/>
                <w:bCs/>
                <w:szCs w:val="24"/>
              </w:rPr>
              <w:t>Hospitals</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090C7A43" w14:textId="1E800526">
            <w:pPr>
              <w:pStyle w:val="Tableheaderrow"/>
              <w:spacing w:after="120"/>
              <w:contextualSpacing/>
              <w:rPr>
                <w:b w:val="0"/>
                <w:bCs/>
                <w:szCs w:val="24"/>
              </w:rPr>
            </w:pPr>
            <w:r>
              <w:rPr>
                <w:b w:val="0"/>
                <w:bCs/>
                <w:szCs w:val="24"/>
              </w:rPr>
              <w:t>3</w:t>
            </w:r>
            <w:r w:rsidR="00B4666A">
              <w:rPr>
                <w:b w:val="0"/>
                <w:bCs/>
                <w:szCs w:val="24"/>
              </w:rPr>
              <w:t>,</w:t>
            </w:r>
            <w:r>
              <w:rPr>
                <w:b w:val="0"/>
                <w:bCs/>
                <w:szCs w:val="24"/>
              </w:rPr>
              <w:t>500</w:t>
            </w:r>
          </w:p>
        </w:tc>
        <w:tc>
          <w:tcPr>
            <w:tcW w:w="18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3EBAFF8E" w14:textId="77777777">
            <w:pPr>
              <w:pStyle w:val="Tableheaderrow"/>
              <w:spacing w:after="120"/>
              <w:contextualSpacing/>
              <w:rPr>
                <w:b w:val="0"/>
                <w:bCs/>
                <w:szCs w:val="24"/>
              </w:rPr>
            </w:pPr>
            <w:r>
              <w:rPr>
                <w:b w:val="0"/>
                <w:bCs/>
                <w:szCs w:val="24"/>
              </w:rPr>
              <w:t>1</w:t>
            </w:r>
          </w:p>
        </w:tc>
        <w:tc>
          <w:tcPr>
            <w:tcW w:w="207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26EAD2AA" w14:textId="77777777">
            <w:pPr>
              <w:pStyle w:val="Tableheaderrow"/>
              <w:spacing w:after="120"/>
              <w:contextualSpacing/>
              <w:rPr>
                <w:b w:val="0"/>
                <w:bCs/>
                <w:szCs w:val="24"/>
              </w:rPr>
            </w:pPr>
            <w:r>
              <w:rPr>
                <w:b w:val="0"/>
                <w:bCs/>
                <w:szCs w:val="24"/>
              </w:rPr>
              <w:t>73.50</w:t>
            </w:r>
          </w:p>
        </w:tc>
        <w:tc>
          <w:tcPr>
            <w:tcW w:w="18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6E5C69" w:rsidRPr="008D3E7D" w:rsidP="000F15D0" w14:paraId="19A082B3" w14:textId="77777777">
            <w:pPr>
              <w:pStyle w:val="Tableheaderrow"/>
              <w:spacing w:after="120"/>
              <w:contextualSpacing/>
              <w:rPr>
                <w:b w:val="0"/>
                <w:bCs/>
                <w:szCs w:val="24"/>
              </w:rPr>
            </w:pPr>
            <w:r w:rsidRPr="00D52BB0">
              <w:rPr>
                <w:b w:val="0"/>
                <w:bCs/>
                <w:szCs w:val="24"/>
              </w:rPr>
              <w:t>257,250</w:t>
            </w:r>
          </w:p>
        </w:tc>
      </w:tr>
    </w:tbl>
    <w:p w:rsidR="006E5C69" w:rsidRPr="00802066" w:rsidP="006E5C69" w14:paraId="76B2C040" w14:textId="77777777">
      <w:pPr>
        <w:pStyle w:val="BodyText"/>
        <w:spacing w:before="0" w:after="120"/>
        <w:contextualSpacing/>
      </w:pPr>
    </w:p>
    <w:p w:rsidR="006E5C69" w:rsidP="006E5C69" w14:paraId="42865ECC" w14:textId="77777777">
      <w:pPr>
        <w:pStyle w:val="BodyText"/>
        <w:spacing w:before="0" w:after="120"/>
        <w:contextualSpacing/>
        <w:rPr>
          <w:i/>
          <w:iCs/>
        </w:rPr>
      </w:pPr>
      <w:r w:rsidRPr="000F15D0">
        <w:rPr>
          <w:i/>
          <w:iCs/>
        </w:rPr>
        <w:t>Information Collection Instruments/Instructions</w:t>
      </w:r>
    </w:p>
    <w:p w:rsidR="00F47C61" w:rsidRPr="00676606" w:rsidP="00676606" w14:paraId="2399F503" w14:textId="401710A1">
      <w:pPr>
        <w:spacing w:after="120"/>
        <w:ind w:firstLine="720"/>
        <w:contextualSpacing/>
        <w:jc w:val="center"/>
        <w:rPr>
          <w:b/>
          <w:sz w:val="24"/>
        </w:rPr>
      </w:pPr>
    </w:p>
    <w:p w:rsidR="00F47C61" w:rsidP="005F2B05" w14:paraId="1BC19BE6" w14:textId="2A0A46F1">
      <w:pPr>
        <w:spacing w:after="120"/>
        <w:contextualSpacing/>
        <w:rPr>
          <w:bCs/>
          <w:sz w:val="24"/>
        </w:rPr>
      </w:pPr>
      <w:r>
        <w:rPr>
          <w:bCs/>
          <w:sz w:val="24"/>
        </w:rPr>
        <w:t>We have included with this package the following:</w:t>
      </w:r>
    </w:p>
    <w:p w:rsidR="005F2B05" w:rsidP="005F2B05" w14:paraId="08BEF3DB" w14:textId="77777777">
      <w:pPr>
        <w:spacing w:after="120"/>
        <w:contextualSpacing/>
        <w:rPr>
          <w:bCs/>
          <w:sz w:val="24"/>
        </w:rPr>
      </w:pPr>
    </w:p>
    <w:p w:rsidR="00856EE5" w:rsidP="005F2B05" w14:paraId="61FB5D3F" w14:textId="3125BBE5">
      <w:pPr>
        <w:pStyle w:val="ListParagraph"/>
        <w:numPr>
          <w:ilvl w:val="0"/>
          <w:numId w:val="2"/>
        </w:numPr>
        <w:spacing w:after="120"/>
        <w:rPr>
          <w:bCs/>
          <w:sz w:val="24"/>
        </w:rPr>
      </w:pPr>
      <w:r w:rsidRPr="00CD6567">
        <w:rPr>
          <w:b/>
          <w:sz w:val="24"/>
        </w:rPr>
        <w:t>An Example</w:t>
      </w:r>
      <w:r w:rsidRPr="00CD6567" w:rsidR="005F2B05">
        <w:rPr>
          <w:b/>
          <w:sz w:val="24"/>
        </w:rPr>
        <w:t xml:space="preserve"> of the </w:t>
      </w:r>
      <w:r w:rsidRPr="00CD6567">
        <w:rPr>
          <w:b/>
          <w:sz w:val="24"/>
        </w:rPr>
        <w:t xml:space="preserve">survey </w:t>
      </w:r>
      <w:r w:rsidRPr="00CD6567" w:rsidR="005F2B05">
        <w:rPr>
          <w:b/>
          <w:sz w:val="24"/>
        </w:rPr>
        <w:t xml:space="preserve">collection instrument, consisting of </w:t>
      </w:r>
      <w:r w:rsidRPr="00CD6567" w:rsidR="00063F9D">
        <w:rPr>
          <w:b/>
          <w:sz w:val="24"/>
        </w:rPr>
        <w:t>an Excel File</w:t>
      </w:r>
      <w:r w:rsidR="00980227">
        <w:rPr>
          <w:b/>
          <w:sz w:val="24"/>
        </w:rPr>
        <w:t xml:space="preserve"> Template</w:t>
      </w:r>
      <w:r w:rsidRPr="00CD6567" w:rsidR="00063F9D">
        <w:rPr>
          <w:b/>
          <w:sz w:val="24"/>
        </w:rPr>
        <w:t>.</w:t>
      </w:r>
      <w:r w:rsidR="00063F9D">
        <w:rPr>
          <w:bCs/>
          <w:sz w:val="24"/>
        </w:rPr>
        <w:t xml:space="preserve"> </w:t>
      </w:r>
    </w:p>
    <w:p w:rsidR="00856EE5" w:rsidP="00856EE5" w14:paraId="10D01448" w14:textId="77777777">
      <w:pPr>
        <w:pStyle w:val="ListParagraph"/>
        <w:spacing w:after="120"/>
        <w:rPr>
          <w:bCs/>
          <w:sz w:val="24"/>
        </w:rPr>
      </w:pPr>
    </w:p>
    <w:p w:rsidR="009221BB" w:rsidP="00CD6567" w14:paraId="62E7CA81" w14:textId="354291B0">
      <w:pPr>
        <w:pStyle w:val="ListParagraph"/>
        <w:spacing w:after="120"/>
        <w:rPr>
          <w:bCs/>
          <w:sz w:val="24"/>
        </w:rPr>
      </w:pPr>
      <w:r>
        <w:rPr>
          <w:bCs/>
          <w:sz w:val="24"/>
        </w:rPr>
        <w:t xml:space="preserve">This file outlines the specific data elements that will be required for the survey, including which NDCs we intend to include in the </w:t>
      </w:r>
      <w:r w:rsidR="00980227">
        <w:rPr>
          <w:bCs/>
          <w:sz w:val="24"/>
        </w:rPr>
        <w:t>drug acquisition cost survey</w:t>
      </w:r>
      <w:r>
        <w:rPr>
          <w:bCs/>
          <w:sz w:val="24"/>
        </w:rPr>
        <w:t xml:space="preserve">. </w:t>
      </w:r>
      <w:r w:rsidRPr="00371980" w:rsidR="00371980">
        <w:rPr>
          <w:bCs/>
          <w:sz w:val="24"/>
        </w:rPr>
        <w:t xml:space="preserve">We note there may be slight adjustments to this NDC list, but we expect the final list will be similar to the draft list. </w:t>
      </w:r>
      <w:r>
        <w:rPr>
          <w:bCs/>
          <w:sz w:val="24"/>
        </w:rPr>
        <w:t xml:space="preserve">These NDCs were gathered by analyzing the </w:t>
      </w:r>
      <w:r w:rsidR="00CE367C">
        <w:rPr>
          <w:bCs/>
          <w:sz w:val="24"/>
        </w:rPr>
        <w:t>drugs and biologicals</w:t>
      </w:r>
      <w:r>
        <w:rPr>
          <w:bCs/>
          <w:sz w:val="24"/>
        </w:rPr>
        <w:t xml:space="preserve"> that were separately payable under the OPPS during the survey period of July 1, 2024 through June 30, 2025.</w:t>
      </w:r>
      <w:r w:rsidR="00B4093B">
        <w:rPr>
          <w:bCs/>
          <w:sz w:val="24"/>
        </w:rPr>
        <w:t xml:space="preserve"> This is the time-period we are surveying for hospital drug acquisition costs. This </w:t>
      </w:r>
      <w:r w:rsidR="00856EE5">
        <w:rPr>
          <w:bCs/>
          <w:sz w:val="24"/>
        </w:rPr>
        <w:t xml:space="preserve">12-month </w:t>
      </w:r>
      <w:r w:rsidR="00B4093B">
        <w:rPr>
          <w:bCs/>
          <w:sz w:val="24"/>
        </w:rPr>
        <w:t xml:space="preserve">period of time aligns with GAO’s </w:t>
      </w:r>
      <w:r w:rsidR="00856EE5">
        <w:rPr>
          <w:bCs/>
          <w:sz w:val="24"/>
        </w:rPr>
        <w:t xml:space="preserve">12-month </w:t>
      </w:r>
      <w:r w:rsidR="0002208D">
        <w:rPr>
          <w:bCs/>
          <w:sz w:val="24"/>
        </w:rPr>
        <w:t xml:space="preserve">survey </w:t>
      </w:r>
      <w:r w:rsidR="00B4093B">
        <w:rPr>
          <w:bCs/>
          <w:sz w:val="24"/>
        </w:rPr>
        <w:t>period</w:t>
      </w:r>
      <w:r w:rsidR="0002208D">
        <w:rPr>
          <w:bCs/>
          <w:sz w:val="24"/>
        </w:rPr>
        <w:t xml:space="preserve"> for their original study</w:t>
      </w:r>
      <w:r w:rsidR="00B4093B">
        <w:rPr>
          <w:bCs/>
          <w:sz w:val="24"/>
        </w:rPr>
        <w:t xml:space="preserve"> of </w:t>
      </w:r>
      <w:r w:rsidRPr="00B4093B" w:rsidR="00B4093B">
        <w:rPr>
          <w:bCs/>
          <w:sz w:val="24"/>
        </w:rPr>
        <w:t>July 1, 2003, through June 30, 2004</w:t>
      </w:r>
      <w:r w:rsidR="00B4093B">
        <w:rPr>
          <w:bCs/>
          <w:sz w:val="24"/>
        </w:rPr>
        <w:t xml:space="preserve">. </w:t>
      </w:r>
      <w:r>
        <w:rPr>
          <w:bCs/>
          <w:sz w:val="24"/>
        </w:rPr>
        <w:t>This time period also provides a 6</w:t>
      </w:r>
      <w:r>
        <w:rPr>
          <w:bCs/>
          <w:sz w:val="24"/>
          <w:vertAlign w:val="superscript"/>
        </w:rPr>
        <w:t xml:space="preserve"> </w:t>
      </w:r>
      <w:r>
        <w:rPr>
          <w:bCs/>
          <w:sz w:val="24"/>
        </w:rPr>
        <w:t>month window between the end of the survey period and the start of the survey submission window in order to ensure adequate time for all rebates, discounts, and price concessions to be finalized</w:t>
      </w:r>
      <w:r w:rsidR="00856EE5">
        <w:rPr>
          <w:bCs/>
          <w:sz w:val="24"/>
        </w:rPr>
        <w:t>, so they can be incorporated into the NDC acquisition costs submitted by hospitals.</w:t>
      </w:r>
    </w:p>
    <w:p w:rsidR="00856EE5" w:rsidP="009221BB" w14:paraId="31015D99" w14:textId="77777777">
      <w:pPr>
        <w:pStyle w:val="ListParagraph"/>
        <w:spacing w:after="120"/>
        <w:rPr>
          <w:bCs/>
          <w:sz w:val="24"/>
        </w:rPr>
      </w:pPr>
    </w:p>
    <w:p w:rsidR="00856EE5" w:rsidP="009221BB" w14:paraId="78797E24" w14:textId="548E0243">
      <w:pPr>
        <w:pStyle w:val="ListParagraph"/>
        <w:spacing w:after="120"/>
        <w:rPr>
          <w:bCs/>
          <w:sz w:val="24"/>
        </w:rPr>
      </w:pPr>
      <w:r>
        <w:rPr>
          <w:bCs/>
          <w:sz w:val="24"/>
        </w:rPr>
        <w:t xml:space="preserve">For the NDCs included in the template, </w:t>
      </w:r>
      <w:r w:rsidR="0061661F">
        <w:rPr>
          <w:bCs/>
          <w:sz w:val="24"/>
        </w:rPr>
        <w:t>we excluded radiopharmaceutical NDCs from our proposed list of NDCs. Radiopharmaceuticals are unique products with various forms in which they can be purchased. These unique characteristics were acknowledged by GAO</w:t>
      </w:r>
      <w:r>
        <w:rPr>
          <w:bCs/>
          <w:sz w:val="24"/>
        </w:rPr>
        <w:t xml:space="preserve"> in the original survey. GAO</w:t>
      </w:r>
      <w:r w:rsidR="0061661F">
        <w:rPr>
          <w:bCs/>
          <w:sz w:val="24"/>
        </w:rPr>
        <w:t xml:space="preserve"> collected information, and analyzed data, for radiopharmaceuticals separately from other drugs. </w:t>
      </w:r>
      <w:r>
        <w:rPr>
          <w:bCs/>
          <w:sz w:val="24"/>
        </w:rPr>
        <w:t>They</w:t>
      </w:r>
      <w:r w:rsidR="008F0AC6">
        <w:rPr>
          <w:bCs/>
          <w:sz w:val="24"/>
        </w:rPr>
        <w:t xml:space="preserve"> specifically acknowledged, with regard to radiopharmaceuticals that “their complex nature as compared with drugs poses challenges for collecting and interpreting cost data.”</w:t>
      </w:r>
      <w:r>
        <w:rPr>
          <w:rStyle w:val="FootnoteReference"/>
          <w:bCs/>
          <w:sz w:val="24"/>
          <w:vertAlign w:val="superscript"/>
        </w:rPr>
        <w:footnoteReference w:id="8"/>
      </w:r>
      <w:r w:rsidR="00DA41BD">
        <w:rPr>
          <w:bCs/>
          <w:sz w:val="24"/>
        </w:rPr>
        <w:t xml:space="preserve"> </w:t>
      </w:r>
      <w:r w:rsidR="0061661F">
        <w:rPr>
          <w:bCs/>
          <w:sz w:val="24"/>
        </w:rPr>
        <w:t>We believe due to these unique characteristics, we should not include radiopharmaceuticals in the survey at this time.</w:t>
      </w:r>
      <w:r>
        <w:rPr>
          <w:bCs/>
          <w:sz w:val="24"/>
        </w:rPr>
        <w:t xml:space="preserve"> This will also reduce hospital reporting burden.</w:t>
      </w:r>
      <w:r w:rsidR="00DA41BD">
        <w:rPr>
          <w:bCs/>
          <w:sz w:val="24"/>
        </w:rPr>
        <w:t xml:space="preserve"> </w:t>
      </w:r>
    </w:p>
    <w:p w:rsidR="00856EE5" w:rsidP="009221BB" w14:paraId="76298C28" w14:textId="77777777">
      <w:pPr>
        <w:pStyle w:val="ListParagraph"/>
        <w:spacing w:after="120"/>
        <w:rPr>
          <w:bCs/>
          <w:sz w:val="24"/>
        </w:rPr>
      </w:pPr>
    </w:p>
    <w:p w:rsidR="005F2B05" w:rsidP="00CD6567" w14:paraId="54CEBAA9" w14:textId="064B4991">
      <w:pPr>
        <w:pStyle w:val="ListParagraph"/>
        <w:spacing w:after="120"/>
        <w:rPr>
          <w:bCs/>
          <w:sz w:val="24"/>
        </w:rPr>
      </w:pPr>
      <w:r>
        <w:rPr>
          <w:bCs/>
          <w:sz w:val="24"/>
        </w:rPr>
        <w:t>Additionally, we excluded NDCs that were obsolete during the survey timeframe, and we only included NDCs for which there was a payment made under the OPPS</w:t>
      </w:r>
      <w:r w:rsidR="009221BB">
        <w:rPr>
          <w:bCs/>
          <w:sz w:val="24"/>
        </w:rPr>
        <w:t xml:space="preserve"> during the survey period</w:t>
      </w:r>
      <w:r>
        <w:rPr>
          <w:bCs/>
          <w:sz w:val="24"/>
        </w:rPr>
        <w:t>.</w:t>
      </w:r>
      <w:r w:rsidR="00CE367C">
        <w:rPr>
          <w:bCs/>
          <w:sz w:val="24"/>
        </w:rPr>
        <w:t xml:space="preserve"> Consequently, we did not include NDCs for which payment would typically be packaged under the OPPS.</w:t>
      </w:r>
      <w:r>
        <w:rPr>
          <w:bCs/>
          <w:sz w:val="24"/>
        </w:rPr>
        <w:t xml:space="preserve"> </w:t>
      </w:r>
      <w:r w:rsidR="00856EE5">
        <w:rPr>
          <w:bCs/>
          <w:sz w:val="24"/>
        </w:rPr>
        <w:t>By reducing the number of NDCs, this also helps reduce hospital burden and ensures we are asking for only the most necessary data.</w:t>
      </w:r>
      <w:r w:rsidR="00371980">
        <w:rPr>
          <w:bCs/>
          <w:sz w:val="24"/>
        </w:rPr>
        <w:t xml:space="preserve"> </w:t>
      </w:r>
      <w:r w:rsidR="00856EE5">
        <w:rPr>
          <w:bCs/>
          <w:sz w:val="24"/>
        </w:rPr>
        <w:t xml:space="preserve"> </w:t>
      </w:r>
      <w:r>
        <w:rPr>
          <w:bCs/>
          <w:sz w:val="24"/>
        </w:rPr>
        <w:t>We can use a hospital’s OPPS billing patterns to approximate the NDCs, and their associated volume, that would have</w:t>
      </w:r>
      <w:r w:rsidR="00796E99">
        <w:rPr>
          <w:bCs/>
          <w:sz w:val="24"/>
        </w:rPr>
        <w:t xml:space="preserve"> been</w:t>
      </w:r>
      <w:r>
        <w:rPr>
          <w:bCs/>
          <w:sz w:val="24"/>
        </w:rPr>
        <w:t xml:space="preserve"> purchased during the survey time-period in order to ensure the approximate accuracy of a hospital’s submission to CMS.</w:t>
      </w:r>
    </w:p>
    <w:p w:rsidR="00980227" w:rsidP="00980227" w14:paraId="1D271BA7" w14:textId="3C9CBF15">
      <w:pPr>
        <w:pStyle w:val="ListParagraph"/>
        <w:spacing w:after="120"/>
        <w:rPr>
          <w:bCs/>
          <w:sz w:val="24"/>
        </w:rPr>
      </w:pPr>
    </w:p>
    <w:p w:rsidR="00980227" w:rsidP="00980227" w14:paraId="1588ED19" w14:textId="27A0D9AA">
      <w:pPr>
        <w:pStyle w:val="ListParagraph"/>
        <w:spacing w:after="120"/>
        <w:rPr>
          <w:bCs/>
          <w:sz w:val="24"/>
        </w:rPr>
      </w:pPr>
      <w:r>
        <w:rPr>
          <w:bCs/>
          <w:sz w:val="24"/>
        </w:rPr>
        <w:t xml:space="preserve">CMS is also creating a web portal in the FFSDCS where survey respondents can submit their data. Hospitals have the option to download an Excel template similar to the one included in this package, fill out the required fields, and then upload the template to the web portal. Hospitals can also directly enter their survey data into the web portal itself, which will follow the same layout as the provided Excel template. Additionally, the web portal will check for common submission errors, such as including units purchased but not acquisition costs, and alert the submitter to the error before the final submission. </w:t>
      </w:r>
    </w:p>
    <w:p w:rsidR="00980227" w:rsidP="00980227" w14:paraId="062D5677" w14:textId="4C3B9791">
      <w:pPr>
        <w:pStyle w:val="ListParagraph"/>
        <w:spacing w:after="120"/>
        <w:rPr>
          <w:bCs/>
          <w:sz w:val="24"/>
        </w:rPr>
      </w:pPr>
    </w:p>
    <w:p w:rsidR="00980227" w14:paraId="4E156FDB" w14:textId="2F1F64A7">
      <w:pPr>
        <w:pStyle w:val="ListParagraph"/>
        <w:spacing w:after="120"/>
        <w:rPr>
          <w:bCs/>
          <w:sz w:val="24"/>
        </w:rPr>
      </w:pPr>
      <w:r>
        <w:rPr>
          <w:bCs/>
          <w:sz w:val="24"/>
        </w:rPr>
        <w:t xml:space="preserve">Once the submitter has uploaded or entered the required data, then they must officially submit that data to CMS and attest to the validity, integrity, and completeness of the data </w:t>
      </w:r>
      <w:r>
        <w:rPr>
          <w:bCs/>
          <w:sz w:val="24"/>
        </w:rPr>
        <w:t>being submitted.</w:t>
      </w:r>
    </w:p>
    <w:p w:rsidR="00765F95" w:rsidRPr="00980227" w:rsidP="00CD6567" w14:paraId="0D24351C" w14:textId="77777777">
      <w:pPr>
        <w:pStyle w:val="ListParagraph"/>
        <w:spacing w:after="120"/>
        <w:rPr>
          <w:bCs/>
          <w:sz w:val="24"/>
        </w:rPr>
      </w:pPr>
    </w:p>
    <w:p w:rsidR="005F2B05" w:rsidP="005F2B05" w14:paraId="65CD773F" w14:textId="4E1548FD">
      <w:pPr>
        <w:pStyle w:val="ListParagraph"/>
        <w:numPr>
          <w:ilvl w:val="0"/>
          <w:numId w:val="2"/>
        </w:numPr>
        <w:spacing w:after="120"/>
        <w:rPr>
          <w:bCs/>
          <w:sz w:val="24"/>
        </w:rPr>
      </w:pPr>
      <w:r w:rsidRPr="00CD6567">
        <w:rPr>
          <w:b/>
          <w:sz w:val="24"/>
        </w:rPr>
        <w:t xml:space="preserve">Survey Instruction Sheet: </w:t>
      </w:r>
      <w:r w:rsidRPr="001D7DDF">
        <w:rPr>
          <w:bCs/>
          <w:sz w:val="24"/>
        </w:rPr>
        <w:t>The instructions for completing the survey that will be provided to hospitals</w:t>
      </w:r>
      <w:r w:rsidRPr="001D7DDF" w:rsidR="00980227">
        <w:rPr>
          <w:bCs/>
          <w:sz w:val="24"/>
        </w:rPr>
        <w:t>. Included in the Excel File Template is a tab that contains draft instructions, including relevant terms and definitions, on how to fill out the survey. These instructions will continue to be refined in order to ensure clarity for those submitting the survey. These instructions will also be available in the FFSDCS web portal.</w:t>
      </w:r>
    </w:p>
    <w:p w:rsidR="001D7DDF" w:rsidP="00CD6567" w14:paraId="1290FBDA" w14:textId="77777777">
      <w:pPr>
        <w:pStyle w:val="ListParagraph"/>
        <w:spacing w:after="120"/>
        <w:rPr>
          <w:bCs/>
          <w:sz w:val="24"/>
        </w:rPr>
      </w:pPr>
    </w:p>
    <w:p w:rsidR="00DD45ED" w:rsidRPr="00CD6567" w:rsidP="00CD6567" w14:paraId="144EEF45" w14:textId="3DE5F5E7">
      <w:pPr>
        <w:pStyle w:val="ListParagraph"/>
        <w:numPr>
          <w:ilvl w:val="0"/>
          <w:numId w:val="2"/>
        </w:numPr>
        <w:spacing w:after="120"/>
        <w:rPr>
          <w:bCs/>
          <w:sz w:val="24"/>
        </w:rPr>
      </w:pPr>
      <w:r w:rsidRPr="00CD6567">
        <w:rPr>
          <w:b/>
          <w:sz w:val="24"/>
        </w:rPr>
        <w:t>OPPS Drug Acquisition Cost Survey Website:</w:t>
      </w:r>
      <w:r>
        <w:rPr>
          <w:bCs/>
          <w:sz w:val="24"/>
        </w:rPr>
        <w:t xml:space="preserve"> A new CMS </w:t>
      </w:r>
      <w:r w:rsidR="00856EE5">
        <w:rPr>
          <w:bCs/>
          <w:sz w:val="24"/>
        </w:rPr>
        <w:t>webpage will be created within the Medicare Hospital OPPS website (</w:t>
      </w:r>
      <w:r w:rsidRPr="00CD6567" w:rsidR="00856EE5">
        <w:rPr>
          <w:bCs/>
          <w:i/>
          <w:iCs/>
          <w:sz w:val="24"/>
        </w:rPr>
        <w:t>https://www.cms.gov/medicare/payment/prospective-payment-systems/hospital-outpatient</w:t>
      </w:r>
      <w:r w:rsidR="00856EE5">
        <w:rPr>
          <w:bCs/>
          <w:sz w:val="24"/>
        </w:rPr>
        <w:t>)</w:t>
      </w:r>
      <w:r>
        <w:rPr>
          <w:bCs/>
          <w:sz w:val="24"/>
        </w:rPr>
        <w:t xml:space="preserve"> in order to serve as a central hub for information and resources for hospitals as they learn more about </w:t>
      </w:r>
      <w:r w:rsidR="00B4093B">
        <w:rPr>
          <w:bCs/>
          <w:sz w:val="24"/>
        </w:rPr>
        <w:t>the process required to submit this data to CMS.</w:t>
      </w:r>
    </w:p>
    <w:p w:rsidR="00F47C61" w:rsidRPr="00676606" w:rsidP="00676606" w14:paraId="6D868BA3" w14:textId="77777777">
      <w:pPr>
        <w:keepNext/>
        <w:spacing w:after="120"/>
        <w:ind w:firstLine="720"/>
        <w:contextualSpacing/>
        <w:rPr>
          <w:sz w:val="24"/>
        </w:rPr>
      </w:pPr>
    </w:p>
    <w:p w:rsidR="008F1EB4" w:rsidRPr="0035720E" w:rsidP="00CD6567" w14:paraId="4C7D0925" w14:textId="07BB08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13.</w:t>
      </w:r>
      <w:r w:rsidRPr="0035720E">
        <w:rPr>
          <w:sz w:val="24"/>
        </w:rPr>
        <w:tab/>
      </w:r>
      <w:r w:rsidRPr="0035720E">
        <w:rPr>
          <w:sz w:val="24"/>
          <w:u w:val="single"/>
        </w:rPr>
        <w:t>Capital Costs</w:t>
      </w:r>
    </w:p>
    <w:p w:rsidR="00D12266" w:rsidRPr="0035720E" w:rsidP="00676606" w14:paraId="2B3F952C" w14:textId="77777777">
      <w:pPr>
        <w:pStyle w:val="BodyText"/>
        <w:spacing w:before="0" w:after="120"/>
        <w:ind w:left="720"/>
        <w:contextualSpacing/>
      </w:pPr>
      <w:r w:rsidRPr="0035720E">
        <w:t>There are no capital costs.</w:t>
      </w:r>
    </w:p>
    <w:p w:rsidR="008F1EB4" w:rsidRPr="0035720E" w:rsidP="00676606" w14:paraId="7286B10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1EB4" w:rsidRPr="0035720E" w:rsidP="00676606" w14:paraId="344137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14.</w:t>
      </w:r>
      <w:r w:rsidRPr="0035720E">
        <w:rPr>
          <w:sz w:val="24"/>
        </w:rPr>
        <w:tab/>
      </w:r>
      <w:r w:rsidRPr="0035720E">
        <w:rPr>
          <w:sz w:val="24"/>
          <w:u w:val="single"/>
        </w:rPr>
        <w:t>Cost to Federal Government</w:t>
      </w:r>
    </w:p>
    <w:p w:rsidR="008F1EB4" w:rsidP="0035720E" w14:paraId="44F71B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D26EC0" w:rsidRPr="0005338D" w:rsidP="006E5C69" w14:paraId="12A9C4CB" w14:textId="6D2169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r w:rsidRPr="0005338D">
        <w:rPr>
          <w:sz w:val="24"/>
        </w:rPr>
        <w:t>The cost to</w:t>
      </w:r>
      <w:r w:rsidR="00521744">
        <w:rPr>
          <w:sz w:val="24"/>
        </w:rPr>
        <w:t xml:space="preserve"> the Federal Government to</w:t>
      </w:r>
      <w:r w:rsidRPr="0005338D">
        <w:rPr>
          <w:sz w:val="24"/>
        </w:rPr>
        <w:t xml:space="preserve"> </w:t>
      </w:r>
      <w:r w:rsidRPr="0005338D">
        <w:rPr>
          <w:sz w:val="24"/>
        </w:rPr>
        <w:t>build and design the data collection system</w:t>
      </w:r>
      <w:r w:rsidR="00521744">
        <w:rPr>
          <w:sz w:val="24"/>
        </w:rPr>
        <w:t xml:space="preserve"> for the new module in the FFSDCS that will facilitate the collection of drug cost information to collect cost information</w:t>
      </w:r>
      <w:r w:rsidRPr="0005338D">
        <w:rPr>
          <w:sz w:val="24"/>
        </w:rPr>
        <w:t xml:space="preserve">, and analyze </w:t>
      </w:r>
      <w:r w:rsidRPr="0005338D">
        <w:rPr>
          <w:sz w:val="24"/>
        </w:rPr>
        <w:t xml:space="preserve">the information submitted </w:t>
      </w:r>
      <w:r w:rsidR="00431AA5">
        <w:rPr>
          <w:sz w:val="24"/>
        </w:rPr>
        <w:t xml:space="preserve">through that system </w:t>
      </w:r>
      <w:r w:rsidRPr="0005338D">
        <w:rPr>
          <w:sz w:val="24"/>
        </w:rPr>
        <w:t>is estimated as follows</w:t>
      </w:r>
      <w:r w:rsidRPr="0005338D">
        <w:rPr>
          <w:sz w:val="24"/>
        </w:rPr>
        <w:t>:</w:t>
      </w:r>
    </w:p>
    <w:p w:rsidR="00D26EC0" w:rsidRPr="0005338D" w:rsidP="006E5C69" w14:paraId="7E2D98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p>
    <w:p w:rsidR="00D26EC0" w:rsidRPr="0005338D" w:rsidP="00D26EC0" w14:paraId="650C5E9A" w14:textId="79BC34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r w:rsidRPr="0005338D">
        <w:rPr>
          <w:sz w:val="24"/>
        </w:rPr>
        <w:t xml:space="preserve">We estimate the total cost to the </w:t>
      </w:r>
      <w:r w:rsidR="00521744">
        <w:rPr>
          <w:sz w:val="24"/>
        </w:rPr>
        <w:t>F</w:t>
      </w:r>
      <w:r w:rsidRPr="0005338D">
        <w:rPr>
          <w:sz w:val="24"/>
        </w:rPr>
        <w:t xml:space="preserve">ederal </w:t>
      </w:r>
      <w:r w:rsidR="00521744">
        <w:rPr>
          <w:sz w:val="24"/>
        </w:rPr>
        <w:t>G</w:t>
      </w:r>
      <w:r w:rsidRPr="0005338D">
        <w:rPr>
          <w:sz w:val="24"/>
        </w:rPr>
        <w:t xml:space="preserve">overnment through direct costs incurred by government FTEs and contractor support. </w:t>
      </w:r>
    </w:p>
    <w:p w:rsidR="00D26EC0" w:rsidRPr="0005338D" w:rsidP="00D26EC0" w14:paraId="06CD4D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p>
    <w:p w:rsidR="00D26EC0" w:rsidRPr="00CD6567" w:rsidP="00D26EC0" w14:paraId="14472C72" w14:textId="3F51E15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u w:val="single"/>
        </w:rPr>
      </w:pPr>
      <w:r w:rsidRPr="00CD6567">
        <w:rPr>
          <w:sz w:val="24"/>
          <w:u w:val="single"/>
        </w:rPr>
        <w:t xml:space="preserve">Government FTE </w:t>
      </w:r>
      <w:r w:rsidR="00C0798A">
        <w:rPr>
          <w:sz w:val="24"/>
          <w:u w:val="single"/>
        </w:rPr>
        <w:t xml:space="preserve">Cost </w:t>
      </w:r>
      <w:r w:rsidRPr="00CD6567">
        <w:rPr>
          <w:sz w:val="24"/>
          <w:u w:val="single"/>
        </w:rPr>
        <w:t xml:space="preserve">Estimate: </w:t>
      </w:r>
    </w:p>
    <w:p w:rsidR="00D26EC0" w:rsidRPr="00CD6567" w:rsidP="00D26EC0" w14:paraId="3ABCF768" w14:textId="3673F5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r w:rsidRPr="0005338D">
        <w:rPr>
          <w:sz w:val="24"/>
        </w:rPr>
        <w:t xml:space="preserve">Using the </w:t>
      </w:r>
      <w:r w:rsidRPr="0005338D">
        <w:rPr>
          <w:i/>
          <w:iCs/>
          <w:sz w:val="24"/>
        </w:rPr>
        <w:t>WASHINGTON-BALTIMORE-ARLINGTON, DC-MD-VA-WV-PA LOCALITY – 2025</w:t>
      </w:r>
      <w:r w:rsidRPr="0005338D">
        <w:rPr>
          <w:sz w:val="24"/>
        </w:rPr>
        <w:t xml:space="preserve"> pay, we calculated an average hour rate of $144.48, which is an hourly rate of $72.24 doubled to include fringe benefits. </w:t>
      </w:r>
    </w:p>
    <w:p w:rsidR="00D26EC0" w:rsidRPr="0005338D" w:rsidP="00D26EC0" w14:paraId="64A469F8" w14:textId="7E6C328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p>
    <w:p w:rsidR="00D26EC0" w:rsidRPr="0005338D" w:rsidP="00D26EC0" w14:paraId="59F38A44" w14:textId="168E67C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r w:rsidRPr="0005338D">
        <w:rPr>
          <w:sz w:val="24"/>
        </w:rPr>
        <w:tab/>
        <w:t>GS-12 (step 5): $55.07</w:t>
      </w:r>
    </w:p>
    <w:p w:rsidR="00D26EC0" w:rsidRPr="0005338D" w:rsidP="00D26EC0" w14:paraId="6F0C4A5C" w14:textId="23746FE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r w:rsidRPr="0005338D">
        <w:rPr>
          <w:sz w:val="24"/>
        </w:rPr>
        <w:tab/>
        <w:t>GS-13 (step 5): $65.48</w:t>
      </w:r>
    </w:p>
    <w:p w:rsidR="00D26EC0" w:rsidRPr="0005338D" w:rsidP="00D26EC0" w14:paraId="458DAEB2" w14:textId="790388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r w:rsidRPr="0005338D">
        <w:rPr>
          <w:sz w:val="24"/>
        </w:rPr>
        <w:tab/>
        <w:t>GS-14 (step 5): $77.38</w:t>
      </w:r>
    </w:p>
    <w:p w:rsidR="00D26EC0" w:rsidRPr="0005338D" w:rsidP="00D26EC0" w14:paraId="6773C57E" w14:textId="0671A1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r w:rsidRPr="0005338D">
        <w:rPr>
          <w:sz w:val="24"/>
        </w:rPr>
        <w:tab/>
        <w:t>GS-15 (step 5): $91.02</w:t>
      </w:r>
    </w:p>
    <w:p w:rsidR="00D26EC0" w:rsidRPr="0005338D" w:rsidP="00D26EC0" w14:paraId="5174EB82" w14:textId="769401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r w:rsidRPr="0005338D">
        <w:rPr>
          <w:sz w:val="24"/>
        </w:rPr>
        <w:tab/>
        <w:t>Average Rate (equally weighted): $72.24 per hour * 2 = $144.48 per hour.</w:t>
      </w:r>
    </w:p>
    <w:p w:rsidR="00D26EC0" w:rsidRPr="0005338D" w:rsidP="00D26EC0" w14:paraId="269613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D26EC0" w:rsidRPr="0005338D" w:rsidP="006E5C69" w14:paraId="6553E692" w14:textId="7B1D68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r w:rsidRPr="0005338D">
        <w:rPr>
          <w:sz w:val="24"/>
        </w:rPr>
        <w:t>$144.48 per hour *3,000 hours = approximately $435,000</w:t>
      </w:r>
      <w:r w:rsidR="00C0798A">
        <w:rPr>
          <w:sz w:val="24"/>
        </w:rPr>
        <w:t xml:space="preserve"> annualized for Government FTEs.</w:t>
      </w:r>
    </w:p>
    <w:p w:rsidR="00D26EC0" w:rsidRPr="0005338D" w:rsidP="006E5C69" w14:paraId="7B3303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p>
    <w:p w:rsidR="00D26EC0" w:rsidRPr="00CD6567" w:rsidP="006E5C69" w14:paraId="5D8287F1" w14:textId="782931C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u w:val="single"/>
        </w:rPr>
      </w:pPr>
      <w:r w:rsidRPr="00CD6567">
        <w:rPr>
          <w:sz w:val="24"/>
          <w:u w:val="single"/>
        </w:rPr>
        <w:t xml:space="preserve">Government Contracting Cost Estimate: </w:t>
      </w:r>
    </w:p>
    <w:p w:rsidR="00C0798A" w:rsidP="00D26EC0" w14:paraId="4763E8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p>
    <w:p w:rsidR="00D26EC0" w:rsidRPr="00CD6567" w:rsidP="00D26EC0" w14:paraId="34BCED18" w14:textId="125E4BC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color w:val="000000"/>
          <w:sz w:val="24"/>
        </w:rPr>
      </w:pPr>
      <w:r w:rsidRPr="0005338D">
        <w:rPr>
          <w:sz w:val="24"/>
        </w:rPr>
        <w:t>T</w:t>
      </w:r>
      <w:r w:rsidRPr="00CD6567">
        <w:rPr>
          <w:color w:val="000000"/>
          <w:sz w:val="24"/>
        </w:rPr>
        <w:t>here will be contractual cost to the development of survey specific module to the existing electronic reporting system. These costs are confidential in preparation for contract negotiations; however, we provide a</w:t>
      </w:r>
      <w:r w:rsidR="0005338D">
        <w:rPr>
          <w:color w:val="000000"/>
          <w:sz w:val="24"/>
        </w:rPr>
        <w:t xml:space="preserve"> general estimate of the costs associated with contractor support for the development of this data collection as well as the associated </w:t>
      </w:r>
      <w:r w:rsidR="00301D80">
        <w:rPr>
          <w:color w:val="000000"/>
          <w:sz w:val="24"/>
        </w:rPr>
        <w:t>data analysis</w:t>
      </w:r>
      <w:r w:rsidRPr="00CD6567">
        <w:rPr>
          <w:color w:val="000000"/>
          <w:sz w:val="24"/>
        </w:rPr>
        <w:t>.</w:t>
      </w:r>
    </w:p>
    <w:p w:rsidR="00C0798A" w:rsidP="00C0798A" w14:paraId="037B902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p>
    <w:p w:rsidR="00C0798A" w:rsidRPr="0005338D" w:rsidP="00C0798A" w14:paraId="399C4DC3" w14:textId="33D72BB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sz w:val="24"/>
        </w:rPr>
      </w:pPr>
      <w:r>
        <w:rPr>
          <w:sz w:val="24"/>
        </w:rPr>
        <w:t xml:space="preserve">Annualized </w:t>
      </w:r>
      <w:r w:rsidRPr="0005338D">
        <w:rPr>
          <w:sz w:val="24"/>
        </w:rPr>
        <w:t xml:space="preserve">Contractor Support: </w:t>
      </w:r>
      <w:r w:rsidRPr="00C0798A">
        <w:rPr>
          <w:sz w:val="24"/>
        </w:rPr>
        <w:t>$1,</w:t>
      </w:r>
      <w:r w:rsidRPr="00C81592">
        <w:rPr>
          <w:sz w:val="24"/>
        </w:rPr>
        <w:t>7</w:t>
      </w:r>
      <w:r w:rsidRPr="00C0798A">
        <w:rPr>
          <w:sz w:val="24"/>
        </w:rPr>
        <w:t>00,000</w:t>
      </w:r>
      <w:r>
        <w:rPr>
          <w:sz w:val="24"/>
        </w:rPr>
        <w:t>.</w:t>
      </w:r>
    </w:p>
    <w:p w:rsidR="00D26EC0" w:rsidRPr="00CD6567" w:rsidP="00D26EC0" w14:paraId="527867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color w:val="000000"/>
          <w:sz w:val="24"/>
        </w:rPr>
      </w:pPr>
    </w:p>
    <w:p w:rsidR="00C0798A" w:rsidRPr="00CE7AF9" w:rsidP="00D26EC0" w14:paraId="4F9DBA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color w:val="000000"/>
          <w:sz w:val="24"/>
          <w:u w:val="single"/>
        </w:rPr>
      </w:pPr>
      <w:r w:rsidRPr="00CE7AF9">
        <w:rPr>
          <w:color w:val="000000"/>
          <w:sz w:val="24"/>
          <w:u w:val="single"/>
        </w:rPr>
        <w:t xml:space="preserve">Total </w:t>
      </w:r>
      <w:r w:rsidRPr="00CE7AF9" w:rsidR="00FE0C36">
        <w:rPr>
          <w:color w:val="000000"/>
          <w:sz w:val="24"/>
          <w:u w:val="single"/>
        </w:rPr>
        <w:t xml:space="preserve">annualized </w:t>
      </w:r>
      <w:r w:rsidRPr="00CE7AF9">
        <w:rPr>
          <w:color w:val="000000"/>
          <w:sz w:val="24"/>
          <w:u w:val="single"/>
        </w:rPr>
        <w:t xml:space="preserve">estimated cost to the government: </w:t>
      </w:r>
    </w:p>
    <w:p w:rsidR="00C0798A" w:rsidP="00D26EC0" w14:paraId="0AEE0005" w14:textId="002254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color w:val="000000"/>
          <w:sz w:val="24"/>
        </w:rPr>
      </w:pPr>
      <w:r>
        <w:rPr>
          <w:sz w:val="24"/>
        </w:rPr>
        <w:t xml:space="preserve">Approximate annualized for Government FTEs + Annualized </w:t>
      </w:r>
      <w:r w:rsidRPr="0005338D">
        <w:rPr>
          <w:sz w:val="24"/>
        </w:rPr>
        <w:t>Contractor Support</w:t>
      </w:r>
    </w:p>
    <w:p w:rsidR="00D26EC0" w:rsidRPr="00CD6567" w:rsidP="00D26EC0" w14:paraId="0B4D2C16" w14:textId="1AAD71A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color w:val="000000"/>
          <w:sz w:val="24"/>
        </w:rPr>
      </w:pPr>
      <w:r w:rsidRPr="00CD6567">
        <w:rPr>
          <w:color w:val="000000"/>
          <w:sz w:val="24"/>
        </w:rPr>
        <w:t>$435,000 + $1,</w:t>
      </w:r>
      <w:r w:rsidRPr="00CD6567" w:rsidR="000E5D4F">
        <w:rPr>
          <w:color w:val="000000"/>
          <w:sz w:val="24"/>
        </w:rPr>
        <w:t>7</w:t>
      </w:r>
      <w:r w:rsidRPr="00CD6567">
        <w:rPr>
          <w:color w:val="000000"/>
          <w:sz w:val="24"/>
        </w:rPr>
        <w:t>00,000 = $</w:t>
      </w:r>
      <w:r w:rsidR="000E5D4F">
        <w:rPr>
          <w:color w:val="000000"/>
          <w:sz w:val="24"/>
        </w:rPr>
        <w:t>2,1</w:t>
      </w:r>
      <w:r w:rsidRPr="00CD6567">
        <w:rPr>
          <w:color w:val="000000"/>
          <w:sz w:val="24"/>
        </w:rPr>
        <w:t xml:space="preserve">35,000. </w:t>
      </w:r>
    </w:p>
    <w:p w:rsidR="00D26EC0" w:rsidRPr="00CD6567" w:rsidP="00D26EC0" w14:paraId="6C49D0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contextualSpacing/>
        <w:rPr>
          <w:color w:val="000000"/>
          <w:sz w:val="24"/>
        </w:rPr>
      </w:pPr>
    </w:p>
    <w:p w:rsidR="008F1EB4" w:rsidRPr="0035720E" w:rsidP="00676606" w14:paraId="31E1329D" w14:textId="3FAC11C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1EB4" w:rsidRPr="00D50680" w:rsidP="00CD6567" w14:paraId="139C9060" w14:textId="2549EB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color w:val="000000"/>
          <w:sz w:val="24"/>
        </w:rPr>
      </w:pPr>
      <w:r w:rsidRPr="0035720E">
        <w:rPr>
          <w:sz w:val="24"/>
        </w:rPr>
        <w:t>15.</w:t>
      </w:r>
      <w:r w:rsidRPr="0035720E">
        <w:rPr>
          <w:sz w:val="24"/>
        </w:rPr>
        <w:tab/>
      </w:r>
      <w:r w:rsidRPr="0035720E">
        <w:rPr>
          <w:sz w:val="24"/>
          <w:u w:val="single"/>
        </w:rPr>
        <w:t>Changes to Burden</w:t>
      </w:r>
    </w:p>
    <w:p w:rsidR="00386DEB" w:rsidRPr="00D50680" w:rsidP="00386DEB" w14:paraId="0F99198C" w14:textId="77777777">
      <w:pPr>
        <w:pStyle w:val="BodyText"/>
        <w:spacing w:before="0" w:after="120"/>
        <w:ind w:left="720"/>
        <w:contextualSpacing/>
        <w:rPr>
          <w:color w:val="000000"/>
        </w:rPr>
      </w:pPr>
      <w:r w:rsidRPr="00D50680">
        <w:rPr>
          <w:color w:val="000000"/>
        </w:rPr>
        <w:t>No changes to burden.  This is a new collection.</w:t>
      </w:r>
    </w:p>
    <w:p w:rsidR="008F1EB4" w:rsidRPr="0035720E" w:rsidP="00676606" w14:paraId="654CFE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1EB4" w:rsidRPr="0035720E" w:rsidP="00CD6567" w14:paraId="013D5899" w14:textId="1267BF3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16.</w:t>
      </w:r>
      <w:r w:rsidRPr="0035720E">
        <w:rPr>
          <w:sz w:val="24"/>
        </w:rPr>
        <w:tab/>
      </w:r>
      <w:r w:rsidRPr="0035720E">
        <w:rPr>
          <w:sz w:val="24"/>
          <w:u w:val="single"/>
        </w:rPr>
        <w:t>Publication/Tabulation Dates</w:t>
      </w:r>
    </w:p>
    <w:p w:rsidR="002274C2" w:rsidP="002274C2" w14:paraId="219C649A" w14:textId="77777777">
      <w:pPr>
        <w:pStyle w:val="NormalWeb"/>
        <w:spacing w:after="120"/>
        <w:ind w:left="720"/>
        <w:contextualSpacing/>
        <w:rPr>
          <w:color w:val="000000"/>
        </w:rPr>
      </w:pPr>
      <w:r w:rsidRPr="00676606">
        <w:rPr>
          <w:color w:val="000000"/>
        </w:rPr>
        <w:t xml:space="preserve">In accordance with section 1833(t)(14)(A)(iii)(I), the agency plans to use the data collected to determine acquisition costs for SCODs, based on data submission to the </w:t>
      </w:r>
      <w:r w:rsidRPr="0035720E">
        <w:rPr>
          <w:spacing w:val="12"/>
        </w:rPr>
        <w:t>FFSDCS</w:t>
      </w:r>
      <w:r w:rsidRPr="00676606">
        <w:rPr>
          <w:color w:val="000000"/>
        </w:rPr>
        <w:t xml:space="preserve">. Following the collection of data and its analysis, the results of the survey will be </w:t>
      </w:r>
      <w:r w:rsidRPr="0035720E">
        <w:rPr>
          <w:color w:val="000000"/>
        </w:rPr>
        <w:t>considered</w:t>
      </w:r>
      <w:r w:rsidRPr="00676606">
        <w:rPr>
          <w:color w:val="000000"/>
        </w:rPr>
        <w:t xml:space="preserve"> </w:t>
      </w:r>
      <w:r w:rsidRPr="0035720E">
        <w:rPr>
          <w:color w:val="000000"/>
        </w:rPr>
        <w:t>in determining</w:t>
      </w:r>
      <w:r w:rsidRPr="00676606">
        <w:rPr>
          <w:color w:val="000000"/>
        </w:rPr>
        <w:t xml:space="preserve"> proposed payment rates, which would be subject to notice and comment rulemaking. </w:t>
      </w:r>
      <w:r w:rsidRPr="0035720E">
        <w:rPr>
          <w:color w:val="000000"/>
        </w:rPr>
        <w:t>We intend for the survey to be completed in time for the survey results to be used to inform policymaking beginning with the CY 2027 OPPS/ASC proposed rule.</w:t>
      </w:r>
      <w:r w:rsidR="00782C75">
        <w:rPr>
          <w:color w:val="000000"/>
        </w:rPr>
        <w:t xml:space="preserve"> </w:t>
      </w:r>
      <w:r w:rsidR="00C333CB">
        <w:rPr>
          <w:color w:val="000000"/>
        </w:rPr>
        <w:t xml:space="preserve"> </w:t>
      </w:r>
    </w:p>
    <w:p w:rsidR="002274C2" w:rsidRPr="0035720E" w:rsidP="002274C2" w14:paraId="65DE2E7B" w14:textId="77777777">
      <w:pPr>
        <w:pStyle w:val="NormalWeb"/>
        <w:spacing w:after="120"/>
        <w:ind w:left="720"/>
        <w:contextualSpacing/>
        <w:rPr>
          <w:color w:val="FF0000"/>
        </w:rPr>
      </w:pPr>
      <w:r>
        <w:rPr>
          <w:color w:val="000000"/>
        </w:rPr>
        <w:t xml:space="preserve">We do not plan to post the raw survey data publicly.  We may </w:t>
      </w:r>
      <w:r w:rsidRPr="00782C75">
        <w:rPr>
          <w:color w:val="000000"/>
        </w:rPr>
        <w:t xml:space="preserve">provide aggregated </w:t>
      </w:r>
      <w:r>
        <w:rPr>
          <w:color w:val="000000"/>
        </w:rPr>
        <w:t xml:space="preserve">or de-identified </w:t>
      </w:r>
      <w:r w:rsidRPr="00782C75">
        <w:rPr>
          <w:color w:val="000000"/>
        </w:rPr>
        <w:t>statistics</w:t>
      </w:r>
      <w:r>
        <w:rPr>
          <w:color w:val="000000"/>
        </w:rPr>
        <w:t xml:space="preserve"> in conjunction with any proposed payment rates we propose in future rulemaking based on survey data.</w:t>
      </w:r>
    </w:p>
    <w:p w:rsidR="008F1EB4" w:rsidRPr="0035720E" w:rsidP="002274C2" w14:paraId="2A6AB8BF" w14:textId="77777777">
      <w:pPr>
        <w:pStyle w:val="NormalWeb"/>
        <w:spacing w:after="120"/>
        <w:ind w:left="720"/>
        <w:contextualSpacing/>
      </w:pPr>
    </w:p>
    <w:p w:rsidR="000F3AF4" w:rsidRPr="0035720E" w:rsidP="00CD6567" w14:paraId="7F590FD7" w14:textId="06D7F43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17.</w:t>
      </w:r>
      <w:r w:rsidRPr="0035720E">
        <w:rPr>
          <w:sz w:val="24"/>
        </w:rPr>
        <w:tab/>
      </w:r>
      <w:r w:rsidRPr="0035720E">
        <w:rPr>
          <w:sz w:val="24"/>
          <w:u w:val="single"/>
        </w:rPr>
        <w:t>Expiration Date</w:t>
      </w:r>
    </w:p>
    <w:p w:rsidR="005222A8" w:rsidRPr="0035720E" w:rsidP="00676606" w14:paraId="49104FFE" w14:textId="63DA3D84">
      <w:pPr>
        <w:pStyle w:val="BodyText"/>
        <w:spacing w:before="0" w:after="120"/>
        <w:ind w:left="720"/>
        <w:contextualSpacing/>
      </w:pPr>
      <w:r w:rsidRPr="0035720E">
        <w:t xml:space="preserve">CMS will display the expiration date </w:t>
      </w:r>
      <w:r w:rsidRPr="0035720E">
        <w:t xml:space="preserve">and OMB control number on the CMS website at </w:t>
      </w:r>
      <w:hyperlink r:id="rId12" w:history="1">
        <w:r w:rsidRPr="0035720E">
          <w:rPr>
            <w:rStyle w:val="Hyperlink"/>
          </w:rPr>
          <w:t>https://www.cms.gov/Medicare/Medicare-Fee-for-Service-</w:t>
        </w:r>
      </w:hyperlink>
      <w:hyperlink r:id="rId12" w:history="1">
        <w:r w:rsidRPr="0035720E">
          <w:rPr>
            <w:rStyle w:val="Hyperlink"/>
          </w:rPr>
          <w:t xml:space="preserve"> </w:t>
        </w:r>
      </w:hyperlink>
    </w:p>
    <w:p w:rsidR="0037289D" w:rsidRPr="0035720E" w:rsidP="00676606" w14:paraId="311972C1" w14:textId="4676DE80">
      <w:pPr>
        <w:pStyle w:val="BodyText"/>
        <w:spacing w:before="0" w:after="120"/>
        <w:ind w:left="720"/>
        <w:contextualSpacing/>
      </w:pPr>
      <w:hyperlink r:id="rId12" w:history="1">
        <w:r w:rsidRPr="0035720E">
          <w:rPr>
            <w:rStyle w:val="Hyperlink"/>
          </w:rPr>
          <w:t>Payment/HospitalOutpatientPPS/index.html</w:t>
        </w:r>
      </w:hyperlink>
      <w:r w:rsidRPr="0035720E">
        <w:t>. There is a placeholder in the footer of the instruction document / user manual. On the instrument, there is a placeholder on the PRA Disclosure Statement</w:t>
      </w:r>
      <w:r w:rsidRPr="0035720E">
        <w:t>.</w:t>
      </w:r>
    </w:p>
    <w:p w:rsidR="008F1EB4" w:rsidRPr="0035720E" w:rsidP="00676606" w14:paraId="1E09B0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rPr>
          <w:sz w:val="24"/>
        </w:rPr>
      </w:pPr>
    </w:p>
    <w:p w:rsidR="008F1EB4" w:rsidRPr="0035720E" w:rsidP="00CD6567" w14:paraId="11BE0DC0" w14:textId="31A27A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sz w:val="24"/>
        </w:rPr>
      </w:pPr>
      <w:r w:rsidRPr="0035720E">
        <w:rPr>
          <w:sz w:val="24"/>
        </w:rPr>
        <w:t>18.</w:t>
      </w:r>
      <w:r w:rsidRPr="0035720E">
        <w:rPr>
          <w:sz w:val="24"/>
        </w:rPr>
        <w:tab/>
      </w:r>
      <w:r w:rsidRPr="0035720E">
        <w:rPr>
          <w:sz w:val="24"/>
          <w:u w:val="single"/>
        </w:rPr>
        <w:t>Certification Statement</w:t>
      </w:r>
    </w:p>
    <w:p w:rsidR="0037289D" w:rsidRPr="0035720E" w:rsidP="00676606" w14:paraId="4CB65EB8" w14:textId="77777777">
      <w:pPr>
        <w:pStyle w:val="BodyText"/>
        <w:spacing w:before="0" w:after="120"/>
        <w:ind w:left="720"/>
        <w:contextualSpacing/>
      </w:pPr>
      <w:r w:rsidRPr="0035720E">
        <w:t>There are no exceptions to the certification statement.</w:t>
      </w:r>
    </w:p>
    <w:p w:rsidR="000F3AF4" w:rsidRPr="0035720E" w:rsidP="00676606" w14:paraId="12CDE2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32" w:hanging="432"/>
        <w:contextualSpacing/>
        <w:rPr>
          <w:b/>
          <w:bCs/>
          <w:sz w:val="24"/>
          <w:u w:val="single"/>
        </w:rPr>
      </w:pPr>
    </w:p>
    <w:sectPr w:rsidSect="006C0C9E">
      <w:footerReference w:type="default" r:id="rId13"/>
      <w:endnotePr>
        <w:numFmt w:val="decimal"/>
      </w:endnotePr>
      <w:type w:val="continuous"/>
      <w:pgSz w:w="12240" w:h="15840"/>
      <w:pgMar w:top="1440" w:right="1296"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8024894"/>
      <w:docPartObj>
        <w:docPartGallery w:val="Page Numbers (Bottom of Page)"/>
        <w:docPartUnique/>
      </w:docPartObj>
    </w:sdtPr>
    <w:sdtEndPr>
      <w:rPr>
        <w:noProof/>
      </w:rPr>
    </w:sdtEndPr>
    <w:sdtContent>
      <w:p w:rsidR="00F25EB6" w14:paraId="2FF928C4" w14:textId="2FDBD9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F1EB4" w14:paraId="6F487827" w14:textId="77777777">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4F50" w14:paraId="7EBF6194" w14:textId="77777777">
      <w:r>
        <w:separator/>
      </w:r>
    </w:p>
  </w:footnote>
  <w:footnote w:type="continuationSeparator" w:id="1">
    <w:p w:rsidR="00684F50" w14:paraId="5BD8513D" w14:textId="77777777">
      <w:r>
        <w:continuationSeparator/>
      </w:r>
    </w:p>
  </w:footnote>
  <w:footnote w:type="continuationNotice" w:id="2">
    <w:p w:rsidR="00684F50" w14:paraId="77037DEB" w14:textId="77777777"/>
  </w:footnote>
  <w:footnote w:id="3">
    <w:p w:rsidR="00825C60" w14:paraId="4FD77494" w14:textId="72E4B193">
      <w:pPr>
        <w:pStyle w:val="FootnoteText"/>
      </w:pPr>
      <w:r>
        <w:rPr>
          <w:rStyle w:val="FootnoteReference"/>
        </w:rPr>
        <w:footnoteRef/>
      </w:r>
      <w:r>
        <w:t xml:space="preserve"> </w:t>
      </w:r>
      <w:hyperlink r:id="rId1" w:history="1">
        <w:r w:rsidRPr="00467DB2">
          <w:rPr>
            <w:rStyle w:val="Hyperlink"/>
          </w:rPr>
          <w:t>https://www.gao.gov/assets/gao-06-17r.pdf</w:t>
        </w:r>
      </w:hyperlink>
      <w:r>
        <w:t xml:space="preserve"> </w:t>
      </w:r>
    </w:p>
  </w:footnote>
  <w:footnote w:id="4">
    <w:p w:rsidR="00825C60" w14:paraId="3762DEC1" w14:textId="0F05DDB8">
      <w:pPr>
        <w:pStyle w:val="FootnoteText"/>
      </w:pPr>
      <w:r>
        <w:rPr>
          <w:rStyle w:val="FootnoteReference"/>
        </w:rPr>
        <w:footnoteRef/>
      </w:r>
      <w:r>
        <w:t xml:space="preserve"> </w:t>
      </w:r>
      <w:hyperlink r:id="rId2" w:history="1">
        <w:r w:rsidRPr="00467DB2" w:rsidR="005C0E20">
          <w:rPr>
            <w:rStyle w:val="Hyperlink"/>
          </w:rPr>
          <w:t>https://www.gao.gov/new.items/d06372.pdf</w:t>
        </w:r>
      </w:hyperlink>
      <w:r w:rsidR="005C0E20">
        <w:t xml:space="preserve"> </w:t>
      </w:r>
    </w:p>
  </w:footnote>
  <w:footnote w:id="5">
    <w:p w:rsidR="00A35C9D" w14:paraId="2F1E56BC" w14:textId="452B3B05">
      <w:pPr>
        <w:pStyle w:val="FootnoteText"/>
      </w:pPr>
      <w:r>
        <w:rPr>
          <w:rStyle w:val="FootnoteReference"/>
        </w:rPr>
        <w:footnoteRef/>
      </w:r>
      <w:r>
        <w:t xml:space="preserve"> </w:t>
      </w:r>
      <w:r w:rsidRPr="00676606">
        <w:rPr>
          <w:i/>
          <w:iCs/>
        </w:rPr>
        <w:t>Id</w:t>
      </w:r>
      <w:r w:rsidRPr="00A35C9D">
        <w:t>. at 19</w:t>
      </w:r>
      <w:r>
        <w:t>.</w:t>
      </w:r>
    </w:p>
  </w:footnote>
  <w:footnote w:id="6">
    <w:p w:rsidR="00A35C9D" w14:paraId="2D34641C" w14:textId="3120BB19">
      <w:pPr>
        <w:pStyle w:val="FootnoteText"/>
      </w:pPr>
      <w:r>
        <w:rPr>
          <w:rStyle w:val="FootnoteReference"/>
        </w:rPr>
        <w:footnoteRef/>
      </w:r>
      <w:r>
        <w:t xml:space="preserve"> </w:t>
      </w:r>
      <w:r w:rsidRPr="00676606">
        <w:rPr>
          <w:i/>
          <w:iCs/>
        </w:rPr>
        <w:t>Id</w:t>
      </w:r>
      <w:r w:rsidRPr="00A35C9D">
        <w:t>. at 1</w:t>
      </w:r>
      <w:r>
        <w:t>3</w:t>
      </w:r>
      <w:r w:rsidRPr="00A35C9D">
        <w:t>.</w:t>
      </w:r>
    </w:p>
  </w:footnote>
  <w:footnote w:id="7">
    <w:p w:rsidR="000F3E00" w14:paraId="777B9AC5" w14:textId="0C13D898">
      <w:pPr>
        <w:pStyle w:val="FootnoteText"/>
      </w:pPr>
      <w:r>
        <w:rPr>
          <w:rStyle w:val="FootnoteReference"/>
        </w:rPr>
        <w:footnoteRef/>
      </w:r>
      <w:r>
        <w:t xml:space="preserve"> </w:t>
      </w:r>
      <w:hyperlink r:id="rId1" w:history="1">
        <w:r w:rsidRPr="00467DB2" w:rsidR="00D76559">
          <w:rPr>
            <w:rStyle w:val="Hyperlink"/>
          </w:rPr>
          <w:t>https://www.gao.gov/assets/gao-06-17r.pdf</w:t>
        </w:r>
      </w:hyperlink>
      <w:r w:rsidR="00D76559">
        <w:t xml:space="preserve"> at 13-14.</w:t>
      </w:r>
    </w:p>
  </w:footnote>
  <w:footnote w:id="8">
    <w:p w:rsidR="00862158" w14:paraId="257C703D" w14:textId="6948D386">
      <w:pPr>
        <w:pStyle w:val="FootnoteText"/>
      </w:pPr>
      <w:r>
        <w:rPr>
          <w:rStyle w:val="FootnoteReference"/>
        </w:rPr>
        <w:footnoteRef/>
      </w:r>
      <w:r>
        <w:t xml:space="preserve"> </w:t>
      </w:r>
      <w:hyperlink r:id="rId2" w:history="1">
        <w:r w:rsidRPr="00467DB2">
          <w:rPr>
            <w:rStyle w:val="Hyperlink"/>
          </w:rPr>
          <w:t>https://www.gao.gov/new.items/d06372.pdf</w:t>
        </w:r>
      </w:hyperlink>
      <w:r>
        <w:t xml:space="preserve"> at page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D0576D"/>
    <w:multiLevelType w:val="hybridMultilevel"/>
    <w:tmpl w:val="64081E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CC3681B"/>
    <w:multiLevelType w:val="hybridMultilevel"/>
    <w:tmpl w:val="A3F6B4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3D11B28"/>
    <w:multiLevelType w:val="hybridMultilevel"/>
    <w:tmpl w:val="189436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705985607">
    <w:abstractNumId w:val="2"/>
  </w:num>
  <w:num w:numId="2" w16cid:durableId="720251850">
    <w:abstractNumId w:val="0"/>
  </w:num>
  <w:num w:numId="3" w16cid:durableId="15896597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F4"/>
    <w:rsid w:val="00002306"/>
    <w:rsid w:val="000031C3"/>
    <w:rsid w:val="00007D2A"/>
    <w:rsid w:val="000118C8"/>
    <w:rsid w:val="00011B3F"/>
    <w:rsid w:val="000178E7"/>
    <w:rsid w:val="0002208D"/>
    <w:rsid w:val="000327F6"/>
    <w:rsid w:val="00034CC6"/>
    <w:rsid w:val="00047F25"/>
    <w:rsid w:val="0005338D"/>
    <w:rsid w:val="00063F9D"/>
    <w:rsid w:val="0006691B"/>
    <w:rsid w:val="00066AB8"/>
    <w:rsid w:val="000731F3"/>
    <w:rsid w:val="00080746"/>
    <w:rsid w:val="00080A72"/>
    <w:rsid w:val="0008494F"/>
    <w:rsid w:val="00085DBB"/>
    <w:rsid w:val="000A0175"/>
    <w:rsid w:val="000D504A"/>
    <w:rsid w:val="000E5D4F"/>
    <w:rsid w:val="000F15D0"/>
    <w:rsid w:val="000F3AF4"/>
    <w:rsid w:val="000F3E00"/>
    <w:rsid w:val="000F69E5"/>
    <w:rsid w:val="0010616F"/>
    <w:rsid w:val="001274CF"/>
    <w:rsid w:val="001628C0"/>
    <w:rsid w:val="0016407A"/>
    <w:rsid w:val="00164AD0"/>
    <w:rsid w:val="001653E5"/>
    <w:rsid w:val="001678B8"/>
    <w:rsid w:val="001705ED"/>
    <w:rsid w:val="00171889"/>
    <w:rsid w:val="001751B0"/>
    <w:rsid w:val="001761D5"/>
    <w:rsid w:val="00181229"/>
    <w:rsid w:val="0018136F"/>
    <w:rsid w:val="00183E1C"/>
    <w:rsid w:val="00191729"/>
    <w:rsid w:val="00193A18"/>
    <w:rsid w:val="001953AF"/>
    <w:rsid w:val="001A2984"/>
    <w:rsid w:val="001B05F6"/>
    <w:rsid w:val="001B4BEA"/>
    <w:rsid w:val="001D19DB"/>
    <w:rsid w:val="001D4ACC"/>
    <w:rsid w:val="001D7DDF"/>
    <w:rsid w:val="001E3C3D"/>
    <w:rsid w:val="001E4732"/>
    <w:rsid w:val="001F2B7E"/>
    <w:rsid w:val="001F4610"/>
    <w:rsid w:val="001F7711"/>
    <w:rsid w:val="00200F50"/>
    <w:rsid w:val="00213B1B"/>
    <w:rsid w:val="00217C24"/>
    <w:rsid w:val="0022057D"/>
    <w:rsid w:val="002274C2"/>
    <w:rsid w:val="00237159"/>
    <w:rsid w:val="00243669"/>
    <w:rsid w:val="00244409"/>
    <w:rsid w:val="00257319"/>
    <w:rsid w:val="002719D7"/>
    <w:rsid w:val="00273918"/>
    <w:rsid w:val="00273B41"/>
    <w:rsid w:val="00274979"/>
    <w:rsid w:val="00277C47"/>
    <w:rsid w:val="00285722"/>
    <w:rsid w:val="00296DD1"/>
    <w:rsid w:val="002A11D3"/>
    <w:rsid w:val="002B2663"/>
    <w:rsid w:val="002B64DA"/>
    <w:rsid w:val="002B7949"/>
    <w:rsid w:val="002D39AC"/>
    <w:rsid w:val="002E1EF7"/>
    <w:rsid w:val="002E2C57"/>
    <w:rsid w:val="002F10B4"/>
    <w:rsid w:val="002F7511"/>
    <w:rsid w:val="00301D80"/>
    <w:rsid w:val="00301D9D"/>
    <w:rsid w:val="003025B8"/>
    <w:rsid w:val="0030645B"/>
    <w:rsid w:val="00307CE0"/>
    <w:rsid w:val="00310C5D"/>
    <w:rsid w:val="00323452"/>
    <w:rsid w:val="00332D74"/>
    <w:rsid w:val="00350952"/>
    <w:rsid w:val="003556A6"/>
    <w:rsid w:val="0035720E"/>
    <w:rsid w:val="00360E47"/>
    <w:rsid w:val="00361B8F"/>
    <w:rsid w:val="00366AAA"/>
    <w:rsid w:val="00367D27"/>
    <w:rsid w:val="00367E0F"/>
    <w:rsid w:val="00371980"/>
    <w:rsid w:val="00372638"/>
    <w:rsid w:val="0037289D"/>
    <w:rsid w:val="00377ECB"/>
    <w:rsid w:val="00381CA0"/>
    <w:rsid w:val="0038312C"/>
    <w:rsid w:val="00386956"/>
    <w:rsid w:val="00386DEB"/>
    <w:rsid w:val="00386E28"/>
    <w:rsid w:val="00390B5E"/>
    <w:rsid w:val="00391A85"/>
    <w:rsid w:val="003B0FDF"/>
    <w:rsid w:val="003B3758"/>
    <w:rsid w:val="003B55D6"/>
    <w:rsid w:val="003C1A9F"/>
    <w:rsid w:val="003C51E1"/>
    <w:rsid w:val="003D43CB"/>
    <w:rsid w:val="003D6C18"/>
    <w:rsid w:val="003F66B9"/>
    <w:rsid w:val="003F68C8"/>
    <w:rsid w:val="00401CFB"/>
    <w:rsid w:val="00412192"/>
    <w:rsid w:val="004155EC"/>
    <w:rsid w:val="00431AA5"/>
    <w:rsid w:val="004430AA"/>
    <w:rsid w:val="004555DA"/>
    <w:rsid w:val="00467DB2"/>
    <w:rsid w:val="00472009"/>
    <w:rsid w:val="004751A1"/>
    <w:rsid w:val="0048497C"/>
    <w:rsid w:val="004870FA"/>
    <w:rsid w:val="004A16CA"/>
    <w:rsid w:val="004A3E83"/>
    <w:rsid w:val="004A40D5"/>
    <w:rsid w:val="004B1251"/>
    <w:rsid w:val="004B3DC6"/>
    <w:rsid w:val="004B4C9E"/>
    <w:rsid w:val="004D0068"/>
    <w:rsid w:val="004D0E77"/>
    <w:rsid w:val="004E65A6"/>
    <w:rsid w:val="00516A5F"/>
    <w:rsid w:val="00521744"/>
    <w:rsid w:val="00521955"/>
    <w:rsid w:val="005222A8"/>
    <w:rsid w:val="005253F8"/>
    <w:rsid w:val="00526D00"/>
    <w:rsid w:val="005327DF"/>
    <w:rsid w:val="005345D5"/>
    <w:rsid w:val="00545026"/>
    <w:rsid w:val="005461DB"/>
    <w:rsid w:val="00546D4E"/>
    <w:rsid w:val="005551E1"/>
    <w:rsid w:val="005573EB"/>
    <w:rsid w:val="00561131"/>
    <w:rsid w:val="0056479E"/>
    <w:rsid w:val="00566A8B"/>
    <w:rsid w:val="00586089"/>
    <w:rsid w:val="005871FC"/>
    <w:rsid w:val="005931B5"/>
    <w:rsid w:val="0059353B"/>
    <w:rsid w:val="00595739"/>
    <w:rsid w:val="005B58DA"/>
    <w:rsid w:val="005C0E20"/>
    <w:rsid w:val="005C27DC"/>
    <w:rsid w:val="005D7597"/>
    <w:rsid w:val="005E5A4C"/>
    <w:rsid w:val="005E698F"/>
    <w:rsid w:val="005F12B5"/>
    <w:rsid w:val="005F1513"/>
    <w:rsid w:val="005F2B05"/>
    <w:rsid w:val="00604C12"/>
    <w:rsid w:val="0061661F"/>
    <w:rsid w:val="006229ED"/>
    <w:rsid w:val="006348AF"/>
    <w:rsid w:val="00650BE8"/>
    <w:rsid w:val="00676606"/>
    <w:rsid w:val="00684F50"/>
    <w:rsid w:val="006861C3"/>
    <w:rsid w:val="0069480E"/>
    <w:rsid w:val="006A675A"/>
    <w:rsid w:val="006B34F8"/>
    <w:rsid w:val="006B4D64"/>
    <w:rsid w:val="006C0C9E"/>
    <w:rsid w:val="006C2336"/>
    <w:rsid w:val="006D2092"/>
    <w:rsid w:val="006E40C1"/>
    <w:rsid w:val="006E5C69"/>
    <w:rsid w:val="006F0EF1"/>
    <w:rsid w:val="006F3195"/>
    <w:rsid w:val="006F46AA"/>
    <w:rsid w:val="00700389"/>
    <w:rsid w:val="00702D23"/>
    <w:rsid w:val="0070653A"/>
    <w:rsid w:val="00730A28"/>
    <w:rsid w:val="00731E19"/>
    <w:rsid w:val="00733552"/>
    <w:rsid w:val="00736099"/>
    <w:rsid w:val="00743BAA"/>
    <w:rsid w:val="00747942"/>
    <w:rsid w:val="007526EE"/>
    <w:rsid w:val="00755537"/>
    <w:rsid w:val="00761FC4"/>
    <w:rsid w:val="00763B8A"/>
    <w:rsid w:val="00764F77"/>
    <w:rsid w:val="00765F95"/>
    <w:rsid w:val="00767A67"/>
    <w:rsid w:val="00774281"/>
    <w:rsid w:val="007815F5"/>
    <w:rsid w:val="00782A59"/>
    <w:rsid w:val="00782C75"/>
    <w:rsid w:val="00783A83"/>
    <w:rsid w:val="00784040"/>
    <w:rsid w:val="00784EB9"/>
    <w:rsid w:val="00785984"/>
    <w:rsid w:val="00787A57"/>
    <w:rsid w:val="00787ECD"/>
    <w:rsid w:val="007957F1"/>
    <w:rsid w:val="00796E99"/>
    <w:rsid w:val="007B3C97"/>
    <w:rsid w:val="007B708A"/>
    <w:rsid w:val="007C3154"/>
    <w:rsid w:val="007E0F9E"/>
    <w:rsid w:val="007E1D46"/>
    <w:rsid w:val="007E4BB6"/>
    <w:rsid w:val="007E56BB"/>
    <w:rsid w:val="00801774"/>
    <w:rsid w:val="00802066"/>
    <w:rsid w:val="00802954"/>
    <w:rsid w:val="00804F7F"/>
    <w:rsid w:val="00823F1C"/>
    <w:rsid w:val="00825C60"/>
    <w:rsid w:val="00833042"/>
    <w:rsid w:val="00840957"/>
    <w:rsid w:val="00843414"/>
    <w:rsid w:val="008542B9"/>
    <w:rsid w:val="00856EE5"/>
    <w:rsid w:val="00857284"/>
    <w:rsid w:val="00861362"/>
    <w:rsid w:val="00862158"/>
    <w:rsid w:val="008664D8"/>
    <w:rsid w:val="00866B42"/>
    <w:rsid w:val="00870D59"/>
    <w:rsid w:val="00870D6D"/>
    <w:rsid w:val="00877F70"/>
    <w:rsid w:val="008C09E5"/>
    <w:rsid w:val="008C2E84"/>
    <w:rsid w:val="008C6D9D"/>
    <w:rsid w:val="008D3E7D"/>
    <w:rsid w:val="008F0AC6"/>
    <w:rsid w:val="008F1EB4"/>
    <w:rsid w:val="008F7483"/>
    <w:rsid w:val="008F798D"/>
    <w:rsid w:val="00921A8E"/>
    <w:rsid w:val="009221BB"/>
    <w:rsid w:val="00925016"/>
    <w:rsid w:val="00926C54"/>
    <w:rsid w:val="00940275"/>
    <w:rsid w:val="0094463C"/>
    <w:rsid w:val="00970499"/>
    <w:rsid w:val="00970D31"/>
    <w:rsid w:val="009776FD"/>
    <w:rsid w:val="00980227"/>
    <w:rsid w:val="00983F26"/>
    <w:rsid w:val="00995114"/>
    <w:rsid w:val="009A0414"/>
    <w:rsid w:val="009A470F"/>
    <w:rsid w:val="009A6E12"/>
    <w:rsid w:val="009B34A4"/>
    <w:rsid w:val="009B4C65"/>
    <w:rsid w:val="009C353E"/>
    <w:rsid w:val="009D004B"/>
    <w:rsid w:val="009D1A6A"/>
    <w:rsid w:val="009E0CEF"/>
    <w:rsid w:val="009E163B"/>
    <w:rsid w:val="009F21E8"/>
    <w:rsid w:val="00A017A2"/>
    <w:rsid w:val="00A02E16"/>
    <w:rsid w:val="00A030FD"/>
    <w:rsid w:val="00A16204"/>
    <w:rsid w:val="00A164F7"/>
    <w:rsid w:val="00A27780"/>
    <w:rsid w:val="00A317A4"/>
    <w:rsid w:val="00A31A34"/>
    <w:rsid w:val="00A32F31"/>
    <w:rsid w:val="00A3397C"/>
    <w:rsid w:val="00A35C9D"/>
    <w:rsid w:val="00A430D7"/>
    <w:rsid w:val="00A53563"/>
    <w:rsid w:val="00A54C15"/>
    <w:rsid w:val="00A604D1"/>
    <w:rsid w:val="00A6343C"/>
    <w:rsid w:val="00A70E89"/>
    <w:rsid w:val="00A87BDE"/>
    <w:rsid w:val="00A90B0B"/>
    <w:rsid w:val="00A940E6"/>
    <w:rsid w:val="00A96116"/>
    <w:rsid w:val="00AA61C7"/>
    <w:rsid w:val="00AA7E9F"/>
    <w:rsid w:val="00AB3050"/>
    <w:rsid w:val="00AB3527"/>
    <w:rsid w:val="00AD2740"/>
    <w:rsid w:val="00AD49AE"/>
    <w:rsid w:val="00AD7F48"/>
    <w:rsid w:val="00AE2A01"/>
    <w:rsid w:val="00AE3317"/>
    <w:rsid w:val="00AE58CD"/>
    <w:rsid w:val="00AF18CF"/>
    <w:rsid w:val="00AF22A0"/>
    <w:rsid w:val="00B00F08"/>
    <w:rsid w:val="00B11A67"/>
    <w:rsid w:val="00B2234F"/>
    <w:rsid w:val="00B24FCA"/>
    <w:rsid w:val="00B4093B"/>
    <w:rsid w:val="00B42EB5"/>
    <w:rsid w:val="00B437BA"/>
    <w:rsid w:val="00B4666A"/>
    <w:rsid w:val="00B57A6E"/>
    <w:rsid w:val="00B704C8"/>
    <w:rsid w:val="00B71DCD"/>
    <w:rsid w:val="00B71F0C"/>
    <w:rsid w:val="00B82DE8"/>
    <w:rsid w:val="00B84AE7"/>
    <w:rsid w:val="00B877EC"/>
    <w:rsid w:val="00B9034D"/>
    <w:rsid w:val="00B90F84"/>
    <w:rsid w:val="00B93391"/>
    <w:rsid w:val="00B94CB8"/>
    <w:rsid w:val="00BA4133"/>
    <w:rsid w:val="00BC04D7"/>
    <w:rsid w:val="00BD75FB"/>
    <w:rsid w:val="00BE2AF4"/>
    <w:rsid w:val="00BE2C9B"/>
    <w:rsid w:val="00BF1A58"/>
    <w:rsid w:val="00BF77AC"/>
    <w:rsid w:val="00C008C8"/>
    <w:rsid w:val="00C011FD"/>
    <w:rsid w:val="00C07639"/>
    <w:rsid w:val="00C0798A"/>
    <w:rsid w:val="00C1770A"/>
    <w:rsid w:val="00C213A5"/>
    <w:rsid w:val="00C2602C"/>
    <w:rsid w:val="00C30B40"/>
    <w:rsid w:val="00C3213D"/>
    <w:rsid w:val="00C333CB"/>
    <w:rsid w:val="00C4068C"/>
    <w:rsid w:val="00C40DBC"/>
    <w:rsid w:val="00C40F61"/>
    <w:rsid w:val="00C418E6"/>
    <w:rsid w:val="00C50E38"/>
    <w:rsid w:val="00C51A93"/>
    <w:rsid w:val="00C5342F"/>
    <w:rsid w:val="00C54EDD"/>
    <w:rsid w:val="00C66CF5"/>
    <w:rsid w:val="00C70C27"/>
    <w:rsid w:val="00C76C7E"/>
    <w:rsid w:val="00C77AC2"/>
    <w:rsid w:val="00C81592"/>
    <w:rsid w:val="00C84E52"/>
    <w:rsid w:val="00C86AA6"/>
    <w:rsid w:val="00C912B5"/>
    <w:rsid w:val="00CA12C1"/>
    <w:rsid w:val="00CA7067"/>
    <w:rsid w:val="00CB0E47"/>
    <w:rsid w:val="00CB39E4"/>
    <w:rsid w:val="00CB53B6"/>
    <w:rsid w:val="00CC13F4"/>
    <w:rsid w:val="00CC1BF2"/>
    <w:rsid w:val="00CD6567"/>
    <w:rsid w:val="00CD6CBB"/>
    <w:rsid w:val="00CE367C"/>
    <w:rsid w:val="00CE6BE6"/>
    <w:rsid w:val="00CE7AF9"/>
    <w:rsid w:val="00D02453"/>
    <w:rsid w:val="00D12266"/>
    <w:rsid w:val="00D17E10"/>
    <w:rsid w:val="00D26EC0"/>
    <w:rsid w:val="00D316E6"/>
    <w:rsid w:val="00D32E39"/>
    <w:rsid w:val="00D50680"/>
    <w:rsid w:val="00D52BB0"/>
    <w:rsid w:val="00D66B87"/>
    <w:rsid w:val="00D677B8"/>
    <w:rsid w:val="00D721E4"/>
    <w:rsid w:val="00D76559"/>
    <w:rsid w:val="00D81662"/>
    <w:rsid w:val="00D91903"/>
    <w:rsid w:val="00DA41BD"/>
    <w:rsid w:val="00DA4E57"/>
    <w:rsid w:val="00DC072C"/>
    <w:rsid w:val="00DC255E"/>
    <w:rsid w:val="00DC4413"/>
    <w:rsid w:val="00DC51C0"/>
    <w:rsid w:val="00DD45ED"/>
    <w:rsid w:val="00DD61C5"/>
    <w:rsid w:val="00DE03D3"/>
    <w:rsid w:val="00DE10A4"/>
    <w:rsid w:val="00DE4093"/>
    <w:rsid w:val="00E011AE"/>
    <w:rsid w:val="00E06642"/>
    <w:rsid w:val="00E10E9F"/>
    <w:rsid w:val="00E240B3"/>
    <w:rsid w:val="00E2431E"/>
    <w:rsid w:val="00E32AD9"/>
    <w:rsid w:val="00E5242E"/>
    <w:rsid w:val="00E6385A"/>
    <w:rsid w:val="00E641A7"/>
    <w:rsid w:val="00E700F0"/>
    <w:rsid w:val="00E7644A"/>
    <w:rsid w:val="00E86662"/>
    <w:rsid w:val="00E97B00"/>
    <w:rsid w:val="00EA6C5B"/>
    <w:rsid w:val="00EB27A5"/>
    <w:rsid w:val="00EB55EA"/>
    <w:rsid w:val="00EC7EE6"/>
    <w:rsid w:val="00EE093A"/>
    <w:rsid w:val="00F03D84"/>
    <w:rsid w:val="00F1479A"/>
    <w:rsid w:val="00F14FAE"/>
    <w:rsid w:val="00F200F9"/>
    <w:rsid w:val="00F224AD"/>
    <w:rsid w:val="00F23B97"/>
    <w:rsid w:val="00F25EB6"/>
    <w:rsid w:val="00F339C3"/>
    <w:rsid w:val="00F34CFB"/>
    <w:rsid w:val="00F35A37"/>
    <w:rsid w:val="00F36CE1"/>
    <w:rsid w:val="00F42E62"/>
    <w:rsid w:val="00F467D4"/>
    <w:rsid w:val="00F47C61"/>
    <w:rsid w:val="00F53249"/>
    <w:rsid w:val="00F5494B"/>
    <w:rsid w:val="00F82C86"/>
    <w:rsid w:val="00F94DC7"/>
    <w:rsid w:val="00FA329A"/>
    <w:rsid w:val="00FA60EA"/>
    <w:rsid w:val="00FB12F6"/>
    <w:rsid w:val="00FC6BDC"/>
    <w:rsid w:val="00FD1135"/>
    <w:rsid w:val="00FD2DEB"/>
    <w:rsid w:val="00FD30A4"/>
    <w:rsid w:val="00FE0C36"/>
    <w:rsid w:val="00FE4968"/>
    <w:rsid w:val="147B9D7C"/>
    <w:rsid w:val="358AD1D3"/>
    <w:rsid w:val="5B1E9A9A"/>
    <w:rsid w:val="65D0A1C8"/>
    <w:rsid w:val="69E5082F"/>
    <w:rsid w:val="793A5A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3CB4C6"/>
  <w15:chartTrackingRefBased/>
  <w15:docId w15:val="{CB427AED-5301-4F86-8CEF-D6E3F37C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iPriority="35"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link w:val="Heading1Char"/>
    <w:uiPriority w:val="1"/>
    <w:qFormat/>
    <w:rsid w:val="00002306"/>
    <w:pPr>
      <w:adjustRightInd/>
      <w:spacing w:after="720"/>
      <w:jc w:val="center"/>
      <w:outlineLvl w:val="0"/>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customStyle="1" w:styleId="Heading1Char">
    <w:name w:val="Heading 1 Char"/>
    <w:basedOn w:val="DefaultParagraphFont"/>
    <w:link w:val="Heading1"/>
    <w:uiPriority w:val="1"/>
    <w:rsid w:val="00002306"/>
    <w:rPr>
      <w:b/>
      <w:bCs/>
      <w:sz w:val="28"/>
      <w:szCs w:val="28"/>
    </w:rPr>
  </w:style>
  <w:style w:type="paragraph" w:styleId="BodyText">
    <w:name w:val="Body Text"/>
    <w:basedOn w:val="Normal"/>
    <w:link w:val="BodyTextChar"/>
    <w:uiPriority w:val="1"/>
    <w:qFormat/>
    <w:rsid w:val="00002306"/>
    <w:pPr>
      <w:adjustRightInd/>
      <w:spacing w:before="120" w:after="240"/>
    </w:pPr>
    <w:rPr>
      <w:sz w:val="24"/>
    </w:rPr>
  </w:style>
  <w:style w:type="character" w:customStyle="1" w:styleId="BodyTextChar">
    <w:name w:val="Body Text Char"/>
    <w:basedOn w:val="DefaultParagraphFont"/>
    <w:link w:val="BodyText"/>
    <w:uiPriority w:val="1"/>
    <w:rsid w:val="00002306"/>
    <w:rPr>
      <w:sz w:val="24"/>
      <w:szCs w:val="24"/>
    </w:rPr>
  </w:style>
  <w:style w:type="paragraph" w:styleId="FootnoteText">
    <w:name w:val="footnote text"/>
    <w:basedOn w:val="Normal"/>
    <w:link w:val="FootnoteTextChar"/>
    <w:uiPriority w:val="99"/>
    <w:unhideWhenUsed/>
    <w:rsid w:val="00002306"/>
    <w:pPr>
      <w:adjustRightInd/>
    </w:pPr>
    <w:rPr>
      <w:szCs w:val="20"/>
    </w:rPr>
  </w:style>
  <w:style w:type="character" w:customStyle="1" w:styleId="FootnoteTextChar">
    <w:name w:val="Footnote Text Char"/>
    <w:basedOn w:val="DefaultParagraphFont"/>
    <w:link w:val="FootnoteText"/>
    <w:uiPriority w:val="99"/>
    <w:rsid w:val="00002306"/>
  </w:style>
  <w:style w:type="paragraph" w:styleId="NormalWeb">
    <w:name w:val="Normal (Web)"/>
    <w:basedOn w:val="Normal"/>
    <w:uiPriority w:val="99"/>
    <w:unhideWhenUsed/>
    <w:rsid w:val="006B4D64"/>
    <w:pPr>
      <w:adjustRightInd/>
    </w:pPr>
    <w:rPr>
      <w:sz w:val="24"/>
    </w:rPr>
  </w:style>
  <w:style w:type="paragraph" w:styleId="Quote">
    <w:name w:val="Quote"/>
    <w:basedOn w:val="Normal"/>
    <w:next w:val="Normal"/>
    <w:link w:val="QuoteChar"/>
    <w:uiPriority w:val="29"/>
    <w:qFormat/>
    <w:rsid w:val="00C008C8"/>
    <w:pPr>
      <w:adjustRightInd/>
      <w:spacing w:before="120" w:after="120"/>
      <w:ind w:left="576" w:right="576"/>
    </w:pPr>
    <w:rPr>
      <w:iCs/>
      <w:color w:val="404040"/>
      <w:spacing w:val="-5"/>
      <w:sz w:val="24"/>
    </w:rPr>
  </w:style>
  <w:style w:type="character" w:customStyle="1" w:styleId="QuoteChar">
    <w:name w:val="Quote Char"/>
    <w:basedOn w:val="DefaultParagraphFont"/>
    <w:link w:val="Quote"/>
    <w:uiPriority w:val="29"/>
    <w:rsid w:val="00C008C8"/>
    <w:rPr>
      <w:iCs/>
      <w:color w:val="404040"/>
      <w:spacing w:val="-5"/>
      <w:sz w:val="24"/>
      <w:szCs w:val="24"/>
    </w:rPr>
  </w:style>
  <w:style w:type="table" w:styleId="TableGrid">
    <w:name w:val="Table Grid"/>
    <w:basedOn w:val="TableNormal"/>
    <w:uiPriority w:val="39"/>
    <w:rsid w:val="0094463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4463C"/>
    <w:rPr>
      <w:color w:val="0000FF"/>
      <w:u w:val="single"/>
    </w:rPr>
  </w:style>
  <w:style w:type="paragraph" w:styleId="Caption">
    <w:name w:val="caption"/>
    <w:basedOn w:val="Normal"/>
    <w:next w:val="Normal"/>
    <w:uiPriority w:val="35"/>
    <w:unhideWhenUsed/>
    <w:qFormat/>
    <w:rsid w:val="0094463C"/>
    <w:pPr>
      <w:keepNext/>
      <w:adjustRightInd/>
      <w:spacing w:before="360" w:after="80"/>
    </w:pPr>
    <w:rPr>
      <w:b/>
      <w:iCs/>
      <w:color w:val="000000"/>
      <w:sz w:val="24"/>
    </w:rPr>
  </w:style>
  <w:style w:type="paragraph" w:customStyle="1" w:styleId="Tabletext">
    <w:name w:val="Table text"/>
    <w:basedOn w:val="Normal"/>
    <w:link w:val="TabletextChar"/>
    <w:uiPriority w:val="1"/>
    <w:qFormat/>
    <w:rsid w:val="0094463C"/>
    <w:pPr>
      <w:adjustRightInd/>
      <w:spacing w:line="239" w:lineRule="exact"/>
      <w:ind w:left="127"/>
    </w:pPr>
    <w:rPr>
      <w:sz w:val="24"/>
      <w:szCs w:val="22"/>
    </w:rPr>
  </w:style>
  <w:style w:type="paragraph" w:customStyle="1" w:styleId="Tableheaderrow">
    <w:name w:val="Table header row"/>
    <w:basedOn w:val="Normal"/>
    <w:link w:val="TableheaderrowChar"/>
    <w:uiPriority w:val="1"/>
    <w:qFormat/>
    <w:rsid w:val="0094463C"/>
    <w:pPr>
      <w:adjustRightInd/>
      <w:spacing w:line="255" w:lineRule="exact"/>
      <w:jc w:val="center"/>
    </w:pPr>
    <w:rPr>
      <w:b/>
      <w:sz w:val="24"/>
      <w:szCs w:val="22"/>
    </w:rPr>
  </w:style>
  <w:style w:type="character" w:customStyle="1" w:styleId="TabletextChar">
    <w:name w:val="Table text Char"/>
    <w:link w:val="Tabletext"/>
    <w:uiPriority w:val="1"/>
    <w:rsid w:val="0094463C"/>
    <w:rPr>
      <w:sz w:val="24"/>
      <w:szCs w:val="22"/>
    </w:rPr>
  </w:style>
  <w:style w:type="character" w:customStyle="1" w:styleId="TableheaderrowChar">
    <w:name w:val="Table header row Char"/>
    <w:link w:val="Tableheaderrow"/>
    <w:uiPriority w:val="1"/>
    <w:rsid w:val="0094463C"/>
    <w:rPr>
      <w:b/>
      <w:sz w:val="24"/>
      <w:szCs w:val="22"/>
    </w:rPr>
  </w:style>
  <w:style w:type="character" w:styleId="CommentReference">
    <w:name w:val="annotation reference"/>
    <w:basedOn w:val="DefaultParagraphFont"/>
    <w:rsid w:val="00D12266"/>
    <w:rPr>
      <w:sz w:val="16"/>
      <w:szCs w:val="16"/>
    </w:rPr>
  </w:style>
  <w:style w:type="paragraph" w:styleId="CommentText">
    <w:name w:val="annotation text"/>
    <w:basedOn w:val="Normal"/>
    <w:link w:val="CommentTextChar"/>
    <w:rsid w:val="00D12266"/>
    <w:rPr>
      <w:szCs w:val="20"/>
    </w:rPr>
  </w:style>
  <w:style w:type="character" w:customStyle="1" w:styleId="CommentTextChar">
    <w:name w:val="Comment Text Char"/>
    <w:basedOn w:val="DefaultParagraphFont"/>
    <w:link w:val="CommentText"/>
    <w:rsid w:val="00D12266"/>
  </w:style>
  <w:style w:type="paragraph" w:styleId="CommentSubject">
    <w:name w:val="annotation subject"/>
    <w:basedOn w:val="CommentText"/>
    <w:next w:val="CommentText"/>
    <w:link w:val="CommentSubjectChar"/>
    <w:rsid w:val="00D12266"/>
    <w:rPr>
      <w:b/>
      <w:bCs/>
    </w:rPr>
  </w:style>
  <w:style w:type="character" w:customStyle="1" w:styleId="CommentSubjectChar">
    <w:name w:val="Comment Subject Char"/>
    <w:basedOn w:val="CommentTextChar"/>
    <w:link w:val="CommentSubject"/>
    <w:rsid w:val="00D12266"/>
    <w:rPr>
      <w:b/>
      <w:bCs/>
    </w:rPr>
  </w:style>
  <w:style w:type="paragraph" w:styleId="Revision">
    <w:name w:val="Revision"/>
    <w:hidden/>
    <w:uiPriority w:val="99"/>
    <w:semiHidden/>
    <w:rsid w:val="00FB12F6"/>
    <w:rPr>
      <w:szCs w:val="24"/>
    </w:rPr>
  </w:style>
  <w:style w:type="character" w:styleId="UnresolvedMention">
    <w:name w:val="Unresolved Mention"/>
    <w:basedOn w:val="DefaultParagraphFont"/>
    <w:uiPriority w:val="99"/>
    <w:semiHidden/>
    <w:unhideWhenUsed/>
    <w:rsid w:val="00774281"/>
    <w:rPr>
      <w:color w:val="605E5C"/>
      <w:shd w:val="clear" w:color="auto" w:fill="E1DFDD"/>
    </w:rPr>
  </w:style>
  <w:style w:type="paragraph" w:styleId="Header">
    <w:name w:val="header"/>
    <w:basedOn w:val="Normal"/>
    <w:link w:val="HeaderChar"/>
    <w:rsid w:val="00F25EB6"/>
    <w:pPr>
      <w:tabs>
        <w:tab w:val="center" w:pos="4680"/>
        <w:tab w:val="right" w:pos="9360"/>
      </w:tabs>
    </w:pPr>
  </w:style>
  <w:style w:type="character" w:customStyle="1" w:styleId="HeaderChar">
    <w:name w:val="Header Char"/>
    <w:basedOn w:val="DefaultParagraphFont"/>
    <w:link w:val="Header"/>
    <w:rsid w:val="00F25EB6"/>
    <w:rPr>
      <w:szCs w:val="24"/>
    </w:rPr>
  </w:style>
  <w:style w:type="paragraph" w:styleId="Footer">
    <w:name w:val="footer"/>
    <w:basedOn w:val="Normal"/>
    <w:link w:val="FooterChar"/>
    <w:uiPriority w:val="99"/>
    <w:rsid w:val="00F25EB6"/>
    <w:pPr>
      <w:tabs>
        <w:tab w:val="center" w:pos="4680"/>
        <w:tab w:val="right" w:pos="9360"/>
      </w:tabs>
    </w:pPr>
  </w:style>
  <w:style w:type="character" w:customStyle="1" w:styleId="FooterChar">
    <w:name w:val="Footer Char"/>
    <w:basedOn w:val="DefaultParagraphFont"/>
    <w:link w:val="Footer"/>
    <w:uiPriority w:val="99"/>
    <w:rsid w:val="00F25EB6"/>
    <w:rPr>
      <w:szCs w:val="24"/>
    </w:rPr>
  </w:style>
  <w:style w:type="character" w:styleId="FollowedHyperlink">
    <w:name w:val="FollowedHyperlink"/>
    <w:basedOn w:val="DefaultParagraphFont"/>
    <w:rsid w:val="00586089"/>
    <w:rPr>
      <w:color w:val="96607D" w:themeColor="followedHyperlink"/>
      <w:u w:val="single"/>
    </w:rPr>
  </w:style>
  <w:style w:type="paragraph" w:styleId="ListParagraph">
    <w:name w:val="List Paragraph"/>
    <w:basedOn w:val="Normal"/>
    <w:uiPriority w:val="34"/>
    <w:qFormat/>
    <w:rsid w:val="005F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ViewICR?ref_nbr=202008-0938-005" TargetMode="External" /><Relationship Id="rId11" Type="http://schemas.openxmlformats.org/officeDocument/2006/relationships/hyperlink" Target="https://data.bls.gov/oes/" TargetMode="External" /><Relationship Id="rId12" Type="http://schemas.openxmlformats.org/officeDocument/2006/relationships/hyperlink" Target="https://www.cms.gov/Medicare/Medicare-Fee-for-Service-Payment/HospitalOutpatientPPS/index.html"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OPPSDrugSurvey@cms.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ao.gov/assets/gao-06-17r.pdf" TargetMode="External" /><Relationship Id="rId2" Type="http://schemas.openxmlformats.org/officeDocument/2006/relationships/hyperlink" Target="https://www.gao.gov/new.items/d0637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79CCFBB37E0646B4A561D4A83FA30F" ma:contentTypeVersion="8" ma:contentTypeDescription="Create a new document." ma:contentTypeScope="" ma:versionID="6f1d7f1eab3813b342c7b1e687094af3">
  <xsd:schema xmlns:xsd="http://www.w3.org/2001/XMLSchema" xmlns:xs="http://www.w3.org/2001/XMLSchema" xmlns:p="http://schemas.microsoft.com/office/2006/metadata/properties" xmlns:ns2="2192dead-9564-4582-8849-6ed3f8bab798" targetNamespace="http://schemas.microsoft.com/office/2006/metadata/properties" ma:root="true" ma:fieldsID="66b26051bee2f1378ee33a9462578605" ns2:_="">
    <xsd:import namespace="2192dead-9564-4582-8849-6ed3f8bab79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84AEA-B0CD-4001-9252-C5C724E54C1D}">
  <ds:schemaRefs>
    <ds:schemaRef ds:uri="http://schemas.openxmlformats.org/officeDocument/2006/bibliography"/>
  </ds:schemaRefs>
</ds:datastoreItem>
</file>

<file path=customXml/itemProps2.xml><?xml version="1.0" encoding="utf-8"?>
<ds:datastoreItem xmlns:ds="http://schemas.openxmlformats.org/officeDocument/2006/customXml" ds:itemID="{A3D23478-BA20-44F3-BB41-AD79F5FFD41E}">
  <ds:schemaRefs>
    <ds:schemaRef ds:uri="http://schemas.microsoft.com/sharepoint/v3/contenttype/forms"/>
  </ds:schemaRefs>
</ds:datastoreItem>
</file>

<file path=customXml/itemProps3.xml><?xml version="1.0" encoding="utf-8"?>
<ds:datastoreItem xmlns:ds="http://schemas.openxmlformats.org/officeDocument/2006/customXml" ds:itemID="{C4664E24-28A6-448E-9273-A82AB83A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93DC3-D0E8-4F0B-8F62-3FC5CAE2B0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3322</Words>
  <Characters>19076</Characters>
  <Application>Microsoft Office Word</Application>
  <DocSecurity>0</DocSecurity>
  <Lines>615</Lines>
  <Paragraphs>379</Paragraphs>
  <ScaleCrop>false</ScaleCrop>
  <HeadingPairs>
    <vt:vector size="2" baseType="variant">
      <vt:variant>
        <vt:lpstr>Title</vt:lpstr>
      </vt:variant>
      <vt:variant>
        <vt:i4>1</vt:i4>
      </vt:variant>
    </vt:vector>
  </HeadingPairs>
  <TitlesOfParts>
    <vt:vector size="1" baseType="lpstr">
      <vt:lpstr>Supporting Statement - Part A (2025)</vt:lpstr>
    </vt:vector>
  </TitlesOfParts>
  <Company>CMS</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(2025)</dc:title>
  <dc:subject>Medicare Outpatient Prospective Payment System (OPPS) Drug Acquisition Cost Survey</dc:subject>
  <dc:creator>CMS</dc:creator>
  <cp:keywords>Medicare Outpatient Prospective Payment System (OPPS) Drug Acquisition Cost Survey</cp:keywords>
  <cp:lastModifiedBy>McKenzie, Stephan (CMS/OSORA)</cp:lastModifiedBy>
  <cp:revision>45</cp:revision>
  <dcterms:created xsi:type="dcterms:W3CDTF">2025-07-03T16:14:00Z</dcterms:created>
  <dcterms:modified xsi:type="dcterms:W3CDTF">2025-07-17T12:35:00Z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0x0101002579CCFBB37E0646B4A561D4A83FA30F</vt:lpwstr>
  </property>
  <property fmtid="{D5CDD505-2E9C-101B-9397-08002B2CF9AE}" pid="3" name="MediaServiceImageTags">
    <vt:lpwstr/>
  </property>
</Properties>
</file>