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3156" w:type="dxa"/>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
      <w:tblGrid>
        <w:gridCol w:w="2631"/>
        <w:gridCol w:w="2631"/>
        <w:gridCol w:w="2631"/>
        <w:gridCol w:w="2631"/>
        <w:gridCol w:w="2632"/>
      </w:tblGrid>
      <w:tr w14:paraId="4693160A" w14:textId="77777777" w:rsidTr="007B7F80">
        <w:tblPrEx>
          <w:tblW w:w="13156" w:type="dxa"/>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Ex>
        <w:trPr>
          <w:trHeight w:val="166"/>
        </w:trPr>
        <w:tc>
          <w:tcPr>
            <w:tcW w:w="13156" w:type="dxa"/>
            <w:gridSpan w:val="5"/>
            <w:tcBorders>
              <w:top w:val="none" w:sz="6" w:space="0" w:color="auto"/>
              <w:bottom w:val="none" w:sz="6" w:space="0" w:color="auto"/>
            </w:tcBorders>
          </w:tcPr>
          <w:p w:rsidR="007B7F80" w:rsidRPr="007B7F80" w:rsidP="007B7F80" w14:paraId="7B13EDB4" w14:textId="1B4575D0">
            <w:pPr>
              <w:jc w:val="center"/>
            </w:pPr>
            <w:r w:rsidRPr="007B7F80">
              <w:rPr>
                <w:b/>
                <w:bCs/>
              </w:rPr>
              <w:t>CMS-10882 - Crosswalk</w:t>
            </w:r>
          </w:p>
        </w:tc>
      </w:tr>
      <w:tr w14:paraId="2CAA8D25" w14:textId="77777777" w:rsidTr="007B7F80">
        <w:tblPrEx>
          <w:tblW w:w="13156" w:type="dxa"/>
          <w:tblInd w:w="-168" w:type="dxa"/>
          <w:tblLayout w:type="fixed"/>
          <w:tblCellMar>
            <w:top w:w="0" w:type="dxa"/>
            <w:bottom w:w="0" w:type="dxa"/>
          </w:tblCellMar>
          <w:tblLook w:val="0000"/>
        </w:tblPrEx>
        <w:trPr>
          <w:trHeight w:val="304"/>
        </w:trPr>
        <w:tc>
          <w:tcPr>
            <w:tcW w:w="2631" w:type="dxa"/>
            <w:tcBorders>
              <w:top w:val="none" w:sz="6" w:space="0" w:color="auto"/>
              <w:bottom w:val="none" w:sz="6" w:space="0" w:color="auto"/>
              <w:right w:val="none" w:sz="6" w:space="0" w:color="auto"/>
            </w:tcBorders>
          </w:tcPr>
          <w:p w:rsidR="007B7F80" w:rsidRPr="007B7F80" w:rsidP="007B7F80" w14:paraId="13C15D05" w14:textId="77777777">
            <w:r w:rsidRPr="007B7F80">
              <w:rPr>
                <w:b/>
                <w:bCs/>
              </w:rPr>
              <w:t xml:space="preserve">Section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7C1A450E" w14:textId="77777777">
            <w:r w:rsidRPr="007B7F80">
              <w:rPr>
                <w:b/>
                <w:bCs/>
              </w:rPr>
              <w:t xml:space="preserve">New version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6D82BCA" w14:textId="77777777">
            <w:r w:rsidRPr="007B7F80">
              <w:rPr>
                <w:b/>
                <w:bCs/>
              </w:rPr>
              <w:t xml:space="preserve">Type of Change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7E14A80A" w14:textId="77777777">
            <w:r w:rsidRPr="007B7F80">
              <w:rPr>
                <w:b/>
                <w:bCs/>
              </w:rPr>
              <w:t xml:space="preserve">Reason for change </w:t>
            </w:r>
          </w:p>
        </w:tc>
        <w:tc>
          <w:tcPr>
            <w:tcW w:w="2632" w:type="dxa"/>
            <w:tcBorders>
              <w:top w:val="none" w:sz="6" w:space="0" w:color="auto"/>
              <w:left w:val="none" w:sz="6" w:space="0" w:color="auto"/>
              <w:bottom w:val="none" w:sz="6" w:space="0" w:color="auto"/>
            </w:tcBorders>
          </w:tcPr>
          <w:p w:rsidR="007B7F80" w:rsidRPr="007B7F80" w:rsidP="007B7F80" w14:paraId="797F88A8" w14:textId="77777777">
            <w:r w:rsidRPr="007B7F80">
              <w:rPr>
                <w:b/>
                <w:bCs/>
              </w:rPr>
              <w:t xml:space="preserve">Burden Change </w:t>
            </w:r>
          </w:p>
        </w:tc>
      </w:tr>
      <w:tr w14:paraId="558D8D54" w14:textId="77777777" w:rsidTr="007B7F80">
        <w:tblPrEx>
          <w:tblW w:w="13156" w:type="dxa"/>
          <w:tblInd w:w="-168" w:type="dxa"/>
          <w:tblLayout w:type="fixed"/>
          <w:tblCellMar>
            <w:top w:w="0" w:type="dxa"/>
            <w:bottom w:w="0" w:type="dxa"/>
          </w:tblCellMar>
          <w:tblLook w:val="0000"/>
        </w:tblPrEx>
        <w:trPr>
          <w:trHeight w:val="299"/>
        </w:trPr>
        <w:tc>
          <w:tcPr>
            <w:tcW w:w="2631" w:type="dxa"/>
            <w:tcBorders>
              <w:top w:val="none" w:sz="6" w:space="0" w:color="auto"/>
              <w:bottom w:val="none" w:sz="6" w:space="0" w:color="auto"/>
              <w:right w:val="none" w:sz="6" w:space="0" w:color="auto"/>
            </w:tcBorders>
          </w:tcPr>
          <w:p w:rsidR="007B7F80" w:rsidRPr="007B7F80" w:rsidP="007B7F80" w14:paraId="25F57E83" w14:textId="77777777">
            <w:r w:rsidRPr="007B7F80">
              <w:t xml:space="preserve">Exhibit 1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560338A9" w14:textId="77777777">
            <w:r w:rsidRPr="007B7F80">
              <w:t xml:space="preserve">Shortened the standardized Likely to Benefit Notice to one page in response to stakeholder feedback.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54A199C3"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5694BD08" w14:textId="77777777">
            <w:r w:rsidRPr="007B7F80">
              <w:t xml:space="preserve">Responsiveness to comments </w:t>
            </w:r>
          </w:p>
        </w:tc>
        <w:tc>
          <w:tcPr>
            <w:tcW w:w="2632" w:type="dxa"/>
            <w:tcBorders>
              <w:top w:val="none" w:sz="6" w:space="0" w:color="auto"/>
              <w:left w:val="none" w:sz="6" w:space="0" w:color="auto"/>
              <w:bottom w:val="none" w:sz="6" w:space="0" w:color="auto"/>
            </w:tcBorders>
          </w:tcPr>
          <w:p w:rsidR="007B7F80" w:rsidRPr="007B7F80" w:rsidP="007B7F80" w14:paraId="2324CB07" w14:textId="77777777">
            <w:r w:rsidRPr="007B7F80">
              <w:t xml:space="preserve">Yes </w:t>
            </w:r>
          </w:p>
        </w:tc>
      </w:tr>
      <w:tr w14:paraId="4BF29CFA" w14:textId="77777777" w:rsidTr="007B7F80">
        <w:tblPrEx>
          <w:tblW w:w="13156" w:type="dxa"/>
          <w:tblInd w:w="-168" w:type="dxa"/>
          <w:tblLayout w:type="fixed"/>
          <w:tblCellMar>
            <w:top w:w="0" w:type="dxa"/>
            <w:bottom w:w="0" w:type="dxa"/>
          </w:tblCellMar>
          <w:tblLook w:val="0000"/>
        </w:tblPrEx>
        <w:trPr>
          <w:trHeight w:val="299"/>
        </w:trPr>
        <w:tc>
          <w:tcPr>
            <w:tcW w:w="2631" w:type="dxa"/>
            <w:tcBorders>
              <w:top w:val="none" w:sz="6" w:space="0" w:color="auto"/>
              <w:bottom w:val="none" w:sz="6" w:space="0" w:color="auto"/>
              <w:right w:val="none" w:sz="6" w:space="0" w:color="auto"/>
            </w:tcBorders>
          </w:tcPr>
          <w:p w:rsidR="007B7F80" w:rsidRPr="007B7F80" w:rsidP="007B7F80" w14:paraId="3273BBCA" w14:textId="77777777">
            <w:r w:rsidRPr="007B7F80">
              <w:t xml:space="preserve">Exhibit 1.2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CF7F9EB" w14:textId="77777777">
            <w:r w:rsidRPr="007B7F80">
              <w:t xml:space="preserve">Updated the Spanish translation of the Likely to Benefit Notice to reflect the new one-page format.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703B756C"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3414B442" w14:textId="77777777">
            <w:r w:rsidRPr="007B7F80">
              <w:t xml:space="preserve">Responsiveness to comments </w:t>
            </w:r>
          </w:p>
        </w:tc>
        <w:tc>
          <w:tcPr>
            <w:tcW w:w="2632" w:type="dxa"/>
            <w:tcBorders>
              <w:top w:val="none" w:sz="6" w:space="0" w:color="auto"/>
              <w:left w:val="none" w:sz="6" w:space="0" w:color="auto"/>
              <w:bottom w:val="none" w:sz="6" w:space="0" w:color="auto"/>
            </w:tcBorders>
          </w:tcPr>
          <w:p w:rsidR="007B7F80" w:rsidRPr="007B7F80" w:rsidP="007B7F80" w14:paraId="195423EB" w14:textId="77777777">
            <w:r w:rsidRPr="007B7F80">
              <w:t xml:space="preserve">Yes </w:t>
            </w:r>
          </w:p>
        </w:tc>
      </w:tr>
      <w:tr w14:paraId="7B7D5C65" w14:textId="77777777" w:rsidTr="007B7F80">
        <w:tblPrEx>
          <w:tblW w:w="13156" w:type="dxa"/>
          <w:tblInd w:w="-168" w:type="dxa"/>
          <w:tblLayout w:type="fixed"/>
          <w:tblCellMar>
            <w:top w:w="0" w:type="dxa"/>
            <w:bottom w:w="0" w:type="dxa"/>
          </w:tblCellMar>
          <w:tblLook w:val="0000"/>
        </w:tblPrEx>
        <w:trPr>
          <w:trHeight w:val="299"/>
        </w:trPr>
        <w:tc>
          <w:tcPr>
            <w:tcW w:w="2631" w:type="dxa"/>
            <w:tcBorders>
              <w:top w:val="none" w:sz="6" w:space="0" w:color="auto"/>
              <w:bottom w:val="none" w:sz="6" w:space="0" w:color="auto"/>
              <w:right w:val="none" w:sz="6" w:space="0" w:color="auto"/>
            </w:tcBorders>
          </w:tcPr>
          <w:p w:rsidR="007B7F80" w:rsidRPr="007B7F80" w:rsidP="007B7F80" w14:paraId="357CFBE9" w14:textId="77777777">
            <w:r w:rsidRPr="007B7F80">
              <w:t xml:space="preserve">Exhibit 1.4-1.6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6D8F25D" w14:textId="77777777">
            <w:r w:rsidRPr="007B7F80">
              <w:t xml:space="preserve">Added Chinese, Vietnamese, and Korean translations of the Likely to Benefit Notice.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BD68FA9" w14:textId="77777777">
            <w:r w:rsidRPr="007B7F80">
              <w:t xml:space="preserve">Addition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15210E0" w14:textId="77777777">
            <w:r w:rsidRPr="007B7F80">
              <w:t xml:space="preserve">Completeness </w:t>
            </w:r>
          </w:p>
        </w:tc>
        <w:tc>
          <w:tcPr>
            <w:tcW w:w="2632" w:type="dxa"/>
            <w:tcBorders>
              <w:top w:val="none" w:sz="6" w:space="0" w:color="auto"/>
              <w:left w:val="none" w:sz="6" w:space="0" w:color="auto"/>
              <w:bottom w:val="none" w:sz="6" w:space="0" w:color="auto"/>
            </w:tcBorders>
          </w:tcPr>
          <w:p w:rsidR="007B7F80" w:rsidRPr="007B7F80" w:rsidP="007B7F80" w14:paraId="145E29FC" w14:textId="77777777">
            <w:r w:rsidRPr="007B7F80">
              <w:t xml:space="preserve">No </w:t>
            </w:r>
          </w:p>
        </w:tc>
      </w:tr>
      <w:tr w14:paraId="1AFC7CFA" w14:textId="77777777" w:rsidTr="007B7F80">
        <w:tblPrEx>
          <w:tblW w:w="13156" w:type="dxa"/>
          <w:tblInd w:w="-168" w:type="dxa"/>
          <w:tblLayout w:type="fixed"/>
          <w:tblCellMar>
            <w:top w:w="0" w:type="dxa"/>
            <w:bottom w:w="0" w:type="dxa"/>
          </w:tblCellMar>
          <w:tblLook w:val="0000"/>
        </w:tblPrEx>
        <w:trPr>
          <w:trHeight w:val="989"/>
        </w:trPr>
        <w:tc>
          <w:tcPr>
            <w:tcW w:w="2631" w:type="dxa"/>
            <w:tcBorders>
              <w:top w:val="none" w:sz="6" w:space="0" w:color="auto"/>
              <w:bottom w:val="none" w:sz="6" w:space="0" w:color="auto"/>
              <w:right w:val="none" w:sz="6" w:space="0" w:color="auto"/>
            </w:tcBorders>
          </w:tcPr>
          <w:p w:rsidR="007B7F80" w:rsidRPr="007B7F80" w:rsidP="007B7F80" w14:paraId="134E8335" w14:textId="77777777">
            <w:r w:rsidRPr="007B7F80">
              <w:t xml:space="preserve">Exhibits 2-6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460C4D1D" w14:textId="77777777">
            <w:r w:rsidRPr="007B7F80">
              <w:t xml:space="preserve">Updated instructions for these model notices to reference the requirements established in the Contract Year 2026 Policy and Technical Changes to the Medicare Advantage Program, Medicare Prescription Drug Benefit Program, Medicare Cost Plan </w:t>
            </w:r>
            <w:r w:rsidRPr="007B7F80">
              <w:t xml:space="preserve">Program, and Programs of All-Inclusive Care for the Elderly Final Rule (CMS-4208-F). Updated links referenced in the documents.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60F7289A"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04DD7856" w14:textId="77777777">
            <w:r w:rsidRPr="007B7F80">
              <w:t xml:space="preserve">Accuracy </w:t>
            </w:r>
          </w:p>
        </w:tc>
        <w:tc>
          <w:tcPr>
            <w:tcW w:w="2632" w:type="dxa"/>
            <w:tcBorders>
              <w:top w:val="none" w:sz="6" w:space="0" w:color="auto"/>
              <w:left w:val="none" w:sz="6" w:space="0" w:color="auto"/>
              <w:bottom w:val="none" w:sz="6" w:space="0" w:color="auto"/>
            </w:tcBorders>
          </w:tcPr>
          <w:p w:rsidR="007B7F80" w:rsidRPr="007B7F80" w:rsidP="007B7F80" w14:paraId="3F5E2D4B" w14:textId="77777777">
            <w:r w:rsidRPr="007B7F80">
              <w:t xml:space="preserve">No </w:t>
            </w:r>
          </w:p>
        </w:tc>
      </w:tr>
      <w:tr w14:paraId="5EEAF4F6" w14:textId="77777777" w:rsidTr="007B7F80">
        <w:tblPrEx>
          <w:tblW w:w="13156" w:type="dxa"/>
          <w:tblInd w:w="-168" w:type="dxa"/>
          <w:tblLayout w:type="fixed"/>
          <w:tblCellMar>
            <w:top w:w="0" w:type="dxa"/>
            <w:bottom w:w="0" w:type="dxa"/>
          </w:tblCellMar>
          <w:tblLook w:val="0000"/>
        </w:tblPrEx>
        <w:trPr>
          <w:trHeight w:val="299"/>
        </w:trPr>
        <w:tc>
          <w:tcPr>
            <w:tcW w:w="2631" w:type="dxa"/>
            <w:tcBorders>
              <w:top w:val="none" w:sz="6" w:space="0" w:color="auto"/>
              <w:bottom w:val="none" w:sz="6" w:space="0" w:color="auto"/>
              <w:right w:val="none" w:sz="6" w:space="0" w:color="auto"/>
            </w:tcBorders>
          </w:tcPr>
          <w:p w:rsidR="007B7F80" w:rsidRPr="007B7F80" w:rsidP="007B7F80" w14:paraId="6353376B" w14:textId="77777777">
            <w:r w:rsidRPr="007B7F80">
              <w:t xml:space="preserve">Exhibit 2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0A81F158" w14:textId="77777777">
            <w:r w:rsidRPr="007B7F80">
              <w:t xml:space="preserve">Added reference to the automatic election renewal process established in the final rule CMS-4208-F.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36147EE8"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4B555E20" w14:textId="77777777">
            <w:r w:rsidRPr="007B7F80">
              <w:t xml:space="preserve">Clarity/completeness </w:t>
            </w:r>
          </w:p>
        </w:tc>
        <w:tc>
          <w:tcPr>
            <w:tcW w:w="2632" w:type="dxa"/>
            <w:tcBorders>
              <w:top w:val="none" w:sz="6" w:space="0" w:color="auto"/>
              <w:left w:val="none" w:sz="6" w:space="0" w:color="auto"/>
              <w:bottom w:val="none" w:sz="6" w:space="0" w:color="auto"/>
            </w:tcBorders>
          </w:tcPr>
          <w:p w:rsidR="007B7F80" w:rsidRPr="007B7F80" w:rsidP="007B7F80" w14:paraId="2508D548" w14:textId="77777777">
            <w:r w:rsidRPr="007B7F80">
              <w:t xml:space="preserve">No </w:t>
            </w:r>
          </w:p>
        </w:tc>
      </w:tr>
      <w:tr w14:paraId="5144644C" w14:textId="77777777" w:rsidTr="007B7F80">
        <w:tblPrEx>
          <w:tblW w:w="13156" w:type="dxa"/>
          <w:tblInd w:w="-168" w:type="dxa"/>
          <w:tblLayout w:type="fixed"/>
          <w:tblCellMar>
            <w:top w:w="0" w:type="dxa"/>
            <w:bottom w:w="0" w:type="dxa"/>
          </w:tblCellMar>
          <w:tblLook w:val="0000"/>
        </w:tblPrEx>
        <w:trPr>
          <w:trHeight w:val="575"/>
        </w:trPr>
        <w:tc>
          <w:tcPr>
            <w:tcW w:w="2631" w:type="dxa"/>
            <w:tcBorders>
              <w:top w:val="none" w:sz="6" w:space="0" w:color="auto"/>
              <w:bottom w:val="none" w:sz="6" w:space="0" w:color="auto"/>
              <w:right w:val="none" w:sz="6" w:space="0" w:color="auto"/>
            </w:tcBorders>
          </w:tcPr>
          <w:p w:rsidR="007B7F80" w:rsidRPr="007B7F80" w:rsidP="007B7F80" w14:paraId="76C457FB" w14:textId="77777777">
            <w:r w:rsidRPr="007B7F80">
              <w:t xml:space="preserve">Exhibit 3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6570377C" w14:textId="77777777">
            <w:r w:rsidRPr="007B7F80">
              <w:t xml:space="preserve">Added reference to the automatic election renewal process established in the final rule CMS-4208-F and an optional space for Part D plan sponsors to include the Medicare Prescription Payment Plan BIN/PCN.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1D0D8144"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2A24D2CA" w14:textId="77777777">
            <w:r w:rsidRPr="007B7F80">
              <w:t xml:space="preserve">Clarity/completeness and responsiveness to comments </w:t>
            </w:r>
          </w:p>
        </w:tc>
        <w:tc>
          <w:tcPr>
            <w:tcW w:w="2632" w:type="dxa"/>
            <w:tcBorders>
              <w:top w:val="none" w:sz="6" w:space="0" w:color="auto"/>
              <w:left w:val="none" w:sz="6" w:space="0" w:color="auto"/>
              <w:bottom w:val="none" w:sz="6" w:space="0" w:color="auto"/>
            </w:tcBorders>
          </w:tcPr>
          <w:p w:rsidR="007B7F80" w:rsidRPr="007B7F80" w:rsidP="007B7F80" w14:paraId="61B754FD" w14:textId="77777777">
            <w:r w:rsidRPr="007B7F80">
              <w:t xml:space="preserve">No </w:t>
            </w:r>
          </w:p>
        </w:tc>
      </w:tr>
      <w:tr w14:paraId="78B26EBB" w14:textId="77777777" w:rsidTr="007B7F80">
        <w:tblPrEx>
          <w:tblW w:w="13156" w:type="dxa"/>
          <w:tblInd w:w="-168" w:type="dxa"/>
          <w:tblLayout w:type="fixed"/>
          <w:tblCellMar>
            <w:top w:w="0" w:type="dxa"/>
            <w:bottom w:w="0" w:type="dxa"/>
          </w:tblCellMar>
          <w:tblLook w:val="0000"/>
        </w:tblPrEx>
        <w:trPr>
          <w:trHeight w:val="299"/>
        </w:trPr>
        <w:tc>
          <w:tcPr>
            <w:tcW w:w="2631" w:type="dxa"/>
            <w:tcBorders>
              <w:top w:val="none" w:sz="6" w:space="0" w:color="auto"/>
              <w:bottom w:val="none" w:sz="6" w:space="0" w:color="auto"/>
              <w:right w:val="none" w:sz="6" w:space="0" w:color="auto"/>
            </w:tcBorders>
          </w:tcPr>
          <w:p w:rsidR="007B7F80" w:rsidRPr="007B7F80" w:rsidP="007B7F80" w14:paraId="47C89126" w14:textId="77777777">
            <w:r w:rsidRPr="007B7F80">
              <w:t xml:space="preserve">Exhibit 4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74753AF7" w14:textId="77777777">
            <w:r w:rsidRPr="007B7F80">
              <w:t xml:space="preserve">Added language to reflect modifications to the timing of the grace period established in the final rule CMS-4208-F.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5063FF9A" w14:textId="77777777">
            <w:r w:rsidRPr="007B7F80">
              <w:t xml:space="preserve">Revision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2751AA1D" w14:textId="77777777">
            <w:r w:rsidRPr="007B7F80">
              <w:t xml:space="preserve">Accuracy </w:t>
            </w:r>
          </w:p>
        </w:tc>
        <w:tc>
          <w:tcPr>
            <w:tcW w:w="2632" w:type="dxa"/>
            <w:tcBorders>
              <w:top w:val="none" w:sz="6" w:space="0" w:color="auto"/>
              <w:left w:val="none" w:sz="6" w:space="0" w:color="auto"/>
              <w:bottom w:val="none" w:sz="6" w:space="0" w:color="auto"/>
            </w:tcBorders>
          </w:tcPr>
          <w:p w:rsidR="007B7F80" w:rsidRPr="007B7F80" w:rsidP="007B7F80" w14:paraId="02F7D4FC" w14:textId="77777777">
            <w:r w:rsidRPr="007B7F80">
              <w:t xml:space="preserve">No </w:t>
            </w:r>
          </w:p>
        </w:tc>
      </w:tr>
      <w:tr w14:paraId="4ED8405A" w14:textId="77777777" w:rsidTr="007B7F80">
        <w:tblPrEx>
          <w:tblW w:w="13156" w:type="dxa"/>
          <w:tblInd w:w="-168" w:type="dxa"/>
          <w:tblLayout w:type="fixed"/>
          <w:tblCellMar>
            <w:top w:w="0" w:type="dxa"/>
            <w:bottom w:w="0" w:type="dxa"/>
          </w:tblCellMar>
          <w:tblLook w:val="0000"/>
        </w:tblPrEx>
        <w:trPr>
          <w:trHeight w:val="712"/>
        </w:trPr>
        <w:tc>
          <w:tcPr>
            <w:tcW w:w="2631" w:type="dxa"/>
            <w:tcBorders>
              <w:top w:val="none" w:sz="6" w:space="0" w:color="auto"/>
              <w:bottom w:val="none" w:sz="6" w:space="0" w:color="auto"/>
              <w:right w:val="none" w:sz="6" w:space="0" w:color="auto"/>
            </w:tcBorders>
          </w:tcPr>
          <w:p w:rsidR="007B7F80" w:rsidRPr="007B7F80" w:rsidP="007B7F80" w14:paraId="704EFC10" w14:textId="77777777">
            <w:r w:rsidRPr="007B7F80">
              <w:t xml:space="preserve">Exhibit 7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2128D399" w14:textId="77777777">
            <w:r w:rsidRPr="007B7F80">
              <w:t xml:space="preserve">Added the model Notice of Participation Renewal, </w:t>
            </w:r>
            <w:r w:rsidRPr="007B7F80">
              <w:t xml:space="preserve">which satisfies the requirement established in the final rule CMS-4208-F for Part D sponsors to alert Medicare Prescription Payment Plan participants that their participation in the program will automatically renew.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364A49B5" w14:textId="77777777">
            <w:r w:rsidRPr="007B7F80">
              <w:t xml:space="preserve">Addition </w:t>
            </w:r>
          </w:p>
        </w:tc>
        <w:tc>
          <w:tcPr>
            <w:tcW w:w="2631" w:type="dxa"/>
            <w:tcBorders>
              <w:top w:val="none" w:sz="6" w:space="0" w:color="auto"/>
              <w:left w:val="none" w:sz="6" w:space="0" w:color="auto"/>
              <w:bottom w:val="none" w:sz="6" w:space="0" w:color="auto"/>
              <w:right w:val="none" w:sz="6" w:space="0" w:color="auto"/>
            </w:tcBorders>
          </w:tcPr>
          <w:p w:rsidR="007B7F80" w:rsidRPr="007B7F80" w:rsidP="007B7F80" w14:paraId="5AFA7646" w14:textId="77777777">
            <w:r w:rsidRPr="007B7F80">
              <w:t xml:space="preserve">Completeness </w:t>
            </w:r>
          </w:p>
        </w:tc>
        <w:tc>
          <w:tcPr>
            <w:tcW w:w="2632" w:type="dxa"/>
            <w:tcBorders>
              <w:top w:val="none" w:sz="6" w:space="0" w:color="auto"/>
              <w:left w:val="none" w:sz="6" w:space="0" w:color="auto"/>
              <w:bottom w:val="none" w:sz="6" w:space="0" w:color="auto"/>
            </w:tcBorders>
          </w:tcPr>
          <w:p w:rsidR="007B7F80" w:rsidRPr="007B7F80" w:rsidP="007B7F80" w14:paraId="55984D3F" w14:textId="77777777">
            <w:r w:rsidRPr="007B7F80">
              <w:t xml:space="preserve">Yes </w:t>
            </w:r>
          </w:p>
        </w:tc>
      </w:tr>
    </w:tbl>
    <w:p w:rsidR="007B7F80" w14:paraId="1420FC55" w14:textId="77777777"/>
    <w:tbl>
      <w:tblPr>
        <w:tblStyle w:val="TableGrid"/>
        <w:tblCaption w:val="Crosswalk for Initial Drug Management Program Notice"/>
        <w:tblDescription w:val="Crosswalk for Initial Drug Management Program Notice"/>
        <w:tblW w:w="5000" w:type="pct"/>
        <w:tblCellMar>
          <w:left w:w="115" w:type="dxa"/>
          <w:right w:w="115" w:type="dxa"/>
        </w:tblCellMar>
        <w:tblLook w:val="0000"/>
      </w:tblPr>
      <w:tblGrid>
        <w:gridCol w:w="1344"/>
        <w:gridCol w:w="6931"/>
        <w:gridCol w:w="1171"/>
        <w:gridCol w:w="2486"/>
        <w:gridCol w:w="1018"/>
      </w:tblGrid>
      <w:tr w14:paraId="1BCDA154" w14:textId="77777777" w:rsidTr="00CD5353">
        <w:tblPrEx>
          <w:tblW w:w="5000" w:type="pct"/>
          <w:tblCellMar>
            <w:left w:w="115" w:type="dxa"/>
            <w:right w:w="115" w:type="dxa"/>
          </w:tblCellMar>
          <w:tblLook w:val="0000"/>
        </w:tblPrEx>
        <w:trPr>
          <w:cantSplit/>
          <w:trHeight w:val="350"/>
          <w:tblHeader/>
        </w:trPr>
        <w:tc>
          <w:tcPr>
            <w:tcW w:w="5000" w:type="pct"/>
            <w:gridSpan w:val="5"/>
            <w:shd w:val="clear" w:color="auto" w:fill="E7E6E6" w:themeFill="background2"/>
          </w:tcPr>
          <w:p w:rsidR="007B7F80" w:rsidRPr="009B3319" w:rsidP="00CD5353" w14:paraId="7DDCD468" w14:textId="77777777">
            <w:pPr>
              <w:pStyle w:val="Default"/>
              <w:jc w:val="center"/>
              <w:rPr>
                <w:rFonts w:ascii="Times New Roman" w:hAnsi="Times New Roman" w:cs="Times New Roman"/>
                <w:b/>
                <w:bCs/>
              </w:rPr>
            </w:pPr>
            <w:r>
              <w:rPr>
                <w:rFonts w:ascii="Times New Roman" w:hAnsi="Times New Roman" w:cs="Times New Roman"/>
                <w:b/>
                <w:bCs/>
              </w:rPr>
              <w:t>CMS-10882 (60-Day Public Comment Period) - Crosswalk</w:t>
            </w:r>
          </w:p>
        </w:tc>
      </w:tr>
      <w:tr w14:paraId="1490EDBD" w14:textId="77777777" w:rsidTr="00CD5353">
        <w:tblPrEx>
          <w:tblW w:w="5000" w:type="pct"/>
          <w:tblCellMar>
            <w:left w:w="115" w:type="dxa"/>
            <w:right w:w="115" w:type="dxa"/>
          </w:tblCellMar>
          <w:tblLook w:val="0000"/>
        </w:tblPrEx>
        <w:trPr>
          <w:cantSplit/>
          <w:trHeight w:val="461"/>
          <w:tblHeader/>
        </w:trPr>
        <w:tc>
          <w:tcPr>
            <w:tcW w:w="519" w:type="pct"/>
            <w:vAlign w:val="center"/>
          </w:tcPr>
          <w:p w:rsidR="007B7F80" w:rsidP="00CD5353" w14:paraId="3AB2DD9F" w14:textId="77777777">
            <w:pPr>
              <w:pStyle w:val="Default"/>
              <w:jc w:val="center"/>
              <w:rPr>
                <w:rFonts w:ascii="Times New Roman" w:hAnsi="Times New Roman" w:cs="Times New Roman"/>
                <w:b/>
                <w:bCs/>
              </w:rPr>
            </w:pPr>
            <w:bookmarkStart w:id="0" w:name="_Hlk88484826"/>
            <w:bookmarkStart w:id="1" w:name="_Hlk88485318"/>
            <w:r>
              <w:rPr>
                <w:rFonts w:ascii="Times New Roman" w:hAnsi="Times New Roman" w:cs="Times New Roman"/>
                <w:b/>
                <w:bCs/>
              </w:rPr>
              <w:t>Section</w:t>
            </w:r>
          </w:p>
        </w:tc>
        <w:tc>
          <w:tcPr>
            <w:tcW w:w="2676" w:type="pct"/>
            <w:vAlign w:val="center"/>
          </w:tcPr>
          <w:p w:rsidR="007B7F80" w:rsidP="00CD5353" w14:paraId="7AECE8E3" w14:textId="77777777">
            <w:pPr>
              <w:pStyle w:val="Default"/>
              <w:jc w:val="center"/>
              <w:rPr>
                <w:rFonts w:ascii="Times New Roman" w:hAnsi="Times New Roman" w:cs="Times New Roman"/>
                <w:b/>
                <w:bCs/>
              </w:rPr>
            </w:pPr>
            <w:r>
              <w:rPr>
                <w:rFonts w:ascii="Times New Roman" w:hAnsi="Times New Roman" w:cs="Times New Roman"/>
                <w:b/>
                <w:bCs/>
              </w:rPr>
              <w:t>N</w:t>
            </w:r>
            <w:r w:rsidRPr="009B3319">
              <w:rPr>
                <w:rFonts w:ascii="Times New Roman" w:hAnsi="Times New Roman" w:cs="Times New Roman"/>
                <w:b/>
                <w:bCs/>
              </w:rPr>
              <w:t>ew version</w:t>
            </w:r>
          </w:p>
        </w:tc>
        <w:tc>
          <w:tcPr>
            <w:tcW w:w="452" w:type="pct"/>
            <w:vAlign w:val="center"/>
          </w:tcPr>
          <w:p w:rsidR="007B7F80" w:rsidRPr="009B3319" w:rsidP="00CD5353" w14:paraId="6DAF3B48" w14:textId="77777777">
            <w:pPr>
              <w:pStyle w:val="Default"/>
              <w:jc w:val="center"/>
              <w:rPr>
                <w:rFonts w:ascii="Times New Roman" w:hAnsi="Times New Roman" w:cs="Times New Roman"/>
                <w:b/>
                <w:bCs/>
              </w:rPr>
            </w:pPr>
            <w:r w:rsidRPr="009B3319">
              <w:rPr>
                <w:rFonts w:ascii="Times New Roman" w:hAnsi="Times New Roman" w:cs="Times New Roman"/>
                <w:b/>
                <w:bCs/>
              </w:rPr>
              <w:t>Type of Change</w:t>
            </w:r>
          </w:p>
        </w:tc>
        <w:tc>
          <w:tcPr>
            <w:tcW w:w="960" w:type="pct"/>
            <w:vAlign w:val="center"/>
          </w:tcPr>
          <w:p w:rsidR="007B7F80" w:rsidRPr="009B3319" w:rsidP="00CD5353" w14:paraId="76822BDE" w14:textId="77777777">
            <w:pPr>
              <w:pStyle w:val="Default"/>
              <w:jc w:val="center"/>
              <w:rPr>
                <w:rFonts w:ascii="Times New Roman" w:hAnsi="Times New Roman" w:cs="Times New Roman"/>
                <w:b/>
                <w:bCs/>
              </w:rPr>
            </w:pPr>
            <w:r w:rsidRPr="009B3319">
              <w:rPr>
                <w:rFonts w:ascii="Times New Roman" w:hAnsi="Times New Roman" w:cs="Times New Roman"/>
                <w:b/>
                <w:bCs/>
              </w:rPr>
              <w:t>Reason for change</w:t>
            </w:r>
          </w:p>
        </w:tc>
        <w:tc>
          <w:tcPr>
            <w:tcW w:w="393" w:type="pct"/>
            <w:vAlign w:val="center"/>
          </w:tcPr>
          <w:p w:rsidR="007B7F80" w:rsidRPr="009B3319" w:rsidP="00CD5353" w14:paraId="7AD9E772" w14:textId="77777777">
            <w:pPr>
              <w:pStyle w:val="Default"/>
              <w:jc w:val="center"/>
              <w:rPr>
                <w:rFonts w:ascii="Times New Roman" w:hAnsi="Times New Roman" w:cs="Times New Roman"/>
                <w:b/>
                <w:bCs/>
              </w:rPr>
            </w:pPr>
            <w:r w:rsidRPr="009B3319">
              <w:rPr>
                <w:rFonts w:ascii="Times New Roman" w:hAnsi="Times New Roman" w:cs="Times New Roman"/>
                <w:b/>
                <w:bCs/>
              </w:rPr>
              <w:t>Burden Change</w:t>
            </w:r>
          </w:p>
        </w:tc>
      </w:tr>
      <w:tr w14:paraId="588B93BB" w14:textId="77777777" w:rsidTr="00CD5353">
        <w:tblPrEx>
          <w:tblW w:w="5000" w:type="pct"/>
          <w:tblCellMar>
            <w:left w:w="115" w:type="dxa"/>
            <w:right w:w="115" w:type="dxa"/>
          </w:tblCellMar>
          <w:tblLook w:val="0000"/>
        </w:tblPrEx>
        <w:trPr>
          <w:cantSplit/>
          <w:trHeight w:val="305"/>
          <w:tblHeader/>
        </w:trPr>
        <w:tc>
          <w:tcPr>
            <w:tcW w:w="519" w:type="pct"/>
          </w:tcPr>
          <w:p w:rsidR="007B7F80" w:rsidRPr="001C2CB9" w:rsidP="00CD5353" w14:paraId="16FD1FBD" w14:textId="77777777">
            <w:pPr>
              <w:pStyle w:val="Default"/>
              <w:rPr>
                <w:rFonts w:ascii="Times New Roman" w:eastAsia="Cambria" w:hAnsi="Times New Roman" w:cs="Times New Roman"/>
              </w:rPr>
            </w:pPr>
            <w:r w:rsidRPr="001C2CB9">
              <w:rPr>
                <w:rFonts w:ascii="Times New Roman" w:eastAsia="Cambria" w:hAnsi="Times New Roman" w:cs="Times New Roman"/>
              </w:rPr>
              <w:t>Exhibit</w:t>
            </w:r>
            <w:r w:rsidRPr="001C2CB9">
              <w:rPr>
                <w:rFonts w:ascii="Times New Roman" w:eastAsia="Cambria" w:hAnsi="Times New Roman" w:cs="Times New Roman"/>
              </w:rPr>
              <w:t xml:space="preserve"> 1</w:t>
            </w:r>
            <w:r>
              <w:rPr>
                <w:rFonts w:ascii="Times New Roman" w:eastAsia="Cambria" w:hAnsi="Times New Roman" w:cs="Times New Roman"/>
              </w:rPr>
              <w:t>, 1.2, 1.4, 1.5, 1.6</w:t>
            </w:r>
          </w:p>
        </w:tc>
        <w:tc>
          <w:tcPr>
            <w:tcW w:w="2676" w:type="pct"/>
          </w:tcPr>
          <w:p w:rsidR="007B7F80" w:rsidRPr="001C2CB9" w:rsidP="00CD5353" w14:paraId="07B7525B" w14:textId="77777777">
            <w:pPr>
              <w:pStyle w:val="ListParagraph"/>
              <w:ind w:left="0"/>
              <w:contextualSpacing w:val="0"/>
            </w:pPr>
            <w:r w:rsidRPr="001C2CB9">
              <w:t>Revised the boxed outline at the bottom of the exhibit and instead bolded the entire statement to reinforce the prompt for beneficiary action.</w:t>
            </w:r>
          </w:p>
        </w:tc>
        <w:tc>
          <w:tcPr>
            <w:tcW w:w="452" w:type="pct"/>
          </w:tcPr>
          <w:p w:rsidR="007B7F80" w:rsidRPr="001C2CB9" w:rsidP="00CD5353" w14:paraId="1EDF257B" w14:textId="77777777">
            <w:pPr>
              <w:pStyle w:val="Default"/>
              <w:rPr>
                <w:rFonts w:ascii="Times New Roman" w:hAnsi="Times New Roman" w:cs="Times New Roman"/>
              </w:rPr>
            </w:pPr>
            <w:r w:rsidRPr="001C2CB9">
              <w:rPr>
                <w:rFonts w:ascii="Times New Roman" w:hAnsi="Times New Roman" w:cs="Times New Roman"/>
              </w:rPr>
              <w:t>Rev</w:t>
            </w:r>
          </w:p>
        </w:tc>
        <w:tc>
          <w:tcPr>
            <w:tcW w:w="960" w:type="pct"/>
          </w:tcPr>
          <w:p w:rsidR="007B7F80" w:rsidRPr="001C2CB9" w:rsidP="00CD5353" w14:paraId="71ADB0E7" w14:textId="77777777">
            <w:pPr>
              <w:pStyle w:val="Default"/>
              <w:rPr>
                <w:rFonts w:ascii="Times New Roman" w:hAnsi="Times New Roman" w:cs="Times New Roman"/>
              </w:rPr>
            </w:pPr>
            <w:r w:rsidRPr="001C2CB9">
              <w:rPr>
                <w:rFonts w:ascii="Times New Roman" w:hAnsi="Times New Roman" w:cs="Times New Roman"/>
              </w:rPr>
              <w:t>Responsiveness to comments</w:t>
            </w:r>
          </w:p>
        </w:tc>
        <w:tc>
          <w:tcPr>
            <w:tcW w:w="393" w:type="pct"/>
          </w:tcPr>
          <w:p w:rsidR="007B7F80" w:rsidRPr="001C2CB9" w:rsidP="00CD5353" w14:paraId="2F688A3A" w14:textId="77777777">
            <w:pPr>
              <w:pStyle w:val="Default"/>
              <w:rPr>
                <w:rFonts w:ascii="Times New Roman" w:hAnsi="Times New Roman" w:cs="Times New Roman"/>
              </w:rPr>
            </w:pPr>
            <w:r>
              <w:rPr>
                <w:rFonts w:ascii="Times New Roman" w:hAnsi="Times New Roman" w:cs="Times New Roman"/>
              </w:rPr>
              <w:t>No</w:t>
            </w:r>
          </w:p>
        </w:tc>
      </w:tr>
      <w:tr w14:paraId="4711574E" w14:textId="77777777" w:rsidTr="00CD5353">
        <w:tblPrEx>
          <w:tblW w:w="5000" w:type="pct"/>
          <w:tblCellMar>
            <w:left w:w="115" w:type="dxa"/>
            <w:right w:w="115" w:type="dxa"/>
          </w:tblCellMar>
          <w:tblLook w:val="0000"/>
        </w:tblPrEx>
        <w:trPr>
          <w:cantSplit/>
          <w:trHeight w:val="530"/>
          <w:tblHeader/>
        </w:trPr>
        <w:tc>
          <w:tcPr>
            <w:tcW w:w="519" w:type="pct"/>
          </w:tcPr>
          <w:p w:rsidR="007B7F80" w:rsidRPr="001C2CB9" w:rsidP="00CD5353" w14:paraId="7DAF63C4" w14:textId="77777777">
            <w:pPr>
              <w:pStyle w:val="Default"/>
              <w:rPr>
                <w:rFonts w:ascii="Times New Roman" w:eastAsia="Cambria" w:hAnsi="Times New Roman" w:cs="Times New Roman"/>
              </w:rPr>
            </w:pPr>
            <w:r w:rsidRPr="001C2CB9">
              <w:rPr>
                <w:rFonts w:ascii="Times New Roman" w:eastAsia="Cambria" w:hAnsi="Times New Roman" w:cs="Times New Roman"/>
              </w:rPr>
              <w:t>Exhibit</w:t>
            </w:r>
            <w:r>
              <w:rPr>
                <w:rFonts w:ascii="Times New Roman" w:eastAsia="Cambria" w:hAnsi="Times New Roman" w:cs="Times New Roman"/>
              </w:rPr>
              <w:t>s</w:t>
            </w:r>
            <w:r w:rsidRPr="001C2CB9">
              <w:rPr>
                <w:rFonts w:ascii="Times New Roman" w:eastAsia="Cambria" w:hAnsi="Times New Roman" w:cs="Times New Roman"/>
              </w:rPr>
              <w:t xml:space="preserve"> 2</w:t>
            </w:r>
            <w:r>
              <w:rPr>
                <w:rFonts w:ascii="Times New Roman" w:eastAsia="Cambria" w:hAnsi="Times New Roman" w:cs="Times New Roman"/>
              </w:rPr>
              <w:t>, 3 and 4</w:t>
            </w:r>
          </w:p>
        </w:tc>
        <w:tc>
          <w:tcPr>
            <w:tcW w:w="2676" w:type="pct"/>
          </w:tcPr>
          <w:p w:rsidR="007B7F80" w:rsidRPr="001C2CB9" w:rsidP="00CD5353" w14:paraId="4C93598D" w14:textId="77777777">
            <w:pPr>
              <w:pStyle w:val="Default"/>
              <w:rPr>
                <w:rFonts w:ascii="Times New Roman" w:hAnsi="Times New Roman" w:cs="Times New Roman"/>
                <w:bCs/>
              </w:rPr>
            </w:pPr>
            <w:r>
              <w:rPr>
                <w:rFonts w:ascii="Times New Roman" w:hAnsi="Times New Roman" w:cs="Times New Roman"/>
                <w:bCs/>
              </w:rPr>
              <w:t xml:space="preserve">Minor edits in response to public comments to improve clarity and consistency across model materials. </w:t>
            </w:r>
          </w:p>
        </w:tc>
        <w:tc>
          <w:tcPr>
            <w:tcW w:w="452" w:type="pct"/>
          </w:tcPr>
          <w:p w:rsidR="007B7F80" w:rsidRPr="001C2CB9" w:rsidP="00CD5353" w14:paraId="4BDF6019" w14:textId="77777777">
            <w:pPr>
              <w:pStyle w:val="Default"/>
              <w:rPr>
                <w:rFonts w:ascii="Times New Roman" w:hAnsi="Times New Roman" w:cs="Times New Roman"/>
              </w:rPr>
            </w:pPr>
            <w:r w:rsidRPr="001C2CB9">
              <w:rPr>
                <w:rFonts w:ascii="Times New Roman" w:hAnsi="Times New Roman" w:cs="Times New Roman"/>
              </w:rPr>
              <w:t>Rev</w:t>
            </w:r>
          </w:p>
        </w:tc>
        <w:tc>
          <w:tcPr>
            <w:tcW w:w="960" w:type="pct"/>
          </w:tcPr>
          <w:p w:rsidR="007B7F80" w:rsidRPr="001C2CB9" w:rsidP="00CD5353" w14:paraId="53766BCF" w14:textId="77777777">
            <w:pPr>
              <w:pStyle w:val="Default"/>
              <w:rPr>
                <w:rFonts w:ascii="Times New Roman" w:hAnsi="Times New Roman" w:cs="Times New Roman"/>
              </w:rPr>
            </w:pPr>
            <w:r w:rsidRPr="001C2CB9">
              <w:rPr>
                <w:rFonts w:ascii="Times New Roman" w:hAnsi="Times New Roman" w:cs="Times New Roman"/>
              </w:rPr>
              <w:t>Clarity and responsiveness to comments</w:t>
            </w:r>
          </w:p>
        </w:tc>
        <w:tc>
          <w:tcPr>
            <w:tcW w:w="393" w:type="pct"/>
          </w:tcPr>
          <w:p w:rsidR="007B7F80" w:rsidRPr="001C2CB9" w:rsidP="00CD5353" w14:paraId="0112BE0B" w14:textId="77777777">
            <w:pPr>
              <w:pStyle w:val="Default"/>
              <w:rPr>
                <w:rFonts w:ascii="Times New Roman" w:hAnsi="Times New Roman" w:cs="Times New Roman"/>
              </w:rPr>
            </w:pPr>
            <w:r>
              <w:rPr>
                <w:rFonts w:ascii="Times New Roman" w:hAnsi="Times New Roman" w:cs="Times New Roman"/>
              </w:rPr>
              <w:t>No</w:t>
            </w:r>
          </w:p>
        </w:tc>
      </w:tr>
      <w:tr w14:paraId="518BE1E2" w14:textId="77777777" w:rsidTr="00CD5353">
        <w:tblPrEx>
          <w:tblW w:w="5000" w:type="pct"/>
          <w:tblCellMar>
            <w:left w:w="115" w:type="dxa"/>
            <w:right w:w="115" w:type="dxa"/>
          </w:tblCellMar>
          <w:tblLook w:val="0000"/>
        </w:tblPrEx>
        <w:trPr>
          <w:cantSplit/>
          <w:trHeight w:val="157"/>
          <w:tblHeader/>
        </w:trPr>
        <w:tc>
          <w:tcPr>
            <w:tcW w:w="519" w:type="pct"/>
          </w:tcPr>
          <w:p w:rsidR="007B7F80" w:rsidRPr="001C2CB9" w:rsidP="00CD5353" w14:paraId="7F4F24B9" w14:textId="77777777">
            <w:pPr>
              <w:rPr>
                <w:rFonts w:ascii="Times New Roman" w:hAnsi="Times New Roman" w:cs="Times New Roman"/>
                <w:sz w:val="24"/>
                <w:szCs w:val="24"/>
              </w:rPr>
            </w:pPr>
            <w:r w:rsidRPr="001C2CB9">
              <w:rPr>
                <w:rFonts w:ascii="Times New Roman" w:eastAsia="Cambria" w:hAnsi="Times New Roman" w:cs="Times New Roman"/>
                <w:sz w:val="24"/>
                <w:szCs w:val="24"/>
              </w:rPr>
              <w:t>Exhibit 2</w:t>
            </w:r>
          </w:p>
        </w:tc>
        <w:tc>
          <w:tcPr>
            <w:tcW w:w="2676" w:type="pct"/>
          </w:tcPr>
          <w:p w:rsidR="007B7F80" w:rsidRPr="001C2CB9" w:rsidP="00CD5353" w14:paraId="1A40CD43" w14:textId="77777777">
            <w:pPr>
              <w:pStyle w:val="Default"/>
              <w:rPr>
                <w:rFonts w:ascii="Times New Roman" w:hAnsi="Times New Roman" w:cs="Times New Roman"/>
              </w:rPr>
            </w:pPr>
            <w:r w:rsidRPr="001C2CB9">
              <w:rPr>
                <w:rFonts w:ascii="Times New Roman" w:hAnsi="Times New Roman" w:cs="Times New Roman"/>
              </w:rPr>
              <w:t>Added a radio selection field for beneficiaries to indicate whether they are requesting to participate in the program for the current plan year or the upcoming plan year.</w:t>
            </w:r>
          </w:p>
        </w:tc>
        <w:tc>
          <w:tcPr>
            <w:tcW w:w="452" w:type="pct"/>
          </w:tcPr>
          <w:p w:rsidR="007B7F80" w:rsidRPr="001C2CB9" w:rsidP="00CD5353" w14:paraId="430F4726" w14:textId="77777777">
            <w:pPr>
              <w:pStyle w:val="Default"/>
              <w:rPr>
                <w:rFonts w:ascii="Times New Roman" w:hAnsi="Times New Roman" w:cs="Times New Roman"/>
              </w:rPr>
            </w:pPr>
            <w:r w:rsidRPr="001C2CB9">
              <w:rPr>
                <w:rFonts w:ascii="Times New Roman" w:hAnsi="Times New Roman" w:cs="Times New Roman"/>
              </w:rPr>
              <w:t>Add</w:t>
            </w:r>
          </w:p>
        </w:tc>
        <w:tc>
          <w:tcPr>
            <w:tcW w:w="960" w:type="pct"/>
          </w:tcPr>
          <w:p w:rsidR="007B7F80" w:rsidRPr="001C2CB9" w:rsidP="00CD5353" w14:paraId="3C296568" w14:textId="77777777">
            <w:pPr>
              <w:pStyle w:val="Default"/>
              <w:rPr>
                <w:rFonts w:ascii="Times New Roman" w:hAnsi="Times New Roman" w:cs="Times New Roman"/>
              </w:rPr>
            </w:pPr>
            <w:r w:rsidRPr="001C2CB9">
              <w:rPr>
                <w:rFonts w:ascii="Times New Roman" w:hAnsi="Times New Roman" w:cs="Times New Roman"/>
              </w:rPr>
              <w:t>Responsiveness to comments</w:t>
            </w:r>
          </w:p>
        </w:tc>
        <w:tc>
          <w:tcPr>
            <w:tcW w:w="393" w:type="pct"/>
          </w:tcPr>
          <w:p w:rsidR="007B7F80" w:rsidRPr="001C2CB9" w:rsidP="00CD5353" w14:paraId="1B241023" w14:textId="77777777">
            <w:pPr>
              <w:pStyle w:val="Default"/>
              <w:rPr>
                <w:rFonts w:ascii="Times New Roman" w:hAnsi="Times New Roman" w:cs="Times New Roman"/>
              </w:rPr>
            </w:pPr>
            <w:r>
              <w:rPr>
                <w:rFonts w:ascii="Times New Roman" w:hAnsi="Times New Roman" w:cs="Times New Roman"/>
              </w:rPr>
              <w:t>No</w:t>
            </w:r>
          </w:p>
        </w:tc>
      </w:tr>
      <w:tr w14:paraId="7F05101B" w14:textId="77777777" w:rsidTr="00CD5353">
        <w:tblPrEx>
          <w:tblW w:w="5000" w:type="pct"/>
          <w:tblCellMar>
            <w:left w:w="115" w:type="dxa"/>
            <w:right w:w="115" w:type="dxa"/>
          </w:tblCellMar>
          <w:tblLook w:val="0000"/>
        </w:tblPrEx>
        <w:trPr>
          <w:cantSplit/>
          <w:trHeight w:val="157"/>
          <w:tblHeader/>
        </w:trPr>
        <w:tc>
          <w:tcPr>
            <w:tcW w:w="519" w:type="pct"/>
          </w:tcPr>
          <w:p w:rsidR="007B7F80" w:rsidRPr="001C2CB9" w:rsidP="00CD5353" w14:paraId="7E658CC4" w14:textId="77777777">
            <w:pPr>
              <w:rPr>
                <w:rFonts w:ascii="Times New Roman" w:eastAsia="Cambria" w:hAnsi="Times New Roman" w:cs="Times New Roman"/>
                <w:sz w:val="24"/>
                <w:szCs w:val="24"/>
              </w:rPr>
            </w:pPr>
            <w:r>
              <w:rPr>
                <w:rFonts w:ascii="Times New Roman" w:eastAsia="Cambria" w:hAnsi="Times New Roman" w:cs="Times New Roman"/>
                <w:sz w:val="24"/>
                <w:szCs w:val="24"/>
              </w:rPr>
              <w:t>Exhibit 3-6</w:t>
            </w:r>
          </w:p>
        </w:tc>
        <w:tc>
          <w:tcPr>
            <w:tcW w:w="2676" w:type="pct"/>
          </w:tcPr>
          <w:p w:rsidR="007B7F80" w:rsidP="00CD5353" w14:paraId="18D62A1A" w14:textId="77777777">
            <w:pPr>
              <w:pStyle w:val="Default"/>
              <w:rPr>
                <w:rFonts w:ascii="Times New Roman" w:hAnsi="Times New Roman" w:cs="Times New Roman"/>
              </w:rPr>
            </w:pPr>
            <w:r w:rsidRPr="001C2CB9">
              <w:rPr>
                <w:rFonts w:ascii="Times New Roman" w:hAnsi="Times New Roman" w:cs="Times New Roman"/>
                <w:bCs/>
              </w:rPr>
              <w:t xml:space="preserve">Revised </w:t>
            </w:r>
            <w:r>
              <w:rPr>
                <w:rFonts w:ascii="Times New Roman" w:hAnsi="Times New Roman" w:cs="Times New Roman"/>
                <w:bCs/>
              </w:rPr>
              <w:t>instructions to correctly reference “notice” instead of “request form.”</w:t>
            </w:r>
          </w:p>
        </w:tc>
        <w:tc>
          <w:tcPr>
            <w:tcW w:w="452" w:type="pct"/>
          </w:tcPr>
          <w:p w:rsidR="007B7F80" w:rsidP="00CD5353" w14:paraId="6B19D453" w14:textId="77777777">
            <w:pPr>
              <w:pStyle w:val="Default"/>
              <w:rPr>
                <w:rFonts w:ascii="Times New Roman" w:hAnsi="Times New Roman" w:cs="Times New Roman"/>
              </w:rPr>
            </w:pPr>
            <w:r w:rsidRPr="001C2CB9">
              <w:rPr>
                <w:rFonts w:ascii="Times New Roman" w:hAnsi="Times New Roman" w:cs="Times New Roman"/>
              </w:rPr>
              <w:t>Rev</w:t>
            </w:r>
          </w:p>
        </w:tc>
        <w:tc>
          <w:tcPr>
            <w:tcW w:w="960" w:type="pct"/>
          </w:tcPr>
          <w:p w:rsidR="007B7F80" w:rsidRPr="001C2CB9" w:rsidP="00CD5353" w14:paraId="58F36CC9" w14:textId="77777777">
            <w:pPr>
              <w:pStyle w:val="Default"/>
              <w:rPr>
                <w:rFonts w:ascii="Times New Roman" w:hAnsi="Times New Roman" w:cs="Times New Roman"/>
              </w:rPr>
            </w:pPr>
            <w:r w:rsidRPr="001C2CB9">
              <w:rPr>
                <w:rFonts w:ascii="Times New Roman" w:hAnsi="Times New Roman" w:cs="Times New Roman"/>
              </w:rPr>
              <w:t>Clarity and responsiveness to comments</w:t>
            </w:r>
          </w:p>
        </w:tc>
        <w:tc>
          <w:tcPr>
            <w:tcW w:w="393" w:type="pct"/>
          </w:tcPr>
          <w:p w:rsidR="007B7F80" w:rsidRPr="001C2CB9" w:rsidP="00CD5353" w14:paraId="0DA145F2" w14:textId="77777777">
            <w:pPr>
              <w:pStyle w:val="Default"/>
              <w:rPr>
                <w:rFonts w:ascii="Times New Roman" w:hAnsi="Times New Roman" w:cs="Times New Roman"/>
              </w:rPr>
            </w:pPr>
            <w:r>
              <w:rPr>
                <w:rFonts w:ascii="Times New Roman" w:hAnsi="Times New Roman" w:cs="Times New Roman"/>
              </w:rPr>
              <w:t>No</w:t>
            </w:r>
          </w:p>
        </w:tc>
      </w:tr>
      <w:bookmarkEnd w:id="0"/>
      <w:bookmarkEnd w:id="1"/>
    </w:tbl>
    <w:p w:rsidR="007B7F80" w:rsidP="007B7F80" w14:paraId="0047C8AF" w14:textId="77777777"/>
    <w:sectPr w:rsidSect="00163D27">
      <w:headerReference w:type="default" r:id="rId8"/>
      <w:footerReference w:type="default" r:id="rId9"/>
      <w:pgSz w:w="15840" w:h="12240" w:orient="landscape"/>
      <w:pgMar w:top="1440" w:right="1440" w:bottom="1440" w:left="1440" w:header="288"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754" w:rsidP="00203754" w14:paraId="62A61E72" w14:textId="6534200B">
    <w:pPr>
      <w:ind w:right="3"/>
      <w:jc w:val="center"/>
    </w:pPr>
    <w:r>
      <w:rPr>
        <w:rFonts w:ascii="Calibri" w:eastAsia="Calibri" w:hAnsi="Calibri" w:cs="Calibri"/>
      </w:rPr>
      <w:t>Type of Change: Rev = Revision, Del = Deletion, Add = Addition, and Red = Redesignation.</w:t>
    </w:r>
  </w:p>
  <w:p w:rsidR="00203754" w14:paraId="5FA949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88F" w14:paraId="7CE5D264" w14:textId="77777777">
    <w:pPr>
      <w:pStyle w:val="Header"/>
      <w:rPr>
        <w:rFonts w:ascii="Times New Roman" w:hAnsi="Times New Roman" w:cs="Times New Roman"/>
        <w:b/>
        <w:bCs/>
      </w:rPr>
    </w:pPr>
  </w:p>
  <w:p w:rsidR="0067388F" w:rsidRPr="0067388F" w14:paraId="0833BD08" w14:textId="7C7F1D37">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41602A"/>
    <w:multiLevelType w:val="hybridMultilevel"/>
    <w:tmpl w:val="7D9C5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
    <w:nsid w:val="2AC5762A"/>
    <w:multiLevelType w:val="hybridMultilevel"/>
    <w:tmpl w:val="131EC1B6"/>
    <w:lvl w:ilvl="0">
      <w:start w:val="0"/>
      <w:numFmt w:val="bullet"/>
      <w:lvlText w:val="•"/>
      <w:lvlJc w:val="left"/>
      <w:pPr>
        <w:ind w:left="450" w:hanging="270"/>
      </w:pPr>
      <w:rPr>
        <w:rFonts w:ascii="Myriad Pro" w:eastAsia="Myriad Pro" w:hAnsi="Myriad Pro" w:cs="Myriad Pro" w:hint="default"/>
        <w:b w:val="0"/>
        <w:bCs w:val="0"/>
        <w:i w:val="0"/>
        <w:iCs w:val="0"/>
        <w:color w:val="231F20"/>
        <w:w w:val="100"/>
        <w:sz w:val="22"/>
        <w:szCs w:val="22"/>
        <w:lang w:val="en-US" w:eastAsia="en-US" w:bidi="ar-SA"/>
      </w:rPr>
    </w:lvl>
    <w:lvl w:ilvl="1">
      <w:start w:val="0"/>
      <w:numFmt w:val="bullet"/>
      <w:lvlText w:val="•"/>
      <w:lvlJc w:val="left"/>
      <w:pPr>
        <w:ind w:left="894" w:hanging="270"/>
      </w:pPr>
      <w:rPr>
        <w:rFonts w:hint="default"/>
        <w:lang w:val="en-US" w:eastAsia="en-US" w:bidi="ar-SA"/>
      </w:rPr>
    </w:lvl>
    <w:lvl w:ilvl="2">
      <w:start w:val="0"/>
      <w:numFmt w:val="bullet"/>
      <w:lvlText w:val="•"/>
      <w:lvlJc w:val="left"/>
      <w:pPr>
        <w:ind w:left="1329" w:hanging="270"/>
      </w:pPr>
      <w:rPr>
        <w:rFonts w:hint="default"/>
        <w:lang w:val="en-US" w:eastAsia="en-US" w:bidi="ar-SA"/>
      </w:rPr>
    </w:lvl>
    <w:lvl w:ilvl="3">
      <w:start w:val="0"/>
      <w:numFmt w:val="bullet"/>
      <w:lvlText w:val="•"/>
      <w:lvlJc w:val="left"/>
      <w:pPr>
        <w:ind w:left="1764" w:hanging="270"/>
      </w:pPr>
      <w:rPr>
        <w:rFonts w:hint="default"/>
        <w:lang w:val="en-US" w:eastAsia="en-US" w:bidi="ar-SA"/>
      </w:rPr>
    </w:lvl>
    <w:lvl w:ilvl="4">
      <w:start w:val="0"/>
      <w:numFmt w:val="bullet"/>
      <w:lvlText w:val="•"/>
      <w:lvlJc w:val="left"/>
      <w:pPr>
        <w:ind w:left="2199" w:hanging="270"/>
      </w:pPr>
      <w:rPr>
        <w:rFonts w:hint="default"/>
        <w:lang w:val="en-US" w:eastAsia="en-US" w:bidi="ar-SA"/>
      </w:rPr>
    </w:lvl>
    <w:lvl w:ilvl="5">
      <w:start w:val="0"/>
      <w:numFmt w:val="bullet"/>
      <w:lvlText w:val="•"/>
      <w:lvlJc w:val="left"/>
      <w:pPr>
        <w:ind w:left="2633" w:hanging="270"/>
      </w:pPr>
      <w:rPr>
        <w:rFonts w:hint="default"/>
        <w:lang w:val="en-US" w:eastAsia="en-US" w:bidi="ar-SA"/>
      </w:rPr>
    </w:lvl>
    <w:lvl w:ilvl="6">
      <w:start w:val="0"/>
      <w:numFmt w:val="bullet"/>
      <w:lvlText w:val="•"/>
      <w:lvlJc w:val="left"/>
      <w:pPr>
        <w:ind w:left="3068" w:hanging="270"/>
      </w:pPr>
      <w:rPr>
        <w:rFonts w:hint="default"/>
        <w:lang w:val="en-US" w:eastAsia="en-US" w:bidi="ar-SA"/>
      </w:rPr>
    </w:lvl>
    <w:lvl w:ilvl="7">
      <w:start w:val="0"/>
      <w:numFmt w:val="bullet"/>
      <w:lvlText w:val="•"/>
      <w:lvlJc w:val="left"/>
      <w:pPr>
        <w:ind w:left="3503" w:hanging="270"/>
      </w:pPr>
      <w:rPr>
        <w:rFonts w:hint="default"/>
        <w:lang w:val="en-US" w:eastAsia="en-US" w:bidi="ar-SA"/>
      </w:rPr>
    </w:lvl>
    <w:lvl w:ilvl="8">
      <w:start w:val="0"/>
      <w:numFmt w:val="bullet"/>
      <w:lvlText w:val="•"/>
      <w:lvlJc w:val="left"/>
      <w:pPr>
        <w:ind w:left="3938" w:hanging="270"/>
      </w:pPr>
      <w:rPr>
        <w:rFonts w:hint="default"/>
        <w:lang w:val="en-US" w:eastAsia="en-US" w:bidi="ar-SA"/>
      </w:rPr>
    </w:lvl>
  </w:abstractNum>
  <w:abstractNum w:abstractNumId="2">
    <w:nsid w:val="2B5B6AC2"/>
    <w:multiLevelType w:val="hybridMultilevel"/>
    <w:tmpl w:val="7A3CD210"/>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Wingdings"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Wingdings"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Wingdings" w:hint="default"/>
      </w:rPr>
    </w:lvl>
    <w:lvl w:ilvl="8" w:tentative="1">
      <w:start w:val="1"/>
      <w:numFmt w:val="bullet"/>
      <w:lvlText w:val=""/>
      <w:lvlJc w:val="left"/>
      <w:pPr>
        <w:ind w:left="6667" w:hanging="360"/>
      </w:pPr>
      <w:rPr>
        <w:rFonts w:ascii="Wingdings" w:hAnsi="Wingdings" w:hint="default"/>
      </w:rPr>
    </w:lvl>
  </w:abstractNum>
  <w:abstractNum w:abstractNumId="3">
    <w:nsid w:val="3C792B25"/>
    <w:multiLevelType w:val="hybridMultilevel"/>
    <w:tmpl w:val="CEEA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4">
    <w:nsid w:val="3CA12CE7"/>
    <w:multiLevelType w:val="hybridMultilevel"/>
    <w:tmpl w:val="9C24A784"/>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A45D87"/>
    <w:multiLevelType w:val="hybridMultilevel"/>
    <w:tmpl w:val="B768BB12"/>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2557BC"/>
    <w:multiLevelType w:val="hybridMultilevel"/>
    <w:tmpl w:val="2DA0B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CE41AA"/>
    <w:multiLevelType w:val="hybridMultilevel"/>
    <w:tmpl w:val="C38C8B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5AD26427"/>
    <w:multiLevelType w:val="hybridMultilevel"/>
    <w:tmpl w:val="D0D0461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5E3517"/>
    <w:multiLevelType w:val="hybridMultilevel"/>
    <w:tmpl w:val="59105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num w:numId="1" w16cid:durableId="1676297954">
    <w:abstractNumId w:val="6"/>
  </w:num>
  <w:num w:numId="2" w16cid:durableId="1562910358">
    <w:abstractNumId w:val="3"/>
  </w:num>
  <w:num w:numId="3" w16cid:durableId="1180663349">
    <w:abstractNumId w:val="0"/>
  </w:num>
  <w:num w:numId="4" w16cid:durableId="234435117">
    <w:abstractNumId w:val="1"/>
  </w:num>
  <w:num w:numId="5" w16cid:durableId="936905669">
    <w:abstractNumId w:val="2"/>
  </w:num>
  <w:num w:numId="6" w16cid:durableId="2078744586">
    <w:abstractNumId w:val="4"/>
  </w:num>
  <w:num w:numId="7" w16cid:durableId="1191142287">
    <w:abstractNumId w:val="8"/>
  </w:num>
  <w:num w:numId="8" w16cid:durableId="539896842">
    <w:abstractNumId w:val="5"/>
  </w:num>
  <w:num w:numId="9" w16cid:durableId="1026449428">
    <w:abstractNumId w:val="9"/>
  </w:num>
  <w:num w:numId="10" w16cid:durableId="1971010556">
    <w:abstractNumId w:val="2"/>
  </w:num>
  <w:num w:numId="11" w16cid:durableId="983463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21"/>
    <w:rsid w:val="0006705A"/>
    <w:rsid w:val="00091EB8"/>
    <w:rsid w:val="000E747E"/>
    <w:rsid w:val="00134595"/>
    <w:rsid w:val="00134DB2"/>
    <w:rsid w:val="001537A3"/>
    <w:rsid w:val="00155996"/>
    <w:rsid w:val="00163D27"/>
    <w:rsid w:val="00171BC4"/>
    <w:rsid w:val="001C06C5"/>
    <w:rsid w:val="001C2CB9"/>
    <w:rsid w:val="00203754"/>
    <w:rsid w:val="00212B38"/>
    <w:rsid w:val="00214CED"/>
    <w:rsid w:val="002212AA"/>
    <w:rsid w:val="0022728C"/>
    <w:rsid w:val="00243450"/>
    <w:rsid w:val="00247CDC"/>
    <w:rsid w:val="002515CA"/>
    <w:rsid w:val="00272560"/>
    <w:rsid w:val="00276A02"/>
    <w:rsid w:val="00286F09"/>
    <w:rsid w:val="002B5D75"/>
    <w:rsid w:val="002B6511"/>
    <w:rsid w:val="002E3B1B"/>
    <w:rsid w:val="00323A81"/>
    <w:rsid w:val="00327D57"/>
    <w:rsid w:val="00330862"/>
    <w:rsid w:val="00343542"/>
    <w:rsid w:val="003525A8"/>
    <w:rsid w:val="0035374A"/>
    <w:rsid w:val="003B5B5E"/>
    <w:rsid w:val="003C253F"/>
    <w:rsid w:val="003D05EE"/>
    <w:rsid w:val="00410698"/>
    <w:rsid w:val="00437730"/>
    <w:rsid w:val="004379CB"/>
    <w:rsid w:val="00473933"/>
    <w:rsid w:val="00480D51"/>
    <w:rsid w:val="004C0F3E"/>
    <w:rsid w:val="00515003"/>
    <w:rsid w:val="00546265"/>
    <w:rsid w:val="00553A93"/>
    <w:rsid w:val="00577AAF"/>
    <w:rsid w:val="005B3E7A"/>
    <w:rsid w:val="005C5D9A"/>
    <w:rsid w:val="005F499A"/>
    <w:rsid w:val="00637021"/>
    <w:rsid w:val="00642A5C"/>
    <w:rsid w:val="006459F7"/>
    <w:rsid w:val="0067388F"/>
    <w:rsid w:val="006970BC"/>
    <w:rsid w:val="006C0F68"/>
    <w:rsid w:val="00705173"/>
    <w:rsid w:val="00713900"/>
    <w:rsid w:val="00714836"/>
    <w:rsid w:val="00755DD4"/>
    <w:rsid w:val="00772062"/>
    <w:rsid w:val="00781230"/>
    <w:rsid w:val="007869D2"/>
    <w:rsid w:val="0079317D"/>
    <w:rsid w:val="007B16FC"/>
    <w:rsid w:val="007B7F80"/>
    <w:rsid w:val="007C211A"/>
    <w:rsid w:val="007C65E3"/>
    <w:rsid w:val="008019FB"/>
    <w:rsid w:val="00802B37"/>
    <w:rsid w:val="00822C1A"/>
    <w:rsid w:val="00833914"/>
    <w:rsid w:val="00886C4C"/>
    <w:rsid w:val="00887310"/>
    <w:rsid w:val="008A5CD4"/>
    <w:rsid w:val="008D2402"/>
    <w:rsid w:val="008F2D0D"/>
    <w:rsid w:val="00950971"/>
    <w:rsid w:val="0097549C"/>
    <w:rsid w:val="009A2F5A"/>
    <w:rsid w:val="009A3E70"/>
    <w:rsid w:val="009B2360"/>
    <w:rsid w:val="009B3319"/>
    <w:rsid w:val="009C6DF9"/>
    <w:rsid w:val="00A512C4"/>
    <w:rsid w:val="00A750B9"/>
    <w:rsid w:val="00AC7673"/>
    <w:rsid w:val="00AD2B35"/>
    <w:rsid w:val="00AD2C8A"/>
    <w:rsid w:val="00B14D0E"/>
    <w:rsid w:val="00B43BA5"/>
    <w:rsid w:val="00B4427B"/>
    <w:rsid w:val="00B939A5"/>
    <w:rsid w:val="00BA163E"/>
    <w:rsid w:val="00BE40CF"/>
    <w:rsid w:val="00BF5E15"/>
    <w:rsid w:val="00C006FC"/>
    <w:rsid w:val="00C13429"/>
    <w:rsid w:val="00C13E51"/>
    <w:rsid w:val="00C318EF"/>
    <w:rsid w:val="00C454BC"/>
    <w:rsid w:val="00C50FEC"/>
    <w:rsid w:val="00C8140A"/>
    <w:rsid w:val="00CB082A"/>
    <w:rsid w:val="00CC6C8D"/>
    <w:rsid w:val="00CD5353"/>
    <w:rsid w:val="00CE21BF"/>
    <w:rsid w:val="00D217AE"/>
    <w:rsid w:val="00D22474"/>
    <w:rsid w:val="00D37E5C"/>
    <w:rsid w:val="00D72257"/>
    <w:rsid w:val="00DB5988"/>
    <w:rsid w:val="00DF7FC9"/>
    <w:rsid w:val="00E26021"/>
    <w:rsid w:val="00E31110"/>
    <w:rsid w:val="00E37C66"/>
    <w:rsid w:val="00E702C5"/>
    <w:rsid w:val="00F04CA1"/>
    <w:rsid w:val="00F540D5"/>
    <w:rsid w:val="00F77638"/>
    <w:rsid w:val="00F83DDD"/>
    <w:rsid w:val="00F9050E"/>
    <w:rsid w:val="00F97C37"/>
    <w:rsid w:val="00FA5991"/>
    <w:rsid w:val="00FA7A30"/>
    <w:rsid w:val="00FC1CA4"/>
    <w:rsid w:val="00FC4FE8"/>
    <w:rsid w:val="00FC6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E77EC"/>
  <w15:chartTrackingRefBased/>
  <w15:docId w15:val="{B25265A1-4AAE-4602-ADB6-DB492428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021"/>
  </w:style>
  <w:style w:type="paragraph" w:styleId="Heading1">
    <w:name w:val="heading 1"/>
    <w:basedOn w:val="Normal"/>
    <w:next w:val="Normal"/>
    <w:link w:val="Heading1Char"/>
    <w:uiPriority w:val="9"/>
    <w:qFormat/>
    <w:rsid w:val="001C0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3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602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2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02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E"/>
  </w:style>
  <w:style w:type="paragraph" w:styleId="Footer">
    <w:name w:val="footer"/>
    <w:basedOn w:val="Normal"/>
    <w:link w:val="FooterChar"/>
    <w:uiPriority w:val="99"/>
    <w:unhideWhenUsed/>
    <w:rsid w:val="00B1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E"/>
  </w:style>
  <w:style w:type="table" w:customStyle="1" w:styleId="TableGrid0">
    <w:name w:val="TableGrid"/>
    <w:rsid w:val="00B14D0E"/>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C6C8D"/>
    <w:rPr>
      <w:sz w:val="16"/>
      <w:szCs w:val="16"/>
    </w:rPr>
  </w:style>
  <w:style w:type="paragraph" w:styleId="CommentText">
    <w:name w:val="annotation text"/>
    <w:basedOn w:val="Normal"/>
    <w:link w:val="CommentTextChar"/>
    <w:uiPriority w:val="99"/>
    <w:unhideWhenUsed/>
    <w:rsid w:val="00CC6C8D"/>
    <w:pPr>
      <w:spacing w:line="240" w:lineRule="auto"/>
    </w:pPr>
    <w:rPr>
      <w:sz w:val="20"/>
      <w:szCs w:val="20"/>
    </w:rPr>
  </w:style>
  <w:style w:type="character" w:customStyle="1" w:styleId="CommentTextChar">
    <w:name w:val="Comment Text Char"/>
    <w:basedOn w:val="DefaultParagraphFont"/>
    <w:link w:val="CommentText"/>
    <w:uiPriority w:val="99"/>
    <w:rsid w:val="00CC6C8D"/>
    <w:rPr>
      <w:sz w:val="20"/>
      <w:szCs w:val="20"/>
    </w:rPr>
  </w:style>
  <w:style w:type="paragraph" w:styleId="CommentSubject">
    <w:name w:val="annotation subject"/>
    <w:basedOn w:val="CommentText"/>
    <w:next w:val="CommentText"/>
    <w:link w:val="CommentSubjectChar"/>
    <w:uiPriority w:val="99"/>
    <w:semiHidden/>
    <w:unhideWhenUsed/>
    <w:rsid w:val="00CC6C8D"/>
    <w:rPr>
      <w:b/>
      <w:bCs/>
    </w:rPr>
  </w:style>
  <w:style w:type="character" w:customStyle="1" w:styleId="CommentSubjectChar">
    <w:name w:val="Comment Subject Char"/>
    <w:basedOn w:val="CommentTextChar"/>
    <w:link w:val="CommentSubject"/>
    <w:uiPriority w:val="99"/>
    <w:semiHidden/>
    <w:rsid w:val="00CC6C8D"/>
    <w:rPr>
      <w:b/>
      <w:bCs/>
      <w:sz w:val="20"/>
      <w:szCs w:val="20"/>
    </w:rPr>
  </w:style>
  <w:style w:type="paragraph" w:styleId="BalloonText">
    <w:name w:val="Balloon Text"/>
    <w:basedOn w:val="Normal"/>
    <w:link w:val="BalloonTextChar"/>
    <w:uiPriority w:val="99"/>
    <w:semiHidden/>
    <w:unhideWhenUsed/>
    <w:rsid w:val="00CC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C8D"/>
    <w:rPr>
      <w:rFonts w:ascii="Segoe UI" w:hAnsi="Segoe UI" w:cs="Segoe UI"/>
      <w:sz w:val="18"/>
      <w:szCs w:val="18"/>
    </w:rPr>
  </w:style>
  <w:style w:type="character" w:customStyle="1" w:styleId="Heading1Char">
    <w:name w:val="Heading 1 Char"/>
    <w:basedOn w:val="DefaultParagraphFont"/>
    <w:link w:val="Heading1"/>
    <w:uiPriority w:val="9"/>
    <w:rsid w:val="001C06C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2212AA"/>
    <w:pPr>
      <w:spacing w:after="120"/>
    </w:pPr>
  </w:style>
  <w:style w:type="character" w:customStyle="1" w:styleId="BodyTextChar">
    <w:name w:val="Body Text Char"/>
    <w:basedOn w:val="DefaultParagraphFont"/>
    <w:link w:val="BodyText"/>
    <w:uiPriority w:val="99"/>
    <w:semiHidden/>
    <w:rsid w:val="002212AA"/>
  </w:style>
  <w:style w:type="character" w:customStyle="1" w:styleId="Heading3Char">
    <w:name w:val="Heading 3 Char"/>
    <w:basedOn w:val="DefaultParagraphFont"/>
    <w:link w:val="Heading3"/>
    <w:uiPriority w:val="9"/>
    <w:semiHidden/>
    <w:rsid w:val="0067388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A5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4C37-AA7A-4CA0-A1C3-D1CAE4C311F6}">
  <ds:schemaRefs>
    <ds:schemaRef ds:uri="http://purl.org/dc/elements/1.1/"/>
    <ds:schemaRef ds:uri="http://www.w3.org/XML/1998/namespace"/>
    <ds:schemaRef ds:uri="d8761396-434c-46b5-9e27-dd153435f1e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9D1EAE5-0F56-445F-BBE9-81EF7701952E}">
  <ds:schemaRefs>
    <ds:schemaRef ds:uri="http://schemas.microsoft.com/sharepoint/v3/contenttype/forms"/>
  </ds:schemaRefs>
</ds:datastoreItem>
</file>

<file path=customXml/itemProps3.xml><?xml version="1.0" encoding="utf-8"?>
<ds:datastoreItem xmlns:ds="http://schemas.openxmlformats.org/officeDocument/2006/customXml" ds:itemID="{F9F42332-6CF5-4003-92A9-2788ED0F4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EB466-D4F4-4DE2-AEC7-5C4C2442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419</Words>
  <Characters>2282</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Crosswalk CMS-10174_11-2023</vt:lpstr>
    </vt:vector>
  </TitlesOfParts>
  <Company>CMS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CMS-10174_11-2023</dc:title>
  <dc:creator>Chad Buskirk</dc:creator>
  <cp:lastModifiedBy>McKenzie, Stephan (CMS/OSORA)</cp:lastModifiedBy>
  <cp:revision>6</cp:revision>
  <dcterms:created xsi:type="dcterms:W3CDTF">2025-07-22T16:00:00Z</dcterms:created>
  <dcterms:modified xsi:type="dcterms:W3CDTF">2025-07-23T13:52:00Z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PII/PHI">
    <vt:lpwstr>274;#None|c129f343-1354-4507-8efb-62635df20b1e</vt:lpwstr>
  </property>
</Properties>
</file>