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63B7" w:rsidRPr="008A424C" w:rsidP="006F5A77" w14:paraId="7E629E94" w14:textId="7A4D5E5C">
      <w:pPr>
        <w:pStyle w:val="Heading1"/>
        <w:ind w:left="0"/>
        <w:rPr>
          <w:rFonts w:asciiTheme="majorBidi" w:hAnsiTheme="majorBidi" w:cstheme="majorBidi"/>
          <w:sz w:val="23"/>
        </w:rPr>
      </w:pPr>
      <w:r w:rsidRPr="008A424C">
        <w:rPr>
          <w:rFonts w:asciiTheme="majorBidi" w:hAnsiTheme="majorBidi" w:cstheme="majorBidi"/>
          <w:sz w:val="32"/>
          <w:szCs w:val="32"/>
        </w:rPr>
        <w:t xml:space="preserve">Hãy Cân nhắc việc Quản lý Chi phí Thuốc Hàng tháng của Quý vị với Kế hoạch Thanh toán Thuốc Kê toa của Medicare </w:t>
      </w:r>
    </w:p>
    <w:p w:rsidR="00BC0445" w:rsidRPr="008A424C" w:rsidP="006F5A77" w14:paraId="32B0A663" w14:textId="21260BC8">
      <w:pPr>
        <w:pStyle w:val="Heading1"/>
        <w:ind w:left="0"/>
        <w:rPr>
          <w:rFonts w:asciiTheme="majorBidi" w:hAnsiTheme="majorBidi" w:cstheme="majorBidi"/>
        </w:rPr>
      </w:pPr>
      <w:bookmarkStart w:id="0" w:name="Your_Medicare_rights"/>
      <w:bookmarkEnd w:id="0"/>
      <w:r w:rsidRPr="008A424C">
        <w:rPr>
          <w:rStyle w:val="cf01"/>
          <w:rFonts w:asciiTheme="majorBidi" w:hAnsiTheme="majorBidi" w:cstheme="majorBidi"/>
          <w:b w:val="0"/>
          <w:bCs w:val="0"/>
          <w:sz w:val="24"/>
          <w:szCs w:val="24"/>
        </w:rPr>
        <w:t xml:space="preserve">Quý vị có thể được hưởng lợi từ việc tham gia Kế hoạch Thanh toán Thuốc Kê toa của Medicare vì quý vị có chi phí thuốc cao. </w:t>
      </w:r>
      <w:bookmarkStart w:id="1" w:name="_Hlk147824600"/>
    </w:p>
    <w:p w:rsidR="00BC0445" w:rsidRPr="008A424C" w:rsidP="006F5A77" w14:paraId="3DEBFBA2" w14:textId="77777777">
      <w:pPr>
        <w:pStyle w:val="paragraph"/>
        <w:spacing w:before="0" w:beforeAutospacing="0" w:after="0" w:afterAutospacing="0"/>
        <w:textAlignment w:val="baseline"/>
        <w:rPr>
          <w:rFonts w:eastAsia="Calibri" w:asciiTheme="majorBidi" w:hAnsiTheme="majorBidi" w:cstheme="majorBidi"/>
          <w:sz w:val="22"/>
          <w:szCs w:val="22"/>
        </w:rPr>
      </w:pPr>
    </w:p>
    <w:bookmarkEnd w:id="1"/>
    <w:p w:rsidR="00B00151" w:rsidRPr="008A424C" w:rsidP="00B00151" w14:paraId="5D0DA97C" w14:textId="77777777">
      <w:pPr>
        <w:pStyle w:val="paragraph"/>
        <w:spacing w:before="0" w:beforeAutospacing="0" w:after="0" w:afterAutospacing="0"/>
        <w:textAlignment w:val="baseline"/>
        <w:rPr>
          <w:rFonts w:eastAsia="Calibri" w:asciiTheme="majorBidi" w:hAnsiTheme="majorBidi" w:cstheme="majorBidi"/>
          <w:sz w:val="28"/>
          <w:szCs w:val="28"/>
        </w:rPr>
      </w:pPr>
      <w:r w:rsidRPr="008A424C">
        <w:rPr>
          <w:rFonts w:asciiTheme="majorBidi" w:hAnsiTheme="majorBidi" w:cstheme="majorBidi"/>
          <w:b/>
          <w:bCs/>
          <w:sz w:val="28"/>
          <w:szCs w:val="28"/>
        </w:rPr>
        <w:t>Kế hoạch Thanh toán Thuốc Kê toa của Medicare là gì?</w:t>
      </w:r>
    </w:p>
    <w:p w:rsidR="00DE4254" w:rsidRPr="008A424C" w:rsidP="0005548C" w14:paraId="79E54BD2" w14:textId="5D67DBFF">
      <w:pPr>
        <w:pStyle w:val="paragraph"/>
        <w:spacing w:before="0" w:beforeAutospacing="0"/>
        <w:textAlignment w:val="baseline"/>
        <w:rPr>
          <w:rFonts w:eastAsia="Calibri" w:asciiTheme="majorBidi" w:hAnsiTheme="majorBidi" w:cstheme="majorBidi"/>
          <w:b/>
          <w:bCs/>
        </w:rPr>
      </w:pPr>
      <w:bookmarkStart w:id="2" w:name="_Hlk153270968"/>
      <w:bookmarkStart w:id="3" w:name="_Hlk153260816"/>
      <w:r w:rsidRPr="008A424C">
        <w:rPr>
          <w:rFonts w:asciiTheme="majorBidi" w:hAnsiTheme="majorBidi" w:cstheme="majorBidi"/>
        </w:rPr>
        <w:t>Kế hoạch Thanh toán Thuốc Kê toa của Medicare là một tùy chọn thanh toán phù hợp với bảo hiểm thuốc hiện tại của quý vị nhằm giúp quý vị quản lý chi phí tự trả cho các loại thuốc được chương trình bảo hiểm đài thọ bằng cách phân bổ các chi phí này trong suốt năm dương lịch (Tháng Một–Tháng Mười Hai). Bất kỳ ai có chương trình thuốc Medicare hoặc chương tình bảo hiểm y tế Medicare có bảo hiểm thuốc (như Chương trình Medicare Advantage có bảo hiểm thuốc) đều có thể sử dụng tùy chọn thanh toán này.</w:t>
      </w:r>
      <w:r w:rsidRPr="008A424C">
        <w:rPr>
          <w:rFonts w:asciiTheme="majorBidi" w:hAnsiTheme="majorBidi" w:cstheme="majorBidi"/>
          <w:b/>
          <w:bCs/>
        </w:rPr>
        <w:t xml:space="preserve"> </w:t>
      </w:r>
      <w:r w:rsidRPr="008A424C">
        <w:rPr>
          <w:rFonts w:asciiTheme="majorBidi" w:hAnsiTheme="majorBidi" w:cstheme="majorBidi"/>
        </w:rPr>
        <w:t>Tất cả các chương trình đều cung cấp tùy chọn thanh toán này, việc tham gia là tự nguyện và miễn phí.</w:t>
      </w:r>
      <w:r w:rsidRPr="008A424C">
        <w:rPr>
          <w:rFonts w:asciiTheme="majorBidi" w:hAnsiTheme="majorBidi" w:cstheme="majorBidi"/>
          <w:b/>
          <w:bCs/>
        </w:rPr>
        <w:t xml:space="preserve"> </w:t>
      </w:r>
    </w:p>
    <w:p w:rsidR="00C749F6" w:rsidRPr="008A424C" w:rsidP="7881F5C6" w14:paraId="4F4CA235" w14:textId="4E37CDD0">
      <w:pPr>
        <w:pStyle w:val="paragraph"/>
        <w:spacing w:before="0" w:beforeAutospacing="0"/>
        <w:textAlignment w:val="baseline"/>
        <w:rPr>
          <w:rFonts w:eastAsia="Calibri" w:asciiTheme="majorBidi" w:hAnsiTheme="majorBidi" w:cstheme="majorBidi"/>
          <w:b/>
          <w:bCs/>
        </w:rPr>
      </w:pPr>
      <w:r w:rsidRPr="008A424C">
        <w:rPr>
          <w:rFonts w:asciiTheme="majorBidi" w:hAnsiTheme="majorBidi" w:cstheme="majorBidi"/>
          <w:b/>
          <w:bCs/>
        </w:rPr>
        <w:t>Tùy chọn thanh toán này có thể giúp quý vị quản lý chi phí hàng tháng, tuy nhiên không giúp quý vị tiết kiệm tiền hoặc giảm chi phí thuốc cho quý vị.</w:t>
      </w:r>
      <w:r w:rsidRPr="008A424C">
        <w:rPr>
          <w:rFonts w:asciiTheme="majorBidi" w:hAnsiTheme="majorBidi" w:cstheme="majorBidi"/>
        </w:rPr>
        <w:t xml:space="preserve"> Nếu quý vị có chi phí thuốc thấp hoặc ổn định, thì tùy chọn thanh toán này có thể không phải là lựa chọn phù hợp nhất cho quý vị.</w:t>
      </w:r>
    </w:p>
    <w:bookmarkEnd w:id="2"/>
    <w:bookmarkEnd w:id="3"/>
    <w:p w:rsidR="00B00151" w:rsidRPr="008A424C" w:rsidP="00B00151" w14:paraId="660C717C" w14:textId="0FC70850">
      <w:pPr>
        <w:rPr>
          <w:rFonts w:asciiTheme="majorBidi" w:hAnsiTheme="majorBidi" w:cstheme="majorBidi"/>
          <w:b/>
          <w:bCs/>
          <w:sz w:val="24"/>
          <w:szCs w:val="24"/>
        </w:rPr>
      </w:pPr>
      <w:r w:rsidRPr="008A424C">
        <w:rPr>
          <w:rFonts w:asciiTheme="majorBidi" w:hAnsiTheme="majorBidi" w:cstheme="majorBidi"/>
          <w:b/>
          <w:bCs/>
          <w:sz w:val="28"/>
          <w:szCs w:val="28"/>
        </w:rPr>
        <w:t>Chi phí của tôi sẽ hoạt động như thế nào?</w:t>
      </w:r>
    </w:p>
    <w:p w:rsidR="00C749F6" w:rsidRPr="008A424C" w:rsidP="00B00151" w14:paraId="4C3C6FFE" w14:textId="3C3C72C4">
      <w:pPr>
        <w:contextualSpacing/>
        <w:rPr>
          <w:rFonts w:asciiTheme="majorBidi" w:eastAsiaTheme="minorEastAsia" w:hAnsiTheme="majorBidi" w:cstheme="majorBidi"/>
          <w:kern w:val="24"/>
          <w:sz w:val="24"/>
          <w:szCs w:val="24"/>
        </w:rPr>
      </w:pPr>
      <w:r w:rsidRPr="008A424C">
        <w:rPr>
          <w:rFonts w:asciiTheme="majorBidi" w:hAnsiTheme="majorBidi" w:cstheme="majorBidi"/>
          <w:sz w:val="24"/>
          <w:szCs w:val="24"/>
        </w:rPr>
        <w:t>Khi quý vị mua thuốc đối với một loại thuốc được Phần D đài thọ, quý vị sẽ không phải trả tiền cho nhà thuốc của mình (bao gồm cả các nhà thuốc có dịch vụ đặt hàng qua thư và nhà thuốc chuyên khoa). Thay vào đó, quý vị sẽ nhận được hóa đơn hàng tháng từ chương trình bảo hiểm y tế hoặc chương trình thuốc của mình. Hóa đơn hàng tháng của quý vị dựa trên số tiền chương trình  phải trả cho bất kỳ đơn thuốc nào chương trình  nhận được, cộng với số dư của tháng trước, chia cho số tháng còn lại trong năm.</w:t>
      </w:r>
    </w:p>
    <w:p w:rsidR="00C749F6" w:rsidRPr="008A424C" w:rsidP="0005548C" w14:paraId="16B7B4F5" w14:textId="77777777">
      <w:pPr>
        <w:rPr>
          <w:rFonts w:asciiTheme="majorBidi" w:hAnsiTheme="majorBidi" w:cstheme="majorBidi"/>
        </w:rPr>
      </w:pPr>
    </w:p>
    <w:p w:rsidR="00B00151" w:rsidRPr="008A424C" w:rsidP="00B00151" w14:paraId="1146DC6D" w14:textId="77D6B631">
      <w:pPr>
        <w:contextualSpacing/>
        <w:rPr>
          <w:rFonts w:asciiTheme="majorBidi" w:hAnsiTheme="majorBidi" w:cstheme="majorBidi"/>
          <w:sz w:val="24"/>
          <w:szCs w:val="24"/>
        </w:rPr>
      </w:pPr>
      <w:r w:rsidRPr="008A424C">
        <w:rPr>
          <w:rFonts w:asciiTheme="majorBidi" w:hAnsiTheme="majorBidi" w:cstheme="majorBidi"/>
          <w:b/>
          <w:bCs/>
          <w:sz w:val="24"/>
          <w:szCs w:val="24"/>
        </w:rPr>
        <w:t xml:space="preserve">Lưu ý: Các khoản thanh toán của quý vị có thể thay đổi hàng tháng, vì vậy quý vị có thể không biết trước số tiền hóa đơn chính xác của mình. </w:t>
      </w:r>
      <w:r w:rsidRPr="008A424C">
        <w:rPr>
          <w:rFonts w:asciiTheme="majorBidi" w:hAnsiTheme="majorBidi" w:cstheme="majorBidi"/>
          <w:sz w:val="24"/>
          <w:szCs w:val="24"/>
        </w:rPr>
        <w:t xml:space="preserve">Các khoản thanh toán trong tương lai có thể tăng lên khi quý vị mua thuốc kê toa mới (hoặc mua thêm thuốc hiện tại) vì còn ít tháng trong năm để quý vị có thể phân bổ các khoản thanh toán còn lại.  </w:t>
      </w:r>
    </w:p>
    <w:p w:rsidR="00F73E6F" w:rsidRPr="008A424C" w:rsidP="00B00151" w14:paraId="75653399" w14:textId="77777777">
      <w:pPr>
        <w:contextualSpacing/>
        <w:rPr>
          <w:rFonts w:asciiTheme="majorBidi" w:hAnsiTheme="majorBidi" w:cstheme="majorBidi"/>
          <w:sz w:val="24"/>
          <w:szCs w:val="24"/>
        </w:rPr>
      </w:pPr>
    </w:p>
    <w:p w:rsidR="00B00151" w:rsidRPr="008A424C" w:rsidP="00B00151" w14:paraId="35C8F65C" w14:textId="77777777">
      <w:pPr>
        <w:rPr>
          <w:rFonts w:eastAsia="Calibri" w:asciiTheme="majorBidi" w:hAnsiTheme="majorBidi" w:cstheme="majorBidi"/>
          <w:b/>
          <w:bCs/>
          <w:sz w:val="28"/>
          <w:szCs w:val="28"/>
        </w:rPr>
      </w:pPr>
      <w:r w:rsidRPr="008A424C">
        <w:rPr>
          <w:rFonts w:asciiTheme="majorBidi" w:hAnsiTheme="majorBidi" w:cstheme="majorBidi"/>
          <w:b/>
          <w:bCs/>
          <w:sz w:val="28"/>
          <w:szCs w:val="28"/>
        </w:rPr>
        <w:t xml:space="preserve">Ai có thể giúp tôi quyết định xem liệu mình có nên tham gia hay không? </w:t>
      </w:r>
    </w:p>
    <w:p w:rsidR="00B00151" w:rsidRPr="008A424C" w:rsidP="00B00151" w14:paraId="799FEB14" w14:textId="065AF88D">
      <w:pPr>
        <w:pStyle w:val="ListParagraph"/>
        <w:widowControl/>
        <w:numPr>
          <w:ilvl w:val="0"/>
          <w:numId w:val="3"/>
        </w:numPr>
        <w:autoSpaceDE/>
        <w:autoSpaceDN/>
        <w:spacing w:after="160"/>
        <w:contextualSpacing/>
        <w:rPr>
          <w:rFonts w:asciiTheme="majorBidi" w:hAnsiTheme="majorBidi" w:cstheme="majorBidi"/>
          <w:sz w:val="24"/>
          <w:szCs w:val="24"/>
        </w:rPr>
      </w:pPr>
      <w:r w:rsidRPr="008A424C">
        <w:rPr>
          <w:rFonts w:asciiTheme="majorBidi" w:hAnsiTheme="majorBidi" w:cstheme="majorBidi"/>
          <w:b/>
          <w:bCs/>
          <w:sz w:val="24"/>
          <w:szCs w:val="24"/>
        </w:rPr>
        <w:t>Chương trình thuốc hoặc bảo hiểm y tế của quý vị:</w:t>
      </w:r>
      <w:r w:rsidRPr="008A424C">
        <w:rPr>
          <w:rFonts w:asciiTheme="majorBidi" w:hAnsiTheme="majorBidi" w:cstheme="majorBidi"/>
          <w:sz w:val="24"/>
          <w:szCs w:val="24"/>
        </w:rPr>
        <w:t xml:space="preserve"> Truy cập trang web của chương trình hoặc gọi điện cho chương trình của quý vị để biết thêm thông tin. Nếu quý vị cần lấy toa thuốc gấp, hãy gọi cho chương trình của mình.</w:t>
      </w:r>
    </w:p>
    <w:p w:rsidR="00B00151" w:rsidRPr="008A424C" w:rsidP="00B00151" w14:paraId="070A5F4C" w14:textId="2B964374">
      <w:pPr>
        <w:pStyle w:val="ListParagraph"/>
        <w:widowControl/>
        <w:numPr>
          <w:ilvl w:val="0"/>
          <w:numId w:val="3"/>
        </w:numPr>
        <w:autoSpaceDE/>
        <w:autoSpaceDN/>
        <w:spacing w:after="160"/>
        <w:contextualSpacing/>
        <w:rPr>
          <w:rFonts w:asciiTheme="majorBidi" w:hAnsiTheme="majorBidi" w:cstheme="majorBidi"/>
          <w:sz w:val="24"/>
          <w:szCs w:val="24"/>
        </w:rPr>
      </w:pPr>
      <w:bookmarkStart w:id="4" w:name="_Hlk153095922"/>
      <w:r w:rsidRPr="008A424C">
        <w:rPr>
          <w:rFonts w:asciiTheme="majorBidi" w:hAnsiTheme="majorBidi" w:cstheme="majorBidi"/>
          <w:b/>
          <w:bCs/>
          <w:sz w:val="24"/>
          <w:szCs w:val="24"/>
        </w:rPr>
        <w:t>Medicare:</w:t>
      </w:r>
      <w:r w:rsidRPr="008A424C">
        <w:rPr>
          <w:rFonts w:asciiTheme="majorBidi" w:hAnsiTheme="majorBidi" w:cstheme="majorBidi"/>
          <w:sz w:val="24"/>
          <w:szCs w:val="24"/>
        </w:rPr>
        <w:t xml:space="preserve"> </w:t>
      </w:r>
      <w:r w:rsidRPr="008A424C">
        <w:rPr>
          <w:rFonts w:asciiTheme="majorBidi" w:hAnsiTheme="majorBidi" w:cstheme="majorBidi"/>
        </w:rPr>
        <w:t xml:space="preserve">Truy cập </w:t>
      </w:r>
      <w:hyperlink r:id="rId8" w:history="1">
        <w:r w:rsidRPr="008A424C">
          <w:rPr>
            <w:rStyle w:val="Hyperlink"/>
            <w:rFonts w:asciiTheme="majorBidi" w:hAnsiTheme="majorBidi" w:cstheme="majorBidi"/>
            <w:sz w:val="24"/>
            <w:szCs w:val="24"/>
          </w:rPr>
          <w:t>Medicare.gov/prescription-payment-plan</w:t>
        </w:r>
      </w:hyperlink>
      <w:r w:rsidRPr="008A424C">
        <w:rPr>
          <w:rFonts w:asciiTheme="majorBidi" w:hAnsiTheme="majorBidi" w:cstheme="majorBidi"/>
        </w:rPr>
        <w:t xml:space="preserve"> để tìm hiểu thêm về tùy chọn thanh toán này và xem liệu tùy chọn có phù hợp với quý vị không.</w:t>
      </w:r>
    </w:p>
    <w:bookmarkEnd w:id="4"/>
    <w:p w:rsidR="00B00151" w:rsidRPr="008A424C" w:rsidP="00B00151" w14:paraId="33F691FE" w14:textId="77777777">
      <w:pPr>
        <w:pStyle w:val="ListParagraph"/>
        <w:widowControl/>
        <w:numPr>
          <w:ilvl w:val="0"/>
          <w:numId w:val="3"/>
        </w:numPr>
        <w:autoSpaceDE/>
        <w:autoSpaceDN/>
        <w:spacing w:after="160"/>
        <w:contextualSpacing/>
        <w:rPr>
          <w:rFonts w:eastAsia="Calibri" w:asciiTheme="majorBidi" w:hAnsiTheme="majorBidi" w:cstheme="majorBidi"/>
          <w:sz w:val="24"/>
          <w:szCs w:val="24"/>
        </w:rPr>
      </w:pPr>
      <w:r w:rsidRPr="008A424C">
        <w:rPr>
          <w:rFonts w:asciiTheme="majorBidi" w:hAnsiTheme="majorBidi" w:cstheme="majorBidi"/>
          <w:b/>
          <w:bCs/>
          <w:sz w:val="24"/>
          <w:szCs w:val="24"/>
        </w:rPr>
        <w:t>Chương Trình Hỗ trợ Bảo hiểm Sức khỏe Tiểu bang (SHIP):</w:t>
      </w:r>
      <w:r w:rsidRPr="008A424C">
        <w:rPr>
          <w:rFonts w:asciiTheme="majorBidi" w:hAnsiTheme="majorBidi" w:cstheme="majorBidi"/>
          <w:sz w:val="24"/>
          <w:szCs w:val="24"/>
        </w:rPr>
        <w:t xml:space="preserve"> </w:t>
      </w:r>
      <w:r w:rsidRPr="008A424C">
        <w:rPr>
          <w:rFonts w:asciiTheme="majorBidi" w:hAnsiTheme="majorBidi" w:cstheme="majorBidi"/>
        </w:rPr>
        <w:t xml:space="preserve">Truy cập </w:t>
      </w:r>
      <w:r>
        <w:fldChar w:fldCharType="begin"/>
      </w:r>
      <w:r w:rsidRPr="008A424C">
        <w:rPr>
          <w:rStyle w:val="Hyperlink"/>
          <w:rFonts w:asciiTheme="majorBidi" w:hAnsiTheme="majorBidi" w:cstheme="majorBidi"/>
          <w:sz w:val="24"/>
          <w:szCs w:val="24"/>
        </w:rPr>
        <w:instrText xml:space="preserve"> HYPERLINK "https://www.shiphelp.org/" </w:instrText>
      </w:r>
      <w:r>
        <w:fldChar w:fldCharType="separate"/>
      </w:r>
      <w:r w:rsidRPr="008A424C">
        <w:rPr>
          <w:rStyle w:val="Hyperlink"/>
          <w:rFonts w:asciiTheme="majorBidi" w:hAnsiTheme="majorBidi" w:cstheme="majorBidi"/>
          <w:sz w:val="24"/>
          <w:szCs w:val="24"/>
        </w:rPr>
        <w:t>shiphelp.org</w:t>
      </w:r>
      <w:r>
        <w:fldChar w:fldCharType="end"/>
      </w:r>
      <w:r w:rsidRPr="008A424C">
        <w:rPr>
          <w:rFonts w:asciiTheme="majorBidi" w:hAnsiTheme="majorBidi" w:cstheme="majorBidi"/>
        </w:rPr>
        <w:t xml:space="preserve"> để biết số điện thoại của SHIP tại địa phương và được tư vấn bảo hiểm y tế miễn phí, cá nhân hóa.</w:t>
      </w:r>
      <w:bookmarkStart w:id="5" w:name="What_you_need_to_do"/>
      <w:bookmarkEnd w:id="5"/>
    </w:p>
    <w:p w:rsidR="00665432" w:rsidRPr="006443F0" w14:paraId="061F7263" w14:textId="55028CE1">
      <w:pPr>
        <w:widowControl/>
        <w:autoSpaceDE/>
        <w:autoSpaceDN/>
        <w:spacing w:after="160"/>
        <w:contextualSpacing/>
        <w:rPr>
          <w:rFonts w:eastAsia="Calibri" w:asciiTheme="majorBidi" w:hAnsiTheme="majorBidi" w:cstheme="majorBidi"/>
          <w:sz w:val="24"/>
          <w:szCs w:val="24"/>
          <w:lang w:val="en-US"/>
        </w:rPr>
      </w:pPr>
    </w:p>
    <w:p w:rsidR="00852380" w:rsidRPr="006443F0" w:rsidP="00852380" w14:paraId="4310B801" w14:textId="77777777">
      <w:pPr>
        <w:jc w:val="center"/>
        <w:rPr>
          <w:b/>
          <w:bCs/>
          <w:sz w:val="24"/>
          <w:szCs w:val="24"/>
        </w:rPr>
      </w:pPr>
      <w:r w:rsidRPr="006443F0">
        <w:rPr>
          <w:b/>
          <w:bCs/>
          <w:sz w:val="24"/>
          <w:szCs w:val="24"/>
        </w:rPr>
        <w:t>Truy c</w:t>
      </w:r>
      <w:r w:rsidRPr="006443F0">
        <w:rPr>
          <w:b/>
          <w:bCs/>
          <w:sz w:val="24"/>
          <w:szCs w:val="24"/>
        </w:rPr>
        <w:t>ậ</w:t>
      </w:r>
      <w:r w:rsidRPr="006443F0">
        <w:rPr>
          <w:b/>
          <w:bCs/>
          <w:sz w:val="24"/>
          <w:szCs w:val="24"/>
        </w:rPr>
        <w:t>p trang web c</w:t>
      </w:r>
      <w:r w:rsidRPr="006443F0">
        <w:rPr>
          <w:b/>
          <w:bCs/>
          <w:sz w:val="24"/>
          <w:szCs w:val="24"/>
        </w:rPr>
        <w:t>ủ</w:t>
      </w:r>
      <w:r w:rsidRPr="006443F0">
        <w:rPr>
          <w:b/>
          <w:bCs/>
          <w:sz w:val="24"/>
          <w:szCs w:val="24"/>
        </w:rPr>
        <w:t>a ch</w:t>
      </w:r>
      <w:r w:rsidRPr="006443F0">
        <w:rPr>
          <w:b/>
          <w:bCs/>
          <w:sz w:val="24"/>
          <w:szCs w:val="24"/>
        </w:rPr>
        <w:t>ươ</w:t>
      </w:r>
      <w:r w:rsidRPr="006443F0">
        <w:rPr>
          <w:b/>
          <w:bCs/>
          <w:sz w:val="24"/>
          <w:szCs w:val="24"/>
        </w:rPr>
        <w:t>ng tr</w:t>
      </w:r>
      <w:r w:rsidRPr="006443F0">
        <w:rPr>
          <w:b/>
          <w:bCs/>
          <w:sz w:val="24"/>
          <w:szCs w:val="24"/>
        </w:rPr>
        <w:t>ì</w:t>
      </w:r>
      <w:r w:rsidRPr="006443F0">
        <w:rPr>
          <w:b/>
          <w:bCs/>
          <w:sz w:val="24"/>
          <w:szCs w:val="24"/>
        </w:rPr>
        <w:t>nh thu</w:t>
      </w:r>
      <w:r w:rsidRPr="006443F0">
        <w:rPr>
          <w:b/>
          <w:bCs/>
          <w:sz w:val="24"/>
          <w:szCs w:val="24"/>
        </w:rPr>
        <w:t>ố</w:t>
      </w:r>
      <w:r w:rsidRPr="006443F0">
        <w:rPr>
          <w:b/>
          <w:bCs/>
          <w:sz w:val="24"/>
          <w:szCs w:val="24"/>
        </w:rPr>
        <w:t>c ho</w:t>
      </w:r>
      <w:r w:rsidRPr="006443F0">
        <w:rPr>
          <w:b/>
          <w:bCs/>
          <w:sz w:val="24"/>
          <w:szCs w:val="24"/>
        </w:rPr>
        <w:t>ặ</w:t>
      </w:r>
      <w:r w:rsidRPr="006443F0">
        <w:rPr>
          <w:b/>
          <w:bCs/>
          <w:sz w:val="24"/>
          <w:szCs w:val="24"/>
        </w:rPr>
        <w:t>c ch</w:t>
      </w:r>
      <w:r w:rsidRPr="006443F0">
        <w:rPr>
          <w:b/>
          <w:bCs/>
          <w:sz w:val="24"/>
          <w:szCs w:val="24"/>
        </w:rPr>
        <w:t>ươ</w:t>
      </w:r>
      <w:r w:rsidRPr="006443F0">
        <w:rPr>
          <w:b/>
          <w:bCs/>
          <w:sz w:val="24"/>
          <w:szCs w:val="24"/>
        </w:rPr>
        <w:t>ng tr</w:t>
      </w:r>
      <w:r w:rsidRPr="006443F0">
        <w:rPr>
          <w:b/>
          <w:bCs/>
          <w:sz w:val="24"/>
          <w:szCs w:val="24"/>
        </w:rPr>
        <w:t>ì</w:t>
      </w:r>
      <w:r w:rsidRPr="006443F0">
        <w:rPr>
          <w:b/>
          <w:bCs/>
          <w:sz w:val="24"/>
          <w:szCs w:val="24"/>
        </w:rPr>
        <w:t>nh b</w:t>
      </w:r>
      <w:r w:rsidRPr="006443F0">
        <w:rPr>
          <w:b/>
          <w:bCs/>
          <w:sz w:val="24"/>
          <w:szCs w:val="24"/>
        </w:rPr>
        <w:t>ả</w:t>
      </w:r>
      <w:r w:rsidRPr="006443F0">
        <w:rPr>
          <w:b/>
          <w:bCs/>
          <w:sz w:val="24"/>
          <w:szCs w:val="24"/>
        </w:rPr>
        <w:t>o hi</w:t>
      </w:r>
      <w:r w:rsidRPr="006443F0">
        <w:rPr>
          <w:b/>
          <w:bCs/>
          <w:sz w:val="24"/>
          <w:szCs w:val="24"/>
        </w:rPr>
        <w:t>ể</w:t>
      </w:r>
      <w:r w:rsidRPr="006443F0">
        <w:rPr>
          <w:b/>
          <w:bCs/>
          <w:sz w:val="24"/>
          <w:szCs w:val="24"/>
        </w:rPr>
        <w:t>m y t</w:t>
      </w:r>
      <w:r w:rsidRPr="006443F0">
        <w:rPr>
          <w:b/>
          <w:bCs/>
          <w:sz w:val="24"/>
          <w:szCs w:val="24"/>
        </w:rPr>
        <w:t>ế</w:t>
      </w:r>
      <w:r w:rsidRPr="006443F0">
        <w:rPr>
          <w:b/>
          <w:bCs/>
          <w:sz w:val="24"/>
          <w:szCs w:val="24"/>
        </w:rPr>
        <w:t xml:space="preserve"> c</w:t>
      </w:r>
      <w:r w:rsidRPr="006443F0">
        <w:rPr>
          <w:b/>
          <w:bCs/>
          <w:sz w:val="24"/>
          <w:szCs w:val="24"/>
        </w:rPr>
        <w:t>ủ</w:t>
      </w:r>
      <w:r w:rsidRPr="006443F0">
        <w:rPr>
          <w:b/>
          <w:bCs/>
          <w:sz w:val="24"/>
          <w:szCs w:val="24"/>
        </w:rPr>
        <w:t>a qu</w:t>
      </w:r>
      <w:r w:rsidRPr="006443F0">
        <w:rPr>
          <w:b/>
          <w:bCs/>
          <w:sz w:val="24"/>
          <w:szCs w:val="24"/>
        </w:rPr>
        <w:t>ý</w:t>
      </w:r>
      <w:r w:rsidRPr="006443F0">
        <w:rPr>
          <w:b/>
          <w:bCs/>
          <w:sz w:val="24"/>
          <w:szCs w:val="24"/>
        </w:rPr>
        <w:t xml:space="preserve"> v</w:t>
      </w:r>
      <w:r w:rsidRPr="006443F0">
        <w:rPr>
          <w:b/>
          <w:bCs/>
          <w:sz w:val="24"/>
          <w:szCs w:val="24"/>
        </w:rPr>
        <w:t>ị</w:t>
      </w:r>
      <w:r w:rsidRPr="006443F0">
        <w:rPr>
          <w:b/>
          <w:bCs/>
          <w:sz w:val="24"/>
          <w:szCs w:val="24"/>
        </w:rPr>
        <w:t xml:space="preserve"> ho</w:t>
      </w:r>
      <w:r w:rsidRPr="006443F0">
        <w:rPr>
          <w:b/>
          <w:bCs/>
          <w:sz w:val="24"/>
          <w:szCs w:val="24"/>
        </w:rPr>
        <w:t>ặ</w:t>
      </w:r>
      <w:r w:rsidRPr="006443F0">
        <w:rPr>
          <w:b/>
          <w:bCs/>
          <w:sz w:val="24"/>
          <w:szCs w:val="24"/>
        </w:rPr>
        <w:t>c g</w:t>
      </w:r>
      <w:r w:rsidRPr="006443F0">
        <w:rPr>
          <w:b/>
          <w:bCs/>
          <w:sz w:val="24"/>
          <w:szCs w:val="24"/>
        </w:rPr>
        <w:t>ọ</w:t>
      </w:r>
      <w:r w:rsidRPr="006443F0">
        <w:rPr>
          <w:b/>
          <w:bCs/>
          <w:sz w:val="24"/>
          <w:szCs w:val="24"/>
        </w:rPr>
        <w:t xml:space="preserve">i </w:t>
      </w:r>
      <w:r w:rsidRPr="006443F0">
        <w:rPr>
          <w:b/>
          <w:bCs/>
          <w:sz w:val="24"/>
          <w:szCs w:val="24"/>
        </w:rPr>
        <w:t>đ</w:t>
      </w:r>
      <w:r w:rsidRPr="006443F0">
        <w:rPr>
          <w:b/>
          <w:bCs/>
          <w:sz w:val="24"/>
          <w:szCs w:val="24"/>
        </w:rPr>
        <w:t>i</w:t>
      </w:r>
      <w:r w:rsidRPr="006443F0">
        <w:rPr>
          <w:b/>
          <w:bCs/>
          <w:sz w:val="24"/>
          <w:szCs w:val="24"/>
        </w:rPr>
        <w:t>ệ</w:t>
      </w:r>
      <w:r w:rsidRPr="006443F0">
        <w:rPr>
          <w:b/>
          <w:bCs/>
          <w:sz w:val="24"/>
          <w:szCs w:val="24"/>
        </w:rPr>
        <w:t>n cho ch</w:t>
      </w:r>
      <w:r w:rsidRPr="006443F0">
        <w:rPr>
          <w:b/>
          <w:bCs/>
          <w:sz w:val="24"/>
          <w:szCs w:val="24"/>
        </w:rPr>
        <w:t>ươ</w:t>
      </w:r>
      <w:r w:rsidRPr="006443F0">
        <w:rPr>
          <w:b/>
          <w:bCs/>
          <w:sz w:val="24"/>
          <w:szCs w:val="24"/>
        </w:rPr>
        <w:t>ng tr</w:t>
      </w:r>
      <w:r w:rsidRPr="006443F0">
        <w:rPr>
          <w:b/>
          <w:bCs/>
          <w:sz w:val="24"/>
          <w:szCs w:val="24"/>
        </w:rPr>
        <w:t>ì</w:t>
      </w:r>
      <w:r w:rsidRPr="006443F0">
        <w:rPr>
          <w:b/>
          <w:bCs/>
          <w:sz w:val="24"/>
          <w:szCs w:val="24"/>
        </w:rPr>
        <w:t>nh c</w:t>
      </w:r>
      <w:r w:rsidRPr="006443F0">
        <w:rPr>
          <w:b/>
          <w:bCs/>
          <w:sz w:val="24"/>
          <w:szCs w:val="24"/>
        </w:rPr>
        <w:t>ủ</w:t>
      </w:r>
      <w:r w:rsidRPr="006443F0">
        <w:rPr>
          <w:b/>
          <w:bCs/>
          <w:sz w:val="24"/>
          <w:szCs w:val="24"/>
        </w:rPr>
        <w:t>a qu</w:t>
      </w:r>
      <w:r w:rsidRPr="006443F0">
        <w:rPr>
          <w:b/>
          <w:bCs/>
          <w:sz w:val="24"/>
          <w:szCs w:val="24"/>
        </w:rPr>
        <w:t>ý</w:t>
      </w:r>
      <w:r w:rsidRPr="006443F0">
        <w:rPr>
          <w:b/>
          <w:bCs/>
          <w:sz w:val="24"/>
          <w:szCs w:val="24"/>
        </w:rPr>
        <w:t xml:space="preserve"> v</w:t>
      </w:r>
      <w:r w:rsidRPr="006443F0">
        <w:rPr>
          <w:b/>
          <w:bCs/>
          <w:sz w:val="24"/>
          <w:szCs w:val="24"/>
        </w:rPr>
        <w:t>ị</w:t>
      </w:r>
      <w:r w:rsidRPr="006443F0">
        <w:rPr>
          <w:b/>
          <w:bCs/>
          <w:sz w:val="24"/>
          <w:szCs w:val="24"/>
        </w:rPr>
        <w:t xml:space="preserve"> </w:t>
      </w:r>
      <w:r w:rsidRPr="006443F0">
        <w:rPr>
          <w:b/>
          <w:bCs/>
          <w:sz w:val="24"/>
          <w:szCs w:val="24"/>
        </w:rPr>
        <w:t>để</w:t>
      </w:r>
      <w:r w:rsidRPr="006443F0">
        <w:rPr>
          <w:b/>
          <w:bCs/>
          <w:sz w:val="24"/>
          <w:szCs w:val="24"/>
        </w:rPr>
        <w:t xml:space="preserve"> bi</w:t>
      </w:r>
      <w:r w:rsidRPr="006443F0">
        <w:rPr>
          <w:b/>
          <w:bCs/>
          <w:sz w:val="24"/>
          <w:szCs w:val="24"/>
        </w:rPr>
        <w:t>ế</w:t>
      </w:r>
      <w:r w:rsidRPr="006443F0">
        <w:rPr>
          <w:b/>
          <w:bCs/>
          <w:sz w:val="24"/>
          <w:szCs w:val="24"/>
        </w:rPr>
        <w:t>t th</w:t>
      </w:r>
      <w:r w:rsidRPr="006443F0">
        <w:rPr>
          <w:b/>
          <w:bCs/>
          <w:sz w:val="24"/>
          <w:szCs w:val="24"/>
        </w:rPr>
        <w:t>ê</w:t>
      </w:r>
      <w:r w:rsidRPr="006443F0">
        <w:rPr>
          <w:b/>
          <w:bCs/>
          <w:sz w:val="24"/>
          <w:szCs w:val="24"/>
        </w:rPr>
        <w:t>m th</w:t>
      </w:r>
      <w:r w:rsidRPr="006443F0">
        <w:rPr>
          <w:b/>
          <w:bCs/>
          <w:sz w:val="24"/>
          <w:szCs w:val="24"/>
        </w:rPr>
        <w:t>ô</w:t>
      </w:r>
      <w:r w:rsidRPr="006443F0">
        <w:rPr>
          <w:b/>
          <w:bCs/>
          <w:sz w:val="24"/>
          <w:szCs w:val="24"/>
        </w:rPr>
        <w:t>ng tin ho</w:t>
      </w:r>
      <w:r w:rsidRPr="006443F0">
        <w:rPr>
          <w:b/>
          <w:bCs/>
          <w:sz w:val="24"/>
          <w:szCs w:val="24"/>
        </w:rPr>
        <w:t>ặ</w:t>
      </w:r>
      <w:r w:rsidRPr="006443F0">
        <w:rPr>
          <w:b/>
          <w:bCs/>
          <w:sz w:val="24"/>
          <w:szCs w:val="24"/>
        </w:rPr>
        <w:t xml:space="preserve">c </w:t>
      </w:r>
      <w:r w:rsidRPr="006443F0">
        <w:rPr>
          <w:b/>
          <w:bCs/>
          <w:sz w:val="24"/>
          <w:szCs w:val="24"/>
        </w:rPr>
        <w:t>để</w:t>
      </w:r>
      <w:r w:rsidRPr="006443F0">
        <w:rPr>
          <w:b/>
          <w:bCs/>
          <w:sz w:val="24"/>
          <w:szCs w:val="24"/>
        </w:rPr>
        <w:t xml:space="preserve"> b</w:t>
      </w:r>
      <w:r w:rsidRPr="006443F0">
        <w:rPr>
          <w:b/>
          <w:bCs/>
          <w:sz w:val="24"/>
          <w:szCs w:val="24"/>
        </w:rPr>
        <w:t>ắ</w:t>
      </w:r>
      <w:r w:rsidRPr="006443F0">
        <w:rPr>
          <w:b/>
          <w:bCs/>
          <w:sz w:val="24"/>
          <w:szCs w:val="24"/>
        </w:rPr>
        <w:t xml:space="preserve">t </w:t>
      </w:r>
      <w:r w:rsidRPr="006443F0">
        <w:rPr>
          <w:b/>
          <w:bCs/>
          <w:sz w:val="24"/>
          <w:szCs w:val="24"/>
        </w:rPr>
        <w:t>đầ</w:t>
      </w:r>
      <w:r w:rsidRPr="006443F0">
        <w:rPr>
          <w:b/>
          <w:bCs/>
          <w:sz w:val="24"/>
          <w:szCs w:val="24"/>
        </w:rPr>
        <w:t>u tham gia t</w:t>
      </w:r>
      <w:r w:rsidRPr="006443F0">
        <w:rPr>
          <w:b/>
          <w:bCs/>
          <w:sz w:val="24"/>
          <w:szCs w:val="24"/>
        </w:rPr>
        <w:t>ù</w:t>
      </w:r>
      <w:r w:rsidRPr="006443F0">
        <w:rPr>
          <w:b/>
          <w:bCs/>
          <w:sz w:val="24"/>
          <w:szCs w:val="24"/>
        </w:rPr>
        <w:t>y ch</w:t>
      </w:r>
      <w:r w:rsidRPr="006443F0">
        <w:rPr>
          <w:b/>
          <w:bCs/>
          <w:sz w:val="24"/>
          <w:szCs w:val="24"/>
        </w:rPr>
        <w:t>ọ</w:t>
      </w:r>
      <w:r w:rsidRPr="006443F0">
        <w:rPr>
          <w:b/>
          <w:bCs/>
          <w:sz w:val="24"/>
          <w:szCs w:val="24"/>
        </w:rPr>
        <w:t>n thanh to</w:t>
      </w:r>
      <w:r w:rsidRPr="006443F0">
        <w:rPr>
          <w:b/>
          <w:bCs/>
          <w:sz w:val="24"/>
          <w:szCs w:val="24"/>
        </w:rPr>
        <w:t>á</w:t>
      </w:r>
      <w:r w:rsidRPr="006443F0">
        <w:rPr>
          <w:b/>
          <w:bCs/>
          <w:sz w:val="24"/>
          <w:szCs w:val="24"/>
        </w:rPr>
        <w:t>n n</w:t>
      </w:r>
      <w:r w:rsidRPr="006443F0">
        <w:rPr>
          <w:b/>
          <w:bCs/>
          <w:sz w:val="24"/>
          <w:szCs w:val="24"/>
        </w:rPr>
        <w:t>à</w:t>
      </w:r>
      <w:r w:rsidRPr="006443F0">
        <w:rPr>
          <w:b/>
          <w:bCs/>
          <w:sz w:val="24"/>
          <w:szCs w:val="24"/>
        </w:rPr>
        <w:t>y.</w:t>
      </w:r>
    </w:p>
    <w:p w:rsidR="004537CE" w:rsidRPr="008A424C" w:rsidP="005D608E" w14:paraId="58F4D937" w14:textId="77777777">
      <w:pPr>
        <w:widowControl/>
        <w:autoSpaceDE/>
        <w:autoSpaceDN/>
        <w:spacing w:after="160"/>
        <w:contextualSpacing/>
        <w:rPr>
          <w:rFonts w:eastAsia="Calibri" w:asciiTheme="majorBidi" w:hAnsiTheme="majorBidi" w:cstheme="majorBidi"/>
          <w:sz w:val="24"/>
          <w:szCs w:val="24"/>
        </w:rPr>
      </w:pPr>
    </w:p>
    <w:p w:rsidR="00171695" w:rsidRPr="008A424C" w:rsidP="005D608E" w14:paraId="1FDAA3B7" w14:textId="18917D00">
      <w:pPr>
        <w:rPr>
          <w:rFonts w:asciiTheme="majorBidi" w:eastAsiaTheme="minorEastAsia" w:hAnsiTheme="majorBidi" w:cstheme="majorBidi"/>
        </w:rPr>
      </w:pPr>
      <w:r w:rsidRPr="008A424C">
        <w:rPr>
          <w:rFonts w:asciiTheme="majorBidi" w:hAnsiTheme="majorBidi" w:cstheme="majorBidi"/>
          <w:b/>
          <w:bCs/>
          <w:color w:val="000000"/>
          <w:sz w:val="24"/>
          <w:szCs w:val="24"/>
        </w:rPr>
        <w:t>Quý vị cần thông tin này ở định dạng hoặc ngôn ngữ khác?</w:t>
      </w:r>
      <w:r w:rsidRPr="008A424C">
        <w:rPr>
          <w:rFonts w:asciiTheme="majorBidi" w:hAnsiTheme="majorBidi" w:cstheme="majorBidi"/>
          <w:color w:val="000000"/>
          <w:sz w:val="24"/>
          <w:szCs w:val="24"/>
        </w:rPr>
        <w:t xml:space="preserve"> </w:t>
      </w:r>
      <w:r w:rsidRPr="008A424C">
        <w:rPr>
          <w:rFonts w:asciiTheme="majorBidi" w:hAnsiTheme="majorBidi" w:cstheme="majorBidi"/>
          <w:sz w:val="24"/>
          <w:szCs w:val="24"/>
        </w:rPr>
        <w:t>Để nhận tài liệu này ở các định dạng khác như bản in chữ lớn, chữ nổi braille hoặc ngôn ngữ khác, hãy liên hệ với chương trình thuốc Medicare của quý vị theo số điện thoại trên thẻ thành viên của mình. Nếu quý vị cần được trợ giúp liên hệ với chương trình của mình, hãy gọi 1-800-MEDICARE (1-800-633-4227). Người dùng TTY có thể gọi 1-877-486-2048.</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151" w:rsidRPr="008A424C" w:rsidP="008A424C" w14:paraId="02C40161" w14:textId="4EF5DDF6">
    <w:pPr>
      <w:tabs>
        <w:tab w:val="left" w:pos="4410"/>
        <w:tab w:val="left" w:pos="4950"/>
      </w:tabs>
      <w:spacing w:before="223"/>
      <w:ind w:left="120"/>
      <w:jc w:val="both"/>
      <w:rPr>
        <w:rFonts w:asciiTheme="majorBidi" w:hAnsiTheme="majorBidi" w:cstheme="majorBidi"/>
      </w:rPr>
    </w:pPr>
    <w:r w:rsidRPr="008A424C">
      <w:rPr>
        <w:rFonts w:asciiTheme="majorBidi" w:hAnsiTheme="majorBidi" w:cstheme="majorBidi"/>
      </w:rPr>
      <w:t>Mẫu CMS-10882</w:t>
    </w:r>
    <w:r w:rsidRPr="008A424C">
      <w:rPr>
        <w:rFonts w:asciiTheme="majorBidi" w:hAnsiTheme="majorBidi" w:cstheme="majorBidi"/>
      </w:rPr>
      <w:tab/>
      <w:t>Số Phê duyệt OMB 0938-1475 (Hết hạn: 31/07/2025)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2FF8"/>
    <w:multiLevelType w:val="hybridMultilevel"/>
    <w:tmpl w:val="11BC9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B4A6360"/>
    <w:multiLevelType w:val="hybridMultilevel"/>
    <w:tmpl w:val="6108F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AD643C"/>
    <w:multiLevelType w:val="hybridMultilevel"/>
    <w:tmpl w:val="10DE9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6170FD"/>
    <w:multiLevelType w:val="hybridMultilevel"/>
    <w:tmpl w:val="DEEEFA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67E2E7F"/>
    <w:multiLevelType w:val="hybridMultilevel"/>
    <w:tmpl w:val="D41A84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CF9685A"/>
    <w:multiLevelType w:val="hybridMultilevel"/>
    <w:tmpl w:val="2E56E0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78337219">
    <w:abstractNumId w:val="3"/>
  </w:num>
  <w:num w:numId="2" w16cid:durableId="882325057">
    <w:abstractNumId w:val="0"/>
  </w:num>
  <w:num w:numId="3" w16cid:durableId="326515349">
    <w:abstractNumId w:val="1"/>
  </w:num>
  <w:num w:numId="4" w16cid:durableId="1354570175">
    <w:abstractNumId w:val="5"/>
  </w:num>
  <w:num w:numId="5" w16cid:durableId="247153800">
    <w:abstractNumId w:val="4"/>
  </w:num>
  <w:num w:numId="6" w16cid:durableId="126059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45"/>
    <w:rsid w:val="000149F8"/>
    <w:rsid w:val="00026D5C"/>
    <w:rsid w:val="00030572"/>
    <w:rsid w:val="000332FB"/>
    <w:rsid w:val="00035F2A"/>
    <w:rsid w:val="000512DE"/>
    <w:rsid w:val="0005548C"/>
    <w:rsid w:val="00066EC5"/>
    <w:rsid w:val="00070986"/>
    <w:rsid w:val="000967EE"/>
    <w:rsid w:val="000B350A"/>
    <w:rsid w:val="000D0492"/>
    <w:rsid w:val="000D2576"/>
    <w:rsid w:val="000D610C"/>
    <w:rsid w:val="000F6A7A"/>
    <w:rsid w:val="001309AC"/>
    <w:rsid w:val="00132532"/>
    <w:rsid w:val="00134293"/>
    <w:rsid w:val="00136C80"/>
    <w:rsid w:val="001414B3"/>
    <w:rsid w:val="00144816"/>
    <w:rsid w:val="00144C4F"/>
    <w:rsid w:val="001467C3"/>
    <w:rsid w:val="00150233"/>
    <w:rsid w:val="00151B74"/>
    <w:rsid w:val="00162A85"/>
    <w:rsid w:val="00171695"/>
    <w:rsid w:val="00174A7D"/>
    <w:rsid w:val="00181D71"/>
    <w:rsid w:val="001833F3"/>
    <w:rsid w:val="001A5A74"/>
    <w:rsid w:val="001B1B7D"/>
    <w:rsid w:val="001D420E"/>
    <w:rsid w:val="001E346A"/>
    <w:rsid w:val="001F6D1D"/>
    <w:rsid w:val="0020039D"/>
    <w:rsid w:val="002043EC"/>
    <w:rsid w:val="00204833"/>
    <w:rsid w:val="00207EF8"/>
    <w:rsid w:val="002263B7"/>
    <w:rsid w:val="00231EAA"/>
    <w:rsid w:val="00232B4C"/>
    <w:rsid w:val="002343CA"/>
    <w:rsid w:val="00244231"/>
    <w:rsid w:val="002510E1"/>
    <w:rsid w:val="0027262A"/>
    <w:rsid w:val="002842BB"/>
    <w:rsid w:val="0029275F"/>
    <w:rsid w:val="002B08E0"/>
    <w:rsid w:val="002B4F01"/>
    <w:rsid w:val="002C56F7"/>
    <w:rsid w:val="002E292A"/>
    <w:rsid w:val="002F48EA"/>
    <w:rsid w:val="00300EC2"/>
    <w:rsid w:val="00302A36"/>
    <w:rsid w:val="00303854"/>
    <w:rsid w:val="00303887"/>
    <w:rsid w:val="00315528"/>
    <w:rsid w:val="00331755"/>
    <w:rsid w:val="00331C30"/>
    <w:rsid w:val="00337395"/>
    <w:rsid w:val="003421B2"/>
    <w:rsid w:val="0034582D"/>
    <w:rsid w:val="00346144"/>
    <w:rsid w:val="0036371E"/>
    <w:rsid w:val="003650E5"/>
    <w:rsid w:val="00370420"/>
    <w:rsid w:val="003710D7"/>
    <w:rsid w:val="00376D1E"/>
    <w:rsid w:val="00386D62"/>
    <w:rsid w:val="003A01DD"/>
    <w:rsid w:val="003B70DE"/>
    <w:rsid w:val="003D72A0"/>
    <w:rsid w:val="003E40BC"/>
    <w:rsid w:val="003E74B4"/>
    <w:rsid w:val="003F4E19"/>
    <w:rsid w:val="004046F3"/>
    <w:rsid w:val="0041065D"/>
    <w:rsid w:val="0041694E"/>
    <w:rsid w:val="004248D5"/>
    <w:rsid w:val="004251FF"/>
    <w:rsid w:val="00426A9F"/>
    <w:rsid w:val="0043228E"/>
    <w:rsid w:val="00444BF8"/>
    <w:rsid w:val="00445362"/>
    <w:rsid w:val="004537CE"/>
    <w:rsid w:val="00457165"/>
    <w:rsid w:val="0046753E"/>
    <w:rsid w:val="00471611"/>
    <w:rsid w:val="0048141F"/>
    <w:rsid w:val="00490835"/>
    <w:rsid w:val="004C78F1"/>
    <w:rsid w:val="004E63AB"/>
    <w:rsid w:val="0051655F"/>
    <w:rsid w:val="00531DBD"/>
    <w:rsid w:val="005328E4"/>
    <w:rsid w:val="005330F6"/>
    <w:rsid w:val="00534429"/>
    <w:rsid w:val="00543C3E"/>
    <w:rsid w:val="00545ECA"/>
    <w:rsid w:val="00575681"/>
    <w:rsid w:val="00581CCC"/>
    <w:rsid w:val="005A06D8"/>
    <w:rsid w:val="005A3810"/>
    <w:rsid w:val="005B48E9"/>
    <w:rsid w:val="005D608E"/>
    <w:rsid w:val="005D6BA5"/>
    <w:rsid w:val="005E7731"/>
    <w:rsid w:val="005F4B0E"/>
    <w:rsid w:val="00600A1E"/>
    <w:rsid w:val="00602598"/>
    <w:rsid w:val="00604D7C"/>
    <w:rsid w:val="00604D8F"/>
    <w:rsid w:val="00607C80"/>
    <w:rsid w:val="00614663"/>
    <w:rsid w:val="006205F2"/>
    <w:rsid w:val="006221A3"/>
    <w:rsid w:val="00631D4A"/>
    <w:rsid w:val="00633A6E"/>
    <w:rsid w:val="006354BB"/>
    <w:rsid w:val="006404CD"/>
    <w:rsid w:val="00643418"/>
    <w:rsid w:val="006443F0"/>
    <w:rsid w:val="00650093"/>
    <w:rsid w:val="0065544B"/>
    <w:rsid w:val="006604B0"/>
    <w:rsid w:val="00662201"/>
    <w:rsid w:val="00665432"/>
    <w:rsid w:val="006719C8"/>
    <w:rsid w:val="00672FE8"/>
    <w:rsid w:val="0069099C"/>
    <w:rsid w:val="00693053"/>
    <w:rsid w:val="0069315D"/>
    <w:rsid w:val="00696730"/>
    <w:rsid w:val="006970BC"/>
    <w:rsid w:val="00697A3C"/>
    <w:rsid w:val="006A1146"/>
    <w:rsid w:val="006A17AA"/>
    <w:rsid w:val="006B44A5"/>
    <w:rsid w:val="006C47FF"/>
    <w:rsid w:val="006E616E"/>
    <w:rsid w:val="006E634C"/>
    <w:rsid w:val="006F5A77"/>
    <w:rsid w:val="006F7C8C"/>
    <w:rsid w:val="0070131F"/>
    <w:rsid w:val="00715920"/>
    <w:rsid w:val="0072258A"/>
    <w:rsid w:val="00733D59"/>
    <w:rsid w:val="0074241D"/>
    <w:rsid w:val="00773EB3"/>
    <w:rsid w:val="00774AE7"/>
    <w:rsid w:val="0078377D"/>
    <w:rsid w:val="00787F57"/>
    <w:rsid w:val="007906C0"/>
    <w:rsid w:val="00794200"/>
    <w:rsid w:val="00794ECF"/>
    <w:rsid w:val="007A3878"/>
    <w:rsid w:val="007A73F3"/>
    <w:rsid w:val="007B23F5"/>
    <w:rsid w:val="007B5F9D"/>
    <w:rsid w:val="007B79FC"/>
    <w:rsid w:val="007C589E"/>
    <w:rsid w:val="007D6729"/>
    <w:rsid w:val="007F54D6"/>
    <w:rsid w:val="008009D8"/>
    <w:rsid w:val="00802F3E"/>
    <w:rsid w:val="008035D9"/>
    <w:rsid w:val="00806DBD"/>
    <w:rsid w:val="00823AB2"/>
    <w:rsid w:val="00824D4F"/>
    <w:rsid w:val="00826DF5"/>
    <w:rsid w:val="00852380"/>
    <w:rsid w:val="00854437"/>
    <w:rsid w:val="00864037"/>
    <w:rsid w:val="00866FC8"/>
    <w:rsid w:val="0087456E"/>
    <w:rsid w:val="00895716"/>
    <w:rsid w:val="008A1448"/>
    <w:rsid w:val="008A424C"/>
    <w:rsid w:val="008A5117"/>
    <w:rsid w:val="008B260C"/>
    <w:rsid w:val="008B6F5F"/>
    <w:rsid w:val="008C1BD8"/>
    <w:rsid w:val="008C7145"/>
    <w:rsid w:val="008D10A7"/>
    <w:rsid w:val="008D20A9"/>
    <w:rsid w:val="008D2C35"/>
    <w:rsid w:val="008D675E"/>
    <w:rsid w:val="008F640F"/>
    <w:rsid w:val="00900F3F"/>
    <w:rsid w:val="009136D6"/>
    <w:rsid w:val="00961731"/>
    <w:rsid w:val="00975F97"/>
    <w:rsid w:val="0097796E"/>
    <w:rsid w:val="0098254A"/>
    <w:rsid w:val="009867C6"/>
    <w:rsid w:val="009A304A"/>
    <w:rsid w:val="009A46FE"/>
    <w:rsid w:val="009A7907"/>
    <w:rsid w:val="009B1ED0"/>
    <w:rsid w:val="009B2BD5"/>
    <w:rsid w:val="009C15D0"/>
    <w:rsid w:val="009C5FA6"/>
    <w:rsid w:val="009D4206"/>
    <w:rsid w:val="009F0528"/>
    <w:rsid w:val="009F27F2"/>
    <w:rsid w:val="009F362A"/>
    <w:rsid w:val="00A04362"/>
    <w:rsid w:val="00A21F22"/>
    <w:rsid w:val="00A23E3F"/>
    <w:rsid w:val="00A52D80"/>
    <w:rsid w:val="00A968DD"/>
    <w:rsid w:val="00AA0D3D"/>
    <w:rsid w:val="00AB3904"/>
    <w:rsid w:val="00AB77ED"/>
    <w:rsid w:val="00AC318A"/>
    <w:rsid w:val="00AC3F63"/>
    <w:rsid w:val="00AC4433"/>
    <w:rsid w:val="00AE1F6E"/>
    <w:rsid w:val="00AF1318"/>
    <w:rsid w:val="00AF234A"/>
    <w:rsid w:val="00AF7F99"/>
    <w:rsid w:val="00B00151"/>
    <w:rsid w:val="00B246A8"/>
    <w:rsid w:val="00B367A1"/>
    <w:rsid w:val="00B36F3C"/>
    <w:rsid w:val="00B44243"/>
    <w:rsid w:val="00B5439E"/>
    <w:rsid w:val="00B759AF"/>
    <w:rsid w:val="00B75BFE"/>
    <w:rsid w:val="00BA16EB"/>
    <w:rsid w:val="00BA1C8A"/>
    <w:rsid w:val="00BA4CBB"/>
    <w:rsid w:val="00BA6C95"/>
    <w:rsid w:val="00BB059D"/>
    <w:rsid w:val="00BB7A2D"/>
    <w:rsid w:val="00BC0445"/>
    <w:rsid w:val="00BD2AE0"/>
    <w:rsid w:val="00BD639E"/>
    <w:rsid w:val="00BE1C27"/>
    <w:rsid w:val="00BE52DA"/>
    <w:rsid w:val="00BF4231"/>
    <w:rsid w:val="00BF4AC1"/>
    <w:rsid w:val="00C06B8F"/>
    <w:rsid w:val="00C144C0"/>
    <w:rsid w:val="00C22292"/>
    <w:rsid w:val="00C370D3"/>
    <w:rsid w:val="00C51731"/>
    <w:rsid w:val="00C57566"/>
    <w:rsid w:val="00C57B12"/>
    <w:rsid w:val="00C63E99"/>
    <w:rsid w:val="00C653BE"/>
    <w:rsid w:val="00C749F6"/>
    <w:rsid w:val="00C911C3"/>
    <w:rsid w:val="00C92A33"/>
    <w:rsid w:val="00CA1FAA"/>
    <w:rsid w:val="00CA2FCF"/>
    <w:rsid w:val="00CB1B42"/>
    <w:rsid w:val="00CB27B0"/>
    <w:rsid w:val="00CB27EB"/>
    <w:rsid w:val="00CC1789"/>
    <w:rsid w:val="00CC7673"/>
    <w:rsid w:val="00CD3385"/>
    <w:rsid w:val="00CD34F7"/>
    <w:rsid w:val="00CD5CF1"/>
    <w:rsid w:val="00CD6522"/>
    <w:rsid w:val="00CF198C"/>
    <w:rsid w:val="00CF73B9"/>
    <w:rsid w:val="00D13D39"/>
    <w:rsid w:val="00D16A09"/>
    <w:rsid w:val="00D276AB"/>
    <w:rsid w:val="00D316A6"/>
    <w:rsid w:val="00D323AA"/>
    <w:rsid w:val="00D337EC"/>
    <w:rsid w:val="00D34C24"/>
    <w:rsid w:val="00D35FA9"/>
    <w:rsid w:val="00D42694"/>
    <w:rsid w:val="00D54335"/>
    <w:rsid w:val="00D56900"/>
    <w:rsid w:val="00D62FCD"/>
    <w:rsid w:val="00D723D5"/>
    <w:rsid w:val="00D72CB6"/>
    <w:rsid w:val="00D84FC4"/>
    <w:rsid w:val="00DB2675"/>
    <w:rsid w:val="00DD7701"/>
    <w:rsid w:val="00DE0831"/>
    <w:rsid w:val="00DE4254"/>
    <w:rsid w:val="00DE5652"/>
    <w:rsid w:val="00DF182D"/>
    <w:rsid w:val="00DF3968"/>
    <w:rsid w:val="00E05CC6"/>
    <w:rsid w:val="00E070B3"/>
    <w:rsid w:val="00E11153"/>
    <w:rsid w:val="00E12696"/>
    <w:rsid w:val="00E379A4"/>
    <w:rsid w:val="00E46A25"/>
    <w:rsid w:val="00E505C1"/>
    <w:rsid w:val="00E548BE"/>
    <w:rsid w:val="00E74B11"/>
    <w:rsid w:val="00E7696A"/>
    <w:rsid w:val="00E81374"/>
    <w:rsid w:val="00E905FB"/>
    <w:rsid w:val="00E9338B"/>
    <w:rsid w:val="00E95A7C"/>
    <w:rsid w:val="00EB2487"/>
    <w:rsid w:val="00EB3F83"/>
    <w:rsid w:val="00EB5CEB"/>
    <w:rsid w:val="00ED05A3"/>
    <w:rsid w:val="00EE5862"/>
    <w:rsid w:val="00EF5727"/>
    <w:rsid w:val="00F02613"/>
    <w:rsid w:val="00F07CFB"/>
    <w:rsid w:val="00F15311"/>
    <w:rsid w:val="00F22101"/>
    <w:rsid w:val="00F23145"/>
    <w:rsid w:val="00F3444F"/>
    <w:rsid w:val="00F41465"/>
    <w:rsid w:val="00F45129"/>
    <w:rsid w:val="00F4714A"/>
    <w:rsid w:val="00F47FCB"/>
    <w:rsid w:val="00F5170E"/>
    <w:rsid w:val="00F7170F"/>
    <w:rsid w:val="00F72629"/>
    <w:rsid w:val="00F73E6F"/>
    <w:rsid w:val="00F80E3B"/>
    <w:rsid w:val="00F900EF"/>
    <w:rsid w:val="00F933E6"/>
    <w:rsid w:val="00FA2193"/>
    <w:rsid w:val="00FA396E"/>
    <w:rsid w:val="00FB1516"/>
    <w:rsid w:val="00FE5EFA"/>
    <w:rsid w:val="32E6BDE1"/>
    <w:rsid w:val="41127099"/>
    <w:rsid w:val="48C3D0BF"/>
    <w:rsid w:val="7881F5C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4B10DE"/>
  <w15:chartTrackingRefBased/>
  <w15:docId w15:val="{F798F7C7-8CC6-4254-BEC7-A13DD59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45"/>
    <w:pPr>
      <w:widowControl w:val="0"/>
      <w:autoSpaceDE w:val="0"/>
      <w:autoSpaceDN w:val="0"/>
      <w:spacing w:after="0" w:line="240" w:lineRule="auto"/>
    </w:pPr>
    <w:rPr>
      <w:rFonts w:ascii="Arial" w:eastAsia="Times New Roman" w:hAnsi="Times New Roman" w:cs="Times New Roman"/>
    </w:rPr>
  </w:style>
  <w:style w:type="paragraph" w:styleId="Heading1">
    <w:name w:val="heading 1"/>
    <w:basedOn w:val="Normal"/>
    <w:link w:val="Heading1Char"/>
    <w:uiPriority w:val="9"/>
    <w:qFormat/>
    <w:rsid w:val="00BC0445"/>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45"/>
    <w:rPr>
      <w:rFonts w:ascii="Arial" w:eastAsia="Times New Roman" w:hAnsi="Times New Roman" w:cs="Times New Roman"/>
      <w:b/>
      <w:bCs/>
      <w:sz w:val="24"/>
      <w:szCs w:val="24"/>
    </w:rPr>
  </w:style>
  <w:style w:type="paragraph" w:styleId="BodyText">
    <w:name w:val="Body Text"/>
    <w:basedOn w:val="Normal"/>
    <w:link w:val="BodyTextChar"/>
    <w:uiPriority w:val="1"/>
    <w:qFormat/>
    <w:rsid w:val="00BC0445"/>
    <w:rPr>
      <w:sz w:val="24"/>
      <w:szCs w:val="24"/>
    </w:rPr>
  </w:style>
  <w:style w:type="character" w:customStyle="1" w:styleId="BodyTextChar">
    <w:name w:val="Body Text Char"/>
    <w:basedOn w:val="DefaultParagraphFont"/>
    <w:link w:val="BodyText"/>
    <w:uiPriority w:val="1"/>
    <w:rsid w:val="00BC0445"/>
    <w:rPr>
      <w:rFonts w:ascii="Arial" w:eastAsia="Times New Roman" w:hAnsi="Times New Roman" w:cs="Times New Roman"/>
      <w:sz w:val="24"/>
      <w:szCs w:val="24"/>
    </w:rPr>
  </w:style>
  <w:style w:type="paragraph" w:styleId="ListParagraph">
    <w:name w:val="List Paragraph"/>
    <w:basedOn w:val="Normal"/>
    <w:uiPriority w:val="34"/>
    <w:qFormat/>
    <w:rsid w:val="00BC0445"/>
    <w:pPr>
      <w:ind w:left="840" w:hanging="360"/>
    </w:pPr>
  </w:style>
  <w:style w:type="paragraph" w:customStyle="1" w:styleId="paragraph">
    <w:name w:val="paragraph"/>
    <w:basedOn w:val="Normal"/>
    <w:rsid w:val="00BC0445"/>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unhideWhenUsed/>
    <w:qFormat/>
    <w:rsid w:val="00BC0445"/>
    <w:rPr>
      <w:sz w:val="16"/>
      <w:szCs w:val="16"/>
    </w:rPr>
  </w:style>
  <w:style w:type="paragraph" w:styleId="CommentText">
    <w:name w:val="annotation text"/>
    <w:aliases w:val="Times New Roman,t"/>
    <w:basedOn w:val="Normal"/>
    <w:link w:val="CommentTextChar"/>
    <w:uiPriority w:val="99"/>
    <w:unhideWhenUsed/>
    <w:qFormat/>
    <w:rsid w:val="00BC0445"/>
    <w:rPr>
      <w:sz w:val="20"/>
      <w:szCs w:val="20"/>
    </w:rPr>
  </w:style>
  <w:style w:type="character" w:customStyle="1" w:styleId="CommentTextChar">
    <w:name w:val="Comment Text Char"/>
    <w:aliases w:val="Times New Roman Char,t Char"/>
    <w:basedOn w:val="DefaultParagraphFont"/>
    <w:link w:val="CommentText"/>
    <w:uiPriority w:val="99"/>
    <w:rsid w:val="00BC0445"/>
    <w:rPr>
      <w:rFonts w:ascii="Arial" w:eastAsia="Times New Roman" w:hAnsi="Times New Roman" w:cs="Times New Roman"/>
      <w:sz w:val="20"/>
      <w:szCs w:val="20"/>
    </w:rPr>
  </w:style>
  <w:style w:type="character" w:styleId="Hyperlink">
    <w:name w:val="Hyperlink"/>
    <w:basedOn w:val="DefaultParagraphFont"/>
    <w:uiPriority w:val="99"/>
    <w:unhideWhenUsed/>
    <w:rsid w:val="00BC0445"/>
    <w:rPr>
      <w:color w:val="0563C1" w:themeColor="hyperlink"/>
      <w:u w:val="single"/>
    </w:rPr>
  </w:style>
  <w:style w:type="character" w:customStyle="1" w:styleId="cf01">
    <w:name w:val="cf01"/>
    <w:basedOn w:val="DefaultParagraphFont"/>
    <w:rsid w:val="00BC0445"/>
    <w:rPr>
      <w:rFonts w:ascii="Arial"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D2C35"/>
    <w:rPr>
      <w:b/>
      <w:bCs/>
    </w:rPr>
  </w:style>
  <w:style w:type="character" w:customStyle="1" w:styleId="CommentSubjectChar">
    <w:name w:val="Comment Subject Char"/>
    <w:basedOn w:val="CommentTextChar"/>
    <w:link w:val="CommentSubject"/>
    <w:uiPriority w:val="99"/>
    <w:semiHidden/>
    <w:rsid w:val="008D2C35"/>
    <w:rPr>
      <w:rFonts w:ascii="Arial" w:eastAsia="Times New Roman" w:hAnsi="Times New Roman" w:cs="Times New Roman"/>
      <w:b/>
      <w:bCs/>
      <w:sz w:val="20"/>
      <w:szCs w:val="20"/>
    </w:rPr>
  </w:style>
  <w:style w:type="paragraph" w:styleId="NormalWeb">
    <w:name w:val="Normal (Web)"/>
    <w:basedOn w:val="Normal"/>
    <w:uiPriority w:val="99"/>
    <w:semiHidden/>
    <w:unhideWhenUsed/>
    <w:rsid w:val="009B1ED0"/>
    <w:pPr>
      <w:widowControl/>
      <w:autoSpaceDE/>
      <w:autoSpaceDN/>
      <w:spacing w:before="100" w:beforeAutospacing="1" w:after="100" w:afterAutospacing="1"/>
    </w:pPr>
    <w:rPr>
      <w:sz w:val="24"/>
      <w:szCs w:val="24"/>
    </w:rPr>
  </w:style>
  <w:style w:type="paragraph" w:styleId="Revision">
    <w:name w:val="Revision"/>
    <w:hidden/>
    <w:uiPriority w:val="99"/>
    <w:semiHidden/>
    <w:rsid w:val="00CD6522"/>
    <w:pPr>
      <w:spacing w:after="0" w:line="240" w:lineRule="auto"/>
    </w:pPr>
    <w:rPr>
      <w:rFonts w:ascii="Arial" w:eastAsia="Times New Roman" w:hAnsi="Times New Roman" w:cs="Times New Roman"/>
    </w:rPr>
  </w:style>
  <w:style w:type="character" w:customStyle="1" w:styleId="normaltextrun">
    <w:name w:val="normaltextrun"/>
    <w:basedOn w:val="DefaultParagraphFont"/>
    <w:rsid w:val="0041694E"/>
  </w:style>
  <w:style w:type="character" w:styleId="UnresolvedMention">
    <w:name w:val="Unresolved Mention"/>
    <w:basedOn w:val="DefaultParagraphFont"/>
    <w:uiPriority w:val="99"/>
    <w:semiHidden/>
    <w:unhideWhenUsed/>
    <w:rsid w:val="0074241D"/>
    <w:rPr>
      <w:color w:val="605E5C"/>
      <w:shd w:val="clear" w:color="auto" w:fill="E1DFDD"/>
    </w:rPr>
  </w:style>
  <w:style w:type="paragraph" w:styleId="Header">
    <w:name w:val="header"/>
    <w:basedOn w:val="Normal"/>
    <w:link w:val="HeaderChar"/>
    <w:uiPriority w:val="99"/>
    <w:unhideWhenUsed/>
    <w:rsid w:val="00895716"/>
    <w:pPr>
      <w:tabs>
        <w:tab w:val="center" w:pos="4680"/>
        <w:tab w:val="right" w:pos="9360"/>
      </w:tabs>
    </w:pPr>
  </w:style>
  <w:style w:type="character" w:customStyle="1" w:styleId="HeaderChar">
    <w:name w:val="Header Char"/>
    <w:basedOn w:val="DefaultParagraphFont"/>
    <w:link w:val="Header"/>
    <w:uiPriority w:val="99"/>
    <w:rsid w:val="00895716"/>
    <w:rPr>
      <w:rFonts w:ascii="Arial" w:eastAsia="Times New Roman" w:hAnsi="Times New Roman" w:cs="Times New Roman"/>
    </w:rPr>
  </w:style>
  <w:style w:type="paragraph" w:styleId="Footer">
    <w:name w:val="footer"/>
    <w:basedOn w:val="Normal"/>
    <w:link w:val="FooterChar"/>
    <w:uiPriority w:val="99"/>
    <w:unhideWhenUsed/>
    <w:rsid w:val="00895716"/>
    <w:pPr>
      <w:tabs>
        <w:tab w:val="center" w:pos="4680"/>
        <w:tab w:val="right" w:pos="9360"/>
      </w:tabs>
    </w:pPr>
  </w:style>
  <w:style w:type="character" w:customStyle="1" w:styleId="FooterChar">
    <w:name w:val="Footer Char"/>
    <w:basedOn w:val="DefaultParagraphFont"/>
    <w:link w:val="Footer"/>
    <w:uiPriority w:val="99"/>
    <w:rsid w:val="00895716"/>
    <w:rPr>
      <w:rFonts w:ascii="Arial" w:eastAsia="Times New Roman" w:hAnsi="Times New Roman" w:cs="Times New Roman"/>
    </w:rPr>
  </w:style>
  <w:style w:type="paragraph" w:customStyle="1" w:styleId="Default">
    <w:name w:val="Default"/>
    <w:basedOn w:val="Normal"/>
    <w:rsid w:val="00DE0831"/>
    <w:pPr>
      <w:widowControl/>
    </w:pPr>
    <w:rPr>
      <w:rFonts w:hAnsi="Arial" w:eastAsiaTheme="minorHAnsi" w:cs="Arial"/>
      <w:color w:val="000000"/>
      <w:sz w:val="24"/>
      <w:szCs w:val="24"/>
    </w:rPr>
  </w:style>
  <w:style w:type="character" w:styleId="FollowedHyperlink">
    <w:name w:val="FollowedHyperlink"/>
    <w:basedOn w:val="DefaultParagraphFont"/>
    <w:uiPriority w:val="99"/>
    <w:semiHidden/>
    <w:unhideWhenUsed/>
    <w:rsid w:val="00533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medicare.gov/prescription-payment-plan"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ccbd0e29ef9147876f406f4417e62406">
  <xsd:schema xmlns:xsd="http://www.w3.org/2001/XMLSchema" xmlns:xs="http://www.w3.org/2001/XMLSchema" xmlns:p="http://schemas.microsoft.com/office/2006/metadata/properties" xmlns:ns2="d8761396-434c-46b5-9e27-dd153435f1e0" targetNamespace="http://schemas.microsoft.com/office/2006/metadata/properties" ma:root="true" ma:fieldsID="af37b6882b028697f27400f5e1a21045" ns2:_="">
    <xsd:import namespace="d8761396-434c-46b5-9e27-dd153435f1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AD726-7A88-48BB-8A37-569BF44957E7}">
  <ds:schemaRefs>
    <ds:schemaRef ds:uri="http://schemas.openxmlformats.org/officeDocument/2006/bibliography"/>
  </ds:schemaRefs>
</ds:datastoreItem>
</file>

<file path=customXml/itemProps2.xml><?xml version="1.0" encoding="utf-8"?>
<ds:datastoreItem xmlns:ds="http://schemas.openxmlformats.org/officeDocument/2006/customXml" ds:itemID="{79CA145E-13E9-43A8-B4B4-10281D9CEEC0}">
  <ds:schemaRefs>
    <ds:schemaRef ds:uri="http://schemas.microsoft.com/sharepoint/v3/contenttype/forms"/>
  </ds:schemaRefs>
</ds:datastoreItem>
</file>

<file path=customXml/itemProps3.xml><?xml version="1.0" encoding="utf-8"?>
<ds:datastoreItem xmlns:ds="http://schemas.openxmlformats.org/officeDocument/2006/customXml" ds:itemID="{E44792BC-47A8-495F-B92D-E89A06BE0E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BD4BE-8AFE-46EE-90D6-BD12E0582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 Amy (CMS/OC)</dc:creator>
  <cp:lastModifiedBy>Cho, John (CMS/CM)</cp:lastModifiedBy>
  <cp:revision>3</cp:revision>
  <dcterms:created xsi:type="dcterms:W3CDTF">2025-07-22T16:25:00Z</dcterms:created>
  <dcterms:modified xsi:type="dcterms:W3CDTF">2025-07-22T16:26:00Z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746200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https://share.cms.gov/center/cm-mppg/DPAP/PartD/Subject Area or Topics/Part D OOP Smoothing/Phase 2 CMS Guidance/3. Model Materials/2025 Model Material Updates/Updates/5. Revisions/Exhibit 1_Likely to Benefit Notice (one-page)_2025 DPAP revisions.docx</vt:lpwstr>
  </property>
</Properties>
</file>