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3EDF" w:rsidRPr="002E3631" w:rsidP="002E3631" w14:paraId="458F1DEA" w14:textId="10B66892">
      <w:pPr>
        <w:jc w:val="center"/>
        <w:rPr>
          <w:rFonts w:ascii="Times New Roman" w:hAnsi="Times New Roman"/>
          <w:b/>
        </w:rPr>
      </w:pPr>
      <w:r w:rsidRPr="002E3631">
        <w:rPr>
          <w:rFonts w:ascii="Times New Roman" w:hAnsi="Times New Roman"/>
          <w:b/>
        </w:rPr>
        <w:t>Justification for Non-Substantive Changes</w:t>
      </w:r>
      <w:r w:rsidRPr="002E3631" w:rsidR="00855A2B">
        <w:rPr>
          <w:rFonts w:ascii="Times New Roman" w:hAnsi="Times New Roman"/>
          <w:b/>
        </w:rPr>
        <w:t xml:space="preserve"> for </w:t>
      </w:r>
    </w:p>
    <w:p w:rsidR="002E3631" w:rsidRPr="002E3631" w:rsidP="002E3631" w14:paraId="297BCE40" w14:textId="77777777">
      <w:pPr>
        <w:pStyle w:val="Heading1"/>
        <w:spacing w:before="0" w:after="0"/>
        <w:jc w:val="center"/>
        <w:rPr>
          <w:rFonts w:ascii="Times New Roman" w:hAnsi="Times New Roman"/>
          <w:sz w:val="24"/>
          <w:szCs w:val="24"/>
        </w:rPr>
      </w:pPr>
      <w:r w:rsidRPr="002E3631">
        <w:rPr>
          <w:rFonts w:ascii="Times New Roman" w:hAnsi="Times New Roman"/>
          <w:i/>
          <w:iCs/>
          <w:color w:val="E01F25"/>
          <w:sz w:val="24"/>
          <w:szCs w:val="24"/>
        </w:rPr>
        <w:t>my</w:t>
      </w:r>
      <w:r w:rsidRPr="002E3631">
        <w:rPr>
          <w:rFonts w:ascii="Times New Roman" w:hAnsi="Times New Roman"/>
          <w:sz w:val="24"/>
          <w:szCs w:val="24"/>
        </w:rPr>
        <w:t xml:space="preserve"> </w:t>
      </w:r>
      <w:r w:rsidRPr="002E3631">
        <w:rPr>
          <w:rFonts w:ascii="Times New Roman" w:hAnsi="Times New Roman"/>
          <w:color w:val="0060A0"/>
          <w:sz w:val="24"/>
          <w:szCs w:val="24"/>
        </w:rPr>
        <w:t>Social Security</w:t>
      </w:r>
      <w:r w:rsidRPr="002E3631">
        <w:rPr>
          <w:rFonts w:ascii="Times New Roman" w:hAnsi="Times New Roman"/>
          <w:sz w:val="24"/>
          <w:szCs w:val="24"/>
        </w:rPr>
        <w:t xml:space="preserve"> – Security Authentication PIN (SAP) </w:t>
      </w:r>
    </w:p>
    <w:p w:rsidR="002E3631" w:rsidRPr="002E3631" w:rsidP="002E3631" w14:paraId="0DA430EA" w14:textId="77777777">
      <w:pPr>
        <w:keepNext/>
        <w:widowControl/>
        <w:jc w:val="center"/>
        <w:outlineLvl w:val="2"/>
        <w:rPr>
          <w:rFonts w:ascii="Times New Roman" w:hAnsi="Times New Roman"/>
          <w:b/>
        </w:rPr>
      </w:pPr>
      <w:r w:rsidRPr="002E3631">
        <w:rPr>
          <w:rFonts w:ascii="Times New Roman" w:hAnsi="Times New Roman"/>
          <w:b/>
        </w:rPr>
        <w:t>20 CFR 401.45</w:t>
      </w:r>
    </w:p>
    <w:p w:rsidR="002E3631" w:rsidRPr="002E3631" w:rsidP="002E3631" w14:paraId="6EF5354E" w14:textId="30734E61">
      <w:pPr>
        <w:pStyle w:val="Heading1"/>
        <w:spacing w:before="0" w:after="0"/>
        <w:jc w:val="center"/>
        <w:rPr>
          <w:rFonts w:ascii="Times New Roman" w:hAnsi="Times New Roman"/>
          <w:sz w:val="24"/>
          <w:szCs w:val="24"/>
        </w:rPr>
      </w:pPr>
      <w:r w:rsidRPr="002E3631">
        <w:rPr>
          <w:rFonts w:ascii="Times New Roman" w:hAnsi="Times New Roman"/>
          <w:sz w:val="24"/>
          <w:szCs w:val="24"/>
        </w:rPr>
        <w:t>OMB No. 0960</w:t>
      </w:r>
      <w:r>
        <w:rPr>
          <w:rFonts w:ascii="Times New Roman" w:hAnsi="Times New Roman"/>
          <w:sz w:val="24"/>
          <w:szCs w:val="24"/>
        </w:rPr>
        <w:t>-0846</w:t>
      </w:r>
      <w:r w:rsidRPr="002E3631">
        <w:rPr>
          <w:rFonts w:ascii="Times New Roman" w:hAnsi="Times New Roman"/>
          <w:sz w:val="24"/>
          <w:szCs w:val="24"/>
        </w:rPr>
        <w:t xml:space="preserve"> </w:t>
      </w:r>
    </w:p>
    <w:p w:rsidR="00855A2B" w:rsidP="00C03EDF" w14:paraId="1162EF21" w14:textId="44D48EEC">
      <w:pPr>
        <w:jc w:val="center"/>
        <w:rPr>
          <w:rFonts w:ascii="Times New Roman" w:hAnsi="Times New Roman"/>
          <w:b/>
        </w:rPr>
      </w:pPr>
    </w:p>
    <w:p w:rsidR="00C03EDF" w:rsidP="00C03EDF" w14:paraId="1B7C783E" w14:textId="77777777">
      <w:pPr>
        <w:rPr>
          <w:rFonts w:ascii="Times New Roman" w:hAnsi="Times New Roman"/>
        </w:rPr>
      </w:pPr>
    </w:p>
    <w:p w:rsidR="006746BD" w:rsidP="00C03EDF" w14:paraId="111DADA9" w14:textId="77777777">
      <w:pPr>
        <w:rPr>
          <w:rFonts w:ascii="Times New Roman" w:hAnsi="Times New Roman"/>
          <w:b/>
          <w:snapToGrid w:val="0"/>
          <w:u w:val="single"/>
        </w:rPr>
      </w:pPr>
      <w:r>
        <w:rPr>
          <w:rFonts w:ascii="Times New Roman" w:hAnsi="Times New Roman"/>
          <w:b/>
          <w:snapToGrid w:val="0"/>
          <w:u w:val="single"/>
        </w:rPr>
        <w:t>Background</w:t>
      </w:r>
    </w:p>
    <w:p w:rsidR="006746BD" w:rsidP="00C03EDF" w14:paraId="3A9BEEDB" w14:textId="77777777">
      <w:pPr>
        <w:rPr>
          <w:rFonts w:ascii="Times New Roman" w:hAnsi="Times New Roman"/>
          <w:bCs/>
          <w:snapToGrid w:val="0"/>
        </w:rPr>
      </w:pPr>
    </w:p>
    <w:p w:rsidR="002E3631" w:rsidP="00C03EDF" w14:paraId="5D755F5C" w14:textId="77777777">
      <w:pPr>
        <w:rPr>
          <w:rFonts w:ascii="Times New Roman" w:hAnsi="Times New Roman"/>
        </w:rPr>
      </w:pPr>
      <w:r>
        <w:rPr>
          <w:rFonts w:ascii="Times New Roman" w:hAnsi="Times New Roman"/>
          <w:bCs/>
          <w:snapToGrid w:val="0"/>
        </w:rPr>
        <w:t xml:space="preserve">On April 25, 2025, OMB approved the Emergency Clearance documentation for the </w:t>
      </w:r>
      <w:r w:rsidRPr="002E3631">
        <w:rPr>
          <w:rFonts w:ascii="Times New Roman" w:hAnsi="Times New Roman"/>
          <w:i/>
          <w:iCs/>
          <w:color w:val="E01F25"/>
        </w:rPr>
        <w:t>my</w:t>
      </w:r>
      <w:r w:rsidRPr="002E3631">
        <w:rPr>
          <w:rFonts w:ascii="Times New Roman" w:hAnsi="Times New Roman"/>
        </w:rPr>
        <w:t xml:space="preserve"> </w:t>
      </w:r>
      <w:r w:rsidRPr="002E3631">
        <w:rPr>
          <w:rFonts w:ascii="Times New Roman" w:hAnsi="Times New Roman"/>
          <w:color w:val="0060A0"/>
        </w:rPr>
        <w:t>Social Security</w:t>
      </w:r>
      <w:r w:rsidRPr="002E3631">
        <w:rPr>
          <w:rFonts w:ascii="Times New Roman" w:hAnsi="Times New Roman"/>
        </w:rPr>
        <w:t xml:space="preserve"> – Security Authentication PIN (SAP)</w:t>
      </w:r>
      <w:r>
        <w:rPr>
          <w:rFonts w:ascii="Times New Roman" w:hAnsi="Times New Roman"/>
        </w:rPr>
        <w:t>.  Since then, we have implemented the SAP for use with direct deposit phone transactions to mitigate fraud concerns through an increased level of identity proofing.</w:t>
      </w:r>
    </w:p>
    <w:p w:rsidR="002E3631" w:rsidP="00C03EDF" w14:paraId="55C9F5C3" w14:textId="77777777">
      <w:pPr>
        <w:rPr>
          <w:rFonts w:ascii="Times New Roman" w:hAnsi="Times New Roman"/>
        </w:rPr>
      </w:pPr>
    </w:p>
    <w:p w:rsidR="00636BBD" w:rsidP="00C03EDF" w14:paraId="4F96165F" w14:textId="4BE50A4F">
      <w:pPr>
        <w:rPr>
          <w:rFonts w:ascii="Times New Roman" w:hAnsi="Times New Roman"/>
        </w:rPr>
      </w:pPr>
      <w:r>
        <w:rPr>
          <w:rFonts w:ascii="Times New Roman" w:hAnsi="Times New Roman"/>
        </w:rPr>
        <w:t xml:space="preserve">SAP utilizes the respondent’s </w:t>
      </w:r>
      <w:r w:rsidRPr="009518E9">
        <w:rPr>
          <w:rFonts w:ascii="Times New Roman" w:hAnsi="Times New Roman"/>
          <w:i/>
          <w:iCs/>
          <w:color w:val="E01F25"/>
        </w:rPr>
        <w:t>my</w:t>
      </w:r>
      <w:r w:rsidRPr="009518E9">
        <w:rPr>
          <w:rFonts w:ascii="Times New Roman" w:hAnsi="Times New Roman"/>
        </w:rPr>
        <w:t xml:space="preserve"> </w:t>
      </w:r>
      <w:r w:rsidRPr="009518E9">
        <w:rPr>
          <w:rFonts w:ascii="Times New Roman" w:hAnsi="Times New Roman"/>
          <w:color w:val="0060A0"/>
        </w:rPr>
        <w:t>Social Security</w:t>
      </w:r>
      <w:r>
        <w:rPr>
          <w:rFonts w:ascii="Times New Roman" w:hAnsi="Times New Roman"/>
        </w:rPr>
        <w:t xml:space="preserve"> account to generate a one-time passcode, the Security Authentication PIN (SAP), for those individuals who would like to conduct business with SSA for direct deposit changes over the phone.  The respondent provides the SAP to the technician who enters it into the Technician Experience Dashboard to verify the one-time passcode.  If the code validates, the respondent successfully verifies his or her identity and the technician </w:t>
      </w:r>
      <w:r>
        <w:rPr>
          <w:rFonts w:ascii="Times New Roman" w:hAnsi="Times New Roman"/>
        </w:rPr>
        <w:t>continues</w:t>
      </w:r>
      <w:r>
        <w:rPr>
          <w:rFonts w:ascii="Times New Roman" w:hAnsi="Times New Roman"/>
        </w:rPr>
        <w:t xml:space="preserve"> with the direct deposit request, which may include updating bank information or effectuating other pertinent payment method requests.  If the code fails validation, the technician allows the respondent to generate a new SAP and try again or offers the option to conduct business either online through the respondent’s </w:t>
      </w:r>
      <w:r w:rsidRPr="009518E9">
        <w:rPr>
          <w:rFonts w:ascii="Times New Roman" w:hAnsi="Times New Roman"/>
          <w:i/>
          <w:iCs/>
          <w:color w:val="E01F25"/>
        </w:rPr>
        <w:t>my</w:t>
      </w:r>
      <w:r w:rsidRPr="009518E9">
        <w:rPr>
          <w:rFonts w:ascii="Times New Roman" w:hAnsi="Times New Roman"/>
        </w:rPr>
        <w:t xml:space="preserve"> </w:t>
      </w:r>
      <w:r w:rsidRPr="009518E9">
        <w:rPr>
          <w:rFonts w:ascii="Times New Roman" w:hAnsi="Times New Roman"/>
          <w:color w:val="0060A0"/>
        </w:rPr>
        <w:t>Social Security</w:t>
      </w:r>
      <w:r>
        <w:rPr>
          <w:rFonts w:ascii="Times New Roman" w:hAnsi="Times New Roman"/>
        </w:rPr>
        <w:t xml:space="preserve"> account, or in person at a field office.</w:t>
      </w:r>
    </w:p>
    <w:p w:rsidR="00636BBD" w:rsidP="00C03EDF" w14:paraId="45028C30" w14:textId="77777777">
      <w:pPr>
        <w:rPr>
          <w:rFonts w:ascii="Times New Roman" w:hAnsi="Times New Roman"/>
        </w:rPr>
      </w:pPr>
    </w:p>
    <w:p w:rsidR="00636BBD" w:rsidP="00C03EDF" w14:paraId="719966BA" w14:textId="76655032">
      <w:pPr>
        <w:rPr>
          <w:rFonts w:ascii="Times New Roman" w:hAnsi="Times New Roman"/>
        </w:rPr>
      </w:pPr>
      <w:r>
        <w:rPr>
          <w:rFonts w:ascii="Times New Roman" w:hAnsi="Times New Roman"/>
        </w:rPr>
        <w:t xml:space="preserve">While we are currently in the process of renewing the OMB approval for </w:t>
      </w:r>
      <w:r>
        <w:rPr>
          <w:rFonts w:ascii="Times New Roman" w:hAnsi="Times New Roman"/>
          <w:bCs/>
          <w:snapToGrid w:val="0"/>
        </w:rPr>
        <w:t xml:space="preserve">the </w:t>
      </w:r>
      <w:r w:rsidRPr="002E3631">
        <w:rPr>
          <w:rFonts w:ascii="Times New Roman" w:hAnsi="Times New Roman"/>
          <w:i/>
          <w:iCs/>
          <w:color w:val="E01F25"/>
        </w:rPr>
        <w:t>my</w:t>
      </w:r>
      <w:r w:rsidRPr="002E3631">
        <w:rPr>
          <w:rFonts w:ascii="Times New Roman" w:hAnsi="Times New Roman"/>
        </w:rPr>
        <w:t xml:space="preserve"> </w:t>
      </w:r>
      <w:r w:rsidRPr="002E3631">
        <w:rPr>
          <w:rFonts w:ascii="Times New Roman" w:hAnsi="Times New Roman"/>
          <w:color w:val="0060A0"/>
        </w:rPr>
        <w:t>Social Security</w:t>
      </w:r>
      <w:r w:rsidRPr="002E3631">
        <w:rPr>
          <w:rFonts w:ascii="Times New Roman" w:hAnsi="Times New Roman"/>
        </w:rPr>
        <w:t xml:space="preserve"> – Security Authentication PIN (SAP)</w:t>
      </w:r>
      <w:r>
        <w:rPr>
          <w:rFonts w:ascii="Times New Roman" w:hAnsi="Times New Roman"/>
        </w:rPr>
        <w:t>, the agency has determined further need to expand the use of the SAP process for other telephone transactions.  Specifically, we will use the SAP process for the following additional telephone services:</w:t>
      </w:r>
    </w:p>
    <w:p w:rsidR="00636BBD" w:rsidP="00C03EDF" w14:paraId="75712F59" w14:textId="77777777">
      <w:pPr>
        <w:rPr>
          <w:rFonts w:ascii="Times New Roman" w:hAnsi="Times New Roman"/>
        </w:rPr>
      </w:pPr>
    </w:p>
    <w:p w:rsidR="00636BBD" w:rsidP="00636BBD" w14:paraId="6ADFE04B" w14:textId="69FE9791">
      <w:pPr>
        <w:numPr>
          <w:ilvl w:val="0"/>
          <w:numId w:val="3"/>
        </w:numPr>
        <w:rPr>
          <w:rFonts w:ascii="Times New Roman" w:hAnsi="Times New Roman"/>
        </w:rPr>
      </w:pPr>
      <w:r>
        <w:rPr>
          <w:rFonts w:ascii="Times New Roman" w:hAnsi="Times New Roman"/>
        </w:rPr>
        <w:t>Generating a Benefit Verification Letter</w:t>
      </w:r>
    </w:p>
    <w:p w:rsidR="00636BBD" w:rsidP="00636BBD" w14:paraId="4B9A4533" w14:textId="72FD29BB">
      <w:pPr>
        <w:numPr>
          <w:ilvl w:val="0"/>
          <w:numId w:val="3"/>
        </w:numPr>
        <w:rPr>
          <w:rFonts w:ascii="Times New Roman" w:hAnsi="Times New Roman"/>
        </w:rPr>
      </w:pPr>
      <w:r>
        <w:rPr>
          <w:rFonts w:ascii="Times New Roman" w:hAnsi="Times New Roman"/>
        </w:rPr>
        <w:t>Obtaining a Tax Statement or replacement Form 1099</w:t>
      </w:r>
    </w:p>
    <w:p w:rsidR="00636BBD" w:rsidP="00636BBD" w14:paraId="560CF94A" w14:textId="1FDF0A70">
      <w:pPr>
        <w:numPr>
          <w:ilvl w:val="0"/>
          <w:numId w:val="3"/>
        </w:numPr>
        <w:rPr>
          <w:rFonts w:ascii="Times New Roman" w:hAnsi="Times New Roman"/>
        </w:rPr>
      </w:pPr>
      <w:r>
        <w:rPr>
          <w:rFonts w:ascii="Times New Roman" w:hAnsi="Times New Roman"/>
        </w:rPr>
        <w:t>Change of Address</w:t>
      </w:r>
    </w:p>
    <w:p w:rsidR="00636BBD" w:rsidP="00636BBD" w14:paraId="7B72DCC6" w14:textId="7B9365A5">
      <w:pPr>
        <w:numPr>
          <w:ilvl w:val="0"/>
          <w:numId w:val="3"/>
        </w:numPr>
        <w:rPr>
          <w:rFonts w:ascii="Times New Roman" w:hAnsi="Times New Roman"/>
        </w:rPr>
      </w:pPr>
      <w:r>
        <w:rPr>
          <w:rFonts w:ascii="Times New Roman" w:hAnsi="Times New Roman"/>
        </w:rPr>
        <w:t>Request for Claims Status</w:t>
      </w:r>
    </w:p>
    <w:p w:rsidR="00636BBD" w:rsidP="00636BBD" w14:paraId="46324ACE" w14:textId="77777777">
      <w:pPr>
        <w:rPr>
          <w:rFonts w:ascii="Times New Roman" w:hAnsi="Times New Roman"/>
        </w:rPr>
      </w:pPr>
    </w:p>
    <w:p w:rsidR="00636BBD" w:rsidP="00636BBD" w14:paraId="6B6BD081" w14:textId="473ACE90">
      <w:pPr>
        <w:rPr>
          <w:rFonts w:ascii="Times New Roman" w:hAnsi="Times New Roman"/>
        </w:rPr>
      </w:pPr>
      <w:r>
        <w:rPr>
          <w:rFonts w:ascii="Times New Roman" w:hAnsi="Times New Roman"/>
        </w:rPr>
        <w:t xml:space="preserve">SSA has determined fraud risk associated with the above-mentioned services, which we will mitigate by requesting </w:t>
      </w:r>
      <w:r>
        <w:rPr>
          <w:rFonts w:ascii="Times New Roman" w:hAnsi="Times New Roman"/>
        </w:rPr>
        <w:t>a</w:t>
      </w:r>
      <w:r>
        <w:rPr>
          <w:rFonts w:ascii="Times New Roman" w:hAnsi="Times New Roman"/>
        </w:rPr>
        <w:t xml:space="preserve"> SAP prior to continuing to process these requests via the telephone.  </w:t>
      </w:r>
    </w:p>
    <w:p w:rsidR="00636BBD" w:rsidP="00636BBD" w14:paraId="781816DF" w14:textId="77777777">
      <w:pPr>
        <w:rPr>
          <w:rFonts w:ascii="Times New Roman" w:hAnsi="Times New Roman"/>
        </w:rPr>
      </w:pPr>
    </w:p>
    <w:p w:rsidR="00636BBD" w:rsidP="00636BBD" w14:paraId="5D542535" w14:textId="449B63D0">
      <w:pPr>
        <w:rPr>
          <w:rFonts w:ascii="Times New Roman" w:hAnsi="Times New Roman"/>
        </w:rPr>
      </w:pPr>
      <w:r>
        <w:rPr>
          <w:rFonts w:ascii="Times New Roman" w:hAnsi="Times New Roman"/>
        </w:rPr>
        <w:t xml:space="preserve">As with the current direct deposit SAP request, respondents also have the option to complete these services through their </w:t>
      </w:r>
      <w:r w:rsidRPr="009518E9">
        <w:rPr>
          <w:rFonts w:ascii="Times New Roman" w:hAnsi="Times New Roman"/>
          <w:i/>
          <w:iCs/>
          <w:color w:val="E01F25"/>
        </w:rPr>
        <w:t>my</w:t>
      </w:r>
      <w:r w:rsidRPr="009518E9">
        <w:rPr>
          <w:rFonts w:ascii="Times New Roman" w:hAnsi="Times New Roman"/>
        </w:rPr>
        <w:t xml:space="preserve"> </w:t>
      </w:r>
      <w:r w:rsidRPr="009518E9">
        <w:rPr>
          <w:rFonts w:ascii="Times New Roman" w:hAnsi="Times New Roman"/>
          <w:color w:val="0060A0"/>
        </w:rPr>
        <w:t>Social Security</w:t>
      </w:r>
      <w:r>
        <w:rPr>
          <w:rFonts w:ascii="Times New Roman" w:hAnsi="Times New Roman"/>
        </w:rPr>
        <w:t xml:space="preserve"> accounts, or they may visit a field office.</w:t>
      </w:r>
    </w:p>
    <w:p w:rsidR="00636BBD" w:rsidP="00636BBD" w14:paraId="51A7F028" w14:textId="1AD39E73">
      <w:pPr>
        <w:rPr>
          <w:rFonts w:ascii="Times New Roman" w:hAnsi="Times New Roman"/>
        </w:rPr>
      </w:pPr>
    </w:p>
    <w:p w:rsidR="00815C7C" w:rsidP="00815C7C" w14:paraId="601EB27C" w14:textId="1B9DE126">
      <w:pPr>
        <w:rPr>
          <w:rFonts w:ascii="Times New Roman" w:hAnsi="Times New Roman"/>
        </w:rPr>
      </w:pPr>
      <w:r>
        <w:rPr>
          <w:rFonts w:ascii="Times New Roman" w:hAnsi="Times New Roman"/>
        </w:rPr>
        <w:t>Due to the sensitive nature of the</w:t>
      </w:r>
      <w:r>
        <w:rPr>
          <w:rFonts w:ascii="Times New Roman" w:hAnsi="Times New Roman"/>
        </w:rPr>
        <w:t xml:space="preserve"> information, and the need to mitigate fraud for further telephone transactions.  We are planning to increase the use of the SAP process by August 18, 2025.  Therefore, we are requesting OMB approval by </w:t>
      </w:r>
      <w:r w:rsidRPr="00815C7C">
        <w:rPr>
          <w:rFonts w:ascii="Times New Roman" w:hAnsi="Times New Roman"/>
          <w:b/>
          <w:bCs/>
        </w:rPr>
        <w:t xml:space="preserve">COB, Friday, </w:t>
      </w:r>
      <w:r w:rsidRPr="00815C7C">
        <w:rPr>
          <w:rFonts w:ascii="Times New Roman" w:hAnsi="Times New Roman"/>
          <w:b/>
          <w:bCs/>
        </w:rPr>
        <w:t>August 15, 2025</w:t>
      </w:r>
      <w:r>
        <w:rPr>
          <w:rFonts w:ascii="Times New Roman" w:hAnsi="Times New Roman"/>
        </w:rPr>
        <w:t>.</w:t>
      </w:r>
    </w:p>
    <w:p w:rsidR="00636BBD" w:rsidRPr="00636BBD" w:rsidP="00636BBD" w14:paraId="16C9F2EE" w14:textId="5063DC9E">
      <w:pPr>
        <w:rPr>
          <w:rFonts w:ascii="Times New Roman" w:hAnsi="Times New Roman"/>
        </w:rPr>
      </w:pPr>
    </w:p>
    <w:p w:rsidR="006746BD" w:rsidRPr="006746BD" w:rsidP="00C03EDF" w14:paraId="77E2B018" w14:textId="77777777">
      <w:pPr>
        <w:rPr>
          <w:rFonts w:ascii="Times New Roman" w:hAnsi="Times New Roman"/>
          <w:bCs/>
          <w:snapToGrid w:val="0"/>
        </w:rPr>
      </w:pPr>
    </w:p>
    <w:p w:rsidR="00855A2B" w:rsidRPr="00855A2B" w:rsidP="00C03EDF" w14:paraId="4E8A7B82" w14:textId="77777777">
      <w:pPr>
        <w:rPr>
          <w:rFonts w:ascii="Times New Roman" w:hAnsi="Times New Roman"/>
          <w:b/>
          <w:snapToGrid w:val="0"/>
          <w:u w:val="single"/>
        </w:rPr>
      </w:pPr>
      <w:r>
        <w:rPr>
          <w:rFonts w:ascii="Times New Roman" w:hAnsi="Times New Roman"/>
          <w:b/>
          <w:snapToGrid w:val="0"/>
          <w:u w:val="single"/>
        </w:rPr>
        <w:t>Revisions to the Information Collection</w:t>
      </w:r>
    </w:p>
    <w:p w:rsidR="00E87C06" w:rsidP="00C03EDF" w14:paraId="31B10E8F" w14:textId="77777777">
      <w:pPr>
        <w:rPr>
          <w:rFonts w:ascii="Times New Roman" w:hAnsi="Times New Roman"/>
          <w:snapToGrid w:val="0"/>
        </w:rPr>
      </w:pPr>
    </w:p>
    <w:p w:rsidR="00262B15" w:rsidP="00C03EDF" w14:paraId="70883FBD" w14:textId="464703F9">
      <w:pPr>
        <w:rPr>
          <w:rFonts w:ascii="Times New Roman" w:hAnsi="Times New Roman"/>
          <w:snapToGrid w:val="0"/>
        </w:rPr>
      </w:pPr>
      <w:r>
        <w:rPr>
          <w:rFonts w:ascii="Times New Roman" w:hAnsi="Times New Roman"/>
          <w:snapToGrid w:val="0"/>
        </w:rPr>
        <w:t>We are increasing the scope of the SAP process to include more telephone service requests:</w:t>
      </w:r>
    </w:p>
    <w:p w:rsidR="00262B15" w:rsidP="00C03EDF" w14:paraId="360233EA" w14:textId="77777777">
      <w:pPr>
        <w:rPr>
          <w:rFonts w:ascii="Times New Roman" w:hAnsi="Times New Roman"/>
          <w:snapToGrid w:val="0"/>
        </w:rPr>
      </w:pPr>
    </w:p>
    <w:p w:rsidR="00262B15" w:rsidP="00262B15" w14:paraId="0D8E7466" w14:textId="3A8A07FB">
      <w:pPr>
        <w:numPr>
          <w:ilvl w:val="0"/>
          <w:numId w:val="1"/>
        </w:numPr>
        <w:rPr>
          <w:rFonts w:ascii="Times New Roman" w:hAnsi="Times New Roman"/>
          <w:snapToGrid w:val="0"/>
        </w:rPr>
      </w:pPr>
      <w:r w:rsidRPr="006746BD">
        <w:rPr>
          <w:rFonts w:ascii="Times New Roman" w:hAnsi="Times New Roman"/>
          <w:b/>
          <w:bCs/>
          <w:snapToGrid w:val="0"/>
          <w:u w:val="single"/>
        </w:rPr>
        <w:t>Change #1</w:t>
      </w:r>
      <w:r w:rsidRPr="006746BD">
        <w:rPr>
          <w:rFonts w:ascii="Times New Roman" w:hAnsi="Times New Roman"/>
          <w:b/>
          <w:bCs/>
          <w:snapToGrid w:val="0"/>
        </w:rPr>
        <w:t>:</w:t>
      </w:r>
      <w:r>
        <w:rPr>
          <w:rFonts w:ascii="Times New Roman" w:hAnsi="Times New Roman"/>
          <w:snapToGrid w:val="0"/>
        </w:rPr>
        <w:t xml:space="preserve">  </w:t>
      </w:r>
      <w:r w:rsidR="00815C7C">
        <w:rPr>
          <w:rFonts w:ascii="Times New Roman" w:hAnsi="Times New Roman"/>
          <w:snapToGrid w:val="0"/>
        </w:rPr>
        <w:t>We are expanding the scope of the SAP process to mitigate fraud for the following telephone services:</w:t>
      </w:r>
    </w:p>
    <w:p w:rsidR="00815C7C" w:rsidP="00815C7C" w14:paraId="42FC6390" w14:textId="77777777">
      <w:pPr>
        <w:numPr>
          <w:ilvl w:val="1"/>
          <w:numId w:val="1"/>
        </w:numPr>
        <w:rPr>
          <w:rFonts w:ascii="Times New Roman" w:hAnsi="Times New Roman"/>
        </w:rPr>
      </w:pPr>
      <w:r>
        <w:rPr>
          <w:rFonts w:ascii="Times New Roman" w:hAnsi="Times New Roman"/>
        </w:rPr>
        <w:t>Generating a Benefit Verification Letter</w:t>
      </w:r>
    </w:p>
    <w:p w:rsidR="00815C7C" w:rsidP="00815C7C" w14:paraId="6784605B" w14:textId="77777777">
      <w:pPr>
        <w:numPr>
          <w:ilvl w:val="1"/>
          <w:numId w:val="1"/>
        </w:numPr>
        <w:rPr>
          <w:rFonts w:ascii="Times New Roman" w:hAnsi="Times New Roman"/>
        </w:rPr>
      </w:pPr>
      <w:r>
        <w:rPr>
          <w:rFonts w:ascii="Times New Roman" w:hAnsi="Times New Roman"/>
        </w:rPr>
        <w:t>Obtaining a Tax Statement or replacement Form 1099</w:t>
      </w:r>
    </w:p>
    <w:p w:rsidR="00815C7C" w:rsidP="00815C7C" w14:paraId="5C71631E" w14:textId="77777777">
      <w:pPr>
        <w:numPr>
          <w:ilvl w:val="1"/>
          <w:numId w:val="1"/>
        </w:numPr>
        <w:rPr>
          <w:rFonts w:ascii="Times New Roman" w:hAnsi="Times New Roman"/>
        </w:rPr>
      </w:pPr>
      <w:r>
        <w:rPr>
          <w:rFonts w:ascii="Times New Roman" w:hAnsi="Times New Roman"/>
        </w:rPr>
        <w:t>Change of Address</w:t>
      </w:r>
    </w:p>
    <w:p w:rsidR="00815C7C" w:rsidRPr="00815C7C" w:rsidP="00815C7C" w14:paraId="0EABE7F8" w14:textId="5EE79C8F">
      <w:pPr>
        <w:numPr>
          <w:ilvl w:val="1"/>
          <w:numId w:val="1"/>
        </w:numPr>
        <w:rPr>
          <w:rFonts w:ascii="Times New Roman" w:hAnsi="Times New Roman"/>
        </w:rPr>
      </w:pPr>
      <w:r>
        <w:rPr>
          <w:rFonts w:ascii="Times New Roman" w:hAnsi="Times New Roman"/>
        </w:rPr>
        <w:t>Request for Claims Status</w:t>
      </w:r>
    </w:p>
    <w:p w:rsidR="00262B15" w:rsidP="00262B15" w14:paraId="2D141F1C" w14:textId="77777777">
      <w:pPr>
        <w:ind w:left="360"/>
        <w:rPr>
          <w:rFonts w:ascii="Times New Roman" w:hAnsi="Times New Roman"/>
          <w:snapToGrid w:val="0"/>
        </w:rPr>
      </w:pPr>
    </w:p>
    <w:p w:rsidR="00815C7C" w:rsidP="00815C7C" w14:paraId="1EB11D67" w14:textId="4E8A685B">
      <w:pPr>
        <w:ind w:left="360"/>
        <w:rPr>
          <w:rFonts w:ascii="Times New Roman" w:hAnsi="Times New Roman"/>
        </w:rPr>
      </w:pPr>
      <w:r w:rsidRPr="006746BD">
        <w:rPr>
          <w:rFonts w:ascii="Times New Roman" w:hAnsi="Times New Roman"/>
          <w:b/>
          <w:bCs/>
          <w:snapToGrid w:val="0"/>
          <w:u w:val="single"/>
        </w:rPr>
        <w:t>Justification #1</w:t>
      </w:r>
      <w:r w:rsidRPr="006746BD">
        <w:rPr>
          <w:rFonts w:ascii="Times New Roman" w:hAnsi="Times New Roman"/>
          <w:b/>
          <w:bCs/>
          <w:snapToGrid w:val="0"/>
        </w:rPr>
        <w:t>:</w:t>
      </w:r>
      <w:r>
        <w:rPr>
          <w:rFonts w:ascii="Times New Roman" w:hAnsi="Times New Roman"/>
          <w:snapToGrid w:val="0"/>
        </w:rPr>
        <w:t xml:space="preserve">  </w:t>
      </w:r>
      <w:r>
        <w:rPr>
          <w:rFonts w:ascii="Times New Roman" w:hAnsi="Times New Roman"/>
          <w:snapToGrid w:val="0"/>
        </w:rPr>
        <w:t xml:space="preserve">SSA has assessed </w:t>
      </w:r>
      <w:r w:rsidR="003F04CF">
        <w:rPr>
          <w:rFonts w:ascii="Times New Roman" w:hAnsi="Times New Roman"/>
          <w:snapToGrid w:val="0"/>
        </w:rPr>
        <w:t>our telephone services and determined further need to mitigate fraud for the above list of services.  These services pose fraud risks for the public when they request information regarding their benefits or taxes; when they change their addresses in SSA’s system; and when they request the status of their pending claims.  We will not change the current SAP process for these services; rather, we are simply expecting an increase in volume of respondents using SAP as we are increasing the scope from one service to five</w:t>
      </w:r>
      <w:r w:rsidR="003F04CF">
        <w:rPr>
          <w:rFonts w:ascii="Times New Roman" w:hAnsi="Times New Roman"/>
        </w:rPr>
        <w:t xml:space="preserve"> services</w:t>
      </w:r>
      <w:r>
        <w:rPr>
          <w:rFonts w:ascii="Times New Roman" w:hAnsi="Times New Roman"/>
        </w:rPr>
        <w:t>.</w:t>
      </w:r>
    </w:p>
    <w:p w:rsidR="003F04CF" w:rsidP="003F04CF" w14:paraId="6CD7754F" w14:textId="77777777">
      <w:pPr>
        <w:rPr>
          <w:rFonts w:ascii="Times New Roman" w:hAnsi="Times New Roman"/>
          <w:b/>
          <w:bCs/>
          <w:snapToGrid w:val="0"/>
          <w:u w:val="single"/>
        </w:rPr>
      </w:pPr>
    </w:p>
    <w:p w:rsidR="003F04CF" w:rsidP="003F04CF" w14:paraId="725D237E" w14:textId="5A8DFDF7">
      <w:pPr>
        <w:rPr>
          <w:rFonts w:ascii="Times New Roman" w:hAnsi="Times New Roman"/>
          <w:snapToGrid w:val="0"/>
        </w:rPr>
      </w:pPr>
      <w:r>
        <w:rPr>
          <w:rFonts w:ascii="Times New Roman" w:hAnsi="Times New Roman"/>
          <w:snapToGrid w:val="0"/>
        </w:rPr>
        <w:t>The increase in scope for the use of the SAP process will also increase our public reporting burden for SAP.  The following chart shows SSA’s expected increase in burden per service added to the scope:</w:t>
      </w:r>
    </w:p>
    <w:p w:rsidR="003F04CF" w:rsidP="003F04CF" w14:paraId="160A416B" w14:textId="77777777">
      <w:pPr>
        <w:rPr>
          <w:rFonts w:ascii="Times New Roman" w:hAnsi="Times New Roman"/>
          <w:snapToGrid w:val="0"/>
        </w:rPr>
      </w:pPr>
    </w:p>
    <w:tbl>
      <w:tblPr>
        <w:tblStyle w:val="TableGrid"/>
        <w:tblW w:w="11700" w:type="dxa"/>
        <w:tblInd w:w="-1422" w:type="dxa"/>
        <w:tblLook w:val="04A0"/>
      </w:tblPr>
      <w:tblGrid>
        <w:gridCol w:w="1530"/>
        <w:gridCol w:w="1530"/>
        <w:gridCol w:w="1440"/>
        <w:gridCol w:w="1274"/>
        <w:gridCol w:w="1256"/>
        <w:gridCol w:w="1389"/>
        <w:gridCol w:w="1505"/>
        <w:gridCol w:w="1776"/>
      </w:tblGrid>
      <w:tr w14:paraId="6E52847E" w14:textId="77777777" w:rsidTr="003F04CF">
        <w:tblPrEx>
          <w:tblW w:w="11700" w:type="dxa"/>
          <w:tblInd w:w="-1422" w:type="dxa"/>
          <w:tblLook w:val="04A0"/>
        </w:tblPrEx>
        <w:tc>
          <w:tcPr>
            <w:tcW w:w="1530" w:type="dxa"/>
          </w:tcPr>
          <w:p w:rsidR="003F04CF" w:rsidRPr="003F04CF" w:rsidP="003F04CF" w14:paraId="0D70857E" w14:textId="7D2A4BD2">
            <w:pPr>
              <w:rPr>
                <w:rFonts w:ascii="Times New Roman" w:hAnsi="Times New Roman"/>
              </w:rPr>
            </w:pPr>
            <w:r w:rsidRPr="003F04CF">
              <w:rPr>
                <w:rFonts w:ascii="Times New Roman" w:hAnsi="Times New Roman"/>
                <w:b/>
              </w:rPr>
              <w:t>Modality of Completion</w:t>
            </w:r>
          </w:p>
        </w:tc>
        <w:tc>
          <w:tcPr>
            <w:tcW w:w="1530" w:type="dxa"/>
          </w:tcPr>
          <w:p w:rsidR="003F04CF" w:rsidRPr="003F04CF" w:rsidP="003F04CF" w14:paraId="30BDFB01" w14:textId="5AABBE9C">
            <w:pPr>
              <w:rPr>
                <w:rFonts w:ascii="Times New Roman" w:hAnsi="Times New Roman"/>
              </w:rPr>
            </w:pPr>
            <w:r w:rsidRPr="003F04CF">
              <w:rPr>
                <w:rFonts w:ascii="Times New Roman" w:hAnsi="Times New Roman"/>
                <w:b/>
              </w:rPr>
              <w:t>Number of Respondents</w:t>
            </w:r>
          </w:p>
        </w:tc>
        <w:tc>
          <w:tcPr>
            <w:tcW w:w="1440" w:type="dxa"/>
          </w:tcPr>
          <w:p w:rsidR="003F04CF" w:rsidRPr="003F04CF" w:rsidP="003F04CF" w14:paraId="0353331A" w14:textId="09BC4250">
            <w:pPr>
              <w:rPr>
                <w:rFonts w:ascii="Times New Roman" w:hAnsi="Times New Roman"/>
              </w:rPr>
            </w:pPr>
            <w:r w:rsidRPr="003F04CF">
              <w:rPr>
                <w:rFonts w:ascii="Times New Roman" w:hAnsi="Times New Roman"/>
                <w:b/>
              </w:rPr>
              <w:t>Frequency of Response</w:t>
            </w:r>
          </w:p>
        </w:tc>
        <w:tc>
          <w:tcPr>
            <w:tcW w:w="1274" w:type="dxa"/>
          </w:tcPr>
          <w:p w:rsidR="003F04CF" w:rsidRPr="003F04CF" w:rsidP="003F04CF" w14:paraId="29DC28D7" w14:textId="1648B029">
            <w:pPr>
              <w:rPr>
                <w:rFonts w:ascii="Times New Roman" w:hAnsi="Times New Roman"/>
              </w:rPr>
            </w:pPr>
            <w:r w:rsidRPr="003F04CF">
              <w:rPr>
                <w:rFonts w:ascii="Times New Roman" w:hAnsi="Times New Roman"/>
                <w:b/>
              </w:rPr>
              <w:t>Average Burden per Response (minutes)</w:t>
            </w:r>
          </w:p>
        </w:tc>
        <w:tc>
          <w:tcPr>
            <w:tcW w:w="1256" w:type="dxa"/>
          </w:tcPr>
          <w:p w:rsidR="003F04CF" w:rsidRPr="003F04CF" w:rsidP="003F04CF" w14:paraId="7E178304" w14:textId="7D9AD81A">
            <w:pPr>
              <w:rPr>
                <w:rFonts w:ascii="Times New Roman" w:hAnsi="Times New Roman"/>
              </w:rPr>
            </w:pPr>
            <w:r w:rsidRPr="003F04CF">
              <w:rPr>
                <w:rFonts w:ascii="Times New Roman" w:hAnsi="Times New Roman"/>
                <w:b/>
              </w:rPr>
              <w:t>Estimated Total Annual Burden (hours)</w:t>
            </w:r>
          </w:p>
        </w:tc>
        <w:tc>
          <w:tcPr>
            <w:tcW w:w="1389" w:type="dxa"/>
          </w:tcPr>
          <w:p w:rsidR="003F04CF" w:rsidRPr="003F04CF" w:rsidP="003F04CF" w14:paraId="670A2929" w14:textId="38615B07">
            <w:pPr>
              <w:rPr>
                <w:rFonts w:ascii="Times New Roman" w:hAnsi="Times New Roman"/>
              </w:rPr>
            </w:pPr>
            <w:r w:rsidRPr="003F04CF">
              <w:rPr>
                <w:rFonts w:ascii="Times New Roman" w:hAnsi="Times New Roman"/>
                <w:b/>
              </w:rPr>
              <w:t>Average Theoretical Hourly Cost Amount (dollars)*</w:t>
            </w:r>
          </w:p>
        </w:tc>
        <w:tc>
          <w:tcPr>
            <w:tcW w:w="1505" w:type="dxa"/>
          </w:tcPr>
          <w:p w:rsidR="003F04CF" w:rsidRPr="003F04CF" w:rsidP="003F04CF" w14:paraId="0BD9FBB7" w14:textId="546873F1">
            <w:pPr>
              <w:rPr>
                <w:rFonts w:ascii="Times New Roman" w:hAnsi="Times New Roman"/>
              </w:rPr>
            </w:pPr>
            <w:r w:rsidRPr="003F04CF">
              <w:rPr>
                <w:rFonts w:ascii="Times New Roman" w:hAnsi="Times New Roman"/>
                <w:b/>
                <w:bCs/>
              </w:rPr>
              <w:t xml:space="preserve">Average Combined Wait Time for Teleservice Center or Field Office in the Dedicated </w:t>
            </w:r>
            <w:r>
              <w:rPr>
                <w:rFonts w:ascii="Times New Roman" w:hAnsi="Times New Roman"/>
                <w:b/>
                <w:bCs/>
              </w:rPr>
              <w:t>SAP</w:t>
            </w:r>
            <w:r w:rsidRPr="003F04CF">
              <w:rPr>
                <w:rFonts w:ascii="Times New Roman" w:hAnsi="Times New Roman"/>
                <w:b/>
                <w:bCs/>
              </w:rPr>
              <w:t xml:space="preserve"> Queue (minutes)**</w:t>
            </w:r>
          </w:p>
        </w:tc>
        <w:tc>
          <w:tcPr>
            <w:tcW w:w="1776" w:type="dxa"/>
          </w:tcPr>
          <w:p w:rsidR="003F04CF" w:rsidRPr="003F04CF" w:rsidP="003F04CF" w14:paraId="449A4B96" w14:textId="05A4280A">
            <w:pPr>
              <w:rPr>
                <w:rFonts w:ascii="Times New Roman" w:hAnsi="Times New Roman"/>
              </w:rPr>
            </w:pPr>
            <w:r w:rsidRPr="003F04CF">
              <w:rPr>
                <w:rFonts w:ascii="Times New Roman" w:hAnsi="Times New Roman"/>
                <w:b/>
              </w:rPr>
              <w:t>Total Annual Opportunity Cost (dollars)***</w:t>
            </w:r>
          </w:p>
        </w:tc>
      </w:tr>
      <w:tr w14:paraId="14665735" w14:textId="77777777" w:rsidTr="003F04CF">
        <w:tblPrEx>
          <w:tblW w:w="11700" w:type="dxa"/>
          <w:tblInd w:w="-1422" w:type="dxa"/>
          <w:tblLook w:val="04A0"/>
        </w:tblPrEx>
        <w:tc>
          <w:tcPr>
            <w:tcW w:w="1530" w:type="dxa"/>
          </w:tcPr>
          <w:p w:rsidR="003F04CF" w:rsidRPr="003F04CF" w:rsidP="003F04CF" w14:paraId="6EB1CF28" w14:textId="1D9971DD">
            <w:pPr>
              <w:rPr>
                <w:rFonts w:ascii="Times New Roman" w:hAnsi="Times New Roman"/>
              </w:rPr>
            </w:pPr>
            <w:r w:rsidRPr="003F04CF">
              <w:rPr>
                <w:rFonts w:ascii="Times New Roman" w:hAnsi="Times New Roman"/>
              </w:rPr>
              <w:t>Respondents requesting phone-based assistance changes</w:t>
            </w:r>
            <w:r w:rsidR="008061AD">
              <w:rPr>
                <w:rFonts w:ascii="Times New Roman" w:hAnsi="Times New Roman"/>
              </w:rPr>
              <w:t xml:space="preserve"> for sensitive services</w:t>
            </w:r>
            <w:r w:rsidRPr="003F04CF">
              <w:rPr>
                <w:rFonts w:ascii="Times New Roman" w:hAnsi="Times New Roman"/>
              </w:rPr>
              <w:t xml:space="preserve"> using the </w:t>
            </w:r>
            <w:r w:rsidRPr="003F04CF">
              <w:rPr>
                <w:rFonts w:ascii="Times New Roman" w:hAnsi="Times New Roman"/>
              </w:rPr>
              <w:t>SAP Process</w:t>
            </w:r>
          </w:p>
        </w:tc>
        <w:tc>
          <w:tcPr>
            <w:tcW w:w="1530" w:type="dxa"/>
          </w:tcPr>
          <w:p w:rsidR="003F04CF" w:rsidRPr="003F04CF" w:rsidP="003F04CF" w14:paraId="36651543" w14:textId="587E3650">
            <w:pPr>
              <w:jc w:val="right"/>
              <w:rPr>
                <w:rFonts w:ascii="Times New Roman" w:hAnsi="Times New Roman"/>
              </w:rPr>
            </w:pPr>
            <w:r>
              <w:rPr>
                <w:rFonts w:ascii="Times New Roman" w:hAnsi="Times New Roman"/>
              </w:rPr>
              <w:t>3,446,050</w:t>
            </w:r>
          </w:p>
        </w:tc>
        <w:tc>
          <w:tcPr>
            <w:tcW w:w="1440" w:type="dxa"/>
          </w:tcPr>
          <w:p w:rsidR="003F04CF" w:rsidRPr="003F04CF" w:rsidP="003F04CF" w14:paraId="5EED7C30" w14:textId="771E69F5">
            <w:pPr>
              <w:jc w:val="right"/>
              <w:rPr>
                <w:rFonts w:ascii="Times New Roman" w:hAnsi="Times New Roman"/>
              </w:rPr>
            </w:pPr>
            <w:r w:rsidRPr="003F04CF">
              <w:rPr>
                <w:rFonts w:ascii="Times New Roman" w:hAnsi="Times New Roman"/>
                <w:bCs/>
              </w:rPr>
              <w:t>1</w:t>
            </w:r>
          </w:p>
        </w:tc>
        <w:tc>
          <w:tcPr>
            <w:tcW w:w="1274" w:type="dxa"/>
          </w:tcPr>
          <w:p w:rsidR="003F04CF" w:rsidRPr="003F04CF" w:rsidP="003F04CF" w14:paraId="57C216E7" w14:textId="64D3C80C">
            <w:pPr>
              <w:jc w:val="right"/>
              <w:rPr>
                <w:rFonts w:ascii="Times New Roman" w:hAnsi="Times New Roman"/>
              </w:rPr>
            </w:pPr>
            <w:r w:rsidRPr="003F04CF">
              <w:rPr>
                <w:rFonts w:ascii="Times New Roman" w:hAnsi="Times New Roman"/>
              </w:rPr>
              <w:t>8</w:t>
            </w:r>
            <w:r w:rsidRPr="003F04CF">
              <w:rPr>
                <w:rFonts w:ascii="Times New Roman" w:hAnsi="Times New Roman"/>
                <w:vertAlign w:val="superscript"/>
              </w:rPr>
              <w:t>+</w:t>
            </w:r>
          </w:p>
        </w:tc>
        <w:tc>
          <w:tcPr>
            <w:tcW w:w="1256" w:type="dxa"/>
          </w:tcPr>
          <w:p w:rsidR="003F04CF" w:rsidRPr="003F04CF" w:rsidP="003F04CF" w14:paraId="4BF5711C" w14:textId="5C8261F0">
            <w:pPr>
              <w:jc w:val="right"/>
              <w:rPr>
                <w:rFonts w:ascii="Times New Roman" w:hAnsi="Times New Roman"/>
              </w:rPr>
            </w:pPr>
            <w:r>
              <w:rPr>
                <w:rFonts w:ascii="Times New Roman" w:hAnsi="Times New Roman"/>
                <w:bCs/>
              </w:rPr>
              <w:t>459,473</w:t>
            </w:r>
          </w:p>
        </w:tc>
        <w:tc>
          <w:tcPr>
            <w:tcW w:w="1389" w:type="dxa"/>
          </w:tcPr>
          <w:p w:rsidR="003F04CF" w:rsidRPr="003F04CF" w:rsidP="003F04CF" w14:paraId="5E530EA3" w14:textId="77777777">
            <w:pPr>
              <w:pStyle w:val="ListParagraph"/>
              <w:ind w:left="0"/>
              <w:jc w:val="right"/>
              <w:rPr>
                <w:rFonts w:ascii="Times New Roman" w:hAnsi="Times New Roman"/>
                <w:bCs/>
              </w:rPr>
            </w:pPr>
            <w:r w:rsidRPr="003F04CF">
              <w:rPr>
                <w:rFonts w:ascii="Times New Roman" w:hAnsi="Times New Roman"/>
              </w:rPr>
              <w:t>$32.66*</w:t>
            </w:r>
          </w:p>
          <w:p w:rsidR="003F04CF" w:rsidRPr="003F04CF" w:rsidP="003F04CF" w14:paraId="22012D2B" w14:textId="33657DE0">
            <w:pPr>
              <w:jc w:val="right"/>
              <w:rPr>
                <w:rFonts w:ascii="Times New Roman" w:hAnsi="Times New Roman"/>
              </w:rPr>
            </w:pPr>
            <w:r w:rsidRPr="003F04CF">
              <w:rPr>
                <w:rFonts w:ascii="Times New Roman" w:hAnsi="Times New Roman"/>
              </w:rPr>
              <w:tab/>
            </w:r>
          </w:p>
        </w:tc>
        <w:tc>
          <w:tcPr>
            <w:tcW w:w="1505" w:type="dxa"/>
          </w:tcPr>
          <w:p w:rsidR="003F04CF" w:rsidRPr="003F04CF" w:rsidP="003F04CF" w14:paraId="222E96FA" w14:textId="579ABB1D">
            <w:pPr>
              <w:jc w:val="right"/>
              <w:rPr>
                <w:rFonts w:ascii="Times New Roman" w:hAnsi="Times New Roman"/>
              </w:rPr>
            </w:pPr>
            <w:r w:rsidRPr="003F04CF">
              <w:rPr>
                <w:rFonts w:ascii="Times New Roman" w:hAnsi="Times New Roman"/>
                <w:bCs/>
              </w:rPr>
              <w:t>6</w:t>
            </w:r>
          </w:p>
        </w:tc>
        <w:tc>
          <w:tcPr>
            <w:tcW w:w="1776" w:type="dxa"/>
          </w:tcPr>
          <w:p w:rsidR="003F04CF" w:rsidRPr="003F04CF" w:rsidP="003F04CF" w14:paraId="7062ABD1" w14:textId="2CEA3FBD">
            <w:pPr>
              <w:jc w:val="right"/>
              <w:rPr>
                <w:rFonts w:ascii="Times New Roman" w:hAnsi="Times New Roman"/>
              </w:rPr>
            </w:pPr>
            <w:r w:rsidRPr="003F04CF">
              <w:rPr>
                <w:rFonts w:ascii="Times New Roman" w:hAnsi="Times New Roman"/>
              </w:rPr>
              <w:t>$</w:t>
            </w:r>
            <w:r w:rsidR="008061AD">
              <w:rPr>
                <w:rFonts w:ascii="Times New Roman" w:hAnsi="Times New Roman"/>
              </w:rPr>
              <w:t>26,261,187</w:t>
            </w:r>
            <w:r w:rsidRPr="003F04CF">
              <w:rPr>
                <w:rFonts w:ascii="Times New Roman" w:hAnsi="Times New Roman"/>
              </w:rPr>
              <w:t>***</w:t>
            </w:r>
          </w:p>
        </w:tc>
      </w:tr>
      <w:tr w14:paraId="5D715FE4" w14:textId="77777777" w:rsidTr="003F04CF">
        <w:tblPrEx>
          <w:tblW w:w="11700" w:type="dxa"/>
          <w:tblInd w:w="-1422" w:type="dxa"/>
          <w:tblLook w:val="04A0"/>
        </w:tblPrEx>
        <w:tc>
          <w:tcPr>
            <w:tcW w:w="1530" w:type="dxa"/>
          </w:tcPr>
          <w:p w:rsidR="003F04CF" w:rsidRPr="003F04CF" w:rsidP="003F04CF" w14:paraId="352C3D7C" w14:textId="64E4B5F2">
            <w:pPr>
              <w:rPr>
                <w:rFonts w:ascii="Times New Roman" w:hAnsi="Times New Roman"/>
              </w:rPr>
            </w:pPr>
            <w:r w:rsidRPr="003F04CF">
              <w:rPr>
                <w:rFonts w:ascii="Times New Roman" w:hAnsi="Times New Roman"/>
              </w:rPr>
              <w:t xml:space="preserve">Respondents requesting changes </w:t>
            </w:r>
            <w:r w:rsidR="008061AD">
              <w:rPr>
                <w:rFonts w:ascii="Times New Roman" w:hAnsi="Times New Roman"/>
              </w:rPr>
              <w:t xml:space="preserve">for sensitive services </w:t>
            </w:r>
            <w:r w:rsidRPr="003F04CF">
              <w:rPr>
                <w:rFonts w:ascii="Times New Roman" w:hAnsi="Times New Roman"/>
              </w:rPr>
              <w:t>who failed SAP over the phone</w:t>
            </w:r>
          </w:p>
        </w:tc>
        <w:tc>
          <w:tcPr>
            <w:tcW w:w="1530" w:type="dxa"/>
          </w:tcPr>
          <w:p w:rsidR="003F04CF" w:rsidRPr="003F04CF" w:rsidP="003F04CF" w14:paraId="7D3F7E7B" w14:textId="0FCE4037">
            <w:pPr>
              <w:jc w:val="right"/>
              <w:rPr>
                <w:rFonts w:ascii="Times New Roman" w:hAnsi="Times New Roman"/>
              </w:rPr>
            </w:pPr>
            <w:r>
              <w:rPr>
                <w:rFonts w:ascii="Times New Roman" w:hAnsi="Times New Roman"/>
              </w:rPr>
              <w:t>206,763</w:t>
            </w:r>
          </w:p>
        </w:tc>
        <w:tc>
          <w:tcPr>
            <w:tcW w:w="1440" w:type="dxa"/>
          </w:tcPr>
          <w:p w:rsidR="003F04CF" w:rsidRPr="003F04CF" w:rsidP="003F04CF" w14:paraId="07E43CFB" w14:textId="0F03DBFD">
            <w:pPr>
              <w:jc w:val="right"/>
              <w:rPr>
                <w:rFonts w:ascii="Times New Roman" w:hAnsi="Times New Roman"/>
              </w:rPr>
            </w:pPr>
            <w:r w:rsidRPr="003F04CF">
              <w:rPr>
                <w:rFonts w:ascii="Times New Roman" w:hAnsi="Times New Roman"/>
                <w:bCs/>
              </w:rPr>
              <w:t>1</w:t>
            </w:r>
          </w:p>
        </w:tc>
        <w:tc>
          <w:tcPr>
            <w:tcW w:w="1274" w:type="dxa"/>
          </w:tcPr>
          <w:p w:rsidR="003F04CF" w:rsidRPr="003F04CF" w:rsidP="003F04CF" w14:paraId="5A042C3E" w14:textId="221B4244">
            <w:pPr>
              <w:jc w:val="right"/>
              <w:rPr>
                <w:rFonts w:ascii="Times New Roman" w:hAnsi="Times New Roman"/>
              </w:rPr>
            </w:pPr>
            <w:r w:rsidRPr="003F04CF">
              <w:rPr>
                <w:rFonts w:ascii="Times New Roman" w:hAnsi="Times New Roman"/>
                <w:bCs/>
              </w:rPr>
              <w:t>4</w:t>
            </w:r>
          </w:p>
        </w:tc>
        <w:tc>
          <w:tcPr>
            <w:tcW w:w="1256" w:type="dxa"/>
          </w:tcPr>
          <w:p w:rsidR="003F04CF" w:rsidRPr="003F04CF" w:rsidP="003F04CF" w14:paraId="6D22362A" w14:textId="3760934B">
            <w:pPr>
              <w:jc w:val="right"/>
              <w:rPr>
                <w:rFonts w:ascii="Times New Roman" w:hAnsi="Times New Roman"/>
              </w:rPr>
            </w:pPr>
            <w:r>
              <w:rPr>
                <w:rFonts w:ascii="Times New Roman" w:hAnsi="Times New Roman"/>
                <w:bCs/>
              </w:rPr>
              <w:t>13,784</w:t>
            </w:r>
          </w:p>
        </w:tc>
        <w:tc>
          <w:tcPr>
            <w:tcW w:w="1389" w:type="dxa"/>
          </w:tcPr>
          <w:p w:rsidR="003F04CF" w:rsidRPr="003F04CF" w:rsidP="003F04CF" w14:paraId="5484DBD2" w14:textId="021D45AF">
            <w:pPr>
              <w:jc w:val="right"/>
              <w:rPr>
                <w:rFonts w:ascii="Times New Roman" w:hAnsi="Times New Roman"/>
              </w:rPr>
            </w:pPr>
            <w:r w:rsidRPr="003F04CF">
              <w:rPr>
                <w:rFonts w:ascii="Times New Roman" w:hAnsi="Times New Roman"/>
              </w:rPr>
              <w:t>$32.66*</w:t>
            </w:r>
          </w:p>
        </w:tc>
        <w:tc>
          <w:tcPr>
            <w:tcW w:w="1505" w:type="dxa"/>
          </w:tcPr>
          <w:p w:rsidR="003F04CF" w:rsidRPr="003F04CF" w:rsidP="003F04CF" w14:paraId="07F1FD28" w14:textId="3806ECBE">
            <w:pPr>
              <w:jc w:val="right"/>
              <w:rPr>
                <w:rFonts w:ascii="Times New Roman" w:hAnsi="Times New Roman"/>
              </w:rPr>
            </w:pPr>
            <w:r w:rsidRPr="003F04CF">
              <w:rPr>
                <w:rFonts w:ascii="Times New Roman" w:hAnsi="Times New Roman"/>
                <w:bCs/>
              </w:rPr>
              <w:t>6</w:t>
            </w:r>
          </w:p>
        </w:tc>
        <w:tc>
          <w:tcPr>
            <w:tcW w:w="1776" w:type="dxa"/>
          </w:tcPr>
          <w:p w:rsidR="003F04CF" w:rsidRPr="003F04CF" w:rsidP="003F04CF" w14:paraId="6989904A" w14:textId="1F467899">
            <w:pPr>
              <w:jc w:val="right"/>
              <w:rPr>
                <w:rFonts w:ascii="Times New Roman" w:hAnsi="Times New Roman"/>
              </w:rPr>
            </w:pPr>
            <w:r w:rsidRPr="003F04CF">
              <w:rPr>
                <w:rFonts w:ascii="Times New Roman" w:hAnsi="Times New Roman"/>
              </w:rPr>
              <w:t>$</w:t>
            </w:r>
            <w:r w:rsidR="000B163C">
              <w:rPr>
                <w:rFonts w:ascii="Times New Roman" w:hAnsi="Times New Roman"/>
              </w:rPr>
              <w:t>1,125,464</w:t>
            </w:r>
            <w:r w:rsidRPr="003F04CF">
              <w:rPr>
                <w:rFonts w:ascii="Times New Roman" w:hAnsi="Times New Roman"/>
              </w:rPr>
              <w:t>***</w:t>
            </w:r>
          </w:p>
        </w:tc>
      </w:tr>
      <w:tr w14:paraId="55B80CDA" w14:textId="77777777" w:rsidTr="003F04CF">
        <w:tblPrEx>
          <w:tblW w:w="11700" w:type="dxa"/>
          <w:tblInd w:w="-1422" w:type="dxa"/>
          <w:tblLook w:val="04A0"/>
        </w:tblPrEx>
        <w:tc>
          <w:tcPr>
            <w:tcW w:w="1530" w:type="dxa"/>
          </w:tcPr>
          <w:p w:rsidR="003F04CF" w:rsidRPr="003F04CF" w:rsidP="003F04CF" w14:paraId="61789514" w14:textId="02E749C7">
            <w:pPr>
              <w:rPr>
                <w:rFonts w:ascii="Times New Roman" w:hAnsi="Times New Roman"/>
              </w:rPr>
            </w:pPr>
            <w:r w:rsidRPr="003F04CF">
              <w:rPr>
                <w:rFonts w:ascii="Times New Roman" w:hAnsi="Times New Roman"/>
              </w:rPr>
              <w:t xml:space="preserve">Respondents requesting </w:t>
            </w:r>
            <w:r w:rsidR="008061AD">
              <w:rPr>
                <w:rFonts w:ascii="Times New Roman" w:hAnsi="Times New Roman"/>
              </w:rPr>
              <w:t>sensitive services</w:t>
            </w:r>
            <w:r w:rsidRPr="003F04CF">
              <w:rPr>
                <w:rFonts w:ascii="Times New Roman" w:hAnsi="Times New Roman"/>
              </w:rPr>
              <w:t xml:space="preserve"> in a field office who need identity proofing via SAP </w:t>
            </w:r>
          </w:p>
        </w:tc>
        <w:tc>
          <w:tcPr>
            <w:tcW w:w="1530" w:type="dxa"/>
          </w:tcPr>
          <w:p w:rsidR="003F04CF" w:rsidRPr="003F04CF" w:rsidP="003F04CF" w14:paraId="69FC05A4" w14:textId="3251BAF3">
            <w:pPr>
              <w:jc w:val="right"/>
              <w:rPr>
                <w:rFonts w:ascii="Times New Roman" w:hAnsi="Times New Roman"/>
              </w:rPr>
            </w:pPr>
            <w:r>
              <w:rPr>
                <w:rFonts w:ascii="Times New Roman" w:hAnsi="Times New Roman"/>
              </w:rPr>
              <w:t>344,605</w:t>
            </w:r>
            <w:r w:rsidRPr="003F04CF">
              <w:rPr>
                <w:rFonts w:ascii="Times New Roman" w:hAnsi="Times New Roman"/>
                <w:vertAlign w:val="superscript"/>
              </w:rPr>
              <w:t>++</w:t>
            </w:r>
          </w:p>
        </w:tc>
        <w:tc>
          <w:tcPr>
            <w:tcW w:w="1440" w:type="dxa"/>
          </w:tcPr>
          <w:p w:rsidR="003F04CF" w:rsidRPr="003F04CF" w:rsidP="003F04CF" w14:paraId="04715B91" w14:textId="71B27860">
            <w:pPr>
              <w:jc w:val="right"/>
              <w:rPr>
                <w:rFonts w:ascii="Times New Roman" w:hAnsi="Times New Roman"/>
              </w:rPr>
            </w:pPr>
            <w:r w:rsidRPr="003F04CF">
              <w:rPr>
                <w:rFonts w:ascii="Times New Roman" w:hAnsi="Times New Roman"/>
                <w:bCs/>
              </w:rPr>
              <w:t>1</w:t>
            </w:r>
          </w:p>
        </w:tc>
        <w:tc>
          <w:tcPr>
            <w:tcW w:w="1274" w:type="dxa"/>
          </w:tcPr>
          <w:p w:rsidR="003F04CF" w:rsidRPr="003F04CF" w:rsidP="003F04CF" w14:paraId="66C0EBCA" w14:textId="77777777">
            <w:pPr>
              <w:pStyle w:val="ListParagraph"/>
              <w:ind w:left="0"/>
              <w:jc w:val="right"/>
              <w:rPr>
                <w:rFonts w:ascii="Times New Roman" w:hAnsi="Times New Roman"/>
              </w:rPr>
            </w:pPr>
            <w:r w:rsidRPr="003F04CF">
              <w:rPr>
                <w:rFonts w:ascii="Times New Roman" w:hAnsi="Times New Roman"/>
              </w:rPr>
              <w:t>10</w:t>
            </w:r>
            <w:r w:rsidRPr="003F04CF">
              <w:rPr>
                <w:rFonts w:ascii="Times New Roman" w:hAnsi="Times New Roman"/>
                <w:vertAlign w:val="superscript"/>
              </w:rPr>
              <w:t>+</w:t>
            </w:r>
          </w:p>
          <w:p w:rsidR="003F04CF" w:rsidRPr="003F04CF" w:rsidP="003F04CF" w14:paraId="0BD28E3D" w14:textId="77777777">
            <w:pPr>
              <w:jc w:val="right"/>
              <w:rPr>
                <w:rFonts w:ascii="Times New Roman" w:hAnsi="Times New Roman"/>
              </w:rPr>
            </w:pPr>
          </w:p>
        </w:tc>
        <w:tc>
          <w:tcPr>
            <w:tcW w:w="1256" w:type="dxa"/>
          </w:tcPr>
          <w:p w:rsidR="003F04CF" w:rsidRPr="003F04CF" w:rsidP="003F04CF" w14:paraId="27A7755B" w14:textId="05BAC7E7">
            <w:pPr>
              <w:jc w:val="right"/>
              <w:rPr>
                <w:rFonts w:ascii="Times New Roman" w:hAnsi="Times New Roman"/>
              </w:rPr>
            </w:pPr>
            <w:r>
              <w:rPr>
                <w:rFonts w:ascii="Times New Roman" w:hAnsi="Times New Roman"/>
                <w:bCs/>
              </w:rPr>
              <w:t>57,434</w:t>
            </w:r>
          </w:p>
        </w:tc>
        <w:tc>
          <w:tcPr>
            <w:tcW w:w="1389" w:type="dxa"/>
          </w:tcPr>
          <w:p w:rsidR="003F04CF" w:rsidRPr="003F04CF" w:rsidP="003F04CF" w14:paraId="5E4DEA91" w14:textId="5489F1C0">
            <w:pPr>
              <w:jc w:val="right"/>
              <w:rPr>
                <w:rFonts w:ascii="Times New Roman" w:hAnsi="Times New Roman"/>
              </w:rPr>
            </w:pPr>
            <w:r w:rsidRPr="003F04CF">
              <w:rPr>
                <w:rFonts w:ascii="Times New Roman" w:hAnsi="Times New Roman"/>
              </w:rPr>
              <w:t>$32.66*</w:t>
            </w:r>
          </w:p>
        </w:tc>
        <w:tc>
          <w:tcPr>
            <w:tcW w:w="1505" w:type="dxa"/>
          </w:tcPr>
          <w:p w:rsidR="003F04CF" w:rsidRPr="003F04CF" w:rsidP="003F04CF" w14:paraId="6E2C9397" w14:textId="4B0C4384">
            <w:pPr>
              <w:jc w:val="right"/>
              <w:rPr>
                <w:rFonts w:ascii="Times New Roman" w:hAnsi="Times New Roman"/>
              </w:rPr>
            </w:pPr>
            <w:r w:rsidRPr="003F04CF">
              <w:rPr>
                <w:rFonts w:ascii="Times New Roman" w:hAnsi="Times New Roman"/>
                <w:bCs/>
              </w:rPr>
              <w:t>23</w:t>
            </w:r>
          </w:p>
        </w:tc>
        <w:tc>
          <w:tcPr>
            <w:tcW w:w="1776" w:type="dxa"/>
          </w:tcPr>
          <w:p w:rsidR="003F04CF" w:rsidRPr="003F04CF" w:rsidP="003F04CF" w14:paraId="3F26FCAB" w14:textId="70EBACB7">
            <w:pPr>
              <w:jc w:val="right"/>
              <w:rPr>
                <w:rFonts w:ascii="Times New Roman" w:hAnsi="Times New Roman"/>
              </w:rPr>
            </w:pPr>
            <w:r w:rsidRPr="003F04CF">
              <w:rPr>
                <w:rFonts w:ascii="Times New Roman" w:hAnsi="Times New Roman"/>
              </w:rPr>
              <w:t>$</w:t>
            </w:r>
            <w:r w:rsidR="000B163C">
              <w:rPr>
                <w:rFonts w:ascii="Times New Roman" w:hAnsi="Times New Roman"/>
              </w:rPr>
              <w:t>6,190,148</w:t>
            </w:r>
            <w:r w:rsidRPr="003F04CF">
              <w:rPr>
                <w:rFonts w:ascii="Times New Roman" w:hAnsi="Times New Roman"/>
              </w:rPr>
              <w:t>***</w:t>
            </w:r>
          </w:p>
        </w:tc>
      </w:tr>
      <w:tr w14:paraId="2F92C988" w14:textId="77777777" w:rsidTr="003F04CF">
        <w:tblPrEx>
          <w:tblW w:w="11700" w:type="dxa"/>
          <w:tblInd w:w="-1422" w:type="dxa"/>
          <w:tblLook w:val="04A0"/>
        </w:tblPrEx>
        <w:tc>
          <w:tcPr>
            <w:tcW w:w="1530" w:type="dxa"/>
          </w:tcPr>
          <w:p w:rsidR="003F04CF" w:rsidRPr="003F04CF" w:rsidP="003F04CF" w14:paraId="10D1F425" w14:textId="49E90CF4">
            <w:pPr>
              <w:rPr>
                <w:rFonts w:ascii="Times New Roman" w:hAnsi="Times New Roman"/>
              </w:rPr>
            </w:pPr>
            <w:r w:rsidRPr="003F04CF">
              <w:rPr>
                <w:rFonts w:ascii="Times New Roman" w:hAnsi="Times New Roman"/>
              </w:rPr>
              <w:t>Respondents who decline to use SAP and visit a field office for in-person identity proofing</w:t>
            </w:r>
          </w:p>
        </w:tc>
        <w:tc>
          <w:tcPr>
            <w:tcW w:w="1530" w:type="dxa"/>
          </w:tcPr>
          <w:p w:rsidR="003F04CF" w:rsidRPr="003F04CF" w:rsidP="003F04CF" w14:paraId="618FE6F6" w14:textId="30737041">
            <w:pPr>
              <w:jc w:val="right"/>
              <w:rPr>
                <w:rFonts w:ascii="Times New Roman" w:hAnsi="Times New Roman"/>
              </w:rPr>
            </w:pPr>
            <w:r>
              <w:rPr>
                <w:rFonts w:ascii="Times New Roman" w:hAnsi="Times New Roman"/>
              </w:rPr>
              <w:t>3,445,360</w:t>
            </w:r>
          </w:p>
        </w:tc>
        <w:tc>
          <w:tcPr>
            <w:tcW w:w="1440" w:type="dxa"/>
          </w:tcPr>
          <w:p w:rsidR="003F04CF" w:rsidRPr="003F04CF" w:rsidP="003F04CF" w14:paraId="689C5C0F" w14:textId="3DD6E5E3">
            <w:pPr>
              <w:jc w:val="right"/>
              <w:rPr>
                <w:rFonts w:ascii="Times New Roman" w:hAnsi="Times New Roman"/>
              </w:rPr>
            </w:pPr>
            <w:r w:rsidRPr="003F04CF">
              <w:rPr>
                <w:rFonts w:ascii="Times New Roman" w:hAnsi="Times New Roman"/>
                <w:bCs/>
              </w:rPr>
              <w:t>1</w:t>
            </w:r>
          </w:p>
        </w:tc>
        <w:tc>
          <w:tcPr>
            <w:tcW w:w="1274" w:type="dxa"/>
          </w:tcPr>
          <w:p w:rsidR="003F04CF" w:rsidRPr="003F04CF" w:rsidP="003F04CF" w14:paraId="51848C7B" w14:textId="783E1A2A">
            <w:pPr>
              <w:jc w:val="right"/>
              <w:rPr>
                <w:rFonts w:ascii="Times New Roman" w:hAnsi="Times New Roman"/>
              </w:rPr>
            </w:pPr>
            <w:r w:rsidRPr="003F04CF">
              <w:rPr>
                <w:rFonts w:ascii="Times New Roman" w:hAnsi="Times New Roman"/>
              </w:rPr>
              <w:t>8</w:t>
            </w:r>
          </w:p>
        </w:tc>
        <w:tc>
          <w:tcPr>
            <w:tcW w:w="1256" w:type="dxa"/>
          </w:tcPr>
          <w:p w:rsidR="003F04CF" w:rsidRPr="003F04CF" w:rsidP="003F04CF" w14:paraId="650E2D23" w14:textId="1752299D">
            <w:pPr>
              <w:jc w:val="right"/>
              <w:rPr>
                <w:rFonts w:ascii="Times New Roman" w:hAnsi="Times New Roman"/>
              </w:rPr>
            </w:pPr>
            <w:r>
              <w:rPr>
                <w:rFonts w:ascii="Times New Roman" w:hAnsi="Times New Roman"/>
              </w:rPr>
              <w:t>459,381</w:t>
            </w:r>
          </w:p>
        </w:tc>
        <w:tc>
          <w:tcPr>
            <w:tcW w:w="1389" w:type="dxa"/>
          </w:tcPr>
          <w:p w:rsidR="003F04CF" w:rsidRPr="003F04CF" w:rsidP="003F04CF" w14:paraId="6BE68B7A" w14:textId="76EF2156">
            <w:pPr>
              <w:jc w:val="right"/>
              <w:rPr>
                <w:rFonts w:ascii="Times New Roman" w:hAnsi="Times New Roman"/>
              </w:rPr>
            </w:pPr>
            <w:r w:rsidRPr="003F04CF">
              <w:rPr>
                <w:rFonts w:ascii="Times New Roman" w:hAnsi="Times New Roman"/>
              </w:rPr>
              <w:t>$32.66*</w:t>
            </w:r>
          </w:p>
        </w:tc>
        <w:tc>
          <w:tcPr>
            <w:tcW w:w="1505" w:type="dxa"/>
          </w:tcPr>
          <w:p w:rsidR="003F04CF" w:rsidRPr="003F04CF" w:rsidP="003F04CF" w14:paraId="0681B984" w14:textId="4EDEC565">
            <w:pPr>
              <w:jc w:val="right"/>
              <w:rPr>
                <w:rFonts w:ascii="Times New Roman" w:hAnsi="Times New Roman"/>
              </w:rPr>
            </w:pPr>
            <w:r w:rsidRPr="003F04CF">
              <w:rPr>
                <w:rFonts w:ascii="Times New Roman" w:hAnsi="Times New Roman"/>
                <w:bCs/>
              </w:rPr>
              <w:t>23</w:t>
            </w:r>
          </w:p>
        </w:tc>
        <w:tc>
          <w:tcPr>
            <w:tcW w:w="1776" w:type="dxa"/>
          </w:tcPr>
          <w:p w:rsidR="003F04CF" w:rsidRPr="003F04CF" w:rsidP="003F04CF" w14:paraId="39B6A989" w14:textId="087C3CB0">
            <w:pPr>
              <w:jc w:val="right"/>
              <w:rPr>
                <w:rFonts w:ascii="Times New Roman" w:hAnsi="Times New Roman"/>
              </w:rPr>
            </w:pPr>
            <w:r w:rsidRPr="003F04CF">
              <w:rPr>
                <w:rFonts w:ascii="Times New Roman" w:hAnsi="Times New Roman"/>
              </w:rPr>
              <w:t>$</w:t>
            </w:r>
            <w:r w:rsidR="0052475C">
              <w:rPr>
                <w:rFonts w:ascii="Times New Roman" w:hAnsi="Times New Roman"/>
              </w:rPr>
              <w:t>58,138,131</w:t>
            </w:r>
            <w:r w:rsidRPr="003F04CF">
              <w:rPr>
                <w:rFonts w:ascii="Times New Roman" w:hAnsi="Times New Roman"/>
              </w:rPr>
              <w:t>***</w:t>
            </w:r>
          </w:p>
        </w:tc>
      </w:tr>
      <w:tr w14:paraId="6CD87A47" w14:textId="77777777" w:rsidTr="003F04CF">
        <w:tblPrEx>
          <w:tblW w:w="11700" w:type="dxa"/>
          <w:tblInd w:w="-1422" w:type="dxa"/>
          <w:tblLook w:val="04A0"/>
        </w:tblPrEx>
        <w:tc>
          <w:tcPr>
            <w:tcW w:w="1530" w:type="dxa"/>
          </w:tcPr>
          <w:p w:rsidR="003F04CF" w:rsidRPr="0052475C" w:rsidP="003F04CF" w14:paraId="0875D8F0" w14:textId="4FFB1DF2">
            <w:pPr>
              <w:rPr>
                <w:rFonts w:ascii="Times New Roman" w:hAnsi="Times New Roman"/>
              </w:rPr>
            </w:pPr>
            <w:r w:rsidRPr="0052475C">
              <w:rPr>
                <w:rFonts w:ascii="Times New Roman" w:hAnsi="Times New Roman"/>
                <w:b/>
                <w:bCs/>
              </w:rPr>
              <w:t>Totals</w:t>
            </w:r>
          </w:p>
        </w:tc>
        <w:tc>
          <w:tcPr>
            <w:tcW w:w="1530" w:type="dxa"/>
          </w:tcPr>
          <w:p w:rsidR="003F04CF" w:rsidRPr="0052475C" w:rsidP="003F04CF" w14:paraId="2C101600" w14:textId="48FA7B57">
            <w:pPr>
              <w:jc w:val="right"/>
              <w:rPr>
                <w:rFonts w:ascii="Times New Roman" w:hAnsi="Times New Roman"/>
              </w:rPr>
            </w:pPr>
            <w:r w:rsidRPr="0052475C">
              <w:rPr>
                <w:rFonts w:ascii="Times New Roman" w:hAnsi="Times New Roman"/>
                <w:b/>
                <w:bCs/>
              </w:rPr>
              <w:t>7,442,778</w:t>
            </w:r>
          </w:p>
        </w:tc>
        <w:tc>
          <w:tcPr>
            <w:tcW w:w="1440" w:type="dxa"/>
          </w:tcPr>
          <w:p w:rsidR="003F04CF" w:rsidRPr="0052475C" w:rsidP="003F04CF" w14:paraId="0028DB4A" w14:textId="77777777">
            <w:pPr>
              <w:jc w:val="right"/>
              <w:rPr>
                <w:rFonts w:ascii="Times New Roman" w:hAnsi="Times New Roman"/>
              </w:rPr>
            </w:pPr>
          </w:p>
        </w:tc>
        <w:tc>
          <w:tcPr>
            <w:tcW w:w="1274" w:type="dxa"/>
          </w:tcPr>
          <w:p w:rsidR="003F04CF" w:rsidRPr="0052475C" w:rsidP="003F04CF" w14:paraId="3A715ED4" w14:textId="77777777">
            <w:pPr>
              <w:jc w:val="right"/>
              <w:rPr>
                <w:rFonts w:ascii="Times New Roman" w:hAnsi="Times New Roman"/>
              </w:rPr>
            </w:pPr>
          </w:p>
        </w:tc>
        <w:tc>
          <w:tcPr>
            <w:tcW w:w="1256" w:type="dxa"/>
          </w:tcPr>
          <w:p w:rsidR="003F04CF" w:rsidRPr="00456D82" w:rsidP="003F04CF" w14:paraId="2A4FC6A8" w14:textId="18DE86E1">
            <w:pPr>
              <w:jc w:val="right"/>
              <w:rPr>
                <w:rFonts w:ascii="Times New Roman" w:hAnsi="Times New Roman"/>
                <w:b/>
                <w:bCs/>
              </w:rPr>
            </w:pPr>
            <w:r w:rsidRPr="00456D82">
              <w:rPr>
                <w:rFonts w:ascii="Times New Roman" w:hAnsi="Times New Roman"/>
                <w:b/>
                <w:bCs/>
              </w:rPr>
              <w:t>990,072</w:t>
            </w:r>
          </w:p>
        </w:tc>
        <w:tc>
          <w:tcPr>
            <w:tcW w:w="1389" w:type="dxa"/>
          </w:tcPr>
          <w:p w:rsidR="003F04CF" w:rsidRPr="0052475C" w:rsidP="003F04CF" w14:paraId="5184E283" w14:textId="77777777">
            <w:pPr>
              <w:jc w:val="right"/>
              <w:rPr>
                <w:rFonts w:ascii="Times New Roman" w:hAnsi="Times New Roman"/>
              </w:rPr>
            </w:pPr>
          </w:p>
        </w:tc>
        <w:tc>
          <w:tcPr>
            <w:tcW w:w="1505" w:type="dxa"/>
          </w:tcPr>
          <w:p w:rsidR="003F04CF" w:rsidRPr="0052475C" w:rsidP="003F04CF" w14:paraId="71F2A05E" w14:textId="77777777">
            <w:pPr>
              <w:jc w:val="right"/>
              <w:rPr>
                <w:rFonts w:ascii="Times New Roman" w:hAnsi="Times New Roman"/>
              </w:rPr>
            </w:pPr>
          </w:p>
        </w:tc>
        <w:tc>
          <w:tcPr>
            <w:tcW w:w="1776" w:type="dxa"/>
          </w:tcPr>
          <w:p w:rsidR="003F04CF" w:rsidRPr="0052475C" w:rsidP="003F04CF" w14:paraId="03FF1BC1" w14:textId="7D26E89E">
            <w:pPr>
              <w:jc w:val="right"/>
              <w:rPr>
                <w:rFonts w:ascii="Times New Roman" w:hAnsi="Times New Roman"/>
              </w:rPr>
            </w:pPr>
            <w:r w:rsidRPr="0052475C">
              <w:rPr>
                <w:rFonts w:ascii="Times New Roman" w:hAnsi="Times New Roman"/>
                <w:b/>
                <w:bCs/>
              </w:rPr>
              <w:t>$</w:t>
            </w:r>
            <w:r w:rsidRPr="0052475C" w:rsidR="0052475C">
              <w:rPr>
                <w:rFonts w:ascii="Times New Roman" w:hAnsi="Times New Roman"/>
                <w:b/>
                <w:bCs/>
              </w:rPr>
              <w:t>91,714,930</w:t>
            </w:r>
            <w:r w:rsidRPr="0052475C">
              <w:rPr>
                <w:rFonts w:ascii="Times New Roman" w:hAnsi="Times New Roman"/>
                <w:b/>
                <w:bCs/>
              </w:rPr>
              <w:t>***</w:t>
            </w:r>
          </w:p>
        </w:tc>
      </w:tr>
    </w:tbl>
    <w:p w:rsidR="003F04CF" w:rsidRPr="0052475C" w:rsidP="003F04CF" w14:paraId="1770FD86" w14:textId="3092D7F5">
      <w:pPr>
        <w:rPr>
          <w:rFonts w:ascii="Times New Roman" w:eastAsia="Calibri" w:hAnsi="Times New Roman"/>
        </w:rPr>
      </w:pPr>
      <w:r w:rsidRPr="0052475C">
        <w:rPr>
          <w:rFonts w:ascii="Times New Roman" w:eastAsia="Calibri" w:hAnsi="Times New Roman"/>
          <w:vertAlign w:val="superscript"/>
        </w:rPr>
        <w:t>+</w:t>
      </w:r>
      <w:r w:rsidRPr="0052475C">
        <w:rPr>
          <w:rFonts w:ascii="Times New Roman" w:eastAsia="Calibri" w:hAnsi="Times New Roman"/>
        </w:rPr>
        <w:t xml:space="preserve"> Note:  this figure does not include the knowledge-based questions; however, we will use this figure in place of the knowledge-based question figure currently listed under OMB No. 0960-0789 for telephone respondents.</w:t>
      </w:r>
    </w:p>
    <w:p w:rsidR="0052475C" w:rsidRPr="0052475C" w:rsidP="003F04CF" w14:paraId="4E358B86" w14:textId="77777777">
      <w:pPr>
        <w:rPr>
          <w:rFonts w:ascii="Times New Roman" w:eastAsia="Calibri" w:hAnsi="Times New Roman"/>
        </w:rPr>
      </w:pPr>
    </w:p>
    <w:p w:rsidR="0052475C" w:rsidP="003F04CF" w14:paraId="0011221A" w14:textId="459137A1">
      <w:pPr>
        <w:rPr>
          <w:rFonts w:ascii="Times New Roman" w:eastAsia="Calibri" w:hAnsi="Times New Roman"/>
        </w:rPr>
      </w:pPr>
      <w:r w:rsidRPr="0052475C">
        <w:rPr>
          <w:rFonts w:ascii="Times New Roman" w:eastAsia="Calibri" w:hAnsi="Times New Roman"/>
          <w:vertAlign w:val="superscript"/>
        </w:rPr>
        <w:t xml:space="preserve">++ </w:t>
      </w:r>
      <w:r w:rsidRPr="0052475C">
        <w:rPr>
          <w:rFonts w:ascii="Times New Roman" w:eastAsia="Calibri" w:hAnsi="Times New Roman"/>
        </w:rPr>
        <w:t xml:space="preserve">We note that some of these respondents may already have </w:t>
      </w:r>
      <w:r w:rsidRPr="0052475C">
        <w:rPr>
          <w:rFonts w:ascii="Times New Roman" w:eastAsia="Calibri" w:hAnsi="Times New Roman"/>
          <w:i/>
          <w:iCs/>
        </w:rPr>
        <w:t>my</w:t>
      </w:r>
      <w:r w:rsidRPr="0052475C">
        <w:rPr>
          <w:rFonts w:ascii="Times New Roman" w:eastAsia="Calibri" w:hAnsi="Times New Roman"/>
        </w:rPr>
        <w:t xml:space="preserve"> Social Security accounts.  For the purposes of this Emergency Clearance, we will assume they need to create an account which is why they needed to go into the field office, and we account for burden to create an account under OMB No. 0960-0789.</w:t>
      </w:r>
    </w:p>
    <w:p w:rsidR="0052475C" w:rsidRPr="0052475C" w:rsidP="003F04CF" w14:paraId="48D28606" w14:textId="77777777">
      <w:pPr>
        <w:rPr>
          <w:rFonts w:ascii="Times New Roman" w:eastAsia="Calibri" w:hAnsi="Times New Roman"/>
        </w:rPr>
      </w:pPr>
    </w:p>
    <w:p w:rsidR="0052475C" w:rsidRPr="0052475C" w:rsidP="003F04CF" w14:paraId="1088A7AD" w14:textId="71577CBA">
      <w:pPr>
        <w:rPr>
          <w:rFonts w:ascii="Times New Roman" w:hAnsi="Times New Roman"/>
        </w:rPr>
      </w:pPr>
      <w:r w:rsidRPr="0052475C">
        <w:rPr>
          <w:rFonts w:ascii="Times New Roman" w:eastAsia="Calibri" w:hAnsi="Times New Roman"/>
        </w:rPr>
        <w:t>* We based this figure on the average U.S. worker’s hourly wages, as reported by Bureau of Labor Statistics data (</w:t>
      </w:r>
      <w:hyperlink r:id="rId4" w:anchor="/industry/000000" w:history="1">
        <w:r w:rsidRPr="0052475C">
          <w:rPr>
            <w:rStyle w:val="Hyperlink"/>
            <w:rFonts w:ascii="Times New Roman" w:eastAsia="Calibri" w:hAnsi="Times New Roman"/>
          </w:rPr>
          <w:t>Occupational Employment and Wage Statistics</w:t>
        </w:r>
      </w:hyperlink>
      <w:r w:rsidRPr="0052475C">
        <w:rPr>
          <w:rFonts w:ascii="Times New Roman" w:eastAsia="Calibri" w:hAnsi="Times New Roman"/>
        </w:rPr>
        <w:t>)</w:t>
      </w:r>
      <w:r w:rsidRPr="0052475C">
        <w:rPr>
          <w:rFonts w:ascii="Times New Roman" w:hAnsi="Times New Roman"/>
        </w:rPr>
        <w:t>.</w:t>
      </w:r>
    </w:p>
    <w:p w:rsidR="0052475C" w:rsidRPr="0052475C" w:rsidP="003F04CF" w14:paraId="2D1D8BD6" w14:textId="77777777">
      <w:pPr>
        <w:rPr>
          <w:rFonts w:ascii="Times New Roman" w:hAnsi="Times New Roman"/>
        </w:rPr>
      </w:pPr>
    </w:p>
    <w:p w:rsidR="0052475C" w:rsidRPr="0052475C" w:rsidP="003F04CF" w14:paraId="125F01C6" w14:textId="5306C7BD">
      <w:pPr>
        <w:rPr>
          <w:rFonts w:ascii="Times New Roman" w:hAnsi="Times New Roman"/>
        </w:rPr>
      </w:pPr>
      <w:r w:rsidRPr="0052475C">
        <w:rPr>
          <w:rFonts w:ascii="Times New Roman" w:hAnsi="Times New Roman"/>
        </w:rPr>
        <w:t>** We based this figure on the average FY 2025 wait times for the teleservice centers and field offices dedicated direct deposit queue, as well as the combined wait time for the dedicated queue, based on SSA’s current management information data.</w:t>
      </w:r>
    </w:p>
    <w:p w:rsidR="0052475C" w:rsidRPr="0052475C" w:rsidP="003F04CF" w14:paraId="42865C64" w14:textId="77777777">
      <w:pPr>
        <w:rPr>
          <w:rFonts w:ascii="Times New Roman" w:hAnsi="Times New Roman"/>
        </w:rPr>
      </w:pPr>
    </w:p>
    <w:p w:rsidR="0052475C" w:rsidRPr="0052475C" w:rsidP="003F04CF" w14:paraId="29CB215C" w14:textId="63A4069B">
      <w:pPr>
        <w:rPr>
          <w:rFonts w:ascii="Times New Roman" w:hAnsi="Times New Roman"/>
          <w:bCs/>
        </w:rPr>
      </w:pPr>
      <w:r w:rsidRPr="0052475C">
        <w:rPr>
          <w:rFonts w:ascii="Times New Roman" w:hAnsi="Times New Roman"/>
        </w:rPr>
        <w:t>**</w:t>
      </w:r>
      <w:bookmarkStart w:id="0" w:name="_Hlk95396147"/>
      <w:r w:rsidRPr="0052475C">
        <w:rPr>
          <w:rFonts w:ascii="Times New Roman" w:hAnsi="Times New Roman"/>
        </w:rPr>
        <w:t xml:space="preserve">*This figure does not represent actual costs that SSA is imposing on recipients of Social Security payments to complete this online tool; rather, these are theoretical opportunity costs for the additional time respondents will spend to complete the tool. </w:t>
      </w:r>
      <w:r w:rsidRPr="0052475C">
        <w:rPr>
          <w:rFonts w:ascii="Times New Roman" w:hAnsi="Times New Roman"/>
          <w:b/>
          <w:u w:val="single"/>
        </w:rPr>
        <w:t>There is no actual charge to respondents to complete the online tool</w:t>
      </w:r>
      <w:bookmarkEnd w:id="0"/>
      <w:r w:rsidRPr="0052475C">
        <w:rPr>
          <w:rFonts w:ascii="Times New Roman" w:hAnsi="Times New Roman"/>
          <w:bCs/>
        </w:rPr>
        <w:t>.</w:t>
      </w:r>
    </w:p>
    <w:p w:rsidR="00262B15" w:rsidP="00262B15" w14:paraId="77FA3588" w14:textId="0BC1CBE4">
      <w:pPr>
        <w:ind w:left="360"/>
        <w:rPr>
          <w:rFonts w:ascii="Times New Roman" w:hAnsi="Times New Roman"/>
          <w:snapToGrid w:val="0"/>
        </w:rPr>
      </w:pPr>
    </w:p>
    <w:p w:rsidR="00262B15" w:rsidP="0052475C" w14:paraId="54E4A3BB" w14:textId="77777777">
      <w:pPr>
        <w:pStyle w:val="ListParagraph"/>
        <w:ind w:left="0"/>
        <w:rPr>
          <w:rFonts w:ascii="Times New Roman" w:hAnsi="Times New Roman"/>
          <w:snapToGrid w:val="0"/>
        </w:rPr>
      </w:pPr>
    </w:p>
    <w:p w:rsidR="0052475C" w:rsidP="0052475C" w14:paraId="1D3F3269" w14:textId="3871BD54">
      <w:pPr>
        <w:pStyle w:val="ListParagraph"/>
        <w:ind w:left="0"/>
        <w:rPr>
          <w:rFonts w:ascii="Times New Roman" w:hAnsi="Times New Roman"/>
          <w:snapToGrid w:val="0"/>
        </w:rPr>
      </w:pPr>
      <w:r>
        <w:rPr>
          <w:rFonts w:ascii="Times New Roman" w:hAnsi="Times New Roman"/>
          <w:snapToGrid w:val="0"/>
        </w:rPr>
        <w:t>SSA will implement the SAP process for the additional four telephone services listed above upon OMB’s approval.</w:t>
      </w:r>
    </w:p>
    <w:p w:rsidR="0052475C" w:rsidP="0052475C" w14:paraId="03F18AB6" w14:textId="77777777">
      <w:pPr>
        <w:pStyle w:val="ListParagraph"/>
        <w:ind w:left="0"/>
        <w:rPr>
          <w:rFonts w:ascii="Times New Roman" w:hAnsi="Times New Roman"/>
          <w:snapToGrid w:val="0"/>
        </w:rPr>
      </w:pPr>
    </w:p>
    <w:p w:rsidR="0052475C" w:rsidP="0052475C" w14:paraId="4B59CE8B" w14:textId="54F6371C">
      <w:pPr>
        <w:pStyle w:val="ListParagraph"/>
        <w:ind w:left="0"/>
        <w:rPr>
          <w:rFonts w:ascii="Times New Roman" w:hAnsi="Times New Roman"/>
          <w:snapToGrid w:val="0"/>
        </w:rPr>
      </w:pPr>
      <w:r>
        <w:rPr>
          <w:rFonts w:ascii="Times New Roman" w:hAnsi="Times New Roman"/>
          <w:snapToGrid w:val="0"/>
        </w:rPr>
        <w:t xml:space="preserve">Given the current fraud risk for these telephone services, we are requesting OMB approval by </w:t>
      </w:r>
      <w:r w:rsidRPr="0052475C">
        <w:rPr>
          <w:rFonts w:ascii="Times New Roman" w:hAnsi="Times New Roman"/>
          <w:b/>
          <w:bCs/>
          <w:snapToGrid w:val="0"/>
          <w:highlight w:val="yellow"/>
        </w:rPr>
        <w:t>COB, August 15, 2025.</w:t>
      </w:r>
    </w:p>
    <w:p w:rsidR="00330A53" w:rsidP="00C03EDF" w14:paraId="2C710D17" w14:textId="77777777">
      <w:pPr>
        <w:rPr>
          <w:rFonts w:ascii="Times New Roman" w:hAnsi="Times New Roman"/>
          <w:snapToGrid w:val="0"/>
        </w:rPr>
      </w:pPr>
    </w:p>
    <w:p w:rsidR="0052475C" w:rsidP="00C03EDF" w14:paraId="1931ED8C" w14:textId="77777777">
      <w:pPr>
        <w:rPr>
          <w:rFonts w:ascii="Times New Roman" w:hAnsi="Times New Roman"/>
          <w:b/>
          <w:bCs/>
          <w:snapToGrid w:val="0"/>
          <w:u w:val="single"/>
        </w:rPr>
      </w:pPr>
    </w:p>
    <w:p w:rsidR="006746BD" w:rsidP="00C03EDF" w14:paraId="080FF431" w14:textId="55E3A4B1">
      <w:pPr>
        <w:rPr>
          <w:rFonts w:ascii="Times New Roman" w:hAnsi="Times New Roman"/>
          <w:b/>
          <w:bCs/>
          <w:snapToGrid w:val="0"/>
          <w:u w:val="single"/>
        </w:rPr>
      </w:pPr>
      <w:r w:rsidRPr="006746BD">
        <w:rPr>
          <w:rFonts w:ascii="Times New Roman" w:hAnsi="Times New Roman"/>
          <w:b/>
          <w:bCs/>
          <w:snapToGrid w:val="0"/>
          <w:u w:val="single"/>
        </w:rPr>
        <w:t>Justification for Resubmission of the Information Collection Within a Year of Approval</w:t>
      </w:r>
    </w:p>
    <w:p w:rsidR="006746BD" w:rsidRPr="006746BD" w:rsidP="00C03EDF" w14:paraId="67179E31" w14:textId="77777777">
      <w:pPr>
        <w:rPr>
          <w:rFonts w:ascii="Times New Roman" w:hAnsi="Times New Roman"/>
          <w:b/>
          <w:bCs/>
          <w:snapToGrid w:val="0"/>
          <w:u w:val="single"/>
        </w:rPr>
      </w:pPr>
    </w:p>
    <w:p w:rsidR="00855A2B" w:rsidP="00C03EDF" w14:paraId="3620B1C2" w14:textId="24FC37FE">
      <w:pPr>
        <w:rPr>
          <w:rFonts w:ascii="Times New Roman" w:hAnsi="Times New Roman"/>
          <w:snapToGrid w:val="0"/>
        </w:rPr>
      </w:pPr>
      <w:r>
        <w:rPr>
          <w:rFonts w:ascii="Times New Roman" w:hAnsi="Times New Roman"/>
          <w:snapToGrid w:val="0"/>
        </w:rPr>
        <w:t xml:space="preserve">We are currently in the process of renewing the OMB approval for </w:t>
      </w:r>
      <w:r>
        <w:rPr>
          <w:rFonts w:ascii="Times New Roman" w:hAnsi="Times New Roman"/>
          <w:bCs/>
          <w:snapToGrid w:val="0"/>
        </w:rPr>
        <w:t xml:space="preserve">the </w:t>
      </w:r>
      <w:r w:rsidRPr="002E3631">
        <w:rPr>
          <w:rFonts w:ascii="Times New Roman" w:hAnsi="Times New Roman"/>
          <w:i/>
          <w:iCs/>
          <w:color w:val="E01F25"/>
        </w:rPr>
        <w:t>my</w:t>
      </w:r>
      <w:r w:rsidRPr="002E3631">
        <w:rPr>
          <w:rFonts w:ascii="Times New Roman" w:hAnsi="Times New Roman"/>
        </w:rPr>
        <w:t xml:space="preserve"> </w:t>
      </w:r>
      <w:r w:rsidRPr="002E3631">
        <w:rPr>
          <w:rFonts w:ascii="Times New Roman" w:hAnsi="Times New Roman"/>
          <w:color w:val="0060A0"/>
        </w:rPr>
        <w:t>Social Security</w:t>
      </w:r>
      <w:r w:rsidRPr="002E3631">
        <w:rPr>
          <w:rFonts w:ascii="Times New Roman" w:hAnsi="Times New Roman"/>
        </w:rPr>
        <w:t xml:space="preserve"> – Security Authentication PIN (SAP)</w:t>
      </w:r>
      <w:r>
        <w:rPr>
          <w:rFonts w:ascii="Times New Roman" w:hAnsi="Times New Roman"/>
        </w:rPr>
        <w:t xml:space="preserve">, prior to the expiration date of September 30, </w:t>
      </w:r>
      <w:r>
        <w:rPr>
          <w:rFonts w:ascii="Times New Roman" w:hAnsi="Times New Roman"/>
        </w:rPr>
        <w:t>2025</w:t>
      </w:r>
      <w:r>
        <w:rPr>
          <w:rFonts w:ascii="Times New Roman" w:hAnsi="Times New Roman"/>
        </w:rPr>
        <w:t xml:space="preserve"> for the Emergency approval.</w:t>
      </w:r>
      <w:r>
        <w:rPr>
          <w:rFonts w:ascii="Times New Roman" w:hAnsi="Times New Roman"/>
          <w:snapToGrid w:val="0"/>
        </w:rPr>
        <w:t xml:space="preserve">  However, as SSA recently determined more telephone fraud risk, we are increasing the scope of this information collection now, prior to submitting the full documentation for approval.  SSA feels that the </w:t>
      </w:r>
      <w:r w:rsidR="0038195A">
        <w:rPr>
          <w:rFonts w:ascii="Times New Roman" w:hAnsi="Times New Roman"/>
          <w:snapToGrid w:val="0"/>
        </w:rPr>
        <w:t xml:space="preserve">need to mitigate the fraud risk for these telephone services warrants the need to obtain approval prior to end of the regular approval cycle.  </w:t>
      </w:r>
    </w:p>
    <w:p w:rsidR="0038195A" w:rsidP="00C03EDF" w14:paraId="4013E799" w14:textId="77777777">
      <w:pPr>
        <w:rPr>
          <w:rFonts w:ascii="Times New Roman" w:hAnsi="Times New Roman"/>
          <w:snapToGrid w:val="0"/>
        </w:rPr>
      </w:pPr>
    </w:p>
    <w:p w:rsidR="0038195A" w:rsidP="00C03EDF" w14:paraId="22A07616" w14:textId="2D575E15">
      <w:pPr>
        <w:rPr>
          <w:rFonts w:ascii="Times New Roman" w:hAnsi="Times New Roman"/>
          <w:snapToGrid w:val="0"/>
        </w:rPr>
      </w:pPr>
      <w:r w:rsidRPr="0038195A">
        <w:rPr>
          <w:rFonts w:ascii="Times New Roman" w:hAnsi="Times New Roman"/>
          <w:b/>
          <w:bCs/>
          <w:snapToGrid w:val="0"/>
        </w:rPr>
        <w:t>Note:</w:t>
      </w:r>
      <w:r>
        <w:rPr>
          <w:rFonts w:ascii="Times New Roman" w:hAnsi="Times New Roman"/>
          <w:snapToGrid w:val="0"/>
        </w:rPr>
        <w:t xml:space="preserve">  we will ensure we update the documentation and the 30-day comment period notice with the expanded scope to allow the public to comment </w:t>
      </w:r>
      <w:r w:rsidR="00456D82">
        <w:rPr>
          <w:rFonts w:ascii="Times New Roman" w:hAnsi="Times New Roman"/>
          <w:snapToGrid w:val="0"/>
        </w:rPr>
        <w:t xml:space="preserve">on </w:t>
      </w:r>
      <w:r>
        <w:rPr>
          <w:rFonts w:ascii="Times New Roman" w:hAnsi="Times New Roman"/>
          <w:snapToGrid w:val="0"/>
        </w:rPr>
        <w:t>it before we submit the full information collection request to OMB</w:t>
      </w:r>
      <w:r w:rsidR="00456D82">
        <w:rPr>
          <w:rFonts w:ascii="Times New Roman" w:hAnsi="Times New Roman"/>
          <w:snapToGrid w:val="0"/>
        </w:rPr>
        <w:t xml:space="preserve"> for renewal</w:t>
      </w:r>
      <w:r>
        <w:rPr>
          <w:rFonts w:ascii="Times New Roman" w:hAnsi="Times New Roman"/>
          <w:snapToGrid w:val="0"/>
        </w:rPr>
        <w:t>.</w:t>
      </w:r>
    </w:p>
    <w:p w:rsidR="00330A53" w:rsidP="00C03EDF" w14:paraId="1F502889" w14:textId="77777777">
      <w:pPr>
        <w:rPr>
          <w:rFonts w:ascii="Times New Roman" w:hAnsi="Times New Roman"/>
          <w:snapToGrid w:val="0"/>
        </w:rPr>
      </w:pPr>
    </w:p>
    <w:p w:rsidR="00330A53" w:rsidP="00C03EDF" w14:paraId="612FC711" w14:textId="77777777">
      <w:pPr>
        <w:rPr>
          <w:rFonts w:ascii="Times New Roman" w:hAnsi="Times New Roman"/>
          <w:snapToGrid w:val="0"/>
        </w:rPr>
      </w:pPr>
    </w:p>
    <w:p w:rsidR="00330A53" w:rsidP="00C03EDF" w14:paraId="00F4B2F8" w14:textId="77777777"/>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7F4874"/>
    <w:multiLevelType w:val="hybridMultilevel"/>
    <w:tmpl w:val="80108A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72BB4529"/>
    <w:multiLevelType w:val="hybridMultilevel"/>
    <w:tmpl w:val="F5C641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F083298"/>
    <w:multiLevelType w:val="hybridMultilevel"/>
    <w:tmpl w:val="C3E0E7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423185288">
    <w:abstractNumId w:val="2"/>
  </w:num>
  <w:num w:numId="2" w16cid:durableId="1160734941">
    <w:abstractNumId w:val="0"/>
  </w:num>
  <w:num w:numId="3" w16cid:durableId="1697341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63C"/>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3631"/>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195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72B1"/>
    <w:rsid w:val="003E0BD3"/>
    <w:rsid w:val="003E2ABF"/>
    <w:rsid w:val="003E466D"/>
    <w:rsid w:val="003E553B"/>
    <w:rsid w:val="003F0208"/>
    <w:rsid w:val="003F04CD"/>
    <w:rsid w:val="003F04CF"/>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56D82"/>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75C"/>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6BBD"/>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46BD"/>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061AD"/>
    <w:rsid w:val="00815C7C"/>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18E9"/>
    <w:rsid w:val="009545B6"/>
    <w:rsid w:val="00954B07"/>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C6DFD"/>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87C06"/>
    <w:rsid w:val="00EA13AE"/>
    <w:rsid w:val="00EA259F"/>
    <w:rsid w:val="00EA6B29"/>
    <w:rsid w:val="00EB0A2E"/>
    <w:rsid w:val="00EB122D"/>
    <w:rsid w:val="00EB1C70"/>
    <w:rsid w:val="00EB321A"/>
    <w:rsid w:val="00EB34AA"/>
    <w:rsid w:val="00EC6A7D"/>
    <w:rsid w:val="00EC6CAF"/>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A2545"/>
    <w:rsid w:val="00FA4FEA"/>
    <w:rsid w:val="00FA50CD"/>
    <w:rsid w:val="00FA571A"/>
    <w:rsid w:val="00FA6EF8"/>
    <w:rsid w:val="00FB39FE"/>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4C0169"/>
  <w15:chartTrackingRefBased/>
  <w15:docId w15:val="{A9B55E74-2025-4DDA-8DC3-4B323CDB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link w:val="ListParagraphChar"/>
    <w:uiPriority w:val="34"/>
    <w:qFormat/>
    <w:rsid w:val="00262B15"/>
    <w:pPr>
      <w:ind w:left="720"/>
    </w:pPr>
  </w:style>
  <w:style w:type="table" w:styleId="TableGrid">
    <w:name w:val="Table Grid"/>
    <w:basedOn w:val="TableNormal"/>
    <w:rsid w:val="003F0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3F04CF"/>
    <w:rPr>
      <w:rFonts w:ascii="Courier" w:hAnsi="Courier"/>
      <w:sz w:val="24"/>
      <w:szCs w:val="24"/>
    </w:rPr>
  </w:style>
  <w:style w:type="character" w:styleId="Hyperlink">
    <w:name w:val="Hyperlink"/>
    <w:rsid w:val="005247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ata.bls.gov/oes/"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1069</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ADDENDUM TO SUPPORTING STATEMENT </vt:lpstr>
    </vt:vector>
  </TitlesOfParts>
  <Company>Social Security Administration</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OLP/OLCA/Reports Clearance</cp:lastModifiedBy>
  <cp:revision>3</cp:revision>
  <dcterms:created xsi:type="dcterms:W3CDTF">2025-07-18T14:54:00Z</dcterms:created>
  <dcterms:modified xsi:type="dcterms:W3CDTF">2025-07-18T18:43:00Z</dcterms:modified>
</cp:coreProperties>
</file>