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2A0A" w:rsidP="004E2A0A" w14:paraId="72D631EC" w14:textId="77777777">
      <w:pPr>
        <w:pStyle w:val="Heading1"/>
        <w:spacing w:before="0" w:after="0"/>
        <w:jc w:val="center"/>
        <w:rPr>
          <w:rFonts w:ascii="Times New Roman" w:hAnsi="Times New Roman"/>
          <w:sz w:val="24"/>
          <w:szCs w:val="24"/>
        </w:rPr>
      </w:pPr>
      <w:r w:rsidRPr="004E2A0A">
        <w:rPr>
          <w:rFonts w:ascii="Times New Roman" w:hAnsi="Times New Roman"/>
          <w:sz w:val="24"/>
          <w:szCs w:val="24"/>
        </w:rPr>
        <w:t xml:space="preserve">Addendum to the </w:t>
      </w:r>
      <w:r w:rsidRPr="004E2A0A">
        <w:rPr>
          <w:rFonts w:ascii="Times New Roman" w:hAnsi="Times New Roman"/>
          <w:sz w:val="24"/>
          <w:szCs w:val="24"/>
        </w:rPr>
        <w:t xml:space="preserve">Supporting Statement for </w:t>
      </w:r>
    </w:p>
    <w:p w:rsidR="004E2A0A" w:rsidRPr="004E2A0A" w:rsidP="004E2A0A" w14:paraId="5FF9A363" w14:textId="0AEE4B94">
      <w:pPr>
        <w:pStyle w:val="Heading1"/>
        <w:spacing w:before="0" w:after="0"/>
        <w:jc w:val="center"/>
        <w:rPr>
          <w:rFonts w:ascii="Times New Roman" w:hAnsi="Times New Roman"/>
          <w:sz w:val="24"/>
          <w:szCs w:val="24"/>
        </w:rPr>
      </w:pPr>
      <w:r w:rsidRPr="004E2A0A">
        <w:rPr>
          <w:rFonts w:ascii="Times New Roman" w:hAnsi="Times New Roman"/>
          <w:sz w:val="24"/>
          <w:szCs w:val="24"/>
        </w:rPr>
        <w:t>Emergency Paperwork Reduction Act Approval For:</w:t>
      </w:r>
    </w:p>
    <w:p w:rsidR="004E2A0A" w:rsidRPr="004E2A0A" w:rsidP="004E2A0A" w14:paraId="06FDE9BB" w14:textId="77777777">
      <w:pPr>
        <w:pStyle w:val="Heading1"/>
        <w:spacing w:before="0" w:after="0"/>
        <w:jc w:val="center"/>
        <w:rPr>
          <w:rFonts w:ascii="Times New Roman" w:hAnsi="Times New Roman" w:cs="Times New Roman"/>
          <w:sz w:val="24"/>
          <w:szCs w:val="24"/>
        </w:rPr>
      </w:pPr>
      <w:r w:rsidRPr="004E2A0A">
        <w:rPr>
          <w:rFonts w:ascii="Times New Roman" w:hAnsi="Times New Roman" w:cs="Times New Roman"/>
          <w:i/>
          <w:iCs/>
          <w:color w:val="E01F25"/>
          <w:sz w:val="24"/>
          <w:szCs w:val="24"/>
        </w:rPr>
        <w:t>my</w:t>
      </w:r>
      <w:r w:rsidRPr="004E2A0A">
        <w:rPr>
          <w:rFonts w:ascii="Times New Roman" w:hAnsi="Times New Roman" w:cs="Times New Roman"/>
          <w:sz w:val="24"/>
          <w:szCs w:val="24"/>
        </w:rPr>
        <w:t xml:space="preserve"> </w:t>
      </w:r>
      <w:r w:rsidRPr="004E2A0A">
        <w:rPr>
          <w:rFonts w:ascii="Times New Roman" w:hAnsi="Times New Roman" w:cs="Times New Roman"/>
          <w:color w:val="0060A0"/>
          <w:sz w:val="24"/>
          <w:szCs w:val="24"/>
        </w:rPr>
        <w:t>Social Security</w:t>
      </w:r>
      <w:r w:rsidRPr="004E2A0A">
        <w:rPr>
          <w:rFonts w:ascii="Times New Roman" w:hAnsi="Times New Roman" w:cs="Times New Roman"/>
          <w:sz w:val="24"/>
          <w:szCs w:val="24"/>
        </w:rPr>
        <w:t xml:space="preserve"> – Security Authentication PIN (SAP) </w:t>
      </w:r>
    </w:p>
    <w:p w:rsidR="004E2A0A" w:rsidRPr="004E2A0A" w:rsidP="004E2A0A" w14:paraId="55FC5977" w14:textId="77777777">
      <w:pPr>
        <w:keepNext/>
        <w:widowControl/>
        <w:jc w:val="center"/>
        <w:outlineLvl w:val="2"/>
        <w:rPr>
          <w:rFonts w:ascii="Times New Roman" w:hAnsi="Times New Roman"/>
          <w:b/>
        </w:rPr>
      </w:pPr>
      <w:r w:rsidRPr="004E2A0A">
        <w:rPr>
          <w:rFonts w:ascii="Times New Roman" w:hAnsi="Times New Roman"/>
          <w:b/>
        </w:rPr>
        <w:t>20 CFR 401.45</w:t>
      </w:r>
    </w:p>
    <w:p w:rsidR="004E2A0A" w:rsidRPr="004E2A0A" w:rsidP="004E2A0A" w14:paraId="4D00FC5A" w14:textId="77777777">
      <w:pPr>
        <w:pStyle w:val="Heading1"/>
        <w:spacing w:before="0" w:after="0"/>
        <w:jc w:val="center"/>
        <w:rPr>
          <w:rFonts w:ascii="Times New Roman" w:hAnsi="Times New Roman" w:cs="Times New Roman"/>
          <w:sz w:val="24"/>
          <w:szCs w:val="24"/>
        </w:rPr>
      </w:pPr>
      <w:r w:rsidRPr="004E2A0A">
        <w:rPr>
          <w:rFonts w:ascii="Times New Roman" w:hAnsi="Times New Roman" w:cs="Times New Roman"/>
          <w:sz w:val="24"/>
          <w:szCs w:val="24"/>
        </w:rPr>
        <w:t xml:space="preserve">OMB No. 0960-NEW </w:t>
      </w:r>
    </w:p>
    <w:p w:rsidR="00C03EDF" w:rsidP="004E2A0A" w14:paraId="2E35EA44" w14:textId="39DDE588">
      <w:pPr>
        <w:jc w:val="center"/>
        <w:rPr>
          <w:rFonts w:ascii="Times New Roman" w:hAnsi="Times New Roman"/>
          <w:b/>
        </w:rPr>
      </w:pPr>
      <w:r w:rsidRPr="004E2A0A">
        <w:rPr>
          <w:rFonts w:ascii="Times New Roman" w:hAnsi="Times New Roman"/>
          <w:b/>
        </w:rPr>
        <w:t>Emergency Information Collection Request (ICR)</w:t>
      </w:r>
    </w:p>
    <w:p w:rsidR="004E2A0A" w:rsidRPr="004E2A0A" w:rsidP="004E2A0A" w14:paraId="02ED41E7" w14:textId="77777777">
      <w:pPr>
        <w:jc w:val="center"/>
        <w:rPr>
          <w:rFonts w:ascii="Times New Roman" w:hAnsi="Times New Roman"/>
        </w:rPr>
      </w:pPr>
    </w:p>
    <w:p w:rsidR="00C03EDF" w:rsidP="00C03EDF" w14:paraId="12793CE3" w14:textId="68C0F0E4">
      <w:pPr>
        <w:pStyle w:val="Heading7"/>
      </w:pPr>
      <w:r>
        <w:t>Background</w:t>
      </w:r>
    </w:p>
    <w:p w:rsidR="00C03EDF" w:rsidP="00C03EDF" w14:paraId="502183B7" w14:textId="77777777">
      <w:pPr>
        <w:rPr>
          <w:rFonts w:ascii="Times New Roman" w:hAnsi="Times New Roman"/>
          <w:u w:val="single"/>
        </w:rPr>
      </w:pPr>
    </w:p>
    <w:p w:rsidR="00C03EDF" w:rsidP="00C03EDF" w14:paraId="30C6E69D" w14:textId="123F77F6">
      <w:pPr>
        <w:rPr>
          <w:rFonts w:ascii="Times New Roman" w:hAnsi="Times New Roman"/>
        </w:rPr>
      </w:pPr>
      <w:r>
        <w:rPr>
          <w:rFonts w:ascii="Times New Roman" w:hAnsi="Times New Roman"/>
        </w:rPr>
        <w:t xml:space="preserve">The Social Security Administration (SSA) published the Emergency PRA Approval Request in the </w:t>
      </w:r>
      <w:r>
        <w:rPr>
          <w:rFonts w:ascii="Times New Roman" w:hAnsi="Times New Roman"/>
          <w:i/>
          <w:iCs/>
        </w:rPr>
        <w:t xml:space="preserve">Federal Register </w:t>
      </w:r>
      <w:r>
        <w:rPr>
          <w:rFonts w:ascii="Times New Roman" w:hAnsi="Times New Roman"/>
        </w:rPr>
        <w:t>on April 18, 2025,</w:t>
      </w:r>
      <w:r w:rsidRPr="001C67EE">
        <w:rPr>
          <w:rFonts w:ascii="Times New Roman" w:hAnsi="Times New Roman"/>
          <w:b/>
          <w:bCs/>
          <w:color w:val="FF0000"/>
        </w:rPr>
        <w:t xml:space="preserve"> </w:t>
      </w:r>
      <w:r>
        <w:rPr>
          <w:rFonts w:ascii="Times New Roman" w:hAnsi="Times New Roman"/>
        </w:rPr>
        <w:t>at 90 FR 16583.  Since the publication of this Notice, we have made minor revisions to the use of the collection instrument as detailed below.</w:t>
      </w:r>
    </w:p>
    <w:p w:rsidR="00B97B05" w:rsidP="00C03EDF" w14:paraId="38BB645E" w14:textId="77777777">
      <w:pPr>
        <w:pStyle w:val="Heading7"/>
      </w:pPr>
    </w:p>
    <w:p w:rsidR="004E2A0A" w:rsidRPr="004E2A0A" w:rsidP="004E2A0A" w14:paraId="53C26C1E" w14:textId="77777777"/>
    <w:p w:rsidR="00C03EDF" w:rsidP="00C03EDF" w14:paraId="17A726B4" w14:textId="5111849C">
      <w:pPr>
        <w:pStyle w:val="Heading7"/>
      </w:pPr>
      <w:r>
        <w:t xml:space="preserve">Revision to the </w:t>
      </w:r>
      <w:r w:rsidR="004E2A0A">
        <w:t xml:space="preserve">Use of </w:t>
      </w:r>
      <w:r w:rsidR="004E2A0A">
        <w:t xml:space="preserve">the </w:t>
      </w:r>
      <w:r w:rsidRPr="004E2A0A" w:rsidR="004E2A0A">
        <w:rPr>
          <w:i/>
          <w:iCs/>
          <w:color w:val="E01F25"/>
        </w:rPr>
        <w:t>my</w:t>
      </w:r>
      <w:r w:rsidRPr="004E2A0A" w:rsidR="004E2A0A">
        <w:t xml:space="preserve"> </w:t>
      </w:r>
      <w:r w:rsidRPr="004E2A0A" w:rsidR="004E2A0A">
        <w:rPr>
          <w:color w:val="0060A0"/>
        </w:rPr>
        <w:t>Social Security</w:t>
      </w:r>
      <w:r w:rsidRPr="004E2A0A" w:rsidR="004E2A0A">
        <w:t xml:space="preserve"> – Security Authentication PIN (SAP)</w:t>
      </w:r>
    </w:p>
    <w:p w:rsidR="004E2A0A" w:rsidP="004E2A0A" w14:paraId="55BFFD43" w14:textId="5B95BA8D">
      <w:pPr>
        <w:rPr>
          <w:rFonts w:ascii="Times New Roman" w:hAnsi="Times New Roman"/>
        </w:rPr>
      </w:pPr>
    </w:p>
    <w:p w:rsidR="004E2A0A" w:rsidRPr="004E2A0A" w:rsidP="004E2A0A" w14:paraId="75FD5159" w14:textId="1F293B60">
      <w:pPr>
        <w:rPr>
          <w:rFonts w:ascii="Times New Roman" w:hAnsi="Times New Roman"/>
        </w:rPr>
      </w:pPr>
      <w:r>
        <w:rPr>
          <w:rFonts w:ascii="Times New Roman" w:hAnsi="Times New Roman"/>
        </w:rPr>
        <w:t xml:space="preserve">SSA is revising the overall use of the SAP to include only direct deposit changes (including </w:t>
      </w:r>
      <w:r w:rsidRPr="25E23F30">
        <w:rPr>
          <w:rFonts w:ascii="Times New Roman" w:hAnsi="Times New Roman"/>
        </w:rPr>
        <w:t>enrollments</w:t>
      </w:r>
      <w:r w:rsidRPr="48D7BBE0">
        <w:rPr>
          <w:rFonts w:ascii="Times New Roman" w:hAnsi="Times New Roman"/>
        </w:rPr>
        <w:t>, updates or cancellations</w:t>
      </w:r>
      <w:r>
        <w:rPr>
          <w:rFonts w:ascii="Times New Roman" w:hAnsi="Times New Roman"/>
        </w:rPr>
        <w:t xml:space="preserve">).  We </w:t>
      </w:r>
      <w:r w:rsidRPr="004E2A0A">
        <w:rPr>
          <w:rFonts w:ascii="Times New Roman" w:hAnsi="Times New Roman"/>
        </w:rPr>
        <w:t>will use the new SAP process for verifying the identity of customers who request post-entitlement/eligibility direct deposit changes.  </w:t>
      </w:r>
      <w:r w:rsidRPr="004E2A0A" w:rsidR="00AC5F5A">
        <w:rPr>
          <w:rFonts w:ascii="Times New Roman" w:hAnsi="Times New Roman"/>
        </w:rPr>
        <w:t>The Agency will not use the SAP process to resolve anomalous claims flags</w:t>
      </w:r>
      <w:r w:rsidR="00AC5F5A">
        <w:rPr>
          <w:rFonts w:ascii="Times New Roman" w:hAnsi="Times New Roman"/>
        </w:rPr>
        <w:t xml:space="preserve"> as </w:t>
      </w:r>
      <w:r w:rsidR="00AC5F5A">
        <w:rPr>
          <w:rFonts w:ascii="Times New Roman" w:hAnsi="Times New Roman"/>
        </w:rPr>
        <w:t xml:space="preserve">referenced </w:t>
      </w:r>
      <w:r w:rsidR="00AC5F5A">
        <w:rPr>
          <w:rFonts w:ascii="Times New Roman" w:hAnsi="Times New Roman"/>
        </w:rPr>
        <w:t xml:space="preserve">in the </w:t>
      </w:r>
      <w:r w:rsidRPr="00D31DA2" w:rsidR="00AC5F5A">
        <w:rPr>
          <w:rFonts w:ascii="Times New Roman" w:hAnsi="Times New Roman"/>
          <w:i/>
          <w:iCs/>
        </w:rPr>
        <w:t>Federal Register</w:t>
      </w:r>
      <w:r w:rsidR="00AC5F5A">
        <w:rPr>
          <w:rFonts w:ascii="Times New Roman" w:hAnsi="Times New Roman"/>
        </w:rPr>
        <w:t xml:space="preserve"> notice</w:t>
      </w:r>
      <w:r w:rsidRPr="004E2A0A" w:rsidR="00AC5F5A">
        <w:rPr>
          <w:rFonts w:ascii="Times New Roman" w:hAnsi="Times New Roman"/>
        </w:rPr>
        <w:t xml:space="preserve">.  </w:t>
      </w:r>
      <w:r w:rsidR="00AC5F5A">
        <w:rPr>
          <w:rFonts w:ascii="Times New Roman" w:hAnsi="Times New Roman"/>
        </w:rPr>
        <w:t>When SSA flags a claim as anomalous, currently we require i</w:t>
      </w:r>
      <w:r w:rsidRPr="004E2A0A" w:rsidR="00AC5F5A">
        <w:rPr>
          <w:rFonts w:ascii="Times New Roman" w:hAnsi="Times New Roman"/>
        </w:rPr>
        <w:t xml:space="preserve">n-person </w:t>
      </w:r>
      <w:r w:rsidR="00AC5F5A">
        <w:rPr>
          <w:rFonts w:ascii="Times New Roman" w:hAnsi="Times New Roman"/>
        </w:rPr>
        <w:t>authentication of the</w:t>
      </w:r>
      <w:r w:rsidR="00AC5F5A">
        <w:rPr>
          <w:rFonts w:ascii="Times New Roman" w:hAnsi="Times New Roman"/>
        </w:rPr>
        <w:t xml:space="preserve"> respondent’s</w:t>
      </w:r>
      <w:r w:rsidR="00AC5F5A">
        <w:rPr>
          <w:rFonts w:ascii="Times New Roman" w:hAnsi="Times New Roman"/>
        </w:rPr>
        <w:t xml:space="preserve"> </w:t>
      </w:r>
      <w:r w:rsidRPr="004E2A0A" w:rsidR="00AC5F5A">
        <w:rPr>
          <w:rFonts w:ascii="Times New Roman" w:hAnsi="Times New Roman"/>
        </w:rPr>
        <w:t>identity</w:t>
      </w:r>
      <w:r w:rsidRPr="004E2A0A">
        <w:rPr>
          <w:rFonts w:ascii="Times New Roman" w:hAnsi="Times New Roman"/>
        </w:rPr>
        <w:t xml:space="preserve"> </w:t>
      </w:r>
    </w:p>
    <w:p w:rsidR="004E2A0A" w:rsidRPr="004E2A0A" w:rsidP="004E2A0A" w14:paraId="1226AFAE" w14:textId="77777777">
      <w:pPr>
        <w:rPr>
          <w:rFonts w:ascii="Times New Roman" w:hAnsi="Times New Roman"/>
        </w:rPr>
      </w:pPr>
    </w:p>
    <w:p w:rsidR="004E2A0A" w:rsidP="004E2A0A" w14:paraId="712E72DC" w14:textId="097D2C7D">
      <w:pPr>
        <w:rPr>
          <w:rFonts w:ascii="Times New Roman" w:hAnsi="Times New Roman"/>
        </w:rPr>
      </w:pPr>
      <w:r w:rsidRPr="004E2A0A">
        <w:rPr>
          <w:rFonts w:ascii="Times New Roman" w:hAnsi="Times New Roman"/>
        </w:rPr>
        <w:t xml:space="preserve">Since </w:t>
      </w:r>
      <w:r w:rsidR="00C26FCE">
        <w:rPr>
          <w:rFonts w:ascii="Times New Roman" w:hAnsi="Times New Roman"/>
        </w:rPr>
        <w:t>July 2017</w:t>
      </w:r>
      <w:r w:rsidRPr="004E2A0A">
        <w:rPr>
          <w:rFonts w:ascii="Times New Roman" w:hAnsi="Times New Roman"/>
        </w:rPr>
        <w:t xml:space="preserve">, the Agency has utilized an anomalous claims process to analyze </w:t>
      </w:r>
      <w:r w:rsidRPr="004E2A0A">
        <w:rPr>
          <w:rFonts w:ascii="Times New Roman" w:hAnsi="Times New Roman"/>
        </w:rPr>
        <w:t>iClaims</w:t>
      </w:r>
      <w:r w:rsidRPr="004E2A0A">
        <w:rPr>
          <w:rFonts w:ascii="Times New Roman" w:hAnsi="Times New Roman"/>
        </w:rPr>
        <w:t xml:space="preserve"> for indicators of potentially fraudulent activity.</w:t>
      </w:r>
      <w:r>
        <w:rPr>
          <w:rFonts w:ascii="Times New Roman" w:hAnsi="Times New Roman"/>
        </w:rPr>
        <w:t xml:space="preserve"> </w:t>
      </w:r>
      <w:r w:rsidRPr="004E2A0A">
        <w:rPr>
          <w:rFonts w:ascii="Times New Roman" w:hAnsi="Times New Roman"/>
        </w:rPr>
        <w:t xml:space="preserve"> </w:t>
      </w:r>
      <w:r>
        <w:rPr>
          <w:rFonts w:ascii="Times New Roman" w:hAnsi="Times New Roman"/>
        </w:rPr>
        <w:t>Under this process, we hold a</w:t>
      </w:r>
      <w:r w:rsidRPr="004E2A0A">
        <w:rPr>
          <w:rFonts w:ascii="Times New Roman" w:hAnsi="Times New Roman"/>
        </w:rPr>
        <w:t xml:space="preserve">pplications for three days to allow for completion of the automated fraud analysis. </w:t>
      </w:r>
      <w:r>
        <w:rPr>
          <w:rFonts w:ascii="Times New Roman" w:hAnsi="Times New Roman"/>
        </w:rPr>
        <w:t xml:space="preserve"> </w:t>
      </w:r>
      <w:r w:rsidRPr="004E2A0A">
        <w:rPr>
          <w:rFonts w:ascii="Times New Roman" w:hAnsi="Times New Roman"/>
        </w:rPr>
        <w:t xml:space="preserve">If </w:t>
      </w:r>
      <w:r>
        <w:rPr>
          <w:rFonts w:ascii="Times New Roman" w:hAnsi="Times New Roman"/>
        </w:rPr>
        <w:t xml:space="preserve">the automated fraud analysis flags </w:t>
      </w:r>
      <w:r w:rsidRPr="004E2A0A">
        <w:rPr>
          <w:rFonts w:ascii="Times New Roman" w:hAnsi="Times New Roman"/>
        </w:rPr>
        <w:t>an application as “anomalous</w:t>
      </w:r>
      <w:r>
        <w:rPr>
          <w:rFonts w:ascii="Times New Roman" w:hAnsi="Times New Roman"/>
        </w:rPr>
        <w:t>,</w:t>
      </w:r>
      <w:r w:rsidRPr="004E2A0A">
        <w:rPr>
          <w:rFonts w:ascii="Times New Roman" w:hAnsi="Times New Roman"/>
        </w:rPr>
        <w:t>”</w:t>
      </w:r>
      <w:r>
        <w:rPr>
          <w:rFonts w:ascii="Times New Roman" w:hAnsi="Times New Roman"/>
        </w:rPr>
        <w:t xml:space="preserve"> </w:t>
      </w:r>
      <w:r w:rsidRPr="004E2A0A">
        <w:rPr>
          <w:rFonts w:ascii="Times New Roman" w:hAnsi="Times New Roman"/>
        </w:rPr>
        <w:t xml:space="preserve">claims specialists follow special instructions to verify the identity of the applicant before adjudicating these claims.  On April 14, the Agency began utilizing the automated fraud analysis for Retirement, Survivors, Auxiliary Spouses, </w:t>
      </w:r>
      <w:r w:rsidR="007B6155">
        <w:rPr>
          <w:rFonts w:ascii="Times New Roman" w:hAnsi="Times New Roman"/>
        </w:rPr>
        <w:t>Lump Sum Death Payment</w:t>
      </w:r>
      <w:r w:rsidRPr="004E2A0A">
        <w:rPr>
          <w:rFonts w:ascii="Times New Roman" w:hAnsi="Times New Roman"/>
        </w:rPr>
        <w:t>, and Children benefits applications</w:t>
      </w:r>
      <w:r w:rsidR="00AC5F5A">
        <w:rPr>
          <w:rFonts w:ascii="Times New Roman" w:hAnsi="Times New Roman"/>
        </w:rPr>
        <w:t xml:space="preserve"> (all non-disability claims)</w:t>
      </w:r>
      <w:r w:rsidRPr="004E2A0A">
        <w:rPr>
          <w:rFonts w:ascii="Times New Roman" w:hAnsi="Times New Roman"/>
        </w:rPr>
        <w:t xml:space="preserve"> filed over the telephone. </w:t>
      </w:r>
      <w:r>
        <w:rPr>
          <w:rFonts w:ascii="Times New Roman" w:hAnsi="Times New Roman"/>
        </w:rPr>
        <w:t xml:space="preserve"> </w:t>
      </w:r>
      <w:r w:rsidRPr="004E2A0A">
        <w:rPr>
          <w:rFonts w:ascii="Times New Roman" w:hAnsi="Times New Roman"/>
        </w:rPr>
        <w:t xml:space="preserve">If </w:t>
      </w:r>
      <w:r>
        <w:rPr>
          <w:rFonts w:ascii="Times New Roman" w:hAnsi="Times New Roman"/>
        </w:rPr>
        <w:t>the automated system flags a</w:t>
      </w:r>
      <w:r w:rsidRPr="004E2A0A">
        <w:rPr>
          <w:rFonts w:ascii="Times New Roman" w:hAnsi="Times New Roman"/>
        </w:rPr>
        <w:t xml:space="preserve"> telephone application as “anomalous</w:t>
      </w:r>
      <w:r>
        <w:rPr>
          <w:rFonts w:ascii="Times New Roman" w:hAnsi="Times New Roman"/>
        </w:rPr>
        <w:t>,</w:t>
      </w:r>
      <w:r w:rsidRPr="004E2A0A">
        <w:rPr>
          <w:rFonts w:ascii="Times New Roman" w:hAnsi="Times New Roman"/>
        </w:rPr>
        <w:t xml:space="preserve">” claims specialists follow the same special instructions used to verify the identity of “anomalous” </w:t>
      </w:r>
      <w:r w:rsidRPr="004E2A0A">
        <w:rPr>
          <w:rFonts w:ascii="Times New Roman" w:hAnsi="Times New Roman"/>
        </w:rPr>
        <w:t>iClaims</w:t>
      </w:r>
      <w:r w:rsidRPr="004E2A0A">
        <w:rPr>
          <w:rFonts w:ascii="Times New Roman" w:hAnsi="Times New Roman"/>
        </w:rPr>
        <w:t>.</w:t>
      </w:r>
      <w:r>
        <w:rPr>
          <w:rFonts w:ascii="Times New Roman" w:hAnsi="Times New Roman"/>
        </w:rPr>
        <w:t xml:space="preserve"> </w:t>
      </w:r>
      <w:r w:rsidRPr="004E2A0A">
        <w:rPr>
          <w:rFonts w:ascii="Times New Roman" w:hAnsi="Times New Roman"/>
        </w:rPr>
        <w:t xml:space="preserve"> Because </w:t>
      </w:r>
      <w:r>
        <w:rPr>
          <w:rFonts w:ascii="Times New Roman" w:hAnsi="Times New Roman"/>
        </w:rPr>
        <w:t xml:space="preserve">we utilize </w:t>
      </w:r>
      <w:r w:rsidRPr="004E2A0A">
        <w:rPr>
          <w:rFonts w:ascii="Times New Roman" w:hAnsi="Times New Roman"/>
        </w:rPr>
        <w:t xml:space="preserve">the anomalous claims process for applications filed online and over the telephone, the Agency has decided that </w:t>
      </w:r>
      <w:r>
        <w:rPr>
          <w:rFonts w:ascii="Times New Roman" w:hAnsi="Times New Roman"/>
        </w:rPr>
        <w:t xml:space="preserve">we should not include </w:t>
      </w:r>
      <w:r w:rsidRPr="004E2A0A">
        <w:rPr>
          <w:rFonts w:ascii="Times New Roman" w:hAnsi="Times New Roman"/>
        </w:rPr>
        <w:t xml:space="preserve">the SAP </w:t>
      </w:r>
      <w:r>
        <w:rPr>
          <w:rFonts w:ascii="Times New Roman" w:hAnsi="Times New Roman"/>
        </w:rPr>
        <w:t>proces</w:t>
      </w:r>
      <w:r w:rsidRPr="004E2A0A">
        <w:rPr>
          <w:rFonts w:ascii="Times New Roman" w:hAnsi="Times New Roman"/>
        </w:rPr>
        <w:t xml:space="preserve">s in the instructions for resolving an “anomalous” flag.  </w:t>
      </w:r>
      <w:r>
        <w:rPr>
          <w:rFonts w:ascii="Times New Roman" w:hAnsi="Times New Roman"/>
        </w:rPr>
        <w:t>Rather we will require t</w:t>
      </w:r>
      <w:r w:rsidRPr="004E2A0A">
        <w:rPr>
          <w:rFonts w:ascii="Times New Roman" w:hAnsi="Times New Roman"/>
        </w:rPr>
        <w:t>hese customers t</w:t>
      </w:r>
      <w:r>
        <w:rPr>
          <w:rFonts w:ascii="Times New Roman" w:hAnsi="Times New Roman"/>
        </w:rPr>
        <w:t>o</w:t>
      </w:r>
      <w:r w:rsidRPr="004E2A0A">
        <w:rPr>
          <w:rFonts w:ascii="Times New Roman" w:hAnsi="Times New Roman"/>
        </w:rPr>
        <w:t xml:space="preserve"> visit their local field office to present proof of identity. </w:t>
      </w:r>
    </w:p>
    <w:p w:rsidR="004E2A0A" w:rsidP="004E2A0A" w14:paraId="0BE9C7C9" w14:textId="77777777">
      <w:pPr>
        <w:rPr>
          <w:rFonts w:ascii="Times New Roman" w:hAnsi="Times New Roman"/>
        </w:rPr>
      </w:pPr>
    </w:p>
    <w:p w:rsidR="00855A2B" w:rsidP="004E2A0A" w14:paraId="74D33E74" w14:textId="75C3D86F">
      <w:r>
        <w:rPr>
          <w:rFonts w:ascii="Times New Roman" w:hAnsi="Times New Roman"/>
        </w:rPr>
        <w:t>Since the anomalous claims process is used on a small percentage of overall claims</w:t>
      </w:r>
      <w:r w:rsidR="00AC5F5A">
        <w:rPr>
          <w:rFonts w:ascii="Times New Roman" w:hAnsi="Times New Roman"/>
        </w:rPr>
        <w:t xml:space="preserve"> </w:t>
      </w:r>
      <w:r w:rsidR="00AC5F5A">
        <w:rPr>
          <w:rFonts w:ascii="Times New Roman" w:hAnsi="Times New Roman"/>
        </w:rPr>
        <w:t>(SSA estimates that in the first week of usage for the above listed claims types, fewer than one percent were flagged as anomalous)</w:t>
      </w:r>
      <w:r>
        <w:rPr>
          <w:rFonts w:ascii="Times New Roman" w:hAnsi="Times New Roman"/>
        </w:rPr>
        <w:t xml:space="preserve">, </w:t>
      </w:r>
      <w:r w:rsidR="00CD462B">
        <w:rPr>
          <w:rFonts w:ascii="Times New Roman" w:hAnsi="Times New Roman"/>
        </w:rPr>
        <w:t xml:space="preserve">and this request for these respondents to visit a field office to resolve the issue is part of the current process, the Agency’s choice to </w:t>
      </w:r>
      <w:r w:rsidR="00AC5F5A">
        <w:rPr>
          <w:rFonts w:ascii="Times New Roman" w:hAnsi="Times New Roman"/>
        </w:rPr>
        <w:t xml:space="preserve">remove </w:t>
      </w:r>
      <w:r w:rsidR="00AC5F5A">
        <w:rPr>
          <w:rFonts w:ascii="Times New Roman" w:hAnsi="Times New Roman"/>
        </w:rPr>
        <w:t>the ability to use SAP to provide identity authentication for flagged anomalous claims</w:t>
      </w:r>
      <w:r w:rsidR="00CD462B">
        <w:rPr>
          <w:rFonts w:ascii="Times New Roman" w:hAnsi="Times New Roman"/>
        </w:rPr>
        <w:t xml:space="preserve"> from the scope of this information collection </w:t>
      </w:r>
      <w:r w:rsidR="00AC5F5A">
        <w:rPr>
          <w:rFonts w:ascii="Times New Roman" w:hAnsi="Times New Roman"/>
        </w:rPr>
        <w:t xml:space="preserve">imposes no more than a </w:t>
      </w:r>
      <w:r w:rsidR="00AC5F5A">
        <w:rPr>
          <w:rFonts w:ascii="Times New Roman" w:hAnsi="Times New Roman"/>
          <w:i/>
        </w:rPr>
        <w:t>de minimis</w:t>
      </w:r>
      <w:r w:rsidR="00AC5F5A">
        <w:rPr>
          <w:rFonts w:ascii="Times New Roman" w:hAnsi="Times New Roman"/>
          <w:i/>
        </w:rPr>
        <w:t xml:space="preserve"> </w:t>
      </w:r>
      <w:r w:rsidR="00AC5F5A">
        <w:rPr>
          <w:rFonts w:ascii="Times New Roman" w:hAnsi="Times New Roman"/>
        </w:rPr>
        <w:t>new burden on the public</w:t>
      </w:r>
      <w:r w:rsidR="00CD462B">
        <w:rPr>
          <w:rFonts w:ascii="Times New Roman" w:hAnsi="Times New Roman"/>
        </w:rPr>
        <w:t>.</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5FE2FAD"/>
    <w:multiLevelType w:val="hybridMultilevel"/>
    <w:tmpl w:val="76180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F083298"/>
    <w:multiLevelType w:val="hybridMultilevel"/>
    <w:tmpl w:val="6AFE27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509831741">
    <w:abstractNumId w:val="1"/>
  </w:num>
  <w:num w:numId="2" w16cid:durableId="1564677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F"/>
    <w:rsid w:val="000026E7"/>
    <w:rsid w:val="000049F4"/>
    <w:rsid w:val="00007D86"/>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76FC"/>
    <w:rsid w:val="000A07E2"/>
    <w:rsid w:val="000A685D"/>
    <w:rsid w:val="000B09B5"/>
    <w:rsid w:val="000B186D"/>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C67EE"/>
    <w:rsid w:val="001C7453"/>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63FD"/>
    <w:rsid w:val="00317EB7"/>
    <w:rsid w:val="0032243F"/>
    <w:rsid w:val="00324E4F"/>
    <w:rsid w:val="00324F66"/>
    <w:rsid w:val="00325DC6"/>
    <w:rsid w:val="00331C4F"/>
    <w:rsid w:val="003322E1"/>
    <w:rsid w:val="00332828"/>
    <w:rsid w:val="00333DAD"/>
    <w:rsid w:val="00334BDE"/>
    <w:rsid w:val="003360C6"/>
    <w:rsid w:val="00337885"/>
    <w:rsid w:val="003417BB"/>
    <w:rsid w:val="003419E6"/>
    <w:rsid w:val="00342505"/>
    <w:rsid w:val="00342838"/>
    <w:rsid w:val="003450E3"/>
    <w:rsid w:val="00351FFD"/>
    <w:rsid w:val="0035212A"/>
    <w:rsid w:val="003528C2"/>
    <w:rsid w:val="0035296F"/>
    <w:rsid w:val="003529FB"/>
    <w:rsid w:val="00352C24"/>
    <w:rsid w:val="00356601"/>
    <w:rsid w:val="003571A6"/>
    <w:rsid w:val="00357225"/>
    <w:rsid w:val="003622A2"/>
    <w:rsid w:val="00364B34"/>
    <w:rsid w:val="00365395"/>
    <w:rsid w:val="00370F0C"/>
    <w:rsid w:val="0037379A"/>
    <w:rsid w:val="003815DA"/>
    <w:rsid w:val="00382189"/>
    <w:rsid w:val="00386B03"/>
    <w:rsid w:val="00390B36"/>
    <w:rsid w:val="00392418"/>
    <w:rsid w:val="0039296B"/>
    <w:rsid w:val="003A704A"/>
    <w:rsid w:val="003A7123"/>
    <w:rsid w:val="003B23DE"/>
    <w:rsid w:val="003B4304"/>
    <w:rsid w:val="003C3BFE"/>
    <w:rsid w:val="003C4D0B"/>
    <w:rsid w:val="003C5E4B"/>
    <w:rsid w:val="003C6050"/>
    <w:rsid w:val="003D72B1"/>
    <w:rsid w:val="003E0BD3"/>
    <w:rsid w:val="003E2ABF"/>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5BDD"/>
    <w:rsid w:val="004C5CEB"/>
    <w:rsid w:val="004C763B"/>
    <w:rsid w:val="004C7B0B"/>
    <w:rsid w:val="004D3D26"/>
    <w:rsid w:val="004E0A26"/>
    <w:rsid w:val="004E2A0A"/>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57FE8"/>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D35"/>
    <w:rsid w:val="006B18F7"/>
    <w:rsid w:val="006B34BF"/>
    <w:rsid w:val="006B5244"/>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6155"/>
    <w:rsid w:val="007B79F3"/>
    <w:rsid w:val="007C0958"/>
    <w:rsid w:val="007C20A4"/>
    <w:rsid w:val="007C3113"/>
    <w:rsid w:val="007C3259"/>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8037B"/>
    <w:rsid w:val="0098490C"/>
    <w:rsid w:val="00985243"/>
    <w:rsid w:val="00987B9B"/>
    <w:rsid w:val="00987DFF"/>
    <w:rsid w:val="009920A3"/>
    <w:rsid w:val="00993323"/>
    <w:rsid w:val="009942BC"/>
    <w:rsid w:val="009A6EEF"/>
    <w:rsid w:val="009B124E"/>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5B3B"/>
    <w:rsid w:val="009E7924"/>
    <w:rsid w:val="009F020E"/>
    <w:rsid w:val="009F0852"/>
    <w:rsid w:val="009F2050"/>
    <w:rsid w:val="009F48B7"/>
    <w:rsid w:val="009F60E4"/>
    <w:rsid w:val="009F678C"/>
    <w:rsid w:val="00A02E8F"/>
    <w:rsid w:val="00A0587D"/>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C5F5A"/>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97B05"/>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2305C"/>
    <w:rsid w:val="00C231B1"/>
    <w:rsid w:val="00C26FCE"/>
    <w:rsid w:val="00C27AFE"/>
    <w:rsid w:val="00C3006C"/>
    <w:rsid w:val="00C30296"/>
    <w:rsid w:val="00C35526"/>
    <w:rsid w:val="00C402E0"/>
    <w:rsid w:val="00C44E2F"/>
    <w:rsid w:val="00C51C54"/>
    <w:rsid w:val="00C554C5"/>
    <w:rsid w:val="00C56675"/>
    <w:rsid w:val="00C56966"/>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D462B"/>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1DA2"/>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307F1"/>
    <w:rsid w:val="00E31090"/>
    <w:rsid w:val="00E36B8A"/>
    <w:rsid w:val="00E36D5E"/>
    <w:rsid w:val="00E4166E"/>
    <w:rsid w:val="00E478D5"/>
    <w:rsid w:val="00E531D5"/>
    <w:rsid w:val="00E538CC"/>
    <w:rsid w:val="00E574E7"/>
    <w:rsid w:val="00E60ACC"/>
    <w:rsid w:val="00E73899"/>
    <w:rsid w:val="00E74C04"/>
    <w:rsid w:val="00E74E54"/>
    <w:rsid w:val="00E74FD7"/>
    <w:rsid w:val="00E75F45"/>
    <w:rsid w:val="00E7699E"/>
    <w:rsid w:val="00E77D35"/>
    <w:rsid w:val="00E81661"/>
    <w:rsid w:val="00E82AF6"/>
    <w:rsid w:val="00E83576"/>
    <w:rsid w:val="00E8388D"/>
    <w:rsid w:val="00E851F6"/>
    <w:rsid w:val="00EA13AE"/>
    <w:rsid w:val="00EA259F"/>
    <w:rsid w:val="00EA6B29"/>
    <w:rsid w:val="00EB0A2E"/>
    <w:rsid w:val="00EB122D"/>
    <w:rsid w:val="00EB1C70"/>
    <w:rsid w:val="00EB321A"/>
    <w:rsid w:val="00EB34AA"/>
    <w:rsid w:val="00EC6A7D"/>
    <w:rsid w:val="00EC6CAF"/>
    <w:rsid w:val="00ED1BF5"/>
    <w:rsid w:val="00ED3F8C"/>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548E"/>
    <w:rsid w:val="00F82CC0"/>
    <w:rsid w:val="00F84745"/>
    <w:rsid w:val="00F85933"/>
    <w:rsid w:val="00F91965"/>
    <w:rsid w:val="00F9385A"/>
    <w:rsid w:val="00F95DB7"/>
    <w:rsid w:val="00FA2545"/>
    <w:rsid w:val="00FA4FEA"/>
    <w:rsid w:val="00FA50CD"/>
    <w:rsid w:val="00FA571A"/>
    <w:rsid w:val="00FA6EF8"/>
    <w:rsid w:val="00FB39FE"/>
    <w:rsid w:val="00FC221A"/>
    <w:rsid w:val="00FC33C2"/>
    <w:rsid w:val="00FC423E"/>
    <w:rsid w:val="00FC5B22"/>
    <w:rsid w:val="00FC795C"/>
    <w:rsid w:val="00FD29C9"/>
    <w:rsid w:val="00FD311B"/>
    <w:rsid w:val="00FD41CB"/>
    <w:rsid w:val="00FE011A"/>
    <w:rsid w:val="00FE09AC"/>
    <w:rsid w:val="00FE22B7"/>
    <w:rsid w:val="00FE759F"/>
    <w:rsid w:val="00FF579C"/>
    <w:rsid w:val="00FF6C06"/>
    <w:rsid w:val="00FF72A8"/>
    <w:rsid w:val="25E23F30"/>
    <w:rsid w:val="48D7BB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629628B"/>
  <w15:chartTrackingRefBased/>
  <w15:docId w15:val="{47C5865A-5FB4-4B94-83A3-39A17577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4E2A0A"/>
    <w:pPr>
      <w:keepNext/>
      <w:spacing w:before="240" w:after="60"/>
      <w:outlineLvl w:val="0"/>
    </w:pPr>
    <w:rPr>
      <w:rFonts w:asciiTheme="majorHAnsi" w:eastAsiaTheme="majorEastAsia" w:hAnsiTheme="majorHAnsi" w:cstheme="majorBidi"/>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FE8"/>
    <w:pPr>
      <w:ind w:left="720"/>
    </w:pPr>
  </w:style>
  <w:style w:type="character" w:customStyle="1" w:styleId="Heading1Char">
    <w:name w:val="Heading 1 Char"/>
    <w:basedOn w:val="DefaultParagraphFont"/>
    <w:link w:val="Heading1"/>
    <w:rsid w:val="004E2A0A"/>
    <w:rPr>
      <w:rFonts w:asciiTheme="majorHAnsi" w:eastAsiaTheme="majorEastAsia" w:hAnsiTheme="majorHAnsi" w:cstheme="majorBidi"/>
      <w:b/>
      <w:bCs/>
      <w:kern w:val="32"/>
      <w:sz w:val="32"/>
      <w:szCs w:val="32"/>
    </w:rPr>
  </w:style>
  <w:style w:type="character" w:styleId="CommentReference">
    <w:name w:val="annotation reference"/>
    <w:basedOn w:val="DefaultParagraphFont"/>
    <w:rsid w:val="00AC5F5A"/>
    <w:rPr>
      <w:sz w:val="16"/>
      <w:szCs w:val="16"/>
    </w:rPr>
  </w:style>
  <w:style w:type="paragraph" w:styleId="CommentText">
    <w:name w:val="annotation text"/>
    <w:basedOn w:val="Normal"/>
    <w:link w:val="CommentTextChar"/>
    <w:rsid w:val="00AC5F5A"/>
    <w:rPr>
      <w:sz w:val="20"/>
      <w:szCs w:val="20"/>
    </w:rPr>
  </w:style>
  <w:style w:type="character" w:customStyle="1" w:styleId="CommentTextChar">
    <w:name w:val="Comment Text Char"/>
    <w:basedOn w:val="DefaultParagraphFont"/>
    <w:link w:val="CommentText"/>
    <w:rsid w:val="00AC5F5A"/>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ADDENDUM TO SUPPORTING STATEMENT </vt:lpstr>
    </vt:vector>
  </TitlesOfParts>
  <Company>Social Security Administration</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SSA Response</cp:lastModifiedBy>
  <cp:revision>2</cp:revision>
  <dcterms:created xsi:type="dcterms:W3CDTF">2025-04-25T19:29:00Z</dcterms:created>
  <dcterms:modified xsi:type="dcterms:W3CDTF">2025-04-25T19:29:00Z</dcterms:modified>
</cp:coreProperties>
</file>