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6704B53B" w14:textId="74939813">
      <w:pPr>
        <w:pStyle w:val="Heading2"/>
        <w:tabs>
          <w:tab w:val="left" w:pos="900"/>
        </w:tabs>
        <w:ind w:right="-180"/>
      </w:pPr>
      <w:r w:rsidRPr="4FB82A9F">
        <w:rPr>
          <w:sz w:val="28"/>
          <w:szCs w:val="28"/>
        </w:rPr>
        <w:t xml:space="preserve">Request for Approval under the “Generic Clearance for the </w:t>
      </w:r>
      <w:r w:rsidRPr="008146BB">
        <w:rPr>
          <w:sz w:val="28"/>
          <w:szCs w:val="28"/>
        </w:rPr>
        <w:t xml:space="preserve">Collection of Routine Customer Feedback” (OMB Control Number: </w:t>
      </w:r>
      <w:r w:rsidRPr="00206651">
        <w:rPr>
          <w:sz w:val="28"/>
          <w:szCs w:val="28"/>
        </w:rPr>
        <w:t>0970-0401</w:t>
      </w:r>
      <w:r w:rsidRPr="008146BB">
        <w:rPr>
          <w:sz w:val="28"/>
          <w:szCs w:val="28"/>
        </w:rPr>
        <w:t>)</w:t>
      </w:r>
    </w:p>
    <w:p w:rsidR="00804797" w:rsidRPr="002958B1" w:rsidP="00206651" w14:paraId="5179E7E2" w14:textId="417A6016">
      <w:pPr>
        <w:spacing w:before="2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4FB82A9F" w:rsidR="005E714A">
        <w:rPr>
          <w:b/>
          <w:bCs/>
        </w:rPr>
        <w:t>TITLE OF INFORMATION COLLECTION:</w:t>
      </w:r>
      <w:r w:rsidR="005E714A">
        <w:t xml:space="preserve">  </w:t>
      </w:r>
      <w:r w:rsidRPr="00206651" w:rsidR="120FA89B">
        <w:t>TANF Data Collaborative (</w:t>
      </w:r>
      <w:r w:rsidRPr="00206651" w:rsidR="49ABDDCB">
        <w:t>TDC</w:t>
      </w:r>
      <w:r w:rsidRPr="00206651" w:rsidR="22ABBA80">
        <w:t>)</w:t>
      </w:r>
      <w:r w:rsidRPr="00206651" w:rsidR="49ABDDCB">
        <w:t xml:space="preserve"> 2.0 Customer Feedback Collection</w:t>
      </w:r>
    </w:p>
    <w:p w:rsidR="00340E84" w14:paraId="5D046B21" w14:textId="77777777"/>
    <w:p w:rsidR="00C8488C" w:rsidP="00804797" w14:paraId="311DC0B9" w14:textId="37B10EFB">
      <w:pPr>
        <w:rPr>
          <w:color w:val="000000" w:themeColor="text1"/>
        </w:rPr>
      </w:pPr>
      <w:r w:rsidRPr="4FB82A9F">
        <w:rPr>
          <w:b/>
          <w:bCs/>
        </w:rPr>
        <w:t xml:space="preserve">PURPOSE AND USE:  </w:t>
      </w:r>
      <w:r w:rsidRPr="00804797" w:rsidR="64CAA515">
        <w:rPr>
          <w:color w:val="000000" w:themeColor="text1"/>
        </w:rPr>
        <w:t xml:space="preserve">The </w:t>
      </w:r>
      <w:r w:rsidRPr="5348990D" w:rsidR="00934ED4">
        <w:rPr>
          <w:color w:val="000000" w:themeColor="text1"/>
        </w:rPr>
        <w:t xml:space="preserve">Temporary Assistance for Needy Families </w:t>
      </w:r>
      <w:r w:rsidR="00934ED4">
        <w:rPr>
          <w:color w:val="000000" w:themeColor="text1"/>
        </w:rPr>
        <w:t>(</w:t>
      </w:r>
      <w:r w:rsidRPr="00804797" w:rsidR="64CAA515">
        <w:rPr>
          <w:color w:val="000000" w:themeColor="text1"/>
        </w:rPr>
        <w:t>TANF</w:t>
      </w:r>
      <w:r w:rsidR="00934ED4">
        <w:rPr>
          <w:color w:val="000000" w:themeColor="text1"/>
        </w:rPr>
        <w:t>)</w:t>
      </w:r>
      <w:r w:rsidRPr="00804797" w:rsidR="64CAA515">
        <w:rPr>
          <w:color w:val="000000" w:themeColor="text1"/>
        </w:rPr>
        <w:t xml:space="preserve"> Data Collaborative (TDC) 2.0 project is funded by </w:t>
      </w:r>
      <w:r w:rsidRPr="00150E6E" w:rsidR="00150E6E">
        <w:rPr>
          <w:color w:val="000000" w:themeColor="text1"/>
        </w:rPr>
        <w:t>the Administration for Children and Families</w:t>
      </w:r>
      <w:r w:rsidRPr="00804797" w:rsidR="64CAA515">
        <w:rPr>
          <w:color w:val="000000" w:themeColor="text1"/>
        </w:rPr>
        <w:t>, Office of Planning, Research</w:t>
      </w:r>
      <w:r w:rsidR="00C005C1">
        <w:rPr>
          <w:color w:val="000000" w:themeColor="text1"/>
        </w:rPr>
        <w:t>,</w:t>
      </w:r>
      <w:r w:rsidRPr="00804797" w:rsidR="64CAA515">
        <w:rPr>
          <w:color w:val="000000" w:themeColor="text1"/>
        </w:rPr>
        <w:t xml:space="preserve"> and Evaluation (OPRE). The </w:t>
      </w:r>
      <w:r w:rsidR="00346D19">
        <w:rPr>
          <w:color w:val="000000" w:themeColor="text1"/>
        </w:rPr>
        <w:t xml:space="preserve">purpose of the TDC 2.0 project is to provide </w:t>
      </w:r>
      <w:r w:rsidRPr="00804797" w:rsidR="64CAA515">
        <w:rPr>
          <w:color w:val="000000" w:themeColor="text1"/>
        </w:rPr>
        <w:t>training and technical assistance</w:t>
      </w:r>
      <w:r w:rsidR="002B048D">
        <w:rPr>
          <w:color w:val="000000" w:themeColor="text1"/>
        </w:rPr>
        <w:t xml:space="preserve"> (TA)</w:t>
      </w:r>
      <w:r w:rsidRPr="00804797" w:rsidR="64CAA515">
        <w:rPr>
          <w:color w:val="000000" w:themeColor="text1"/>
        </w:rPr>
        <w:t xml:space="preserve"> support </w:t>
      </w:r>
      <w:r w:rsidR="00346D19">
        <w:rPr>
          <w:color w:val="000000" w:themeColor="text1"/>
        </w:rPr>
        <w:t xml:space="preserve">to </w:t>
      </w:r>
      <w:r w:rsidR="006E2E35">
        <w:rPr>
          <w:color w:val="000000" w:themeColor="text1"/>
        </w:rPr>
        <w:t xml:space="preserve">six </w:t>
      </w:r>
      <w:r w:rsidR="006D76B1">
        <w:rPr>
          <w:color w:val="000000" w:themeColor="text1"/>
        </w:rPr>
        <w:t>TANF agenc</w:t>
      </w:r>
      <w:r w:rsidR="0059025F">
        <w:rPr>
          <w:color w:val="000000" w:themeColor="text1"/>
        </w:rPr>
        <w:t>y teams</w:t>
      </w:r>
      <w:r w:rsidR="006D76B1">
        <w:rPr>
          <w:color w:val="000000" w:themeColor="text1"/>
        </w:rPr>
        <w:t xml:space="preserve"> who were awarded TDC Equity Analysis Awards</w:t>
      </w:r>
      <w:r w:rsidR="00856274">
        <w:rPr>
          <w:color w:val="000000" w:themeColor="text1"/>
        </w:rPr>
        <w:t xml:space="preserve"> (discretionary grants funded by</w:t>
      </w:r>
      <w:r w:rsidR="008058E3">
        <w:rPr>
          <w:color w:val="000000" w:themeColor="text1"/>
        </w:rPr>
        <w:t xml:space="preserve"> OPRE</w:t>
      </w:r>
      <w:r w:rsidR="00856274">
        <w:rPr>
          <w:color w:val="000000" w:themeColor="text1"/>
        </w:rPr>
        <w:t>)</w:t>
      </w:r>
      <w:r w:rsidR="008058E3">
        <w:rPr>
          <w:color w:val="000000" w:themeColor="text1"/>
        </w:rPr>
        <w:t xml:space="preserve"> </w:t>
      </w:r>
      <w:r w:rsidRPr="00804797" w:rsidR="64CAA515">
        <w:rPr>
          <w:color w:val="000000" w:themeColor="text1"/>
        </w:rPr>
        <w:t xml:space="preserve">to </w:t>
      </w:r>
      <w:r w:rsidR="00FC6002">
        <w:rPr>
          <w:color w:val="000000" w:themeColor="text1"/>
        </w:rPr>
        <w:t xml:space="preserve">complete equity-related data analytics projects </w:t>
      </w:r>
      <w:r w:rsidRPr="00804797" w:rsidR="64CAA515">
        <w:rPr>
          <w:color w:val="000000" w:themeColor="text1"/>
        </w:rPr>
        <w:t>us</w:t>
      </w:r>
      <w:r w:rsidR="00FC6002">
        <w:rPr>
          <w:color w:val="000000" w:themeColor="text1"/>
        </w:rPr>
        <w:t>ing</w:t>
      </w:r>
      <w:r w:rsidRPr="00804797" w:rsidR="64CAA515">
        <w:rPr>
          <w:color w:val="000000" w:themeColor="text1"/>
        </w:rPr>
        <w:t xml:space="preserve"> their </w:t>
      </w:r>
      <w:r w:rsidR="00FC1D68">
        <w:rPr>
          <w:color w:val="000000" w:themeColor="text1"/>
        </w:rPr>
        <w:t>TANF administrative and program</w:t>
      </w:r>
      <w:r w:rsidRPr="00804797" w:rsidR="00FC1D68">
        <w:rPr>
          <w:color w:val="000000" w:themeColor="text1"/>
        </w:rPr>
        <w:t xml:space="preserve"> </w:t>
      </w:r>
      <w:r w:rsidRPr="00804797" w:rsidR="64CAA515">
        <w:rPr>
          <w:color w:val="000000" w:themeColor="text1"/>
        </w:rPr>
        <w:t>data. This proposed information collection is to request feedback</w:t>
      </w:r>
      <w:r w:rsidR="00FC6002">
        <w:rPr>
          <w:color w:val="000000" w:themeColor="text1"/>
        </w:rPr>
        <w:t xml:space="preserve"> from participating teams</w:t>
      </w:r>
      <w:r w:rsidRPr="00804797" w:rsidR="64CAA515">
        <w:rPr>
          <w:color w:val="000000" w:themeColor="text1"/>
        </w:rPr>
        <w:t xml:space="preserve"> about their experiences during </w:t>
      </w:r>
      <w:r w:rsidR="006C660F">
        <w:rPr>
          <w:color w:val="000000" w:themeColor="text1"/>
        </w:rPr>
        <w:t>TA</w:t>
      </w:r>
      <w:r w:rsidR="006F0B1A">
        <w:rPr>
          <w:color w:val="000000" w:themeColor="text1"/>
        </w:rPr>
        <w:t xml:space="preserve"> activities</w:t>
      </w:r>
      <w:r w:rsidRPr="00804797" w:rsidR="64CAA515">
        <w:rPr>
          <w:color w:val="000000" w:themeColor="text1"/>
        </w:rPr>
        <w:t xml:space="preserve"> throughout the 36-month </w:t>
      </w:r>
      <w:r w:rsidR="00FC6002">
        <w:rPr>
          <w:color w:val="000000" w:themeColor="text1"/>
        </w:rPr>
        <w:t>project</w:t>
      </w:r>
      <w:r w:rsidRPr="00804797" w:rsidR="64CAA515">
        <w:rPr>
          <w:color w:val="000000" w:themeColor="text1"/>
        </w:rPr>
        <w:t xml:space="preserve">. </w:t>
      </w:r>
    </w:p>
    <w:p w:rsidR="00C8488C" w:rsidP="00804797" w14:paraId="58661E2A" w14:textId="0E81C848">
      <w:pPr>
        <w:rPr>
          <w:color w:val="000000" w:themeColor="text1"/>
        </w:rPr>
      </w:pPr>
    </w:p>
    <w:p w:rsidR="00BB0880" w:rsidP="00804797" w14:paraId="5363C0D6" w14:textId="2F489817">
      <w:pPr>
        <w:rPr>
          <w:color w:val="000000" w:themeColor="text1"/>
        </w:rPr>
      </w:pPr>
      <w:r w:rsidRPr="00804797">
        <w:rPr>
          <w:color w:val="000000" w:themeColor="text1"/>
        </w:rPr>
        <w:t>OPRE proposes to administer customer satisfaction survey</w:t>
      </w:r>
      <w:r w:rsidR="00FC6002">
        <w:rPr>
          <w:color w:val="000000" w:themeColor="text1"/>
        </w:rPr>
        <w:t>s</w:t>
      </w:r>
      <w:r w:rsidRPr="00804797">
        <w:rPr>
          <w:color w:val="000000" w:themeColor="text1"/>
        </w:rPr>
        <w:t xml:space="preserve"> to individuals from </w:t>
      </w:r>
      <w:r w:rsidR="00C54E33">
        <w:rPr>
          <w:color w:val="000000" w:themeColor="text1"/>
        </w:rPr>
        <w:t>TANF agency teams</w:t>
      </w:r>
      <w:r w:rsidRPr="00804797">
        <w:rPr>
          <w:color w:val="000000" w:themeColor="text1"/>
        </w:rPr>
        <w:t xml:space="preserve"> who attend the</w:t>
      </w:r>
      <w:r>
        <w:rPr>
          <w:color w:val="000000" w:themeColor="text1"/>
        </w:rPr>
        <w:t xml:space="preserve"> following </w:t>
      </w:r>
      <w:r w:rsidR="00535CAD">
        <w:rPr>
          <w:color w:val="000000" w:themeColor="text1"/>
        </w:rPr>
        <w:t>TA</w:t>
      </w:r>
      <w:r>
        <w:rPr>
          <w:color w:val="000000" w:themeColor="text1"/>
        </w:rPr>
        <w:t xml:space="preserve"> activities:</w:t>
      </w:r>
    </w:p>
    <w:p w:rsidR="00BB0880" w:rsidP="00BB0880" w14:paraId="51ECF82B" w14:textId="65C06491">
      <w:pPr>
        <w:pStyle w:val="ListParagraph"/>
        <w:numPr>
          <w:ilvl w:val="0"/>
          <w:numId w:val="27"/>
        </w:numPr>
        <w:rPr>
          <w:color w:val="000000" w:themeColor="text1"/>
        </w:rPr>
      </w:pPr>
      <w:r>
        <w:rPr>
          <w:color w:val="000000" w:themeColor="text1"/>
        </w:rPr>
        <w:t xml:space="preserve">Three </w:t>
      </w:r>
      <w:r w:rsidRPr="005B0141" w:rsidR="64CAA515">
        <w:rPr>
          <w:color w:val="000000" w:themeColor="text1"/>
        </w:rPr>
        <w:t>annual in-person convenings</w:t>
      </w:r>
      <w:r>
        <w:rPr>
          <w:color w:val="000000" w:themeColor="text1"/>
        </w:rPr>
        <w:t>;</w:t>
      </w:r>
      <w:r w:rsidRPr="00B77196" w:rsidR="64CAA515">
        <w:rPr>
          <w:color w:val="000000" w:themeColor="text1"/>
        </w:rPr>
        <w:t xml:space="preserve"> </w:t>
      </w:r>
    </w:p>
    <w:p w:rsidR="00BB0880" w:rsidP="00BB0880" w14:paraId="7DE58CA1" w14:textId="21669623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5B0141">
        <w:rPr>
          <w:color w:val="000000" w:themeColor="text1"/>
        </w:rPr>
        <w:t>TA webinar</w:t>
      </w:r>
      <w:r w:rsidRPr="005B0141" w:rsidR="00714CD6">
        <w:rPr>
          <w:color w:val="000000" w:themeColor="text1"/>
        </w:rPr>
        <w:t>s</w:t>
      </w:r>
      <w:r w:rsidRPr="005B0141">
        <w:rPr>
          <w:color w:val="000000" w:themeColor="text1"/>
        </w:rPr>
        <w:t xml:space="preserve"> (approximately 1</w:t>
      </w:r>
      <w:r w:rsidR="00EA5534">
        <w:rPr>
          <w:color w:val="000000" w:themeColor="text1"/>
        </w:rPr>
        <w:t>5</w:t>
      </w:r>
      <w:r w:rsidRPr="005B0141">
        <w:rPr>
          <w:color w:val="000000" w:themeColor="text1"/>
        </w:rPr>
        <w:t xml:space="preserve"> throughout the 36-month period)</w:t>
      </w:r>
      <w:r>
        <w:rPr>
          <w:color w:val="000000" w:themeColor="text1"/>
        </w:rPr>
        <w:t>;</w:t>
      </w:r>
      <w:r w:rsidR="002170FA">
        <w:rPr>
          <w:color w:val="000000" w:themeColor="text1"/>
        </w:rPr>
        <w:t xml:space="preserve"> and</w:t>
      </w:r>
    </w:p>
    <w:p w:rsidR="00535CAD" w:rsidP="00BB0880" w14:paraId="2BEFC711" w14:textId="77777777">
      <w:pPr>
        <w:pStyle w:val="ListParagraph"/>
        <w:numPr>
          <w:ilvl w:val="0"/>
          <w:numId w:val="27"/>
        </w:numPr>
        <w:rPr>
          <w:color w:val="000000" w:themeColor="text1"/>
        </w:rPr>
      </w:pPr>
      <w:r w:rsidRPr="005B0141">
        <w:rPr>
          <w:color w:val="000000" w:themeColor="text1"/>
        </w:rPr>
        <w:t>the</w:t>
      </w:r>
      <w:r w:rsidRPr="005B0141" w:rsidR="64CAA515">
        <w:rPr>
          <w:color w:val="000000" w:themeColor="text1"/>
        </w:rPr>
        <w:t xml:space="preserve"> A</w:t>
      </w:r>
      <w:r w:rsidRPr="005B0141" w:rsidR="00714CD6">
        <w:rPr>
          <w:color w:val="000000" w:themeColor="text1"/>
        </w:rPr>
        <w:t xml:space="preserve">dvanced </w:t>
      </w:r>
      <w:r w:rsidRPr="005B0141" w:rsidR="64CAA515">
        <w:rPr>
          <w:color w:val="000000" w:themeColor="text1"/>
        </w:rPr>
        <w:t>D</w:t>
      </w:r>
      <w:r w:rsidRPr="005B0141" w:rsidR="00714CD6">
        <w:rPr>
          <w:color w:val="000000" w:themeColor="text1"/>
        </w:rPr>
        <w:t xml:space="preserve">ata </w:t>
      </w:r>
      <w:r w:rsidRPr="005B0141" w:rsidR="64CAA515">
        <w:rPr>
          <w:color w:val="000000" w:themeColor="text1"/>
        </w:rPr>
        <w:t>A</w:t>
      </w:r>
      <w:r w:rsidRPr="005B0141" w:rsidR="00714CD6">
        <w:rPr>
          <w:color w:val="000000" w:themeColor="text1"/>
        </w:rPr>
        <w:t>nalytics (ADA)</w:t>
      </w:r>
      <w:r w:rsidRPr="005B0141" w:rsidR="64CAA515">
        <w:rPr>
          <w:color w:val="000000" w:themeColor="text1"/>
        </w:rPr>
        <w:t xml:space="preserve"> course </w:t>
      </w:r>
      <w:r w:rsidRPr="005B0141" w:rsidR="0053181B">
        <w:rPr>
          <w:color w:val="000000" w:themeColor="text1"/>
        </w:rPr>
        <w:t>(</w:t>
      </w:r>
      <w:r w:rsidRPr="005B0141" w:rsidR="764532C0">
        <w:rPr>
          <w:color w:val="000000" w:themeColor="text1"/>
        </w:rPr>
        <w:t xml:space="preserve">weekly surveys </w:t>
      </w:r>
      <w:r w:rsidRPr="005B0141" w:rsidR="00312DA8">
        <w:rPr>
          <w:color w:val="000000" w:themeColor="text1"/>
        </w:rPr>
        <w:t xml:space="preserve">throughout the </w:t>
      </w:r>
      <w:r w:rsidRPr="005B0141" w:rsidR="7680FA78">
        <w:rPr>
          <w:color w:val="000000" w:themeColor="text1"/>
        </w:rPr>
        <w:t>2</w:t>
      </w:r>
      <w:r w:rsidRPr="005B0141" w:rsidR="007F3133">
        <w:rPr>
          <w:color w:val="000000" w:themeColor="text1"/>
        </w:rPr>
        <w:t>2</w:t>
      </w:r>
      <w:r w:rsidRPr="005B0141" w:rsidR="7680FA78">
        <w:rPr>
          <w:color w:val="000000" w:themeColor="text1"/>
        </w:rPr>
        <w:t>-week</w:t>
      </w:r>
      <w:r w:rsidRPr="005B0141" w:rsidR="00312DA8">
        <w:rPr>
          <w:color w:val="000000" w:themeColor="text1"/>
        </w:rPr>
        <w:t xml:space="preserve"> </w:t>
      </w:r>
      <w:r w:rsidRPr="005B0141" w:rsidR="24A42993">
        <w:rPr>
          <w:color w:val="000000" w:themeColor="text1"/>
        </w:rPr>
        <w:t>course</w:t>
      </w:r>
      <w:r w:rsidRPr="005B0141" w:rsidR="0053181B">
        <w:rPr>
          <w:color w:val="000000" w:themeColor="text1"/>
        </w:rPr>
        <w:t>)</w:t>
      </w:r>
      <w:r w:rsidRPr="005B0141" w:rsidR="64CAA515">
        <w:rPr>
          <w:color w:val="000000" w:themeColor="text1"/>
        </w:rPr>
        <w:t xml:space="preserve">. </w:t>
      </w:r>
    </w:p>
    <w:p w:rsidR="002958B1" w:rsidP="00535CAD" w14:paraId="09A12060" w14:textId="77777777">
      <w:pPr>
        <w:rPr>
          <w:color w:val="000000" w:themeColor="text1"/>
        </w:rPr>
      </w:pPr>
    </w:p>
    <w:p w:rsidR="00C8488C" w:rsidRPr="00C62884" w:rsidP="00804797" w14:paraId="346A2505" w14:textId="5379E469">
      <w:pPr>
        <w:rPr>
          <w:color w:val="000000" w:themeColor="text1"/>
        </w:rPr>
      </w:pPr>
      <w:r w:rsidRPr="005B0141">
        <w:rPr>
          <w:color w:val="000000" w:themeColor="text1"/>
        </w:rPr>
        <w:t xml:space="preserve">The surveys will gather feedback from participants to </w:t>
      </w:r>
      <w:r w:rsidR="00F96B65">
        <w:rPr>
          <w:color w:val="000000" w:themeColor="text1"/>
        </w:rPr>
        <w:t xml:space="preserve">understand their experiences </w:t>
      </w:r>
      <w:r w:rsidR="00FC6002">
        <w:rPr>
          <w:color w:val="000000" w:themeColor="text1"/>
        </w:rPr>
        <w:t xml:space="preserve">and satisfaction with </w:t>
      </w:r>
      <w:r w:rsidRPr="005B0141">
        <w:rPr>
          <w:color w:val="000000" w:themeColor="text1"/>
        </w:rPr>
        <w:t xml:space="preserve">the TA. </w:t>
      </w:r>
      <w:r w:rsidRPr="00804797">
        <w:rPr>
          <w:color w:val="000000" w:themeColor="text1"/>
        </w:rPr>
        <w:t xml:space="preserve">The information collected will be both qualitative and quantitative. OPRE will use the information internally to improve </w:t>
      </w:r>
      <w:r w:rsidR="00F92B81">
        <w:rPr>
          <w:color w:val="000000" w:themeColor="text1"/>
        </w:rPr>
        <w:t>any subsequent</w:t>
      </w:r>
      <w:r w:rsidRPr="00804797" w:rsidR="00F92B81">
        <w:rPr>
          <w:color w:val="000000" w:themeColor="text1"/>
        </w:rPr>
        <w:t xml:space="preserve"> </w:t>
      </w:r>
      <w:r w:rsidR="00F92B81">
        <w:rPr>
          <w:color w:val="000000" w:themeColor="text1"/>
        </w:rPr>
        <w:t>TA</w:t>
      </w:r>
      <w:r w:rsidRPr="00804797">
        <w:rPr>
          <w:color w:val="000000" w:themeColor="text1"/>
        </w:rPr>
        <w:t xml:space="preserve"> activities </w:t>
      </w:r>
      <w:r w:rsidR="00F92B81">
        <w:rPr>
          <w:color w:val="000000" w:themeColor="text1"/>
        </w:rPr>
        <w:t>during</w:t>
      </w:r>
      <w:r w:rsidRPr="00804797" w:rsidR="00F92B81">
        <w:rPr>
          <w:color w:val="000000" w:themeColor="text1"/>
        </w:rPr>
        <w:t xml:space="preserve"> </w:t>
      </w:r>
      <w:r w:rsidRPr="00804797">
        <w:rPr>
          <w:color w:val="000000" w:themeColor="text1"/>
        </w:rPr>
        <w:t>TDC 2.0</w:t>
      </w:r>
      <w:r w:rsidR="002F2E3E">
        <w:rPr>
          <w:color w:val="000000" w:themeColor="text1"/>
        </w:rPr>
        <w:t xml:space="preserve"> and </w:t>
      </w:r>
      <w:r w:rsidR="00FC6002">
        <w:rPr>
          <w:color w:val="000000" w:themeColor="text1"/>
        </w:rPr>
        <w:t>to potentially</w:t>
      </w:r>
      <w:r w:rsidR="002F2E3E">
        <w:rPr>
          <w:color w:val="000000" w:themeColor="text1"/>
        </w:rPr>
        <w:t xml:space="preserve"> inform future planning for TA activities following TDC 2.0</w:t>
      </w:r>
      <w:r w:rsidRPr="00804797">
        <w:rPr>
          <w:color w:val="000000" w:themeColor="text1"/>
        </w:rPr>
        <w:t xml:space="preserve">. </w:t>
      </w:r>
      <w:r w:rsidR="002F2E3E">
        <w:rPr>
          <w:color w:val="000000" w:themeColor="text1"/>
        </w:rPr>
        <w:t>The information</w:t>
      </w:r>
      <w:r w:rsidRPr="00804797" w:rsidR="002F2E3E">
        <w:rPr>
          <w:color w:val="000000" w:themeColor="text1"/>
        </w:rPr>
        <w:t xml:space="preserve"> </w:t>
      </w:r>
      <w:r w:rsidRPr="00804797">
        <w:rPr>
          <w:color w:val="000000" w:themeColor="text1"/>
        </w:rPr>
        <w:t>may also be included in the final project report to describe participants’ experience</w:t>
      </w:r>
      <w:r w:rsidR="00FC6002">
        <w:rPr>
          <w:color w:val="000000" w:themeColor="text1"/>
        </w:rPr>
        <w:t>s</w:t>
      </w:r>
      <w:r w:rsidRPr="00804797">
        <w:rPr>
          <w:color w:val="000000" w:themeColor="text1"/>
        </w:rPr>
        <w:t xml:space="preserve"> with the initiative. </w:t>
      </w:r>
      <w:r w:rsidRPr="00C62884">
        <w:rPr>
          <w:color w:val="000000" w:themeColor="text1"/>
        </w:rPr>
        <w:t xml:space="preserve">Any written material containing information from this collection will indicate that </w:t>
      </w:r>
      <w:r w:rsidR="00FC6002">
        <w:rPr>
          <w:color w:val="000000" w:themeColor="text1"/>
        </w:rPr>
        <w:t>the</w:t>
      </w:r>
      <w:r w:rsidRPr="00C62884">
        <w:rPr>
          <w:color w:val="000000" w:themeColor="text1"/>
        </w:rPr>
        <w:t xml:space="preserve"> information collected is not generalizable to all participants in </w:t>
      </w:r>
      <w:r w:rsidR="0029340D">
        <w:rPr>
          <w:color w:val="000000" w:themeColor="text1"/>
        </w:rPr>
        <w:t>TDC</w:t>
      </w:r>
      <w:r w:rsidRPr="00C62884">
        <w:rPr>
          <w:color w:val="000000" w:themeColor="text1"/>
        </w:rPr>
        <w:t xml:space="preserve"> 2.0.</w:t>
      </w:r>
    </w:p>
    <w:p w:rsidR="00F56D8E" w:rsidRPr="007300BF" w:rsidP="00644610" w14:paraId="361D6151" w14:textId="77777777">
      <w:pPr>
        <w:shd w:val="clear" w:color="auto" w:fill="FFFFFF" w:themeFill="background1"/>
        <w:ind w:left="360"/>
        <w:rPr>
          <w:lang w:val="en"/>
        </w:rPr>
      </w:pPr>
    </w:p>
    <w:p w:rsidR="00F15956" w:rsidP="00804797" w14:paraId="6D88AFB8" w14:textId="33132993">
      <w:pPr>
        <w:rPr>
          <w:sz w:val="20"/>
          <w:szCs w:val="20"/>
        </w:rPr>
      </w:pPr>
      <w:r w:rsidRPr="4FB82A9F">
        <w:rPr>
          <w:b/>
          <w:bCs/>
        </w:rPr>
        <w:t>DESCRIPTION OF RESPONDENTS</w:t>
      </w:r>
      <w:r>
        <w:t xml:space="preserve">: </w:t>
      </w:r>
      <w:r w:rsidRPr="00804797" w:rsidR="0CBCF82D">
        <w:rPr>
          <w:color w:val="000000" w:themeColor="text1"/>
        </w:rPr>
        <w:t xml:space="preserve">Individuals who are government employees who work with the TANF program in their state </w:t>
      </w:r>
      <w:r w:rsidR="00F57D45">
        <w:rPr>
          <w:color w:val="000000" w:themeColor="text1"/>
        </w:rPr>
        <w:t xml:space="preserve">or county </w:t>
      </w:r>
      <w:r w:rsidR="00E20390">
        <w:rPr>
          <w:color w:val="000000" w:themeColor="text1"/>
        </w:rPr>
        <w:t xml:space="preserve">that was </w:t>
      </w:r>
      <w:r w:rsidR="001D22B9">
        <w:rPr>
          <w:color w:val="000000" w:themeColor="text1"/>
        </w:rPr>
        <w:t xml:space="preserve">awarded a TDC Equity Analysis Award </w:t>
      </w:r>
      <w:r w:rsidRPr="00804797" w:rsidR="0CBCF82D">
        <w:rPr>
          <w:color w:val="000000" w:themeColor="text1"/>
        </w:rPr>
        <w:t>and</w:t>
      </w:r>
      <w:r w:rsidR="001D22B9">
        <w:rPr>
          <w:color w:val="000000" w:themeColor="text1"/>
        </w:rPr>
        <w:t xml:space="preserve"> who</w:t>
      </w:r>
      <w:r w:rsidRPr="00804797" w:rsidR="0CBCF82D">
        <w:rPr>
          <w:color w:val="000000" w:themeColor="text1"/>
        </w:rPr>
        <w:t xml:space="preserve"> have been active participants in the initiative</w:t>
      </w:r>
      <w:r w:rsidR="00F57D45">
        <w:rPr>
          <w:color w:val="000000" w:themeColor="text1"/>
        </w:rPr>
        <w:t>.</w:t>
      </w:r>
    </w:p>
    <w:p w:rsidR="00E26329" w14:paraId="5A2A73FA" w14:textId="77777777">
      <w:pPr>
        <w:rPr>
          <w:b/>
        </w:rPr>
      </w:pPr>
    </w:p>
    <w:p w:rsidR="00F06866" w:rsidRPr="00F06866" w:rsidP="4FB82A9F" w14:paraId="29B013D7" w14:textId="13803BB2">
      <w:pPr>
        <w:rPr>
          <w:b/>
          <w:bCs/>
        </w:rPr>
      </w:pPr>
      <w:r w:rsidRPr="4FB82A9F">
        <w:rPr>
          <w:b/>
          <w:bCs/>
        </w:rPr>
        <w:t>TYPE OF COLLECTION:</w:t>
      </w:r>
      <w:r>
        <w:t xml:space="preserve"> </w:t>
      </w:r>
    </w:p>
    <w:p w:rsidR="00441434" w:rsidRPr="00434E33" w:rsidP="0096108F" w14:paraId="62F5E6A9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804797" w14:paraId="0E9ECD25" w14:textId="29B04E75">
      <w:pPr>
        <w:pStyle w:val="BodyTextIndent"/>
        <w:tabs>
          <w:tab w:val="left" w:pos="360"/>
        </w:tabs>
        <w:ind w:left="0"/>
        <w:rPr>
          <w:sz w:val="24"/>
          <w:szCs w:val="24"/>
        </w:rPr>
      </w:pPr>
      <w:r w:rsidRPr="00804797">
        <w:rPr>
          <w:sz w:val="24"/>
          <w:szCs w:val="24"/>
        </w:rPr>
        <w:t>[ ]</w:t>
      </w:r>
      <w:r w:rsidRPr="00804797">
        <w:rPr>
          <w:sz w:val="24"/>
          <w:szCs w:val="24"/>
        </w:rPr>
        <w:t xml:space="preserve"> </w:t>
      </w:r>
      <w:r w:rsidRPr="00804797">
        <w:rPr>
          <w:sz w:val="24"/>
          <w:szCs w:val="24"/>
        </w:rPr>
        <w:t>Customer Comment Card/Complaint Form</w:t>
      </w:r>
      <w:r w:rsidRPr="00804797">
        <w:rPr>
          <w:sz w:val="24"/>
          <w:szCs w:val="24"/>
        </w:rPr>
        <w:t xml:space="preserve"> </w:t>
      </w:r>
      <w:r>
        <w:tab/>
      </w:r>
      <w:r w:rsidRPr="00804797">
        <w:rPr>
          <w:sz w:val="24"/>
          <w:szCs w:val="24"/>
        </w:rPr>
        <w:t>[</w:t>
      </w:r>
      <w:r w:rsidRPr="00804797" w:rsidR="7870EB47">
        <w:rPr>
          <w:sz w:val="24"/>
          <w:szCs w:val="24"/>
        </w:rPr>
        <w:t>X</w:t>
      </w:r>
      <w:r w:rsidRPr="00804797">
        <w:rPr>
          <w:sz w:val="24"/>
          <w:szCs w:val="24"/>
        </w:rPr>
        <w:t xml:space="preserve">] </w:t>
      </w:r>
      <w:r w:rsidRPr="00804797">
        <w:rPr>
          <w:sz w:val="24"/>
          <w:szCs w:val="24"/>
        </w:rPr>
        <w:t>Customer Satisfaction Survey</w:t>
      </w:r>
      <w:r w:rsidRPr="00804797">
        <w:rPr>
          <w:sz w:val="24"/>
          <w:szCs w:val="24"/>
        </w:rPr>
        <w:t xml:space="preserve"> </w:t>
      </w:r>
      <w:r w:rsidRPr="00804797" w:rsidR="00CA2650">
        <w:rPr>
          <w:sz w:val="24"/>
          <w:szCs w:val="24"/>
        </w:rPr>
        <w:t xml:space="preserve">  </w:t>
      </w:r>
      <w:r w:rsidRPr="00804797">
        <w:rPr>
          <w:sz w:val="24"/>
          <w:szCs w:val="24"/>
        </w:rPr>
        <w:t xml:space="preserve"> </w:t>
      </w:r>
    </w:p>
    <w:p w:rsidR="0096108F" w:rsidP="0096108F" w14:paraId="7D30BF8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5231B6D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5840A43B" w14:textId="77777777">
      <w:pPr>
        <w:pStyle w:val="Header"/>
        <w:tabs>
          <w:tab w:val="clear" w:pos="4320"/>
          <w:tab w:val="clear" w:pos="8640"/>
        </w:tabs>
      </w:pPr>
    </w:p>
    <w:p w:rsidR="00CA2650" w14:paraId="42E95FD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0E0FD232" w14:textId="77777777">
      <w:pPr>
        <w:rPr>
          <w:sz w:val="16"/>
          <w:szCs w:val="16"/>
        </w:rPr>
      </w:pPr>
    </w:p>
    <w:p w:rsidR="008101A5" w:rsidRPr="009C13B9" w:rsidP="008101A5" w14:paraId="0FFF7606" w14:textId="77777777">
      <w:r>
        <w:t xml:space="preserve">I certify the following to be true: </w:t>
      </w:r>
    </w:p>
    <w:p w:rsidR="008101A5" w:rsidP="008101A5" w14:paraId="565F7DF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286FAED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F93469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300822EA" w14:textId="39347632">
      <w:pPr>
        <w:pStyle w:val="ListParagraph"/>
        <w:numPr>
          <w:ilvl w:val="0"/>
          <w:numId w:val="14"/>
        </w:numPr>
      </w:pPr>
      <w:r>
        <w:t xml:space="preserve">The </w:t>
      </w:r>
      <w:r w:rsidR="00340E84">
        <w:t xml:space="preserve">primary purpose of the </w:t>
      </w:r>
      <w:r>
        <w:t xml:space="preserve">results </w:t>
      </w:r>
      <w:r w:rsidR="00340E84">
        <w:t>is</w:t>
      </w:r>
      <w:r>
        <w:t xml:space="preserve"> </w:t>
      </w:r>
      <w:r w:rsidRPr="00804797">
        <w:rPr>
          <w:u w:val="single"/>
        </w:rPr>
        <w:t>not</w:t>
      </w:r>
      <w:r>
        <w:t xml:space="preserve"> </w:t>
      </w:r>
      <w:r w:rsidR="00340E84">
        <w:t>for public dissemination.</w:t>
      </w:r>
      <w:r>
        <w:tab/>
      </w:r>
      <w:r>
        <w:tab/>
      </w:r>
    </w:p>
    <w:p w:rsidR="008101A5" w:rsidP="008101A5" w14:paraId="433041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D5B0FA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97544A1" w14:textId="77777777"/>
    <w:p w:rsidR="009C13B9" w:rsidP="00AF2CF7" w14:paraId="3CEE2C19" w14:textId="44BC3132">
      <w:pPr>
        <w:ind w:left="2160" w:hanging="2160"/>
      </w:pPr>
      <w:r>
        <w:t>Name</w:t>
      </w:r>
      <w:r w:rsidR="00340E84">
        <w:t xml:space="preserve"> and affiliation</w:t>
      </w:r>
      <w:r>
        <w:t>:</w:t>
      </w:r>
      <w:r w:rsidR="00F762B3">
        <w:t xml:space="preserve"> </w:t>
      </w:r>
      <w:r w:rsidRPr="00AF2CF7" w:rsidR="00A9518B">
        <w:rPr>
          <w:u w:val="single"/>
        </w:rPr>
        <w:t>Siri Warkentien; Office of Planning, Research, and Evaluation; Social Science Research Analyst</w:t>
      </w:r>
      <w:r w:rsidR="01E3AD0E">
        <w:t xml:space="preserve"> </w:t>
      </w:r>
    </w:p>
    <w:p w:rsidR="002958B1" w:rsidP="0054092A" w14:paraId="47C70B33" w14:textId="77777777"/>
    <w:p w:rsidR="009C13B9" w:rsidP="009C13B9" w14:paraId="181E99A5" w14:textId="4F9ACA0D">
      <w:r>
        <w:t>To assist review, please provide answers to the following question</w:t>
      </w:r>
      <w:r w:rsidR="00340E84">
        <w:t>s</w:t>
      </w:r>
      <w:r>
        <w:t>:</w:t>
      </w:r>
    </w:p>
    <w:p w:rsidR="009C13B9" w:rsidP="009C13B9" w14:paraId="68F90B42" w14:textId="2FB4E961">
      <w:pPr>
        <w:pStyle w:val="ListParagraph"/>
        <w:ind w:left="360"/>
      </w:pPr>
    </w:p>
    <w:p w:rsidR="009C13B9" w:rsidRPr="00C86E91" w:rsidP="00C86E91" w14:paraId="3531C549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16A40FC" w14:textId="5C838A55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2C0B33C4">
        <w:t>X</w:t>
      </w:r>
      <w:r w:rsidR="009239AA">
        <w:t xml:space="preserve"> ]</w:t>
      </w:r>
      <w:r w:rsidR="009239AA">
        <w:t xml:space="preserve"> Yes  [ ]  No </w:t>
      </w:r>
    </w:p>
    <w:p w:rsidR="00C86E91" w:rsidP="00C86E91" w14:paraId="744BD79D" w14:textId="3B3A3A7F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Yes [ </w:t>
      </w:r>
      <w:r w:rsidR="2DC96A5B">
        <w:t>X</w:t>
      </w:r>
      <w:r w:rsidR="009239AA">
        <w:t>] No</w:t>
      </w:r>
      <w:r>
        <w:t xml:space="preserve">   </w:t>
      </w:r>
    </w:p>
    <w:p w:rsidR="00C86E91" w:rsidP="00C86E91" w14:paraId="1C9B9A99" w14:textId="3AC1A49A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Yes  [  ] No</w:t>
      </w:r>
    </w:p>
    <w:p w:rsidR="00CF6542" w:rsidP="00C86E91" w14:paraId="18869D1A" w14:textId="77777777">
      <w:pPr>
        <w:pStyle w:val="ListParagraph"/>
        <w:ind w:left="0"/>
        <w:rPr>
          <w:b/>
        </w:rPr>
      </w:pPr>
    </w:p>
    <w:p w:rsidR="00841233" w:rsidP="00C86E91" w14:paraId="0A4D2B3F" w14:textId="5392E137">
      <w:pPr>
        <w:pStyle w:val="ListParagraph"/>
        <w:ind w:left="0"/>
        <w:rPr>
          <w:bCs/>
        </w:rPr>
      </w:pPr>
      <w:r>
        <w:rPr>
          <w:bCs/>
        </w:rPr>
        <w:t>For some of the data collection instruments, n</w:t>
      </w:r>
      <w:r w:rsidRPr="000A75C2">
        <w:rPr>
          <w:bCs/>
        </w:rPr>
        <w:t>ames and</w:t>
      </w:r>
      <w:r>
        <w:rPr>
          <w:bCs/>
        </w:rPr>
        <w:t xml:space="preserve"> e-mail addresses will be collected so that the team can follow-up with respondents if needed to clarify the feedback.</w:t>
      </w:r>
    </w:p>
    <w:p w:rsidR="00841233" w:rsidRPr="000A75C2" w:rsidP="00C86E91" w14:paraId="08518563" w14:textId="77777777">
      <w:pPr>
        <w:pStyle w:val="ListParagraph"/>
        <w:ind w:left="0"/>
        <w:rPr>
          <w:bCs/>
        </w:rPr>
      </w:pPr>
    </w:p>
    <w:p w:rsidR="10C37CDC" w:rsidP="10C37CDC" w14:paraId="44DB735A" w14:textId="3F9A7CFA">
      <w:r w:rsidRPr="10C37CDC">
        <w:rPr>
          <w:b/>
          <w:bCs/>
        </w:rPr>
        <w:t>Tokens of Appreciation or Honoraria:</w:t>
      </w:r>
    </w:p>
    <w:p w:rsidR="10C37CDC" w:rsidP="10C37CDC" w14:paraId="3687CE7E" w14:textId="7E0105AC">
      <w:r w:rsidRPr="002958B1">
        <w:t>Will a t</w:t>
      </w:r>
      <w:r w:rsidRPr="000A75C2">
        <w:t xml:space="preserve">oken of </w:t>
      </w:r>
      <w:r w:rsidRPr="002958B1">
        <w:t>appreciation</w:t>
      </w:r>
      <w:r w:rsidRPr="00804797">
        <w:t xml:space="preserve"> or honoraria be provided to participants?  </w:t>
      </w:r>
      <w:r w:rsidRPr="00804797">
        <w:t>[  ]</w:t>
      </w:r>
      <w:r w:rsidRPr="00804797">
        <w:t xml:space="preserve"> Yes [ </w:t>
      </w:r>
      <w:r w:rsidRPr="00804797" w:rsidR="3B895DFE">
        <w:t>X</w:t>
      </w:r>
      <w:r w:rsidRPr="00804797">
        <w:t xml:space="preserve">] No   </w:t>
      </w:r>
    </w:p>
    <w:p w:rsidR="004D6E14" w:rsidP="00804797" w14:paraId="1700CE24" w14:textId="4BDA375D">
      <w:pPr>
        <w:rPr>
          <w:b/>
          <w:bCs/>
        </w:rPr>
      </w:pPr>
      <w:r w:rsidRPr="00804797">
        <w:rPr>
          <w:b/>
          <w:bCs/>
        </w:rPr>
        <w:t xml:space="preserve"> </w:t>
      </w:r>
    </w:p>
    <w:p w:rsidR="005E714A" w:rsidP="00C86E91" w14:paraId="23B139B4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2958B1" w:rsidRPr="000A75C2" w:rsidP="00F3170F" w14:paraId="737BD85D" w14:textId="77777777">
      <w:pPr>
        <w:keepNext/>
        <w:keepLines/>
        <w:rPr>
          <w:bCs/>
        </w:rPr>
      </w:pPr>
      <w:r w:rsidRPr="000A75C2">
        <w:rPr>
          <w:bCs/>
        </w:rPr>
        <w:t xml:space="preserve">Burden estimates are based on the following assumptions: </w:t>
      </w:r>
    </w:p>
    <w:p w:rsidR="002958B1" w:rsidRPr="000A75C2" w:rsidP="002958B1" w14:paraId="64302B59" w14:textId="7571BD76">
      <w:pPr>
        <w:pStyle w:val="ListParagraph"/>
        <w:keepNext/>
        <w:keepLines/>
        <w:numPr>
          <w:ilvl w:val="0"/>
          <w:numId w:val="28"/>
        </w:numPr>
        <w:rPr>
          <w:b/>
        </w:rPr>
      </w:pPr>
      <w:r>
        <w:t xml:space="preserve">TDC 2.0 Webinar Feedback Survey: </w:t>
      </w:r>
      <w:r w:rsidR="00934ED4">
        <w:t>We estimate that</w:t>
      </w:r>
      <w:r w:rsidRPr="007E6FFB" w:rsidR="00934ED4">
        <w:rPr>
          <w:color w:val="000000" w:themeColor="text1"/>
        </w:rPr>
        <w:t xml:space="preserve"> </w:t>
      </w:r>
      <w:r w:rsidR="000D2CBF">
        <w:rPr>
          <w:color w:val="000000" w:themeColor="text1"/>
        </w:rPr>
        <w:t xml:space="preserve">32 </w:t>
      </w:r>
      <w:r w:rsidRPr="007E6FFB" w:rsidR="00934ED4">
        <w:rPr>
          <w:color w:val="000000" w:themeColor="text1"/>
        </w:rPr>
        <w:t xml:space="preserve">team members </w:t>
      </w:r>
      <w:r w:rsidR="00934ED4">
        <w:rPr>
          <w:color w:val="000000" w:themeColor="text1"/>
        </w:rPr>
        <w:t xml:space="preserve">will </w:t>
      </w:r>
      <w:r w:rsidRPr="007E6FFB" w:rsidR="00934ED4">
        <w:rPr>
          <w:color w:val="000000" w:themeColor="text1"/>
        </w:rPr>
        <w:t xml:space="preserve">attend each monthly webinar and </w:t>
      </w:r>
      <w:r w:rsidR="009B7AB9">
        <w:rPr>
          <w:color w:val="000000" w:themeColor="text1"/>
        </w:rPr>
        <w:t>100</w:t>
      </w:r>
      <w:r w:rsidRPr="007E6FFB" w:rsidR="00934ED4">
        <w:rPr>
          <w:color w:val="000000" w:themeColor="text1"/>
        </w:rPr>
        <w:t xml:space="preserve">% </w:t>
      </w:r>
      <w:r w:rsidR="009B7AB9">
        <w:rPr>
          <w:color w:val="000000" w:themeColor="text1"/>
        </w:rPr>
        <w:t xml:space="preserve">will </w:t>
      </w:r>
      <w:r w:rsidRPr="007E6FFB" w:rsidR="00934ED4">
        <w:rPr>
          <w:color w:val="000000" w:themeColor="text1"/>
        </w:rPr>
        <w:t>respon</w:t>
      </w:r>
      <w:r w:rsidR="002D08A7">
        <w:rPr>
          <w:color w:val="000000" w:themeColor="text1"/>
        </w:rPr>
        <w:t>d.</w:t>
      </w:r>
      <w:r w:rsidRPr="007E6FFB" w:rsidR="00934ED4">
        <w:rPr>
          <w:color w:val="000000" w:themeColor="text1"/>
        </w:rPr>
        <w:t xml:space="preserve"> </w:t>
      </w:r>
    </w:p>
    <w:p w:rsidR="00934ED4" w:rsidRPr="000A75C2" w:rsidP="002958B1" w14:paraId="3872704D" w14:textId="3431601E">
      <w:pPr>
        <w:pStyle w:val="ListParagraph"/>
        <w:keepNext/>
        <w:keepLines/>
        <w:numPr>
          <w:ilvl w:val="0"/>
          <w:numId w:val="28"/>
        </w:numPr>
        <w:rPr>
          <w:b/>
        </w:rPr>
      </w:pPr>
      <w:r>
        <w:t>TDC 2.0 ADA Surveys: We estimate that</w:t>
      </w:r>
      <w:r w:rsidRPr="007E6FFB">
        <w:rPr>
          <w:color w:val="000000" w:themeColor="text1"/>
        </w:rPr>
        <w:t xml:space="preserve"> </w:t>
      </w:r>
      <w:r w:rsidR="00F0546A">
        <w:rPr>
          <w:color w:val="000000" w:themeColor="text1"/>
        </w:rPr>
        <w:t xml:space="preserve">all </w:t>
      </w:r>
      <w:r w:rsidR="00660968">
        <w:rPr>
          <w:color w:val="000000" w:themeColor="text1"/>
        </w:rPr>
        <w:t>30</w:t>
      </w:r>
      <w:r w:rsidR="00F0546A">
        <w:rPr>
          <w:color w:val="000000" w:themeColor="text1"/>
        </w:rPr>
        <w:t xml:space="preserve"> ADA participants </w:t>
      </w:r>
      <w:r w:rsidR="005A1F04">
        <w:rPr>
          <w:color w:val="000000" w:themeColor="text1"/>
        </w:rPr>
        <w:t xml:space="preserve">will </w:t>
      </w:r>
      <w:r>
        <w:rPr>
          <w:color w:val="000000" w:themeColor="text1"/>
        </w:rPr>
        <w:t>respond to</w:t>
      </w:r>
      <w:r w:rsidRPr="007E6FFB">
        <w:rPr>
          <w:color w:val="000000" w:themeColor="text1"/>
        </w:rPr>
        <w:t xml:space="preserve"> </w:t>
      </w:r>
      <w:r>
        <w:rPr>
          <w:color w:val="000000" w:themeColor="text1"/>
        </w:rPr>
        <w:t>each</w:t>
      </w:r>
      <w:r w:rsidRPr="007E6FFB">
        <w:rPr>
          <w:color w:val="000000" w:themeColor="text1"/>
        </w:rPr>
        <w:t xml:space="preserve"> </w:t>
      </w:r>
      <w:r>
        <w:rPr>
          <w:color w:val="000000" w:themeColor="text1"/>
        </w:rPr>
        <w:t>survey administration</w:t>
      </w:r>
      <w:r w:rsidR="002D08A7">
        <w:rPr>
          <w:color w:val="000000" w:themeColor="text1"/>
        </w:rPr>
        <w:t>.</w:t>
      </w:r>
    </w:p>
    <w:p w:rsidR="00934ED4" w:rsidRPr="000A75C2" w:rsidP="002958B1" w14:paraId="0A88BAED" w14:textId="42305F4B">
      <w:pPr>
        <w:pStyle w:val="ListParagraph"/>
        <w:keepNext/>
        <w:keepLines/>
        <w:numPr>
          <w:ilvl w:val="0"/>
          <w:numId w:val="28"/>
        </w:numPr>
        <w:rPr>
          <w:b/>
        </w:rPr>
      </w:pPr>
      <w:r>
        <w:t>TDC 2.0 Annual Convening Feedback Survey: We estimate that</w:t>
      </w:r>
      <w:r w:rsidRPr="007E6FFB">
        <w:rPr>
          <w:color w:val="000000" w:themeColor="text1"/>
        </w:rPr>
        <w:t xml:space="preserve"> </w:t>
      </w:r>
      <w:r w:rsidR="00EE4A52">
        <w:rPr>
          <w:color w:val="000000" w:themeColor="text1"/>
        </w:rPr>
        <w:t xml:space="preserve">all </w:t>
      </w:r>
      <w:r w:rsidR="00D87D21">
        <w:rPr>
          <w:color w:val="000000" w:themeColor="text1"/>
        </w:rPr>
        <w:t>32</w:t>
      </w:r>
      <w:r w:rsidR="00EE4A52">
        <w:rPr>
          <w:color w:val="000000" w:themeColor="text1"/>
        </w:rPr>
        <w:t xml:space="preserve"> convening attendees will </w:t>
      </w:r>
      <w:r w:rsidR="00D93C34">
        <w:rPr>
          <w:color w:val="000000" w:themeColor="text1"/>
        </w:rPr>
        <w:t>respond to the survey.</w:t>
      </w:r>
    </w:p>
    <w:p w:rsidR="00934ED4" w:rsidRPr="000A75C2" w:rsidP="000A75C2" w14:paraId="2447B78A" w14:textId="77777777">
      <w:pPr>
        <w:pStyle w:val="ListParagraph"/>
        <w:keepNext/>
        <w:keepLines/>
        <w:ind w:left="780"/>
        <w:rPr>
          <w:b/>
        </w:rPr>
      </w:pP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5"/>
        <w:gridCol w:w="1350"/>
        <w:gridCol w:w="1350"/>
        <w:gridCol w:w="1620"/>
        <w:gridCol w:w="1440"/>
        <w:gridCol w:w="900"/>
      </w:tblGrid>
      <w:tr w14:paraId="14D0480D" w14:textId="77777777" w:rsidTr="00D03775">
        <w:tblPrEx>
          <w:tblW w:w="917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15" w:type="dxa"/>
          </w:tcPr>
          <w:p w:rsidR="00340E84" w:rsidRPr="00D03775" w:rsidP="00C8488C" w14:paraId="674C58C3" w14:textId="6D90EE58">
            <w:pPr>
              <w:rPr>
                <w:b/>
                <w:sz w:val="20"/>
                <w:szCs w:val="20"/>
              </w:rPr>
            </w:pPr>
            <w:r w:rsidRPr="00D03775">
              <w:rPr>
                <w:b/>
                <w:sz w:val="20"/>
                <w:szCs w:val="20"/>
              </w:rPr>
              <w:t>Information Collection</w:t>
            </w:r>
          </w:p>
        </w:tc>
        <w:tc>
          <w:tcPr>
            <w:tcW w:w="1350" w:type="dxa"/>
          </w:tcPr>
          <w:p w:rsidR="00340E84" w:rsidRPr="00D03775" w:rsidP="00C8488C" w14:paraId="432BD2DC" w14:textId="11A0F7BA">
            <w:pPr>
              <w:rPr>
                <w:b/>
                <w:sz w:val="20"/>
                <w:szCs w:val="20"/>
              </w:rPr>
            </w:pPr>
            <w:r w:rsidRPr="00D03775">
              <w:rPr>
                <w:b/>
                <w:sz w:val="20"/>
                <w:szCs w:val="20"/>
              </w:rPr>
              <w:t xml:space="preserve">Category of Respondent </w:t>
            </w:r>
          </w:p>
        </w:tc>
        <w:tc>
          <w:tcPr>
            <w:tcW w:w="1350" w:type="dxa"/>
          </w:tcPr>
          <w:p w:rsidR="00340E84" w:rsidRPr="00D03775" w:rsidP="00843796" w14:paraId="03451CBD" w14:textId="77777777">
            <w:pPr>
              <w:rPr>
                <w:b/>
                <w:sz w:val="20"/>
                <w:szCs w:val="20"/>
              </w:rPr>
            </w:pPr>
            <w:r w:rsidRPr="00D03775">
              <w:rPr>
                <w:b/>
                <w:sz w:val="20"/>
                <w:szCs w:val="20"/>
              </w:rPr>
              <w:t>No. of Respondents</w:t>
            </w:r>
          </w:p>
        </w:tc>
        <w:tc>
          <w:tcPr>
            <w:tcW w:w="1620" w:type="dxa"/>
          </w:tcPr>
          <w:p w:rsidR="00340E84" w:rsidRPr="00D03775" w:rsidP="00843796" w14:paraId="3F9470DC" w14:textId="5E8AEB1B">
            <w:pPr>
              <w:rPr>
                <w:b/>
                <w:sz w:val="20"/>
                <w:szCs w:val="20"/>
              </w:rPr>
            </w:pPr>
            <w:r w:rsidRPr="00D03775">
              <w:rPr>
                <w:b/>
                <w:sz w:val="20"/>
                <w:szCs w:val="20"/>
              </w:rPr>
              <w:t>No. of Responses per Respondent</w:t>
            </w:r>
          </w:p>
        </w:tc>
        <w:tc>
          <w:tcPr>
            <w:tcW w:w="1440" w:type="dxa"/>
          </w:tcPr>
          <w:p w:rsidR="00340E84" w:rsidRPr="00D03775" w:rsidP="00843796" w14:paraId="0D6C37D5" w14:textId="2CA736C1">
            <w:pPr>
              <w:rPr>
                <w:b/>
                <w:sz w:val="20"/>
                <w:szCs w:val="20"/>
              </w:rPr>
            </w:pPr>
            <w:r w:rsidRPr="00D03775">
              <w:rPr>
                <w:b/>
                <w:sz w:val="20"/>
                <w:szCs w:val="20"/>
              </w:rPr>
              <w:t>Estimated Time per Response</w:t>
            </w:r>
            <w:r w:rsidRPr="00D0377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</w:tcPr>
          <w:p w:rsidR="00340E84" w:rsidRPr="00D03775" w:rsidP="00843796" w14:paraId="0BA6B090" w14:textId="162A9184">
            <w:pPr>
              <w:rPr>
                <w:b/>
                <w:sz w:val="20"/>
                <w:szCs w:val="20"/>
              </w:rPr>
            </w:pPr>
            <w:r w:rsidRPr="00D03775">
              <w:rPr>
                <w:b/>
                <w:sz w:val="20"/>
                <w:szCs w:val="20"/>
              </w:rPr>
              <w:t>Burden Hours</w:t>
            </w:r>
          </w:p>
        </w:tc>
      </w:tr>
      <w:tr w14:paraId="1F158995" w14:textId="77777777" w:rsidTr="00D03775">
        <w:tblPrEx>
          <w:tblW w:w="9175" w:type="dxa"/>
          <w:tblLayout w:type="fixed"/>
          <w:tblLook w:val="01E0"/>
        </w:tblPrEx>
        <w:trPr>
          <w:trHeight w:val="274"/>
        </w:trPr>
        <w:tc>
          <w:tcPr>
            <w:tcW w:w="2515" w:type="dxa"/>
          </w:tcPr>
          <w:p w:rsidR="00340E84" w:rsidRPr="00D03775" w:rsidP="00843796" w14:paraId="585F12D8" w14:textId="760BD6E3">
            <w:pPr>
              <w:rPr>
                <w:sz w:val="20"/>
                <w:szCs w:val="20"/>
              </w:rPr>
            </w:pPr>
            <w:r w:rsidRPr="00D03775">
              <w:rPr>
                <w:sz w:val="20"/>
                <w:szCs w:val="20"/>
              </w:rPr>
              <w:t>TDC 2.0</w:t>
            </w:r>
            <w:r w:rsidRPr="00D03775" w:rsidR="602A4784">
              <w:rPr>
                <w:sz w:val="20"/>
                <w:szCs w:val="20"/>
              </w:rPr>
              <w:t xml:space="preserve"> </w:t>
            </w:r>
            <w:r w:rsidRPr="00D03775" w:rsidR="5487BA6F">
              <w:rPr>
                <w:sz w:val="20"/>
                <w:szCs w:val="20"/>
              </w:rPr>
              <w:t xml:space="preserve">Webinar Feedback Survey </w:t>
            </w:r>
          </w:p>
        </w:tc>
        <w:tc>
          <w:tcPr>
            <w:tcW w:w="1350" w:type="dxa"/>
          </w:tcPr>
          <w:p w:rsidR="00340E84" w:rsidRPr="00D03775" w:rsidP="00804797" w14:paraId="1568D5FE" w14:textId="57263533">
            <w:pPr>
              <w:rPr>
                <w:sz w:val="20"/>
                <w:szCs w:val="20"/>
              </w:rPr>
            </w:pPr>
            <w:r w:rsidRPr="00D03775">
              <w:rPr>
                <w:sz w:val="20"/>
                <w:szCs w:val="20"/>
              </w:rPr>
              <w:t xml:space="preserve">State </w:t>
            </w:r>
            <w:r w:rsidRPr="00D03775" w:rsidR="004E4F9F">
              <w:rPr>
                <w:sz w:val="20"/>
                <w:szCs w:val="20"/>
              </w:rPr>
              <w:t xml:space="preserve">or </w:t>
            </w:r>
            <w:r w:rsidRPr="00D03775">
              <w:rPr>
                <w:sz w:val="20"/>
                <w:szCs w:val="20"/>
              </w:rPr>
              <w:t>local</w:t>
            </w:r>
            <w:r w:rsidRPr="00D03775" w:rsidR="00C829B0">
              <w:rPr>
                <w:sz w:val="20"/>
                <w:szCs w:val="20"/>
              </w:rPr>
              <w:t xml:space="preserve"> </w:t>
            </w:r>
            <w:r w:rsidRPr="00D03775">
              <w:rPr>
                <w:sz w:val="20"/>
                <w:szCs w:val="20"/>
              </w:rPr>
              <w:t>governments</w:t>
            </w:r>
          </w:p>
        </w:tc>
        <w:tc>
          <w:tcPr>
            <w:tcW w:w="1350" w:type="dxa"/>
            <w:vAlign w:val="center"/>
          </w:tcPr>
          <w:p w:rsidR="00340E84" w:rsidRPr="00D03775" w:rsidP="00D03775" w14:paraId="71E63EBF" w14:textId="097684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03775">
              <w:rPr>
                <w:color w:val="000000" w:themeColor="text1"/>
                <w:sz w:val="20"/>
                <w:szCs w:val="20"/>
              </w:rPr>
              <w:t>3</w:t>
            </w:r>
            <w:r w:rsidRPr="00D03775" w:rsidR="00B90E8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20" w:type="dxa"/>
            <w:vAlign w:val="center"/>
          </w:tcPr>
          <w:p w:rsidR="00340E84" w:rsidRPr="00D03775" w:rsidP="00D03775" w14:paraId="593F10F4" w14:textId="0D8ECCD1">
            <w:pPr>
              <w:jc w:val="center"/>
              <w:rPr>
                <w:sz w:val="20"/>
                <w:szCs w:val="20"/>
              </w:rPr>
            </w:pPr>
            <w:r w:rsidRPr="00D03775">
              <w:rPr>
                <w:sz w:val="20"/>
                <w:szCs w:val="20"/>
              </w:rPr>
              <w:t>1</w:t>
            </w:r>
            <w:r w:rsidRPr="00D03775" w:rsidR="005E1382">
              <w:rPr>
                <w:sz w:val="20"/>
                <w:szCs w:val="20"/>
              </w:rPr>
              <w:t>5</w:t>
            </w:r>
            <w:r w:rsidRPr="00D03775" w:rsidR="278E3A24">
              <w:rPr>
                <w:sz w:val="20"/>
                <w:szCs w:val="20"/>
              </w:rPr>
              <w:t xml:space="preserve"> (no more than 15 webinars)</w:t>
            </w:r>
          </w:p>
        </w:tc>
        <w:tc>
          <w:tcPr>
            <w:tcW w:w="1440" w:type="dxa"/>
            <w:vAlign w:val="center"/>
          </w:tcPr>
          <w:p w:rsidR="00340E84" w:rsidRPr="00D03775" w:rsidP="00D03775" w14:paraId="7E8D6705" w14:textId="18EAE6F1">
            <w:pPr>
              <w:jc w:val="center"/>
              <w:rPr>
                <w:sz w:val="20"/>
                <w:szCs w:val="20"/>
              </w:rPr>
            </w:pPr>
            <w:r w:rsidRPr="00D03775">
              <w:rPr>
                <w:color w:val="000000" w:themeColor="text1"/>
                <w:sz w:val="20"/>
                <w:szCs w:val="20"/>
              </w:rPr>
              <w:t>.10 hour {6 min}</w:t>
            </w:r>
          </w:p>
          <w:p w:rsidR="00340E84" w:rsidRPr="00D03775" w:rsidP="00D03775" w14:paraId="29021E8C" w14:textId="670FB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340E84" w:rsidRPr="00D03775" w:rsidP="00D03775" w14:paraId="515AAFC2" w14:textId="366158DA">
            <w:pPr>
              <w:jc w:val="center"/>
              <w:rPr>
                <w:sz w:val="20"/>
                <w:szCs w:val="20"/>
              </w:rPr>
            </w:pPr>
            <w:r w:rsidRPr="00D03775">
              <w:rPr>
                <w:sz w:val="20"/>
                <w:szCs w:val="20"/>
              </w:rPr>
              <w:t>4</w:t>
            </w:r>
            <w:r w:rsidRPr="00D03775" w:rsidR="00B90E80">
              <w:rPr>
                <w:sz w:val="20"/>
                <w:szCs w:val="20"/>
              </w:rPr>
              <w:t>8</w:t>
            </w:r>
          </w:p>
        </w:tc>
      </w:tr>
      <w:tr w14:paraId="6221E9A5" w14:textId="77777777" w:rsidTr="00D03775">
        <w:tblPrEx>
          <w:tblW w:w="9175" w:type="dxa"/>
          <w:tblLayout w:type="fixed"/>
          <w:tblLook w:val="01E0"/>
        </w:tblPrEx>
        <w:trPr>
          <w:trHeight w:val="274"/>
        </w:trPr>
        <w:tc>
          <w:tcPr>
            <w:tcW w:w="2515" w:type="dxa"/>
          </w:tcPr>
          <w:p w:rsidR="00FE5BD1" w:rsidRPr="00D03775" w:rsidP="00D03775" w14:paraId="65650A0C" w14:textId="4A623D25">
            <w:pPr>
              <w:spacing w:line="259" w:lineRule="auto"/>
              <w:rPr>
                <w:sz w:val="20"/>
                <w:szCs w:val="20"/>
              </w:rPr>
            </w:pPr>
            <w:r w:rsidRPr="00D03775">
              <w:rPr>
                <w:sz w:val="20"/>
                <w:szCs w:val="20"/>
              </w:rPr>
              <w:t>TDC 2.0 ADA Six-Month Follow-Up Survey</w:t>
            </w:r>
          </w:p>
        </w:tc>
        <w:tc>
          <w:tcPr>
            <w:tcW w:w="1350" w:type="dxa"/>
          </w:tcPr>
          <w:p w:rsidR="00FE5BD1" w:rsidRPr="00D03775" w:rsidP="00F034AD" w14:paraId="703F633F" w14:textId="07C88ED2">
            <w:pPr>
              <w:rPr>
                <w:sz w:val="20"/>
                <w:szCs w:val="20"/>
              </w:rPr>
            </w:pPr>
            <w:r w:rsidRPr="00D03775">
              <w:rPr>
                <w:sz w:val="20"/>
                <w:szCs w:val="20"/>
              </w:rPr>
              <w:t>State or local governments</w:t>
            </w:r>
          </w:p>
        </w:tc>
        <w:tc>
          <w:tcPr>
            <w:tcW w:w="1350" w:type="dxa"/>
            <w:vAlign w:val="center"/>
          </w:tcPr>
          <w:p w:rsidR="00FE5BD1" w:rsidRPr="00D03775" w:rsidP="00D03775" w14:paraId="4ACF4F83" w14:textId="22D092F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03775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620" w:type="dxa"/>
            <w:vAlign w:val="center"/>
          </w:tcPr>
          <w:p w:rsidR="00FE5BD1" w:rsidRPr="00D03775" w:rsidP="00D03775" w14:paraId="0E2A3686" w14:textId="0311C20F">
            <w:pPr>
              <w:jc w:val="center"/>
              <w:rPr>
                <w:sz w:val="20"/>
                <w:szCs w:val="20"/>
              </w:rPr>
            </w:pPr>
            <w:r w:rsidRPr="00D03775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FE5BD1" w:rsidRPr="00D03775" w:rsidP="00D03775" w14:paraId="047A75AB" w14:textId="7F81078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03775">
              <w:rPr>
                <w:color w:val="000000" w:themeColor="text1"/>
                <w:sz w:val="20"/>
                <w:szCs w:val="20"/>
              </w:rPr>
              <w:t>.</w:t>
            </w:r>
            <w:r w:rsidRPr="00D03775" w:rsidR="00273AC2">
              <w:rPr>
                <w:color w:val="000000" w:themeColor="text1"/>
                <w:sz w:val="20"/>
                <w:szCs w:val="20"/>
              </w:rPr>
              <w:t>1</w:t>
            </w:r>
            <w:r w:rsidRPr="00D03775">
              <w:rPr>
                <w:color w:val="000000" w:themeColor="text1"/>
                <w:sz w:val="20"/>
                <w:szCs w:val="20"/>
              </w:rPr>
              <w:t>5 hour {</w:t>
            </w:r>
            <w:r w:rsidRPr="00D03775" w:rsidR="00273AC2">
              <w:rPr>
                <w:color w:val="000000" w:themeColor="text1"/>
                <w:sz w:val="20"/>
                <w:szCs w:val="20"/>
              </w:rPr>
              <w:t>9</w:t>
            </w:r>
            <w:r w:rsidRPr="00D03775">
              <w:rPr>
                <w:color w:val="000000" w:themeColor="text1"/>
                <w:sz w:val="20"/>
                <w:szCs w:val="20"/>
              </w:rPr>
              <w:t xml:space="preserve"> min}</w:t>
            </w:r>
          </w:p>
        </w:tc>
        <w:tc>
          <w:tcPr>
            <w:tcW w:w="900" w:type="dxa"/>
            <w:vAlign w:val="center"/>
          </w:tcPr>
          <w:p w:rsidR="00FE5BD1" w:rsidRPr="00D03775" w:rsidP="00D03775" w14:paraId="6900E36E" w14:textId="1A801FE2">
            <w:pPr>
              <w:jc w:val="center"/>
              <w:rPr>
                <w:sz w:val="20"/>
                <w:szCs w:val="20"/>
              </w:rPr>
            </w:pPr>
            <w:r w:rsidRPr="00D03775">
              <w:rPr>
                <w:sz w:val="20"/>
                <w:szCs w:val="20"/>
              </w:rPr>
              <w:t>4.5</w:t>
            </w:r>
          </w:p>
        </w:tc>
      </w:tr>
      <w:tr w14:paraId="6901DD91" w14:textId="77777777" w:rsidTr="00D03775">
        <w:tblPrEx>
          <w:tblW w:w="9175" w:type="dxa"/>
          <w:tblLayout w:type="fixed"/>
          <w:tblLook w:val="01E0"/>
        </w:tblPrEx>
        <w:trPr>
          <w:trHeight w:val="274"/>
        </w:trPr>
        <w:tc>
          <w:tcPr>
            <w:tcW w:w="2515" w:type="dxa"/>
          </w:tcPr>
          <w:p w:rsidR="00F034AD" w:rsidRPr="00D03775" w:rsidP="00D03775" w14:paraId="4548904D" w14:textId="43485E9B">
            <w:pPr>
              <w:spacing w:line="259" w:lineRule="auto"/>
              <w:rPr>
                <w:sz w:val="20"/>
                <w:szCs w:val="20"/>
              </w:rPr>
            </w:pPr>
            <w:r w:rsidRPr="00D03775">
              <w:rPr>
                <w:sz w:val="20"/>
                <w:szCs w:val="20"/>
              </w:rPr>
              <w:t xml:space="preserve">TDC 2.0 ADA Post Course Survey </w:t>
            </w:r>
          </w:p>
        </w:tc>
        <w:tc>
          <w:tcPr>
            <w:tcW w:w="1350" w:type="dxa"/>
            <w:shd w:val="clear" w:color="auto" w:fill="auto"/>
          </w:tcPr>
          <w:p w:rsidR="00F034AD" w:rsidRPr="00D03775" w:rsidP="00F034AD" w14:paraId="0BD4C0A1" w14:textId="57C73938">
            <w:pPr>
              <w:rPr>
                <w:sz w:val="20"/>
                <w:szCs w:val="20"/>
              </w:rPr>
            </w:pPr>
            <w:r w:rsidRPr="00D03775">
              <w:rPr>
                <w:sz w:val="20"/>
                <w:szCs w:val="20"/>
              </w:rPr>
              <w:t>State or local governments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034AD" w:rsidRPr="00D03775" w:rsidP="00D03775" w14:paraId="7BEE8E1E" w14:textId="36A220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03775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620" w:type="dxa"/>
            <w:vAlign w:val="center"/>
          </w:tcPr>
          <w:p w:rsidR="00F034AD" w:rsidRPr="00D03775" w:rsidP="00D03775" w14:paraId="09CF067E" w14:textId="04D094D1">
            <w:pPr>
              <w:jc w:val="center"/>
              <w:rPr>
                <w:sz w:val="20"/>
                <w:szCs w:val="20"/>
              </w:rPr>
            </w:pPr>
            <w:r w:rsidRPr="00D03775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:rsidR="00F034AD" w:rsidRPr="00D03775" w:rsidP="00D03775" w14:paraId="6638D155" w14:textId="28F8788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03775">
              <w:rPr>
                <w:color w:val="000000" w:themeColor="text1"/>
                <w:sz w:val="20"/>
                <w:szCs w:val="20"/>
              </w:rPr>
              <w:t>.</w:t>
            </w:r>
            <w:r w:rsidRPr="00D03775" w:rsidR="005C0871">
              <w:rPr>
                <w:color w:val="000000" w:themeColor="text1"/>
                <w:sz w:val="20"/>
                <w:szCs w:val="20"/>
              </w:rPr>
              <w:t>1</w:t>
            </w:r>
            <w:r w:rsidRPr="00D03775" w:rsidR="001D5C0F">
              <w:rPr>
                <w:color w:val="000000" w:themeColor="text1"/>
                <w:sz w:val="20"/>
                <w:szCs w:val="20"/>
              </w:rPr>
              <w:t>5</w:t>
            </w:r>
            <w:r w:rsidRPr="00D03775">
              <w:rPr>
                <w:color w:val="000000" w:themeColor="text1"/>
                <w:sz w:val="20"/>
                <w:szCs w:val="20"/>
              </w:rPr>
              <w:t xml:space="preserve"> hour {</w:t>
            </w:r>
            <w:r w:rsidRPr="00D03775" w:rsidR="001D5C0F">
              <w:rPr>
                <w:color w:val="000000" w:themeColor="text1"/>
                <w:sz w:val="20"/>
                <w:szCs w:val="20"/>
              </w:rPr>
              <w:t>9</w:t>
            </w:r>
            <w:r w:rsidRPr="00D03775">
              <w:rPr>
                <w:color w:val="000000" w:themeColor="text1"/>
                <w:sz w:val="20"/>
                <w:szCs w:val="20"/>
              </w:rPr>
              <w:t xml:space="preserve"> min}</w:t>
            </w:r>
          </w:p>
        </w:tc>
        <w:tc>
          <w:tcPr>
            <w:tcW w:w="900" w:type="dxa"/>
            <w:vAlign w:val="center"/>
          </w:tcPr>
          <w:p w:rsidR="00F034AD" w:rsidRPr="00D03775" w:rsidP="00D03775" w14:paraId="2CC3A79C" w14:textId="06E2BC00">
            <w:pPr>
              <w:jc w:val="center"/>
              <w:rPr>
                <w:sz w:val="20"/>
                <w:szCs w:val="20"/>
              </w:rPr>
            </w:pPr>
            <w:r w:rsidRPr="00D03775">
              <w:rPr>
                <w:sz w:val="20"/>
                <w:szCs w:val="20"/>
              </w:rPr>
              <w:t>4.5</w:t>
            </w:r>
          </w:p>
        </w:tc>
      </w:tr>
      <w:tr w14:paraId="5D6CCCC0" w14:textId="77777777" w:rsidTr="00D03775">
        <w:tblPrEx>
          <w:tblW w:w="9175" w:type="dxa"/>
          <w:tblLayout w:type="fixed"/>
          <w:tblLook w:val="01E0"/>
        </w:tblPrEx>
        <w:trPr>
          <w:trHeight w:val="274"/>
        </w:trPr>
        <w:tc>
          <w:tcPr>
            <w:tcW w:w="2515" w:type="dxa"/>
          </w:tcPr>
          <w:p w:rsidR="00F034AD" w:rsidRPr="00D03775" w:rsidP="26FF2772" w14:paraId="0C51B0E8" w14:textId="70D1F925">
            <w:pPr>
              <w:spacing w:line="259" w:lineRule="auto"/>
              <w:rPr>
                <w:sz w:val="20"/>
                <w:szCs w:val="20"/>
              </w:rPr>
            </w:pPr>
            <w:r w:rsidRPr="00D03775">
              <w:rPr>
                <w:sz w:val="20"/>
                <w:szCs w:val="20"/>
              </w:rPr>
              <w:t>TDC 2.0 ADA Weekly Webinar Survey</w:t>
            </w:r>
          </w:p>
        </w:tc>
        <w:tc>
          <w:tcPr>
            <w:tcW w:w="1350" w:type="dxa"/>
          </w:tcPr>
          <w:p w:rsidR="00F034AD" w:rsidRPr="00D03775" w:rsidP="00F034AD" w14:paraId="34FC7073" w14:textId="6B09112C">
            <w:pPr>
              <w:rPr>
                <w:sz w:val="20"/>
                <w:szCs w:val="20"/>
              </w:rPr>
            </w:pPr>
            <w:r w:rsidRPr="00D03775">
              <w:rPr>
                <w:sz w:val="20"/>
                <w:szCs w:val="20"/>
              </w:rPr>
              <w:t>State or local governments</w:t>
            </w:r>
          </w:p>
        </w:tc>
        <w:tc>
          <w:tcPr>
            <w:tcW w:w="1350" w:type="dxa"/>
            <w:vAlign w:val="center"/>
          </w:tcPr>
          <w:p w:rsidR="00F034AD" w:rsidRPr="00D03775" w:rsidP="00D03775" w14:paraId="5372C025" w14:textId="50E9C894">
            <w:pPr>
              <w:jc w:val="center"/>
              <w:rPr>
                <w:sz w:val="20"/>
                <w:szCs w:val="20"/>
              </w:rPr>
            </w:pPr>
            <w:r w:rsidRPr="00D03775">
              <w:rPr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620" w:type="dxa"/>
            <w:vAlign w:val="center"/>
          </w:tcPr>
          <w:p w:rsidR="00F034AD" w:rsidRPr="00D03775" w:rsidP="00D03775" w14:paraId="74423982" w14:textId="33C0A783">
            <w:pPr>
              <w:jc w:val="center"/>
              <w:rPr>
                <w:sz w:val="20"/>
                <w:szCs w:val="20"/>
              </w:rPr>
            </w:pPr>
            <w:r w:rsidRPr="00D03775">
              <w:rPr>
                <w:sz w:val="20"/>
                <w:szCs w:val="20"/>
              </w:rPr>
              <w:t>22</w:t>
            </w:r>
          </w:p>
        </w:tc>
        <w:tc>
          <w:tcPr>
            <w:tcW w:w="1440" w:type="dxa"/>
            <w:vAlign w:val="center"/>
          </w:tcPr>
          <w:p w:rsidR="00F034AD" w:rsidRPr="00D03775" w:rsidP="00D03775" w14:paraId="2BA529E9" w14:textId="266D3144">
            <w:pPr>
              <w:jc w:val="center"/>
              <w:rPr>
                <w:sz w:val="20"/>
                <w:szCs w:val="20"/>
              </w:rPr>
            </w:pPr>
            <w:r w:rsidRPr="00D03775">
              <w:rPr>
                <w:color w:val="000000" w:themeColor="text1"/>
                <w:sz w:val="20"/>
                <w:szCs w:val="20"/>
              </w:rPr>
              <w:t>.</w:t>
            </w:r>
            <w:r w:rsidRPr="00D03775" w:rsidR="00E22AC9">
              <w:rPr>
                <w:color w:val="000000" w:themeColor="text1"/>
                <w:sz w:val="20"/>
                <w:szCs w:val="20"/>
              </w:rPr>
              <w:t>10</w:t>
            </w:r>
            <w:r w:rsidRPr="00D03775">
              <w:rPr>
                <w:color w:val="000000" w:themeColor="text1"/>
                <w:sz w:val="20"/>
                <w:szCs w:val="20"/>
              </w:rPr>
              <w:t xml:space="preserve"> hour {</w:t>
            </w:r>
            <w:r w:rsidRPr="00D03775" w:rsidR="00E22AC9">
              <w:rPr>
                <w:color w:val="000000" w:themeColor="text1"/>
                <w:sz w:val="20"/>
                <w:szCs w:val="20"/>
              </w:rPr>
              <w:t>6</w:t>
            </w:r>
            <w:r w:rsidRPr="00D03775">
              <w:rPr>
                <w:color w:val="000000" w:themeColor="text1"/>
                <w:sz w:val="20"/>
                <w:szCs w:val="20"/>
              </w:rPr>
              <w:t xml:space="preserve"> min}</w:t>
            </w:r>
          </w:p>
        </w:tc>
        <w:tc>
          <w:tcPr>
            <w:tcW w:w="900" w:type="dxa"/>
            <w:vAlign w:val="center"/>
          </w:tcPr>
          <w:p w:rsidR="00F034AD" w:rsidRPr="00D03775" w:rsidP="00D03775" w14:paraId="7A45A8E2" w14:textId="55CF4DCA">
            <w:pPr>
              <w:jc w:val="center"/>
              <w:rPr>
                <w:sz w:val="20"/>
                <w:szCs w:val="20"/>
              </w:rPr>
            </w:pPr>
            <w:r w:rsidRPr="00D03775">
              <w:rPr>
                <w:sz w:val="20"/>
                <w:szCs w:val="20"/>
              </w:rPr>
              <w:t>66</w:t>
            </w:r>
          </w:p>
        </w:tc>
      </w:tr>
      <w:tr w14:paraId="468A1D2D" w14:textId="77777777" w:rsidTr="00D03775">
        <w:tblPrEx>
          <w:tblW w:w="9175" w:type="dxa"/>
          <w:tblLayout w:type="fixed"/>
          <w:tblLook w:val="01E0"/>
        </w:tblPrEx>
        <w:trPr>
          <w:trHeight w:val="274"/>
        </w:trPr>
        <w:tc>
          <w:tcPr>
            <w:tcW w:w="2515" w:type="dxa"/>
          </w:tcPr>
          <w:p w:rsidR="00F034AD" w:rsidRPr="00D03775" w:rsidP="00F034AD" w14:paraId="35C47455" w14:textId="181E1CC3">
            <w:pPr>
              <w:rPr>
                <w:sz w:val="20"/>
                <w:szCs w:val="20"/>
              </w:rPr>
            </w:pPr>
            <w:r w:rsidRPr="00D03775">
              <w:rPr>
                <w:sz w:val="20"/>
                <w:szCs w:val="20"/>
              </w:rPr>
              <w:t xml:space="preserve">TDC 2.0 </w:t>
            </w:r>
            <w:r w:rsidRPr="00D03775" w:rsidR="00934ED4">
              <w:rPr>
                <w:sz w:val="20"/>
                <w:szCs w:val="20"/>
              </w:rPr>
              <w:t>Annual</w:t>
            </w:r>
            <w:r w:rsidRPr="00D03775">
              <w:rPr>
                <w:sz w:val="20"/>
                <w:szCs w:val="20"/>
              </w:rPr>
              <w:t xml:space="preserve"> Convening Feedback Survey </w:t>
            </w:r>
          </w:p>
        </w:tc>
        <w:tc>
          <w:tcPr>
            <w:tcW w:w="1350" w:type="dxa"/>
          </w:tcPr>
          <w:p w:rsidR="00F034AD" w:rsidRPr="00D03775" w:rsidP="00F034AD" w14:paraId="184BE662" w14:textId="17A119AB">
            <w:pPr>
              <w:rPr>
                <w:sz w:val="20"/>
                <w:szCs w:val="20"/>
              </w:rPr>
            </w:pPr>
            <w:r w:rsidRPr="00D03775">
              <w:rPr>
                <w:sz w:val="20"/>
                <w:szCs w:val="20"/>
              </w:rPr>
              <w:t>State or local governments</w:t>
            </w:r>
          </w:p>
        </w:tc>
        <w:tc>
          <w:tcPr>
            <w:tcW w:w="1350" w:type="dxa"/>
            <w:vAlign w:val="center"/>
          </w:tcPr>
          <w:p w:rsidR="00F034AD" w:rsidRPr="00D03775" w:rsidP="00D03775" w14:paraId="32D1FB7E" w14:textId="664536BD">
            <w:pPr>
              <w:jc w:val="center"/>
              <w:rPr>
                <w:sz w:val="20"/>
                <w:szCs w:val="20"/>
              </w:rPr>
            </w:pPr>
            <w:r w:rsidRPr="00D03775">
              <w:rPr>
                <w:sz w:val="20"/>
                <w:szCs w:val="20"/>
              </w:rPr>
              <w:t>32</w:t>
            </w:r>
          </w:p>
        </w:tc>
        <w:tc>
          <w:tcPr>
            <w:tcW w:w="1620" w:type="dxa"/>
            <w:vAlign w:val="center"/>
          </w:tcPr>
          <w:p w:rsidR="00F034AD" w:rsidRPr="00D03775" w:rsidP="00D03775" w14:paraId="62283D9B" w14:textId="76945FDB">
            <w:pPr>
              <w:jc w:val="center"/>
              <w:rPr>
                <w:sz w:val="20"/>
                <w:szCs w:val="20"/>
              </w:rPr>
            </w:pPr>
            <w:r w:rsidRPr="00D03775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vAlign w:val="center"/>
          </w:tcPr>
          <w:p w:rsidR="00F034AD" w:rsidRPr="00D03775" w:rsidP="00D03775" w14:paraId="3CA9EBF6" w14:textId="5FB87141">
            <w:pPr>
              <w:jc w:val="center"/>
              <w:rPr>
                <w:sz w:val="20"/>
                <w:szCs w:val="20"/>
              </w:rPr>
            </w:pPr>
            <w:r w:rsidRPr="00D03775">
              <w:rPr>
                <w:sz w:val="20"/>
                <w:szCs w:val="20"/>
              </w:rPr>
              <w:t>.15 {9 min}</w:t>
            </w:r>
          </w:p>
        </w:tc>
        <w:tc>
          <w:tcPr>
            <w:tcW w:w="900" w:type="dxa"/>
            <w:vAlign w:val="center"/>
          </w:tcPr>
          <w:p w:rsidR="00F034AD" w:rsidRPr="00D03775" w:rsidP="00D03775" w14:paraId="5DCE1861" w14:textId="352E4973">
            <w:pPr>
              <w:jc w:val="center"/>
              <w:rPr>
                <w:sz w:val="20"/>
                <w:szCs w:val="20"/>
              </w:rPr>
            </w:pPr>
            <w:r w:rsidRPr="00D03775">
              <w:rPr>
                <w:sz w:val="20"/>
                <w:szCs w:val="20"/>
              </w:rPr>
              <w:t>43.2</w:t>
            </w:r>
          </w:p>
        </w:tc>
      </w:tr>
      <w:tr w14:paraId="7DE107E6" w14:textId="77777777" w:rsidTr="00D03775">
        <w:tblPrEx>
          <w:tblW w:w="9175" w:type="dxa"/>
          <w:tblLayout w:type="fixed"/>
          <w:tblLook w:val="01E0"/>
        </w:tblPrEx>
        <w:trPr>
          <w:trHeight w:val="289"/>
        </w:trPr>
        <w:tc>
          <w:tcPr>
            <w:tcW w:w="3865" w:type="dxa"/>
            <w:gridSpan w:val="2"/>
            <w:vAlign w:val="center"/>
          </w:tcPr>
          <w:p w:rsidR="00F034AD" w:rsidRPr="00D03775" w:rsidP="00F034AD" w14:paraId="3B8E1C51" w14:textId="4CAFB0FA">
            <w:pPr>
              <w:jc w:val="right"/>
              <w:rPr>
                <w:b/>
                <w:sz w:val="20"/>
                <w:szCs w:val="20"/>
              </w:rPr>
            </w:pPr>
            <w:r w:rsidRPr="00D03775">
              <w:rPr>
                <w:b/>
                <w:sz w:val="20"/>
                <w:szCs w:val="20"/>
              </w:rPr>
              <w:t>Totals</w:t>
            </w:r>
          </w:p>
        </w:tc>
        <w:tc>
          <w:tcPr>
            <w:tcW w:w="1350" w:type="dxa"/>
          </w:tcPr>
          <w:p w:rsidR="00F034AD" w:rsidRPr="00D03775" w:rsidP="00D03775" w14:paraId="55E12884" w14:textId="60594BC9">
            <w:pPr>
              <w:jc w:val="center"/>
              <w:rPr>
                <w:b/>
                <w:bCs/>
                <w:sz w:val="20"/>
                <w:szCs w:val="20"/>
              </w:rPr>
            </w:pPr>
            <w:r w:rsidRPr="00D03775">
              <w:rPr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620" w:type="dxa"/>
          </w:tcPr>
          <w:p w:rsidR="00F034AD" w:rsidRPr="00D03775" w:rsidP="00D03775" w14:paraId="1DB2365D" w14:textId="1BF79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F034AD" w:rsidRPr="00D03775" w:rsidP="00D03775" w14:paraId="39DC28AB" w14:textId="6F310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F034AD" w:rsidRPr="00D03775" w:rsidP="00D03775" w14:paraId="4E11045B" w14:textId="77000D92">
            <w:pPr>
              <w:jc w:val="center"/>
              <w:rPr>
                <w:b/>
                <w:bCs/>
                <w:sz w:val="20"/>
                <w:szCs w:val="20"/>
              </w:rPr>
            </w:pPr>
            <w:r w:rsidRPr="00D03775">
              <w:rPr>
                <w:b/>
                <w:bCs/>
                <w:sz w:val="20"/>
                <w:szCs w:val="20"/>
              </w:rPr>
              <w:t>166.2</w:t>
            </w:r>
          </w:p>
        </w:tc>
      </w:tr>
    </w:tbl>
    <w:p w:rsidR="00F3170F" w:rsidP="00F3170F" w14:paraId="3CF8F186" w14:textId="77777777"/>
    <w:p w:rsidR="00535678" w:rsidP="003E096F" w14:paraId="3FEE1D79" w14:textId="1C780FB4">
      <w:pPr>
        <w:rPr>
          <w:color w:val="000000" w:themeColor="text1"/>
        </w:rPr>
      </w:pPr>
      <w:r w:rsidRPr="00804797">
        <w:rPr>
          <w:b/>
          <w:bCs/>
        </w:rPr>
        <w:t xml:space="preserve">FEDERAL </w:t>
      </w:r>
      <w:r w:rsidRPr="00804797" w:rsidR="3F0F78F0">
        <w:rPr>
          <w:b/>
          <w:bCs/>
        </w:rPr>
        <w:t>COST</w:t>
      </w:r>
      <w:r w:rsidRPr="00804797" w:rsidR="495AC640">
        <w:rPr>
          <w:b/>
          <w:bCs/>
        </w:rPr>
        <w:t>:</w:t>
      </w:r>
      <w:r w:rsidRPr="00804797" w:rsidR="4C249534">
        <w:rPr>
          <w:b/>
          <w:bCs/>
        </w:rPr>
        <w:t xml:space="preserve"> </w:t>
      </w:r>
      <w:r w:rsidRPr="00804797" w:rsidR="1899758D">
        <w:rPr>
          <w:b/>
          <w:bCs/>
        </w:rPr>
        <w:t xml:space="preserve"> </w:t>
      </w:r>
      <w:r w:rsidRPr="00381304" w:rsidR="00DE34BD">
        <w:t>The</w:t>
      </w:r>
      <w:r w:rsidR="00E02F88">
        <w:t xml:space="preserve"> estimated cost to the Federal government is</w:t>
      </w:r>
      <w:r w:rsidR="00DC3B8D">
        <w:t xml:space="preserve"> $</w:t>
      </w:r>
      <w:r w:rsidR="008C1A43">
        <w:t>2,</w:t>
      </w:r>
      <w:r w:rsidR="006B3604">
        <w:t>13</w:t>
      </w:r>
      <w:r w:rsidR="008C1A43">
        <w:t>0</w:t>
      </w:r>
      <w:r w:rsidR="00DC3B8D">
        <w:t>, which</w:t>
      </w:r>
      <w:r w:rsidRPr="00381304" w:rsidR="00DE34BD">
        <w:t xml:space="preserve"> </w:t>
      </w:r>
      <w:r w:rsidRPr="00542527">
        <w:t xml:space="preserve">includes the costs of project staff time </w:t>
      </w:r>
      <w:r>
        <w:t>to administer</w:t>
      </w:r>
      <w:r w:rsidRPr="00542527">
        <w:t xml:space="preserve"> </w:t>
      </w:r>
      <w:r w:rsidR="00FE4E6D">
        <w:t xml:space="preserve">and analyze </w:t>
      </w:r>
      <w:r w:rsidRPr="00542527">
        <w:t>the web-based survey</w:t>
      </w:r>
      <w:r w:rsidR="00487C14">
        <w:t>s</w:t>
      </w:r>
      <w:r w:rsidRPr="00542527">
        <w:t>.</w:t>
      </w:r>
      <w:r w:rsidRPr="00E03974">
        <w:rPr>
          <w:rFonts w:ascii="Century Gothic" w:hAnsi="Century Gothic"/>
          <w:color w:val="000000"/>
          <w:shd w:val="clear" w:color="auto" w:fill="FFFFFF"/>
        </w:rPr>
        <w:t xml:space="preserve"> </w:t>
      </w:r>
    </w:p>
    <w:p w:rsidR="0069403B" w:rsidP="00F06866" w14:paraId="0FC66E6B" w14:textId="77777777">
      <w:pPr>
        <w:rPr>
          <w:b/>
        </w:rPr>
      </w:pPr>
    </w:p>
    <w:p w:rsidR="00F06866" w:rsidP="009B1EC8" w14:paraId="4A86B57E" w14:textId="77777777">
      <w:pPr>
        <w:spacing w:after="120"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2CED8C93" w14:textId="25B5942C">
      <w:pPr>
        <w:pStyle w:val="ListParagraph"/>
        <w:numPr>
          <w:ilvl w:val="0"/>
          <w:numId w:val="15"/>
        </w:numPr>
      </w:pPr>
      <w:r>
        <w:t xml:space="preserve">Do you have a customer list or something similar that defines the universe of potential </w:t>
      </w:r>
      <w:r>
        <w:t>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1296EEBA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036A929" w14:textId="77777777">
      <w:pPr>
        <w:pStyle w:val="ListParagraph"/>
      </w:pPr>
    </w:p>
    <w:p w:rsidR="00636621" w:rsidP="001B0AAA" w14:paraId="3C0467DB" w14:textId="0FC696D2">
      <w:r w:rsidRPr="00636621">
        <w:t xml:space="preserve">If the answer is yes, </w:t>
      </w:r>
      <w:r>
        <w:t>please provide a description of both below</w:t>
      </w:r>
      <w:r w:rsidR="00A403BB">
        <w:t xml:space="preserve"> (</w:t>
      </w:r>
      <w:r w:rsidR="00A403BB">
        <w:t>or</w:t>
      </w:r>
      <w:r w:rsidR="00A403BB">
        <w:t xml:space="preserve"> attach the sampling plan)</w:t>
      </w:r>
      <w:r w:rsidR="00934ED4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 w:rsidR="00934ED4">
        <w:t>.</w:t>
      </w:r>
    </w:p>
    <w:p w:rsidR="00C4285D" w:rsidP="0054065F" w14:paraId="5A46BD82" w14:textId="77777777">
      <w:pPr>
        <w:keepNext/>
        <w:keepLines/>
      </w:pPr>
    </w:p>
    <w:p w:rsidR="0054065F" w:rsidRPr="006832D9" w:rsidP="0054065F" w14:paraId="3A11B789" w14:textId="5518DE11">
      <w:pPr>
        <w:keepNext/>
        <w:keepLines/>
        <w:rPr>
          <w:color w:val="000000" w:themeColor="text1"/>
        </w:rPr>
      </w:pPr>
      <w:r>
        <w:t>The universe of potential respondents are in</w:t>
      </w:r>
      <w:r w:rsidRPr="5348990D">
        <w:rPr>
          <w:color w:val="000000" w:themeColor="text1"/>
        </w:rPr>
        <w:t xml:space="preserve">dividuals who are government employees who work with the </w:t>
      </w:r>
      <w:r w:rsidR="00934ED4">
        <w:rPr>
          <w:color w:val="000000" w:themeColor="text1"/>
        </w:rPr>
        <w:t>TANF</w:t>
      </w:r>
      <w:r w:rsidRPr="5348990D">
        <w:rPr>
          <w:color w:val="000000" w:themeColor="text1"/>
        </w:rPr>
        <w:t xml:space="preserve"> program in their state or county </w:t>
      </w:r>
      <w:r w:rsidR="00507D1D">
        <w:rPr>
          <w:color w:val="000000" w:themeColor="text1"/>
        </w:rPr>
        <w:t>that was awarded a TDC Equity Analysis Award</w:t>
      </w:r>
      <w:r w:rsidRPr="5348990D" w:rsidR="00507D1D">
        <w:rPr>
          <w:color w:val="000000" w:themeColor="text1"/>
        </w:rPr>
        <w:t xml:space="preserve"> </w:t>
      </w:r>
      <w:r w:rsidRPr="5348990D">
        <w:rPr>
          <w:color w:val="000000" w:themeColor="text1"/>
        </w:rPr>
        <w:t xml:space="preserve">and </w:t>
      </w:r>
      <w:r w:rsidR="00507D1D">
        <w:rPr>
          <w:color w:val="000000" w:themeColor="text1"/>
        </w:rPr>
        <w:t xml:space="preserve">who </w:t>
      </w:r>
      <w:r w:rsidRPr="5348990D">
        <w:rPr>
          <w:color w:val="000000" w:themeColor="text1"/>
        </w:rPr>
        <w:t xml:space="preserve">are members of </w:t>
      </w:r>
      <w:r w:rsidR="00FC6002">
        <w:rPr>
          <w:color w:val="000000" w:themeColor="text1"/>
        </w:rPr>
        <w:t xml:space="preserve">one of </w:t>
      </w:r>
      <w:r w:rsidRPr="5348990D">
        <w:rPr>
          <w:color w:val="000000" w:themeColor="text1"/>
        </w:rPr>
        <w:t xml:space="preserve">the </w:t>
      </w:r>
      <w:r>
        <w:rPr>
          <w:color w:val="000000" w:themeColor="text1"/>
        </w:rPr>
        <w:t>six</w:t>
      </w:r>
      <w:r w:rsidRPr="5348990D">
        <w:rPr>
          <w:color w:val="000000" w:themeColor="text1"/>
        </w:rPr>
        <w:t xml:space="preserve"> </w:t>
      </w:r>
      <w:r w:rsidR="00FC6002">
        <w:rPr>
          <w:color w:val="000000" w:themeColor="text1"/>
        </w:rPr>
        <w:t xml:space="preserve">participating </w:t>
      </w:r>
      <w:r w:rsidRPr="5348990D">
        <w:rPr>
          <w:color w:val="000000" w:themeColor="text1"/>
        </w:rPr>
        <w:t xml:space="preserve">agency teams. We will not sample from this universe but will invite all who attend </w:t>
      </w:r>
      <w:r w:rsidR="00C70309">
        <w:rPr>
          <w:color w:val="000000" w:themeColor="text1"/>
        </w:rPr>
        <w:t xml:space="preserve">each event to respond to </w:t>
      </w:r>
      <w:r w:rsidR="00FC6002">
        <w:rPr>
          <w:color w:val="000000" w:themeColor="text1"/>
        </w:rPr>
        <w:t>the relevant</w:t>
      </w:r>
      <w:r w:rsidR="00C70309">
        <w:rPr>
          <w:color w:val="000000" w:themeColor="text1"/>
        </w:rPr>
        <w:t xml:space="preserve"> survey. </w:t>
      </w:r>
    </w:p>
    <w:p w:rsidR="00A403BB" w:rsidP="00A403BB" w14:paraId="2987496D" w14:textId="77777777"/>
    <w:p w:rsidR="00A403BB" w:rsidP="003C13AF" w14:paraId="13E653E9" w14:textId="77777777">
      <w:pPr>
        <w:spacing w:after="120"/>
        <w:rPr>
          <w:b/>
        </w:rPr>
      </w:pPr>
      <w:r>
        <w:rPr>
          <w:b/>
        </w:rPr>
        <w:t>Administration of the Instrument</w:t>
      </w:r>
    </w:p>
    <w:p w:rsidR="00A403BB" w:rsidP="00A403BB" w14:paraId="062DD888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7D88671" w14:textId="1CD74A13">
      <w:pPr>
        <w:ind w:left="720"/>
      </w:pPr>
      <w:r>
        <w:t>[</w:t>
      </w:r>
      <w:r w:rsidR="62CE6CE5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38AA56E5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9D471B8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661B9A93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4C05E79F" w14:textId="4FE91476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340E84" w:rsidP="001B0AAA" w14:paraId="3BC2CAC2" w14:textId="77777777">
      <w:pPr>
        <w:ind w:left="720"/>
      </w:pPr>
    </w:p>
    <w:p w:rsidR="00F24CFC" w:rsidP="0049747B" w14:paraId="4F6EB0D0" w14:textId="700A6FE6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 </w:t>
      </w:r>
      <w:r w:rsidR="622EAE3D">
        <w:t>X</w:t>
      </w:r>
      <w:r>
        <w:t>] No</w:t>
      </w:r>
    </w:p>
    <w:p w:rsidR="001535D5" w:rsidP="00F24CFC" w14:paraId="70593AA1" w14:textId="77777777">
      <w:pPr>
        <w:pStyle w:val="ListParagraph"/>
        <w:ind w:left="360"/>
      </w:pPr>
    </w:p>
    <w:p w:rsidR="001535D5" w:rsidRPr="00F24CFC" w:rsidP="001535D5" w14:paraId="39B66789" w14:textId="3F361D69">
      <w:pPr>
        <w:rPr>
          <w:b/>
        </w:rPr>
      </w:pPr>
      <w:r>
        <w:rPr>
          <w:b/>
        </w:rPr>
        <w:t>5</w:t>
      </w:r>
      <w:r>
        <w:rPr>
          <w:b/>
        </w:rPr>
        <w:t xml:space="preserve"> attachments are included: </w:t>
      </w:r>
    </w:p>
    <w:p w:rsidR="003B7E35" w:rsidP="003B7E35" w14:paraId="2E6A706C" w14:textId="3F51653D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C551C1">
        <w:rPr>
          <w:color w:val="000000" w:themeColor="text1"/>
        </w:rPr>
        <w:t xml:space="preserve">TDC 2.0 Webinar Feedback Survey </w:t>
      </w:r>
    </w:p>
    <w:p w:rsidR="007951FD" w:rsidRPr="00C551C1" w:rsidP="00C551C1" w14:paraId="02B579D7" w14:textId="73A71A09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FB40E2">
        <w:rPr>
          <w:color w:val="000000" w:themeColor="text1"/>
        </w:rPr>
        <w:t xml:space="preserve">TDC 2.0 </w:t>
      </w:r>
      <w:r w:rsidR="00F51758">
        <w:rPr>
          <w:color w:val="000000" w:themeColor="text1"/>
        </w:rPr>
        <w:t>Annual</w:t>
      </w:r>
      <w:r w:rsidRPr="00FB40E2" w:rsidR="00F51758">
        <w:rPr>
          <w:color w:val="000000" w:themeColor="text1"/>
        </w:rPr>
        <w:t xml:space="preserve"> </w:t>
      </w:r>
      <w:r w:rsidRPr="00FB40E2">
        <w:rPr>
          <w:color w:val="000000" w:themeColor="text1"/>
        </w:rPr>
        <w:t>Convening Feedback Survey</w:t>
      </w:r>
    </w:p>
    <w:p w:rsidR="003B7E35" w:rsidRPr="00C551C1" w:rsidP="00C551C1" w14:paraId="5A7BBC57" w14:textId="4DA468C2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C551C1">
        <w:rPr>
          <w:color w:val="000000" w:themeColor="text1"/>
        </w:rPr>
        <w:t>TDC 2.0 ADA Six-Month Follow-Up Survey</w:t>
      </w:r>
    </w:p>
    <w:p w:rsidR="003B7E35" w:rsidRPr="00C551C1" w:rsidP="00C551C1" w14:paraId="75E7860A" w14:textId="7A036597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C551C1">
        <w:rPr>
          <w:color w:val="000000" w:themeColor="text1"/>
        </w:rPr>
        <w:t xml:space="preserve">TDC 2.0 ADA Post Course Survey </w:t>
      </w:r>
    </w:p>
    <w:p w:rsidR="00CE5BCE" w:rsidRPr="0049747B" w:rsidP="0049747B" w14:paraId="66D211AF" w14:textId="77C88E1F">
      <w:pPr>
        <w:pStyle w:val="ListParagraph"/>
        <w:numPr>
          <w:ilvl w:val="0"/>
          <w:numId w:val="26"/>
        </w:numPr>
        <w:rPr>
          <w:color w:val="000000" w:themeColor="text1"/>
        </w:rPr>
      </w:pPr>
      <w:r w:rsidRPr="00C551C1">
        <w:rPr>
          <w:color w:val="000000" w:themeColor="text1"/>
        </w:rPr>
        <w:t>TDC 2.0 ADA Weekly Webinar Survey</w:t>
      </w:r>
    </w:p>
    <w:sectPr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570003E" w14:textId="10D6E8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3A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A6C69C4" w14:textId="77777777" w:rsidTr="00F476E5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26FF2772" w:rsidP="00F476E5" w14:paraId="19F4CD76" w14:textId="222E6984">
          <w:pPr>
            <w:pStyle w:val="Header"/>
            <w:ind w:left="-115"/>
          </w:pPr>
        </w:p>
      </w:tc>
      <w:tc>
        <w:tcPr>
          <w:tcW w:w="3120" w:type="dxa"/>
        </w:tcPr>
        <w:p w:rsidR="26FF2772" w:rsidP="00F476E5" w14:paraId="7486E753" w14:textId="7BFFF2E0">
          <w:pPr>
            <w:pStyle w:val="Header"/>
            <w:jc w:val="center"/>
          </w:pPr>
        </w:p>
      </w:tc>
      <w:tc>
        <w:tcPr>
          <w:tcW w:w="3120" w:type="dxa"/>
        </w:tcPr>
        <w:p w:rsidR="26FF2772" w:rsidP="00F476E5" w14:paraId="43FDC164" w14:textId="037E0593">
          <w:pPr>
            <w:pStyle w:val="Header"/>
            <w:ind w:right="-115"/>
            <w:jc w:val="right"/>
          </w:pPr>
        </w:p>
      </w:tc>
    </w:tr>
  </w:tbl>
  <w:p w:rsidR="000C0257" w14:paraId="7234D70B" w14:textId="11A9E7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F40A98"/>
    <w:multiLevelType w:val="hybridMultilevel"/>
    <w:tmpl w:val="E67E07D0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7E105E"/>
    <w:multiLevelType w:val="multilevel"/>
    <w:tmpl w:val="198EA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6D1EC3"/>
    <w:multiLevelType w:val="hybridMultilevel"/>
    <w:tmpl w:val="1152D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39737B"/>
    <w:multiLevelType w:val="hybridMultilevel"/>
    <w:tmpl w:val="2710FA5E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B16C0"/>
    <w:multiLevelType w:val="hybridMultilevel"/>
    <w:tmpl w:val="7890B1A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3F91B99"/>
    <w:multiLevelType w:val="hybridMultilevel"/>
    <w:tmpl w:val="CE483F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D044C6"/>
    <w:multiLevelType w:val="hybridMultilevel"/>
    <w:tmpl w:val="59D2254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080" w:hanging="360"/>
      </w:pPr>
    </w:lvl>
    <w:lvl w:ilvl="4">
      <w:start w:val="1"/>
      <w:numFmt w:val="decimal"/>
      <w:lvlText w:val="%5."/>
      <w:lvlJc w:val="left"/>
      <w:pPr>
        <w:ind w:left="1080" w:hanging="360"/>
      </w:pPr>
    </w:lvl>
    <w:lvl w:ilvl="5">
      <w:start w:val="1"/>
      <w:numFmt w:val="decimal"/>
      <w:lvlText w:val="%6."/>
      <w:lvlJc w:val="left"/>
      <w:pPr>
        <w:ind w:left="1080" w:hanging="360"/>
      </w:pPr>
    </w:lvl>
    <w:lvl w:ilvl="6">
      <w:start w:val="1"/>
      <w:numFmt w:val="decimal"/>
      <w:lvlText w:val="%7."/>
      <w:lvlJc w:val="left"/>
      <w:pPr>
        <w:ind w:left="1080" w:hanging="360"/>
      </w:pPr>
    </w:lvl>
    <w:lvl w:ilvl="7">
      <w:start w:val="1"/>
      <w:numFmt w:val="decimal"/>
      <w:lvlText w:val="%8."/>
      <w:lvlJc w:val="left"/>
      <w:pPr>
        <w:ind w:left="1080" w:hanging="360"/>
      </w:pPr>
    </w:lvl>
    <w:lvl w:ilvl="8">
      <w:start w:val="1"/>
      <w:numFmt w:val="decimal"/>
      <w:lvlText w:val="%9."/>
      <w:lvlJc w:val="left"/>
      <w:pPr>
        <w:ind w:left="1080" w:hanging="360"/>
      </w:pPr>
    </w:lvl>
  </w:abstractNum>
  <w:abstractNum w:abstractNumId="20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>
    <w:nsid w:val="6F5B4E13"/>
    <w:multiLevelType w:val="hybridMultilevel"/>
    <w:tmpl w:val="0AB07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C33EDE"/>
    <w:multiLevelType w:val="multilevel"/>
    <w:tmpl w:val="F6A8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>
    <w:nsid w:val="793D59FE"/>
    <w:multiLevelType w:val="hybridMultilevel"/>
    <w:tmpl w:val="774E772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98418">
    <w:abstractNumId w:val="13"/>
  </w:num>
  <w:num w:numId="2" w16cid:durableId="322320519">
    <w:abstractNumId w:val="26"/>
  </w:num>
  <w:num w:numId="3" w16cid:durableId="56559454">
    <w:abstractNumId w:val="24"/>
  </w:num>
  <w:num w:numId="4" w16cid:durableId="398749592">
    <w:abstractNumId w:val="27"/>
  </w:num>
  <w:num w:numId="5" w16cid:durableId="1152063476">
    <w:abstractNumId w:val="4"/>
  </w:num>
  <w:num w:numId="6" w16cid:durableId="1717386465">
    <w:abstractNumId w:val="1"/>
  </w:num>
  <w:num w:numId="7" w16cid:durableId="1896771014">
    <w:abstractNumId w:val="11"/>
  </w:num>
  <w:num w:numId="8" w16cid:durableId="27026990">
    <w:abstractNumId w:val="20"/>
  </w:num>
  <w:num w:numId="9" w16cid:durableId="259262918">
    <w:abstractNumId w:val="12"/>
  </w:num>
  <w:num w:numId="10" w16cid:durableId="20673169">
    <w:abstractNumId w:val="2"/>
  </w:num>
  <w:num w:numId="11" w16cid:durableId="1114786263">
    <w:abstractNumId w:val="8"/>
  </w:num>
  <w:num w:numId="12" w16cid:durableId="2100128997">
    <w:abstractNumId w:val="9"/>
  </w:num>
  <w:num w:numId="13" w16cid:durableId="711155273">
    <w:abstractNumId w:val="0"/>
  </w:num>
  <w:num w:numId="14" w16cid:durableId="1429502277">
    <w:abstractNumId w:val="23"/>
  </w:num>
  <w:num w:numId="15" w16cid:durableId="1543056259">
    <w:abstractNumId w:val="17"/>
  </w:num>
  <w:num w:numId="16" w16cid:durableId="11299836">
    <w:abstractNumId w:val="15"/>
  </w:num>
  <w:num w:numId="17" w16cid:durableId="75133636">
    <w:abstractNumId w:val="5"/>
  </w:num>
  <w:num w:numId="18" w16cid:durableId="1365330390">
    <w:abstractNumId w:val="6"/>
  </w:num>
  <w:num w:numId="19" w16cid:durableId="1886790524">
    <w:abstractNumId w:val="10"/>
  </w:num>
  <w:num w:numId="20" w16cid:durableId="1792169824">
    <w:abstractNumId w:val="21"/>
  </w:num>
  <w:num w:numId="21" w16cid:durableId="483468752">
    <w:abstractNumId w:val="19"/>
  </w:num>
  <w:num w:numId="22" w16cid:durableId="591664153">
    <w:abstractNumId w:val="18"/>
  </w:num>
  <w:num w:numId="23" w16cid:durableId="606814158">
    <w:abstractNumId w:val="7"/>
  </w:num>
  <w:num w:numId="24" w16cid:durableId="448476056">
    <w:abstractNumId w:val="22"/>
  </w:num>
  <w:num w:numId="25" w16cid:durableId="1734886073">
    <w:abstractNumId w:val="3"/>
  </w:num>
  <w:num w:numId="26" w16cid:durableId="1180007218">
    <w:abstractNumId w:val="25"/>
  </w:num>
  <w:num w:numId="27" w16cid:durableId="1110130169">
    <w:abstractNumId w:val="16"/>
  </w:num>
  <w:num w:numId="28" w16cid:durableId="14172464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16FE"/>
    <w:rsid w:val="0001027E"/>
    <w:rsid w:val="000120D2"/>
    <w:rsid w:val="00017A6D"/>
    <w:rsid w:val="000201EC"/>
    <w:rsid w:val="00022746"/>
    <w:rsid w:val="00023A57"/>
    <w:rsid w:val="0002497A"/>
    <w:rsid w:val="0004374C"/>
    <w:rsid w:val="0004506E"/>
    <w:rsid w:val="0004597D"/>
    <w:rsid w:val="000464B6"/>
    <w:rsid w:val="00047A64"/>
    <w:rsid w:val="00050B0F"/>
    <w:rsid w:val="00057F4D"/>
    <w:rsid w:val="0006560F"/>
    <w:rsid w:val="0006586D"/>
    <w:rsid w:val="00067329"/>
    <w:rsid w:val="000714B8"/>
    <w:rsid w:val="00072F49"/>
    <w:rsid w:val="000A0E7C"/>
    <w:rsid w:val="000A1AAB"/>
    <w:rsid w:val="000A266F"/>
    <w:rsid w:val="000A7543"/>
    <w:rsid w:val="000A75C2"/>
    <w:rsid w:val="000B2838"/>
    <w:rsid w:val="000C0257"/>
    <w:rsid w:val="000C182B"/>
    <w:rsid w:val="000C72E5"/>
    <w:rsid w:val="000D2CBF"/>
    <w:rsid w:val="000D44CA"/>
    <w:rsid w:val="000D5851"/>
    <w:rsid w:val="000E200B"/>
    <w:rsid w:val="000F68BE"/>
    <w:rsid w:val="0010539E"/>
    <w:rsid w:val="001116B1"/>
    <w:rsid w:val="001469D8"/>
    <w:rsid w:val="00150E6E"/>
    <w:rsid w:val="001535D5"/>
    <w:rsid w:val="00154320"/>
    <w:rsid w:val="001557B3"/>
    <w:rsid w:val="001576A4"/>
    <w:rsid w:val="0016224D"/>
    <w:rsid w:val="0017408A"/>
    <w:rsid w:val="00180BBB"/>
    <w:rsid w:val="001927A4"/>
    <w:rsid w:val="00194AC6"/>
    <w:rsid w:val="00196087"/>
    <w:rsid w:val="001A23B0"/>
    <w:rsid w:val="001A25CC"/>
    <w:rsid w:val="001B0AAA"/>
    <w:rsid w:val="001C347F"/>
    <w:rsid w:val="001C39F7"/>
    <w:rsid w:val="001C656E"/>
    <w:rsid w:val="001D22B9"/>
    <w:rsid w:val="001D5C0F"/>
    <w:rsid w:val="001E342B"/>
    <w:rsid w:val="001E53A8"/>
    <w:rsid w:val="001F4C0C"/>
    <w:rsid w:val="00200594"/>
    <w:rsid w:val="00206651"/>
    <w:rsid w:val="00213DBB"/>
    <w:rsid w:val="00216BA4"/>
    <w:rsid w:val="002170FA"/>
    <w:rsid w:val="0022004E"/>
    <w:rsid w:val="00237B48"/>
    <w:rsid w:val="0024521E"/>
    <w:rsid w:val="00247051"/>
    <w:rsid w:val="00263501"/>
    <w:rsid w:val="00263C3D"/>
    <w:rsid w:val="00264DD5"/>
    <w:rsid w:val="00273AC2"/>
    <w:rsid w:val="002744DF"/>
    <w:rsid w:val="002749CD"/>
    <w:rsid w:val="00274D0B"/>
    <w:rsid w:val="002758BD"/>
    <w:rsid w:val="00282415"/>
    <w:rsid w:val="0029340D"/>
    <w:rsid w:val="00295846"/>
    <w:rsid w:val="002958B1"/>
    <w:rsid w:val="002B048D"/>
    <w:rsid w:val="002B052D"/>
    <w:rsid w:val="002B1F11"/>
    <w:rsid w:val="002B34CD"/>
    <w:rsid w:val="002B3C95"/>
    <w:rsid w:val="002C20F3"/>
    <w:rsid w:val="002D08A7"/>
    <w:rsid w:val="002D0B92"/>
    <w:rsid w:val="002D3CA6"/>
    <w:rsid w:val="002E227E"/>
    <w:rsid w:val="002F2E3E"/>
    <w:rsid w:val="002F59FC"/>
    <w:rsid w:val="00301E8C"/>
    <w:rsid w:val="003023AB"/>
    <w:rsid w:val="00312DA8"/>
    <w:rsid w:val="00312F5F"/>
    <w:rsid w:val="003174C1"/>
    <w:rsid w:val="003234F4"/>
    <w:rsid w:val="003407D9"/>
    <w:rsid w:val="00340E84"/>
    <w:rsid w:val="00341920"/>
    <w:rsid w:val="00345E61"/>
    <w:rsid w:val="003466D7"/>
    <w:rsid w:val="00346D19"/>
    <w:rsid w:val="00351C0B"/>
    <w:rsid w:val="0037145F"/>
    <w:rsid w:val="003779B9"/>
    <w:rsid w:val="00381304"/>
    <w:rsid w:val="00385B0F"/>
    <w:rsid w:val="00385B97"/>
    <w:rsid w:val="00386B88"/>
    <w:rsid w:val="00386D76"/>
    <w:rsid w:val="003948C4"/>
    <w:rsid w:val="0039561B"/>
    <w:rsid w:val="003A32A5"/>
    <w:rsid w:val="003A3685"/>
    <w:rsid w:val="003A3730"/>
    <w:rsid w:val="003B7E35"/>
    <w:rsid w:val="003B7FD0"/>
    <w:rsid w:val="003C13AF"/>
    <w:rsid w:val="003C317C"/>
    <w:rsid w:val="003C4CF8"/>
    <w:rsid w:val="003C56F5"/>
    <w:rsid w:val="003D137A"/>
    <w:rsid w:val="003D4B6A"/>
    <w:rsid w:val="003D5BBE"/>
    <w:rsid w:val="003E096F"/>
    <w:rsid w:val="003E3C61"/>
    <w:rsid w:val="003F1C5B"/>
    <w:rsid w:val="003F4A60"/>
    <w:rsid w:val="004145C0"/>
    <w:rsid w:val="00423606"/>
    <w:rsid w:val="004249AB"/>
    <w:rsid w:val="004262FA"/>
    <w:rsid w:val="00434E33"/>
    <w:rsid w:val="00441434"/>
    <w:rsid w:val="00442041"/>
    <w:rsid w:val="0045264C"/>
    <w:rsid w:val="00460341"/>
    <w:rsid w:val="00470B97"/>
    <w:rsid w:val="004769CB"/>
    <w:rsid w:val="00482CE1"/>
    <w:rsid w:val="004876EC"/>
    <w:rsid w:val="00487C14"/>
    <w:rsid w:val="0049747B"/>
    <w:rsid w:val="004A2F35"/>
    <w:rsid w:val="004B0B29"/>
    <w:rsid w:val="004D46E9"/>
    <w:rsid w:val="004D6E14"/>
    <w:rsid w:val="004E3625"/>
    <w:rsid w:val="004E4F9F"/>
    <w:rsid w:val="004F1749"/>
    <w:rsid w:val="004F3584"/>
    <w:rsid w:val="004F399E"/>
    <w:rsid w:val="005009B0"/>
    <w:rsid w:val="00504707"/>
    <w:rsid w:val="00507D1D"/>
    <w:rsid w:val="00517681"/>
    <w:rsid w:val="00526E72"/>
    <w:rsid w:val="0053181B"/>
    <w:rsid w:val="00535678"/>
    <w:rsid w:val="00535CAD"/>
    <w:rsid w:val="0054065F"/>
    <w:rsid w:val="0054092A"/>
    <w:rsid w:val="00542527"/>
    <w:rsid w:val="00543DA2"/>
    <w:rsid w:val="00544E2E"/>
    <w:rsid w:val="005456D0"/>
    <w:rsid w:val="00552D75"/>
    <w:rsid w:val="0056690E"/>
    <w:rsid w:val="0058379F"/>
    <w:rsid w:val="0059025F"/>
    <w:rsid w:val="00594947"/>
    <w:rsid w:val="005A1006"/>
    <w:rsid w:val="005A1F04"/>
    <w:rsid w:val="005B0141"/>
    <w:rsid w:val="005B2D9A"/>
    <w:rsid w:val="005B5752"/>
    <w:rsid w:val="005C0871"/>
    <w:rsid w:val="005C1FE4"/>
    <w:rsid w:val="005D056A"/>
    <w:rsid w:val="005E1382"/>
    <w:rsid w:val="005E283E"/>
    <w:rsid w:val="005E714A"/>
    <w:rsid w:val="005F5B58"/>
    <w:rsid w:val="005F693D"/>
    <w:rsid w:val="006046F6"/>
    <w:rsid w:val="00606599"/>
    <w:rsid w:val="00607B98"/>
    <w:rsid w:val="006140A0"/>
    <w:rsid w:val="00624C6F"/>
    <w:rsid w:val="0062574C"/>
    <w:rsid w:val="00636621"/>
    <w:rsid w:val="00637544"/>
    <w:rsid w:val="00642B49"/>
    <w:rsid w:val="006444A5"/>
    <w:rsid w:val="00644610"/>
    <w:rsid w:val="00651A82"/>
    <w:rsid w:val="00653874"/>
    <w:rsid w:val="006541CF"/>
    <w:rsid w:val="00660968"/>
    <w:rsid w:val="00662544"/>
    <w:rsid w:val="006673C7"/>
    <w:rsid w:val="006707DD"/>
    <w:rsid w:val="00671DF0"/>
    <w:rsid w:val="00673F4A"/>
    <w:rsid w:val="006830C9"/>
    <w:rsid w:val="006832D9"/>
    <w:rsid w:val="00691AE3"/>
    <w:rsid w:val="0069403B"/>
    <w:rsid w:val="006A3056"/>
    <w:rsid w:val="006A4F0B"/>
    <w:rsid w:val="006B3604"/>
    <w:rsid w:val="006C17CD"/>
    <w:rsid w:val="006C1F0E"/>
    <w:rsid w:val="006C4575"/>
    <w:rsid w:val="006C660F"/>
    <w:rsid w:val="006D76B1"/>
    <w:rsid w:val="006E07D6"/>
    <w:rsid w:val="006E1F3A"/>
    <w:rsid w:val="006E2BA2"/>
    <w:rsid w:val="006E2E35"/>
    <w:rsid w:val="006E4792"/>
    <w:rsid w:val="006E56A9"/>
    <w:rsid w:val="006F0B1A"/>
    <w:rsid w:val="006F1F18"/>
    <w:rsid w:val="006F3DDE"/>
    <w:rsid w:val="006F764C"/>
    <w:rsid w:val="00704678"/>
    <w:rsid w:val="00706269"/>
    <w:rsid w:val="00710804"/>
    <w:rsid w:val="00714CD6"/>
    <w:rsid w:val="00714F02"/>
    <w:rsid w:val="007300BF"/>
    <w:rsid w:val="00736562"/>
    <w:rsid w:val="00737D86"/>
    <w:rsid w:val="00737E3F"/>
    <w:rsid w:val="007425E7"/>
    <w:rsid w:val="00743A5D"/>
    <w:rsid w:val="0075558A"/>
    <w:rsid w:val="007572F3"/>
    <w:rsid w:val="00761EAA"/>
    <w:rsid w:val="007812A9"/>
    <w:rsid w:val="007830A0"/>
    <w:rsid w:val="007951FD"/>
    <w:rsid w:val="007961CA"/>
    <w:rsid w:val="007A6D7B"/>
    <w:rsid w:val="007C2E9B"/>
    <w:rsid w:val="007D464D"/>
    <w:rsid w:val="007E4631"/>
    <w:rsid w:val="007E4734"/>
    <w:rsid w:val="007E6FFB"/>
    <w:rsid w:val="007F3133"/>
    <w:rsid w:val="007F7080"/>
    <w:rsid w:val="00802607"/>
    <w:rsid w:val="00804797"/>
    <w:rsid w:val="008058E3"/>
    <w:rsid w:val="00805E3E"/>
    <w:rsid w:val="008101A5"/>
    <w:rsid w:val="00812EDC"/>
    <w:rsid w:val="0081459D"/>
    <w:rsid w:val="008146BB"/>
    <w:rsid w:val="00820B3A"/>
    <w:rsid w:val="00822664"/>
    <w:rsid w:val="00830827"/>
    <w:rsid w:val="00833901"/>
    <w:rsid w:val="008362AC"/>
    <w:rsid w:val="00841233"/>
    <w:rsid w:val="00843796"/>
    <w:rsid w:val="008538B0"/>
    <w:rsid w:val="00856274"/>
    <w:rsid w:val="00860211"/>
    <w:rsid w:val="008704CF"/>
    <w:rsid w:val="00875CBF"/>
    <w:rsid w:val="00884843"/>
    <w:rsid w:val="00891364"/>
    <w:rsid w:val="00895229"/>
    <w:rsid w:val="00895925"/>
    <w:rsid w:val="008B2EB3"/>
    <w:rsid w:val="008B79DF"/>
    <w:rsid w:val="008C1A43"/>
    <w:rsid w:val="008C22FD"/>
    <w:rsid w:val="008D02D1"/>
    <w:rsid w:val="008D7B9B"/>
    <w:rsid w:val="008E0DFA"/>
    <w:rsid w:val="008E27CE"/>
    <w:rsid w:val="008E2B3C"/>
    <w:rsid w:val="008F0203"/>
    <w:rsid w:val="008F10F8"/>
    <w:rsid w:val="008F50D4"/>
    <w:rsid w:val="00903001"/>
    <w:rsid w:val="00903BF3"/>
    <w:rsid w:val="00905D83"/>
    <w:rsid w:val="0091001C"/>
    <w:rsid w:val="00912E35"/>
    <w:rsid w:val="009239AA"/>
    <w:rsid w:val="009306A9"/>
    <w:rsid w:val="00932CF1"/>
    <w:rsid w:val="00934ED4"/>
    <w:rsid w:val="00935ADA"/>
    <w:rsid w:val="009469F6"/>
    <w:rsid w:val="00946B6C"/>
    <w:rsid w:val="009516E7"/>
    <w:rsid w:val="00955A71"/>
    <w:rsid w:val="009607B1"/>
    <w:rsid w:val="0096108F"/>
    <w:rsid w:val="009670A2"/>
    <w:rsid w:val="00974DCF"/>
    <w:rsid w:val="00995A80"/>
    <w:rsid w:val="009B1BBE"/>
    <w:rsid w:val="009B1EC8"/>
    <w:rsid w:val="009B2475"/>
    <w:rsid w:val="009B7AB9"/>
    <w:rsid w:val="009C13B9"/>
    <w:rsid w:val="009D01A2"/>
    <w:rsid w:val="009F5923"/>
    <w:rsid w:val="009F69A7"/>
    <w:rsid w:val="00A0610D"/>
    <w:rsid w:val="00A17232"/>
    <w:rsid w:val="00A22A88"/>
    <w:rsid w:val="00A360C4"/>
    <w:rsid w:val="00A403BB"/>
    <w:rsid w:val="00A43DF4"/>
    <w:rsid w:val="00A4421F"/>
    <w:rsid w:val="00A456AC"/>
    <w:rsid w:val="00A4A5D1"/>
    <w:rsid w:val="00A50A6D"/>
    <w:rsid w:val="00A61314"/>
    <w:rsid w:val="00A62C1E"/>
    <w:rsid w:val="00A674DF"/>
    <w:rsid w:val="00A746C1"/>
    <w:rsid w:val="00A83AA6"/>
    <w:rsid w:val="00A9142E"/>
    <w:rsid w:val="00A914F6"/>
    <w:rsid w:val="00A934D6"/>
    <w:rsid w:val="00A9518B"/>
    <w:rsid w:val="00AB065D"/>
    <w:rsid w:val="00AD7539"/>
    <w:rsid w:val="00AD7EB7"/>
    <w:rsid w:val="00AE1809"/>
    <w:rsid w:val="00AE62F1"/>
    <w:rsid w:val="00AF1034"/>
    <w:rsid w:val="00AF251C"/>
    <w:rsid w:val="00AF2CF7"/>
    <w:rsid w:val="00B0090D"/>
    <w:rsid w:val="00B0293B"/>
    <w:rsid w:val="00B056A4"/>
    <w:rsid w:val="00B14556"/>
    <w:rsid w:val="00B15FA6"/>
    <w:rsid w:val="00B16D25"/>
    <w:rsid w:val="00B16FBF"/>
    <w:rsid w:val="00B21251"/>
    <w:rsid w:val="00B21B54"/>
    <w:rsid w:val="00B267DF"/>
    <w:rsid w:val="00B317B3"/>
    <w:rsid w:val="00B36CE4"/>
    <w:rsid w:val="00B465C8"/>
    <w:rsid w:val="00B46BDB"/>
    <w:rsid w:val="00B77196"/>
    <w:rsid w:val="00B80D76"/>
    <w:rsid w:val="00B82D57"/>
    <w:rsid w:val="00B90E80"/>
    <w:rsid w:val="00B92C63"/>
    <w:rsid w:val="00B93BD9"/>
    <w:rsid w:val="00BA0F13"/>
    <w:rsid w:val="00BA2105"/>
    <w:rsid w:val="00BA7E06"/>
    <w:rsid w:val="00BB0880"/>
    <w:rsid w:val="00BB43B5"/>
    <w:rsid w:val="00BB6219"/>
    <w:rsid w:val="00BD290F"/>
    <w:rsid w:val="00BE3C6C"/>
    <w:rsid w:val="00BF0CC2"/>
    <w:rsid w:val="00C005C1"/>
    <w:rsid w:val="00C02AF8"/>
    <w:rsid w:val="00C14CC4"/>
    <w:rsid w:val="00C15625"/>
    <w:rsid w:val="00C24AFE"/>
    <w:rsid w:val="00C25056"/>
    <w:rsid w:val="00C33C52"/>
    <w:rsid w:val="00C37134"/>
    <w:rsid w:val="00C40D8B"/>
    <w:rsid w:val="00C4285D"/>
    <w:rsid w:val="00C46483"/>
    <w:rsid w:val="00C5009A"/>
    <w:rsid w:val="00C54E33"/>
    <w:rsid w:val="00C551C1"/>
    <w:rsid w:val="00C62884"/>
    <w:rsid w:val="00C66BDF"/>
    <w:rsid w:val="00C70309"/>
    <w:rsid w:val="00C829B0"/>
    <w:rsid w:val="00C8407A"/>
    <w:rsid w:val="00C8488C"/>
    <w:rsid w:val="00C86E91"/>
    <w:rsid w:val="00C95E36"/>
    <w:rsid w:val="00C95F5E"/>
    <w:rsid w:val="00CA0F82"/>
    <w:rsid w:val="00CA2650"/>
    <w:rsid w:val="00CB1078"/>
    <w:rsid w:val="00CB157D"/>
    <w:rsid w:val="00CB633B"/>
    <w:rsid w:val="00CC6FAF"/>
    <w:rsid w:val="00CE4A54"/>
    <w:rsid w:val="00CE5BCE"/>
    <w:rsid w:val="00CF110C"/>
    <w:rsid w:val="00CF1FF5"/>
    <w:rsid w:val="00CF6542"/>
    <w:rsid w:val="00CF7295"/>
    <w:rsid w:val="00CF76C5"/>
    <w:rsid w:val="00D03775"/>
    <w:rsid w:val="00D170D9"/>
    <w:rsid w:val="00D23D19"/>
    <w:rsid w:val="00D24698"/>
    <w:rsid w:val="00D2678D"/>
    <w:rsid w:val="00D40738"/>
    <w:rsid w:val="00D41D4B"/>
    <w:rsid w:val="00D43013"/>
    <w:rsid w:val="00D6383F"/>
    <w:rsid w:val="00D63B9C"/>
    <w:rsid w:val="00D87D21"/>
    <w:rsid w:val="00D93C34"/>
    <w:rsid w:val="00D9702B"/>
    <w:rsid w:val="00DB59D0"/>
    <w:rsid w:val="00DB5CEA"/>
    <w:rsid w:val="00DC33D3"/>
    <w:rsid w:val="00DC3B8D"/>
    <w:rsid w:val="00DD333A"/>
    <w:rsid w:val="00DE227A"/>
    <w:rsid w:val="00DE34BD"/>
    <w:rsid w:val="00DE70A5"/>
    <w:rsid w:val="00DF48C5"/>
    <w:rsid w:val="00E00D03"/>
    <w:rsid w:val="00E02F88"/>
    <w:rsid w:val="00E03974"/>
    <w:rsid w:val="00E20390"/>
    <w:rsid w:val="00E21BA3"/>
    <w:rsid w:val="00E22AC9"/>
    <w:rsid w:val="00E231FC"/>
    <w:rsid w:val="00E2413B"/>
    <w:rsid w:val="00E26329"/>
    <w:rsid w:val="00E37A05"/>
    <w:rsid w:val="00E40312"/>
    <w:rsid w:val="00E40B50"/>
    <w:rsid w:val="00E43ADF"/>
    <w:rsid w:val="00E449AA"/>
    <w:rsid w:val="00E44A3C"/>
    <w:rsid w:val="00E46187"/>
    <w:rsid w:val="00E50293"/>
    <w:rsid w:val="00E51623"/>
    <w:rsid w:val="00E560F5"/>
    <w:rsid w:val="00E63165"/>
    <w:rsid w:val="00E63178"/>
    <w:rsid w:val="00E63259"/>
    <w:rsid w:val="00E64A7C"/>
    <w:rsid w:val="00E65FFC"/>
    <w:rsid w:val="00E66EFB"/>
    <w:rsid w:val="00E67AC2"/>
    <w:rsid w:val="00E744EA"/>
    <w:rsid w:val="00E74A1D"/>
    <w:rsid w:val="00E74D6C"/>
    <w:rsid w:val="00E80691"/>
    <w:rsid w:val="00E80951"/>
    <w:rsid w:val="00E83FDC"/>
    <w:rsid w:val="00E8524D"/>
    <w:rsid w:val="00E854FE"/>
    <w:rsid w:val="00E86CC6"/>
    <w:rsid w:val="00E97D5D"/>
    <w:rsid w:val="00E97E99"/>
    <w:rsid w:val="00EA24B7"/>
    <w:rsid w:val="00EA4601"/>
    <w:rsid w:val="00EA5534"/>
    <w:rsid w:val="00EA5C1B"/>
    <w:rsid w:val="00EA62F2"/>
    <w:rsid w:val="00EB56B3"/>
    <w:rsid w:val="00EB5AFC"/>
    <w:rsid w:val="00EB6F5D"/>
    <w:rsid w:val="00EC44D5"/>
    <w:rsid w:val="00EC7935"/>
    <w:rsid w:val="00ED2ACA"/>
    <w:rsid w:val="00ED6492"/>
    <w:rsid w:val="00EE4A52"/>
    <w:rsid w:val="00EF2095"/>
    <w:rsid w:val="00EF4055"/>
    <w:rsid w:val="00EF7D03"/>
    <w:rsid w:val="00F034AD"/>
    <w:rsid w:val="00F0546A"/>
    <w:rsid w:val="00F06866"/>
    <w:rsid w:val="00F14443"/>
    <w:rsid w:val="00F15956"/>
    <w:rsid w:val="00F16B38"/>
    <w:rsid w:val="00F24CFC"/>
    <w:rsid w:val="00F26549"/>
    <w:rsid w:val="00F26A92"/>
    <w:rsid w:val="00F2736A"/>
    <w:rsid w:val="00F3170F"/>
    <w:rsid w:val="00F347E0"/>
    <w:rsid w:val="00F476E5"/>
    <w:rsid w:val="00F51758"/>
    <w:rsid w:val="00F51A4E"/>
    <w:rsid w:val="00F56D8E"/>
    <w:rsid w:val="00F57D45"/>
    <w:rsid w:val="00F63859"/>
    <w:rsid w:val="00F762B3"/>
    <w:rsid w:val="00F77641"/>
    <w:rsid w:val="00F828B8"/>
    <w:rsid w:val="00F83A28"/>
    <w:rsid w:val="00F92B81"/>
    <w:rsid w:val="00F96B65"/>
    <w:rsid w:val="00F976B0"/>
    <w:rsid w:val="00FA333D"/>
    <w:rsid w:val="00FA6DE7"/>
    <w:rsid w:val="00FA79EB"/>
    <w:rsid w:val="00FB40E2"/>
    <w:rsid w:val="00FC0A8E"/>
    <w:rsid w:val="00FC1D68"/>
    <w:rsid w:val="00FC6002"/>
    <w:rsid w:val="00FC7358"/>
    <w:rsid w:val="00FD7A88"/>
    <w:rsid w:val="00FE14F3"/>
    <w:rsid w:val="00FE2FA6"/>
    <w:rsid w:val="00FE3DF2"/>
    <w:rsid w:val="00FE4E6D"/>
    <w:rsid w:val="00FE5BD1"/>
    <w:rsid w:val="00FF70A1"/>
    <w:rsid w:val="00FF7B12"/>
    <w:rsid w:val="00FF7F54"/>
    <w:rsid w:val="01D89C8A"/>
    <w:rsid w:val="01E3AD0E"/>
    <w:rsid w:val="04B8D79B"/>
    <w:rsid w:val="05217EC7"/>
    <w:rsid w:val="05555A2C"/>
    <w:rsid w:val="06C9F9E8"/>
    <w:rsid w:val="07042439"/>
    <w:rsid w:val="094A5F01"/>
    <w:rsid w:val="09B92CEA"/>
    <w:rsid w:val="0B67EA30"/>
    <w:rsid w:val="0CBCF82D"/>
    <w:rsid w:val="0EB8126A"/>
    <w:rsid w:val="100331C3"/>
    <w:rsid w:val="10C37CDC"/>
    <w:rsid w:val="10F104E7"/>
    <w:rsid w:val="11A51720"/>
    <w:rsid w:val="11AD52D8"/>
    <w:rsid w:val="120FA89B"/>
    <w:rsid w:val="1296EEBA"/>
    <w:rsid w:val="139782ED"/>
    <w:rsid w:val="167F8322"/>
    <w:rsid w:val="16D168E6"/>
    <w:rsid w:val="1716CA67"/>
    <w:rsid w:val="171870B1"/>
    <w:rsid w:val="1899758D"/>
    <w:rsid w:val="18CB42EF"/>
    <w:rsid w:val="1ACBED70"/>
    <w:rsid w:val="1B78C1B3"/>
    <w:rsid w:val="1D7863FC"/>
    <w:rsid w:val="1EF6AB7B"/>
    <w:rsid w:val="1F2866AC"/>
    <w:rsid w:val="1FF64AD7"/>
    <w:rsid w:val="22ABBA80"/>
    <w:rsid w:val="22ACAE12"/>
    <w:rsid w:val="23255FEA"/>
    <w:rsid w:val="23C7883C"/>
    <w:rsid w:val="23E05940"/>
    <w:rsid w:val="24230E92"/>
    <w:rsid w:val="24A42993"/>
    <w:rsid w:val="24FCCA10"/>
    <w:rsid w:val="25D1C9FF"/>
    <w:rsid w:val="269D86F3"/>
    <w:rsid w:val="26FF2772"/>
    <w:rsid w:val="271B34BD"/>
    <w:rsid w:val="278E3A24"/>
    <w:rsid w:val="2C0B33C4"/>
    <w:rsid w:val="2D8535D4"/>
    <w:rsid w:val="2DC96A5B"/>
    <w:rsid w:val="2F70D5FC"/>
    <w:rsid w:val="2F890DFC"/>
    <w:rsid w:val="30352E62"/>
    <w:rsid w:val="30D8181C"/>
    <w:rsid w:val="3245880B"/>
    <w:rsid w:val="33BEFA37"/>
    <w:rsid w:val="375547B0"/>
    <w:rsid w:val="379ADF1F"/>
    <w:rsid w:val="383C81D1"/>
    <w:rsid w:val="38851642"/>
    <w:rsid w:val="38AE225A"/>
    <w:rsid w:val="38DDEA65"/>
    <w:rsid w:val="3AB53F61"/>
    <w:rsid w:val="3AC9442F"/>
    <w:rsid w:val="3B895DFE"/>
    <w:rsid w:val="3BA5FEEE"/>
    <w:rsid w:val="3BD09DD0"/>
    <w:rsid w:val="3C943052"/>
    <w:rsid w:val="3EC51A3B"/>
    <w:rsid w:val="3F0F78F0"/>
    <w:rsid w:val="3FB84D66"/>
    <w:rsid w:val="41BB8282"/>
    <w:rsid w:val="424FA12C"/>
    <w:rsid w:val="43B14883"/>
    <w:rsid w:val="45066AFB"/>
    <w:rsid w:val="455582CC"/>
    <w:rsid w:val="46374F9F"/>
    <w:rsid w:val="47A302B5"/>
    <w:rsid w:val="47AC0B2F"/>
    <w:rsid w:val="48AE2F4F"/>
    <w:rsid w:val="48F0D455"/>
    <w:rsid w:val="495AC640"/>
    <w:rsid w:val="49ABDDCB"/>
    <w:rsid w:val="4A0E8270"/>
    <w:rsid w:val="4AC8262E"/>
    <w:rsid w:val="4C05ABCE"/>
    <w:rsid w:val="4C249534"/>
    <w:rsid w:val="4D276CB8"/>
    <w:rsid w:val="4D840536"/>
    <w:rsid w:val="4DDF30DE"/>
    <w:rsid w:val="4FB82A9F"/>
    <w:rsid w:val="50C9A524"/>
    <w:rsid w:val="518F8779"/>
    <w:rsid w:val="51B5719A"/>
    <w:rsid w:val="5348990D"/>
    <w:rsid w:val="54370435"/>
    <w:rsid w:val="5487BA6F"/>
    <w:rsid w:val="54B6263C"/>
    <w:rsid w:val="54BB6ADA"/>
    <w:rsid w:val="58394FC6"/>
    <w:rsid w:val="58BF965E"/>
    <w:rsid w:val="5994467F"/>
    <w:rsid w:val="5C6622C0"/>
    <w:rsid w:val="5D5D8908"/>
    <w:rsid w:val="5D8EB44C"/>
    <w:rsid w:val="5DBEDE34"/>
    <w:rsid w:val="5E466F50"/>
    <w:rsid w:val="602A4784"/>
    <w:rsid w:val="60791A7C"/>
    <w:rsid w:val="6200501A"/>
    <w:rsid w:val="622EAE3D"/>
    <w:rsid w:val="62CE6CE5"/>
    <w:rsid w:val="63D02FA7"/>
    <w:rsid w:val="64CAA515"/>
    <w:rsid w:val="64D89BEC"/>
    <w:rsid w:val="661D9CDB"/>
    <w:rsid w:val="664990D7"/>
    <w:rsid w:val="6708ED8D"/>
    <w:rsid w:val="67B4127C"/>
    <w:rsid w:val="6805523A"/>
    <w:rsid w:val="6991F092"/>
    <w:rsid w:val="6A0CFB11"/>
    <w:rsid w:val="6C68FD19"/>
    <w:rsid w:val="6CB670E9"/>
    <w:rsid w:val="6D7E4A77"/>
    <w:rsid w:val="6E7D9232"/>
    <w:rsid w:val="6E7E75B2"/>
    <w:rsid w:val="704790B8"/>
    <w:rsid w:val="710D3E8D"/>
    <w:rsid w:val="71AEA64B"/>
    <w:rsid w:val="71DA03AE"/>
    <w:rsid w:val="72244584"/>
    <w:rsid w:val="73C1A154"/>
    <w:rsid w:val="74B8715A"/>
    <w:rsid w:val="75B25986"/>
    <w:rsid w:val="764532C0"/>
    <w:rsid w:val="76708516"/>
    <w:rsid w:val="7680FA78"/>
    <w:rsid w:val="7870EB47"/>
    <w:rsid w:val="799BE3CA"/>
    <w:rsid w:val="7A7736CD"/>
    <w:rsid w:val="7D269672"/>
    <w:rsid w:val="7D7FECC1"/>
    <w:rsid w:val="7DE60A69"/>
    <w:rsid w:val="7EE0CEDA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5B0EF7"/>
  <w15:chartTrackingRefBased/>
  <w15:docId w15:val="{B7B13559-DB1D-404D-A76E-C859DADA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3466D7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905D83"/>
    <w:rPr>
      <w:color w:val="2B579A"/>
      <w:shd w:val="clear" w:color="auto" w:fill="E1DFDD"/>
    </w:rPr>
  </w:style>
  <w:style w:type="character" w:styleId="Hyperlink">
    <w:name w:val="Hyperlink"/>
    <w:basedOn w:val="DefaultParagraphFont"/>
    <w:rsid w:val="007C2E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E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053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005b7e-8a82-41ff-b8a7-f6948a26e5d7" xsi:nil="true"/>
    <lcf76f155ced4ddcb4097134ff3c332f xmlns="fbb763de-38b6-476d-b084-1351637f97f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CDEF08FC5B049963EAE709088890C" ma:contentTypeVersion="15" ma:contentTypeDescription="Create a new document." ma:contentTypeScope="" ma:versionID="8bdff717e0d9e96fa809a67d45e16819">
  <xsd:schema xmlns:xsd="http://www.w3.org/2001/XMLSchema" xmlns:xs="http://www.w3.org/2001/XMLSchema" xmlns:p="http://schemas.microsoft.com/office/2006/metadata/properties" xmlns:ns2="fbb763de-38b6-476d-b084-1351637f97fd" xmlns:ns3="75005b7e-8a82-41ff-b8a7-f6948a26e5d7" targetNamespace="http://schemas.microsoft.com/office/2006/metadata/properties" ma:root="true" ma:fieldsID="9d7b07144cf233031a136b8a11ad2b21" ns2:_="" ns3:_="">
    <xsd:import namespace="fbb763de-38b6-476d-b084-1351637f97fd"/>
    <xsd:import namespace="75005b7e-8a82-41ff-b8a7-f6948a26e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763de-38b6-476d-b084-1351637f9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ec6505-d2f2-46f6-902a-7e5430d9f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05b7e-8a82-41ff-b8a7-f6948a26e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f068614-4e48-4ffc-a270-94004f872454}" ma:internalName="TaxCatchAll" ma:showField="CatchAllData" ma:web="75005b7e-8a82-41ff-b8a7-f6948a26e5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70506-FEB5-441A-8432-107C70507E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F48E35-C6C4-43AB-BD92-9B9CC7C329B5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75005b7e-8a82-41ff-b8a7-f6948a26e5d7"/>
    <ds:schemaRef ds:uri="http://purl.org/dc/elements/1.1/"/>
    <ds:schemaRef ds:uri="http://schemas.microsoft.com/office/2006/documentManagement/types"/>
    <ds:schemaRef ds:uri="fbb763de-38b6-476d-b084-1351637f97f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E4F439-ACFE-4968-BDD9-1ADA2B98B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763de-38b6-476d-b084-1351637f97fd"/>
    <ds:schemaRef ds:uri="75005b7e-8a82-41ff-b8a7-f6948a26e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023A97-79FC-496C-8A4B-E07E87970BD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22C9A54-D637-4B25-AF2B-ECB1C810A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1006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ACF PRA</cp:lastModifiedBy>
  <cp:revision>2</cp:revision>
  <cp:lastPrinted>2010-10-04T15:59:00Z</cp:lastPrinted>
  <dcterms:created xsi:type="dcterms:W3CDTF">2024-11-25T20:04:00Z</dcterms:created>
  <dcterms:modified xsi:type="dcterms:W3CDTF">2024-11-25T20:04:00Z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0x0101001CECDEF08FC5B049963EAE709088890C</vt:lpwstr>
  </property>
  <property fmtid="{D5CDD505-2E9C-101B-9397-08002B2CF9AE}" pid="3" name="Description0">
    <vt:lpwstr/>
  </property>
  <property fmtid="{D5CDD505-2E9C-101B-9397-08002B2CF9AE}" pid="4" name="MediaServiceImageTags">
    <vt:lpwstr/>
  </property>
  <property fmtid="{D5CDD505-2E9C-101B-9397-08002B2CF9AE}" pid="5" name="_NewReviewCycle">
    <vt:lpwstr/>
  </property>
</Properties>
</file>