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BA612A" w:rsidP="00C225F9" w14:paraId="7BEC81DA" w14:textId="2E8040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A612A">
        <w:rPr>
          <w:b/>
          <w:bCs/>
          <w:sz w:val="32"/>
          <w:szCs w:val="32"/>
        </w:rPr>
        <w:t xml:space="preserve">Supporting Statement </w:t>
      </w:r>
      <w:r w:rsidRPr="00BA612A" w:rsidR="007851E9">
        <w:rPr>
          <w:b/>
          <w:bCs/>
          <w:sz w:val="32"/>
          <w:szCs w:val="32"/>
        </w:rPr>
        <w:t>A</w:t>
      </w:r>
    </w:p>
    <w:p w:rsidR="009B359F" w:rsidRPr="00BA612A" w14:paraId="3B3E8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5D69DB" w:rsidP="00B759B8" w14:paraId="5E36265E" w14:textId="5703FB30">
      <w:pPr>
        <w:jc w:val="center"/>
        <w:rPr>
          <w:b/>
          <w:sz w:val="32"/>
          <w:szCs w:val="32"/>
        </w:rPr>
      </w:pPr>
      <w:r>
        <w:rPr>
          <w:b/>
          <w:sz w:val="32"/>
          <w:szCs w:val="32"/>
        </w:rPr>
        <w:t xml:space="preserve">Federal Solid Minerals Depreciation Collections – </w:t>
      </w:r>
    </w:p>
    <w:p w:rsidR="00295103" w:rsidRPr="00BA612A" w:rsidP="00B759B8" w14:paraId="6803B9C6" w14:textId="78EACEDF">
      <w:pPr>
        <w:jc w:val="center"/>
        <w:rPr>
          <w:sz w:val="32"/>
          <w:szCs w:val="32"/>
        </w:rPr>
      </w:pPr>
      <w:r w:rsidRPr="00BA612A">
        <w:rPr>
          <w:b/>
          <w:sz w:val="32"/>
          <w:szCs w:val="32"/>
        </w:rPr>
        <w:t xml:space="preserve">30 CFR Part </w:t>
      </w:r>
      <w:r w:rsidRPr="0052263E" w:rsidR="005D69DB">
        <w:rPr>
          <w:b/>
          <w:sz w:val="32"/>
          <w:szCs w:val="32"/>
        </w:rPr>
        <w:t>1206</w:t>
      </w:r>
    </w:p>
    <w:p w:rsidR="00B759B8" w:rsidRPr="00BA612A" w:rsidP="009B359F" w14:paraId="71FACE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43FA9" w:rsidRPr="00BA612A" w:rsidP="00843FA9" w14:paraId="3DDB66B5" w14:textId="4E1FD4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A612A">
        <w:rPr>
          <w:b/>
          <w:bCs/>
          <w:sz w:val="32"/>
          <w:szCs w:val="32"/>
        </w:rPr>
        <w:t>OMB Control Number 10</w:t>
      </w:r>
      <w:r w:rsidRPr="00BA612A" w:rsidR="00D577CC">
        <w:rPr>
          <w:b/>
          <w:bCs/>
          <w:sz w:val="32"/>
          <w:szCs w:val="32"/>
        </w:rPr>
        <w:t>12</w:t>
      </w:r>
      <w:r w:rsidRPr="00BA612A">
        <w:rPr>
          <w:b/>
          <w:bCs/>
          <w:sz w:val="32"/>
          <w:szCs w:val="32"/>
        </w:rPr>
        <w:t>-</w:t>
      </w:r>
      <w:r w:rsidR="002D69F6">
        <w:rPr>
          <w:b/>
          <w:bCs/>
          <w:sz w:val="32"/>
          <w:szCs w:val="32"/>
        </w:rPr>
        <w:t>NEW</w:t>
      </w:r>
    </w:p>
    <w:p w:rsidR="00843FA9" w:rsidRPr="00BA612A" w:rsidP="00843FA9" w14:paraId="250013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C225F9" w:rsidRPr="00BA612A" w:rsidP="00843FA9" w14:paraId="0EF64F76" w14:textId="3F5E17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sz w:val="32"/>
          <w:szCs w:val="32"/>
        </w:rPr>
        <w:t>Terms of Clearance:</w:t>
      </w:r>
      <w:r w:rsidRPr="00BA612A" w:rsidR="00941941">
        <w:rPr>
          <w:sz w:val="32"/>
          <w:szCs w:val="32"/>
        </w:rPr>
        <w:t xml:space="preserve"> </w:t>
      </w:r>
      <w:r w:rsidRPr="00BA612A" w:rsidR="009B359F">
        <w:rPr>
          <w:sz w:val="32"/>
          <w:szCs w:val="32"/>
        </w:rPr>
        <w:t>None</w:t>
      </w:r>
      <w:r w:rsidRPr="00BA612A" w:rsidR="00941941">
        <w:rPr>
          <w:sz w:val="32"/>
          <w:szCs w:val="32"/>
        </w:rPr>
        <w:t>.</w:t>
      </w:r>
    </w:p>
    <w:p w:rsidR="00C225F9" w:rsidRPr="00BA612A" w:rsidP="00843FA9" w14:paraId="1A531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295103" w:rsidRPr="00BA612A" w:rsidP="00843FA9" w14:paraId="007DA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bCs/>
          <w:sz w:val="24"/>
          <w:szCs w:val="24"/>
        </w:rPr>
        <w:t>General Instructions</w:t>
      </w:r>
      <w:r w:rsidRPr="00BA612A">
        <w:rPr>
          <w:sz w:val="24"/>
          <w:szCs w:val="24"/>
        </w:rPr>
        <w:t xml:space="preserve"> </w:t>
      </w:r>
    </w:p>
    <w:p w:rsidR="00295103" w:rsidRPr="00BA612A" w:rsidP="00843FA9" w14:paraId="6EAD9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p>
    <w:p w:rsidR="00843FA9" w:rsidRPr="00BA612A" w:rsidP="00843FA9" w14:paraId="1463E7F2" w14:textId="36B5A0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F955FE">
        <w:rPr>
          <w:snapToGrid w:val="0"/>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r w:rsidRPr="00BA612A">
        <w:rPr>
          <w:sz w:val="24"/>
          <w:szCs w:val="24"/>
        </w:rPr>
        <w:t>.</w:t>
      </w:r>
    </w:p>
    <w:p w:rsidR="00843FA9" w:rsidRPr="00BA612A" w:rsidP="00843FA9" w14:paraId="57C5E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843FA9" w14:paraId="5EB01A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A612A">
        <w:rPr>
          <w:b/>
          <w:bCs/>
          <w:sz w:val="24"/>
          <w:szCs w:val="24"/>
        </w:rPr>
        <w:t>Specific Instructions</w:t>
      </w:r>
    </w:p>
    <w:p w:rsidR="00295103" w:rsidRPr="00BA612A" w14:paraId="25015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411123" w14:paraId="3EBCBC3C"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b/>
          <w:bCs/>
          <w:sz w:val="24"/>
          <w:szCs w:val="24"/>
        </w:rPr>
        <w:t>Justification</w:t>
      </w:r>
    </w:p>
    <w:p w:rsidR="00295103" w:rsidRPr="00BA612A" w14:paraId="698E2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E86A40B" w14:textId="53D86A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w:t>
      </w:r>
      <w:r w:rsidRPr="00411123">
        <w:rPr>
          <w:b/>
          <w:i/>
          <w:sz w:val="24"/>
          <w:szCs w:val="24"/>
        </w:rPr>
        <w:tab/>
      </w:r>
      <w:r w:rsidRPr="00411123">
        <w:rPr>
          <w:b/>
          <w:i/>
          <w:sz w:val="24"/>
          <w:szCs w:val="24"/>
        </w:rPr>
        <w:t>Explain the circumstances that make the collection of information necessary. Identify any legal or administrative requirements that necessitate the collection</w:t>
      </w:r>
      <w:r w:rsidRPr="00411123" w:rsidR="000F3AF1">
        <w:rPr>
          <w:b/>
          <w:i/>
          <w:sz w:val="24"/>
          <w:szCs w:val="24"/>
        </w:rPr>
        <w:t>.</w:t>
      </w:r>
    </w:p>
    <w:p w:rsidR="0060203B" w:rsidRPr="00411123" w14:paraId="30802C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60203B" w:rsidRPr="0060203B" w:rsidP="00536A5C" w14:paraId="2CC7B91F" w14:textId="7EB2675F">
      <w:pPr>
        <w:widowControl w:val="0"/>
        <w:rPr>
          <w:sz w:val="24"/>
          <w:szCs w:val="24"/>
        </w:rPr>
      </w:pPr>
      <w:r w:rsidRPr="0060203B">
        <w:rPr>
          <w:sz w:val="24"/>
          <w:szCs w:val="24"/>
        </w:rPr>
        <w:t>The Secretary of the U</w:t>
      </w:r>
      <w:r>
        <w:rPr>
          <w:sz w:val="24"/>
          <w:szCs w:val="24"/>
        </w:rPr>
        <w:t>.S.</w:t>
      </w:r>
      <w:r w:rsidRPr="0060203B">
        <w:rPr>
          <w:sz w:val="24"/>
          <w:szCs w:val="24"/>
        </w:rPr>
        <w:t xml:space="preserve"> Department of the Interior</w:t>
      </w:r>
      <w:r>
        <w:rPr>
          <w:sz w:val="24"/>
          <w:szCs w:val="24"/>
        </w:rPr>
        <w:t xml:space="preserve"> (“Secretary”)</w:t>
      </w:r>
      <w:r w:rsidRPr="0060203B">
        <w:rPr>
          <w:sz w:val="24"/>
          <w:szCs w:val="24"/>
        </w:rPr>
        <w:t xml:space="preserve"> is responsible for mineral resource development on Federal and Indian lands and the Outer Continental Shelf (</w:t>
      </w:r>
      <w:r w:rsidR="00781782">
        <w:rPr>
          <w:sz w:val="24"/>
          <w:szCs w:val="24"/>
        </w:rPr>
        <w:t>“</w:t>
      </w:r>
      <w:r w:rsidRPr="0060203B">
        <w:rPr>
          <w:sz w:val="24"/>
          <w:szCs w:val="24"/>
        </w:rPr>
        <w:t>OCS</w:t>
      </w:r>
      <w:r w:rsidR="00781782">
        <w:rPr>
          <w:sz w:val="24"/>
          <w:szCs w:val="24"/>
        </w:rPr>
        <w:t>”</w:t>
      </w:r>
      <w:r w:rsidRPr="0060203B">
        <w:rPr>
          <w:sz w:val="24"/>
          <w:szCs w:val="24"/>
        </w:rPr>
        <w:t>). Under various laws, the Secretary’s responsibility is to: (1) manage mineral resources production on Federal and Indian lands and the OCS; (2) collect the royalties and other mineral revenues due; and (3) distribute the funds collected.</w:t>
      </w:r>
    </w:p>
    <w:p w:rsidR="0060203B" w:rsidRPr="0060203B" w:rsidP="0060203B" w14:paraId="0515A545" w14:textId="77777777">
      <w:pPr>
        <w:widowControl w:val="0"/>
        <w:rPr>
          <w:sz w:val="24"/>
          <w:szCs w:val="24"/>
        </w:rPr>
      </w:pPr>
    </w:p>
    <w:p w:rsidR="0060203B" w:rsidRPr="0060203B" w:rsidP="00536A5C" w14:paraId="2A71F4BA" w14:textId="59642F2C">
      <w:pPr>
        <w:widowControl w:val="0"/>
        <w:rPr>
          <w:sz w:val="24"/>
          <w:szCs w:val="24"/>
        </w:rPr>
      </w:pPr>
      <w:r w:rsidRPr="0060203B">
        <w:rPr>
          <w:sz w:val="24"/>
          <w:szCs w:val="24"/>
        </w:rPr>
        <w:t>The Secretary also has a trust responsibility to manage Indian lands and seek advice and information from Indian beneficiaries. The Office of Natural Resources Revenue (</w:t>
      </w:r>
      <w:r w:rsidR="00781782">
        <w:rPr>
          <w:sz w:val="24"/>
          <w:szCs w:val="24"/>
        </w:rPr>
        <w:t>“</w:t>
      </w:r>
      <w:r w:rsidRPr="0060203B">
        <w:rPr>
          <w:sz w:val="24"/>
          <w:szCs w:val="24"/>
        </w:rPr>
        <w:t>ONRR</w:t>
      </w:r>
      <w:r w:rsidR="00781782">
        <w:rPr>
          <w:sz w:val="24"/>
          <w:szCs w:val="24"/>
        </w:rPr>
        <w:t>”</w:t>
      </w:r>
      <w:r w:rsidRPr="0060203B">
        <w:rPr>
          <w:sz w:val="24"/>
          <w:szCs w:val="24"/>
        </w:rPr>
        <w:t>) performs the minerals revenue management functions for the Secretary and assists the Secretary in carrying out the Department’s trust responsibility for Indian lands.</w:t>
      </w:r>
    </w:p>
    <w:p w:rsidR="0060203B" w:rsidRPr="0060203B" w:rsidP="0060203B" w14:paraId="70C640EF" w14:textId="77777777">
      <w:pPr>
        <w:widowControl w:val="0"/>
        <w:rPr>
          <w:sz w:val="24"/>
          <w:szCs w:val="24"/>
        </w:rPr>
      </w:pPr>
    </w:p>
    <w:p w:rsidR="0060203B" w:rsidRPr="0060203B" w:rsidP="00536A5C" w14:paraId="00B607F7" w14:textId="02F7C93D">
      <w:pPr>
        <w:widowControl w:val="0"/>
        <w:rPr>
          <w:sz w:val="24"/>
          <w:szCs w:val="24"/>
        </w:rPr>
      </w:pPr>
      <w:r w:rsidRPr="0060203B">
        <w:rPr>
          <w:sz w:val="24"/>
          <w:szCs w:val="24"/>
        </w:rPr>
        <w:t xml:space="preserve">When a company or an individual enters a lease to explore, develop, produce and sell, or otherwise dispose of minerals from Federal or Indian lands, that company or individual agrees to pay the lessor a share </w:t>
      </w:r>
      <w:r w:rsidR="00CF4FB5">
        <w:rPr>
          <w:sz w:val="24"/>
          <w:szCs w:val="24"/>
        </w:rPr>
        <w:t>of the</w:t>
      </w:r>
      <w:r w:rsidRPr="0060203B" w:rsidR="00881A07">
        <w:rPr>
          <w:sz w:val="24"/>
          <w:szCs w:val="24"/>
        </w:rPr>
        <w:t xml:space="preserve"> </w:t>
      </w:r>
      <w:r w:rsidRPr="0060203B">
        <w:rPr>
          <w:sz w:val="24"/>
          <w:szCs w:val="24"/>
        </w:rPr>
        <w:t xml:space="preserve">value of production from the leased lands. The information collected </w:t>
      </w:r>
      <w:r w:rsidR="00810547">
        <w:rPr>
          <w:sz w:val="24"/>
          <w:szCs w:val="24"/>
        </w:rPr>
        <w:t xml:space="preserve">by ONRR </w:t>
      </w:r>
      <w:r w:rsidRPr="0060203B">
        <w:rPr>
          <w:sz w:val="24"/>
          <w:szCs w:val="24"/>
        </w:rPr>
        <w:t xml:space="preserve">includes data necessary to ensure that royalties are </w:t>
      </w:r>
      <w:r w:rsidR="005914F5">
        <w:rPr>
          <w:sz w:val="24"/>
          <w:szCs w:val="24"/>
        </w:rPr>
        <w:t>calculated,</w:t>
      </w:r>
      <w:r w:rsidRPr="0060203B">
        <w:rPr>
          <w:sz w:val="24"/>
          <w:szCs w:val="24"/>
        </w:rPr>
        <w:t xml:space="preserve"> distributed</w:t>
      </w:r>
      <w:r w:rsidR="005914F5">
        <w:rPr>
          <w:sz w:val="24"/>
          <w:szCs w:val="24"/>
        </w:rPr>
        <w:t>,</w:t>
      </w:r>
      <w:r w:rsidRPr="0060203B">
        <w:rPr>
          <w:sz w:val="24"/>
          <w:szCs w:val="24"/>
        </w:rPr>
        <w:t xml:space="preserve"> and disbursed appropriately.</w:t>
      </w:r>
    </w:p>
    <w:p w:rsidR="0060203B" w:rsidRPr="0060203B" w:rsidP="0060203B" w14:paraId="625C3B03" w14:textId="77777777">
      <w:pPr>
        <w:widowControl w:val="0"/>
        <w:rPr>
          <w:sz w:val="24"/>
          <w:szCs w:val="24"/>
        </w:rPr>
      </w:pPr>
    </w:p>
    <w:p w:rsidR="0060203B" w:rsidRPr="0060203B" w:rsidP="00E74912" w14:paraId="512E34D1" w14:textId="38AA0DFD">
      <w:pPr>
        <w:widowControl w:val="0"/>
        <w:rPr>
          <w:sz w:val="24"/>
          <w:szCs w:val="24"/>
        </w:rPr>
      </w:pPr>
      <w:r w:rsidRPr="0060203B">
        <w:rPr>
          <w:sz w:val="24"/>
          <w:szCs w:val="24"/>
        </w:rPr>
        <w:t xml:space="preserve">The information collections that </w:t>
      </w:r>
      <w:r>
        <w:rPr>
          <w:sz w:val="24"/>
          <w:szCs w:val="24"/>
        </w:rPr>
        <w:t>ONRR covers</w:t>
      </w:r>
      <w:r w:rsidRPr="0060203B">
        <w:rPr>
          <w:sz w:val="24"/>
          <w:szCs w:val="24"/>
        </w:rPr>
        <w:t xml:space="preserve"> in this Information Collection Request (</w:t>
      </w:r>
      <w:r w:rsidR="00781782">
        <w:rPr>
          <w:sz w:val="24"/>
          <w:szCs w:val="24"/>
        </w:rPr>
        <w:t>“</w:t>
      </w:r>
      <w:r w:rsidRPr="0060203B">
        <w:rPr>
          <w:sz w:val="24"/>
          <w:szCs w:val="24"/>
        </w:rPr>
        <w:t>ICR</w:t>
      </w:r>
      <w:r w:rsidR="00781782">
        <w:rPr>
          <w:sz w:val="24"/>
          <w:szCs w:val="24"/>
        </w:rPr>
        <w:t>”</w:t>
      </w:r>
      <w:r w:rsidRPr="0060203B">
        <w:rPr>
          <w:sz w:val="24"/>
          <w:szCs w:val="24"/>
        </w:rPr>
        <w:t xml:space="preserve">) </w:t>
      </w:r>
      <w:r w:rsidRPr="0060203B">
        <w:rPr>
          <w:sz w:val="24"/>
          <w:szCs w:val="24"/>
        </w:rPr>
        <w:t xml:space="preserve">are found in </w:t>
      </w:r>
      <w:r w:rsidR="00A56EE4">
        <w:rPr>
          <w:sz w:val="24"/>
          <w:szCs w:val="24"/>
        </w:rPr>
        <w:t>T</w:t>
      </w:r>
      <w:r w:rsidRPr="0060203B">
        <w:rPr>
          <w:sz w:val="24"/>
          <w:szCs w:val="24"/>
        </w:rPr>
        <w:t xml:space="preserve">itle 30 of the </w:t>
      </w:r>
      <w:r w:rsidRPr="0060203B">
        <w:rPr>
          <w:i/>
          <w:sz w:val="24"/>
          <w:szCs w:val="24"/>
        </w:rPr>
        <w:t>Code of Federal Regulations</w:t>
      </w:r>
      <w:r w:rsidRPr="0060203B">
        <w:rPr>
          <w:sz w:val="24"/>
          <w:szCs w:val="24"/>
        </w:rPr>
        <w:t xml:space="preserve"> (</w:t>
      </w:r>
      <w:r w:rsidR="00781782">
        <w:rPr>
          <w:sz w:val="24"/>
          <w:szCs w:val="24"/>
        </w:rPr>
        <w:t>“</w:t>
      </w:r>
      <w:r w:rsidRPr="0060203B">
        <w:rPr>
          <w:sz w:val="24"/>
          <w:szCs w:val="24"/>
        </w:rPr>
        <w:t>CFR</w:t>
      </w:r>
      <w:r w:rsidR="00781782">
        <w:rPr>
          <w:sz w:val="24"/>
          <w:szCs w:val="24"/>
        </w:rPr>
        <w:t>”</w:t>
      </w:r>
      <w:r w:rsidRPr="0060203B">
        <w:rPr>
          <w:sz w:val="24"/>
          <w:szCs w:val="24"/>
        </w:rPr>
        <w:t>)</w:t>
      </w:r>
      <w:r w:rsidR="00E74912">
        <w:rPr>
          <w:sz w:val="24"/>
          <w:szCs w:val="24"/>
        </w:rPr>
        <w:t xml:space="preserve"> </w:t>
      </w:r>
      <w:r w:rsidRPr="0060203B" w:rsidR="00E74912">
        <w:rPr>
          <w:sz w:val="24"/>
          <w:szCs w:val="24"/>
        </w:rPr>
        <w:t>Part 1206, subpart F</w:t>
      </w:r>
      <w:r w:rsidR="00A56EE4">
        <w:rPr>
          <w:sz w:val="24"/>
          <w:szCs w:val="24"/>
        </w:rPr>
        <w:t>.</w:t>
      </w:r>
    </w:p>
    <w:p w:rsidR="0060203B" w:rsidRPr="0060203B" w:rsidP="0060203B" w14:paraId="0FFF9FEF" w14:textId="77777777">
      <w:pPr>
        <w:widowControl w:val="0"/>
        <w:rPr>
          <w:sz w:val="24"/>
          <w:szCs w:val="24"/>
        </w:rPr>
      </w:pPr>
    </w:p>
    <w:p w:rsidR="0060203B" w:rsidRPr="0060203B" w:rsidP="0060203B" w14:paraId="5CA75888" w14:textId="0295C9A0">
      <w:pPr>
        <w:widowControl w:val="0"/>
        <w:rPr>
          <w:sz w:val="24"/>
          <w:szCs w:val="24"/>
        </w:rPr>
      </w:pPr>
      <w:r w:rsidRPr="0060203B">
        <w:rPr>
          <w:sz w:val="24"/>
          <w:szCs w:val="24"/>
        </w:rPr>
        <w:t xml:space="preserve">The following </w:t>
      </w:r>
      <w:r w:rsidR="00E82A39">
        <w:rPr>
          <w:sz w:val="24"/>
          <w:szCs w:val="24"/>
        </w:rPr>
        <w:t>three</w:t>
      </w:r>
      <w:r w:rsidRPr="0060203B">
        <w:rPr>
          <w:sz w:val="24"/>
          <w:szCs w:val="24"/>
        </w:rPr>
        <w:t xml:space="preserve"> laws pertaining to mineral leases on Federal lands are posted at </w:t>
      </w:r>
      <w:r w:rsidRPr="0060203B">
        <w:rPr>
          <w:i/>
          <w:sz w:val="24"/>
          <w:szCs w:val="24"/>
        </w:rPr>
        <w:t>http://www.onrr.gov/Laws_R_D/PubLaws/default.htm</w:t>
      </w:r>
      <w:r w:rsidRPr="0060203B">
        <w:rPr>
          <w:sz w:val="24"/>
          <w:szCs w:val="24"/>
        </w:rPr>
        <w:t>:</w:t>
      </w:r>
    </w:p>
    <w:p w:rsidR="0060203B" w:rsidRPr="0060203B" w:rsidP="0060203B" w14:paraId="1AFC48E7" w14:textId="77777777">
      <w:pPr>
        <w:widowControl w:val="0"/>
        <w:rPr>
          <w:sz w:val="24"/>
          <w:szCs w:val="24"/>
        </w:rPr>
      </w:pPr>
    </w:p>
    <w:p w:rsidR="0060203B" w:rsidRPr="0060203B" w:rsidP="0060203B" w14:paraId="4F36FE6E" w14:textId="77777777">
      <w:pPr>
        <w:widowControl w:val="0"/>
        <w:numPr>
          <w:ilvl w:val="0"/>
          <w:numId w:val="11"/>
        </w:numPr>
        <w:rPr>
          <w:sz w:val="24"/>
          <w:szCs w:val="24"/>
        </w:rPr>
      </w:pPr>
      <w:r w:rsidRPr="0060203B">
        <w:rPr>
          <w:sz w:val="24"/>
          <w:szCs w:val="24"/>
        </w:rPr>
        <w:t>30 U.S.C. 189, Chapter 3A—Leases and Prospecting Permits</w:t>
      </w:r>
    </w:p>
    <w:p w:rsidR="0060203B" w:rsidRPr="0060203B" w:rsidP="0060203B" w14:paraId="0BCB9FC6" w14:textId="77777777">
      <w:pPr>
        <w:widowControl w:val="0"/>
        <w:numPr>
          <w:ilvl w:val="0"/>
          <w:numId w:val="11"/>
        </w:numPr>
        <w:rPr>
          <w:sz w:val="24"/>
          <w:szCs w:val="24"/>
        </w:rPr>
      </w:pPr>
      <w:r w:rsidRPr="0060203B">
        <w:rPr>
          <w:sz w:val="24"/>
          <w:szCs w:val="24"/>
        </w:rPr>
        <w:t>30 U.S.C. 359, Chapter 7—Lease of Mineral Deposits within Acquired Lands</w:t>
      </w:r>
    </w:p>
    <w:p w:rsidR="005D69DB" w:rsidRPr="00264366" w:rsidP="005D69DB" w14:paraId="6CF518A2" w14:textId="4609ED4C">
      <w:pPr>
        <w:widowControl w:val="0"/>
        <w:numPr>
          <w:ilvl w:val="0"/>
          <w:numId w:val="11"/>
        </w:numPr>
        <w:rPr>
          <w:sz w:val="24"/>
          <w:szCs w:val="24"/>
        </w:rPr>
      </w:pPr>
      <w:r w:rsidRPr="00264366">
        <w:rPr>
          <w:sz w:val="24"/>
          <w:szCs w:val="24"/>
        </w:rPr>
        <w:t>30 U.S.C. 181-263—Mineral Leasing Act of 1920</w:t>
      </w:r>
    </w:p>
    <w:p w:rsidR="00295103" w14:paraId="745A8924" w14:textId="227A5C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A6F4E" w14:paraId="23FD65C2" w14:textId="4171CA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ICR is associated with the information covered for solid minerals r</w:t>
      </w:r>
      <w:r w:rsidR="004C505F">
        <w:rPr>
          <w:sz w:val="24"/>
          <w:szCs w:val="24"/>
        </w:rPr>
        <w:t xml:space="preserve">eporting and royalty payments in OMB Control Number 1012-0010. Following the publication of ONRR’s </w:t>
      </w:r>
      <w:r w:rsidR="000E5AE6">
        <w:rPr>
          <w:sz w:val="24"/>
          <w:szCs w:val="24"/>
        </w:rPr>
        <w:t>Federal Oil, Gas, and Coal Amendments Final Rule (RIN 1012-AA39)</w:t>
      </w:r>
      <w:r w:rsidR="004E58AF">
        <w:rPr>
          <w:sz w:val="24"/>
          <w:szCs w:val="24"/>
        </w:rPr>
        <w:t xml:space="preserve"> and subsequent approval by OMB, ONRR intends to </w:t>
      </w:r>
      <w:r w:rsidR="00F81A7B">
        <w:rPr>
          <w:sz w:val="24"/>
          <w:szCs w:val="24"/>
        </w:rPr>
        <w:t xml:space="preserve">revise </w:t>
      </w:r>
      <w:r w:rsidR="00FE54D4">
        <w:rPr>
          <w:sz w:val="24"/>
          <w:szCs w:val="24"/>
        </w:rPr>
        <w:t xml:space="preserve">OMB Control Number 1012-0010 to incorporate the </w:t>
      </w:r>
      <w:r w:rsidR="00DD0CF6">
        <w:rPr>
          <w:sz w:val="24"/>
          <w:szCs w:val="24"/>
        </w:rPr>
        <w:t>information collection in this ICR</w:t>
      </w:r>
      <w:r w:rsidR="00BA3CA5">
        <w:rPr>
          <w:sz w:val="24"/>
          <w:szCs w:val="24"/>
        </w:rPr>
        <w:t xml:space="preserve">. </w:t>
      </w:r>
      <w:r w:rsidR="00352B1C">
        <w:rPr>
          <w:sz w:val="24"/>
          <w:szCs w:val="24"/>
        </w:rPr>
        <w:t xml:space="preserve">Once </w:t>
      </w:r>
      <w:r w:rsidR="0013148E">
        <w:rPr>
          <w:sz w:val="24"/>
          <w:szCs w:val="24"/>
        </w:rPr>
        <w:t>the</w:t>
      </w:r>
      <w:r w:rsidR="00DA2549">
        <w:rPr>
          <w:sz w:val="24"/>
          <w:szCs w:val="24"/>
        </w:rPr>
        <w:t>se information collections have been incorporated into OMB Control Number 1012-0010 and approved by OMB, ONRR will discontinue this ICR</w:t>
      </w:r>
      <w:r w:rsidR="00EE5F93">
        <w:rPr>
          <w:sz w:val="24"/>
          <w:szCs w:val="24"/>
        </w:rPr>
        <w:t>.</w:t>
      </w:r>
    </w:p>
    <w:p w:rsidR="006A6F4E" w:rsidRPr="00BA612A" w14:paraId="5FA523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504C1BD2" w14:textId="4BD7F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2.</w:t>
      </w:r>
      <w:r w:rsidRPr="00411123">
        <w:rPr>
          <w:b/>
          <w:i/>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411123" w:rsidR="00DE1FFE">
        <w:rPr>
          <w:b/>
          <w:i/>
          <w:sz w:val="24"/>
          <w:szCs w:val="24"/>
        </w:rPr>
        <w:t>question needs to be justified.</w:t>
      </w:r>
    </w:p>
    <w:p w:rsidR="00941941" w:rsidRPr="00BA612A" w14:paraId="12D416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5D69DB" w:rsidRPr="005D69DB" w:rsidP="005D69DB" w14:paraId="099AF45B" w14:textId="633A9C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ONRR, acting for the Secretary, uses the information </w:t>
      </w:r>
      <w:r w:rsidR="0060203B">
        <w:rPr>
          <w:sz w:val="24"/>
          <w:szCs w:val="24"/>
        </w:rPr>
        <w:t>it</w:t>
      </w:r>
      <w:r w:rsidRPr="005D69DB">
        <w:rPr>
          <w:sz w:val="24"/>
          <w:szCs w:val="24"/>
        </w:rPr>
        <w:t xml:space="preserve"> collect</w:t>
      </w:r>
      <w:r w:rsidR="0060203B">
        <w:rPr>
          <w:sz w:val="24"/>
          <w:szCs w:val="24"/>
        </w:rPr>
        <w:t>s</w:t>
      </w:r>
      <w:r w:rsidR="007D0464">
        <w:rPr>
          <w:sz w:val="24"/>
          <w:szCs w:val="24"/>
        </w:rPr>
        <w:t xml:space="preserve"> through its other approved ICRs</w:t>
      </w:r>
      <w:r w:rsidRPr="005D69DB">
        <w:rPr>
          <w:sz w:val="24"/>
          <w:szCs w:val="24"/>
        </w:rPr>
        <w:t xml:space="preserve"> to ensure that lessees accurately value </w:t>
      </w:r>
      <w:r w:rsidR="002C0D88">
        <w:rPr>
          <w:sz w:val="24"/>
          <w:szCs w:val="24"/>
        </w:rPr>
        <w:t xml:space="preserve">production </w:t>
      </w:r>
      <w:r w:rsidRPr="005D69DB">
        <w:rPr>
          <w:sz w:val="24"/>
          <w:szCs w:val="24"/>
        </w:rPr>
        <w:t xml:space="preserve">and appropriately pay all royalties and other mineral revenues due based on the correct product valuation. ONRR and other Federal </w:t>
      </w:r>
      <w:r w:rsidR="00770DB7">
        <w:rPr>
          <w:sz w:val="24"/>
          <w:szCs w:val="24"/>
        </w:rPr>
        <w:t>G</w:t>
      </w:r>
      <w:r w:rsidRPr="005D69DB">
        <w:rPr>
          <w:sz w:val="24"/>
          <w:szCs w:val="24"/>
        </w:rPr>
        <w:t>overnment agencies, including the Bureau of Land Management (</w:t>
      </w:r>
      <w:r w:rsidR="00DB5929">
        <w:rPr>
          <w:sz w:val="24"/>
          <w:szCs w:val="24"/>
        </w:rPr>
        <w:t>“</w:t>
      </w:r>
      <w:r w:rsidRPr="005D69DB">
        <w:rPr>
          <w:sz w:val="24"/>
          <w:szCs w:val="24"/>
        </w:rPr>
        <w:t>BLM</w:t>
      </w:r>
      <w:r w:rsidR="00DB5929">
        <w:rPr>
          <w:sz w:val="24"/>
          <w:szCs w:val="24"/>
        </w:rPr>
        <w:t>”</w:t>
      </w:r>
      <w:r w:rsidRPr="005D69DB">
        <w:rPr>
          <w:sz w:val="24"/>
          <w:szCs w:val="24"/>
        </w:rPr>
        <w:t>), Bureau of Indian Affairs (</w:t>
      </w:r>
      <w:r w:rsidR="00DB5929">
        <w:rPr>
          <w:sz w:val="24"/>
          <w:szCs w:val="24"/>
        </w:rPr>
        <w:t>“</w:t>
      </w:r>
      <w:r w:rsidRPr="005D69DB">
        <w:rPr>
          <w:sz w:val="24"/>
          <w:szCs w:val="24"/>
        </w:rPr>
        <w:t>BIA</w:t>
      </w:r>
      <w:r w:rsidR="00DB5929">
        <w:rPr>
          <w:sz w:val="24"/>
          <w:szCs w:val="24"/>
        </w:rPr>
        <w:t>”</w:t>
      </w:r>
      <w:r w:rsidRPr="005D69DB">
        <w:rPr>
          <w:sz w:val="24"/>
          <w:szCs w:val="24"/>
        </w:rPr>
        <w:t>), and State and Tribal governmental entities, use the information for audit purposes and for evaluating the reasonableness of product valuation or allowance claims that lessees submit. These bureaus and other governmental entities use this data to: (1) conduct production verification; (2) ensure lease diligence; (3) monitor plant efficiencies; (4) ensure maximum recovery; and (5) conduct secondary product inventories. Determining the appropriate product value or allowance rate directly affects the royaltie</w:t>
      </w:r>
      <w:r w:rsidRPr="005D69DB">
        <w:rPr>
          <w:sz w:val="24"/>
          <w:szCs w:val="24"/>
        </w:rPr>
        <w:t>s and other mineral revenues due. Failure to collect such data would prevent the Secretary from fulfilling statutory and trust responsibilities. All data reported is subject to subsequent audit and adjustment.</w:t>
      </w:r>
    </w:p>
    <w:p w:rsidR="005D69DB" w:rsidRPr="005D69DB" w:rsidP="005D69DB" w14:paraId="189CF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5855962D" w14:textId="5E015E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Some reporting requirements alert ONRR to possible problems at the beginning of the compliance process, which allows the Solid Minerals and Geothermal group under Revenue, Reporting and Compliance Management (</w:t>
      </w:r>
      <w:r w:rsidR="00781782">
        <w:rPr>
          <w:sz w:val="24"/>
          <w:szCs w:val="24"/>
        </w:rPr>
        <w:t>“</w:t>
      </w:r>
      <w:r w:rsidRPr="005D69DB">
        <w:rPr>
          <w:sz w:val="24"/>
          <w:szCs w:val="24"/>
        </w:rPr>
        <w:t>RRCM</w:t>
      </w:r>
      <w:r w:rsidR="00781782">
        <w:rPr>
          <w:sz w:val="24"/>
          <w:szCs w:val="24"/>
        </w:rPr>
        <w:t>”</w:t>
      </w:r>
      <w:r w:rsidRPr="005D69DB">
        <w:rPr>
          <w:sz w:val="24"/>
          <w:szCs w:val="24"/>
        </w:rPr>
        <w:t>) and State and Tribal audit offices to provide resolution within three years</w:t>
      </w:r>
      <w:r w:rsidR="000137DD">
        <w:rPr>
          <w:sz w:val="24"/>
          <w:szCs w:val="24"/>
        </w:rPr>
        <w:t>—</w:t>
      </w:r>
      <w:r w:rsidRPr="005D69DB">
        <w:rPr>
          <w:sz w:val="24"/>
          <w:szCs w:val="24"/>
        </w:rPr>
        <w:t>this is part of ONRR’s compliance strategy. Other reporting requirements enable ONRR to timely and accurately collect, account for, and disburse mineral revenues.</w:t>
      </w:r>
    </w:p>
    <w:p w:rsidR="005D69DB" w:rsidRPr="005D69DB" w:rsidP="005D69DB" w14:paraId="666F1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4E262772" w14:textId="4D794E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This </w:t>
      </w:r>
      <w:r w:rsidR="0068730E">
        <w:rPr>
          <w:sz w:val="24"/>
          <w:szCs w:val="24"/>
        </w:rPr>
        <w:t>ICR</w:t>
      </w:r>
      <w:r w:rsidRPr="005D69DB">
        <w:rPr>
          <w:sz w:val="24"/>
          <w:szCs w:val="24"/>
        </w:rPr>
        <w:t xml:space="preserve"> provides for the collection of solid minerals </w:t>
      </w:r>
      <w:r w:rsidR="000328C2">
        <w:rPr>
          <w:sz w:val="24"/>
          <w:szCs w:val="24"/>
        </w:rPr>
        <w:t>information</w:t>
      </w:r>
      <w:r w:rsidR="009F5FC7">
        <w:rPr>
          <w:sz w:val="24"/>
          <w:szCs w:val="24"/>
        </w:rPr>
        <w:t xml:space="preserve"> associated with a lessee’s </w:t>
      </w:r>
      <w:r w:rsidR="00E96F69">
        <w:rPr>
          <w:sz w:val="24"/>
          <w:szCs w:val="24"/>
        </w:rPr>
        <w:t>non-arm’s-length</w:t>
      </w:r>
      <w:r w:rsidR="00860369">
        <w:rPr>
          <w:sz w:val="24"/>
          <w:szCs w:val="24"/>
        </w:rPr>
        <w:t xml:space="preserve"> </w:t>
      </w:r>
      <w:r w:rsidR="008A7723">
        <w:rPr>
          <w:sz w:val="24"/>
          <w:szCs w:val="24"/>
        </w:rPr>
        <w:t>allowance</w:t>
      </w:r>
      <w:r w:rsidRPr="005D69DB">
        <w:rPr>
          <w:sz w:val="24"/>
          <w:szCs w:val="24"/>
        </w:rPr>
        <w:t xml:space="preserve">. </w:t>
      </w:r>
      <w:r w:rsidR="00C13F44">
        <w:rPr>
          <w:sz w:val="24"/>
          <w:szCs w:val="24"/>
        </w:rPr>
        <w:t xml:space="preserve">Further discussion of the proposed changes to ONRR’s regulations under its proposed rule (RIN 1012-AA39) are outlined below. </w:t>
      </w:r>
      <w:r w:rsidR="00EA0F5E">
        <w:rPr>
          <w:sz w:val="24"/>
          <w:szCs w:val="24"/>
        </w:rPr>
        <w:t>Solid minerals</w:t>
      </w:r>
      <w:r w:rsidRPr="005D69DB">
        <w:rPr>
          <w:sz w:val="24"/>
          <w:szCs w:val="24"/>
        </w:rPr>
        <w:t xml:space="preserve"> reporters primarily </w:t>
      </w:r>
      <w:r w:rsidRPr="005D69DB">
        <w:rPr>
          <w:sz w:val="24"/>
          <w:szCs w:val="24"/>
        </w:rPr>
        <w:t xml:space="preserve">report information </w:t>
      </w:r>
      <w:r w:rsidR="00D42CD5">
        <w:rPr>
          <w:sz w:val="24"/>
          <w:szCs w:val="24"/>
        </w:rPr>
        <w:t>other ONRR forms</w:t>
      </w:r>
      <w:r w:rsidRPr="005D69DB">
        <w:rPr>
          <w:sz w:val="24"/>
          <w:szCs w:val="24"/>
        </w:rPr>
        <w:t xml:space="preserve">, which is </w:t>
      </w:r>
      <w:r w:rsidR="00D42CD5">
        <w:rPr>
          <w:sz w:val="24"/>
          <w:szCs w:val="24"/>
        </w:rPr>
        <w:t xml:space="preserve">already </w:t>
      </w:r>
      <w:r w:rsidRPr="005D69DB">
        <w:rPr>
          <w:sz w:val="24"/>
          <w:szCs w:val="24"/>
        </w:rPr>
        <w:t>covered in OMB Control Number 1012-00</w:t>
      </w:r>
      <w:r w:rsidR="00D42CD5">
        <w:rPr>
          <w:sz w:val="24"/>
          <w:szCs w:val="24"/>
        </w:rPr>
        <w:t>10</w:t>
      </w:r>
      <w:r w:rsidRPr="005D69DB">
        <w:rPr>
          <w:sz w:val="24"/>
          <w:szCs w:val="24"/>
        </w:rPr>
        <w:t>.</w:t>
      </w:r>
      <w:r w:rsidR="00D42CD5">
        <w:rPr>
          <w:sz w:val="24"/>
          <w:szCs w:val="24"/>
        </w:rPr>
        <w:t xml:space="preserve"> </w:t>
      </w:r>
    </w:p>
    <w:p w:rsidR="005D69DB" w:rsidRPr="005D69DB" w:rsidP="005D69DB" w14:paraId="28C423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07A2D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sidRPr="005D69DB">
        <w:rPr>
          <w:b/>
          <w:sz w:val="24"/>
          <w:szCs w:val="24"/>
          <w:u w:val="single"/>
        </w:rPr>
        <w:t>Solid Minerals</w:t>
      </w:r>
    </w:p>
    <w:p w:rsidR="005D69DB" w:rsidRPr="005D69DB" w:rsidP="005D69DB" w14:paraId="0C298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005D69DB" w:rsidRPr="005D69DB" w:rsidP="005D69DB" w14:paraId="2F8BF107" w14:textId="44D582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Pr>
          <w:sz w:val="24"/>
          <w:szCs w:val="24"/>
        </w:rPr>
        <w:t>Generally, p</w:t>
      </w:r>
      <w:r w:rsidRPr="005D69DB">
        <w:rPr>
          <w:sz w:val="24"/>
          <w:szCs w:val="24"/>
        </w:rPr>
        <w:t xml:space="preserve">roducers of coal and other solid minerals from any Federal or Indian lease must submit the Solid Minerals Production and Royalty Report (form ONRR-4430) and other associated data formats such as, the Solid Minerals Sales Summary (form ONRR-4440), facility data, sales contracts and amendments, and payment information. These companies also report certain data on form ONRR-2014. The information that ONRR requests is the minimum necessary to carry out </w:t>
      </w:r>
      <w:r w:rsidR="00CA2854">
        <w:rPr>
          <w:sz w:val="24"/>
          <w:szCs w:val="24"/>
        </w:rPr>
        <w:t>its</w:t>
      </w:r>
      <w:r w:rsidRPr="005D69DB">
        <w:rPr>
          <w:sz w:val="24"/>
          <w:szCs w:val="24"/>
        </w:rPr>
        <w:t xml:space="preserve"> mission and places the least possible burden on responde</w:t>
      </w:r>
      <w:r w:rsidRPr="005D69DB">
        <w:rPr>
          <w:sz w:val="24"/>
          <w:szCs w:val="24"/>
        </w:rPr>
        <w:t xml:space="preserve">nts. </w:t>
      </w:r>
      <w:r w:rsidR="0060203B">
        <w:rPr>
          <w:sz w:val="24"/>
          <w:szCs w:val="24"/>
        </w:rPr>
        <w:t>ONRR</w:t>
      </w:r>
      <w:r w:rsidRPr="005D69DB">
        <w:rPr>
          <w:sz w:val="24"/>
          <w:szCs w:val="24"/>
        </w:rPr>
        <w:t xml:space="preserve"> discuss</w:t>
      </w:r>
      <w:r w:rsidR="0060203B">
        <w:rPr>
          <w:sz w:val="24"/>
          <w:szCs w:val="24"/>
        </w:rPr>
        <w:t>es</w:t>
      </w:r>
      <w:r w:rsidRPr="005D69DB">
        <w:rPr>
          <w:sz w:val="24"/>
          <w:szCs w:val="24"/>
        </w:rPr>
        <w:t xml:space="preserve"> the forms and associated data formats below. Please refer to the burden chart in </w:t>
      </w:r>
      <w:r w:rsidR="00E30C11">
        <w:rPr>
          <w:sz w:val="24"/>
          <w:szCs w:val="24"/>
        </w:rPr>
        <w:t xml:space="preserve">OMB Control Number 1012-0010 </w:t>
      </w:r>
      <w:r w:rsidRPr="005D69DB">
        <w:rPr>
          <w:sz w:val="24"/>
          <w:szCs w:val="24"/>
        </w:rPr>
        <w:t>for all reporting requirements and associated burden hours.</w:t>
      </w:r>
    </w:p>
    <w:p w:rsidR="005D69DB" w:rsidRPr="005D69DB" w:rsidP="005D69DB" w14:paraId="26AA6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
    <w:p w:rsidR="00AC2BEC" w:rsidP="005D69DB" w14:paraId="01F8A681" w14:textId="732038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New Information Collection:</w:t>
      </w:r>
    </w:p>
    <w:p w:rsidR="00AC2BEC" w:rsidRPr="005D69DB" w:rsidP="005D69DB" w14:paraId="5BE578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4B01BC" w:rsidP="004B01BC" w14:paraId="112C982E" w14:textId="43F716F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81782">
        <w:rPr>
          <w:b/>
          <w:bCs/>
          <w:i/>
          <w:iCs/>
          <w:sz w:val="24"/>
          <w:szCs w:val="24"/>
        </w:rPr>
        <w:t>Depreciation</w:t>
      </w:r>
      <w:r w:rsidRPr="6D3486BF">
        <w:rPr>
          <w:sz w:val="24"/>
          <w:szCs w:val="24"/>
        </w:rPr>
        <w:t xml:space="preserve"> </w:t>
      </w:r>
      <w:r w:rsidRPr="6D3486BF">
        <w:rPr>
          <w:b/>
          <w:bCs/>
          <w:i/>
          <w:iCs/>
          <w:sz w:val="24"/>
          <w:szCs w:val="24"/>
        </w:rPr>
        <w:t>Schedule for Non-Arm's</w:t>
      </w:r>
      <w:r w:rsidRPr="6D3486BF" w:rsidR="051FBD0B">
        <w:rPr>
          <w:b/>
          <w:bCs/>
          <w:i/>
          <w:iCs/>
          <w:sz w:val="24"/>
          <w:szCs w:val="24"/>
        </w:rPr>
        <w:t>-</w:t>
      </w:r>
      <w:r w:rsidRPr="6D3486BF">
        <w:rPr>
          <w:b/>
          <w:bCs/>
          <w:i/>
          <w:iCs/>
          <w:sz w:val="24"/>
          <w:szCs w:val="24"/>
        </w:rPr>
        <w:t>Length Allowances</w:t>
      </w:r>
      <w:r w:rsidRPr="6D3486BF" w:rsidR="072C307A">
        <w:rPr>
          <w:b/>
          <w:bCs/>
          <w:i/>
          <w:iCs/>
          <w:sz w:val="24"/>
          <w:szCs w:val="24"/>
        </w:rPr>
        <w:t>—</w:t>
      </w:r>
      <w:r w:rsidR="00BE02DC">
        <w:rPr>
          <w:sz w:val="24"/>
          <w:szCs w:val="24"/>
        </w:rPr>
        <w:t>Through its Federal Oil, Gas, and Coal Amendments Proposed Rule (RIN 1012-AA39)</w:t>
      </w:r>
      <w:r w:rsidR="00035A58">
        <w:rPr>
          <w:sz w:val="24"/>
          <w:szCs w:val="24"/>
        </w:rPr>
        <w:t>,</w:t>
      </w:r>
      <w:r w:rsidR="00BE02DC">
        <w:rPr>
          <w:sz w:val="24"/>
          <w:szCs w:val="24"/>
        </w:rPr>
        <w:t xml:space="preserve"> ONRR proposes to allow</w:t>
      </w:r>
      <w:r w:rsidRPr="6D3486BF" w:rsidR="072C307A">
        <w:rPr>
          <w:sz w:val="24"/>
          <w:szCs w:val="24"/>
        </w:rPr>
        <w:t xml:space="preserve"> </w:t>
      </w:r>
      <w:r w:rsidRPr="6D3486BF" w:rsidR="771F996A">
        <w:rPr>
          <w:sz w:val="24"/>
          <w:szCs w:val="24"/>
        </w:rPr>
        <w:t>F</w:t>
      </w:r>
      <w:r w:rsidRPr="6D3486BF" w:rsidR="072C307A">
        <w:rPr>
          <w:sz w:val="24"/>
          <w:szCs w:val="24"/>
        </w:rPr>
        <w:t>ederal</w:t>
      </w:r>
      <w:r w:rsidRPr="6D3486BF" w:rsidR="66E23560">
        <w:rPr>
          <w:sz w:val="24"/>
          <w:szCs w:val="24"/>
        </w:rPr>
        <w:t xml:space="preserve"> coal</w:t>
      </w:r>
      <w:r w:rsidRPr="6D3486BF" w:rsidR="072C307A">
        <w:rPr>
          <w:sz w:val="24"/>
          <w:szCs w:val="24"/>
        </w:rPr>
        <w:t xml:space="preserve"> lessees</w:t>
      </w:r>
      <w:r w:rsidRPr="6D3486BF" w:rsidR="00827722">
        <w:rPr>
          <w:sz w:val="24"/>
          <w:szCs w:val="24"/>
        </w:rPr>
        <w:t xml:space="preserve"> to propose a depreciation schedule to ONRR </w:t>
      </w:r>
      <w:r w:rsidRPr="6D3486BF" w:rsidR="00C04546">
        <w:rPr>
          <w:sz w:val="24"/>
          <w:szCs w:val="24"/>
        </w:rPr>
        <w:t xml:space="preserve">in </w:t>
      </w:r>
      <w:r w:rsidRPr="6D3486BF" w:rsidR="00F32F03">
        <w:rPr>
          <w:sz w:val="24"/>
          <w:szCs w:val="24"/>
        </w:rPr>
        <w:t>two instan</w:t>
      </w:r>
      <w:r w:rsidRPr="6D3486BF" w:rsidR="00594EB2">
        <w:rPr>
          <w:sz w:val="24"/>
          <w:szCs w:val="24"/>
        </w:rPr>
        <w:t>ces</w:t>
      </w:r>
      <w:r w:rsidRPr="6D3486BF" w:rsidR="00AD6B4C">
        <w:rPr>
          <w:sz w:val="24"/>
          <w:szCs w:val="24"/>
        </w:rPr>
        <w:t xml:space="preserve"> under a</w:t>
      </w:r>
      <w:r w:rsidRPr="6D3486BF" w:rsidR="00381D22">
        <w:rPr>
          <w:sz w:val="24"/>
          <w:szCs w:val="24"/>
        </w:rPr>
        <w:t xml:space="preserve"> non-arm's-length</w:t>
      </w:r>
      <w:r w:rsidR="00612A1F">
        <w:rPr>
          <w:sz w:val="24"/>
          <w:szCs w:val="24"/>
        </w:rPr>
        <w:t xml:space="preserve"> </w:t>
      </w:r>
      <w:r w:rsidRPr="6D3486BF" w:rsidR="00381D22">
        <w:rPr>
          <w:sz w:val="24"/>
          <w:szCs w:val="24"/>
        </w:rPr>
        <w:t>allowance</w:t>
      </w:r>
      <w:r w:rsidRPr="6D3486BF" w:rsidR="00594EB2">
        <w:rPr>
          <w:sz w:val="24"/>
          <w:szCs w:val="24"/>
        </w:rPr>
        <w:t xml:space="preserve">. The first instance is </w:t>
      </w:r>
      <w:r w:rsidRPr="6D3486BF" w:rsidR="00F32F03">
        <w:rPr>
          <w:sz w:val="24"/>
          <w:szCs w:val="24"/>
        </w:rPr>
        <w:t>when the lessee</w:t>
      </w:r>
      <w:r w:rsidRPr="6D3486BF" w:rsidR="00AD6B4C">
        <w:rPr>
          <w:sz w:val="24"/>
          <w:szCs w:val="24"/>
        </w:rPr>
        <w:t xml:space="preserve"> wants</w:t>
      </w:r>
      <w:r w:rsidRPr="6D3486BF" w:rsidR="00F32F03">
        <w:rPr>
          <w:sz w:val="24"/>
          <w:szCs w:val="24"/>
        </w:rPr>
        <w:t xml:space="preserve"> </w:t>
      </w:r>
      <w:r w:rsidRPr="6D3486BF" w:rsidR="00AD6B4C">
        <w:rPr>
          <w:sz w:val="24"/>
          <w:szCs w:val="24"/>
        </w:rPr>
        <w:t xml:space="preserve">to </w:t>
      </w:r>
      <w:r w:rsidRPr="6D3486BF" w:rsidR="00F32F03">
        <w:rPr>
          <w:sz w:val="24"/>
          <w:szCs w:val="24"/>
        </w:rPr>
        <w:t xml:space="preserve">claim depreciation and a return on capital costs for acquired assets when either the original depreciation schedule does not exist or when the original depreciation schedule is not compliant with the regulations at §§ 1206.259(b)(2)(v) (Federal coal washing), </w:t>
      </w:r>
      <w:r w:rsidRPr="6D3486BF" w:rsidR="00381D22">
        <w:rPr>
          <w:sz w:val="24"/>
          <w:szCs w:val="24"/>
        </w:rPr>
        <w:t>or</w:t>
      </w:r>
      <w:r w:rsidRPr="6D3486BF" w:rsidR="00F32F03">
        <w:rPr>
          <w:sz w:val="24"/>
          <w:szCs w:val="24"/>
        </w:rPr>
        <w:t xml:space="preserve"> 1206.262(b)(2)(v) (Federal coal transportation). The second </w:t>
      </w:r>
      <w:r w:rsidRPr="6D3486BF" w:rsidR="00381D22">
        <w:rPr>
          <w:sz w:val="24"/>
          <w:szCs w:val="24"/>
        </w:rPr>
        <w:t>instance whe</w:t>
      </w:r>
      <w:r w:rsidR="009E2211">
        <w:rPr>
          <w:sz w:val="24"/>
          <w:szCs w:val="24"/>
        </w:rPr>
        <w:t>re</w:t>
      </w:r>
      <w:r w:rsidRPr="6D3486BF" w:rsidR="00381D22">
        <w:rPr>
          <w:sz w:val="24"/>
          <w:szCs w:val="24"/>
        </w:rPr>
        <w:t xml:space="preserve"> a lessee should submit a </w:t>
      </w:r>
      <w:r w:rsidRPr="6D3486BF" w:rsidR="00F32F03">
        <w:rPr>
          <w:sz w:val="24"/>
          <w:szCs w:val="24"/>
        </w:rPr>
        <w:t xml:space="preserve">proposal </w:t>
      </w:r>
      <w:r w:rsidRPr="6D3486BF" w:rsidR="00381D22">
        <w:rPr>
          <w:sz w:val="24"/>
          <w:szCs w:val="24"/>
        </w:rPr>
        <w:t xml:space="preserve">to ONRR is when </w:t>
      </w:r>
      <w:r w:rsidRPr="6D3486BF" w:rsidR="00F32F03">
        <w:rPr>
          <w:sz w:val="24"/>
          <w:szCs w:val="24"/>
        </w:rPr>
        <w:t xml:space="preserve">a lessee who has not claimed depreciation and a return on capital cost for a fixed asset </w:t>
      </w:r>
      <w:r w:rsidRPr="6D3486BF" w:rsidR="000152ED">
        <w:rPr>
          <w:sz w:val="24"/>
          <w:szCs w:val="24"/>
        </w:rPr>
        <w:t xml:space="preserve">and wants </w:t>
      </w:r>
      <w:r w:rsidRPr="6D3486BF" w:rsidR="00F32F03">
        <w:rPr>
          <w:sz w:val="24"/>
          <w:szCs w:val="24"/>
        </w:rPr>
        <w:t>to elect an alternative in-service date for that fixed asset under a non-arm’s-length allowance</w:t>
      </w:r>
      <w:r w:rsidRPr="6D3486BF" w:rsidR="000152ED">
        <w:rPr>
          <w:sz w:val="24"/>
          <w:szCs w:val="24"/>
        </w:rPr>
        <w:t xml:space="preserve">. </w:t>
      </w:r>
      <w:r w:rsidR="005915D7">
        <w:rPr>
          <w:sz w:val="24"/>
          <w:szCs w:val="24"/>
        </w:rPr>
        <w:t>If the final rule goes into effect, t</w:t>
      </w:r>
      <w:r w:rsidRPr="6D3486BF" w:rsidR="472BE84D">
        <w:rPr>
          <w:sz w:val="24"/>
          <w:szCs w:val="24"/>
        </w:rPr>
        <w:t>he information ONRR</w:t>
      </w:r>
      <w:r w:rsidR="009F61A7">
        <w:rPr>
          <w:sz w:val="24"/>
          <w:szCs w:val="24"/>
        </w:rPr>
        <w:t xml:space="preserve"> </w:t>
      </w:r>
      <w:r w:rsidRPr="6D3486BF" w:rsidR="472BE84D">
        <w:rPr>
          <w:sz w:val="24"/>
          <w:szCs w:val="24"/>
        </w:rPr>
        <w:t>collect</w:t>
      </w:r>
      <w:r w:rsidR="00946197">
        <w:rPr>
          <w:sz w:val="24"/>
          <w:szCs w:val="24"/>
        </w:rPr>
        <w:t>s</w:t>
      </w:r>
      <w:r w:rsidRPr="6D3486BF" w:rsidR="472BE84D">
        <w:rPr>
          <w:sz w:val="24"/>
          <w:szCs w:val="24"/>
        </w:rPr>
        <w:t xml:space="preserve"> </w:t>
      </w:r>
      <w:r w:rsidR="009F61A7">
        <w:rPr>
          <w:sz w:val="24"/>
          <w:szCs w:val="24"/>
        </w:rPr>
        <w:t>would be</w:t>
      </w:r>
      <w:r w:rsidRPr="6D3486BF" w:rsidR="472BE84D">
        <w:rPr>
          <w:sz w:val="24"/>
          <w:szCs w:val="24"/>
        </w:rPr>
        <w:t xml:space="preserve"> used to ensure that the lessee</w:t>
      </w:r>
      <w:r w:rsidRPr="6D3486BF" w:rsidR="009B02B3">
        <w:rPr>
          <w:sz w:val="24"/>
          <w:szCs w:val="24"/>
        </w:rPr>
        <w:t>’s proposal is compliant with common industry practices and ONRR’s regulations</w:t>
      </w:r>
      <w:r w:rsidR="007D0FAF">
        <w:rPr>
          <w:sz w:val="24"/>
          <w:szCs w:val="24"/>
        </w:rPr>
        <w:t xml:space="preserve"> to determine value for royalty computation purposes.</w:t>
      </w:r>
    </w:p>
    <w:p w:rsidR="009E184A" w:rsidRPr="00BA612A" w:rsidP="00B80894" w14:paraId="31272B71" w14:textId="10A4D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46BA4E1D" w14:textId="2896BE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3.</w:t>
      </w:r>
      <w:r w:rsidRPr="00411123">
        <w:rPr>
          <w:b/>
          <w:i/>
          <w:sz w:val="24"/>
          <w:szCs w:val="24"/>
        </w:rPr>
        <w:tab/>
      </w:r>
      <w:r w:rsidRPr="00411123">
        <w:rPr>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D69DB" w:rsidP="005D69DB" w14:paraId="0F0F7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D69DB" w:rsidRPr="005D69DB" w:rsidP="005D69DB" w14:paraId="76A926F9" w14:textId="7C4C60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D69DB">
        <w:rPr>
          <w:sz w:val="24"/>
          <w:szCs w:val="24"/>
        </w:rPr>
        <w:t xml:space="preserve">ONRR provides software enabling reporters to complete form ONRR-4430 and submit encrypted and authenticated reports over the Internet. Reporters may submit all other data, including the facility data, contract and subsequent amendments, and form ONRR-4440 to ONRR as attachments to emails. </w:t>
      </w:r>
      <w:r w:rsidR="0060203B">
        <w:rPr>
          <w:sz w:val="24"/>
          <w:szCs w:val="24"/>
        </w:rPr>
        <w:t>ONRR</w:t>
      </w:r>
      <w:r w:rsidRPr="005D69DB">
        <w:rPr>
          <w:sz w:val="24"/>
          <w:szCs w:val="24"/>
        </w:rPr>
        <w:t xml:space="preserve"> encourage</w:t>
      </w:r>
      <w:r w:rsidR="0060203B">
        <w:rPr>
          <w:sz w:val="24"/>
          <w:szCs w:val="24"/>
        </w:rPr>
        <w:t>s</w:t>
      </w:r>
      <w:r w:rsidRPr="005D69DB">
        <w:rPr>
          <w:sz w:val="24"/>
          <w:szCs w:val="24"/>
        </w:rPr>
        <w:t xml:space="preserve"> electronic submission; however, </w:t>
      </w:r>
      <w:r w:rsidR="004D30CB">
        <w:rPr>
          <w:sz w:val="24"/>
          <w:szCs w:val="24"/>
        </w:rPr>
        <w:t>ONRR</w:t>
      </w:r>
      <w:r w:rsidRPr="005D69DB">
        <w:rPr>
          <w:sz w:val="24"/>
          <w:szCs w:val="24"/>
        </w:rPr>
        <w:t xml:space="preserve"> permit</w:t>
      </w:r>
      <w:r w:rsidR="004D30CB">
        <w:rPr>
          <w:sz w:val="24"/>
          <w:szCs w:val="24"/>
        </w:rPr>
        <w:t>s</w:t>
      </w:r>
      <w:r w:rsidRPr="005D69DB">
        <w:rPr>
          <w:sz w:val="24"/>
          <w:szCs w:val="24"/>
        </w:rPr>
        <w:t xml:space="preserve"> hardcopy submissions. </w:t>
      </w:r>
      <w:bookmarkStart w:id="0" w:name="OLE_LINK12"/>
      <w:bookmarkStart w:id="1" w:name="OLE_LINK13"/>
      <w:r w:rsidR="0060203B">
        <w:rPr>
          <w:sz w:val="24"/>
          <w:szCs w:val="24"/>
        </w:rPr>
        <w:t>ONRR</w:t>
      </w:r>
      <w:r w:rsidRPr="005D69DB">
        <w:rPr>
          <w:sz w:val="24"/>
          <w:szCs w:val="24"/>
        </w:rPr>
        <w:t xml:space="preserve"> estimate</w:t>
      </w:r>
      <w:r w:rsidR="0060203B">
        <w:rPr>
          <w:sz w:val="24"/>
          <w:szCs w:val="24"/>
        </w:rPr>
        <w:t>s</w:t>
      </w:r>
      <w:r w:rsidRPr="005D69DB">
        <w:rPr>
          <w:sz w:val="24"/>
          <w:szCs w:val="24"/>
        </w:rPr>
        <w:t xml:space="preserve"> that </w:t>
      </w:r>
      <w:r w:rsidR="00634553">
        <w:rPr>
          <w:sz w:val="24"/>
          <w:szCs w:val="24"/>
        </w:rPr>
        <w:t>mo</w:t>
      </w:r>
      <w:r w:rsidR="0010105F">
        <w:rPr>
          <w:sz w:val="24"/>
          <w:szCs w:val="24"/>
        </w:rPr>
        <w:t>st</w:t>
      </w:r>
      <w:r w:rsidRPr="005D69DB">
        <w:rPr>
          <w:sz w:val="24"/>
          <w:szCs w:val="24"/>
        </w:rPr>
        <w:t xml:space="preserve"> respondents w</w:t>
      </w:r>
      <w:r w:rsidR="0010105F">
        <w:rPr>
          <w:sz w:val="24"/>
          <w:szCs w:val="24"/>
        </w:rPr>
        <w:t>ill</w:t>
      </w:r>
      <w:r w:rsidRPr="005D69DB">
        <w:rPr>
          <w:sz w:val="24"/>
          <w:szCs w:val="24"/>
        </w:rPr>
        <w:t xml:space="preserve"> submit </w:t>
      </w:r>
      <w:r w:rsidR="0010105F">
        <w:rPr>
          <w:sz w:val="24"/>
          <w:szCs w:val="24"/>
        </w:rPr>
        <w:t>the new information</w:t>
      </w:r>
      <w:r w:rsidRPr="005D69DB">
        <w:rPr>
          <w:sz w:val="24"/>
          <w:szCs w:val="24"/>
        </w:rPr>
        <w:t xml:space="preserve"> electronically.</w:t>
      </w:r>
    </w:p>
    <w:bookmarkEnd w:id="0"/>
    <w:bookmarkEnd w:id="1"/>
    <w:p w:rsidR="00F94C75" w:rsidRPr="00BA612A" w14:paraId="620E1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C3027A" w14:paraId="514E8894" w14:textId="355F213E">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4.</w:t>
      </w:r>
      <w:r w:rsidRPr="00411123">
        <w:rPr>
          <w:b/>
          <w:i/>
          <w:sz w:val="24"/>
          <w:szCs w:val="24"/>
        </w:rPr>
        <w:tab/>
      </w:r>
      <w:r w:rsidRPr="00411123">
        <w:rPr>
          <w:b/>
          <w:i/>
          <w:sz w:val="24"/>
          <w:szCs w:val="24"/>
        </w:rPr>
        <w:t>Describe efforts to identify duplication. Show specifically why any similar information already available cannot be used or modified for use for the purposes described in Item 2 above</w:t>
      </w:r>
      <w:r w:rsidRPr="00BA612A">
        <w:rPr>
          <w:sz w:val="24"/>
          <w:szCs w:val="24"/>
        </w:rPr>
        <w:t>.</w:t>
      </w:r>
    </w:p>
    <w:p w:rsidR="00941941" w:rsidRPr="00BA612A" w:rsidP="00C3027A" w14:paraId="4CDA88E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77410E" w:rsidRPr="0077410E" w:rsidP="0077410E" w14:paraId="69947E1E" w14:textId="48D4E9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 xml:space="preserve">This information is not available from any other source, nor is there any other Federal </w:t>
      </w:r>
      <w:r w:rsidR="00AF11FC">
        <w:rPr>
          <w:sz w:val="24"/>
          <w:szCs w:val="24"/>
        </w:rPr>
        <w:t>G</w:t>
      </w:r>
      <w:r w:rsidRPr="0077410E">
        <w:rPr>
          <w:sz w:val="24"/>
          <w:szCs w:val="24"/>
        </w:rPr>
        <w:t>overnment agency currently collecting similar information for other purposes that could serve our needs.</w:t>
      </w:r>
    </w:p>
    <w:p w:rsidR="0077410E" w:rsidRPr="0077410E" w:rsidP="0077410E" w14:paraId="00B729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0EFD" w:rsidRPr="00BA612A" w:rsidP="0077410E" w14:paraId="1925663D" w14:textId="693B7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410E">
        <w:rPr>
          <w:sz w:val="24"/>
          <w:szCs w:val="24"/>
        </w:rPr>
        <w:t xml:space="preserve">ONRR shares the information </w:t>
      </w:r>
      <w:r w:rsidR="0060203B">
        <w:rPr>
          <w:sz w:val="24"/>
          <w:szCs w:val="24"/>
        </w:rPr>
        <w:t>it</w:t>
      </w:r>
      <w:r w:rsidRPr="0077410E">
        <w:rPr>
          <w:sz w:val="24"/>
          <w:szCs w:val="24"/>
        </w:rPr>
        <w:t xml:space="preserve"> collect</w:t>
      </w:r>
      <w:r w:rsidR="0060203B">
        <w:rPr>
          <w:sz w:val="24"/>
          <w:szCs w:val="24"/>
        </w:rPr>
        <w:t>s</w:t>
      </w:r>
      <w:r w:rsidRPr="0077410E">
        <w:rPr>
          <w:sz w:val="24"/>
          <w:szCs w:val="24"/>
        </w:rPr>
        <w:t xml:space="preserve"> with BLM and BIA offices, as agreed in the Memorandum of Understanding (</w:t>
      </w:r>
      <w:r w:rsidR="00846940">
        <w:rPr>
          <w:sz w:val="24"/>
          <w:szCs w:val="24"/>
        </w:rPr>
        <w:t>“</w:t>
      </w:r>
      <w:r w:rsidRPr="0077410E">
        <w:rPr>
          <w:sz w:val="24"/>
          <w:szCs w:val="24"/>
        </w:rPr>
        <w:t>MOU</w:t>
      </w:r>
      <w:r w:rsidR="00846940">
        <w:rPr>
          <w:sz w:val="24"/>
          <w:szCs w:val="24"/>
        </w:rPr>
        <w:t>”</w:t>
      </w:r>
      <w:r w:rsidRPr="0077410E">
        <w:rPr>
          <w:sz w:val="24"/>
          <w:szCs w:val="24"/>
        </w:rPr>
        <w:t xml:space="preserve">), which effectively avoids duplication of regulations and reporting requirements. ONRR and BLM coordinate to identify information that each agency collects. </w:t>
      </w:r>
      <w:r w:rsidR="0060203B">
        <w:rPr>
          <w:sz w:val="24"/>
          <w:szCs w:val="24"/>
        </w:rPr>
        <w:t>ONRR</w:t>
      </w:r>
      <w:r w:rsidRPr="0077410E">
        <w:rPr>
          <w:sz w:val="24"/>
          <w:szCs w:val="24"/>
        </w:rPr>
        <w:t xml:space="preserve"> consult</w:t>
      </w:r>
      <w:r w:rsidR="0060203B">
        <w:rPr>
          <w:sz w:val="24"/>
          <w:szCs w:val="24"/>
        </w:rPr>
        <w:t>s</w:t>
      </w:r>
      <w:r w:rsidRPr="0077410E">
        <w:rPr>
          <w:sz w:val="24"/>
          <w:szCs w:val="24"/>
        </w:rPr>
        <w:t xml:space="preserve"> with various BLM offices to ensure that the reporter’s burden is minimized and not duplicated.</w:t>
      </w:r>
    </w:p>
    <w:p w:rsidR="00295103" w:rsidRPr="00BA612A" w14:paraId="4AD003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37538" w:rsidRPr="00411123" w:rsidP="008630ED" w14:paraId="292FDBC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5.</w:t>
      </w:r>
      <w:r w:rsidRPr="00411123">
        <w:rPr>
          <w:b/>
          <w:i/>
          <w:sz w:val="24"/>
          <w:szCs w:val="24"/>
        </w:rPr>
        <w:tab/>
        <w:t>If the collection of information impacts small bus</w:t>
      </w:r>
      <w:r w:rsidRPr="00411123" w:rsidR="006E339F">
        <w:rPr>
          <w:b/>
          <w:i/>
          <w:sz w:val="24"/>
          <w:szCs w:val="24"/>
        </w:rPr>
        <w:t>inesses or other small entities</w:t>
      </w:r>
      <w:r w:rsidRPr="00411123">
        <w:rPr>
          <w:b/>
          <w:i/>
          <w:sz w:val="24"/>
          <w:szCs w:val="24"/>
        </w:rPr>
        <w:t xml:space="preserve">, describe any methods used to minimize </w:t>
      </w:r>
      <w:r w:rsidRPr="00411123" w:rsidR="004A442C">
        <w:rPr>
          <w:b/>
          <w:i/>
          <w:sz w:val="24"/>
          <w:szCs w:val="24"/>
        </w:rPr>
        <w:t>burden.</w:t>
      </w:r>
    </w:p>
    <w:p w:rsidR="004A442C" w:rsidRPr="00BA612A" w:rsidP="008630ED" w14:paraId="2C0EE2C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77410E" w:rsidRPr="0077410E" w:rsidP="0077410E" w14:paraId="6012093D"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ONRR determined that this collection of information has an insignificant economic effect on small entities. However, this collection does impact small entities. ONRR carefully analyzed its requirements to ensure that the information requested is the minimum necessary and places the least possible burden on industry. ONRR has a long-standing policy to restrict the amount of information collected to the minimum necessary to accomplish our mission and fulfill our responsibilities.</w:t>
      </w:r>
    </w:p>
    <w:p w:rsidR="0077410E" w:rsidRPr="0077410E" w:rsidP="0077410E" w14:paraId="2EF94240"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2B6F69F7"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Respondents, including small businesses or other small entities, have the flexibility to submit information to us electronically or in hardcopy. ONRR works directly with small companies that report by hardcopy to establish accounts and provide reporting guidance.</w:t>
      </w:r>
    </w:p>
    <w:p w:rsidR="0077410E" w:rsidRPr="0077410E" w:rsidP="0077410E" w14:paraId="6C4104F7"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E0BFC" w:rsidRPr="003A5D3D" w:rsidP="0077410E" w14:paraId="3D3C9434" w14:textId="5FB99A88">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77410E">
        <w:rPr>
          <w:sz w:val="24"/>
          <w:szCs w:val="24"/>
        </w:rPr>
        <w:t xml:space="preserve">ONRR provides (1) training, free of charge, to entities in various geographic areas; (2) onsite instruction as needed to give firsthand explanations of reporting requirements; and (3) individual instructions on how to report this information to ONRR. </w:t>
      </w:r>
      <w:r w:rsidR="0060203B">
        <w:rPr>
          <w:sz w:val="24"/>
          <w:szCs w:val="24"/>
        </w:rPr>
        <w:t>ONRR</w:t>
      </w:r>
      <w:r w:rsidRPr="0077410E">
        <w:rPr>
          <w:sz w:val="24"/>
          <w:szCs w:val="24"/>
        </w:rPr>
        <w:t xml:space="preserve"> encourage</w:t>
      </w:r>
      <w:r w:rsidR="0060203B">
        <w:rPr>
          <w:sz w:val="24"/>
          <w:szCs w:val="24"/>
        </w:rPr>
        <w:t>s</w:t>
      </w:r>
      <w:r w:rsidRPr="0077410E">
        <w:rPr>
          <w:sz w:val="24"/>
          <w:szCs w:val="24"/>
        </w:rPr>
        <w:t xml:space="preserve"> all solid minerals reporters to contact us to better familiarize themselves with the reporting requirements.</w:t>
      </w:r>
    </w:p>
    <w:p w:rsidR="007E0BFC" w:rsidRPr="00BA612A" w14:paraId="580E6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411123" w14:paraId="3B0888C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6.</w:t>
      </w:r>
      <w:r w:rsidRPr="00411123">
        <w:rPr>
          <w:b/>
          <w:i/>
          <w:sz w:val="24"/>
          <w:szCs w:val="24"/>
        </w:rPr>
        <w:tab/>
      </w:r>
      <w:r w:rsidRPr="00411123">
        <w:rPr>
          <w:b/>
          <w:i/>
          <w:sz w:val="24"/>
          <w:szCs w:val="24"/>
        </w:rPr>
        <w:t>Describe the consequence to Federal program or policy activities if the collection is not conducted or is conducted less frequently, as well as any technical or legal obstacles to reducing burden.</w:t>
      </w:r>
    </w:p>
    <w:p w:rsidR="00941941" w:rsidRPr="00BA612A" w:rsidP="00411123" w14:paraId="51747876" w14:textId="77777777">
      <w:pPr>
        <w:widowControl w:val="0"/>
      </w:pPr>
    </w:p>
    <w:p w:rsidR="0077410E" w:rsidRPr="0077410E" w:rsidP="0077410E" w14:paraId="1A33469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 xml:space="preserve">Collecting this information allows ONRR to fulfill its mission in a timely manner. The collection of facility data, contracts, contract amendments, and sales summaries from respondents is necessary for our compliance process. Through analysis of this information, ONRR determines whether the lessee properly valued the products for royalty purposes. Particularly of interest are provisions for compensation that might be overlooked as a portion of gross proceeds. Without the ability to review this information, </w:t>
      </w:r>
      <w:r w:rsidRPr="0077410E">
        <w:rPr>
          <w:sz w:val="24"/>
          <w:szCs w:val="24"/>
        </w:rPr>
        <w:t>ONRR could not ensure proper product valuation.</w:t>
      </w:r>
    </w:p>
    <w:p w:rsidR="0077410E" w:rsidRPr="0077410E" w:rsidP="0077410E" w14:paraId="3C26B317"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33B15CB6"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 xml:space="preserve">Our goal is to disburse 98 percent of mineral revenues to recipients by the end of the month following the month of receipt, as stipulated in ONRR’s regulations. This information collection </w:t>
      </w:r>
      <w:r w:rsidRPr="0077410E">
        <w:rPr>
          <w:sz w:val="24"/>
          <w:szCs w:val="24"/>
        </w:rPr>
        <w:t>allows ONRR to perform financial and accounting activities to meet this goal. The Federal government must pay interest on any late disbursements.</w:t>
      </w:r>
    </w:p>
    <w:p w:rsidR="0077410E" w:rsidRPr="0077410E" w:rsidP="0077410E" w14:paraId="363E866A"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17B75140" w14:textId="618274EB">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Our goal also is to complete all compliance work, including audits, within three years from the date that the royalty payment was received or due, whichever is earlier. ONRR performs compliance activities to meet this mandate, using the information collected. The Audit Management Program’s (</w:t>
      </w:r>
      <w:r w:rsidR="0063625E">
        <w:rPr>
          <w:sz w:val="24"/>
          <w:szCs w:val="24"/>
        </w:rPr>
        <w:t>“</w:t>
      </w:r>
      <w:r w:rsidRPr="00F85068">
        <w:rPr>
          <w:sz w:val="24"/>
          <w:szCs w:val="24"/>
        </w:rPr>
        <w:t>AMP</w:t>
      </w:r>
      <w:r w:rsidR="0063625E">
        <w:rPr>
          <w:sz w:val="24"/>
          <w:szCs w:val="24"/>
        </w:rPr>
        <w:t>”</w:t>
      </w:r>
      <w:r w:rsidRPr="0077410E">
        <w:rPr>
          <w:sz w:val="24"/>
          <w:szCs w:val="24"/>
        </w:rPr>
        <w:t>) expertise relies on the premise of receiving relevant data on time. In other words, AMP cannot resolve compliance issues in contemporaneous fashion unless they can identify issues early in the royalty cycle.</w:t>
      </w:r>
    </w:p>
    <w:p w:rsidR="0077410E" w:rsidRPr="0077410E" w:rsidP="0077410E" w14:paraId="6EB4B553"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259D3062"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Royalty valuation issues may include, but are not limited to, the following: (1) the sale of production to affiliated companies; (2) improper deductions from proceeds that a lessee receives; and (3) other issues such as reviewing compensation that a lessee receives for a wide variety of reasons, such as breach of contract. ONRR must review the lessee’s normal business arrangements and evaluate those arrangements. ONRR uses sales contracts and other market data to establish an expected basis for evaluation o</w:t>
      </w:r>
      <w:r w:rsidRPr="0077410E">
        <w:rPr>
          <w:sz w:val="24"/>
          <w:szCs w:val="24"/>
        </w:rPr>
        <w:t>f the reasonableness of the reported royalty payment.</w:t>
      </w:r>
    </w:p>
    <w:p w:rsidR="0077410E" w:rsidRPr="0077410E" w:rsidP="0077410E" w14:paraId="1A55E390"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7410E" w:rsidRPr="0077410E" w:rsidP="0077410E" w14:paraId="6C07DB7C" w14:textId="77777777">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7410E">
        <w:rPr>
          <w:sz w:val="24"/>
          <w:szCs w:val="24"/>
        </w:rPr>
        <w:t>The AMP subject matter experts target royalty exceptions for resolution through AMP’s process of establishing expected payments versus actual payments and collecting the supporting data. Companies have commented that they benefit from a shortened compliance time period. Companies agreed that records necessary to resolve compliance issues identified in the near term are more easily recovered. Moreover, personnel associated with the business arrangement, under review, are still employees of the company. If th</w:t>
      </w:r>
      <w:r w:rsidRPr="0077410E">
        <w:rPr>
          <w:sz w:val="24"/>
          <w:szCs w:val="24"/>
        </w:rPr>
        <w:t>e issue is resolved in the Federal government’s favor, lesser late-payment interest is due from the company.</w:t>
      </w:r>
    </w:p>
    <w:p w:rsidR="00295103" w:rsidRPr="00411123" w:rsidP="0077410E" w14:paraId="445CD47C" w14:textId="68C3F13E">
      <w:pPr>
        <w:rPr>
          <w:b/>
          <w:i/>
          <w:sz w:val="24"/>
          <w:szCs w:val="24"/>
        </w:rPr>
      </w:pPr>
    </w:p>
    <w:p w:rsidR="00295103" w:rsidRPr="00411123" w14:paraId="049A6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7.</w:t>
      </w:r>
      <w:r w:rsidRPr="00411123">
        <w:rPr>
          <w:b/>
          <w:i/>
          <w:sz w:val="24"/>
          <w:szCs w:val="24"/>
        </w:rPr>
        <w:tab/>
        <w:t>Explain any special circumstances that would cause an information collection to be conducted in a manner:</w:t>
      </w:r>
    </w:p>
    <w:p w:rsidR="00B759B8" w:rsidRPr="00411123" w14:paraId="31FE1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295103" w:rsidRPr="00411123" w14:paraId="7BF61A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w:t>
      </w:r>
      <w:r w:rsidRPr="00411123">
        <w:rPr>
          <w:b/>
          <w:i/>
          <w:sz w:val="24"/>
          <w:szCs w:val="24"/>
        </w:rPr>
        <w:t xml:space="preserve"> respondents to report information to the agency more often than quarterly;</w:t>
      </w:r>
    </w:p>
    <w:p w:rsidR="00941941" w:rsidRPr="00BA612A" w:rsidP="00941941" w14:paraId="2B60E878" w14:textId="77777777">
      <w:pPr>
        <w:tabs>
          <w:tab w:val="left" w:pos="-1080"/>
          <w:tab w:val="left" w:pos="-720"/>
          <w:tab w:val="left" w:pos="360"/>
          <w:tab w:val="left" w:pos="720"/>
        </w:tabs>
        <w:rPr>
          <w:sz w:val="24"/>
          <w:szCs w:val="24"/>
        </w:rPr>
      </w:pPr>
    </w:p>
    <w:p w:rsidR="0077410E" w:rsidRPr="0077410E" w:rsidP="0077410E" w14:paraId="6C1EF268" w14:textId="2ECE64A1">
      <w:pPr>
        <w:tabs>
          <w:tab w:val="left" w:pos="-1080"/>
          <w:tab w:val="left" w:pos="-720"/>
          <w:tab w:val="left" w:pos="360"/>
          <w:tab w:val="left" w:pos="720"/>
        </w:tabs>
        <w:rPr>
          <w:sz w:val="24"/>
          <w:szCs w:val="24"/>
        </w:rPr>
      </w:pPr>
      <w:r w:rsidRPr="0077410E">
        <w:rPr>
          <w:sz w:val="24"/>
          <w:szCs w:val="24"/>
        </w:rPr>
        <w:t>Title 30 CFR parts 1202, 1206, 1210, 1212, 1217, and 1218 and most leases require that respondents submit monthly royalty and production reports for solid minerals. Therefore, ONRR must collect the information monthly to verify the monthly royalty payments.</w:t>
      </w:r>
      <w:r w:rsidR="0030746D">
        <w:rPr>
          <w:sz w:val="24"/>
          <w:szCs w:val="24"/>
        </w:rPr>
        <w:t xml:space="preserve"> R</w:t>
      </w:r>
      <w:r w:rsidRPr="0077410E">
        <w:rPr>
          <w:sz w:val="24"/>
          <w:szCs w:val="24"/>
        </w:rPr>
        <w:t xml:space="preserve">espondents may submit allowance forms more often than quarterly if coal washing or coal transportation costs increase or decrease sufficiently to require a recalculation of the </w:t>
      </w:r>
      <w:r w:rsidR="0030746D">
        <w:rPr>
          <w:sz w:val="24"/>
          <w:szCs w:val="24"/>
        </w:rPr>
        <w:t xml:space="preserve">certain reported </w:t>
      </w:r>
      <w:r w:rsidRPr="0077410E">
        <w:rPr>
          <w:sz w:val="24"/>
          <w:szCs w:val="24"/>
        </w:rPr>
        <w:t>cost</w:t>
      </w:r>
      <w:r w:rsidR="0030746D">
        <w:rPr>
          <w:sz w:val="24"/>
          <w:szCs w:val="24"/>
        </w:rPr>
        <w:t>s</w:t>
      </w:r>
      <w:r w:rsidRPr="0077410E">
        <w:rPr>
          <w:sz w:val="24"/>
          <w:szCs w:val="24"/>
        </w:rPr>
        <w:t>.</w:t>
      </w:r>
    </w:p>
    <w:p w:rsidR="0077410E" w:rsidRPr="0077410E" w:rsidP="0077410E" w14:paraId="64A08C47" w14:textId="77777777">
      <w:pPr>
        <w:tabs>
          <w:tab w:val="left" w:pos="-1080"/>
          <w:tab w:val="left" w:pos="-720"/>
          <w:tab w:val="left" w:pos="360"/>
          <w:tab w:val="left" w:pos="720"/>
        </w:tabs>
        <w:rPr>
          <w:b/>
          <w:sz w:val="24"/>
          <w:szCs w:val="24"/>
        </w:rPr>
      </w:pPr>
    </w:p>
    <w:p w:rsidR="0077410E" w:rsidRPr="0077410E" w:rsidP="0077410E" w14:paraId="7E326039"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requiring respondents to prepare a written response to a collection of information in fewer than 30 days after receipt of it.</w:t>
      </w:r>
    </w:p>
    <w:p w:rsidR="0077410E" w:rsidRPr="0077410E" w:rsidP="0077410E" w14:paraId="6DA26224" w14:textId="77777777">
      <w:pPr>
        <w:tabs>
          <w:tab w:val="left" w:pos="-1080"/>
          <w:tab w:val="left" w:pos="-720"/>
          <w:tab w:val="left" w:pos="360"/>
          <w:tab w:val="left" w:pos="720"/>
        </w:tabs>
        <w:rPr>
          <w:b/>
          <w:sz w:val="24"/>
          <w:szCs w:val="24"/>
        </w:rPr>
      </w:pPr>
    </w:p>
    <w:p w:rsidR="0077410E" w:rsidRPr="0077410E" w:rsidP="0077410E" w14:paraId="099BED9A"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1220.5(d)(2)(ii).</w:t>
      </w:r>
    </w:p>
    <w:p w:rsidR="0077410E" w:rsidRPr="0077410E" w:rsidP="0077410E" w14:paraId="3DF6DD6D" w14:textId="77777777">
      <w:pPr>
        <w:tabs>
          <w:tab w:val="left" w:pos="-1080"/>
          <w:tab w:val="left" w:pos="-720"/>
          <w:tab w:val="left" w:pos="360"/>
          <w:tab w:val="left" w:pos="720"/>
        </w:tabs>
        <w:rPr>
          <w:b/>
          <w:sz w:val="24"/>
          <w:szCs w:val="24"/>
        </w:rPr>
      </w:pPr>
    </w:p>
    <w:p w:rsidR="0077410E" w:rsidRPr="0077410E" w:rsidP="0077410E" w14:paraId="42996614" w14:textId="77777777">
      <w:pPr>
        <w:tabs>
          <w:tab w:val="left" w:pos="-1080"/>
          <w:tab w:val="left" w:pos="-720"/>
          <w:tab w:val="left" w:pos="360"/>
          <w:tab w:val="left" w:pos="720"/>
        </w:tabs>
        <w:rPr>
          <w:sz w:val="24"/>
          <w:szCs w:val="24"/>
        </w:rPr>
      </w:pPr>
      <w:r w:rsidRPr="0077410E">
        <w:rPr>
          <w:sz w:val="24"/>
          <w:szCs w:val="24"/>
        </w:rPr>
        <w:t>*</w:t>
      </w:r>
      <w:r w:rsidRPr="0077410E">
        <w:rPr>
          <w:b/>
          <w:sz w:val="24"/>
          <w:szCs w:val="24"/>
        </w:rPr>
        <w:tab/>
      </w:r>
      <w:r w:rsidRPr="0077410E">
        <w:rPr>
          <w:b/>
          <w:i/>
          <w:sz w:val="24"/>
          <w:szCs w:val="24"/>
        </w:rPr>
        <w:t>requiring respondents to submit more than an original and two copies of any document.</w:t>
      </w:r>
    </w:p>
    <w:p w:rsidR="0077410E" w:rsidRPr="0077410E" w:rsidP="0077410E" w14:paraId="11EDF20C" w14:textId="77777777">
      <w:pPr>
        <w:tabs>
          <w:tab w:val="left" w:pos="-1080"/>
          <w:tab w:val="left" w:pos="-720"/>
          <w:tab w:val="left" w:pos="360"/>
          <w:tab w:val="left" w:pos="720"/>
        </w:tabs>
        <w:rPr>
          <w:sz w:val="24"/>
          <w:szCs w:val="24"/>
        </w:rPr>
      </w:pPr>
    </w:p>
    <w:p w:rsidR="0077410E" w:rsidRPr="0077410E" w:rsidP="0077410E" w14:paraId="706B7599"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1220.5(d)(2)(iii).</w:t>
      </w:r>
    </w:p>
    <w:p w:rsidR="0077410E" w:rsidRPr="0077410E" w:rsidP="0077410E" w14:paraId="658B541C" w14:textId="77777777">
      <w:pPr>
        <w:tabs>
          <w:tab w:val="left" w:pos="-1080"/>
          <w:tab w:val="left" w:pos="-720"/>
          <w:tab w:val="left" w:pos="360"/>
          <w:tab w:val="left" w:pos="720"/>
        </w:tabs>
        <w:rPr>
          <w:sz w:val="24"/>
          <w:szCs w:val="24"/>
        </w:rPr>
      </w:pPr>
    </w:p>
    <w:p w:rsidR="0077410E" w:rsidRPr="0077410E" w:rsidP="0077410E" w14:paraId="3C278C7C" w14:textId="63C5EE87">
      <w:pPr>
        <w:tabs>
          <w:tab w:val="left" w:pos="-1080"/>
          <w:tab w:val="left" w:pos="-720"/>
          <w:tab w:val="left" w:pos="360"/>
          <w:tab w:val="left" w:pos="720"/>
        </w:tabs>
        <w:rPr>
          <w:sz w:val="24"/>
          <w:szCs w:val="24"/>
        </w:rPr>
      </w:pPr>
      <w:r w:rsidRPr="0077410E">
        <w:rPr>
          <w:sz w:val="24"/>
          <w:szCs w:val="24"/>
        </w:rPr>
        <w:t>*</w:t>
      </w:r>
      <w:r w:rsidRPr="0077410E">
        <w:rPr>
          <w:sz w:val="24"/>
          <w:szCs w:val="24"/>
        </w:rPr>
        <w:tab/>
      </w:r>
      <w:r w:rsidRPr="0077410E">
        <w:rPr>
          <w:b/>
          <w:i/>
          <w:sz w:val="24"/>
          <w:szCs w:val="24"/>
        </w:rPr>
        <w:t>requiring</w:t>
      </w:r>
      <w:r w:rsidRPr="0077410E">
        <w:rPr>
          <w:b/>
          <w:i/>
          <w:sz w:val="24"/>
          <w:szCs w:val="24"/>
        </w:rPr>
        <w:t xml:space="preserve"> respondents to retain records, other than health, medical, government contract, grant-in-aid, or tax records, for more than three years.</w:t>
      </w:r>
    </w:p>
    <w:p w:rsidR="0077410E" w:rsidRPr="0077410E" w:rsidP="0077410E" w14:paraId="54454F3B" w14:textId="77777777">
      <w:pPr>
        <w:tabs>
          <w:tab w:val="left" w:pos="-1080"/>
          <w:tab w:val="left" w:pos="-720"/>
          <w:tab w:val="left" w:pos="360"/>
          <w:tab w:val="left" w:pos="720"/>
        </w:tabs>
        <w:rPr>
          <w:sz w:val="24"/>
          <w:szCs w:val="24"/>
        </w:rPr>
      </w:pPr>
    </w:p>
    <w:p w:rsidR="0077410E" w:rsidP="0077410E" w14:paraId="6458A980" w14:textId="0BBFBEE1">
      <w:pPr>
        <w:tabs>
          <w:tab w:val="left" w:pos="-1080"/>
          <w:tab w:val="left" w:pos="-720"/>
          <w:tab w:val="left" w:pos="360"/>
          <w:tab w:val="left" w:pos="720"/>
        </w:tabs>
        <w:rPr>
          <w:sz w:val="24"/>
          <w:szCs w:val="24"/>
        </w:rPr>
      </w:pPr>
      <w:r w:rsidRPr="0077410E">
        <w:rPr>
          <w:sz w:val="24"/>
          <w:szCs w:val="24"/>
        </w:rPr>
        <w:t>When an audit or investigation is underway and if notified in writing, title 30 CFR 1212.200 require solid minerals leaseholders to maintain records for six years or for longer periods. The leaseholders must maintain records until ONRR releases them by a written notice.</w:t>
      </w:r>
    </w:p>
    <w:p w:rsidR="00463197" w:rsidRPr="0077410E" w:rsidP="0077410E" w14:paraId="67A393CD" w14:textId="77777777">
      <w:pPr>
        <w:tabs>
          <w:tab w:val="left" w:pos="-1080"/>
          <w:tab w:val="left" w:pos="-720"/>
          <w:tab w:val="left" w:pos="360"/>
          <w:tab w:val="left" w:pos="720"/>
        </w:tabs>
        <w:rPr>
          <w:sz w:val="24"/>
          <w:szCs w:val="24"/>
        </w:rPr>
      </w:pPr>
    </w:p>
    <w:p w:rsidR="0077410E" w:rsidRPr="0077410E" w:rsidP="0077410E" w14:paraId="386B7DE6"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in connection with a statistical survey, that is not designed to produce valid and reliable results, that can be generalized to the universe of study.</w:t>
      </w:r>
    </w:p>
    <w:p w:rsidR="0077410E" w:rsidRPr="0077410E" w:rsidP="0077410E" w14:paraId="0EC9B7B3" w14:textId="77777777">
      <w:pPr>
        <w:tabs>
          <w:tab w:val="left" w:pos="-1080"/>
          <w:tab w:val="left" w:pos="-720"/>
          <w:tab w:val="left" w:pos="360"/>
          <w:tab w:val="left" w:pos="720"/>
        </w:tabs>
        <w:rPr>
          <w:sz w:val="24"/>
          <w:szCs w:val="24"/>
        </w:rPr>
      </w:pPr>
    </w:p>
    <w:p w:rsidR="0077410E" w:rsidRPr="0077410E" w:rsidP="0077410E" w14:paraId="6B990B04" w14:textId="77777777">
      <w:pPr>
        <w:tabs>
          <w:tab w:val="left" w:pos="-1080"/>
          <w:tab w:val="left" w:pos="-720"/>
          <w:tab w:val="left" w:pos="360"/>
          <w:tab w:val="left" w:pos="720"/>
        </w:tabs>
        <w:rPr>
          <w:sz w:val="24"/>
          <w:szCs w:val="24"/>
        </w:rPr>
      </w:pPr>
      <w:r w:rsidRPr="0077410E">
        <w:rPr>
          <w:sz w:val="24"/>
          <w:szCs w:val="24"/>
        </w:rPr>
        <w:t>There are no special circumstances with respect to 5 CFR 1220.5(d)(2)(v).</w:t>
      </w:r>
    </w:p>
    <w:p w:rsidR="0077410E" w:rsidRPr="0077410E" w:rsidP="0077410E" w14:paraId="6948931C" w14:textId="77777777">
      <w:pPr>
        <w:tabs>
          <w:tab w:val="left" w:pos="-1080"/>
          <w:tab w:val="left" w:pos="-720"/>
          <w:tab w:val="left" w:pos="360"/>
          <w:tab w:val="left" w:pos="720"/>
        </w:tabs>
        <w:rPr>
          <w:sz w:val="24"/>
          <w:szCs w:val="24"/>
        </w:rPr>
      </w:pPr>
    </w:p>
    <w:p w:rsidR="0077410E" w:rsidRPr="0077410E" w:rsidP="0077410E" w14:paraId="2040805A" w14:textId="77777777">
      <w:pPr>
        <w:tabs>
          <w:tab w:val="left" w:pos="-1080"/>
          <w:tab w:val="left" w:pos="-720"/>
          <w:tab w:val="left" w:pos="360"/>
          <w:tab w:val="left" w:pos="720"/>
        </w:tabs>
        <w:rPr>
          <w:b/>
          <w:sz w:val="24"/>
          <w:szCs w:val="24"/>
        </w:rPr>
      </w:pPr>
      <w:r w:rsidRPr="0077410E">
        <w:rPr>
          <w:b/>
          <w:sz w:val="24"/>
          <w:szCs w:val="24"/>
        </w:rPr>
        <w:t>*</w:t>
      </w:r>
      <w:r w:rsidRPr="0077410E">
        <w:rPr>
          <w:b/>
          <w:sz w:val="24"/>
          <w:szCs w:val="24"/>
        </w:rPr>
        <w:tab/>
      </w:r>
      <w:r w:rsidRPr="0077410E">
        <w:rPr>
          <w:b/>
          <w:i/>
          <w:sz w:val="24"/>
          <w:szCs w:val="24"/>
        </w:rPr>
        <w:t>requiring the use of a statistical data classification that OMB has not reviewed and approved.</w:t>
      </w:r>
    </w:p>
    <w:p w:rsidR="0077410E" w:rsidRPr="0077410E" w:rsidP="0077410E" w14:paraId="6588B4BD" w14:textId="77777777">
      <w:pPr>
        <w:tabs>
          <w:tab w:val="left" w:pos="-1080"/>
          <w:tab w:val="left" w:pos="-720"/>
          <w:tab w:val="left" w:pos="360"/>
          <w:tab w:val="left" w:pos="720"/>
        </w:tabs>
        <w:rPr>
          <w:sz w:val="24"/>
          <w:szCs w:val="24"/>
        </w:rPr>
      </w:pPr>
    </w:p>
    <w:p w:rsidR="0077410E" w:rsidRPr="0077410E" w:rsidP="0077410E" w14:paraId="488AB1C4" w14:textId="77777777">
      <w:pPr>
        <w:tabs>
          <w:tab w:val="left" w:pos="-1080"/>
          <w:tab w:val="left" w:pos="-720"/>
          <w:tab w:val="left" w:pos="360"/>
          <w:tab w:val="left" w:pos="720"/>
        </w:tabs>
        <w:rPr>
          <w:sz w:val="24"/>
          <w:szCs w:val="24"/>
        </w:rPr>
      </w:pPr>
      <w:r w:rsidRPr="0077410E">
        <w:rPr>
          <w:sz w:val="24"/>
          <w:szCs w:val="24"/>
        </w:rPr>
        <w:t>There are no special circumstances with respect to 5 CFR 1320.5(d)(2)(vi), as the collection is not a statistical survey and does not use statistical data classification</w:t>
      </w:r>
    </w:p>
    <w:p w:rsidR="0077410E" w:rsidRPr="0077410E" w:rsidP="0077410E" w14:paraId="0BD296C1" w14:textId="77777777">
      <w:pPr>
        <w:tabs>
          <w:tab w:val="left" w:pos="-1080"/>
          <w:tab w:val="left" w:pos="-720"/>
          <w:tab w:val="left" w:pos="360"/>
          <w:tab w:val="left" w:pos="720"/>
        </w:tabs>
        <w:rPr>
          <w:sz w:val="24"/>
          <w:szCs w:val="24"/>
        </w:rPr>
      </w:pPr>
    </w:p>
    <w:p w:rsidR="0077410E" w:rsidRPr="0077410E" w:rsidP="0077410E" w14:paraId="28EE28D4" w14:textId="77777777">
      <w:pPr>
        <w:tabs>
          <w:tab w:val="left" w:pos="-1080"/>
          <w:tab w:val="left" w:pos="-720"/>
          <w:tab w:val="left" w:pos="360"/>
          <w:tab w:val="left" w:pos="720"/>
        </w:tabs>
        <w:rPr>
          <w:b/>
          <w:sz w:val="24"/>
          <w:szCs w:val="24"/>
        </w:rPr>
      </w:pPr>
      <w:r w:rsidRPr="0077410E">
        <w:rPr>
          <w:sz w:val="24"/>
          <w:szCs w:val="24"/>
        </w:rPr>
        <w:t>*</w:t>
      </w:r>
      <w:r w:rsidRPr="0077410E">
        <w:rPr>
          <w:sz w:val="24"/>
          <w:szCs w:val="24"/>
        </w:rPr>
        <w:tab/>
      </w:r>
      <w:r w:rsidRPr="0077410E">
        <w:rPr>
          <w:b/>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7410E" w:rsidRPr="0077410E" w:rsidP="0077410E" w14:paraId="53A12821" w14:textId="77777777">
      <w:pPr>
        <w:tabs>
          <w:tab w:val="left" w:pos="-1080"/>
          <w:tab w:val="left" w:pos="-720"/>
          <w:tab w:val="left" w:pos="360"/>
          <w:tab w:val="left" w:pos="720"/>
        </w:tabs>
        <w:rPr>
          <w:sz w:val="24"/>
          <w:szCs w:val="24"/>
        </w:rPr>
      </w:pPr>
    </w:p>
    <w:p w:rsidR="0077410E" w:rsidRPr="0077410E" w:rsidP="0077410E" w14:paraId="688D4F08" w14:textId="77777777">
      <w:pPr>
        <w:tabs>
          <w:tab w:val="left" w:pos="-1080"/>
          <w:tab w:val="left" w:pos="-720"/>
          <w:tab w:val="left" w:pos="360"/>
          <w:tab w:val="left" w:pos="720"/>
        </w:tabs>
        <w:rPr>
          <w:sz w:val="24"/>
          <w:szCs w:val="24"/>
        </w:rPr>
      </w:pPr>
      <w:r w:rsidRPr="0077410E">
        <w:rPr>
          <w:sz w:val="24"/>
          <w:szCs w:val="24"/>
        </w:rPr>
        <w:t>There are no special circumstances with respect to 5 CFR 1320.5(d)(2)(vii) as this collection does not include a pledge of confidentiality not supported by statute or regulation.</w:t>
      </w:r>
    </w:p>
    <w:p w:rsidR="0077410E" w:rsidRPr="0077410E" w:rsidP="0077410E" w14:paraId="101DC5F8" w14:textId="77777777">
      <w:pPr>
        <w:tabs>
          <w:tab w:val="left" w:pos="-1080"/>
          <w:tab w:val="left" w:pos="-720"/>
          <w:tab w:val="left" w:pos="360"/>
          <w:tab w:val="left" w:pos="720"/>
        </w:tabs>
        <w:rPr>
          <w:b/>
          <w:i/>
          <w:sz w:val="24"/>
          <w:szCs w:val="24"/>
        </w:rPr>
      </w:pPr>
    </w:p>
    <w:p w:rsidR="0077410E" w:rsidRPr="0077410E" w:rsidP="0077410E" w14:paraId="61406953" w14:textId="77777777">
      <w:pPr>
        <w:tabs>
          <w:tab w:val="left" w:pos="-1080"/>
          <w:tab w:val="left" w:pos="-720"/>
          <w:tab w:val="left" w:pos="360"/>
          <w:tab w:val="left" w:pos="720"/>
        </w:tabs>
        <w:rPr>
          <w:b/>
          <w:sz w:val="24"/>
          <w:szCs w:val="24"/>
        </w:rPr>
      </w:pPr>
      <w:r w:rsidRPr="0077410E">
        <w:rPr>
          <w:sz w:val="24"/>
          <w:szCs w:val="24"/>
        </w:rPr>
        <w:t>*</w:t>
      </w:r>
      <w:r w:rsidRPr="0077410E">
        <w:rPr>
          <w:sz w:val="24"/>
          <w:szCs w:val="24"/>
        </w:rPr>
        <w:tab/>
      </w:r>
      <w:r w:rsidRPr="0077410E">
        <w:rPr>
          <w:b/>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7410E" w:rsidRPr="0077410E" w:rsidP="0077410E" w14:paraId="7F1571C3" w14:textId="77777777">
      <w:pPr>
        <w:tabs>
          <w:tab w:val="left" w:pos="-1080"/>
          <w:tab w:val="left" w:pos="-720"/>
          <w:tab w:val="left" w:pos="360"/>
          <w:tab w:val="left" w:pos="720"/>
        </w:tabs>
        <w:rPr>
          <w:sz w:val="24"/>
          <w:szCs w:val="24"/>
        </w:rPr>
      </w:pPr>
    </w:p>
    <w:p w:rsidR="00BA357B" w:rsidRPr="00BA612A" w:rsidP="0077410E" w14:paraId="33F4F0A9" w14:textId="5082B71A">
      <w:pPr>
        <w:tabs>
          <w:tab w:val="left" w:pos="-1080"/>
          <w:tab w:val="left" w:pos="-720"/>
          <w:tab w:val="left" w:pos="360"/>
          <w:tab w:val="left" w:pos="720"/>
        </w:tabs>
        <w:rPr>
          <w:sz w:val="24"/>
          <w:szCs w:val="24"/>
        </w:rPr>
      </w:pPr>
      <w:r w:rsidRPr="0077410E">
        <w:rPr>
          <w:sz w:val="24"/>
          <w:szCs w:val="24"/>
        </w:rPr>
        <w:t xml:space="preserve">Respondents </w:t>
      </w:r>
      <w:r w:rsidR="00D52FCB">
        <w:rPr>
          <w:sz w:val="24"/>
          <w:szCs w:val="24"/>
        </w:rPr>
        <w:t>may be</w:t>
      </w:r>
      <w:r w:rsidRPr="0077410E">
        <w:rPr>
          <w:sz w:val="24"/>
          <w:szCs w:val="24"/>
        </w:rPr>
        <w:t xml:space="preserve"> required to provide confidential/proprietary information to ONRR </w:t>
      </w:r>
      <w:r w:rsidR="00D52FCB">
        <w:rPr>
          <w:sz w:val="24"/>
          <w:szCs w:val="24"/>
        </w:rPr>
        <w:t>as part of this new collection with respect to depreciation for non-arm’s-length allowances</w:t>
      </w:r>
      <w:r w:rsidRPr="0077410E" w:rsidR="00C71AC8">
        <w:rPr>
          <w:sz w:val="24"/>
          <w:szCs w:val="24"/>
        </w:rPr>
        <w:t>,</w:t>
      </w:r>
      <w:r w:rsidRPr="0077410E">
        <w:rPr>
          <w:sz w:val="24"/>
          <w:szCs w:val="24"/>
        </w:rPr>
        <w:t xml:space="preserve"> including facility data, contract, subsequent contract amendments, and allowance reporting. However, regulations at 30 CFR 1210.207 provide that proprietary trade secrets or other confidential information submitted shall not be available for public inspection, or made public, or disclosed, without the consent of the lessee, except as otherwise p</w:t>
      </w:r>
      <w:r w:rsidRPr="0077410E">
        <w:rPr>
          <w:sz w:val="24"/>
          <w:szCs w:val="24"/>
        </w:rPr>
        <w:t xml:space="preserve">rovided by law or regulation. Standard agency procedures provide strict security measures to control the use, storage, and access to such information. </w:t>
      </w:r>
      <w:r w:rsidR="0060203B">
        <w:rPr>
          <w:sz w:val="24"/>
          <w:szCs w:val="24"/>
        </w:rPr>
        <w:t>ONRR</w:t>
      </w:r>
      <w:r w:rsidRPr="0077410E">
        <w:rPr>
          <w:sz w:val="24"/>
          <w:szCs w:val="24"/>
        </w:rPr>
        <w:t xml:space="preserve"> protect</w:t>
      </w:r>
      <w:r w:rsidR="0060203B">
        <w:rPr>
          <w:sz w:val="24"/>
          <w:szCs w:val="24"/>
        </w:rPr>
        <w:t>s</w:t>
      </w:r>
      <w:r w:rsidRPr="0077410E">
        <w:rPr>
          <w:sz w:val="24"/>
          <w:szCs w:val="24"/>
        </w:rPr>
        <w:t xml:space="preserve"> this collected information under the standards identified in Item 10 below.</w:t>
      </w:r>
      <w:r>
        <w:rPr>
          <w:sz w:val="24"/>
          <w:szCs w:val="24"/>
        </w:rPr>
        <w:tab/>
      </w:r>
    </w:p>
    <w:p w:rsidR="00295103" w:rsidRPr="00BA612A" w14:paraId="56C14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4F14E728" w14:textId="7216D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8.</w:t>
      </w:r>
      <w:r w:rsidRPr="00411123">
        <w:rPr>
          <w:b/>
          <w:i/>
          <w:sz w:val="24"/>
          <w:szCs w:val="24"/>
        </w:rPr>
        <w:tab/>
      </w:r>
      <w:r w:rsidRPr="00411123">
        <w:rPr>
          <w:b/>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11123" w:rsidR="00DE1FFE">
        <w:rPr>
          <w:b/>
          <w:i/>
          <w:sz w:val="24"/>
          <w:szCs w:val="24"/>
        </w:rPr>
        <w:t xml:space="preserve">ved in response to that notice </w:t>
      </w:r>
      <w:r w:rsidRPr="00411123">
        <w:rPr>
          <w:b/>
          <w:i/>
          <w:sz w:val="24"/>
          <w:szCs w:val="24"/>
        </w:rPr>
        <w:t>and in response to the PRA statement associated with the collec</w:t>
      </w:r>
      <w:r w:rsidRPr="00411123" w:rsidR="00DE1FFE">
        <w:rPr>
          <w:b/>
          <w:i/>
          <w:sz w:val="24"/>
          <w:szCs w:val="24"/>
        </w:rPr>
        <w:t xml:space="preserve">tion </w:t>
      </w:r>
      <w:r w:rsidRPr="00411123" w:rsidR="00DE1FFE">
        <w:rPr>
          <w:b/>
          <w:i/>
          <w:sz w:val="24"/>
          <w:szCs w:val="24"/>
        </w:rPr>
        <w:t xml:space="preserve">over the past three years, </w:t>
      </w:r>
      <w:r w:rsidRPr="00411123">
        <w:rPr>
          <w:b/>
          <w:i/>
          <w:sz w:val="24"/>
          <w:szCs w:val="24"/>
        </w:rPr>
        <w:t>and describe actions taken by the agency in response to these comments. Specifically address comments received on cost and hour burden.</w:t>
      </w:r>
    </w:p>
    <w:p w:rsidR="00295103" w:rsidRPr="00BA612A" w14:paraId="6FF4B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1AA1D493" w14:textId="0B65E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123" w:rsidR="00352210">
        <w:rPr>
          <w:b/>
          <w:i/>
          <w:sz w:val="24"/>
          <w:szCs w:val="24"/>
        </w:rPr>
        <w:t>.</w:t>
      </w:r>
      <w:r w:rsidRPr="00411123" w:rsidR="006C4455">
        <w:rPr>
          <w:b/>
          <w:i/>
          <w:sz w:val="24"/>
          <w:szCs w:val="24"/>
        </w:rPr>
        <w:t xml:space="preserve"> </w:t>
      </w:r>
      <w:r w:rsidRPr="00411123">
        <w:rPr>
          <w:b/>
          <w:i/>
          <w:sz w:val="24"/>
          <w:szCs w:val="24"/>
        </w:rPr>
        <w:t xml:space="preserve">Consultation with representatives of those from whom information is to be obtained or those who must compile records should occur at least once every </w:t>
      </w:r>
      <w:r w:rsidRPr="00411123" w:rsidR="00352210">
        <w:rPr>
          <w:b/>
          <w:i/>
          <w:sz w:val="24"/>
          <w:szCs w:val="24"/>
        </w:rPr>
        <w:t>three</w:t>
      </w:r>
      <w:r w:rsidRPr="00411123">
        <w:rPr>
          <w:b/>
          <w:i/>
          <w:sz w:val="24"/>
          <w:szCs w:val="24"/>
        </w:rPr>
        <w:t xml:space="preserve"> years — even if the collection of information activity is the same as in prior periods. There may be circumstances that may preclude consultation in a specific situation. These circumstances should be explained.</w:t>
      </w:r>
    </w:p>
    <w:p w:rsidR="00410EFD" w:rsidRPr="00BA612A" w14:paraId="4D64D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4E97" w:rsidP="0059324F" w14:paraId="25D1AAC3" w14:textId="1C550196">
      <w:pPr>
        <w:keepNext/>
        <w:keepLines/>
        <w:rPr>
          <w:sz w:val="24"/>
          <w:szCs w:val="24"/>
        </w:rPr>
      </w:pPr>
      <w:r w:rsidRPr="00674E97">
        <w:rPr>
          <w:sz w:val="24"/>
          <w:szCs w:val="24"/>
        </w:rPr>
        <w:t xml:space="preserve">ONRR prepared proposed regulations (RIN 1012-AA39) that solicit the necessary information to implement the proposed changes to the information collection requirements as described in Question 2 of this supporting statement for a period of 60 days. ONRR uploaded a copy of the proposed rule to the ICR in ROCIS as a supplementary document. </w:t>
      </w:r>
    </w:p>
    <w:p w:rsidR="00FC25FD" w:rsidP="006C4455" w14:paraId="28E2B1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00843FA9" w:rsidRPr="00411123" w:rsidP="009F703A" w14:paraId="2EA973E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9.</w:t>
      </w:r>
      <w:r w:rsidRPr="00411123">
        <w:rPr>
          <w:b/>
          <w:i/>
          <w:sz w:val="24"/>
          <w:szCs w:val="24"/>
        </w:rPr>
        <w:tab/>
      </w:r>
      <w:r w:rsidRPr="00411123">
        <w:rPr>
          <w:b/>
          <w:i/>
          <w:sz w:val="24"/>
          <w:szCs w:val="24"/>
        </w:rPr>
        <w:t>Explain any decision to provide any payment or gift to respondents, other than remuneration of contractors or grantees.</w:t>
      </w:r>
    </w:p>
    <w:p w:rsidR="00843FA9" w:rsidRPr="00BA612A" w:rsidP="00ED1B7C" w14:paraId="35D10CF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A612A" w:rsidP="000B54AE" w14:paraId="2FEB063F" w14:textId="01EDD0C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will not provide any payment or gift to respondents in this collection.</w:t>
      </w:r>
    </w:p>
    <w:p w:rsidR="00BA357B" w:rsidRPr="00BA612A" w:rsidP="00ED1B7C" w14:paraId="665B60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25F9" w:rsidRPr="00BA612A" w:rsidP="00C225F9" w14:paraId="5A8A33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10.</w:t>
      </w:r>
      <w:r w:rsidRPr="00411123">
        <w:rPr>
          <w:b/>
          <w:i/>
          <w:sz w:val="24"/>
          <w:szCs w:val="24"/>
        </w:rPr>
        <w:tab/>
      </w:r>
      <w:r w:rsidRPr="00411123">
        <w:rPr>
          <w:b/>
          <w:i/>
          <w:sz w:val="24"/>
          <w:szCs w:val="24"/>
        </w:rPr>
        <w:t>Describe any assurance of confidentiality provided to respondents and the basis for the assurance in statute, regulation, or agency policy</w:t>
      </w:r>
      <w:r w:rsidRPr="00BA612A">
        <w:rPr>
          <w:sz w:val="24"/>
          <w:szCs w:val="24"/>
        </w:rPr>
        <w:t>.</w:t>
      </w:r>
    </w:p>
    <w:p w:rsidR="00C225F9" w:rsidRPr="00BA612A" w:rsidP="00411123" w14:paraId="02E2D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40AA3" w:rsidRPr="00BA612A" w:rsidP="00B544FD" w14:paraId="5267C521" w14:textId="5984A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Companies may provide proprietary commercial </w:t>
      </w:r>
      <w:r w:rsidRPr="00BA612A" w:rsidR="000D591F">
        <w:rPr>
          <w:sz w:val="24"/>
          <w:szCs w:val="24"/>
        </w:rPr>
        <w:t>or fina</w:t>
      </w:r>
      <w:r w:rsidRPr="00BA612A">
        <w:rPr>
          <w:sz w:val="24"/>
          <w:szCs w:val="24"/>
        </w:rPr>
        <w:t xml:space="preserve">ncial information relating to minerals </w:t>
      </w:r>
      <w:r w:rsidR="001D6966">
        <w:rPr>
          <w:sz w:val="24"/>
          <w:szCs w:val="24"/>
        </w:rPr>
        <w:t xml:space="preserve">that </w:t>
      </w:r>
      <w:r w:rsidRPr="00BA612A">
        <w:rPr>
          <w:sz w:val="24"/>
          <w:szCs w:val="24"/>
        </w:rPr>
        <w:t xml:space="preserve">they removed from Federal and Indian leases </w:t>
      </w:r>
      <w:r w:rsidRPr="00BA612A" w:rsidR="000D591F">
        <w:rPr>
          <w:sz w:val="24"/>
          <w:szCs w:val="24"/>
        </w:rPr>
        <w:t>to ONRR</w:t>
      </w:r>
      <w:r w:rsidRPr="00BA612A">
        <w:rPr>
          <w:sz w:val="24"/>
          <w:szCs w:val="24"/>
        </w:rPr>
        <w:t xml:space="preserve">. </w:t>
      </w:r>
      <w:r w:rsidR="00721EF9">
        <w:rPr>
          <w:sz w:val="24"/>
          <w:szCs w:val="24"/>
        </w:rPr>
        <w:t xml:space="preserve">If ONRR receives this type of information, </w:t>
      </w:r>
      <w:r w:rsidRPr="00BA612A" w:rsidR="000D591F">
        <w:rPr>
          <w:sz w:val="24"/>
          <w:szCs w:val="24"/>
        </w:rPr>
        <w:t>FOGRMA, as</w:t>
      </w:r>
      <w:r w:rsidRPr="00BA612A">
        <w:rPr>
          <w:sz w:val="24"/>
          <w:szCs w:val="24"/>
        </w:rPr>
        <w:t xml:space="preserve"> amended (30 U.S.C. 1733),</w:t>
      </w:r>
      <w:r w:rsidRPr="00BA612A" w:rsidR="000D591F">
        <w:rPr>
          <w:sz w:val="24"/>
          <w:szCs w:val="24"/>
        </w:rPr>
        <w:t xml:space="preserve"> the Freedom of Information Act (5 U.S.C. 552(b)(4))</w:t>
      </w:r>
      <w:r w:rsidRPr="00BA612A">
        <w:rPr>
          <w:sz w:val="24"/>
          <w:szCs w:val="24"/>
        </w:rPr>
        <w:t>,</w:t>
      </w:r>
      <w:r w:rsidRPr="00BA612A" w:rsidR="000D591F">
        <w:rPr>
          <w:sz w:val="24"/>
          <w:szCs w:val="24"/>
        </w:rPr>
        <w:t xml:space="preserve"> and its implementing re</w:t>
      </w:r>
      <w:r w:rsidRPr="00BA612A">
        <w:rPr>
          <w:sz w:val="24"/>
          <w:szCs w:val="24"/>
        </w:rPr>
        <w:t>gulations (43 CFR</w:t>
      </w:r>
      <w:r w:rsidR="00851D71">
        <w:rPr>
          <w:sz w:val="24"/>
          <w:szCs w:val="24"/>
        </w:rPr>
        <w:t xml:space="preserve"> part</w:t>
      </w:r>
      <w:r w:rsidRPr="00BA612A">
        <w:rPr>
          <w:sz w:val="24"/>
          <w:szCs w:val="24"/>
        </w:rPr>
        <w:t xml:space="preserve"> 2) establish</w:t>
      </w:r>
      <w:r w:rsidRPr="00BA612A" w:rsidR="000D591F">
        <w:rPr>
          <w:sz w:val="24"/>
          <w:szCs w:val="24"/>
        </w:rPr>
        <w:t xml:space="preserve"> standa</w:t>
      </w:r>
      <w:r w:rsidRPr="00BA612A">
        <w:rPr>
          <w:sz w:val="24"/>
          <w:szCs w:val="24"/>
        </w:rPr>
        <w:t>rds to protect trade secrets</w:t>
      </w:r>
      <w:r w:rsidRPr="00BA612A" w:rsidR="000D591F">
        <w:rPr>
          <w:sz w:val="24"/>
          <w:szCs w:val="24"/>
        </w:rPr>
        <w:t xml:space="preserve"> </w:t>
      </w:r>
      <w:r w:rsidRPr="00BA612A">
        <w:rPr>
          <w:sz w:val="24"/>
          <w:szCs w:val="24"/>
        </w:rPr>
        <w:t xml:space="preserve">and other </w:t>
      </w:r>
      <w:r w:rsidRPr="00BA612A" w:rsidR="000D591F">
        <w:rPr>
          <w:sz w:val="24"/>
          <w:szCs w:val="24"/>
        </w:rPr>
        <w:t xml:space="preserve">proprietary </w:t>
      </w:r>
      <w:r w:rsidRPr="00BA612A">
        <w:rPr>
          <w:sz w:val="24"/>
          <w:szCs w:val="24"/>
        </w:rPr>
        <w:t xml:space="preserve">information. </w:t>
      </w:r>
      <w:r w:rsidR="00DB6492">
        <w:rPr>
          <w:sz w:val="24"/>
          <w:szCs w:val="24"/>
        </w:rPr>
        <w:t xml:space="preserve">In addition, </w:t>
      </w:r>
      <w:r w:rsidRPr="00BA612A" w:rsidR="000D591F">
        <w:rPr>
          <w:sz w:val="24"/>
          <w:szCs w:val="24"/>
        </w:rPr>
        <w:t xml:space="preserve">ONRR </w:t>
      </w:r>
      <w:r w:rsidRPr="00BA612A">
        <w:rPr>
          <w:sz w:val="24"/>
          <w:szCs w:val="24"/>
        </w:rPr>
        <w:t>has strict security measures in place for</w:t>
      </w:r>
      <w:r w:rsidRPr="00BA612A" w:rsidR="000D591F">
        <w:rPr>
          <w:sz w:val="24"/>
          <w:szCs w:val="24"/>
        </w:rPr>
        <w:t xml:space="preserve"> storage of and access to proprietary information. </w:t>
      </w:r>
    </w:p>
    <w:p w:rsidR="00040AA3" w:rsidRPr="00BA612A" w:rsidP="00B544FD" w14:paraId="72027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545DE1" w14:paraId="62E634B4" w14:textId="0A2AB6F1">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11.</w:t>
      </w:r>
      <w:r w:rsidRPr="00411123">
        <w:rPr>
          <w:b/>
          <w:i/>
          <w:sz w:val="24"/>
          <w:szCs w:val="24"/>
        </w:rPr>
        <w:tab/>
      </w:r>
      <w:r w:rsidRPr="00411123">
        <w:rPr>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w:t>
      </w:r>
      <w:r w:rsidRPr="00411123" w:rsidR="0017102D">
        <w:rPr>
          <w:b/>
          <w:i/>
          <w:sz w:val="24"/>
          <w:szCs w:val="24"/>
        </w:rPr>
        <w:t xml:space="preserve"> </w:t>
      </w:r>
      <w:r w:rsidRPr="00411123">
        <w:rPr>
          <w:b/>
          <w:i/>
          <w:sz w:val="24"/>
          <w:szCs w:val="24"/>
        </w:rPr>
        <w:t>the information is requested, and any steps to be taken to obtain their consent.</w:t>
      </w:r>
    </w:p>
    <w:p w:rsidR="006038FA" w:rsidRPr="00BA612A" w:rsidP="00545DE1" w14:paraId="3480B86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BA357B" w:rsidRPr="00BA612A" w:rsidP="00E91F01" w14:paraId="49302209" w14:textId="290AE1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75FBA">
        <w:rPr>
          <w:sz w:val="24"/>
          <w:szCs w:val="24"/>
        </w:rPr>
        <w:t xml:space="preserve">This information collection does not </w:t>
      </w:r>
      <w:r w:rsidRPr="00D75FBA" w:rsidR="008021EA">
        <w:rPr>
          <w:sz w:val="24"/>
          <w:szCs w:val="24"/>
        </w:rPr>
        <w:t>have any</w:t>
      </w:r>
      <w:r w:rsidRPr="00D75FBA">
        <w:rPr>
          <w:sz w:val="24"/>
          <w:szCs w:val="24"/>
        </w:rPr>
        <w:t xml:space="preserve"> sensitive or private questions.</w:t>
      </w:r>
    </w:p>
    <w:p w:rsidR="007E0BFC" w:rsidRPr="00BA612A" w14:paraId="56969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14:paraId="6A3CEAFF" w14:textId="514FF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12.</w:t>
      </w:r>
      <w:r w:rsidRPr="00411123">
        <w:rPr>
          <w:b/>
          <w:i/>
          <w:sz w:val="24"/>
          <w:szCs w:val="24"/>
        </w:rPr>
        <w:tab/>
        <w:t>Provide estimates of the hour burden of the collection of information. The statement should:</w:t>
      </w:r>
    </w:p>
    <w:p w:rsidR="00F14925" w:rsidRPr="00411123" w14:paraId="3E101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295103" w:rsidRPr="00411123" w:rsidP="007E0BFC" w14:paraId="0A931922" w14:textId="477EF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411123">
        <w:rPr>
          <w:b/>
          <w:i/>
          <w:sz w:val="24"/>
          <w:szCs w:val="24"/>
        </w:rPr>
        <w:t>*</w:t>
      </w:r>
      <w:r w:rsidRPr="00411123">
        <w:rPr>
          <w:b/>
          <w:i/>
          <w:sz w:val="24"/>
          <w:szCs w:val="24"/>
        </w:rPr>
        <w:tab/>
        <w:t>Indicate the number of respondents, frequency of respo</w:t>
      </w:r>
      <w:r w:rsidRPr="00411123" w:rsidR="00E91F01">
        <w:rPr>
          <w:b/>
          <w:i/>
          <w:sz w:val="24"/>
          <w:szCs w:val="24"/>
        </w:rPr>
        <w:t xml:space="preserve">nse, annual hour burden, and an </w:t>
      </w:r>
      <w:r w:rsidRPr="00411123">
        <w:rPr>
          <w:b/>
          <w:i/>
          <w:sz w:val="24"/>
          <w:szCs w:val="24"/>
        </w:rPr>
        <w:t xml:space="preserve">explanation of how the burden was estimated. Unless directed to do so, agencies should </w:t>
      </w:r>
      <w:r w:rsidRPr="00411123">
        <w:rPr>
          <w:b/>
          <w:i/>
          <w:sz w:val="24"/>
          <w:szCs w:val="24"/>
        </w:rPr>
        <w:t>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w:t>
      </w:r>
      <w:r w:rsidRPr="00411123">
        <w:rPr>
          <w:b/>
          <w:i/>
          <w:sz w:val="24"/>
          <w:szCs w:val="24"/>
        </w:rPr>
        <w:t xml:space="preserve"> for customary and usual business practices.</w:t>
      </w:r>
    </w:p>
    <w:p w:rsidR="00C85805" w:rsidRPr="00BA612A" w14:paraId="4837D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50DF6" w:rsidP="40965E4B" w14:paraId="564495D6" w14:textId="7FEB25C0">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r>
        <w:rPr>
          <w:sz w:val="24"/>
          <w:szCs w:val="24"/>
        </w:rPr>
        <w:t xml:space="preserve">ONRR </w:t>
      </w:r>
      <w:r w:rsidRPr="00854299">
        <w:rPr>
          <w:sz w:val="24"/>
          <w:szCs w:val="24"/>
        </w:rPr>
        <w:t>estimate</w:t>
      </w:r>
      <w:r>
        <w:rPr>
          <w:sz w:val="24"/>
          <w:szCs w:val="24"/>
        </w:rPr>
        <w:t>s</w:t>
      </w:r>
      <w:r w:rsidRPr="00854299">
        <w:rPr>
          <w:sz w:val="24"/>
          <w:szCs w:val="24"/>
        </w:rPr>
        <w:t xml:space="preserve"> approximately </w:t>
      </w:r>
      <w:r w:rsidRPr="006E4473">
        <w:rPr>
          <w:sz w:val="24"/>
          <w:szCs w:val="24"/>
        </w:rPr>
        <w:t>100</w:t>
      </w:r>
      <w:r w:rsidRPr="00854299">
        <w:rPr>
          <w:sz w:val="24"/>
          <w:szCs w:val="24"/>
        </w:rPr>
        <w:t xml:space="preserve"> Federal and Indian reporters; each reporter may submit</w:t>
      </w:r>
      <w:r>
        <w:rPr>
          <w:sz w:val="24"/>
          <w:szCs w:val="24"/>
        </w:rPr>
        <w:t xml:space="preserve"> </w:t>
      </w:r>
      <w:r w:rsidRPr="00854299">
        <w:rPr>
          <w:sz w:val="24"/>
          <w:szCs w:val="24"/>
        </w:rPr>
        <w:t xml:space="preserve">reports </w:t>
      </w:r>
      <w:r w:rsidR="00DA7978">
        <w:rPr>
          <w:sz w:val="24"/>
          <w:szCs w:val="24"/>
        </w:rPr>
        <w:t>at various</w:t>
      </w:r>
      <w:r w:rsidRPr="00941294">
        <w:rPr>
          <w:sz w:val="24"/>
          <w:szCs w:val="24"/>
        </w:rPr>
        <w:t xml:space="preserve"> times each year. Reporters may also submit the required information monthly, annually, and on occasion (see charts below for breakout of data by form and by information collection). Based on current data, ONRR estimates the average number of annual responses is </w:t>
      </w:r>
      <w:r w:rsidR="00421769">
        <w:rPr>
          <w:sz w:val="24"/>
          <w:szCs w:val="24"/>
        </w:rPr>
        <w:t>ten</w:t>
      </w:r>
      <w:r w:rsidRPr="00941294">
        <w:rPr>
          <w:sz w:val="24"/>
          <w:szCs w:val="24"/>
        </w:rPr>
        <w:t>, and the annual reporting burden to industry is</w:t>
      </w:r>
      <w:r w:rsidRPr="00941294" w:rsidR="005A4D51">
        <w:rPr>
          <w:sz w:val="24"/>
          <w:szCs w:val="24"/>
        </w:rPr>
        <w:t xml:space="preserve"> </w:t>
      </w:r>
      <w:r w:rsidR="00E50477">
        <w:rPr>
          <w:sz w:val="24"/>
          <w:szCs w:val="24"/>
        </w:rPr>
        <w:t>80</w:t>
      </w:r>
      <w:r w:rsidRPr="00941294">
        <w:rPr>
          <w:b/>
          <w:sz w:val="24"/>
          <w:szCs w:val="24"/>
        </w:rPr>
        <w:t xml:space="preserve"> </w:t>
      </w:r>
      <w:r w:rsidRPr="00941294">
        <w:rPr>
          <w:sz w:val="24"/>
          <w:szCs w:val="24"/>
        </w:rPr>
        <w:t xml:space="preserve">hours, including recordkeeping. </w:t>
      </w:r>
      <w:r w:rsidR="00941294">
        <w:rPr>
          <w:sz w:val="24"/>
          <w:szCs w:val="24"/>
        </w:rPr>
        <w:t xml:space="preserve">In ONRR’s Federal Oil, Gas, and Coal Amendments Proposed Rule (RIN 1012-AA39), a lessee would be able to propose an alternative depreciation schedule or in-service date. Consequently, if the proposed changes go into effect, ONRR estimates </w:t>
      </w:r>
      <w:r w:rsidRPr="00941294">
        <w:rPr>
          <w:sz w:val="24"/>
          <w:szCs w:val="24"/>
        </w:rPr>
        <w:t xml:space="preserve">an increase of </w:t>
      </w:r>
      <w:r w:rsidR="00941294">
        <w:rPr>
          <w:sz w:val="24"/>
          <w:szCs w:val="24"/>
        </w:rPr>
        <w:t>ten</w:t>
      </w:r>
      <w:r w:rsidRPr="00941294">
        <w:rPr>
          <w:sz w:val="24"/>
          <w:szCs w:val="24"/>
        </w:rPr>
        <w:t xml:space="preserve"> new responses from industry and </w:t>
      </w:r>
      <w:r w:rsidR="00941294">
        <w:rPr>
          <w:sz w:val="24"/>
          <w:szCs w:val="24"/>
        </w:rPr>
        <w:t>80</w:t>
      </w:r>
      <w:r w:rsidRPr="00941294">
        <w:rPr>
          <w:sz w:val="24"/>
          <w:szCs w:val="24"/>
        </w:rPr>
        <w:t xml:space="preserve"> additional burden hours.</w:t>
      </w:r>
      <w:r>
        <w:rPr>
          <w:sz w:val="24"/>
          <w:szCs w:val="24"/>
        </w:rPr>
        <w:t xml:space="preserve"> </w:t>
      </w:r>
    </w:p>
    <w:p w:rsidR="00750DF6" w:rsidP="001D01B9" w14:paraId="67AED40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p>
    <w:p w:rsidR="00750DF6" w:rsidP="00750DF6" w14:paraId="119F793C" w14:textId="4B38B8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1C5695">
        <w:rPr>
          <w:sz w:val="24"/>
          <w:szCs w:val="24"/>
        </w:rPr>
        <w:t>The specific burden hour changes are as follows:</w:t>
      </w:r>
    </w:p>
    <w:p w:rsidR="00970A28" w:rsidRPr="001C5695" w:rsidP="00750DF6" w14:paraId="0A07A83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0DF6" w:rsidRPr="001C5695" w:rsidP="00750DF6" w14:paraId="2DFAA87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1075" w:type="dxa"/>
        <w:tblLook w:val="04A0"/>
      </w:tblPr>
      <w:tblGrid>
        <w:gridCol w:w="2966"/>
        <w:gridCol w:w="2784"/>
        <w:gridCol w:w="2525"/>
      </w:tblGrid>
      <w:tr w14:paraId="6C1DE98F" w14:textId="7CEBDCB6" w:rsidTr="00A80EFD">
        <w:tblPrEx>
          <w:tblW w:w="0" w:type="auto"/>
          <w:tblInd w:w="1075" w:type="dxa"/>
          <w:tblLook w:val="04A0"/>
        </w:tblPrEx>
        <w:tc>
          <w:tcPr>
            <w:tcW w:w="2966" w:type="dxa"/>
          </w:tcPr>
          <w:p w:rsidR="00750DF6" w:rsidRPr="001C5695" w:rsidP="002A7613" w14:paraId="041CF95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Citation</w:t>
            </w:r>
          </w:p>
          <w:p w:rsidR="00750DF6" w:rsidRPr="001C5695" w:rsidP="002A7613" w14:paraId="6696C6A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30 CFR part 1206</w:t>
            </w:r>
          </w:p>
        </w:tc>
        <w:tc>
          <w:tcPr>
            <w:tcW w:w="2784" w:type="dxa"/>
          </w:tcPr>
          <w:p w:rsidR="00750DF6" w:rsidRPr="001C5695" w:rsidP="002A7613" w14:paraId="415040D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Adjustment</w:t>
            </w:r>
          </w:p>
          <w:p w:rsidR="00750DF6" w:rsidRPr="001C5695" w:rsidP="002A7613" w14:paraId="3ED49D8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Increase(+)/Decrease(-)</w:t>
            </w:r>
          </w:p>
          <w:p w:rsidR="00750DF6" w:rsidRPr="001C5695" w:rsidP="002A7613" w14:paraId="7DACE018" w14:textId="390F3BD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 xml:space="preserve">Of </w:t>
            </w:r>
            <w:r w:rsidR="00890AD5">
              <w:rPr>
                <w:b/>
                <w:sz w:val="24"/>
                <w:szCs w:val="24"/>
              </w:rPr>
              <w:t xml:space="preserve">Annual </w:t>
            </w:r>
            <w:r w:rsidRPr="001C5695">
              <w:rPr>
                <w:b/>
                <w:sz w:val="24"/>
                <w:szCs w:val="24"/>
              </w:rPr>
              <w:t>Burden Hours</w:t>
            </w:r>
          </w:p>
        </w:tc>
        <w:tc>
          <w:tcPr>
            <w:tcW w:w="2525" w:type="dxa"/>
          </w:tcPr>
          <w:p w:rsidR="00750DF6" w:rsidRPr="00750DF6" w:rsidP="00750DF6" w14:paraId="2103D05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50DF6">
              <w:rPr>
                <w:b/>
                <w:sz w:val="24"/>
                <w:szCs w:val="24"/>
              </w:rPr>
              <w:t>Increase(+)/Decrease(-)</w:t>
            </w:r>
          </w:p>
          <w:p w:rsidR="00750DF6" w:rsidRPr="001C5695" w:rsidP="00750DF6" w14:paraId="7F7F3D1B" w14:textId="6E530E75">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50DF6">
              <w:rPr>
                <w:b/>
                <w:sz w:val="24"/>
                <w:szCs w:val="24"/>
              </w:rPr>
              <w:t xml:space="preserve">Of </w:t>
            </w:r>
            <w:r>
              <w:rPr>
                <w:b/>
                <w:sz w:val="24"/>
                <w:szCs w:val="24"/>
              </w:rPr>
              <w:t>Annual Responses</w:t>
            </w:r>
          </w:p>
        </w:tc>
      </w:tr>
      <w:tr w14:paraId="21312EA3" w14:textId="77777777" w:rsidTr="40965E4B">
        <w:tblPrEx>
          <w:tblW w:w="0" w:type="auto"/>
          <w:tblInd w:w="1075" w:type="dxa"/>
          <w:tblLook w:val="04A0"/>
        </w:tblPrEx>
        <w:trPr>
          <w:trHeight w:val="300"/>
        </w:trPr>
        <w:tc>
          <w:tcPr>
            <w:tcW w:w="2966" w:type="dxa"/>
          </w:tcPr>
          <w:p w:rsidR="762F1090" w:rsidRPr="00085222" w:rsidP="40965E4B" w14:paraId="75B6F54C" w14:textId="58233D66">
            <w:r w:rsidRPr="00085222">
              <w:t>1206.259</w:t>
            </w:r>
            <w:r w:rsidRPr="00085222" w:rsidR="00941294">
              <w:t>(</w:t>
            </w:r>
            <w:r w:rsidRPr="00085222" w:rsidR="42164F7A">
              <w:t>b)</w:t>
            </w:r>
            <w:r w:rsidRPr="00085222" w:rsidR="2284720C">
              <w:t>(2)</w:t>
            </w:r>
            <w:r w:rsidRPr="00085222">
              <w:t>(v)(D)</w:t>
            </w:r>
          </w:p>
        </w:tc>
        <w:tc>
          <w:tcPr>
            <w:tcW w:w="2784" w:type="dxa"/>
          </w:tcPr>
          <w:p w:rsidR="6D897FC7" w:rsidP="40965E4B" w14:paraId="156C43D6" w14:textId="089764D4">
            <w:pPr>
              <w:jc w:val="right"/>
              <w:rPr>
                <w:sz w:val="24"/>
                <w:szCs w:val="24"/>
              </w:rPr>
            </w:pPr>
            <w:r>
              <w:rPr>
                <w:sz w:val="24"/>
                <w:szCs w:val="24"/>
              </w:rPr>
              <w:t>40</w:t>
            </w:r>
          </w:p>
        </w:tc>
        <w:tc>
          <w:tcPr>
            <w:tcW w:w="2525" w:type="dxa"/>
          </w:tcPr>
          <w:p w:rsidR="2163B79E" w:rsidP="40965E4B" w14:paraId="58E955A5" w14:textId="26D57AD8">
            <w:pPr>
              <w:jc w:val="right"/>
              <w:rPr>
                <w:sz w:val="24"/>
                <w:szCs w:val="24"/>
              </w:rPr>
            </w:pPr>
            <w:r w:rsidRPr="40965E4B">
              <w:rPr>
                <w:sz w:val="24"/>
                <w:szCs w:val="24"/>
              </w:rPr>
              <w:t>5</w:t>
            </w:r>
          </w:p>
        </w:tc>
      </w:tr>
      <w:tr w14:paraId="2F8DC319" w14:textId="77777777" w:rsidTr="40965E4B">
        <w:tblPrEx>
          <w:tblW w:w="0" w:type="auto"/>
          <w:tblInd w:w="1075" w:type="dxa"/>
          <w:tblLook w:val="04A0"/>
        </w:tblPrEx>
        <w:trPr>
          <w:trHeight w:val="300"/>
        </w:trPr>
        <w:tc>
          <w:tcPr>
            <w:tcW w:w="2966" w:type="dxa"/>
          </w:tcPr>
          <w:p w:rsidR="42E19A2D" w:rsidRPr="00085222" w:rsidP="40965E4B" w14:paraId="7503BF6F" w14:textId="5AF765AB">
            <w:r w:rsidRPr="00085222">
              <w:t>1206.262</w:t>
            </w:r>
            <w:r w:rsidRPr="00085222" w:rsidR="538A480F">
              <w:t>(b)</w:t>
            </w:r>
            <w:r w:rsidRPr="00085222" w:rsidR="20E4FD5D">
              <w:t>(2)</w:t>
            </w:r>
            <w:r w:rsidRPr="00085222">
              <w:t>(v)(D)</w:t>
            </w:r>
          </w:p>
        </w:tc>
        <w:tc>
          <w:tcPr>
            <w:tcW w:w="2784" w:type="dxa"/>
          </w:tcPr>
          <w:p w:rsidR="78E704C0" w:rsidP="40965E4B" w14:paraId="6CF49174" w14:textId="497EB6BE">
            <w:pPr>
              <w:jc w:val="right"/>
              <w:rPr>
                <w:sz w:val="24"/>
                <w:szCs w:val="24"/>
              </w:rPr>
            </w:pPr>
            <w:r>
              <w:rPr>
                <w:sz w:val="24"/>
                <w:szCs w:val="24"/>
              </w:rPr>
              <w:t>40</w:t>
            </w:r>
          </w:p>
        </w:tc>
        <w:tc>
          <w:tcPr>
            <w:tcW w:w="2525" w:type="dxa"/>
          </w:tcPr>
          <w:p w:rsidR="331CEC83" w:rsidP="00781782" w14:paraId="6068A9B5" w14:textId="66140FBE">
            <w:pPr>
              <w:spacing w:line="259" w:lineRule="auto"/>
              <w:jc w:val="right"/>
              <w:rPr>
                <w:sz w:val="24"/>
                <w:szCs w:val="24"/>
              </w:rPr>
            </w:pPr>
            <w:r w:rsidRPr="40965E4B">
              <w:rPr>
                <w:sz w:val="24"/>
                <w:szCs w:val="24"/>
              </w:rPr>
              <w:t>5</w:t>
            </w:r>
          </w:p>
        </w:tc>
      </w:tr>
      <w:tr w14:paraId="49738F53" w14:textId="00027F53" w:rsidTr="00A80EFD">
        <w:tblPrEx>
          <w:tblW w:w="0" w:type="auto"/>
          <w:tblInd w:w="1075" w:type="dxa"/>
          <w:tblLook w:val="04A0"/>
        </w:tblPrEx>
        <w:tc>
          <w:tcPr>
            <w:tcW w:w="2966" w:type="dxa"/>
          </w:tcPr>
          <w:p w:rsidR="00A80EFD" w:rsidRPr="001C5695" w:rsidP="00A80EFD" w14:paraId="1EA62B7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C5695">
              <w:rPr>
                <w:b/>
                <w:sz w:val="24"/>
                <w:szCs w:val="24"/>
              </w:rPr>
              <w:t>Total</w:t>
            </w:r>
          </w:p>
        </w:tc>
        <w:tc>
          <w:tcPr>
            <w:tcW w:w="2784" w:type="dxa"/>
          </w:tcPr>
          <w:p w:rsidR="00A80EFD" w:rsidRPr="001C5695" w:rsidP="40965E4B" w14:paraId="67DDF7AD" w14:textId="260919B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Pr>
                <w:b/>
                <w:sz w:val="24"/>
                <w:szCs w:val="24"/>
              </w:rPr>
              <w:t>80</w:t>
            </w:r>
          </w:p>
        </w:tc>
        <w:tc>
          <w:tcPr>
            <w:tcW w:w="2525" w:type="dxa"/>
          </w:tcPr>
          <w:p w:rsidR="00A80EFD" w:rsidP="40965E4B" w14:paraId="7ADB55C3" w14:textId="2767742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Pr>
                <w:b/>
                <w:sz w:val="24"/>
                <w:szCs w:val="24"/>
              </w:rPr>
              <w:t>10</w:t>
            </w:r>
          </w:p>
        </w:tc>
      </w:tr>
    </w:tbl>
    <w:p w:rsidR="001D01B9" w:rsidP="001D01B9" w14:paraId="1DD9AD69" w14:textId="714E371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4"/>
          <w:szCs w:val="24"/>
        </w:rPr>
      </w:pPr>
    </w:p>
    <w:p w:rsidR="001D01B9" w:rsidP="00854299" w14:paraId="15CA5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54299" w:rsidRPr="00854299" w:rsidP="00F736C5" w14:paraId="61715054" w14:textId="00BE0B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The burden estimates include the time for the following:</w:t>
      </w:r>
    </w:p>
    <w:p w:rsidR="00854299" w:rsidRPr="00854299" w:rsidP="00F03A12" w14:paraId="16BD552E" w14:textId="1E9B25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54299" w:rsidRPr="00854299" w:rsidP="00854299" w14:paraId="787970A4"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Searching existing data sources</w:t>
      </w:r>
    </w:p>
    <w:p w:rsidR="00854299" w:rsidRPr="00854299" w:rsidP="00854299" w14:paraId="65E346DA" w14:textId="77777777">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Gathering and maintaining the data needed</w:t>
      </w:r>
    </w:p>
    <w:p w:rsidR="00854299" w:rsidRPr="00854299" w:rsidP="00854299" w14:paraId="5B21FC06" w14:textId="62B562FC">
      <w:pPr>
        <w:numPr>
          <w:ilvl w:val="0"/>
          <w:numId w:val="4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4299">
        <w:rPr>
          <w:sz w:val="24"/>
          <w:szCs w:val="24"/>
        </w:rPr>
        <w:t xml:space="preserve">Completing and </w:t>
      </w:r>
      <w:r w:rsidR="004F2A8D">
        <w:rPr>
          <w:sz w:val="24"/>
          <w:szCs w:val="24"/>
        </w:rPr>
        <w:t>submitting depreciation-related proposals to ONRR</w:t>
      </w:r>
    </w:p>
    <w:p w:rsidR="00854299" w:rsidRPr="00854299" w:rsidP="00854299" w14:paraId="41CE62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54299" w:rsidRPr="00854299" w:rsidP="00854299" w14:paraId="25A2A6D2" w14:textId="068C5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54299">
        <w:rPr>
          <w:sz w:val="24"/>
          <w:szCs w:val="24"/>
        </w:rPr>
        <w:t xml:space="preserve">Note: </w:t>
      </w:r>
      <w:r>
        <w:rPr>
          <w:sz w:val="24"/>
          <w:szCs w:val="24"/>
        </w:rPr>
        <w:t>ONRR</w:t>
      </w:r>
      <w:r w:rsidRPr="00854299">
        <w:rPr>
          <w:sz w:val="24"/>
          <w:szCs w:val="24"/>
        </w:rPr>
        <w:t xml:space="preserve"> </w:t>
      </w:r>
      <w:r>
        <w:rPr>
          <w:sz w:val="24"/>
          <w:szCs w:val="24"/>
        </w:rPr>
        <w:t>did not include in the</w:t>
      </w:r>
      <w:r w:rsidRPr="00854299">
        <w:rPr>
          <w:sz w:val="24"/>
          <w:szCs w:val="24"/>
        </w:rPr>
        <w:t xml:space="preserve"> estimates certain requirements performed in the normal course of business and considered usual and customary.</w:t>
      </w:r>
    </w:p>
    <w:p w:rsidR="00C85805" w:rsidRPr="00BA612A" w14:paraId="6BE925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11123" w:rsidP="007E206A" w14:paraId="7E990348" w14:textId="037B92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b/>
          <w:i/>
          <w:sz w:val="24"/>
          <w:szCs w:val="24"/>
        </w:rPr>
      </w:pPr>
      <w:r w:rsidRPr="00411123">
        <w:rPr>
          <w:b/>
          <w:i/>
          <w:sz w:val="24"/>
          <w:szCs w:val="24"/>
        </w:rPr>
        <w:t>*</w:t>
      </w:r>
      <w:r w:rsidRPr="00411123">
        <w:rPr>
          <w:b/>
          <w:i/>
          <w:sz w:val="24"/>
          <w:szCs w:val="24"/>
        </w:rPr>
        <w:tab/>
        <w:t>If this request for approval covers more than one for</w:t>
      </w:r>
      <w:r w:rsidRPr="00411123" w:rsidR="007E0BFC">
        <w:rPr>
          <w:b/>
          <w:i/>
          <w:sz w:val="24"/>
          <w:szCs w:val="24"/>
        </w:rPr>
        <w:t>m, provide separate hour burden</w:t>
      </w:r>
      <w:r w:rsidR="007E206A">
        <w:rPr>
          <w:b/>
          <w:i/>
          <w:sz w:val="24"/>
          <w:szCs w:val="24"/>
        </w:rPr>
        <w:t xml:space="preserve"> </w:t>
      </w:r>
      <w:r w:rsidRPr="00411123">
        <w:rPr>
          <w:b/>
          <w:i/>
          <w:sz w:val="24"/>
          <w:szCs w:val="24"/>
        </w:rPr>
        <w:t>estimates for each form and aggregate the hour burdens.</w:t>
      </w:r>
    </w:p>
    <w:p w:rsidR="00910898" w14:paraId="4F1FD4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D4FA7" w:rsidRPr="00BA612A" w14:paraId="44F6C507" w14:textId="0792D2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N/A</w:t>
      </w:r>
    </w:p>
    <w:p w:rsidR="00854299" w:rsidRPr="00BA612A" w:rsidP="007E0BFC" w14:paraId="2BC09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p>
    <w:p w:rsidR="00E91F01" w:rsidRPr="00BA612A" w:rsidP="00124029" w14:paraId="132F8E1A" w14:textId="0710D4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0BFC" w:rsidRPr="00BA612A" w:rsidP="00E91F01" w14:paraId="226B4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D6A5D" w:rsidP="007D6A5D" w14:paraId="07DC63EA" w14:textId="23471EE4">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w:t>
      </w:r>
      <w:r w:rsidR="00792FEC">
        <w:rPr>
          <w:b/>
          <w:i/>
          <w:sz w:val="24"/>
          <w:szCs w:val="24"/>
        </w:rPr>
        <w:tab/>
      </w:r>
      <w:r w:rsidRPr="00411123">
        <w:rPr>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D6A5D" w:rsidR="00DE7630">
        <w:rPr>
          <w:b/>
          <w:i/>
          <w:sz w:val="24"/>
          <w:szCs w:val="24"/>
        </w:rPr>
        <w:t>.</w:t>
      </w:r>
    </w:p>
    <w:p w:rsidR="005E1063" w:rsidRPr="00BA612A" w:rsidP="009E6903" w14:paraId="2CF1C1DB" w14:textId="77777777">
      <w:pPr>
        <w:tabs>
          <w:tab w:val="left" w:pos="-1080"/>
          <w:tab w:val="left" w:pos="-720"/>
          <w:tab w:val="left" w:pos="360"/>
          <w:tab w:val="left" w:pos="810"/>
        </w:tabs>
        <w:rPr>
          <w:b/>
          <w:i/>
        </w:rPr>
      </w:pPr>
    </w:p>
    <w:p w:rsidR="005E1063" w:rsidP="008A263D" w14:paraId="51A6AABA" w14:textId="04336D79">
      <w:pPr>
        <w:widowControl w:val="0"/>
        <w:tabs>
          <w:tab w:val="left" w:pos="-1080"/>
          <w:tab w:val="left" w:pos="-720"/>
          <w:tab w:val="left" w:pos="360"/>
          <w:tab w:val="left" w:pos="810"/>
        </w:tabs>
        <w:jc w:val="center"/>
        <w:rPr>
          <w:b/>
          <w:sz w:val="24"/>
          <w:szCs w:val="24"/>
        </w:rPr>
      </w:pPr>
      <w:r w:rsidRPr="006122D2">
        <w:rPr>
          <w:b/>
          <w:sz w:val="24"/>
          <w:szCs w:val="24"/>
        </w:rPr>
        <w:t>Sum</w:t>
      </w:r>
      <w:r w:rsidRPr="006122D2" w:rsidR="001C315C">
        <w:rPr>
          <w:b/>
          <w:sz w:val="24"/>
          <w:szCs w:val="24"/>
        </w:rPr>
        <w:t>mary of Information Collections</w:t>
      </w:r>
    </w:p>
    <w:p w:rsidR="001D2323" w:rsidP="008A263D" w14:paraId="43FB76D3" w14:textId="210A5B84">
      <w:pPr>
        <w:widowControl w:val="0"/>
        <w:tabs>
          <w:tab w:val="left" w:pos="-1080"/>
          <w:tab w:val="left" w:pos="-720"/>
          <w:tab w:val="left" w:pos="360"/>
          <w:tab w:val="left" w:pos="810"/>
        </w:tabs>
        <w:jc w:val="center"/>
        <w:rPr>
          <w:b/>
          <w:sz w:val="24"/>
          <w:szCs w:val="24"/>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620"/>
        <w:gridCol w:w="1170"/>
        <w:gridCol w:w="1260"/>
        <w:gridCol w:w="990"/>
        <w:gridCol w:w="1170"/>
      </w:tblGrid>
      <w:tr w14:paraId="22A39E20" w14:textId="77777777" w:rsidTr="007007B5">
        <w:tblPrEx>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jc w:val="center"/>
        </w:trPr>
        <w:tc>
          <w:tcPr>
            <w:tcW w:w="2515" w:type="dxa"/>
            <w:vAlign w:val="center"/>
          </w:tcPr>
          <w:p w:rsidR="001D2323" w:rsidRPr="00C172B2" w:rsidP="001407F1" w14:paraId="433D327A" w14:textId="77777777">
            <w:pPr>
              <w:jc w:val="center"/>
              <w:rPr>
                <w:b/>
                <w:sz w:val="18"/>
                <w:szCs w:val="18"/>
              </w:rPr>
            </w:pPr>
            <w:bookmarkStart w:id="2" w:name="_Hlk106967007"/>
            <w:r w:rsidRPr="00C172B2">
              <w:rPr>
                <w:b/>
                <w:sz w:val="18"/>
                <w:szCs w:val="18"/>
              </w:rPr>
              <w:t>Information Collections (and 30 CFR References*)</w:t>
            </w:r>
          </w:p>
        </w:tc>
        <w:tc>
          <w:tcPr>
            <w:tcW w:w="1620" w:type="dxa"/>
          </w:tcPr>
          <w:p w:rsidR="001D2323" w:rsidRPr="00C172B2" w:rsidP="001407F1" w14:paraId="1DC659A6" w14:textId="77777777">
            <w:pPr>
              <w:jc w:val="center"/>
              <w:rPr>
                <w:b/>
                <w:sz w:val="18"/>
                <w:szCs w:val="18"/>
              </w:rPr>
            </w:pPr>
            <w:r w:rsidRPr="00C172B2">
              <w:rPr>
                <w:b/>
                <w:sz w:val="18"/>
                <w:szCs w:val="18"/>
              </w:rPr>
              <w:t>Requirement to Respond</w:t>
            </w:r>
          </w:p>
        </w:tc>
        <w:tc>
          <w:tcPr>
            <w:tcW w:w="1170" w:type="dxa"/>
          </w:tcPr>
          <w:p w:rsidR="001D2323" w:rsidRPr="00C172B2" w:rsidP="001407F1" w14:paraId="5D69FB49" w14:textId="77777777">
            <w:pPr>
              <w:jc w:val="center"/>
              <w:rPr>
                <w:b/>
                <w:sz w:val="18"/>
                <w:szCs w:val="18"/>
              </w:rPr>
            </w:pPr>
            <w:r w:rsidRPr="00C172B2">
              <w:rPr>
                <w:b/>
                <w:sz w:val="18"/>
                <w:szCs w:val="18"/>
              </w:rPr>
              <w:t>Frequency of Response</w:t>
            </w:r>
          </w:p>
        </w:tc>
        <w:tc>
          <w:tcPr>
            <w:tcW w:w="1260" w:type="dxa"/>
          </w:tcPr>
          <w:p w:rsidR="001D2323" w:rsidRPr="00C172B2" w:rsidP="001407F1" w14:paraId="45DA1262" w14:textId="77777777">
            <w:pPr>
              <w:jc w:val="center"/>
              <w:rPr>
                <w:b/>
                <w:sz w:val="18"/>
                <w:szCs w:val="18"/>
              </w:rPr>
            </w:pPr>
            <w:r w:rsidRPr="00C172B2">
              <w:rPr>
                <w:b/>
                <w:sz w:val="18"/>
                <w:szCs w:val="18"/>
              </w:rPr>
              <w:t>Number of Annual Responses</w:t>
            </w:r>
          </w:p>
        </w:tc>
        <w:tc>
          <w:tcPr>
            <w:tcW w:w="990" w:type="dxa"/>
            <w:vAlign w:val="center"/>
          </w:tcPr>
          <w:p w:rsidR="001D2323" w:rsidRPr="00C172B2" w:rsidP="001407F1" w14:paraId="5A0024E6" w14:textId="77777777">
            <w:pPr>
              <w:jc w:val="center"/>
              <w:rPr>
                <w:b/>
                <w:sz w:val="18"/>
                <w:szCs w:val="18"/>
              </w:rPr>
            </w:pPr>
            <w:r w:rsidRPr="00C172B2">
              <w:rPr>
                <w:b/>
                <w:sz w:val="18"/>
                <w:szCs w:val="18"/>
              </w:rPr>
              <w:t>Annual Burden Hours</w:t>
            </w:r>
          </w:p>
        </w:tc>
        <w:tc>
          <w:tcPr>
            <w:tcW w:w="1170" w:type="dxa"/>
          </w:tcPr>
          <w:p w:rsidR="001D2323" w:rsidRPr="00C172B2" w:rsidP="001407F1" w14:paraId="52946997" w14:textId="470BDF8E">
            <w:pPr>
              <w:jc w:val="center"/>
              <w:rPr>
                <w:b/>
                <w:bCs/>
                <w:sz w:val="18"/>
                <w:szCs w:val="18"/>
                <w:vertAlign w:val="superscript"/>
              </w:rPr>
            </w:pPr>
            <w:r w:rsidRPr="00C172B2">
              <w:rPr>
                <w:b/>
                <w:bCs/>
                <w:sz w:val="18"/>
                <w:szCs w:val="18"/>
              </w:rPr>
              <w:t>Annual Cost ($</w:t>
            </w:r>
            <w:r w:rsidRPr="00C172B2" w:rsidR="005A4D51">
              <w:rPr>
                <w:b/>
                <w:bCs/>
                <w:sz w:val="18"/>
                <w:szCs w:val="18"/>
              </w:rPr>
              <w:t>63</w:t>
            </w:r>
            <w:r w:rsidRPr="00C172B2">
              <w:rPr>
                <w:b/>
                <w:bCs/>
                <w:sz w:val="18"/>
                <w:szCs w:val="18"/>
              </w:rPr>
              <w:t>/hr)</w:t>
            </w:r>
          </w:p>
        </w:tc>
      </w:tr>
      <w:tr w14:paraId="032D21A0" w14:textId="77777777" w:rsidTr="007007B5">
        <w:tblPrEx>
          <w:tblW w:w="8725" w:type="dxa"/>
          <w:jc w:val="center"/>
          <w:tblLayout w:type="fixed"/>
          <w:tblLook w:val="01E0"/>
        </w:tblPrEx>
        <w:trPr>
          <w:trHeight w:val="288"/>
          <w:jc w:val="center"/>
        </w:trPr>
        <w:tc>
          <w:tcPr>
            <w:tcW w:w="2515" w:type="dxa"/>
          </w:tcPr>
          <w:p w:rsidR="001D2323" w:rsidRPr="00C172B2" w:rsidP="001407F1" w14:paraId="79F5E40C" w14:textId="7B017ABE">
            <w:pPr>
              <w:rPr>
                <w:b/>
                <w:sz w:val="18"/>
                <w:szCs w:val="18"/>
              </w:rPr>
            </w:pPr>
            <w:r w:rsidRPr="00C172B2">
              <w:rPr>
                <w:b/>
                <w:sz w:val="18"/>
                <w:szCs w:val="18"/>
              </w:rPr>
              <w:t xml:space="preserve">1. </w:t>
            </w:r>
            <w:r w:rsidRPr="00C172B2" w:rsidR="00C85D1C">
              <w:rPr>
                <w:b/>
                <w:sz w:val="18"/>
                <w:szCs w:val="18"/>
              </w:rPr>
              <w:t>Depreciation Schedules</w:t>
            </w:r>
            <w:r w:rsidRPr="00C172B2">
              <w:rPr>
                <w:b/>
                <w:sz w:val="18"/>
                <w:szCs w:val="18"/>
              </w:rPr>
              <w:t>:</w:t>
            </w:r>
          </w:p>
          <w:p w:rsidR="001D2323" w:rsidRPr="00C172B2" w:rsidP="40965E4B" w14:paraId="17E21799" w14:textId="0A84F1F7">
            <w:pPr>
              <w:pStyle w:val="ListParagraph"/>
              <w:rPr>
                <w:sz w:val="18"/>
                <w:szCs w:val="18"/>
              </w:rPr>
            </w:pPr>
          </w:p>
          <w:p w:rsidR="001D2323" w:rsidRPr="00C172B2" w:rsidP="40965E4B" w14:paraId="2E34FF61" w14:textId="493D190C">
            <w:pPr>
              <w:widowControl w:val="0"/>
              <w:numPr>
                <w:ilvl w:val="0"/>
                <w:numId w:val="38"/>
              </w:numPr>
              <w:tabs>
                <w:tab w:val="num" w:pos="223"/>
                <w:tab w:val="clear" w:pos="360"/>
              </w:tabs>
              <w:ind w:left="223" w:hanging="270"/>
              <w:rPr>
                <w:sz w:val="18"/>
                <w:szCs w:val="18"/>
              </w:rPr>
            </w:pPr>
            <w:r w:rsidRPr="00C172B2">
              <w:rPr>
                <w:sz w:val="18"/>
                <w:szCs w:val="18"/>
              </w:rPr>
              <w:t>Submit deprecation schedule for installed fixed assets related to non-arm's-length washing and/or transportation systems</w:t>
            </w:r>
          </w:p>
          <w:p w:rsidR="001D2323" w:rsidRPr="00C172B2" w:rsidP="73B1E0B0" w14:paraId="484B49AD" w14:textId="2E060630">
            <w:pPr>
              <w:rPr>
                <w:sz w:val="18"/>
                <w:szCs w:val="18"/>
              </w:rPr>
            </w:pPr>
            <w:r w:rsidRPr="00C172B2">
              <w:rPr>
                <w:sz w:val="18"/>
                <w:szCs w:val="18"/>
              </w:rPr>
              <w:t>[1206.259 (b)(2)(v)(D),</w:t>
            </w:r>
          </w:p>
          <w:p w:rsidR="001D2323" w:rsidRPr="00C172B2" w:rsidP="73B1E0B0" w14:paraId="4347B8B5" w14:textId="06BE36EC">
            <w:pPr>
              <w:rPr>
                <w:sz w:val="18"/>
                <w:szCs w:val="18"/>
              </w:rPr>
            </w:pPr>
            <w:r w:rsidRPr="00C172B2">
              <w:rPr>
                <w:sz w:val="18"/>
                <w:szCs w:val="18"/>
              </w:rPr>
              <w:t>1206.262 (b)(2)(v)(D)]</w:t>
            </w:r>
          </w:p>
          <w:p w:rsidR="001D2323" w:rsidRPr="00C172B2" w:rsidP="00DD5AA5" w14:paraId="58F3899D" w14:textId="77777777">
            <w:pPr>
              <w:rPr>
                <w:sz w:val="18"/>
                <w:szCs w:val="18"/>
              </w:rPr>
            </w:pPr>
          </w:p>
        </w:tc>
        <w:tc>
          <w:tcPr>
            <w:tcW w:w="1620" w:type="dxa"/>
          </w:tcPr>
          <w:p w:rsidR="00DD6FC6" w:rsidRPr="00C172B2" w:rsidP="40965E4B" w14:paraId="3653EE1A" w14:textId="77777777">
            <w:pPr>
              <w:rPr>
                <w:sz w:val="18"/>
                <w:szCs w:val="18"/>
              </w:rPr>
            </w:pPr>
          </w:p>
          <w:p w:rsidR="7D2467C2" w:rsidRPr="00C172B2" w:rsidP="40965E4B" w14:paraId="11886491" w14:textId="7DF4E075">
            <w:pPr>
              <w:rPr>
                <w:sz w:val="18"/>
                <w:szCs w:val="18"/>
              </w:rPr>
            </w:pPr>
            <w:r w:rsidRPr="00C172B2">
              <w:rPr>
                <w:sz w:val="18"/>
                <w:szCs w:val="18"/>
              </w:rPr>
              <w:t>As needed</w:t>
            </w:r>
          </w:p>
          <w:p w:rsidR="40965E4B" w:rsidRPr="00C172B2" w:rsidP="40965E4B" w14:paraId="7E81E359" w14:textId="4FA8FD10">
            <w:pPr>
              <w:rPr>
                <w:sz w:val="18"/>
                <w:szCs w:val="18"/>
              </w:rPr>
            </w:pPr>
          </w:p>
          <w:p w:rsidR="40965E4B" w:rsidRPr="00C172B2" w:rsidP="40965E4B" w14:paraId="4B3DB5FD" w14:textId="1EDFF0B4">
            <w:pPr>
              <w:rPr>
                <w:sz w:val="18"/>
                <w:szCs w:val="18"/>
              </w:rPr>
            </w:pPr>
          </w:p>
          <w:p w:rsidR="40965E4B" w:rsidRPr="00C172B2" w:rsidP="40965E4B" w14:paraId="6C3AE449" w14:textId="439B6869">
            <w:pPr>
              <w:rPr>
                <w:sz w:val="18"/>
                <w:szCs w:val="18"/>
              </w:rPr>
            </w:pPr>
          </w:p>
          <w:p w:rsidR="40965E4B" w:rsidRPr="00C172B2" w:rsidP="40965E4B" w14:paraId="5CD8368A" w14:textId="684C6D85">
            <w:pPr>
              <w:rPr>
                <w:sz w:val="18"/>
                <w:szCs w:val="18"/>
              </w:rPr>
            </w:pPr>
          </w:p>
          <w:p w:rsidR="40965E4B" w:rsidRPr="00C172B2" w:rsidP="40965E4B" w14:paraId="33CC3B15" w14:textId="06347FE0">
            <w:pPr>
              <w:rPr>
                <w:sz w:val="18"/>
                <w:szCs w:val="18"/>
              </w:rPr>
            </w:pPr>
          </w:p>
          <w:p w:rsidR="40965E4B" w:rsidRPr="00C172B2" w:rsidP="40965E4B" w14:paraId="3F87B383" w14:textId="717AFACD">
            <w:pPr>
              <w:rPr>
                <w:sz w:val="18"/>
                <w:szCs w:val="18"/>
              </w:rPr>
            </w:pPr>
          </w:p>
          <w:p w:rsidR="73B1E0B0" w:rsidRPr="00C172B2" w:rsidP="73B1E0B0" w14:paraId="40FEB11E" w14:textId="0E692FC8">
            <w:pPr>
              <w:rPr>
                <w:sz w:val="18"/>
                <w:szCs w:val="18"/>
              </w:rPr>
            </w:pPr>
          </w:p>
          <w:p w:rsidR="001D2323" w:rsidRPr="00C172B2" w:rsidP="001407F1" w14:paraId="11CC235A" w14:textId="5B613839">
            <w:pPr>
              <w:rPr>
                <w:sz w:val="18"/>
                <w:szCs w:val="18"/>
              </w:rPr>
            </w:pPr>
          </w:p>
        </w:tc>
        <w:tc>
          <w:tcPr>
            <w:tcW w:w="1170" w:type="dxa"/>
          </w:tcPr>
          <w:p w:rsidR="001D2323" w:rsidRPr="00C172B2" w:rsidP="001407F1" w14:paraId="034315B3" w14:textId="77777777">
            <w:pPr>
              <w:rPr>
                <w:sz w:val="18"/>
                <w:szCs w:val="18"/>
              </w:rPr>
            </w:pPr>
          </w:p>
          <w:p w:rsidR="288E8F6D" w:rsidRPr="00C172B2" w:rsidP="40965E4B" w14:paraId="3D1C7972" w14:textId="3F20A2A2">
            <w:pPr>
              <w:rPr>
                <w:sz w:val="18"/>
                <w:szCs w:val="18"/>
              </w:rPr>
            </w:pPr>
            <w:r w:rsidRPr="00C172B2">
              <w:rPr>
                <w:sz w:val="18"/>
                <w:szCs w:val="18"/>
              </w:rPr>
              <w:t>As needed</w:t>
            </w:r>
          </w:p>
          <w:p w:rsidR="40965E4B" w:rsidRPr="00C172B2" w:rsidP="40965E4B" w14:paraId="2A282F9F" w14:textId="733C2B39">
            <w:pPr>
              <w:rPr>
                <w:sz w:val="18"/>
                <w:szCs w:val="18"/>
              </w:rPr>
            </w:pPr>
          </w:p>
          <w:p w:rsidR="40965E4B" w:rsidRPr="00C172B2" w:rsidP="40965E4B" w14:paraId="125736E6" w14:textId="49DDCCC1">
            <w:pPr>
              <w:rPr>
                <w:sz w:val="18"/>
                <w:szCs w:val="18"/>
              </w:rPr>
            </w:pPr>
          </w:p>
          <w:p w:rsidR="40965E4B" w:rsidRPr="00C172B2" w:rsidP="40965E4B" w14:paraId="24B5A3A8" w14:textId="245D9B21">
            <w:pPr>
              <w:rPr>
                <w:sz w:val="18"/>
                <w:szCs w:val="18"/>
              </w:rPr>
            </w:pPr>
          </w:p>
          <w:p w:rsidR="40965E4B" w:rsidRPr="00C172B2" w:rsidP="40965E4B" w14:paraId="4D82E82C" w14:textId="75F32E01">
            <w:pPr>
              <w:rPr>
                <w:sz w:val="18"/>
                <w:szCs w:val="18"/>
              </w:rPr>
            </w:pPr>
          </w:p>
          <w:p w:rsidR="40965E4B" w:rsidRPr="00C172B2" w:rsidP="40965E4B" w14:paraId="3C7801B7" w14:textId="0E854894">
            <w:pPr>
              <w:rPr>
                <w:sz w:val="18"/>
                <w:szCs w:val="18"/>
              </w:rPr>
            </w:pPr>
          </w:p>
          <w:p w:rsidR="40965E4B" w:rsidRPr="00C172B2" w:rsidP="40965E4B" w14:paraId="13419822" w14:textId="784E106F">
            <w:pPr>
              <w:rPr>
                <w:sz w:val="18"/>
                <w:szCs w:val="18"/>
              </w:rPr>
            </w:pPr>
          </w:p>
          <w:p w:rsidR="73B1E0B0" w:rsidRPr="00C172B2" w:rsidP="73B1E0B0" w14:paraId="16466099" w14:textId="343FF0D9">
            <w:pPr>
              <w:rPr>
                <w:sz w:val="18"/>
                <w:szCs w:val="18"/>
              </w:rPr>
            </w:pPr>
          </w:p>
          <w:p w:rsidR="001D2323" w:rsidRPr="00C172B2" w:rsidP="001407F1" w14:paraId="3FA42375" w14:textId="4CEF65FF">
            <w:pPr>
              <w:rPr>
                <w:sz w:val="18"/>
                <w:szCs w:val="18"/>
              </w:rPr>
            </w:pPr>
          </w:p>
        </w:tc>
        <w:tc>
          <w:tcPr>
            <w:tcW w:w="1260" w:type="dxa"/>
          </w:tcPr>
          <w:p w:rsidR="001D2323" w:rsidRPr="00C172B2" w:rsidP="001407F1" w14:paraId="6B688B13" w14:textId="77777777">
            <w:pPr>
              <w:jc w:val="right"/>
              <w:rPr>
                <w:sz w:val="18"/>
                <w:szCs w:val="18"/>
              </w:rPr>
            </w:pPr>
          </w:p>
          <w:p w:rsidR="58614F8E" w:rsidRPr="00C172B2" w:rsidP="40965E4B" w14:paraId="2E0EA672" w14:textId="0CC61FEE">
            <w:pPr>
              <w:jc w:val="right"/>
              <w:rPr>
                <w:sz w:val="18"/>
                <w:szCs w:val="18"/>
              </w:rPr>
            </w:pPr>
            <w:r w:rsidRPr="00C172B2">
              <w:rPr>
                <w:sz w:val="18"/>
                <w:szCs w:val="18"/>
              </w:rPr>
              <w:t>10</w:t>
            </w:r>
          </w:p>
          <w:p w:rsidR="40965E4B" w:rsidRPr="00C172B2" w:rsidP="40965E4B" w14:paraId="3993BF56" w14:textId="6374CEBA">
            <w:pPr>
              <w:jc w:val="right"/>
              <w:rPr>
                <w:sz w:val="18"/>
                <w:szCs w:val="18"/>
              </w:rPr>
            </w:pPr>
          </w:p>
          <w:p w:rsidR="40965E4B" w:rsidRPr="00C172B2" w:rsidP="40965E4B" w14:paraId="20138451" w14:textId="75037A20">
            <w:pPr>
              <w:jc w:val="right"/>
              <w:rPr>
                <w:sz w:val="18"/>
                <w:szCs w:val="18"/>
              </w:rPr>
            </w:pPr>
          </w:p>
          <w:p w:rsidR="40965E4B" w:rsidRPr="00C172B2" w:rsidP="40965E4B" w14:paraId="07C0C90E" w14:textId="1480405D">
            <w:pPr>
              <w:jc w:val="right"/>
              <w:rPr>
                <w:sz w:val="18"/>
                <w:szCs w:val="18"/>
              </w:rPr>
            </w:pPr>
          </w:p>
          <w:p w:rsidR="40965E4B" w:rsidRPr="00C172B2" w:rsidP="40965E4B" w14:paraId="153410B1" w14:textId="1173CAD9">
            <w:pPr>
              <w:jc w:val="right"/>
              <w:rPr>
                <w:sz w:val="18"/>
                <w:szCs w:val="18"/>
              </w:rPr>
            </w:pPr>
          </w:p>
          <w:p w:rsidR="40965E4B" w:rsidRPr="00C172B2" w:rsidP="40965E4B" w14:paraId="05D86039" w14:textId="0B32BDEE">
            <w:pPr>
              <w:jc w:val="right"/>
              <w:rPr>
                <w:sz w:val="18"/>
                <w:szCs w:val="18"/>
              </w:rPr>
            </w:pPr>
          </w:p>
          <w:p w:rsidR="40965E4B" w:rsidRPr="00C172B2" w:rsidP="40965E4B" w14:paraId="430CAC01" w14:textId="498CBDE5">
            <w:pPr>
              <w:jc w:val="right"/>
              <w:rPr>
                <w:sz w:val="18"/>
                <w:szCs w:val="18"/>
              </w:rPr>
            </w:pPr>
          </w:p>
          <w:p w:rsidR="73B1E0B0" w:rsidRPr="00C172B2" w:rsidP="73B1E0B0" w14:paraId="4460C864" w14:textId="02F790BE">
            <w:pPr>
              <w:jc w:val="right"/>
              <w:rPr>
                <w:sz w:val="18"/>
                <w:szCs w:val="18"/>
              </w:rPr>
            </w:pPr>
          </w:p>
          <w:p w:rsidR="73B1E0B0" w:rsidRPr="00C172B2" w:rsidP="73B1E0B0" w14:paraId="47932B79" w14:textId="739696E7">
            <w:pPr>
              <w:jc w:val="right"/>
              <w:rPr>
                <w:sz w:val="18"/>
                <w:szCs w:val="18"/>
              </w:rPr>
            </w:pPr>
          </w:p>
          <w:p w:rsidR="001D2323" w:rsidRPr="00C172B2" w:rsidP="001407F1" w14:paraId="24AC5A94" w14:textId="1728D842">
            <w:pPr>
              <w:jc w:val="right"/>
              <w:rPr>
                <w:sz w:val="18"/>
                <w:szCs w:val="18"/>
              </w:rPr>
            </w:pPr>
          </w:p>
        </w:tc>
        <w:tc>
          <w:tcPr>
            <w:tcW w:w="990" w:type="dxa"/>
          </w:tcPr>
          <w:p w:rsidR="001D2323" w:rsidRPr="00C172B2" w:rsidP="001407F1" w14:paraId="459599FE" w14:textId="77777777">
            <w:pPr>
              <w:jc w:val="right"/>
              <w:rPr>
                <w:sz w:val="18"/>
                <w:szCs w:val="18"/>
              </w:rPr>
            </w:pPr>
          </w:p>
          <w:p w:rsidR="1564491E" w:rsidRPr="00C172B2" w:rsidP="40965E4B" w14:paraId="02B02EA3" w14:textId="711D5857">
            <w:pPr>
              <w:jc w:val="right"/>
              <w:rPr>
                <w:sz w:val="18"/>
                <w:szCs w:val="18"/>
              </w:rPr>
            </w:pPr>
            <w:r w:rsidRPr="00C172B2">
              <w:rPr>
                <w:sz w:val="18"/>
                <w:szCs w:val="18"/>
              </w:rPr>
              <w:t>80</w:t>
            </w:r>
          </w:p>
          <w:p w:rsidR="40965E4B" w:rsidRPr="00C172B2" w:rsidP="40965E4B" w14:paraId="18315AB3" w14:textId="7B5FFC60">
            <w:pPr>
              <w:jc w:val="right"/>
              <w:rPr>
                <w:sz w:val="18"/>
                <w:szCs w:val="18"/>
              </w:rPr>
            </w:pPr>
          </w:p>
          <w:p w:rsidR="40965E4B" w:rsidRPr="00C172B2" w:rsidP="40965E4B" w14:paraId="29F4DFC3" w14:textId="6B37393B">
            <w:pPr>
              <w:jc w:val="right"/>
              <w:rPr>
                <w:sz w:val="18"/>
                <w:szCs w:val="18"/>
              </w:rPr>
            </w:pPr>
          </w:p>
          <w:p w:rsidR="40965E4B" w:rsidRPr="00C172B2" w:rsidP="40965E4B" w14:paraId="16D11E38" w14:textId="49BD32B1">
            <w:pPr>
              <w:jc w:val="right"/>
              <w:rPr>
                <w:sz w:val="18"/>
                <w:szCs w:val="18"/>
              </w:rPr>
            </w:pPr>
          </w:p>
          <w:p w:rsidR="40965E4B" w:rsidRPr="00C172B2" w:rsidP="40965E4B" w14:paraId="7AE28724" w14:textId="1038D783">
            <w:pPr>
              <w:jc w:val="right"/>
              <w:rPr>
                <w:sz w:val="18"/>
                <w:szCs w:val="18"/>
              </w:rPr>
            </w:pPr>
          </w:p>
          <w:p w:rsidR="40965E4B" w:rsidRPr="00C172B2" w:rsidP="40965E4B" w14:paraId="7F8C76D9" w14:textId="349FC93A">
            <w:pPr>
              <w:jc w:val="right"/>
              <w:rPr>
                <w:sz w:val="18"/>
                <w:szCs w:val="18"/>
              </w:rPr>
            </w:pPr>
          </w:p>
          <w:p w:rsidR="40965E4B" w:rsidRPr="00C172B2" w:rsidP="40965E4B" w14:paraId="1A2D0449" w14:textId="3EEFB5C4">
            <w:pPr>
              <w:jc w:val="right"/>
              <w:rPr>
                <w:sz w:val="18"/>
                <w:szCs w:val="18"/>
              </w:rPr>
            </w:pPr>
          </w:p>
          <w:p w:rsidR="73B1E0B0" w:rsidRPr="00C172B2" w:rsidP="73B1E0B0" w14:paraId="472E7E75" w14:textId="235D89BF">
            <w:pPr>
              <w:jc w:val="right"/>
              <w:rPr>
                <w:sz w:val="18"/>
                <w:szCs w:val="18"/>
              </w:rPr>
            </w:pPr>
          </w:p>
          <w:p w:rsidR="73B1E0B0" w:rsidRPr="00C172B2" w:rsidP="73B1E0B0" w14:paraId="70F6871B" w14:textId="1E0EEA2F">
            <w:pPr>
              <w:jc w:val="right"/>
              <w:rPr>
                <w:sz w:val="18"/>
                <w:szCs w:val="18"/>
              </w:rPr>
            </w:pPr>
          </w:p>
          <w:p w:rsidR="001D2323" w:rsidRPr="00C172B2" w:rsidP="004941FD" w14:paraId="17417CCB" w14:textId="14FD0FAE">
            <w:pPr>
              <w:jc w:val="center"/>
              <w:rPr>
                <w:sz w:val="18"/>
                <w:szCs w:val="18"/>
              </w:rPr>
            </w:pPr>
          </w:p>
        </w:tc>
        <w:tc>
          <w:tcPr>
            <w:tcW w:w="1170" w:type="dxa"/>
          </w:tcPr>
          <w:p w:rsidR="001D2323" w:rsidRPr="00C172B2" w:rsidP="001407F1" w14:paraId="4EF219D6" w14:textId="77777777">
            <w:pPr>
              <w:jc w:val="right"/>
              <w:rPr>
                <w:sz w:val="18"/>
                <w:szCs w:val="18"/>
              </w:rPr>
            </w:pPr>
          </w:p>
          <w:p w:rsidR="3AAAC43D" w:rsidRPr="00C172B2" w:rsidP="40965E4B" w14:paraId="6B2E382D" w14:textId="5212AD8C">
            <w:pPr>
              <w:jc w:val="right"/>
              <w:rPr>
                <w:sz w:val="18"/>
                <w:szCs w:val="18"/>
              </w:rPr>
            </w:pPr>
            <w:r w:rsidRPr="00C172B2">
              <w:rPr>
                <w:sz w:val="18"/>
                <w:szCs w:val="18"/>
              </w:rPr>
              <w:t>$5,040</w:t>
            </w:r>
          </w:p>
          <w:p w:rsidR="40965E4B" w:rsidRPr="00C172B2" w:rsidP="40965E4B" w14:paraId="7D85791D" w14:textId="1EC10A70">
            <w:pPr>
              <w:jc w:val="right"/>
              <w:rPr>
                <w:sz w:val="18"/>
                <w:szCs w:val="18"/>
              </w:rPr>
            </w:pPr>
          </w:p>
          <w:p w:rsidR="40965E4B" w:rsidRPr="00C172B2" w:rsidP="40965E4B" w14:paraId="4BB292F4" w14:textId="2ECC228B">
            <w:pPr>
              <w:jc w:val="right"/>
              <w:rPr>
                <w:sz w:val="18"/>
                <w:szCs w:val="18"/>
              </w:rPr>
            </w:pPr>
          </w:p>
          <w:p w:rsidR="40965E4B" w:rsidRPr="00C172B2" w:rsidP="40965E4B" w14:paraId="1A48231C" w14:textId="09289D6A">
            <w:pPr>
              <w:jc w:val="right"/>
              <w:rPr>
                <w:sz w:val="18"/>
                <w:szCs w:val="18"/>
              </w:rPr>
            </w:pPr>
          </w:p>
          <w:p w:rsidR="40965E4B" w:rsidRPr="00C172B2" w:rsidP="40965E4B" w14:paraId="15A43D5B" w14:textId="71CFD2FF">
            <w:pPr>
              <w:jc w:val="right"/>
              <w:rPr>
                <w:sz w:val="18"/>
                <w:szCs w:val="18"/>
              </w:rPr>
            </w:pPr>
          </w:p>
          <w:p w:rsidR="40965E4B" w:rsidRPr="00C172B2" w:rsidP="40965E4B" w14:paraId="7028E2C4" w14:textId="1DC2AE38">
            <w:pPr>
              <w:jc w:val="right"/>
              <w:rPr>
                <w:sz w:val="18"/>
                <w:szCs w:val="18"/>
              </w:rPr>
            </w:pPr>
          </w:p>
          <w:p w:rsidR="40965E4B" w:rsidRPr="00C172B2" w:rsidP="40965E4B" w14:paraId="49EF5F5B" w14:textId="6908AB1A">
            <w:pPr>
              <w:jc w:val="right"/>
              <w:rPr>
                <w:sz w:val="18"/>
                <w:szCs w:val="18"/>
              </w:rPr>
            </w:pPr>
          </w:p>
          <w:p w:rsidR="73B1E0B0" w:rsidRPr="00C172B2" w:rsidP="73B1E0B0" w14:paraId="4B5DD34C" w14:textId="3622C42A">
            <w:pPr>
              <w:jc w:val="right"/>
              <w:rPr>
                <w:sz w:val="18"/>
                <w:szCs w:val="18"/>
              </w:rPr>
            </w:pPr>
          </w:p>
          <w:p w:rsidR="73B1E0B0" w:rsidRPr="00C172B2" w:rsidP="73B1E0B0" w14:paraId="4220A14E" w14:textId="7727073E">
            <w:pPr>
              <w:jc w:val="right"/>
              <w:rPr>
                <w:sz w:val="18"/>
                <w:szCs w:val="18"/>
              </w:rPr>
            </w:pPr>
          </w:p>
          <w:p w:rsidR="001D2323" w:rsidRPr="00C172B2" w:rsidP="001407F1" w14:paraId="38D6110F" w14:textId="29B2197A">
            <w:pPr>
              <w:jc w:val="right"/>
              <w:rPr>
                <w:sz w:val="18"/>
                <w:szCs w:val="18"/>
              </w:rPr>
            </w:pPr>
          </w:p>
          <w:p w:rsidR="001D2323" w:rsidRPr="00C172B2" w:rsidP="001407F1" w14:paraId="07592D57" w14:textId="77777777">
            <w:pPr>
              <w:jc w:val="right"/>
              <w:rPr>
                <w:sz w:val="18"/>
                <w:szCs w:val="18"/>
              </w:rPr>
            </w:pPr>
          </w:p>
        </w:tc>
      </w:tr>
      <w:tr w14:paraId="5BBC15E5" w14:textId="77777777" w:rsidTr="007007B5">
        <w:tblPrEx>
          <w:tblW w:w="8725" w:type="dxa"/>
          <w:jc w:val="center"/>
          <w:tblLayout w:type="fixed"/>
          <w:tblLook w:val="01E0"/>
        </w:tblPrEx>
        <w:trPr>
          <w:trHeight w:val="288"/>
          <w:jc w:val="center"/>
        </w:trPr>
        <w:tc>
          <w:tcPr>
            <w:tcW w:w="5305" w:type="dxa"/>
            <w:gridSpan w:val="3"/>
            <w:vAlign w:val="center"/>
          </w:tcPr>
          <w:p w:rsidR="001D2323" w:rsidRPr="00C172B2" w:rsidP="001407F1" w14:paraId="51B1F041" w14:textId="77777777">
            <w:pPr>
              <w:jc w:val="right"/>
              <w:rPr>
                <w:sz w:val="18"/>
                <w:szCs w:val="18"/>
              </w:rPr>
            </w:pPr>
            <w:r w:rsidRPr="00C172B2">
              <w:rPr>
                <w:b/>
                <w:sz w:val="18"/>
                <w:szCs w:val="18"/>
              </w:rPr>
              <w:t>TOTAL</w:t>
            </w:r>
          </w:p>
        </w:tc>
        <w:tc>
          <w:tcPr>
            <w:tcW w:w="1260" w:type="dxa"/>
            <w:vAlign w:val="center"/>
          </w:tcPr>
          <w:p w:rsidR="001D2323" w:rsidRPr="00C172B2" w:rsidP="001407F1" w14:paraId="325ABD7D" w14:textId="7544323F">
            <w:pPr>
              <w:jc w:val="right"/>
              <w:rPr>
                <w:b/>
                <w:sz w:val="18"/>
                <w:szCs w:val="18"/>
              </w:rPr>
            </w:pPr>
            <w:r w:rsidRPr="00C172B2">
              <w:rPr>
                <w:b/>
                <w:sz w:val="18"/>
                <w:szCs w:val="18"/>
              </w:rPr>
              <w:t>10</w:t>
            </w:r>
          </w:p>
        </w:tc>
        <w:tc>
          <w:tcPr>
            <w:tcW w:w="990" w:type="dxa"/>
            <w:vAlign w:val="center"/>
          </w:tcPr>
          <w:p w:rsidR="001D2323" w:rsidRPr="00C172B2" w:rsidP="001407F1" w14:paraId="5E243003" w14:textId="42F29EE4">
            <w:pPr>
              <w:jc w:val="right"/>
              <w:rPr>
                <w:b/>
                <w:sz w:val="18"/>
                <w:szCs w:val="18"/>
              </w:rPr>
            </w:pPr>
            <w:r w:rsidRPr="00C172B2">
              <w:rPr>
                <w:b/>
                <w:sz w:val="18"/>
                <w:szCs w:val="18"/>
              </w:rPr>
              <w:t>80</w:t>
            </w:r>
          </w:p>
        </w:tc>
        <w:tc>
          <w:tcPr>
            <w:tcW w:w="1170" w:type="dxa"/>
            <w:vAlign w:val="center"/>
          </w:tcPr>
          <w:p w:rsidR="001D2323" w:rsidRPr="008C0DBF" w:rsidP="00C85D1C" w14:paraId="2D52C77F" w14:textId="6616D347">
            <w:pPr>
              <w:jc w:val="right"/>
              <w:rPr>
                <w:b/>
                <w:bCs/>
                <w:sz w:val="18"/>
                <w:szCs w:val="18"/>
              </w:rPr>
            </w:pPr>
            <w:r w:rsidRPr="008C0DBF">
              <w:rPr>
                <w:b/>
                <w:bCs/>
                <w:sz w:val="18"/>
                <w:szCs w:val="18"/>
              </w:rPr>
              <w:t>$5,040</w:t>
            </w:r>
          </w:p>
        </w:tc>
      </w:tr>
      <w:bookmarkEnd w:id="2"/>
    </w:tbl>
    <w:p w:rsidR="001D2323" w:rsidP="008A263D" w14:paraId="256588C8" w14:textId="77777777">
      <w:pPr>
        <w:widowControl w:val="0"/>
        <w:tabs>
          <w:tab w:val="left" w:pos="-1080"/>
          <w:tab w:val="left" w:pos="-720"/>
          <w:tab w:val="left" w:pos="360"/>
          <w:tab w:val="left" w:pos="810"/>
        </w:tabs>
        <w:jc w:val="center"/>
        <w:rPr>
          <w:b/>
          <w:sz w:val="24"/>
          <w:szCs w:val="24"/>
        </w:rPr>
      </w:pPr>
    </w:p>
    <w:p w:rsidR="00DE0977" w:rsidP="008A263D" w14:paraId="231C4351" w14:textId="142617DC">
      <w:pPr>
        <w:widowControl w:val="0"/>
        <w:tabs>
          <w:tab w:val="left" w:pos="-1080"/>
          <w:tab w:val="left" w:pos="-720"/>
          <w:tab w:val="left" w:pos="360"/>
          <w:tab w:val="left" w:pos="810"/>
        </w:tabs>
        <w:jc w:val="center"/>
        <w:rPr>
          <w:b/>
          <w:sz w:val="24"/>
          <w:szCs w:val="24"/>
        </w:rPr>
      </w:pPr>
    </w:p>
    <w:p w:rsidR="001D2323" w:rsidRPr="001D2323" w:rsidP="001D2323" w14:paraId="18A99071" w14:textId="364C7F40">
      <w:pPr>
        <w:widowControl w:val="0"/>
        <w:tabs>
          <w:tab w:val="left" w:pos="-1080"/>
          <w:tab w:val="left" w:pos="-720"/>
          <w:tab w:val="left" w:pos="360"/>
          <w:tab w:val="left" w:pos="810"/>
        </w:tabs>
        <w:rPr>
          <w:bCs/>
          <w:sz w:val="24"/>
          <w:szCs w:val="24"/>
        </w:rPr>
      </w:pPr>
      <w:r w:rsidRPr="001D2323">
        <w:rPr>
          <w:bCs/>
          <w:sz w:val="24"/>
          <w:szCs w:val="24"/>
        </w:rPr>
        <w:t xml:space="preserve">ONRR </w:t>
      </w:r>
      <w:r w:rsidRPr="001D2323" w:rsidR="00881A07">
        <w:rPr>
          <w:bCs/>
          <w:sz w:val="24"/>
          <w:szCs w:val="24"/>
        </w:rPr>
        <w:t>base</w:t>
      </w:r>
      <w:r w:rsidR="004467F4">
        <w:rPr>
          <w:bCs/>
          <w:sz w:val="24"/>
          <w:szCs w:val="24"/>
        </w:rPr>
        <w:t>s</w:t>
      </w:r>
      <w:r w:rsidRPr="001D2323">
        <w:rPr>
          <w:bCs/>
          <w:sz w:val="24"/>
          <w:szCs w:val="24"/>
        </w:rPr>
        <w:t xml:space="preserve"> cost estimates on the expectation that an accountant will perform all work. See calculations for hourly costs for industry accountants below.</w:t>
      </w:r>
    </w:p>
    <w:p w:rsidR="001D2323" w:rsidRPr="001D2323" w:rsidP="001D2323" w14:paraId="3C16FC31" w14:textId="77777777">
      <w:pPr>
        <w:widowControl w:val="0"/>
        <w:tabs>
          <w:tab w:val="left" w:pos="-1080"/>
          <w:tab w:val="left" w:pos="-720"/>
          <w:tab w:val="left" w:pos="360"/>
          <w:tab w:val="left" w:pos="810"/>
        </w:tabs>
        <w:rPr>
          <w:bCs/>
          <w:sz w:val="24"/>
          <w:szCs w:val="24"/>
        </w:rPr>
      </w:pPr>
      <w:r w:rsidRPr="001D2323">
        <w:rPr>
          <w:bCs/>
          <w:sz w:val="24"/>
          <w:szCs w:val="24"/>
        </w:rPr>
        <w:t>*See chart below for complete listing of citations for this ICR.</w:t>
      </w:r>
    </w:p>
    <w:p w:rsidR="001D2323" w:rsidRPr="001D2323" w:rsidP="001D2323" w14:paraId="58D5C608" w14:textId="77777777">
      <w:pPr>
        <w:widowControl w:val="0"/>
        <w:tabs>
          <w:tab w:val="left" w:pos="-1080"/>
          <w:tab w:val="left" w:pos="-720"/>
          <w:tab w:val="left" w:pos="360"/>
          <w:tab w:val="left" w:pos="810"/>
        </w:tabs>
        <w:rPr>
          <w:bCs/>
          <w:sz w:val="24"/>
          <w:szCs w:val="24"/>
        </w:rPr>
      </w:pPr>
    </w:p>
    <w:p w:rsidR="001D2323" w:rsidP="001D2323" w14:paraId="52D2DA65" w14:textId="22B0F49D">
      <w:pPr>
        <w:widowControl w:val="0"/>
        <w:tabs>
          <w:tab w:val="left" w:pos="-1080"/>
          <w:tab w:val="left" w:pos="-720"/>
          <w:tab w:val="left" w:pos="360"/>
          <w:tab w:val="left" w:pos="810"/>
        </w:tabs>
        <w:rPr>
          <w:bCs/>
          <w:sz w:val="24"/>
          <w:szCs w:val="24"/>
        </w:rPr>
      </w:pPr>
      <w:bookmarkStart w:id="3" w:name="OLE_LINK5"/>
      <w:bookmarkStart w:id="4" w:name="OLE_LINK6"/>
      <w:r>
        <w:rPr>
          <w:bCs/>
          <w:sz w:val="24"/>
          <w:szCs w:val="24"/>
        </w:rPr>
        <w:t>ONRR expects</w:t>
      </w:r>
      <w:r w:rsidRPr="001D2323">
        <w:rPr>
          <w:bCs/>
          <w:sz w:val="24"/>
          <w:szCs w:val="24"/>
        </w:rPr>
        <w:t xml:space="preserve"> that an industry accountant will perform all the work. </w:t>
      </w:r>
      <w:r>
        <w:rPr>
          <w:bCs/>
          <w:sz w:val="24"/>
          <w:szCs w:val="24"/>
        </w:rPr>
        <w:t xml:space="preserve">ONRR </w:t>
      </w:r>
      <w:r w:rsidRPr="001D2323">
        <w:rPr>
          <w:bCs/>
          <w:sz w:val="24"/>
          <w:szCs w:val="24"/>
        </w:rPr>
        <w:t>estimate</w:t>
      </w:r>
      <w:r>
        <w:rPr>
          <w:bCs/>
          <w:sz w:val="24"/>
          <w:szCs w:val="24"/>
        </w:rPr>
        <w:t>s</w:t>
      </w:r>
      <w:r w:rsidRPr="001D2323">
        <w:rPr>
          <w:bCs/>
          <w:sz w:val="24"/>
          <w:szCs w:val="24"/>
        </w:rPr>
        <w:t xml:space="preserve"> the total annual reporting burden is </w:t>
      </w:r>
      <w:r w:rsidR="00B64823">
        <w:rPr>
          <w:bCs/>
          <w:sz w:val="24"/>
          <w:szCs w:val="24"/>
        </w:rPr>
        <w:t>80</w:t>
      </w:r>
      <w:r w:rsidRPr="001D2323">
        <w:rPr>
          <w:bCs/>
          <w:sz w:val="24"/>
          <w:szCs w:val="24"/>
        </w:rPr>
        <w:t xml:space="preserve"> hours. </w:t>
      </w:r>
      <w:r w:rsidR="0060203B">
        <w:rPr>
          <w:bCs/>
          <w:sz w:val="24"/>
          <w:szCs w:val="24"/>
        </w:rPr>
        <w:t>ONRR</w:t>
      </w:r>
      <w:r w:rsidRPr="001D2323">
        <w:rPr>
          <w:bCs/>
          <w:sz w:val="24"/>
          <w:szCs w:val="24"/>
        </w:rPr>
        <w:t xml:space="preserve"> used the Bureau of Labor Statistics (</w:t>
      </w:r>
      <w:r w:rsidR="001D04F5">
        <w:rPr>
          <w:bCs/>
          <w:sz w:val="24"/>
          <w:szCs w:val="24"/>
        </w:rPr>
        <w:t>“</w:t>
      </w:r>
      <w:r w:rsidRPr="001D2323">
        <w:rPr>
          <w:bCs/>
          <w:sz w:val="24"/>
          <w:szCs w:val="24"/>
        </w:rPr>
        <w:t>BLS</w:t>
      </w:r>
      <w:r w:rsidR="001D04F5">
        <w:rPr>
          <w:bCs/>
          <w:sz w:val="24"/>
          <w:szCs w:val="24"/>
        </w:rPr>
        <w:t>”</w:t>
      </w:r>
      <w:r w:rsidRPr="001D2323">
        <w:rPr>
          <w:bCs/>
          <w:sz w:val="24"/>
          <w:szCs w:val="24"/>
        </w:rPr>
        <w:t xml:space="preserve">) National Occupational Employment and Wage Estimates (available at </w:t>
      </w:r>
      <w:r w:rsidRPr="008D6FD6">
        <w:rPr>
          <w:bCs/>
          <w:i/>
          <w:sz w:val="24"/>
          <w:szCs w:val="24"/>
        </w:rPr>
        <w:t>http://www.bls.gov/oes/current/oes132011.htm</w:t>
      </w:r>
      <w:r w:rsidRPr="001D2323">
        <w:rPr>
          <w:bCs/>
          <w:sz w:val="24"/>
          <w:szCs w:val="24"/>
        </w:rPr>
        <w:t>)</w:t>
      </w:r>
      <w:r w:rsidRPr="001D2323">
        <w:rPr>
          <w:bCs/>
          <w:i/>
          <w:sz w:val="24"/>
          <w:szCs w:val="24"/>
        </w:rPr>
        <w:t xml:space="preserve"> </w:t>
      </w:r>
      <w:r w:rsidRPr="001D2323">
        <w:rPr>
          <w:bCs/>
          <w:sz w:val="24"/>
          <w:szCs w:val="24"/>
        </w:rPr>
        <w:t xml:space="preserve">to estimate the hourly cost for industry accountants in various United States locations. </w:t>
      </w:r>
      <w:r w:rsidRPr="00C22E0D" w:rsidR="00C22E0D">
        <w:rPr>
          <w:bCs/>
          <w:sz w:val="24"/>
          <w:szCs w:val="24"/>
        </w:rPr>
        <w:t>ONRR added a multiplier of 1.4 (based on</w:t>
      </w:r>
      <w:r>
        <w:rPr>
          <w:bCs/>
          <w:sz w:val="24"/>
          <w:szCs w:val="24"/>
        </w:rPr>
        <w:t xml:space="preserve"> BLS News Release</w:t>
      </w:r>
      <w:r w:rsidRPr="00C22E0D" w:rsidR="00C22E0D">
        <w:rPr>
          <w:bCs/>
          <w:sz w:val="24"/>
          <w:szCs w:val="24"/>
        </w:rPr>
        <w:t xml:space="preserve"> </w:t>
      </w:r>
      <w:r w:rsidRPr="008D6FD6">
        <w:rPr>
          <w:bCs/>
          <w:sz w:val="24"/>
          <w:szCs w:val="24"/>
        </w:rPr>
        <w:t>USDL-26-0505, March 20, 2026</w:t>
      </w:r>
      <w:r w:rsidRPr="00C22E0D" w:rsidR="00C22E0D">
        <w:rPr>
          <w:bCs/>
          <w:sz w:val="24"/>
          <w:szCs w:val="24"/>
        </w:rPr>
        <w:t>, at</w:t>
      </w:r>
      <w:r w:rsidR="00C22E0D">
        <w:rPr>
          <w:bCs/>
          <w:sz w:val="24"/>
          <w:szCs w:val="24"/>
        </w:rPr>
        <w:t xml:space="preserve"> </w:t>
      </w:r>
      <w:r w:rsidRPr="00C22E0D" w:rsidR="00C22E0D">
        <w:rPr>
          <w:bCs/>
          <w:sz w:val="24"/>
          <w:szCs w:val="24"/>
        </w:rPr>
        <w:t xml:space="preserve">https://www.bls.gov/news.release/pdf/ecec.pdf for benefits for private industry workers. Based on this information, ONRR estimates the hourly cost for an industry accountant would be $63, calculated as follows: </w:t>
      </w:r>
    </w:p>
    <w:p w:rsidR="00C22E0D" w:rsidRPr="001D2323" w:rsidP="001D2323" w14:paraId="7E87DF98" w14:textId="77777777">
      <w:pPr>
        <w:widowControl w:val="0"/>
        <w:tabs>
          <w:tab w:val="left" w:pos="-1080"/>
          <w:tab w:val="left" w:pos="-720"/>
          <w:tab w:val="left" w:pos="360"/>
          <w:tab w:val="left" w:pos="810"/>
        </w:tabs>
        <w:rPr>
          <w:bCs/>
          <w:sz w:val="24"/>
          <w:szCs w:val="24"/>
        </w:rPr>
      </w:pPr>
    </w:p>
    <w:p w:rsidR="001D2323" w:rsidRPr="001D2323" w:rsidP="001D2323" w14:paraId="7E112682" w14:textId="2584CA92">
      <w:pPr>
        <w:widowControl w:val="0"/>
        <w:tabs>
          <w:tab w:val="left" w:pos="-1080"/>
          <w:tab w:val="left" w:pos="-720"/>
          <w:tab w:val="left" w:pos="360"/>
          <w:tab w:val="left" w:pos="810"/>
        </w:tabs>
        <w:rPr>
          <w:bCs/>
          <w:sz w:val="24"/>
          <w:szCs w:val="24"/>
        </w:rPr>
      </w:pPr>
      <w:r w:rsidRPr="001D2323">
        <w:rPr>
          <w:bCs/>
          <w:sz w:val="24"/>
          <w:szCs w:val="24"/>
        </w:rPr>
        <w:t>$4</w:t>
      </w:r>
      <w:r w:rsidR="00C22E0D">
        <w:rPr>
          <w:bCs/>
          <w:sz w:val="24"/>
          <w:szCs w:val="24"/>
        </w:rPr>
        <w:t>4</w:t>
      </w:r>
      <w:r w:rsidRPr="001D2323">
        <w:rPr>
          <w:bCs/>
          <w:sz w:val="24"/>
          <w:szCs w:val="24"/>
        </w:rPr>
        <w:t>.</w:t>
      </w:r>
      <w:r w:rsidR="00C22E0D">
        <w:rPr>
          <w:bCs/>
          <w:sz w:val="24"/>
          <w:szCs w:val="24"/>
        </w:rPr>
        <w:t>96</w:t>
      </w:r>
      <w:r w:rsidRPr="001D2323">
        <w:rPr>
          <w:bCs/>
          <w:sz w:val="24"/>
          <w:szCs w:val="24"/>
        </w:rPr>
        <w:t xml:space="preserve"> [mean hourly wage] x 1.4 [benefits cost factor] = $</w:t>
      </w:r>
      <w:r w:rsidR="00C22E0D">
        <w:rPr>
          <w:bCs/>
          <w:sz w:val="24"/>
          <w:szCs w:val="24"/>
        </w:rPr>
        <w:t>62.95</w:t>
      </w:r>
      <w:r w:rsidRPr="001D2323">
        <w:rPr>
          <w:bCs/>
          <w:sz w:val="24"/>
          <w:szCs w:val="24"/>
        </w:rPr>
        <w:t xml:space="preserve"> [rounded to $</w:t>
      </w:r>
      <w:r w:rsidR="00C22E0D">
        <w:rPr>
          <w:bCs/>
          <w:sz w:val="24"/>
          <w:szCs w:val="24"/>
        </w:rPr>
        <w:t>63</w:t>
      </w:r>
      <w:r w:rsidRPr="001D2323">
        <w:rPr>
          <w:bCs/>
          <w:sz w:val="24"/>
          <w:szCs w:val="24"/>
        </w:rPr>
        <w:t>/hr.]</w:t>
      </w:r>
    </w:p>
    <w:p w:rsidR="001D2323" w:rsidRPr="001D2323" w:rsidP="001D2323" w14:paraId="72FF56EA" w14:textId="77777777">
      <w:pPr>
        <w:widowControl w:val="0"/>
        <w:tabs>
          <w:tab w:val="left" w:pos="-1080"/>
          <w:tab w:val="left" w:pos="-720"/>
          <w:tab w:val="left" w:pos="360"/>
          <w:tab w:val="left" w:pos="810"/>
        </w:tabs>
        <w:rPr>
          <w:bCs/>
          <w:sz w:val="24"/>
          <w:szCs w:val="24"/>
        </w:rPr>
      </w:pPr>
    </w:p>
    <w:p w:rsidR="001D2323" w:rsidRPr="001D2323" w:rsidP="001D2323" w14:paraId="48B63B6E" w14:textId="17463119">
      <w:pPr>
        <w:widowControl w:val="0"/>
        <w:tabs>
          <w:tab w:val="left" w:pos="-1080"/>
          <w:tab w:val="left" w:pos="-720"/>
          <w:tab w:val="left" w:pos="360"/>
          <w:tab w:val="left" w:pos="810"/>
        </w:tabs>
        <w:rPr>
          <w:bCs/>
          <w:sz w:val="24"/>
          <w:szCs w:val="24"/>
        </w:rPr>
      </w:pPr>
      <w:r>
        <w:rPr>
          <w:bCs/>
          <w:sz w:val="24"/>
          <w:szCs w:val="24"/>
        </w:rPr>
        <w:t>ONRR</w:t>
      </w:r>
      <w:r w:rsidRPr="001D2323">
        <w:rPr>
          <w:bCs/>
          <w:sz w:val="24"/>
          <w:szCs w:val="24"/>
        </w:rPr>
        <w:t xml:space="preserve"> estimate the total annual cost to industry is </w:t>
      </w:r>
      <w:r w:rsidR="005A4D51">
        <w:rPr>
          <w:bCs/>
          <w:sz w:val="24"/>
          <w:szCs w:val="24"/>
        </w:rPr>
        <w:t>$</w:t>
      </w:r>
      <w:r w:rsidR="00C85D1C">
        <w:rPr>
          <w:bCs/>
          <w:sz w:val="24"/>
          <w:szCs w:val="24"/>
        </w:rPr>
        <w:t>5</w:t>
      </w:r>
      <w:r w:rsidR="005A4D51">
        <w:rPr>
          <w:bCs/>
          <w:sz w:val="24"/>
          <w:szCs w:val="24"/>
        </w:rPr>
        <w:t>,</w:t>
      </w:r>
      <w:r w:rsidR="00C85D1C">
        <w:rPr>
          <w:bCs/>
          <w:sz w:val="24"/>
          <w:szCs w:val="24"/>
        </w:rPr>
        <w:t>040</w:t>
      </w:r>
      <w:r w:rsidRPr="001D2323">
        <w:rPr>
          <w:bCs/>
          <w:sz w:val="24"/>
          <w:szCs w:val="24"/>
        </w:rPr>
        <w:t xml:space="preserve"> as follows:</w:t>
      </w:r>
    </w:p>
    <w:p w:rsidR="001D2323" w:rsidRPr="001D2323" w:rsidP="001D2323" w14:paraId="1212BE82" w14:textId="77777777">
      <w:pPr>
        <w:widowControl w:val="0"/>
        <w:tabs>
          <w:tab w:val="left" w:pos="-1080"/>
          <w:tab w:val="left" w:pos="-720"/>
          <w:tab w:val="left" w:pos="360"/>
          <w:tab w:val="left" w:pos="810"/>
        </w:tabs>
        <w:rPr>
          <w:bCs/>
          <w:sz w:val="24"/>
          <w:szCs w:val="24"/>
        </w:rPr>
      </w:pPr>
    </w:p>
    <w:p w:rsidR="00C94F99" w:rsidP="40965E4B" w14:paraId="33937DEE" w14:textId="173FE689">
      <w:pPr>
        <w:widowControl w:val="0"/>
        <w:tabs>
          <w:tab w:val="left" w:pos="360"/>
          <w:tab w:val="left" w:pos="810"/>
        </w:tabs>
        <w:rPr>
          <w:bCs/>
          <w:sz w:val="24"/>
          <w:szCs w:val="24"/>
        </w:rPr>
      </w:pPr>
      <w:r>
        <w:rPr>
          <w:bCs/>
          <w:sz w:val="24"/>
          <w:szCs w:val="24"/>
        </w:rPr>
        <w:t>80</w:t>
      </w:r>
      <w:r w:rsidRPr="001D2323">
        <w:rPr>
          <w:bCs/>
          <w:sz w:val="24"/>
          <w:szCs w:val="24"/>
        </w:rPr>
        <w:t xml:space="preserve"> hours [reporting hours] x $</w:t>
      </w:r>
      <w:r w:rsidR="00C22E0D">
        <w:rPr>
          <w:bCs/>
          <w:sz w:val="24"/>
          <w:szCs w:val="24"/>
        </w:rPr>
        <w:t>63</w:t>
      </w:r>
      <w:r w:rsidRPr="001D2323">
        <w:rPr>
          <w:bCs/>
          <w:sz w:val="24"/>
          <w:szCs w:val="24"/>
        </w:rPr>
        <w:t xml:space="preserve"> [for industry accountants] = $</w:t>
      </w:r>
      <w:bookmarkEnd w:id="3"/>
      <w:bookmarkEnd w:id="4"/>
      <w:r>
        <w:rPr>
          <w:bCs/>
          <w:sz w:val="24"/>
          <w:szCs w:val="24"/>
        </w:rPr>
        <w:t>5</w:t>
      </w:r>
      <w:r w:rsidRPr="40965E4B" w:rsidR="3FDF2F3A">
        <w:rPr>
          <w:sz w:val="24"/>
          <w:szCs w:val="24"/>
        </w:rPr>
        <w:t>,</w:t>
      </w:r>
      <w:r>
        <w:rPr>
          <w:sz w:val="24"/>
          <w:szCs w:val="24"/>
        </w:rPr>
        <w:t>040</w:t>
      </w:r>
      <w:r>
        <w:rPr>
          <w:bCs/>
          <w:sz w:val="24"/>
          <w:szCs w:val="24"/>
        </w:rPr>
        <w:t>.</w:t>
      </w:r>
    </w:p>
    <w:p w:rsidR="00C94F99" w:rsidP="001D2323" w14:paraId="51A5DBEE" w14:textId="62F308CF">
      <w:pPr>
        <w:widowControl w:val="0"/>
        <w:tabs>
          <w:tab w:val="left" w:pos="-1080"/>
          <w:tab w:val="left" w:pos="-720"/>
          <w:tab w:val="left" w:pos="360"/>
          <w:tab w:val="left" w:pos="810"/>
        </w:tabs>
        <w:rPr>
          <w:bCs/>
          <w:sz w:val="24"/>
          <w:szCs w:val="24"/>
        </w:rPr>
      </w:pPr>
    </w:p>
    <w:p w:rsidR="001D2323" w:rsidRPr="00472E7F" w:rsidP="40965E4B" w14:paraId="03E87CD2" w14:textId="07A54127">
      <w:pPr>
        <w:widowControl w:val="0"/>
        <w:tabs>
          <w:tab w:val="left" w:pos="360"/>
          <w:tab w:val="left" w:pos="810"/>
        </w:tabs>
        <w:spacing w:line="480" w:lineRule="auto"/>
        <w:rPr>
          <w:bCs/>
          <w:sz w:val="24"/>
          <w:szCs w:val="24"/>
        </w:rPr>
      </w:pPr>
      <w:r w:rsidRPr="006E4473">
        <w:rPr>
          <w:color w:val="000000" w:themeColor="text1"/>
          <w:sz w:val="24"/>
          <w:szCs w:val="24"/>
        </w:rPr>
        <w:t xml:space="preserve">The average completion time is </w:t>
      </w:r>
      <w:r w:rsidR="00842FB0">
        <w:rPr>
          <w:color w:val="000000" w:themeColor="text1"/>
          <w:sz w:val="24"/>
          <w:szCs w:val="24"/>
        </w:rPr>
        <w:t>8</w:t>
      </w:r>
      <w:r w:rsidRPr="006E4473">
        <w:rPr>
          <w:color w:val="000000" w:themeColor="text1"/>
          <w:sz w:val="24"/>
          <w:szCs w:val="24"/>
        </w:rPr>
        <w:t xml:space="preserve"> hours per response. The average completion time is calculated by dividing the total estimated burden hours (</w:t>
      </w:r>
      <w:r w:rsidR="0091194E">
        <w:rPr>
          <w:color w:val="000000" w:themeColor="text1"/>
          <w:sz w:val="24"/>
          <w:szCs w:val="24"/>
        </w:rPr>
        <w:t>80</w:t>
      </w:r>
      <w:r w:rsidRPr="006E4473">
        <w:rPr>
          <w:color w:val="000000" w:themeColor="text1"/>
          <w:sz w:val="24"/>
          <w:szCs w:val="24"/>
        </w:rPr>
        <w:t>) by the estimated annual responses (</w:t>
      </w:r>
      <w:r w:rsidR="0091194E">
        <w:rPr>
          <w:color w:val="000000" w:themeColor="text1"/>
          <w:sz w:val="24"/>
          <w:szCs w:val="24"/>
        </w:rPr>
        <w:t>10</w:t>
      </w:r>
      <w:r w:rsidRPr="006E4473">
        <w:rPr>
          <w:color w:val="000000" w:themeColor="text1"/>
          <w:sz w:val="24"/>
          <w:szCs w:val="24"/>
        </w:rPr>
        <w:t>).</w:t>
      </w:r>
      <w:r w:rsidRPr="006E4473">
        <w:rPr>
          <w:sz w:val="24"/>
          <w:szCs w:val="24"/>
        </w:rPr>
        <w:t xml:space="preserve"> </w:t>
      </w:r>
      <w:r w:rsidRPr="001D2323">
        <w:rPr>
          <w:bCs/>
          <w:sz w:val="24"/>
          <w:szCs w:val="24"/>
        </w:rPr>
        <w:t xml:space="preserve">The </w:t>
      </w:r>
      <w:r w:rsidRPr="001D2323">
        <w:rPr>
          <w:bCs/>
          <w:sz w:val="24"/>
          <w:szCs w:val="24"/>
        </w:rPr>
        <w:t>following chart shows the estimated burden hours by CFR section and paragraph:</w:t>
      </w:r>
    </w:p>
    <w:p w:rsidR="001D2323" w:rsidP="008A263D" w14:paraId="3F31E875" w14:textId="77777777">
      <w:pPr>
        <w:widowControl w:val="0"/>
        <w:tabs>
          <w:tab w:val="left" w:pos="-1080"/>
          <w:tab w:val="left" w:pos="-720"/>
          <w:tab w:val="left" w:pos="360"/>
          <w:tab w:val="left" w:pos="810"/>
        </w:tabs>
        <w:jc w:val="center"/>
        <w:rPr>
          <w:b/>
          <w:sz w:val="24"/>
          <w:szCs w:val="24"/>
        </w:rPr>
      </w:pPr>
    </w:p>
    <w:p w:rsidR="00DE0977" w:rsidRPr="001D2323" w:rsidP="00DE0977" w14:paraId="26F52B73" w14:textId="77777777">
      <w:pPr>
        <w:jc w:val="center"/>
        <w:rPr>
          <w:b/>
          <w:sz w:val="24"/>
          <w:szCs w:val="24"/>
        </w:rPr>
      </w:pPr>
      <w:r w:rsidRPr="001D2323">
        <w:rPr>
          <w:b/>
          <w:sz w:val="24"/>
          <w:szCs w:val="24"/>
        </w:rPr>
        <w:t>Respondents’ Estimated Annual Burden Hours</w:t>
      </w:r>
    </w:p>
    <w:p w:rsidR="00DE0977" w:rsidP="00DE0977" w14:paraId="2690AFE6" w14:textId="77777777">
      <w:pPr>
        <w:tabs>
          <w:tab w:val="left" w:pos="-1080"/>
          <w:tab w:val="left" w:pos="-720"/>
          <w:tab w:val="left" w:pos="360"/>
          <w:tab w:val="left" w:pos="810"/>
        </w:tabs>
        <w:rPr>
          <w:b/>
          <w:i/>
        </w:rPr>
      </w:pPr>
    </w:p>
    <w:tbl>
      <w:tblPr>
        <w:tblW w:w="8245" w:type="dxa"/>
        <w:tblInd w:w="2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120" w:type="dxa"/>
          <w:right w:w="120" w:type="dxa"/>
        </w:tblCellMar>
        <w:tblLook w:val="00A0"/>
      </w:tblPr>
      <w:tblGrid>
        <w:gridCol w:w="1404"/>
        <w:gridCol w:w="2521"/>
        <w:gridCol w:w="990"/>
        <w:gridCol w:w="1350"/>
        <w:gridCol w:w="1980"/>
      </w:tblGrid>
      <w:tr w14:paraId="76AFC1F1" w14:textId="77777777" w:rsidTr="00ED76AB">
        <w:tblPrEx>
          <w:tblW w:w="8245" w:type="dxa"/>
          <w:tblInd w:w="2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120" w:type="dxa"/>
            <w:right w:w="120" w:type="dxa"/>
          </w:tblCellMar>
          <w:tblLook w:val="00A0"/>
        </w:tblPrEx>
        <w:trPr>
          <w:cantSplit/>
          <w:trHeight w:val="300"/>
          <w:tblHeader/>
        </w:trPr>
        <w:tc>
          <w:tcPr>
            <w:tcW w:w="1404" w:type="dxa"/>
            <w:tcBorders>
              <w:top w:val="single" w:sz="4" w:space="0" w:color="auto"/>
              <w:left w:val="single" w:sz="4" w:space="0" w:color="auto"/>
              <w:bottom w:val="single" w:sz="4" w:space="0" w:color="auto"/>
            </w:tcBorders>
            <w:vAlign w:val="center"/>
          </w:tcPr>
          <w:p w:rsidR="00DE0977" w:rsidRPr="009930F3" w:rsidP="001407F1" w14:paraId="17B8CB38"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Citation 30 CFR</w:t>
            </w:r>
          </w:p>
        </w:tc>
        <w:tc>
          <w:tcPr>
            <w:tcW w:w="2521" w:type="dxa"/>
            <w:tcBorders>
              <w:top w:val="single" w:sz="4" w:space="0" w:color="auto"/>
              <w:bottom w:val="single" w:sz="4" w:space="0" w:color="auto"/>
            </w:tcBorders>
            <w:vAlign w:val="center"/>
          </w:tcPr>
          <w:p w:rsidR="00DE0977" w:rsidRPr="009930F3" w:rsidP="001407F1" w14:paraId="2758F3D2"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Reporting and Recordkeeping Requirement</w:t>
            </w:r>
          </w:p>
        </w:tc>
        <w:tc>
          <w:tcPr>
            <w:tcW w:w="990" w:type="dxa"/>
            <w:tcBorders>
              <w:top w:val="single" w:sz="4" w:space="0" w:color="auto"/>
              <w:bottom w:val="single" w:sz="4" w:space="0" w:color="auto"/>
            </w:tcBorders>
            <w:vAlign w:val="center"/>
          </w:tcPr>
          <w:p w:rsidR="00DE0977" w:rsidRPr="009930F3" w:rsidP="001407F1" w14:paraId="1A8E75EA"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Hour Burden</w:t>
            </w:r>
          </w:p>
        </w:tc>
        <w:tc>
          <w:tcPr>
            <w:tcW w:w="1350" w:type="dxa"/>
            <w:tcBorders>
              <w:top w:val="single" w:sz="4" w:space="0" w:color="auto"/>
              <w:bottom w:val="single" w:sz="4" w:space="0" w:color="auto"/>
            </w:tcBorders>
            <w:vAlign w:val="center"/>
          </w:tcPr>
          <w:p w:rsidR="00DE0977" w:rsidRPr="009930F3" w:rsidP="001407F1" w14:paraId="664E5571" w14:textId="77777777">
            <w:pPr>
              <w:tabs>
                <w:tab w:val="left" w:pos="-1080"/>
                <w:tab w:val="left" w:pos="-720"/>
                <w:tab w:val="left" w:pos="0"/>
                <w:tab w:val="left" w:pos="450"/>
                <w:tab w:val="left" w:pos="900"/>
                <w:tab w:val="left" w:pos="1350"/>
                <w:tab w:val="left" w:pos="1800"/>
                <w:tab w:val="left" w:pos="2880"/>
              </w:tabs>
              <w:jc w:val="center"/>
              <w:rPr>
                <w:rFonts w:ascii="Arial" w:hAnsi="Arial" w:cs="Arial"/>
                <w:b/>
              </w:rPr>
            </w:pPr>
            <w:r w:rsidRPr="009930F3">
              <w:rPr>
                <w:rFonts w:ascii="Arial" w:hAnsi="Arial" w:cs="Arial"/>
                <w:b/>
              </w:rPr>
              <w:t>Average No. Annual Responses</w:t>
            </w:r>
          </w:p>
        </w:tc>
        <w:tc>
          <w:tcPr>
            <w:tcW w:w="1980" w:type="dxa"/>
            <w:tcBorders>
              <w:top w:val="single" w:sz="4" w:space="0" w:color="auto"/>
              <w:bottom w:val="single" w:sz="4" w:space="0" w:color="auto"/>
              <w:right w:val="single" w:sz="4" w:space="0" w:color="auto"/>
            </w:tcBorders>
            <w:vAlign w:val="center"/>
          </w:tcPr>
          <w:p w:rsidR="00DE0977" w:rsidRPr="009930F3" w:rsidP="001407F1" w14:paraId="6630BC2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9930F3">
              <w:rPr>
                <w:rFonts w:ascii="Arial" w:hAnsi="Arial" w:cs="Arial"/>
                <w:b/>
              </w:rPr>
              <w:t>Annual Burden Hours</w:t>
            </w:r>
          </w:p>
        </w:tc>
      </w:tr>
      <w:tr w14:paraId="67E65A3B" w14:textId="77777777" w:rsidTr="00ED76AB">
        <w:tblPrEx>
          <w:tblW w:w="8245" w:type="dxa"/>
          <w:tblInd w:w="210" w:type="dxa"/>
          <w:tblLayout w:type="fixed"/>
          <w:tblCellMar>
            <w:left w:w="120" w:type="dxa"/>
            <w:right w:w="120" w:type="dxa"/>
          </w:tblCellMar>
          <w:tblLook w:val="00A0"/>
        </w:tblPrEx>
        <w:trPr>
          <w:cantSplit/>
          <w:trHeight w:val="300"/>
        </w:trPr>
        <w:tc>
          <w:tcPr>
            <w:tcW w:w="8245" w:type="dxa"/>
            <w:gridSpan w:val="5"/>
            <w:tcBorders>
              <w:top w:val="single" w:sz="4" w:space="0" w:color="auto"/>
              <w:left w:val="single" w:sz="4" w:space="0" w:color="auto"/>
              <w:bottom w:val="single" w:sz="4" w:space="0" w:color="auto"/>
              <w:right w:val="single" w:sz="4" w:space="0" w:color="auto"/>
            </w:tcBorders>
          </w:tcPr>
          <w:p w:rsidR="00DE0977" w:rsidRPr="00BC5D17" w:rsidP="001407F1" w14:paraId="28849CF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rPr>
            </w:pPr>
            <w:r w:rsidRPr="00BC5D17">
              <w:rPr>
                <w:rFonts w:ascii="Arial" w:hAnsi="Arial" w:cs="Arial"/>
                <w:b/>
                <w:i/>
              </w:rPr>
              <w:t>Part 1206—Product Valuation</w:t>
            </w:r>
          </w:p>
          <w:p w:rsidR="00DE0977" w:rsidRPr="00BC5D17" w:rsidP="005F366B" w14:paraId="0285F3CB" w14:textId="6D830C8A">
            <w:pPr>
              <w:tabs>
                <w:tab w:val="left" w:pos="-1080"/>
                <w:tab w:val="left" w:pos="-720"/>
                <w:tab w:val="left" w:pos="0"/>
                <w:tab w:val="left" w:pos="432"/>
                <w:tab w:val="left" w:pos="900"/>
                <w:tab w:val="left" w:pos="1260"/>
                <w:tab w:val="left" w:pos="1728"/>
                <w:tab w:val="left" w:pos="2160"/>
                <w:tab w:val="left" w:pos="2592"/>
                <w:tab w:val="left" w:pos="2940"/>
                <w:tab w:val="left" w:pos="3024"/>
                <w:tab w:val="left" w:pos="3600"/>
                <w:tab w:val="left" w:pos="4000"/>
                <w:tab w:val="center" w:pos="4245"/>
                <w:tab w:val="left" w:pos="4320"/>
                <w:tab w:val="left" w:pos="4752"/>
                <w:tab w:val="left" w:pos="5184"/>
                <w:tab w:val="left" w:pos="10295"/>
              </w:tabs>
              <w:jc w:val="center"/>
              <w:rPr>
                <w:rFonts w:ascii="Arial" w:hAnsi="Arial" w:cs="Arial"/>
                <w:i/>
              </w:rPr>
            </w:pPr>
            <w:r w:rsidRPr="00BC5D17">
              <w:rPr>
                <w:rFonts w:ascii="Arial" w:hAnsi="Arial" w:cs="Arial"/>
                <w:b/>
                <w:i/>
              </w:rPr>
              <w:t>Subpart F—Federal Coal</w:t>
            </w:r>
          </w:p>
        </w:tc>
      </w:tr>
      <w:tr w14:paraId="5FD19C3A" w14:textId="77777777" w:rsidTr="00ED76AB">
        <w:tblPrEx>
          <w:tblW w:w="8245" w:type="dxa"/>
          <w:tblInd w:w="210" w:type="dxa"/>
          <w:tblLayout w:type="fixed"/>
          <w:tblCellMar>
            <w:left w:w="120" w:type="dxa"/>
            <w:right w:w="120" w:type="dxa"/>
          </w:tblCellMar>
          <w:tblLook w:val="00A0"/>
        </w:tblPrEx>
        <w:trPr>
          <w:cantSplit/>
          <w:trHeight w:val="1196"/>
        </w:trPr>
        <w:tc>
          <w:tcPr>
            <w:tcW w:w="1404" w:type="dxa"/>
            <w:tcBorders>
              <w:top w:val="single" w:sz="4" w:space="0" w:color="auto"/>
              <w:left w:val="single" w:sz="6" w:space="0" w:color="000000" w:themeColor="text1"/>
              <w:bottom w:val="single" w:sz="4" w:space="0" w:color="auto"/>
            </w:tcBorders>
          </w:tcPr>
          <w:p w:rsidR="002764F7" w:rsidRPr="00BC5D17" w:rsidP="00781782" w14:paraId="5D0F7941" w14:textId="77777777">
            <w:pPr>
              <w:rPr>
                <w:rFonts w:ascii="Arial" w:hAnsi="Arial" w:cs="Arial"/>
              </w:rPr>
            </w:pPr>
            <w:r w:rsidRPr="00BC5D17">
              <w:rPr>
                <w:rFonts w:ascii="Arial" w:hAnsi="Arial" w:cs="Arial"/>
              </w:rPr>
              <w:t>1206.259 (b)(2)(v)(D)</w:t>
            </w:r>
          </w:p>
          <w:p w:rsidR="00DE0977" w:rsidRPr="00BC5D17" w:rsidP="001407F1" w14:paraId="6915B0DD" w14:textId="2A66C03F">
            <w:pPr>
              <w:tabs>
                <w:tab w:val="left" w:pos="-1080"/>
                <w:tab w:val="left" w:pos="-720"/>
                <w:tab w:val="left" w:pos="0"/>
                <w:tab w:val="left" w:pos="450"/>
                <w:tab w:val="left" w:pos="900"/>
                <w:tab w:val="left" w:pos="1350"/>
                <w:tab w:val="left" w:pos="1800"/>
                <w:tab w:val="left" w:pos="2880"/>
              </w:tabs>
              <w:rPr>
                <w:rFonts w:ascii="Arial" w:hAnsi="Arial" w:cs="Arial"/>
              </w:rPr>
            </w:pPr>
          </w:p>
        </w:tc>
        <w:tc>
          <w:tcPr>
            <w:tcW w:w="2521" w:type="dxa"/>
            <w:tcBorders>
              <w:top w:val="single" w:sz="4" w:space="0" w:color="auto"/>
            </w:tcBorders>
          </w:tcPr>
          <w:p w:rsidR="00DE0977" w:rsidRPr="00BC5D17" w:rsidP="001407F1" w14:paraId="002EEB6D" w14:textId="35AB9179">
            <w:pPr>
              <w:keepNext/>
              <w:keepLines/>
              <w:tabs>
                <w:tab w:val="left" w:pos="-1080"/>
                <w:tab w:val="left" w:pos="-720"/>
                <w:tab w:val="left" w:pos="0"/>
                <w:tab w:val="left" w:pos="450"/>
                <w:tab w:val="left" w:pos="900"/>
                <w:tab w:val="left" w:pos="1350"/>
                <w:tab w:val="left" w:pos="1800"/>
                <w:tab w:val="left" w:pos="2880"/>
              </w:tabs>
              <w:rPr>
                <w:rFonts w:ascii="Arial" w:hAnsi="Arial" w:cs="Arial"/>
              </w:rPr>
            </w:pPr>
            <w:r w:rsidRPr="00BC5D17">
              <w:rPr>
                <w:rFonts w:ascii="Arial" w:hAnsi="Arial" w:cs="Arial"/>
              </w:rPr>
              <w:t>Propose a deprecation schedule for in service fixed assets related to wash plant.</w:t>
            </w:r>
          </w:p>
        </w:tc>
        <w:tc>
          <w:tcPr>
            <w:tcW w:w="990" w:type="dxa"/>
            <w:tcBorders>
              <w:top w:val="single" w:sz="4" w:space="0" w:color="auto"/>
            </w:tcBorders>
          </w:tcPr>
          <w:p w:rsidR="00DE0977" w:rsidRPr="00BC5D17" w:rsidP="001407F1" w14:paraId="230A5F9C" w14:textId="0B312EA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BC5D17">
              <w:rPr>
                <w:rFonts w:ascii="Arial" w:hAnsi="Arial" w:cs="Arial"/>
              </w:rPr>
              <w:t>8</w:t>
            </w:r>
          </w:p>
        </w:tc>
        <w:tc>
          <w:tcPr>
            <w:tcW w:w="1350" w:type="dxa"/>
            <w:tcBorders>
              <w:top w:val="single" w:sz="4" w:space="0" w:color="auto"/>
            </w:tcBorders>
          </w:tcPr>
          <w:p w:rsidR="00DE0977" w:rsidRPr="00BC5D17" w:rsidP="001407F1" w14:paraId="6002A130" w14:textId="78D6977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BC5D17">
              <w:rPr>
                <w:rFonts w:ascii="Arial" w:hAnsi="Arial" w:cs="Arial"/>
              </w:rPr>
              <w:t>5</w:t>
            </w:r>
          </w:p>
        </w:tc>
        <w:tc>
          <w:tcPr>
            <w:tcW w:w="1980" w:type="dxa"/>
            <w:tcBorders>
              <w:top w:val="single" w:sz="4" w:space="0" w:color="auto"/>
              <w:bottom w:val="single" w:sz="4" w:space="0" w:color="auto"/>
              <w:right w:val="single" w:sz="6" w:space="0" w:color="000000" w:themeColor="text1"/>
            </w:tcBorders>
          </w:tcPr>
          <w:p w:rsidR="00DE0977" w:rsidRPr="00BC5D17" w:rsidP="001407F1" w14:paraId="5FEE9B88" w14:textId="5B7D031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BC5D17">
              <w:rPr>
                <w:rFonts w:ascii="Arial" w:hAnsi="Arial" w:cs="Arial"/>
              </w:rPr>
              <w:t>40</w:t>
            </w:r>
          </w:p>
        </w:tc>
      </w:tr>
      <w:tr w14:paraId="31CBDD78" w14:textId="77777777" w:rsidTr="00ED76AB">
        <w:tblPrEx>
          <w:tblW w:w="8245" w:type="dxa"/>
          <w:tblInd w:w="210" w:type="dxa"/>
          <w:tblLayout w:type="fixed"/>
          <w:tblCellMar>
            <w:left w:w="120" w:type="dxa"/>
            <w:right w:w="120" w:type="dxa"/>
          </w:tblCellMar>
          <w:tblLook w:val="00A0"/>
        </w:tblPrEx>
        <w:trPr>
          <w:cantSplit/>
          <w:trHeight w:val="1439"/>
        </w:trPr>
        <w:tc>
          <w:tcPr>
            <w:tcW w:w="1404" w:type="dxa"/>
            <w:tcBorders>
              <w:top w:val="single" w:sz="4" w:space="0" w:color="auto"/>
              <w:left w:val="single" w:sz="4" w:space="0" w:color="auto"/>
              <w:bottom w:val="single" w:sz="4" w:space="0" w:color="auto"/>
              <w:right w:val="single" w:sz="4" w:space="0" w:color="auto"/>
            </w:tcBorders>
          </w:tcPr>
          <w:p w:rsidR="002764F7" w:rsidRPr="00BC5D17" w:rsidP="00781782" w14:paraId="0544166F" w14:textId="77777777">
            <w:pPr>
              <w:tabs>
                <w:tab w:val="left" w:pos="-1080"/>
                <w:tab w:val="left" w:pos="-720"/>
                <w:tab w:val="left" w:pos="0"/>
                <w:tab w:val="left" w:pos="450"/>
                <w:tab w:val="left" w:pos="900"/>
                <w:tab w:val="left" w:pos="1350"/>
                <w:tab w:val="left" w:pos="1800"/>
                <w:tab w:val="left" w:pos="2880"/>
              </w:tabs>
              <w:rPr>
                <w:rFonts w:ascii="Arial" w:hAnsi="Arial" w:cs="Arial"/>
              </w:rPr>
            </w:pPr>
            <w:r w:rsidRPr="00BC5D17">
              <w:rPr>
                <w:rFonts w:ascii="Arial" w:hAnsi="Arial" w:cs="Arial"/>
              </w:rPr>
              <w:t>1206.262</w:t>
            </w:r>
          </w:p>
          <w:p w:rsidR="00DE0977" w:rsidRPr="00BC5D17" w:rsidP="001407F1" w14:paraId="066EE11A" w14:textId="201D4D82">
            <w:pPr>
              <w:tabs>
                <w:tab w:val="left" w:pos="-1080"/>
                <w:tab w:val="left" w:pos="-720"/>
                <w:tab w:val="left" w:pos="0"/>
                <w:tab w:val="left" w:pos="450"/>
                <w:tab w:val="left" w:pos="900"/>
                <w:tab w:val="left" w:pos="1350"/>
                <w:tab w:val="left" w:pos="1800"/>
                <w:tab w:val="left" w:pos="2880"/>
              </w:tabs>
              <w:rPr>
                <w:rFonts w:ascii="Arial" w:hAnsi="Arial" w:cs="Arial"/>
              </w:rPr>
            </w:pPr>
            <w:r w:rsidRPr="00BC5D17">
              <w:rPr>
                <w:rFonts w:ascii="Arial" w:hAnsi="Arial" w:cs="Arial"/>
              </w:rPr>
              <w:t>(a)(1) and (a)(3)</w:t>
            </w:r>
          </w:p>
        </w:tc>
        <w:tc>
          <w:tcPr>
            <w:tcW w:w="2521" w:type="dxa"/>
            <w:tcBorders>
              <w:top w:val="single" w:sz="6" w:space="0" w:color="000000" w:themeColor="text1"/>
              <w:left w:val="single" w:sz="4" w:space="0" w:color="auto"/>
              <w:bottom w:val="single" w:sz="6" w:space="0" w:color="000000" w:themeColor="text1"/>
            </w:tcBorders>
          </w:tcPr>
          <w:p w:rsidR="00DE0977" w:rsidRPr="00BC5D17" w:rsidP="001407F1" w14:paraId="66BE577E" w14:textId="0B91F305">
            <w:pPr>
              <w:tabs>
                <w:tab w:val="left" w:pos="-1080"/>
                <w:tab w:val="left" w:pos="-720"/>
                <w:tab w:val="left" w:pos="0"/>
                <w:tab w:val="left" w:pos="450"/>
                <w:tab w:val="left" w:pos="900"/>
                <w:tab w:val="left" w:pos="1350"/>
                <w:tab w:val="left" w:pos="1800"/>
                <w:tab w:val="left" w:pos="2880"/>
              </w:tabs>
              <w:rPr>
                <w:rFonts w:ascii="Arial" w:hAnsi="Arial" w:cs="Arial"/>
              </w:rPr>
            </w:pPr>
            <w:r w:rsidRPr="00BC5D17">
              <w:rPr>
                <w:rFonts w:ascii="Arial" w:hAnsi="Arial" w:cs="Arial"/>
              </w:rPr>
              <w:t>Demonstrate that your contract is arm’s length. Provide written information justifying your transportation costs when ONRR determines the costs are unreasonable.</w:t>
            </w:r>
          </w:p>
        </w:tc>
        <w:tc>
          <w:tcPr>
            <w:tcW w:w="4320" w:type="dxa"/>
            <w:gridSpan w:val="3"/>
            <w:tcBorders>
              <w:top w:val="single" w:sz="6" w:space="0" w:color="000000" w:themeColor="text1"/>
              <w:bottom w:val="single" w:sz="6" w:space="0" w:color="000000" w:themeColor="text1"/>
              <w:right w:val="single" w:sz="6" w:space="0" w:color="000000" w:themeColor="text1"/>
            </w:tcBorders>
          </w:tcPr>
          <w:p w:rsidR="00DE0977" w:rsidRPr="00BC5D17" w:rsidP="001407F1" w14:paraId="498FEEE0" w14:textId="7924B59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BC5D17">
              <w:rPr>
                <w:rFonts w:ascii="Arial" w:hAnsi="Arial" w:cs="Arial"/>
              </w:rPr>
              <w:t xml:space="preserve">All other hour burden with respect to solid minerals covered under OMB Control Number 1012-0010. </w:t>
            </w:r>
          </w:p>
        </w:tc>
      </w:tr>
      <w:tr w14:paraId="6A4B0CA2" w14:textId="77777777">
        <w:tblPrEx>
          <w:tblW w:w="8245" w:type="dxa"/>
          <w:tblInd w:w="210" w:type="dxa"/>
          <w:tblLayout w:type="fixed"/>
          <w:tblCellMar>
            <w:left w:w="120" w:type="dxa"/>
            <w:right w:w="120" w:type="dxa"/>
          </w:tblCellMar>
          <w:tblLook w:val="00A0"/>
        </w:tblPrEx>
        <w:trPr>
          <w:cantSplit/>
          <w:trHeight w:val="530"/>
        </w:trPr>
        <w:tc>
          <w:tcPr>
            <w:tcW w:w="1404" w:type="dxa"/>
            <w:tcBorders>
              <w:top w:val="single" w:sz="4" w:space="0" w:color="auto"/>
              <w:left w:val="single" w:sz="6" w:space="0" w:color="000000" w:themeColor="text1"/>
              <w:bottom w:val="single" w:sz="4" w:space="0" w:color="auto"/>
            </w:tcBorders>
          </w:tcPr>
          <w:p w:rsidR="00991098" w:rsidRPr="009930F3" w:rsidP="001407F1" w14:paraId="5F74151E" w14:textId="2754BA00">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1206.262</w:t>
            </w:r>
            <w:r w:rsidR="00D81F4C">
              <w:rPr>
                <w:rFonts w:ascii="Arial" w:hAnsi="Arial" w:cs="Arial"/>
              </w:rPr>
              <w:t xml:space="preserve"> </w:t>
            </w:r>
            <w:r w:rsidRPr="00440328" w:rsidR="00D81F4C">
              <w:rPr>
                <w:rFonts w:ascii="Arial" w:hAnsi="Arial" w:cs="Arial"/>
                <w:i/>
                <w:iCs/>
              </w:rPr>
              <w:t>e</w:t>
            </w:r>
            <w:r w:rsidRPr="00440328" w:rsidR="00440328">
              <w:rPr>
                <w:rFonts w:ascii="Arial" w:hAnsi="Arial" w:cs="Arial"/>
                <w:i/>
                <w:iCs/>
              </w:rPr>
              <w:t>t seq.</w:t>
            </w:r>
          </w:p>
        </w:tc>
        <w:tc>
          <w:tcPr>
            <w:tcW w:w="2521" w:type="dxa"/>
            <w:tcBorders>
              <w:top w:val="single" w:sz="6" w:space="0" w:color="000000" w:themeColor="text1"/>
              <w:bottom w:val="single" w:sz="4" w:space="0" w:color="auto"/>
            </w:tcBorders>
          </w:tcPr>
          <w:p w:rsidR="00991098" w:rsidRPr="009930F3" w:rsidP="001407F1" w14:paraId="035B0162" w14:textId="15CAE303">
            <w:pPr>
              <w:tabs>
                <w:tab w:val="left" w:pos="-1080"/>
                <w:tab w:val="left" w:pos="-720"/>
                <w:tab w:val="left" w:pos="0"/>
                <w:tab w:val="left" w:pos="450"/>
                <w:tab w:val="left" w:pos="900"/>
                <w:tab w:val="left" w:pos="1350"/>
                <w:tab w:val="left" w:pos="1800"/>
                <w:tab w:val="left" w:pos="2880"/>
              </w:tabs>
              <w:rPr>
                <w:rFonts w:ascii="Arial" w:hAnsi="Arial" w:cs="Arial"/>
              </w:rPr>
            </w:pPr>
            <w:r w:rsidRPr="00C066EC">
              <w:rPr>
                <w:rFonts w:ascii="Arial" w:hAnsi="Arial" w:cs="Arial"/>
              </w:rPr>
              <w:t xml:space="preserve">Report transportation allowance on Form </w:t>
            </w:r>
            <w:r w:rsidRPr="00A63EC1">
              <w:rPr>
                <w:rFonts w:ascii="Arial" w:hAnsi="Arial" w:cs="Arial"/>
                <w:szCs w:val="24"/>
              </w:rPr>
              <w:t>ONRR</w:t>
            </w:r>
            <w:r w:rsidRPr="00C066EC">
              <w:rPr>
                <w:rFonts w:ascii="Arial" w:hAnsi="Arial" w:cs="Arial"/>
              </w:rPr>
              <w:t>-4430 after lessee elects either method for a transportation system.</w:t>
            </w:r>
          </w:p>
        </w:tc>
        <w:tc>
          <w:tcPr>
            <w:tcW w:w="4320" w:type="dxa"/>
            <w:gridSpan w:val="3"/>
            <w:tcBorders>
              <w:top w:val="single" w:sz="6" w:space="0" w:color="000000" w:themeColor="text1"/>
              <w:bottom w:val="single" w:sz="4" w:space="0" w:color="auto"/>
              <w:right w:val="single" w:sz="6" w:space="0" w:color="000000" w:themeColor="text1"/>
            </w:tcBorders>
          </w:tcPr>
          <w:p w:rsidR="00991098" w:rsidRPr="009930F3" w:rsidP="00991098" w14:paraId="7D3EB8F8" w14:textId="4AB0B618">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BC5D17">
              <w:rPr>
                <w:rFonts w:ascii="Arial" w:hAnsi="Arial" w:cs="Arial"/>
              </w:rPr>
              <w:t>All other hour burden with respect to solid minerals covered under OMB Control Number 1012-0010.</w:t>
            </w:r>
          </w:p>
        </w:tc>
      </w:tr>
      <w:tr w14:paraId="74FA9731" w14:textId="68C49F05" w:rsidTr="00ED76AB">
        <w:tblPrEx>
          <w:tblW w:w="8245" w:type="dxa"/>
          <w:tblInd w:w="210" w:type="dxa"/>
          <w:tblLayout w:type="fixed"/>
          <w:tblCellMar>
            <w:left w:w="120" w:type="dxa"/>
            <w:right w:w="120" w:type="dxa"/>
          </w:tblCellMar>
          <w:tblLook w:val="00A0"/>
        </w:tblPrEx>
        <w:trPr>
          <w:cantSplit/>
          <w:trHeight w:val="710"/>
        </w:trPr>
        <w:tc>
          <w:tcPr>
            <w:tcW w:w="1404" w:type="dxa"/>
            <w:tcBorders>
              <w:top w:val="single" w:sz="4" w:space="0" w:color="auto"/>
              <w:left w:val="single" w:sz="6" w:space="0" w:color="000000" w:themeColor="text1"/>
              <w:bottom w:val="single" w:sz="4" w:space="0" w:color="auto"/>
            </w:tcBorders>
          </w:tcPr>
          <w:p w:rsidR="00440328" w:rsidRPr="00440328" w:rsidP="00440328" w14:paraId="2B4DC52C" w14:textId="77777777">
            <w:pPr>
              <w:rPr>
                <w:rFonts w:ascii="Arial" w:hAnsi="Arial" w:cs="Arial"/>
              </w:rPr>
            </w:pPr>
            <w:r w:rsidRPr="00440328">
              <w:rPr>
                <w:rFonts w:ascii="Arial" w:hAnsi="Arial" w:cs="Arial"/>
              </w:rPr>
              <w:t>1206.262 (b)(2)(v)(D)</w:t>
            </w:r>
          </w:p>
          <w:p w:rsidR="00DE0977" w:rsidRPr="00440328" w:rsidP="001407F1" w14:paraId="4938B357" w14:textId="6CB2C8B5">
            <w:pPr>
              <w:tabs>
                <w:tab w:val="left" w:pos="-1080"/>
                <w:tab w:val="left" w:pos="-720"/>
                <w:tab w:val="left" w:pos="0"/>
                <w:tab w:val="left" w:pos="450"/>
                <w:tab w:val="left" w:pos="900"/>
                <w:tab w:val="left" w:pos="1350"/>
                <w:tab w:val="left" w:pos="1800"/>
                <w:tab w:val="left" w:pos="2880"/>
              </w:tabs>
              <w:rPr>
                <w:rFonts w:ascii="Arial" w:hAnsi="Arial" w:cs="Arial"/>
              </w:rPr>
            </w:pPr>
          </w:p>
        </w:tc>
        <w:tc>
          <w:tcPr>
            <w:tcW w:w="2521" w:type="dxa"/>
            <w:tcBorders>
              <w:top w:val="single" w:sz="4" w:space="0" w:color="auto"/>
              <w:bottom w:val="single" w:sz="4" w:space="0" w:color="auto"/>
            </w:tcBorders>
          </w:tcPr>
          <w:p w:rsidR="002764F7" w:rsidRPr="00440328" w:rsidP="00781782" w14:paraId="26D16663" w14:textId="77777777">
            <w:pPr>
              <w:rPr>
                <w:rFonts w:ascii="Arial" w:hAnsi="Arial" w:cs="Arial"/>
              </w:rPr>
            </w:pPr>
            <w:r w:rsidRPr="00440328">
              <w:rPr>
                <w:rFonts w:ascii="Arial" w:hAnsi="Arial" w:cs="Arial"/>
              </w:rPr>
              <w:t>Propose a deprecation schedule for in service fixed assets related to wash plant.</w:t>
            </w:r>
          </w:p>
          <w:p w:rsidR="00DE0977" w:rsidRPr="00440328" w:rsidP="001407F1" w14:paraId="1F44E726" w14:textId="615C23AC">
            <w:pPr>
              <w:tabs>
                <w:tab w:val="left" w:pos="-1080"/>
                <w:tab w:val="left" w:pos="-720"/>
                <w:tab w:val="left" w:pos="0"/>
                <w:tab w:val="left" w:pos="450"/>
                <w:tab w:val="left" w:pos="900"/>
                <w:tab w:val="left" w:pos="1350"/>
                <w:tab w:val="left" w:pos="1800"/>
                <w:tab w:val="left" w:pos="2880"/>
              </w:tabs>
              <w:rPr>
                <w:rFonts w:ascii="Arial" w:hAnsi="Arial" w:cs="Arial"/>
              </w:rPr>
            </w:pPr>
          </w:p>
        </w:tc>
        <w:tc>
          <w:tcPr>
            <w:tcW w:w="990" w:type="dxa"/>
            <w:tcBorders>
              <w:top w:val="single" w:sz="4" w:space="0" w:color="auto"/>
              <w:bottom w:val="single" w:sz="4" w:space="0" w:color="auto"/>
            </w:tcBorders>
          </w:tcPr>
          <w:p w:rsidR="00DE0977" w:rsidRPr="00440328" w:rsidP="00440A6D" w14:paraId="31646EC7" w14:textId="38E0881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440328">
              <w:rPr>
                <w:rFonts w:ascii="Arial" w:hAnsi="Arial" w:cs="Arial"/>
              </w:rPr>
              <w:t>8</w:t>
            </w:r>
          </w:p>
        </w:tc>
        <w:tc>
          <w:tcPr>
            <w:tcW w:w="1350" w:type="dxa"/>
            <w:tcBorders>
              <w:top w:val="single" w:sz="6" w:space="0" w:color="000000" w:themeColor="text1"/>
              <w:bottom w:val="single" w:sz="4" w:space="0" w:color="auto"/>
            </w:tcBorders>
          </w:tcPr>
          <w:p w:rsidR="002764F7" w:rsidRPr="00440328" w:rsidP="00440A6D" w14:paraId="6A7340CA" w14:textId="4E410083">
            <w:pPr>
              <w:jc w:val="right"/>
              <w:rPr>
                <w:rFonts w:ascii="Arial" w:hAnsi="Arial" w:cs="Arial"/>
              </w:rPr>
            </w:pPr>
            <w:r w:rsidRPr="00440328">
              <w:rPr>
                <w:rFonts w:ascii="Arial" w:hAnsi="Arial" w:cs="Arial"/>
              </w:rPr>
              <w:t>5</w:t>
            </w:r>
          </w:p>
        </w:tc>
        <w:tc>
          <w:tcPr>
            <w:tcW w:w="1980" w:type="dxa"/>
            <w:tcBorders>
              <w:top w:val="single" w:sz="6" w:space="0" w:color="000000" w:themeColor="text1"/>
              <w:bottom w:val="single" w:sz="4" w:space="0" w:color="auto"/>
              <w:right w:val="single" w:sz="6" w:space="0" w:color="000000" w:themeColor="text1"/>
            </w:tcBorders>
          </w:tcPr>
          <w:p w:rsidR="002764F7" w:rsidRPr="00440328" w:rsidP="00440A6D" w14:paraId="628987FB" w14:textId="31C593D2">
            <w:pPr>
              <w:jc w:val="right"/>
              <w:rPr>
                <w:rFonts w:ascii="Arial" w:hAnsi="Arial" w:cs="Arial"/>
              </w:rPr>
            </w:pPr>
            <w:r w:rsidRPr="00440328">
              <w:rPr>
                <w:rFonts w:ascii="Arial" w:hAnsi="Arial" w:cs="Arial"/>
              </w:rPr>
              <w:t>40</w:t>
            </w:r>
          </w:p>
        </w:tc>
      </w:tr>
      <w:tr w14:paraId="4238DEA6" w14:textId="77777777" w:rsidTr="00ED76AB">
        <w:tblPrEx>
          <w:tblW w:w="8245" w:type="dxa"/>
          <w:tblInd w:w="210" w:type="dxa"/>
          <w:tblLayout w:type="fixed"/>
          <w:tblCellMar>
            <w:left w:w="120" w:type="dxa"/>
            <w:right w:w="120" w:type="dxa"/>
          </w:tblCellMar>
          <w:tblLook w:val="00A0"/>
        </w:tblPrEx>
        <w:trPr>
          <w:cantSplit/>
          <w:trHeight w:val="710"/>
        </w:trPr>
        <w:tc>
          <w:tcPr>
            <w:tcW w:w="8245" w:type="dxa"/>
            <w:gridSpan w:val="5"/>
            <w:tcBorders>
              <w:top w:val="single" w:sz="4" w:space="0" w:color="auto"/>
              <w:left w:val="single" w:sz="4" w:space="0" w:color="auto"/>
              <w:bottom w:val="single" w:sz="4" w:space="0" w:color="auto"/>
              <w:right w:val="single" w:sz="4" w:space="0" w:color="auto"/>
            </w:tcBorders>
            <w:vAlign w:val="center"/>
          </w:tcPr>
          <w:p w:rsidR="007C2761" w:rsidRPr="009930F3" w:rsidP="007C2761" w14:paraId="5D50A6AA" w14:textId="77777777">
            <w:pPr>
              <w:keepNext/>
              <w:keepLines/>
              <w:jc w:val="center"/>
              <w:rPr>
                <w:rFonts w:ascii="Arial" w:hAnsi="Arial" w:cs="Arial"/>
                <w:b/>
                <w:i/>
              </w:rPr>
            </w:pPr>
            <w:r w:rsidRPr="009930F3">
              <w:rPr>
                <w:rFonts w:ascii="Arial" w:hAnsi="Arial" w:cs="Arial"/>
                <w:b/>
                <w:i/>
              </w:rPr>
              <w:t>Part 1210—Forms and Reports</w:t>
            </w:r>
          </w:p>
          <w:p w:rsidR="007C2761" w:rsidRPr="004941FD" w:rsidP="007C2761" w14:paraId="59A24B8A" w14:textId="56D36E8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highlight w:val="yellow"/>
              </w:rPr>
            </w:pPr>
            <w:r w:rsidRPr="009930F3">
              <w:rPr>
                <w:rFonts w:ascii="Arial" w:hAnsi="Arial" w:cs="Arial"/>
                <w:b/>
                <w:i/>
              </w:rPr>
              <w:t>Subpart E—Solid Minerals, General</w:t>
            </w:r>
          </w:p>
        </w:tc>
      </w:tr>
      <w:tr w14:paraId="5906D5EF" w14:textId="77777777" w:rsidTr="00ED76AB">
        <w:tblPrEx>
          <w:tblW w:w="8245" w:type="dxa"/>
          <w:tblInd w:w="210" w:type="dxa"/>
          <w:tblLayout w:type="fixed"/>
          <w:tblCellMar>
            <w:left w:w="120" w:type="dxa"/>
            <w:right w:w="120" w:type="dxa"/>
          </w:tblCellMar>
          <w:tblLook w:val="00A0"/>
        </w:tblPrEx>
        <w:trPr>
          <w:cantSplit/>
          <w:trHeight w:val="300"/>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258B7" w:rsidRPr="009930F3" w:rsidP="00781782" w14:paraId="49E127BF" w14:textId="77777777">
            <w:pPr>
              <w:rPr>
                <w:rFonts w:ascii="Arial" w:hAnsi="Arial" w:cs="Arial"/>
              </w:rPr>
            </w:pPr>
            <w:r w:rsidRPr="009930F3">
              <w:rPr>
                <w:rFonts w:ascii="Arial" w:hAnsi="Arial" w:cs="Arial"/>
              </w:rPr>
              <w:t>1210.202</w:t>
            </w:r>
          </w:p>
          <w:p w:rsidR="008258B7" w:rsidRPr="00394393" w:rsidP="00781782" w14:paraId="64BF7B1B" w14:textId="5DBEB04A">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 and (c)(1)</w:t>
            </w:r>
          </w:p>
        </w:tc>
        <w:tc>
          <w:tcPr>
            <w:tcW w:w="2521" w:type="dxa"/>
            <w:tcBorders>
              <w:top w:val="single" w:sz="4" w:space="0" w:color="auto"/>
              <w:left w:val="single" w:sz="6" w:space="0" w:color="000000" w:themeColor="text1"/>
              <w:bottom w:val="single" w:sz="6" w:space="0" w:color="000000" w:themeColor="text1"/>
              <w:right w:val="single" w:sz="6" w:space="0" w:color="000000" w:themeColor="text1"/>
            </w:tcBorders>
          </w:tcPr>
          <w:p w:rsidR="008258B7" w:rsidRPr="00394393" w:rsidP="00781782" w14:paraId="20E2983F" w14:textId="777DE1EB">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 xml:space="preserve">Submit a completed Form </w:t>
            </w:r>
            <w:r>
              <w:rPr>
                <w:rFonts w:ascii="Arial" w:hAnsi="Arial" w:cs="Arial"/>
              </w:rPr>
              <w:t>ONRR</w:t>
            </w:r>
            <w:r w:rsidRPr="009930F3">
              <w:rPr>
                <w:rFonts w:ascii="Arial" w:hAnsi="Arial" w:cs="Arial"/>
              </w:rPr>
              <w:t xml:space="preserve">-4430. Report washing and transportation allowances as a separate </w:t>
            </w:r>
            <w:r>
              <w:rPr>
                <w:rFonts w:ascii="Arial" w:hAnsi="Arial" w:cs="Arial"/>
              </w:rPr>
              <w:t>field</w:t>
            </w:r>
            <w:r w:rsidRPr="009930F3">
              <w:rPr>
                <w:rFonts w:ascii="Arial" w:hAnsi="Arial" w:cs="Arial"/>
              </w:rPr>
              <w:t xml:space="preserve"> on Form </w:t>
            </w:r>
            <w:r>
              <w:rPr>
                <w:rFonts w:ascii="Arial" w:hAnsi="Arial" w:cs="Arial"/>
              </w:rPr>
              <w:t>ONRR</w:t>
            </w:r>
            <w:r w:rsidRPr="009930F3">
              <w:rPr>
                <w:rFonts w:ascii="Arial" w:hAnsi="Arial" w:cs="Arial"/>
              </w:rPr>
              <w:t xml:space="preserve">-4430 for arm’s-length, non-arm’s-length, or no contract sales, unless ONRR approves a different reporting procedure. Submit also a corrected Form </w:t>
            </w:r>
            <w:r>
              <w:rPr>
                <w:rFonts w:ascii="Arial" w:hAnsi="Arial" w:cs="Arial"/>
              </w:rPr>
              <w:t>ONRR</w:t>
            </w:r>
            <w:r w:rsidRPr="009930F3">
              <w:rPr>
                <w:rFonts w:ascii="Arial" w:hAnsi="Arial" w:cs="Arial"/>
              </w:rPr>
              <w:t>-4430 to reflect actual costs, together with any payment, in accordance with instructions provided by ONRR.</w:t>
            </w:r>
          </w:p>
        </w:tc>
        <w:tc>
          <w:tcPr>
            <w:tcW w:w="4320" w:type="dxa"/>
            <w:gridSpan w:val="3"/>
            <w:tcBorders>
              <w:top w:val="single" w:sz="4" w:space="0" w:color="auto"/>
              <w:left w:val="single" w:sz="6" w:space="0" w:color="000000" w:themeColor="text1"/>
              <w:bottom w:val="single" w:sz="6" w:space="0" w:color="000000" w:themeColor="text1"/>
              <w:right w:val="single" w:sz="6" w:space="0" w:color="000000" w:themeColor="text1"/>
            </w:tcBorders>
          </w:tcPr>
          <w:p w:rsidR="008258B7" w:rsidRPr="00394393" w:rsidP="00D16CB6" w14:paraId="69DCDC93" w14:textId="4D67CB3A">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5428B5">
              <w:rPr>
                <w:rFonts w:ascii="Arial" w:hAnsi="Arial" w:cs="Arial"/>
              </w:rPr>
              <w:t>All burden hours associated with these sections for solid minerals are covered under OMB Control Number 1012-0010.</w:t>
            </w:r>
          </w:p>
        </w:tc>
      </w:tr>
      <w:tr w14:paraId="42223A71" w14:textId="7850C6D1" w:rsidTr="00ED76AB">
        <w:tblPrEx>
          <w:tblW w:w="8245" w:type="dxa"/>
          <w:tblInd w:w="210" w:type="dxa"/>
          <w:tblLayout w:type="fixed"/>
          <w:tblCellMar>
            <w:left w:w="120" w:type="dxa"/>
            <w:right w:w="120" w:type="dxa"/>
          </w:tblCellMar>
          <w:tblLook w:val="00A0"/>
        </w:tblPrEx>
        <w:trPr>
          <w:cantSplit/>
          <w:trHeight w:val="300"/>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rsidRPr="009930F3" w:rsidP="00781782" w14:paraId="31A7AB2F" w14:textId="77777777">
            <w:pPr>
              <w:rPr>
                <w:rFonts w:ascii="Arial" w:hAnsi="Arial" w:cs="Arial"/>
              </w:rPr>
            </w:pPr>
            <w:r w:rsidRPr="009930F3">
              <w:rPr>
                <w:rFonts w:ascii="Arial" w:hAnsi="Arial" w:cs="Arial"/>
              </w:rPr>
              <w:t>1210.203</w:t>
            </w:r>
          </w:p>
          <w:p w:rsidR="00A308E1" w:rsidRPr="004941FD" w:rsidP="00781782" w14:paraId="10DC73E0" w14:textId="085EFB86">
            <w:pPr>
              <w:tabs>
                <w:tab w:val="left" w:pos="-1080"/>
                <w:tab w:val="left" w:pos="-720"/>
                <w:tab w:val="left" w:pos="0"/>
                <w:tab w:val="left" w:pos="450"/>
                <w:tab w:val="left" w:pos="900"/>
                <w:tab w:val="left" w:pos="1350"/>
                <w:tab w:val="left" w:pos="1800"/>
                <w:tab w:val="left" w:pos="2880"/>
              </w:tabs>
              <w:rPr>
                <w:rFonts w:ascii="Arial" w:hAnsi="Arial" w:cs="Arial"/>
                <w:highlight w:val="yellow"/>
              </w:rPr>
            </w:pPr>
            <w:r w:rsidRPr="009930F3">
              <w:rPr>
                <w:rFonts w:ascii="Arial" w:hAnsi="Arial" w:cs="Arial"/>
              </w:rPr>
              <w:t>(a)</w:t>
            </w:r>
          </w:p>
        </w:tc>
        <w:tc>
          <w:tcPr>
            <w:tcW w:w="2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rsidRPr="004941FD" w:rsidP="00781782" w14:paraId="74560567" w14:textId="3EE4082A">
            <w:pPr>
              <w:tabs>
                <w:tab w:val="left" w:pos="-1080"/>
                <w:tab w:val="left" w:pos="-720"/>
                <w:tab w:val="left" w:pos="0"/>
                <w:tab w:val="left" w:pos="450"/>
                <w:tab w:val="left" w:pos="900"/>
                <w:tab w:val="left" w:pos="1350"/>
                <w:tab w:val="left" w:pos="1800"/>
                <w:tab w:val="left" w:pos="2880"/>
              </w:tabs>
              <w:rPr>
                <w:rFonts w:ascii="Arial" w:hAnsi="Arial" w:cs="Arial"/>
                <w:highlight w:val="yellow"/>
              </w:rPr>
            </w:pPr>
            <w:r w:rsidRPr="009930F3">
              <w:rPr>
                <w:rFonts w:ascii="Arial" w:hAnsi="Arial" w:cs="Arial"/>
              </w:rPr>
              <w:t xml:space="preserve">Submit sales summaries </w:t>
            </w:r>
            <w:r>
              <w:rPr>
                <w:rFonts w:ascii="Arial" w:hAnsi="Arial" w:cs="Arial"/>
              </w:rPr>
              <w:t>(</w:t>
            </w:r>
            <w:r w:rsidRPr="005735B2">
              <w:rPr>
                <w:rFonts w:ascii="Arial" w:hAnsi="Arial" w:cs="Arial"/>
              </w:rPr>
              <w:t>using form ONRR-4440</w:t>
            </w:r>
            <w:r>
              <w:rPr>
                <w:rFonts w:ascii="Arial" w:hAnsi="Arial" w:cs="Arial"/>
              </w:rPr>
              <w:t xml:space="preserve">) </w:t>
            </w:r>
            <w:r w:rsidRPr="009930F3">
              <w:rPr>
                <w:rFonts w:ascii="Arial" w:hAnsi="Arial" w:cs="Arial"/>
              </w:rPr>
              <w:t>via electronic mail where possible for all coal and other solid minerals produced from Federal and Indian leases and for any remote storage site.</w:t>
            </w:r>
          </w:p>
        </w:tc>
        <w:tc>
          <w:tcPr>
            <w:tcW w:w="4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14:paraId="65BD7E6B" w14:textId="5943D971">
            <w:r w:rsidRPr="005428B5">
              <w:rPr>
                <w:rFonts w:ascii="Arial" w:hAnsi="Arial" w:cs="Arial"/>
              </w:rPr>
              <w:t>All burden hours associated with these sections for solid minerals are covered under OMB Control Number 1012-0010.</w:t>
            </w:r>
          </w:p>
        </w:tc>
      </w:tr>
      <w:tr w14:paraId="77389CF9" w14:textId="77777777" w:rsidTr="00ED76AB">
        <w:tblPrEx>
          <w:tblW w:w="8245" w:type="dxa"/>
          <w:tblInd w:w="210" w:type="dxa"/>
          <w:tblLayout w:type="fixed"/>
          <w:tblCellMar>
            <w:left w:w="120" w:type="dxa"/>
            <w:right w:w="120" w:type="dxa"/>
          </w:tblCellMar>
          <w:tblLook w:val="00A0"/>
        </w:tblPrEx>
        <w:trPr>
          <w:cantSplit/>
          <w:trHeight w:val="912"/>
        </w:trPr>
        <w:tc>
          <w:tcPr>
            <w:tcW w:w="1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rsidRPr="009930F3" w:rsidP="00781782" w14:paraId="7B920875" w14:textId="77777777">
            <w:pPr>
              <w:rPr>
                <w:rFonts w:ascii="Arial" w:hAnsi="Arial" w:cs="Arial"/>
              </w:rPr>
            </w:pPr>
            <w:r w:rsidRPr="009930F3">
              <w:rPr>
                <w:rFonts w:ascii="Arial" w:hAnsi="Arial" w:cs="Arial"/>
              </w:rPr>
              <w:t>1210.204</w:t>
            </w:r>
          </w:p>
          <w:p w:rsidR="00A308E1" w:rsidRPr="009930F3" w:rsidP="00781782" w14:paraId="579057F1" w14:textId="2C5B6D69">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(a)(1)</w:t>
            </w:r>
          </w:p>
        </w:tc>
        <w:tc>
          <w:tcPr>
            <w:tcW w:w="2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rsidRPr="009930F3" w:rsidP="00781782" w14:paraId="578A8BDF" w14:textId="4A812731">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sales contracts, agreements, and contract amendments for sale of all coal and other solid minerals produced from Federal and Indian leases with ad valorem royalty terms.</w:t>
            </w:r>
          </w:p>
        </w:tc>
        <w:tc>
          <w:tcPr>
            <w:tcW w:w="4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rsidRPr="009930F3" w:rsidP="00D16CB6" w14:paraId="07BCF611" w14:textId="1CC9A518">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5428B5">
              <w:rPr>
                <w:rFonts w:ascii="Arial" w:hAnsi="Arial" w:cs="Arial"/>
              </w:rPr>
              <w:t>All burden hours associated with these sections for solid minerals are covered under OMB Control Number 1012-0010.</w:t>
            </w:r>
          </w:p>
        </w:tc>
      </w:tr>
      <w:tr w14:paraId="5194D3B4" w14:textId="77777777" w:rsidTr="00ED76AB">
        <w:tblPrEx>
          <w:tblW w:w="8245" w:type="dxa"/>
          <w:tblInd w:w="210" w:type="dxa"/>
          <w:tblLayout w:type="fixed"/>
          <w:tblCellMar>
            <w:left w:w="120" w:type="dxa"/>
            <w:right w:w="120" w:type="dxa"/>
          </w:tblCellMar>
          <w:tblLook w:val="00A0"/>
        </w:tblPrEx>
        <w:trPr>
          <w:cantSplit/>
          <w:trHeight w:val="300"/>
        </w:trPr>
        <w:tc>
          <w:tcPr>
            <w:tcW w:w="1404" w:type="dxa"/>
            <w:tcBorders>
              <w:top w:val="single" w:sz="6" w:space="0" w:color="000000" w:themeColor="text1"/>
              <w:left w:val="single" w:sz="6" w:space="0" w:color="000000" w:themeColor="text1"/>
              <w:bottom w:val="single" w:sz="4" w:space="0" w:color="auto"/>
              <w:right w:val="single" w:sz="6" w:space="0" w:color="000000" w:themeColor="text1"/>
            </w:tcBorders>
          </w:tcPr>
          <w:p w:rsidR="00A308E1" w:rsidRPr="009930F3" w:rsidP="00781782" w14:paraId="625B781A" w14:textId="77777777">
            <w:pPr>
              <w:rPr>
                <w:rFonts w:ascii="Arial" w:hAnsi="Arial" w:cs="Arial"/>
              </w:rPr>
            </w:pPr>
            <w:r w:rsidRPr="009930F3">
              <w:rPr>
                <w:rFonts w:ascii="Arial" w:hAnsi="Arial" w:cs="Arial"/>
              </w:rPr>
              <w:t>1210.205</w:t>
            </w:r>
          </w:p>
          <w:p w:rsidR="00A308E1" w:rsidRPr="009930F3" w:rsidP="00781782" w14:paraId="3FCBE70E" w14:textId="6A1B716F">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 and (b)</w:t>
            </w:r>
          </w:p>
        </w:tc>
        <w:tc>
          <w:tcPr>
            <w:tcW w:w="2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rsidRPr="00C066EC" w:rsidP="00781782" w14:paraId="0C6BD5E9" w14:textId="39DB900F">
            <w:pPr>
              <w:pStyle w:val="HTMLPreformatted"/>
              <w:rPr>
                <w:rFonts w:ascii="Arial" w:hAnsi="Arial" w:cs="Arial"/>
                <w:lang w:val="en-US" w:eastAsia="en-US"/>
              </w:rPr>
            </w:pPr>
            <w:r w:rsidRPr="009930F3">
              <w:rPr>
                <w:rFonts w:ascii="Arial" w:hAnsi="Arial" w:cs="Arial"/>
              </w:rPr>
              <w:t>Submit facility data if you operate a wash plant, refining, ore concentration, or other processing facility for any coal, sodium, potassium, metals, or other solid minerals produced from Federal or Indian leases with ad valorem royalty terms.</w:t>
            </w:r>
          </w:p>
        </w:tc>
        <w:tc>
          <w:tcPr>
            <w:tcW w:w="43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308E1" w:rsidRPr="009930F3" w:rsidP="00D16CB6" w14:paraId="7F1B3388" w14:textId="06B880F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5428B5">
              <w:rPr>
                <w:rFonts w:ascii="Arial" w:hAnsi="Arial" w:cs="Arial"/>
              </w:rPr>
              <w:t>All burden hours associated with these sections for solid minerals are covered under OMB Control Number 1012-0010.</w:t>
            </w:r>
          </w:p>
        </w:tc>
      </w:tr>
      <w:tr w14:paraId="0438A6D6" w14:textId="77777777" w:rsidTr="00ED76AB">
        <w:tblPrEx>
          <w:tblW w:w="8245" w:type="dxa"/>
          <w:tblInd w:w="210" w:type="dxa"/>
          <w:tblLayout w:type="fixed"/>
          <w:tblCellMar>
            <w:left w:w="120" w:type="dxa"/>
            <w:right w:w="120" w:type="dxa"/>
          </w:tblCellMar>
          <w:tblLook w:val="00A0"/>
        </w:tblPrEx>
        <w:trPr>
          <w:cantSplit/>
          <w:trHeight w:val="300"/>
        </w:trPr>
        <w:tc>
          <w:tcPr>
            <w:tcW w:w="1404" w:type="dxa"/>
            <w:tcBorders>
              <w:top w:val="single" w:sz="4" w:space="0" w:color="auto"/>
              <w:left w:val="single" w:sz="4" w:space="0" w:color="auto"/>
              <w:bottom w:val="single" w:sz="4" w:space="0" w:color="auto"/>
              <w:right w:val="single" w:sz="4" w:space="0" w:color="auto"/>
            </w:tcBorders>
            <w:vAlign w:val="center"/>
          </w:tcPr>
          <w:p w:rsidR="00A308E1" w:rsidRPr="009930F3" w:rsidP="00781782" w14:paraId="34383E14" w14:textId="6B116F99">
            <w:pPr>
              <w:tabs>
                <w:tab w:val="left" w:pos="-1080"/>
                <w:tab w:val="left" w:pos="-720"/>
                <w:tab w:val="left" w:pos="0"/>
                <w:tab w:val="left" w:pos="450"/>
                <w:tab w:val="left" w:pos="900"/>
                <w:tab w:val="left" w:pos="1350"/>
                <w:tab w:val="left" w:pos="1800"/>
                <w:tab w:val="left" w:pos="2880"/>
              </w:tabs>
              <w:rPr>
                <w:rFonts w:ascii="Arial" w:hAnsi="Arial" w:cs="Arial"/>
              </w:rPr>
            </w:pPr>
          </w:p>
        </w:tc>
        <w:tc>
          <w:tcPr>
            <w:tcW w:w="2521" w:type="dxa"/>
            <w:tcBorders>
              <w:top w:val="single" w:sz="6" w:space="0" w:color="000000" w:themeColor="text1"/>
              <w:left w:val="single" w:sz="6" w:space="0" w:color="000000" w:themeColor="text1"/>
              <w:bottom w:val="single" w:sz="4" w:space="0" w:color="auto"/>
              <w:right w:val="single" w:sz="6" w:space="0" w:color="000000" w:themeColor="text1"/>
            </w:tcBorders>
          </w:tcPr>
          <w:p w:rsidR="00A308E1" w:rsidRPr="00C066EC" w:rsidP="00781782" w14:paraId="6CB2421B" w14:textId="211B4ECB">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Submit detailed statements, documents, or other evidence necessary to verify compliance, as requested.</w:t>
            </w:r>
          </w:p>
        </w:tc>
        <w:tc>
          <w:tcPr>
            <w:tcW w:w="4320" w:type="dxa"/>
            <w:gridSpan w:val="3"/>
            <w:tcBorders>
              <w:top w:val="single" w:sz="6" w:space="0" w:color="000000" w:themeColor="text1"/>
              <w:left w:val="single" w:sz="6" w:space="0" w:color="000000" w:themeColor="text1"/>
              <w:bottom w:val="single" w:sz="4" w:space="0" w:color="auto"/>
              <w:right w:val="single" w:sz="6" w:space="0" w:color="000000" w:themeColor="text1"/>
            </w:tcBorders>
          </w:tcPr>
          <w:p w:rsidR="00A308E1" w:rsidRPr="009930F3" w:rsidP="00D16CB6" w14:paraId="7ADCD086" w14:textId="41F998B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5428B5">
              <w:rPr>
                <w:rFonts w:ascii="Arial" w:hAnsi="Arial" w:cs="Arial"/>
              </w:rPr>
              <w:t>All burden hours associated with these sections for solid minerals are covered under OMB Control Number 1012-0010.</w:t>
            </w:r>
          </w:p>
        </w:tc>
      </w:tr>
      <w:tr w14:paraId="47B095E2" w14:textId="77777777" w:rsidTr="00ED76AB">
        <w:tblPrEx>
          <w:tblW w:w="8245" w:type="dxa"/>
          <w:tblInd w:w="210" w:type="dxa"/>
          <w:tblLayout w:type="fixed"/>
          <w:tblCellMar>
            <w:left w:w="120" w:type="dxa"/>
            <w:right w:w="120" w:type="dxa"/>
          </w:tblCellMar>
          <w:tblLook w:val="00A0"/>
        </w:tblPrEx>
        <w:trPr>
          <w:cantSplit/>
          <w:trHeight w:val="300"/>
        </w:trPr>
        <w:tc>
          <w:tcPr>
            <w:tcW w:w="8245" w:type="dxa"/>
            <w:gridSpan w:val="5"/>
            <w:tcBorders>
              <w:top w:val="single" w:sz="4" w:space="0" w:color="auto"/>
              <w:left w:val="single" w:sz="4" w:space="0" w:color="auto"/>
              <w:bottom w:val="single" w:sz="4" w:space="0" w:color="auto"/>
              <w:right w:val="single" w:sz="6" w:space="0" w:color="000000" w:themeColor="text1"/>
            </w:tcBorders>
          </w:tcPr>
          <w:p w:rsidR="00C37606" w:rsidRPr="009930F3" w:rsidP="00781782" w14:paraId="070A024F" w14:textId="77777777">
            <w:pPr>
              <w:jc w:val="center"/>
              <w:rPr>
                <w:rFonts w:ascii="Arial" w:hAnsi="Arial" w:cs="Arial"/>
                <w:b/>
                <w:i/>
              </w:rPr>
            </w:pPr>
            <w:r w:rsidRPr="009930F3">
              <w:rPr>
                <w:rFonts w:ascii="Arial" w:hAnsi="Arial" w:cs="Arial"/>
                <w:b/>
                <w:i/>
              </w:rPr>
              <w:t>Part 1212—Records and Forms Maintenance</w:t>
            </w:r>
          </w:p>
          <w:p w:rsidR="00C37606" w:rsidRPr="009930F3" w:rsidP="00781782" w14:paraId="254448FB" w14:textId="6D16B14B">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9930F3">
              <w:rPr>
                <w:rFonts w:ascii="Arial" w:hAnsi="Arial" w:cs="Arial"/>
                <w:b/>
                <w:i/>
              </w:rPr>
              <w:t>Subpart E—Solid Minerals—General</w:t>
            </w:r>
          </w:p>
        </w:tc>
      </w:tr>
      <w:tr w14:paraId="1E2C1390" w14:textId="77777777" w:rsidTr="00ED76AB">
        <w:tblPrEx>
          <w:tblW w:w="8245" w:type="dxa"/>
          <w:tblInd w:w="210" w:type="dxa"/>
          <w:tblLayout w:type="fixed"/>
          <w:tblCellMar>
            <w:left w:w="120" w:type="dxa"/>
            <w:right w:w="120" w:type="dxa"/>
          </w:tblCellMar>
          <w:tblLook w:val="00A0"/>
        </w:tblPrEx>
        <w:trPr>
          <w:cantSplit/>
          <w:trHeight w:val="300"/>
        </w:trPr>
        <w:tc>
          <w:tcPr>
            <w:tcW w:w="1404" w:type="dxa"/>
            <w:tcBorders>
              <w:top w:val="single" w:sz="4" w:space="0" w:color="auto"/>
              <w:left w:val="single" w:sz="6" w:space="0" w:color="000000" w:themeColor="text1"/>
              <w:bottom w:val="single" w:sz="4" w:space="0" w:color="auto"/>
              <w:right w:val="single" w:sz="6" w:space="0" w:color="000000" w:themeColor="text1"/>
            </w:tcBorders>
            <w:vAlign w:val="center"/>
          </w:tcPr>
          <w:p w:rsidR="00C37606" w:rsidRPr="009930F3" w:rsidP="00C37606" w14:paraId="6B2D5C94" w14:textId="77777777">
            <w:pPr>
              <w:rPr>
                <w:rFonts w:ascii="Arial" w:hAnsi="Arial" w:cs="Arial"/>
              </w:rPr>
            </w:pPr>
            <w:r w:rsidRPr="009930F3">
              <w:rPr>
                <w:rFonts w:ascii="Arial" w:hAnsi="Arial" w:cs="Arial"/>
              </w:rPr>
              <w:t>1212.200</w:t>
            </w:r>
          </w:p>
          <w:p w:rsidR="00C37606" w:rsidRPr="009930F3" w:rsidP="00C37606" w14:paraId="6B81E87C" w14:textId="46459A91">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(a)</w:t>
            </w:r>
          </w:p>
        </w:tc>
        <w:tc>
          <w:tcPr>
            <w:tcW w:w="2521" w:type="dxa"/>
            <w:tcBorders>
              <w:top w:val="single" w:sz="4" w:space="0" w:color="auto"/>
              <w:left w:val="single" w:sz="4" w:space="0" w:color="auto"/>
              <w:bottom w:val="single" w:sz="4" w:space="0" w:color="auto"/>
              <w:right w:val="single" w:sz="4" w:space="0" w:color="auto"/>
            </w:tcBorders>
          </w:tcPr>
          <w:p w:rsidR="00C37606" w:rsidRPr="009930F3" w:rsidP="00781782" w14:paraId="71C0CF6E" w14:textId="33454EFF">
            <w:pPr>
              <w:keepLines/>
              <w:tabs>
                <w:tab w:val="left" w:pos="-1080"/>
                <w:tab w:val="left" w:pos="-720"/>
                <w:tab w:val="left" w:pos="0"/>
                <w:tab w:val="left" w:pos="450"/>
                <w:tab w:val="left" w:pos="900"/>
                <w:tab w:val="left" w:pos="1350"/>
                <w:tab w:val="left" w:pos="1800"/>
                <w:tab w:val="left" w:pos="2880"/>
              </w:tabs>
              <w:ind w:hanging="30"/>
              <w:rPr>
                <w:rFonts w:ascii="Arial" w:hAnsi="Arial" w:cs="Arial"/>
              </w:rPr>
            </w:pPr>
            <w:r w:rsidRPr="009930F3">
              <w:rPr>
                <w:rFonts w:ascii="Arial" w:hAnsi="Arial" w:cs="Arial"/>
              </w:rPr>
              <w:t>Maintain all records pertaining to Federal and Indian solid minerals leases for 6 years after records are generated unless the record holder is notified, in writing.</w:t>
            </w:r>
          </w:p>
        </w:tc>
        <w:tc>
          <w:tcPr>
            <w:tcW w:w="4320" w:type="dxa"/>
            <w:gridSpan w:val="3"/>
            <w:tcBorders>
              <w:top w:val="single" w:sz="6" w:space="0" w:color="000000" w:themeColor="text1"/>
              <w:left w:val="single" w:sz="4" w:space="0" w:color="auto"/>
              <w:bottom w:val="single" w:sz="6" w:space="0" w:color="000000" w:themeColor="text1"/>
              <w:right w:val="single" w:sz="6" w:space="0" w:color="000000" w:themeColor="text1"/>
            </w:tcBorders>
          </w:tcPr>
          <w:p w:rsidR="00C37606" w:rsidRPr="009930F3" w:rsidP="00062448" w14:paraId="672BC7ED" w14:textId="77777777">
            <w:pPr>
              <w:rPr>
                <w:rFonts w:ascii="Arial" w:hAnsi="Arial" w:cs="Arial"/>
              </w:rPr>
            </w:pPr>
            <w:r w:rsidRPr="005428B5">
              <w:rPr>
                <w:rFonts w:ascii="Arial" w:hAnsi="Arial" w:cs="Arial"/>
              </w:rPr>
              <w:t>All burden hours associated with these sections for solid minerals are covered under OMB Control Number 1012-0010.</w:t>
            </w:r>
          </w:p>
          <w:p w:rsidR="00C37606" w:rsidRPr="009930F3" w:rsidP="00781782" w14:paraId="163C30E2" w14:textId="5F37FF5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p>
        </w:tc>
      </w:tr>
      <w:tr w14:paraId="04BF94C6" w14:textId="77777777" w:rsidTr="00ED76AB">
        <w:tblPrEx>
          <w:tblW w:w="8245" w:type="dxa"/>
          <w:tblInd w:w="210" w:type="dxa"/>
          <w:tblLayout w:type="fixed"/>
          <w:tblCellMar>
            <w:left w:w="120" w:type="dxa"/>
            <w:right w:w="120" w:type="dxa"/>
          </w:tblCellMar>
          <w:tblLook w:val="00A0"/>
        </w:tblPrEx>
        <w:trPr>
          <w:cantSplit/>
          <w:trHeight w:val="300"/>
        </w:trPr>
        <w:tc>
          <w:tcPr>
            <w:tcW w:w="8245" w:type="dxa"/>
            <w:gridSpan w:val="5"/>
            <w:tcBorders>
              <w:top w:val="single" w:sz="4" w:space="0" w:color="auto"/>
              <w:left w:val="single" w:sz="6" w:space="0" w:color="000000" w:themeColor="text1"/>
              <w:bottom w:val="single" w:sz="4" w:space="0" w:color="auto"/>
              <w:right w:val="single" w:sz="6" w:space="0" w:color="000000" w:themeColor="text1"/>
            </w:tcBorders>
          </w:tcPr>
          <w:p w:rsidR="00ED76AB" w:rsidRPr="009930F3" w:rsidP="00ED76AB" w14:paraId="207BD90B" w14:textId="77777777">
            <w:pPr>
              <w:keepNext/>
              <w:keepLines/>
              <w:jc w:val="center"/>
              <w:rPr>
                <w:rFonts w:ascii="Arial" w:hAnsi="Arial" w:cs="Arial"/>
                <w:b/>
                <w:i/>
              </w:rPr>
            </w:pPr>
            <w:r w:rsidRPr="009930F3">
              <w:rPr>
                <w:rFonts w:ascii="Arial" w:hAnsi="Arial" w:cs="Arial"/>
                <w:b/>
                <w:i/>
              </w:rPr>
              <w:t>Part 1217—Audits and Inspections</w:t>
            </w:r>
          </w:p>
          <w:p w:rsidR="00ED76AB" w:rsidRPr="009930F3" w:rsidP="00ED76AB" w14:paraId="23B8D491" w14:textId="32C7718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9930F3">
              <w:rPr>
                <w:rFonts w:ascii="Arial" w:hAnsi="Arial" w:cs="Arial"/>
                <w:b/>
                <w:i/>
              </w:rPr>
              <w:t>Subpart E—Coal</w:t>
            </w:r>
          </w:p>
        </w:tc>
      </w:tr>
      <w:tr w14:paraId="5D752330" w14:textId="51ECF814" w:rsidTr="00ED76AB">
        <w:tblPrEx>
          <w:tblW w:w="8245" w:type="dxa"/>
          <w:tblInd w:w="210" w:type="dxa"/>
          <w:tblLayout w:type="fixed"/>
          <w:tblCellMar>
            <w:left w:w="120" w:type="dxa"/>
            <w:right w:w="120" w:type="dxa"/>
          </w:tblCellMar>
          <w:tblLook w:val="00A0"/>
        </w:tblPrEx>
        <w:trPr>
          <w:cantSplit/>
          <w:trHeight w:val="300"/>
        </w:trPr>
        <w:tc>
          <w:tcPr>
            <w:tcW w:w="1404" w:type="dxa"/>
            <w:tcBorders>
              <w:top w:val="single" w:sz="4" w:space="0" w:color="auto"/>
              <w:left w:val="single" w:sz="6" w:space="0" w:color="000000" w:themeColor="text1"/>
              <w:bottom w:val="single" w:sz="4" w:space="0" w:color="auto"/>
              <w:right w:val="single" w:sz="4" w:space="0" w:color="auto"/>
            </w:tcBorders>
          </w:tcPr>
          <w:p w:rsidR="00ED76AB" w:rsidRPr="009930F3" w:rsidP="00781782" w14:paraId="28B7AFC2" w14:textId="2291FDD3">
            <w:pPr>
              <w:tabs>
                <w:tab w:val="left" w:pos="-1080"/>
                <w:tab w:val="left" w:pos="-720"/>
                <w:tab w:val="left" w:pos="0"/>
                <w:tab w:val="left" w:pos="450"/>
                <w:tab w:val="left" w:pos="900"/>
                <w:tab w:val="left" w:pos="1350"/>
                <w:tab w:val="left" w:pos="1800"/>
                <w:tab w:val="left" w:pos="2880"/>
              </w:tabs>
              <w:rPr>
                <w:rFonts w:ascii="Arial" w:hAnsi="Arial" w:cs="Arial"/>
              </w:rPr>
            </w:pPr>
            <w:r w:rsidRPr="009930F3">
              <w:rPr>
                <w:rFonts w:ascii="Arial" w:hAnsi="Arial" w:cs="Arial"/>
              </w:rPr>
              <w:t>1217.250</w:t>
            </w:r>
          </w:p>
        </w:tc>
        <w:tc>
          <w:tcPr>
            <w:tcW w:w="2521" w:type="dxa"/>
            <w:tcBorders>
              <w:top w:val="single" w:sz="4" w:space="0" w:color="auto"/>
              <w:left w:val="single" w:sz="4" w:space="0" w:color="auto"/>
              <w:bottom w:val="single" w:sz="4" w:space="0" w:color="auto"/>
              <w:right w:val="single" w:sz="4" w:space="0" w:color="auto"/>
            </w:tcBorders>
          </w:tcPr>
          <w:p w:rsidR="00ED76AB" w:rsidP="00781782" w14:paraId="5CFE88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Furnish, free of charge, duplicate copies of audit reports that express opinions on such compliance with Federal lease terms relating to Federal royalties as directed by the Director for the Office of Natural Resources Revenue.</w:t>
            </w:r>
          </w:p>
          <w:p w:rsidR="00ED76AB" w:rsidP="00781782" w14:paraId="3C4FBB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ED76AB" w:rsidRPr="009930F3" w:rsidP="00781782" w14:paraId="29DE60AC" w14:textId="59DEF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30F3">
              <w:rPr>
                <w:rFonts w:ascii="Arial" w:hAnsi="Arial" w:cs="Arial"/>
              </w:rPr>
              <w:t>Furnish, free of charge, duplicate copies of annual or other audits of your books.</w:t>
            </w:r>
          </w:p>
        </w:tc>
        <w:tc>
          <w:tcPr>
            <w:tcW w:w="4320" w:type="dxa"/>
            <w:gridSpan w:val="3"/>
            <w:tcBorders>
              <w:top w:val="single" w:sz="6" w:space="0" w:color="000000" w:themeColor="text1"/>
              <w:left w:val="single" w:sz="4" w:space="0" w:color="auto"/>
              <w:bottom w:val="single" w:sz="6" w:space="0" w:color="000000" w:themeColor="text1"/>
              <w:right w:val="single" w:sz="6" w:space="0" w:color="000000" w:themeColor="text1"/>
            </w:tcBorders>
          </w:tcPr>
          <w:p w:rsidR="00ED76AB" w14:paraId="70E4D574" w14:textId="24BFFA78">
            <w:r w:rsidRPr="005428B5">
              <w:rPr>
                <w:rFonts w:ascii="Arial" w:hAnsi="Arial" w:cs="Arial"/>
              </w:rPr>
              <w:t>All burden hours associated with these sections for solid minerals are covered under OMB Control Number 1012-0010.</w:t>
            </w:r>
          </w:p>
        </w:tc>
      </w:tr>
      <w:tr w14:paraId="53706B4E" w14:textId="77777777">
        <w:tblPrEx>
          <w:tblW w:w="8245" w:type="dxa"/>
          <w:tblInd w:w="210" w:type="dxa"/>
          <w:tblLayout w:type="fixed"/>
          <w:tblCellMar>
            <w:left w:w="120" w:type="dxa"/>
            <w:right w:w="120" w:type="dxa"/>
          </w:tblCellMar>
          <w:tblLook w:val="00A0"/>
        </w:tblPrEx>
        <w:trPr>
          <w:cantSplit/>
          <w:trHeight w:val="300"/>
        </w:trPr>
        <w:tc>
          <w:tcPr>
            <w:tcW w:w="3925" w:type="dxa"/>
            <w:gridSpan w:val="2"/>
            <w:tcBorders>
              <w:top w:val="single" w:sz="4" w:space="0" w:color="auto"/>
              <w:left w:val="single" w:sz="6" w:space="0" w:color="000000" w:themeColor="text1"/>
              <w:bottom w:val="single" w:sz="4" w:space="0" w:color="auto"/>
              <w:right w:val="single" w:sz="4" w:space="0" w:color="auto"/>
            </w:tcBorders>
          </w:tcPr>
          <w:p w:rsidR="0054073D" w:rsidRPr="009930F3" w:rsidP="00781782" w14:paraId="67F27335" w14:textId="74749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4D51FA">
              <w:rPr>
                <w:rFonts w:ascii="Arial" w:hAnsi="Arial" w:cs="Arial"/>
                <w:b/>
              </w:rPr>
              <w:t>TOTAL BURDEN</w:t>
            </w:r>
          </w:p>
        </w:tc>
        <w:tc>
          <w:tcPr>
            <w:tcW w:w="990" w:type="dxa"/>
            <w:tcBorders>
              <w:top w:val="single" w:sz="6" w:space="0" w:color="000000" w:themeColor="text1"/>
              <w:left w:val="single" w:sz="6" w:space="0" w:color="000000" w:themeColor="text1"/>
              <w:bottom w:val="single" w:sz="4" w:space="0" w:color="auto"/>
              <w:right w:val="single" w:sz="6" w:space="0" w:color="000000" w:themeColor="text1"/>
            </w:tcBorders>
          </w:tcPr>
          <w:p w:rsidR="0054073D" w:rsidRPr="009930F3" w:rsidP="00781782" w14:paraId="5B3AB190" w14:textId="4442F41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p>
        </w:tc>
        <w:tc>
          <w:tcPr>
            <w:tcW w:w="1350" w:type="dxa"/>
          </w:tcPr>
          <w:p w:rsidR="0054073D" w:rsidRPr="009930F3" w:rsidP="002522F2" w14:paraId="75BABE12" w14:textId="14AE8B9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4D51FA">
              <w:rPr>
                <w:rFonts w:ascii="Arial" w:hAnsi="Arial" w:cs="Arial"/>
                <w:b/>
              </w:rPr>
              <w:t>10</w:t>
            </w:r>
          </w:p>
        </w:tc>
        <w:tc>
          <w:tcPr>
            <w:tcW w:w="1980" w:type="dxa"/>
            <w:tcBorders>
              <w:top w:val="single" w:sz="6" w:space="0" w:color="000000" w:themeColor="text1"/>
              <w:left w:val="single" w:sz="6" w:space="0" w:color="000000" w:themeColor="text1"/>
              <w:bottom w:val="single" w:sz="4" w:space="0" w:color="auto"/>
              <w:right w:val="single" w:sz="6" w:space="0" w:color="000000" w:themeColor="text1"/>
            </w:tcBorders>
          </w:tcPr>
          <w:p w:rsidR="0054073D" w:rsidRPr="009930F3" w:rsidP="002522F2" w14:paraId="181AB3CD" w14:textId="579A2DA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4D51FA">
              <w:rPr>
                <w:rFonts w:ascii="Arial" w:hAnsi="Arial" w:cs="Arial"/>
                <w:b/>
              </w:rPr>
              <w:t>80</w:t>
            </w:r>
          </w:p>
        </w:tc>
      </w:tr>
    </w:tbl>
    <w:p w:rsidR="0BA10842" w14:paraId="030D4927" w14:textId="71E89CDA"/>
    <w:p w:rsidR="0056251A" w:rsidRPr="00BA612A" w:rsidP="00733D30" w14:paraId="751D3272" w14:textId="77777777">
      <w:pPr>
        <w:widowControl w:val="0"/>
        <w:tabs>
          <w:tab w:val="left" w:pos="-1080"/>
          <w:tab w:val="left" w:pos="-720"/>
          <w:tab w:val="left" w:pos="360"/>
          <w:tab w:val="left" w:pos="810"/>
        </w:tabs>
        <w:rPr>
          <w:sz w:val="24"/>
          <w:szCs w:val="24"/>
        </w:rPr>
      </w:pPr>
    </w:p>
    <w:p w:rsidR="00295103" w:rsidRPr="00411123" w14:paraId="5C5F76D6" w14:textId="015C59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13.</w:t>
      </w:r>
      <w:r w:rsidRPr="00411123">
        <w:rPr>
          <w:b/>
          <w:i/>
          <w:sz w:val="24"/>
          <w:szCs w:val="24"/>
        </w:rPr>
        <w:tab/>
        <w:t xml:space="preserve">Provide an estimate of the total annual </w:t>
      </w:r>
      <w:r w:rsidRPr="00411123" w:rsidR="00DE1FFE">
        <w:rPr>
          <w:b/>
          <w:i/>
          <w:sz w:val="24"/>
          <w:szCs w:val="24"/>
        </w:rPr>
        <w:t>non-hour</w:t>
      </w:r>
      <w:r w:rsidRPr="00411123">
        <w:rPr>
          <w:b/>
          <w:i/>
          <w:sz w:val="24"/>
          <w:szCs w:val="24"/>
        </w:rPr>
        <w:t xml:space="preserve"> cost burden to respondents or recordkeepers resulting from the collection of information. (Do not include the cost of any hour burden </w:t>
      </w:r>
      <w:r w:rsidRPr="00411123" w:rsidR="004A6DFA">
        <w:rPr>
          <w:b/>
          <w:i/>
          <w:sz w:val="24"/>
          <w:szCs w:val="24"/>
        </w:rPr>
        <w:t xml:space="preserve">already reflected </w:t>
      </w:r>
      <w:r w:rsidRPr="00411123" w:rsidR="00F73931">
        <w:rPr>
          <w:b/>
          <w:i/>
          <w:sz w:val="24"/>
          <w:szCs w:val="24"/>
        </w:rPr>
        <w:t>in item 12</w:t>
      </w:r>
      <w:r w:rsidRPr="00411123" w:rsidR="0003029E">
        <w:rPr>
          <w:b/>
          <w:i/>
          <w:sz w:val="24"/>
          <w:szCs w:val="24"/>
        </w:rPr>
        <w:t xml:space="preserve"> and 14</w:t>
      </w:r>
      <w:r w:rsidRPr="00411123" w:rsidR="004A6DFA">
        <w:rPr>
          <w:b/>
          <w:i/>
          <w:sz w:val="24"/>
          <w:szCs w:val="24"/>
        </w:rPr>
        <w:t>.)</w:t>
      </w:r>
      <w:r w:rsidRPr="00411123" w:rsidR="0003029E">
        <w:rPr>
          <w:b/>
          <w:i/>
          <w:sz w:val="24"/>
          <w:szCs w:val="24"/>
        </w:rPr>
        <w:br/>
      </w:r>
    </w:p>
    <w:p w:rsidR="0013461A" w14:paraId="75E62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11123" w:rsidR="000257C8">
        <w:rPr>
          <w:b/>
          <w:i/>
          <w:sz w:val="24"/>
          <w:szCs w:val="24"/>
        </w:rPr>
        <w:t>(</w:t>
      </w:r>
      <w:r w:rsidRPr="00411123">
        <w:rPr>
          <w:b/>
          <w:i/>
          <w:sz w:val="24"/>
          <w:szCs w:val="24"/>
        </w:rPr>
        <w:t>including filing fees paid</w:t>
      </w:r>
      <w:r w:rsidRPr="00411123" w:rsidR="000257C8">
        <w:rPr>
          <w:b/>
          <w:i/>
          <w:sz w:val="24"/>
          <w:szCs w:val="24"/>
        </w:rPr>
        <w:t xml:space="preserve"> for form processing)</w:t>
      </w:r>
      <w:r w:rsidRPr="00411123">
        <w:rPr>
          <w:b/>
          <w:i/>
          <w:sz w:val="24"/>
          <w:szCs w:val="24"/>
        </w:rPr>
        <w:t>. Include descriptions of methods used to estimate major cost factors including system and technology acquisi</w:t>
      </w:r>
      <w:r w:rsidRPr="00411123">
        <w:rPr>
          <w:b/>
          <w:i/>
          <w:sz w:val="24"/>
          <w:szCs w:val="24"/>
        </w:rPr>
        <w:t xml:space="preserve">tion, expected useful life of capital equipment, the discount rate(s), and the time period over which costs will be incurred. Capital and start-up costs include, among </w:t>
      </w:r>
      <w:r w:rsidRPr="00411123">
        <w:rPr>
          <w:b/>
          <w:i/>
          <w:sz w:val="24"/>
          <w:szCs w:val="24"/>
        </w:rPr>
        <w:t>other items, preparations for collecting information such as purchasing computers and software; monitoring, sampling, drilling and testing equipment; and record storage facilities.</w:t>
      </w:r>
    </w:p>
    <w:p w:rsidR="00295103" w:rsidRPr="00411123" w14:paraId="555ED199" w14:textId="1D67A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00295103" w:rsidRPr="00411123" w14:paraId="319BBCF7" w14:textId="25378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w:t>
      </w:r>
      <w:r w:rsidRPr="00411123">
        <w:rPr>
          <w:b/>
          <w:i/>
          <w:sz w:val="24"/>
          <w:szCs w:val="24"/>
        </w:rPr>
        <w:t>ntaining the information collection, as appropriate.</w:t>
      </w:r>
      <w:r w:rsidRPr="00411123" w:rsidR="0003029E">
        <w:rPr>
          <w:b/>
          <w:i/>
          <w:sz w:val="24"/>
          <w:szCs w:val="24"/>
        </w:rPr>
        <w:br/>
      </w:r>
    </w:p>
    <w:p w:rsidR="00295103" w:rsidRPr="00411123" w14:paraId="3EAD1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37DB" w:rsidRPr="007726F9" w:rsidP="0013461A" w14:paraId="5BBB82AC" w14:textId="18C78CCB">
      <w:pPr>
        <w:widowControl w:val="0"/>
        <w:rPr>
          <w:sz w:val="24"/>
          <w:szCs w:val="24"/>
        </w:rPr>
      </w:pPr>
    </w:p>
    <w:p w:rsidR="007726F9" w:rsidRPr="00E56E39" w:rsidP="005714FC" w14:paraId="21F8F867" w14:textId="0C1625E6">
      <w:pPr>
        <w:widowControl w:val="0"/>
        <w:shd w:val="clear" w:color="auto" w:fill="FFFFFF"/>
        <w:rPr>
          <w:color w:val="222222"/>
          <w:sz w:val="24"/>
          <w:szCs w:val="24"/>
        </w:rPr>
      </w:pPr>
      <w:r>
        <w:rPr>
          <w:sz w:val="24"/>
          <w:szCs w:val="24"/>
        </w:rPr>
        <w:t>ONRR has</w:t>
      </w:r>
      <w:r w:rsidRPr="00733D30" w:rsidR="00E56E39">
        <w:rPr>
          <w:sz w:val="24"/>
          <w:szCs w:val="24"/>
        </w:rPr>
        <w:t xml:space="preserve"> identified no “non-hour” cost burdens for this collection of information.</w:t>
      </w:r>
    </w:p>
    <w:p w:rsidR="0088404B" w:rsidRPr="00D75FBA" w:rsidP="0013461A" w14:paraId="675E4F92" w14:textId="77777777">
      <w:pPr>
        <w:widowControl w:val="0"/>
        <w:rPr>
          <w:sz w:val="24"/>
          <w:szCs w:val="24"/>
        </w:rPr>
      </w:pPr>
    </w:p>
    <w:p w:rsidR="00CE1F39" w:rsidRPr="00411123" w:rsidP="00CE1F39" w14:paraId="281F912C" w14:textId="13BDF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14.</w:t>
      </w:r>
      <w:r w:rsidRPr="00411123">
        <w:rPr>
          <w:b/>
          <w:i/>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411123" w:rsidR="0060758B">
        <w:rPr>
          <w:b/>
          <w:i/>
          <w:sz w:val="24"/>
          <w:szCs w:val="24"/>
        </w:rPr>
        <w:t>his collection of information.</w:t>
      </w:r>
      <w:r w:rsidRPr="00411123">
        <w:rPr>
          <w:b/>
          <w:i/>
          <w:sz w:val="24"/>
          <w:szCs w:val="24"/>
        </w:rPr>
        <w:t xml:space="preserve"> </w:t>
      </w:r>
    </w:p>
    <w:p w:rsidR="00C64BA4" w:rsidRPr="00C64BA4" w:rsidP="00C64BA4" w14:paraId="708612B2" w14:textId="77777777">
      <w:pPr>
        <w:tabs>
          <w:tab w:val="left" w:pos="-1080"/>
          <w:tab w:val="left" w:pos="-720"/>
          <w:tab w:val="left" w:pos="360"/>
          <w:tab w:val="left" w:pos="720"/>
        </w:tabs>
        <w:rPr>
          <w:snapToGrid w:val="0"/>
          <w:sz w:val="24"/>
        </w:rPr>
      </w:pPr>
    </w:p>
    <w:p w:rsidR="00C64BA4" w:rsidRPr="00C64BA4" w:rsidP="40965E4B" w14:paraId="628835F7" w14:textId="73F974A4">
      <w:pPr>
        <w:tabs>
          <w:tab w:val="left" w:pos="360"/>
          <w:tab w:val="left" w:pos="720"/>
        </w:tabs>
        <w:rPr>
          <w:snapToGrid w:val="0"/>
          <w:sz w:val="24"/>
          <w:szCs w:val="24"/>
        </w:rPr>
      </w:pPr>
      <w:r w:rsidRPr="40965E4B">
        <w:rPr>
          <w:snapToGrid w:val="0"/>
          <w:sz w:val="24"/>
          <w:szCs w:val="24"/>
        </w:rPr>
        <w:t xml:space="preserve">ONRR estimates approximately </w:t>
      </w:r>
      <w:r w:rsidR="00866BB7">
        <w:rPr>
          <w:snapToGrid w:val="0"/>
          <w:sz w:val="24"/>
          <w:szCs w:val="24"/>
        </w:rPr>
        <w:t>ten</w:t>
      </w:r>
      <w:r w:rsidRPr="40965E4B">
        <w:rPr>
          <w:snapToGrid w:val="0"/>
          <w:sz w:val="24"/>
          <w:szCs w:val="24"/>
        </w:rPr>
        <w:t xml:space="preserve"> respondents annually</w:t>
      </w:r>
      <w:r w:rsidR="00597BF7">
        <w:rPr>
          <w:snapToGrid w:val="0"/>
          <w:sz w:val="24"/>
          <w:szCs w:val="24"/>
        </w:rPr>
        <w:t xml:space="preserve">. </w:t>
      </w:r>
      <w:r w:rsidRPr="40965E4B">
        <w:rPr>
          <w:snapToGrid w:val="0"/>
          <w:sz w:val="24"/>
          <w:szCs w:val="24"/>
        </w:rPr>
        <w:t xml:space="preserve">Reporters may also submit the required information monthly, annually, and on occasion. </w:t>
      </w:r>
      <w:r w:rsidRPr="40965E4B" w:rsidR="0056251A">
        <w:rPr>
          <w:snapToGrid w:val="0"/>
          <w:sz w:val="24"/>
          <w:szCs w:val="24"/>
        </w:rPr>
        <w:t>ONRR</w:t>
      </w:r>
      <w:r w:rsidRPr="40965E4B">
        <w:rPr>
          <w:snapToGrid w:val="0"/>
          <w:sz w:val="24"/>
          <w:szCs w:val="24"/>
        </w:rPr>
        <w:t xml:space="preserve"> estimate</w:t>
      </w:r>
      <w:r w:rsidRPr="40965E4B" w:rsidR="0056251A">
        <w:rPr>
          <w:snapToGrid w:val="0"/>
          <w:sz w:val="24"/>
          <w:szCs w:val="24"/>
        </w:rPr>
        <w:t>s</w:t>
      </w:r>
      <w:r w:rsidRPr="40965E4B">
        <w:rPr>
          <w:snapToGrid w:val="0"/>
          <w:sz w:val="24"/>
          <w:szCs w:val="24"/>
        </w:rPr>
        <w:t xml:space="preserve"> that the total annual reporting burden for industry is </w:t>
      </w:r>
      <w:r w:rsidR="004D51FA">
        <w:rPr>
          <w:snapToGrid w:val="0"/>
          <w:sz w:val="24"/>
          <w:szCs w:val="24"/>
        </w:rPr>
        <w:t>8</w:t>
      </w:r>
      <w:r w:rsidR="00866BB7">
        <w:rPr>
          <w:snapToGrid w:val="0"/>
          <w:sz w:val="24"/>
          <w:szCs w:val="24"/>
        </w:rPr>
        <w:t>0</w:t>
      </w:r>
      <w:r w:rsidRPr="40965E4B">
        <w:rPr>
          <w:snapToGrid w:val="0"/>
          <w:sz w:val="24"/>
          <w:szCs w:val="24"/>
        </w:rPr>
        <w:t xml:space="preserve"> hours, and that the Federal </w:t>
      </w:r>
      <w:r w:rsidR="004D51FA">
        <w:rPr>
          <w:snapToGrid w:val="0"/>
          <w:sz w:val="24"/>
          <w:szCs w:val="24"/>
        </w:rPr>
        <w:t>G</w:t>
      </w:r>
      <w:r w:rsidRPr="40965E4B">
        <w:rPr>
          <w:snapToGrid w:val="0"/>
          <w:sz w:val="24"/>
          <w:szCs w:val="24"/>
        </w:rPr>
        <w:t xml:space="preserve">overnment will require 1 hour of a government accountant’s time for each burden hour for industry to complete all data gathering requirements and to analyze </w:t>
      </w:r>
      <w:r w:rsidR="00B53274">
        <w:rPr>
          <w:snapToGrid w:val="0"/>
          <w:sz w:val="24"/>
          <w:szCs w:val="24"/>
        </w:rPr>
        <w:t xml:space="preserve">the lessee’s </w:t>
      </w:r>
      <w:r w:rsidR="00A24E39">
        <w:rPr>
          <w:snapToGrid w:val="0"/>
          <w:sz w:val="24"/>
          <w:szCs w:val="24"/>
        </w:rPr>
        <w:t>information</w:t>
      </w:r>
      <w:r w:rsidRPr="40965E4B">
        <w:rPr>
          <w:snapToGrid w:val="0"/>
          <w:sz w:val="24"/>
          <w:szCs w:val="24"/>
        </w:rPr>
        <w:t xml:space="preserve"> and </w:t>
      </w:r>
      <w:r w:rsidR="00E777A9">
        <w:rPr>
          <w:snapToGrid w:val="0"/>
          <w:sz w:val="24"/>
          <w:szCs w:val="24"/>
        </w:rPr>
        <w:t xml:space="preserve">any </w:t>
      </w:r>
      <w:r w:rsidRPr="40965E4B">
        <w:rPr>
          <w:snapToGrid w:val="0"/>
          <w:sz w:val="24"/>
          <w:szCs w:val="24"/>
        </w:rPr>
        <w:t>other related information.</w:t>
      </w:r>
    </w:p>
    <w:p w:rsidR="00C64BA4" w:rsidRPr="00C64BA4" w:rsidP="00C64BA4" w14:paraId="1E8B35F3" w14:textId="77777777">
      <w:pPr>
        <w:tabs>
          <w:tab w:val="left" w:pos="-1080"/>
          <w:tab w:val="left" w:pos="-720"/>
          <w:tab w:val="left" w:pos="360"/>
          <w:tab w:val="left" w:pos="720"/>
        </w:tabs>
        <w:rPr>
          <w:snapToGrid w:val="0"/>
          <w:sz w:val="24"/>
        </w:rPr>
      </w:pPr>
    </w:p>
    <w:p w:rsidR="00C22E0D" w:rsidP="006559FB" w14:paraId="43BCF50F" w14:textId="29C6CB60">
      <w:pPr>
        <w:tabs>
          <w:tab w:val="left" w:pos="-1080"/>
          <w:tab w:val="left" w:pos="-720"/>
          <w:tab w:val="left" w:pos="360"/>
          <w:tab w:val="left" w:pos="720"/>
        </w:tabs>
        <w:rPr>
          <w:snapToGrid w:val="0"/>
          <w:sz w:val="24"/>
        </w:rPr>
      </w:pPr>
      <w:r w:rsidRPr="0073489D">
        <w:rPr>
          <w:snapToGrid w:val="0"/>
          <w:sz w:val="24"/>
        </w:rPr>
        <w:t xml:space="preserve">ONRR expects that a government accountant will perform the work at the United States </w:t>
      </w:r>
      <w:r w:rsidRPr="0073489D" w:rsidR="0056251A">
        <w:rPr>
          <w:snapToGrid w:val="0"/>
          <w:sz w:val="24"/>
        </w:rPr>
        <w:t>202</w:t>
      </w:r>
      <w:r>
        <w:rPr>
          <w:snapToGrid w:val="0"/>
          <w:sz w:val="24"/>
        </w:rPr>
        <w:t>6</w:t>
      </w:r>
      <w:r w:rsidRPr="00C64BA4">
        <w:rPr>
          <w:snapToGrid w:val="0"/>
          <w:sz w:val="24"/>
        </w:rPr>
        <w:t xml:space="preserve"> General Schedule, Grade 12/Step 5, pay scale for the Denver, Colorado area. </w:t>
      </w:r>
      <w:r w:rsidRPr="009B655B" w:rsidR="009B655B">
        <w:rPr>
          <w:snapToGrid w:val="0"/>
          <w:sz w:val="24"/>
        </w:rPr>
        <w:t>The 202</w:t>
      </w:r>
      <w:r>
        <w:rPr>
          <w:snapToGrid w:val="0"/>
          <w:sz w:val="24"/>
        </w:rPr>
        <w:t>6</w:t>
      </w:r>
      <w:r w:rsidRPr="009B655B" w:rsidR="009B655B">
        <w:rPr>
          <w:snapToGrid w:val="0"/>
          <w:sz w:val="24"/>
        </w:rPr>
        <w:t xml:space="preserve"> salary tables for the Denver, Colorado, area are located at </w:t>
      </w:r>
      <w:r w:rsidRPr="009720C5" w:rsidR="009B655B">
        <w:rPr>
          <w:i/>
          <w:iCs/>
          <w:snapToGrid w:val="0"/>
          <w:sz w:val="24"/>
        </w:rPr>
        <w:t>https://www.opm.gov/policy-data-oversight/pay-leave/salaries-wages/salary-tables/2</w:t>
      </w:r>
      <w:r>
        <w:rPr>
          <w:i/>
          <w:iCs/>
          <w:snapToGrid w:val="0"/>
          <w:sz w:val="24"/>
        </w:rPr>
        <w:t>6</w:t>
      </w:r>
      <w:r w:rsidRPr="009720C5" w:rsidR="009B655B">
        <w:rPr>
          <w:i/>
          <w:iCs/>
          <w:snapToGrid w:val="0"/>
          <w:sz w:val="24"/>
        </w:rPr>
        <w:t>Tables/html/DEN_h.aspx</w:t>
      </w:r>
      <w:r w:rsidRPr="009B655B" w:rsidR="009B655B">
        <w:rPr>
          <w:i/>
          <w:iCs/>
          <w:snapToGrid w:val="0"/>
          <w:sz w:val="24"/>
        </w:rPr>
        <w:t>. </w:t>
      </w:r>
      <w:r w:rsidRPr="009B655B" w:rsidR="009B655B">
        <w:rPr>
          <w:snapToGrid w:val="0"/>
          <w:sz w:val="24"/>
        </w:rPr>
        <w:t>ONRR added a multiplier of 1.6 [</w:t>
      </w:r>
      <w:r w:rsidRPr="00C22E0D">
        <w:rPr>
          <w:snapToGrid w:val="0"/>
          <w:sz w:val="24"/>
        </w:rPr>
        <w:t xml:space="preserve">based on BLS News Release </w:t>
      </w:r>
      <w:r w:rsidRPr="008D6FD6">
        <w:rPr>
          <w:snapToGrid w:val="0"/>
          <w:sz w:val="24"/>
        </w:rPr>
        <w:t>USDL-26-0505, March 20, 2026</w:t>
      </w:r>
      <w:r w:rsidRPr="00C22E0D">
        <w:rPr>
          <w:bCs/>
          <w:snapToGrid w:val="0"/>
          <w:sz w:val="24"/>
        </w:rPr>
        <w:t xml:space="preserve">, at </w:t>
      </w:r>
      <w:r w:rsidRPr="008D6FD6">
        <w:rPr>
          <w:bCs/>
          <w:snapToGrid w:val="0"/>
          <w:sz w:val="24"/>
        </w:rPr>
        <w:t>https://www.bls.gov/news.release/pdf/ecec.pdf</w:t>
      </w:r>
      <w:r w:rsidRPr="00C22E0D">
        <w:rPr>
          <w:bCs/>
          <w:i/>
          <w:snapToGrid w:val="0"/>
          <w:sz w:val="24"/>
        </w:rPr>
        <w:t xml:space="preserve"> </w:t>
      </w:r>
      <w:r w:rsidRPr="00C22E0D">
        <w:rPr>
          <w:snapToGrid w:val="0"/>
          <w:sz w:val="24"/>
        </w:rPr>
        <w:t>for benefits</w:t>
      </w:r>
      <w:r w:rsidRPr="009B655B" w:rsidR="009B655B">
        <w:rPr>
          <w:snapToGrid w:val="0"/>
          <w:sz w:val="24"/>
        </w:rPr>
        <w:t xml:space="preserve">. Based on this information, ONRR estimated the hourly cost for a Federal </w:t>
      </w:r>
      <w:r w:rsidR="004D51FA">
        <w:rPr>
          <w:snapToGrid w:val="0"/>
          <w:sz w:val="24"/>
        </w:rPr>
        <w:t>G</w:t>
      </w:r>
      <w:r w:rsidRPr="009B655B" w:rsidR="009B655B">
        <w:rPr>
          <w:snapToGrid w:val="0"/>
          <w:sz w:val="24"/>
        </w:rPr>
        <w:t>overnment accountant to perform the work will be $</w:t>
      </w:r>
      <w:r w:rsidR="005A4D51">
        <w:rPr>
          <w:snapToGrid w:val="0"/>
          <w:sz w:val="24"/>
        </w:rPr>
        <w:t>8</w:t>
      </w:r>
      <w:r>
        <w:rPr>
          <w:snapToGrid w:val="0"/>
          <w:sz w:val="24"/>
        </w:rPr>
        <w:t>7</w:t>
      </w:r>
      <w:r w:rsidRPr="009B655B" w:rsidR="009B655B">
        <w:rPr>
          <w:snapToGrid w:val="0"/>
          <w:sz w:val="24"/>
        </w:rPr>
        <w:t>, calculated as follows:</w:t>
      </w:r>
      <w:r w:rsidR="009B655B">
        <w:rPr>
          <w:snapToGrid w:val="0"/>
          <w:sz w:val="24"/>
        </w:rPr>
        <w:t xml:space="preserve"> </w:t>
      </w:r>
    </w:p>
    <w:p w:rsidR="00C22E0D" w:rsidP="006559FB" w14:paraId="2745690A" w14:textId="77777777">
      <w:pPr>
        <w:tabs>
          <w:tab w:val="left" w:pos="-1080"/>
          <w:tab w:val="left" w:pos="-720"/>
          <w:tab w:val="left" w:pos="360"/>
          <w:tab w:val="left" w:pos="720"/>
        </w:tabs>
        <w:rPr>
          <w:snapToGrid w:val="0"/>
          <w:sz w:val="24"/>
        </w:rPr>
      </w:pPr>
    </w:p>
    <w:p w:rsidR="00C22E0D" w:rsidRPr="00C22E0D" w:rsidP="00C22E0D" w14:paraId="313D972B" w14:textId="27752A73">
      <w:pPr>
        <w:rPr>
          <w:snapToGrid w:val="0"/>
          <w:sz w:val="24"/>
          <w:szCs w:val="24"/>
        </w:rPr>
      </w:pPr>
      <w:r w:rsidRPr="00C22E0D">
        <w:rPr>
          <w:snapToGrid w:val="0"/>
          <w:sz w:val="24"/>
          <w:szCs w:val="24"/>
        </w:rPr>
        <w:t>$5</w:t>
      </w:r>
      <w:r>
        <w:rPr>
          <w:snapToGrid w:val="0"/>
          <w:sz w:val="24"/>
          <w:szCs w:val="24"/>
        </w:rPr>
        <w:t>4.20</w:t>
      </w:r>
      <w:r w:rsidRPr="00C22E0D">
        <w:rPr>
          <w:snapToGrid w:val="0"/>
          <w:sz w:val="24"/>
          <w:szCs w:val="24"/>
        </w:rPr>
        <w:t xml:space="preserve"> [GS-12/5] x 1.6 [benefits cost factor] = $8</w:t>
      </w:r>
      <w:r>
        <w:rPr>
          <w:snapToGrid w:val="0"/>
          <w:sz w:val="24"/>
          <w:szCs w:val="24"/>
        </w:rPr>
        <w:t>6.72</w:t>
      </w:r>
      <w:r w:rsidRPr="00C22E0D">
        <w:rPr>
          <w:snapToGrid w:val="0"/>
          <w:sz w:val="24"/>
          <w:szCs w:val="24"/>
        </w:rPr>
        <w:t xml:space="preserve"> [rounded to $8</w:t>
      </w:r>
      <w:r>
        <w:rPr>
          <w:snapToGrid w:val="0"/>
          <w:sz w:val="24"/>
          <w:szCs w:val="24"/>
        </w:rPr>
        <w:t>7</w:t>
      </w:r>
      <w:r w:rsidRPr="00C22E0D">
        <w:rPr>
          <w:snapToGrid w:val="0"/>
          <w:sz w:val="24"/>
          <w:szCs w:val="24"/>
        </w:rPr>
        <w:t xml:space="preserve">/hr.] </w:t>
      </w:r>
    </w:p>
    <w:p w:rsidR="00C22E0D" w:rsidRPr="00C22E0D" w:rsidP="00C22E0D" w14:paraId="22DD189A" w14:textId="77777777">
      <w:pPr>
        <w:rPr>
          <w:snapToGrid w:val="0"/>
          <w:sz w:val="24"/>
          <w:szCs w:val="24"/>
        </w:rPr>
      </w:pPr>
    </w:p>
    <w:p w:rsidR="00C22E0D" w:rsidRPr="00C22E0D" w:rsidP="00C22E0D" w14:paraId="17059D78" w14:textId="0101C30C">
      <w:pPr>
        <w:rPr>
          <w:snapToGrid w:val="0"/>
          <w:sz w:val="24"/>
          <w:szCs w:val="24"/>
        </w:rPr>
      </w:pPr>
      <w:r w:rsidRPr="00C22E0D">
        <w:rPr>
          <w:snapToGrid w:val="0"/>
          <w:sz w:val="24"/>
          <w:szCs w:val="24"/>
        </w:rPr>
        <w:t xml:space="preserve">The estimated annual cost to the Federal Government is </w:t>
      </w:r>
      <w:r w:rsidRPr="00C22E0D" w:rsidR="001C3961">
        <w:rPr>
          <w:snapToGrid w:val="0"/>
          <w:sz w:val="24"/>
          <w:szCs w:val="24"/>
        </w:rPr>
        <w:t>$</w:t>
      </w:r>
      <w:r w:rsidR="001C3961">
        <w:rPr>
          <w:snapToGrid w:val="0"/>
          <w:sz w:val="24"/>
          <w:szCs w:val="24"/>
        </w:rPr>
        <w:t>6,</w:t>
      </w:r>
      <w:r>
        <w:rPr>
          <w:snapToGrid w:val="0"/>
          <w:sz w:val="24"/>
          <w:szCs w:val="24"/>
        </w:rPr>
        <w:t>960</w:t>
      </w:r>
      <w:r w:rsidR="001C3961">
        <w:rPr>
          <w:snapToGrid w:val="0"/>
          <w:sz w:val="24"/>
          <w:szCs w:val="24"/>
        </w:rPr>
        <w:t xml:space="preserve"> </w:t>
      </w:r>
      <w:r w:rsidRPr="00C22E0D">
        <w:rPr>
          <w:snapToGrid w:val="0"/>
          <w:sz w:val="24"/>
          <w:szCs w:val="24"/>
        </w:rPr>
        <w:t>calculated as follows:</w:t>
      </w:r>
    </w:p>
    <w:p w:rsidR="00C22E0D" w:rsidRPr="00C22E0D" w:rsidP="00C22E0D" w14:paraId="4D76D00C" w14:textId="77777777">
      <w:pPr>
        <w:rPr>
          <w:snapToGrid w:val="0"/>
          <w:sz w:val="24"/>
          <w:szCs w:val="24"/>
        </w:rPr>
      </w:pPr>
    </w:p>
    <w:p w:rsidR="00C22E0D" w:rsidRPr="005437DB" w:rsidP="00C22E0D" w14:paraId="269D0979" w14:textId="5E41CFF8">
      <w:pPr>
        <w:rPr>
          <w:snapToGrid w:val="0"/>
          <w:sz w:val="24"/>
          <w:szCs w:val="24"/>
        </w:rPr>
      </w:pPr>
      <w:r>
        <w:rPr>
          <w:snapToGrid w:val="0"/>
          <w:sz w:val="24"/>
          <w:szCs w:val="24"/>
        </w:rPr>
        <w:t>80</w:t>
      </w:r>
      <w:r w:rsidRPr="00C22E0D">
        <w:rPr>
          <w:snapToGrid w:val="0"/>
          <w:sz w:val="24"/>
          <w:szCs w:val="24"/>
        </w:rPr>
        <w:t xml:space="preserve"> hrs. /year [estimated time] x $</w:t>
      </w:r>
      <w:r>
        <w:rPr>
          <w:snapToGrid w:val="0"/>
          <w:sz w:val="24"/>
          <w:szCs w:val="24"/>
        </w:rPr>
        <w:t>87</w:t>
      </w:r>
      <w:r w:rsidRPr="00C22E0D">
        <w:rPr>
          <w:snapToGrid w:val="0"/>
          <w:sz w:val="24"/>
          <w:szCs w:val="24"/>
        </w:rPr>
        <w:t>/hr. [for Federal employee] = $</w:t>
      </w:r>
      <w:r w:rsidR="001C3961">
        <w:rPr>
          <w:snapToGrid w:val="0"/>
          <w:sz w:val="24"/>
          <w:szCs w:val="24"/>
        </w:rPr>
        <w:t>6</w:t>
      </w:r>
      <w:r w:rsidR="001A153A">
        <w:rPr>
          <w:snapToGrid w:val="0"/>
          <w:sz w:val="24"/>
          <w:szCs w:val="24"/>
        </w:rPr>
        <w:t>,</w:t>
      </w:r>
      <w:r>
        <w:rPr>
          <w:snapToGrid w:val="0"/>
          <w:sz w:val="24"/>
          <w:szCs w:val="24"/>
        </w:rPr>
        <w:t>960</w:t>
      </w:r>
    </w:p>
    <w:p w:rsidR="005437DB" w:rsidP="004245C3" w14:paraId="7FBA0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5695" w:rsidP="001C5695" w14:paraId="0BBF2E76" w14:textId="7251660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1123">
        <w:rPr>
          <w:b/>
          <w:i/>
          <w:sz w:val="24"/>
          <w:szCs w:val="24"/>
        </w:rPr>
        <w:t>15.</w:t>
      </w:r>
      <w:r w:rsidRPr="00411123">
        <w:rPr>
          <w:b/>
          <w:i/>
          <w:sz w:val="24"/>
          <w:szCs w:val="24"/>
        </w:rPr>
        <w:tab/>
        <w:t xml:space="preserve">Explain the reasons for any program changes or adjustments </w:t>
      </w:r>
      <w:r w:rsidRPr="00411123" w:rsidR="00F73931">
        <w:rPr>
          <w:b/>
          <w:i/>
          <w:sz w:val="24"/>
          <w:szCs w:val="24"/>
        </w:rPr>
        <w:t>in hour or cost burden</w:t>
      </w:r>
      <w:r w:rsidRPr="00BA612A" w:rsidR="0060758B">
        <w:rPr>
          <w:sz w:val="24"/>
          <w:szCs w:val="24"/>
        </w:rPr>
        <w:t>.</w:t>
      </w:r>
    </w:p>
    <w:p w:rsidR="00E16E3F" w:rsidRPr="001C5695" w:rsidP="001C5695" w14:paraId="06D626B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4CAC" w:rsidP="003B4CAC" w14:paraId="0205A971" w14:textId="5B9D94A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4CAC">
        <w:rPr>
          <w:sz w:val="24"/>
          <w:szCs w:val="24"/>
        </w:rPr>
        <w:t>ONRR is proposing to change §§ 1206.259(b)(2)(v), 1206.262(b)(2)(v) within its solid minerals regulations, which would allow a lessee to propose a depreciation schedule if no depreciation schedule exists or has existed for an in-service fixed asset or if the depreciation schedule for an in-service fixed asset does not comply with the associated non-arm’s-length allowance regulations. Similar changes are also proposed at §§ 1206.259(b)(2)(v)(B) and 1206.262(b)(2)(v)(B) regarding a lessee’s ability to propose</w:t>
      </w:r>
      <w:r w:rsidRPr="003B4CAC">
        <w:rPr>
          <w:sz w:val="24"/>
          <w:szCs w:val="24"/>
        </w:rPr>
        <w:t xml:space="preserve"> a depreciation schedule and an alternative in-service date to ONRR under certain circumstances outlined above in the preamble to this proposed rule.</w:t>
      </w:r>
    </w:p>
    <w:p w:rsidR="003B4CAC" w:rsidRPr="003B4CAC" w:rsidP="003B4CAC" w14:paraId="4EAD0B1A" w14:textId="26580D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4CAC" w:rsidP="003B4CAC" w14:paraId="2E420C19" w14:textId="0B19D86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B4CAC">
        <w:rPr>
          <w:sz w:val="24"/>
          <w:szCs w:val="24"/>
        </w:rPr>
        <w:t>Thus, in sum, ONRR would be collecting the following new information associated with the proposed depreciation changes for Federal solid minerals</w:t>
      </w:r>
      <w:r>
        <w:rPr>
          <w:sz w:val="24"/>
          <w:szCs w:val="24"/>
        </w:rPr>
        <w:t>:</w:t>
      </w:r>
    </w:p>
    <w:p w:rsidR="003B4CAC" w:rsidRPr="003B4CAC" w:rsidP="003B4CAC" w14:paraId="37B09EA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4CAC" w:rsidP="003B4CAC" w14:paraId="36D6EFD4" w14:textId="177EF53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3B4CAC">
        <w:rPr>
          <w:sz w:val="24"/>
          <w:szCs w:val="24"/>
        </w:rPr>
        <w:t>•</w:t>
      </w:r>
      <w:r w:rsidRPr="003B4CAC">
        <w:rPr>
          <w:sz w:val="24"/>
          <w:szCs w:val="24"/>
        </w:rPr>
        <w:tab/>
        <w:t>Alternative in-service date – 30 CFR 1206.259(b)(2)(v)(B)(1) and 30 CFR 1206.262(b)(2)(v)(B)(1)</w:t>
      </w:r>
    </w:p>
    <w:p w:rsidR="003B4CAC" w:rsidRPr="003B4CAC" w:rsidP="003B4CAC" w14:paraId="3ECB9FC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4CAC" w:rsidP="003B4CAC" w14:paraId="2AE4DC58" w14:textId="59774DA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3B4CAC">
        <w:rPr>
          <w:sz w:val="24"/>
          <w:szCs w:val="24"/>
        </w:rPr>
        <w:t>•</w:t>
      </w:r>
      <w:r w:rsidRPr="003B4CAC">
        <w:rPr>
          <w:sz w:val="24"/>
          <w:szCs w:val="24"/>
        </w:rPr>
        <w:tab/>
        <w:t>Depreciation schedule proposal – 30 CFR 1206.259(b)(2)(v)(D) and 30 CFR 1206.262(b)(2)(v)(D)</w:t>
      </w:r>
    </w:p>
    <w:p w:rsidR="003B4CAC" w:rsidP="003B4CAC" w14:paraId="51CF9622"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5695" w:rsidRPr="001C5695" w:rsidP="001C5695" w14:paraId="35F8500C" w14:textId="6DA143B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changes proposed in ONRR’s rulemaking thereby result in an increase of 80</w:t>
      </w:r>
      <w:r w:rsidR="001D01B9">
        <w:rPr>
          <w:bCs/>
          <w:sz w:val="24"/>
          <w:szCs w:val="24"/>
        </w:rPr>
        <w:t xml:space="preserve"> burden hours</w:t>
      </w:r>
      <w:r w:rsidRPr="0073489D" w:rsidR="00E522AF">
        <w:rPr>
          <w:sz w:val="24"/>
          <w:szCs w:val="24"/>
        </w:rPr>
        <w:t>.</w:t>
      </w:r>
    </w:p>
    <w:p w:rsidR="0097482A" w:rsidP="0065495F" w14:paraId="66F8B86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11123" w:rsidP="00052BFA" w14:paraId="6D80D352" w14:textId="406E30A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16.</w:t>
      </w:r>
      <w:r w:rsidRPr="00411123">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38FA" w:rsidRPr="00BA612A" w:rsidP="00052BFA" w14:paraId="0237E8C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89F" w:rsidRPr="00BA612A" w:rsidP="00052BFA" w14:paraId="35E8E03F" w14:textId="30DBEAA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ONRR will not publish the data.</w:t>
      </w:r>
    </w:p>
    <w:p w:rsidR="00295103" w:rsidRPr="00411123" w:rsidP="00052BFA" w14:paraId="41EFAA3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295103" w:rsidRPr="00411123" w:rsidP="00052BFA" w14:paraId="22616B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17.</w:t>
      </w:r>
      <w:r w:rsidRPr="00411123">
        <w:rPr>
          <w:b/>
          <w:i/>
          <w:sz w:val="24"/>
          <w:szCs w:val="24"/>
        </w:rPr>
        <w:tab/>
      </w:r>
      <w:r w:rsidRPr="00411123">
        <w:rPr>
          <w:b/>
          <w:i/>
          <w:sz w:val="24"/>
          <w:szCs w:val="24"/>
        </w:rPr>
        <w:t>If seeking approval to not display the expiration date for OMB approval of the information collection, explain the reasons that display would be inappropriate.</w:t>
      </w:r>
    </w:p>
    <w:p w:rsidR="0001289F" w:rsidRPr="00BA612A" w:rsidP="00052BFA" w14:paraId="0E587DF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162A3F" w:rsidRPr="00162A3F" w:rsidP="00162A3F" w14:paraId="1088D2D6" w14:textId="30D083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62A3F">
        <w:rPr>
          <w:sz w:val="24"/>
          <w:szCs w:val="24"/>
        </w:rPr>
        <w:t xml:space="preserve">ONRR will display the OMB approval expiration date on </w:t>
      </w:r>
      <w:r w:rsidR="00D821A5">
        <w:rPr>
          <w:sz w:val="24"/>
          <w:szCs w:val="24"/>
        </w:rPr>
        <w:t xml:space="preserve">its </w:t>
      </w:r>
      <w:r w:rsidR="0014658C">
        <w:rPr>
          <w:sz w:val="24"/>
          <w:szCs w:val="24"/>
        </w:rPr>
        <w:t>website</w:t>
      </w:r>
      <w:r w:rsidR="00C57337">
        <w:rPr>
          <w:sz w:val="24"/>
          <w:szCs w:val="24"/>
        </w:rPr>
        <w:t xml:space="preserve">. ONRR maintains its ICR web page at </w:t>
      </w:r>
      <w:r w:rsidRPr="00040DB5" w:rsidR="00112EC1">
        <w:rPr>
          <w:sz w:val="24"/>
          <w:szCs w:val="24"/>
        </w:rPr>
        <w:t>https://onrr.gov/references/icrs</w:t>
      </w:r>
      <w:r w:rsidR="00112EC1">
        <w:rPr>
          <w:sz w:val="24"/>
          <w:szCs w:val="24"/>
        </w:rPr>
        <w:t xml:space="preserve">. </w:t>
      </w:r>
    </w:p>
    <w:p w:rsidR="00E91F01" w:rsidRPr="00411123" w:rsidP="00E91F01" w14:paraId="4D0DD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295103" w:rsidRPr="00411123" w:rsidP="00F14925" w14:paraId="26200D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 xml:space="preserve">18. Explain each exception to the </w:t>
      </w:r>
      <w:r w:rsidRPr="00411123" w:rsidR="005D39A7">
        <w:rPr>
          <w:b/>
          <w:i/>
          <w:sz w:val="24"/>
          <w:szCs w:val="24"/>
        </w:rPr>
        <w:t xml:space="preserve">topics of the </w:t>
      </w:r>
      <w:r w:rsidRPr="00411123">
        <w:rPr>
          <w:b/>
          <w:i/>
          <w:sz w:val="24"/>
          <w:szCs w:val="24"/>
        </w:rPr>
        <w:t>certification statement identified in "Certification for Paperwork Reduction Act Submissions</w:t>
      </w:r>
      <w:r w:rsidRPr="00411123" w:rsidR="005D39A7">
        <w:rPr>
          <w:b/>
          <w:i/>
          <w:sz w:val="24"/>
          <w:szCs w:val="24"/>
        </w:rPr>
        <w:t>.</w:t>
      </w:r>
      <w:r w:rsidRPr="00411123">
        <w:rPr>
          <w:b/>
          <w:i/>
          <w:sz w:val="24"/>
          <w:szCs w:val="24"/>
        </w:rPr>
        <w:t>"</w:t>
      </w:r>
    </w:p>
    <w:p w:rsidR="0001289F" w:rsidRPr="00BA612A" w:rsidP="0001289F" w14:paraId="36A7AF7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89F" w:rsidRPr="00BA612A" w:rsidP="004245C3" w14:paraId="5A03B382" w14:textId="609538D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To the extent that the topics apply to this collection of information, </w:t>
      </w:r>
      <w:r w:rsidR="003A412F">
        <w:rPr>
          <w:sz w:val="24"/>
          <w:szCs w:val="24"/>
        </w:rPr>
        <w:t xml:space="preserve">ONRR is </w:t>
      </w:r>
      <w:r w:rsidRPr="00BA612A">
        <w:rPr>
          <w:sz w:val="24"/>
          <w:szCs w:val="24"/>
        </w:rPr>
        <w:t>not making any exceptions to the “Certification for Paperwork Reduction Act Submissions.”</w:t>
      </w:r>
    </w:p>
    <w:p w:rsidR="00295103" w:rsidRPr="00BA612A" w14:paraId="5B0A7A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footerReference w:type="default" r:id="rId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24" w:rsidP="00D45AEC" w14:paraId="14D378C5" w14:textId="46C7003E">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p w:rsidR="00E30324" w14:paraId="0FCCD37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24C65"/>
    <w:multiLevelType w:val="hybridMultilevel"/>
    <w:tmpl w:val="4AC4C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011FE"/>
    <w:multiLevelType w:val="hybridMultilevel"/>
    <w:tmpl w:val="CCF69EA6"/>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4345CE4"/>
    <w:multiLevelType w:val="hybridMultilevel"/>
    <w:tmpl w:val="BFC43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A0175"/>
    <w:multiLevelType w:val="hybridMultilevel"/>
    <w:tmpl w:val="0A1E72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8E1B81"/>
    <w:multiLevelType w:val="multilevel"/>
    <w:tmpl w:val="D13EC6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1FADA1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5905854"/>
    <w:multiLevelType w:val="hybridMultilevel"/>
    <w:tmpl w:val="AD7AD6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84C4C79"/>
    <w:multiLevelType w:val="hybridMultilevel"/>
    <w:tmpl w:val="D1F67A2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5B4709"/>
    <w:multiLevelType w:val="hybridMultilevel"/>
    <w:tmpl w:val="A9B6267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D34048D"/>
    <w:multiLevelType w:val="hybridMultilevel"/>
    <w:tmpl w:val="E5B00ECE"/>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0">
    <w:nsid w:val="1DC7033C"/>
    <w:multiLevelType w:val="hybridMultilevel"/>
    <w:tmpl w:val="800490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DFD2587"/>
    <w:multiLevelType w:val="multilevel"/>
    <w:tmpl w:val="C7E2E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2D20C07"/>
    <w:multiLevelType w:val="hybridMultilevel"/>
    <w:tmpl w:val="2AFC7FC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7CC7857"/>
    <w:multiLevelType w:val="hybridMultilevel"/>
    <w:tmpl w:val="E1E809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91841E4"/>
    <w:multiLevelType w:val="multilevel"/>
    <w:tmpl w:val="392EE9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6A2FBE"/>
    <w:multiLevelType w:val="hybridMultilevel"/>
    <w:tmpl w:val="92A43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E26C91"/>
    <w:multiLevelType w:val="hybridMultilevel"/>
    <w:tmpl w:val="1FC07252"/>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6BB5EF6"/>
    <w:multiLevelType w:val="hybridMultilevel"/>
    <w:tmpl w:val="BE3ECB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8">
    <w:nsid w:val="39F822AB"/>
    <w:multiLevelType w:val="multilevel"/>
    <w:tmpl w:val="8B9C7B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EA8788D"/>
    <w:multiLevelType w:val="hybridMultilevel"/>
    <w:tmpl w:val="D8AA8A6E"/>
    <w:lvl w:ilvl="0">
      <w:start w:val="1"/>
      <w:numFmt w:val="bullet"/>
      <w:lvlText w:val=""/>
      <w:lvlJc w:val="left"/>
      <w:pPr>
        <w:tabs>
          <w:tab w:val="num" w:pos="313"/>
        </w:tabs>
        <w:ind w:left="673" w:hanging="360"/>
      </w:pPr>
      <w:rPr>
        <w:rFonts w:ascii="Symbol" w:hAnsi="Symbol" w:hint="default"/>
        <w:color w:val="auto"/>
      </w:rPr>
    </w:lvl>
    <w:lvl w:ilvl="1">
      <w:start w:val="1"/>
      <w:numFmt w:val="bullet"/>
      <w:lvlText w:val="o"/>
      <w:lvlJc w:val="left"/>
      <w:pPr>
        <w:tabs>
          <w:tab w:val="num" w:pos="1393"/>
        </w:tabs>
        <w:ind w:left="1393" w:hanging="360"/>
      </w:pPr>
      <w:rPr>
        <w:rFonts w:ascii="Courier New" w:hAnsi="Courier New" w:cs="Courier New" w:hint="default"/>
        <w:color w:val="auto"/>
      </w:rPr>
    </w:lvl>
    <w:lvl w:ilvl="2" w:tentative="1">
      <w:start w:val="1"/>
      <w:numFmt w:val="bullet"/>
      <w:lvlText w:val=""/>
      <w:lvlJc w:val="left"/>
      <w:pPr>
        <w:tabs>
          <w:tab w:val="num" w:pos="2113"/>
        </w:tabs>
        <w:ind w:left="2113" w:hanging="360"/>
      </w:pPr>
      <w:rPr>
        <w:rFonts w:ascii="Wingdings" w:hAnsi="Wingdings" w:hint="default"/>
      </w:rPr>
    </w:lvl>
    <w:lvl w:ilvl="3" w:tentative="1">
      <w:start w:val="1"/>
      <w:numFmt w:val="bullet"/>
      <w:lvlText w:val=""/>
      <w:lvlJc w:val="left"/>
      <w:pPr>
        <w:tabs>
          <w:tab w:val="num" w:pos="2833"/>
        </w:tabs>
        <w:ind w:left="2833" w:hanging="360"/>
      </w:pPr>
      <w:rPr>
        <w:rFonts w:ascii="Symbol" w:hAnsi="Symbol" w:hint="default"/>
      </w:rPr>
    </w:lvl>
    <w:lvl w:ilvl="4" w:tentative="1">
      <w:start w:val="1"/>
      <w:numFmt w:val="bullet"/>
      <w:lvlText w:val="o"/>
      <w:lvlJc w:val="left"/>
      <w:pPr>
        <w:tabs>
          <w:tab w:val="num" w:pos="3553"/>
        </w:tabs>
        <w:ind w:left="3553" w:hanging="360"/>
      </w:pPr>
      <w:rPr>
        <w:rFonts w:ascii="Courier New" w:hAnsi="Courier New" w:cs="Courier New" w:hint="default"/>
      </w:rPr>
    </w:lvl>
    <w:lvl w:ilvl="5" w:tentative="1">
      <w:start w:val="1"/>
      <w:numFmt w:val="bullet"/>
      <w:lvlText w:val=""/>
      <w:lvlJc w:val="left"/>
      <w:pPr>
        <w:tabs>
          <w:tab w:val="num" w:pos="4273"/>
        </w:tabs>
        <w:ind w:left="4273" w:hanging="360"/>
      </w:pPr>
      <w:rPr>
        <w:rFonts w:ascii="Wingdings" w:hAnsi="Wingdings" w:hint="default"/>
      </w:rPr>
    </w:lvl>
    <w:lvl w:ilvl="6" w:tentative="1">
      <w:start w:val="1"/>
      <w:numFmt w:val="bullet"/>
      <w:lvlText w:val=""/>
      <w:lvlJc w:val="left"/>
      <w:pPr>
        <w:tabs>
          <w:tab w:val="num" w:pos="4993"/>
        </w:tabs>
        <w:ind w:left="4993" w:hanging="360"/>
      </w:pPr>
      <w:rPr>
        <w:rFonts w:ascii="Symbol" w:hAnsi="Symbol" w:hint="default"/>
      </w:rPr>
    </w:lvl>
    <w:lvl w:ilvl="7" w:tentative="1">
      <w:start w:val="1"/>
      <w:numFmt w:val="bullet"/>
      <w:lvlText w:val="o"/>
      <w:lvlJc w:val="left"/>
      <w:pPr>
        <w:tabs>
          <w:tab w:val="num" w:pos="5713"/>
        </w:tabs>
        <w:ind w:left="5713" w:hanging="360"/>
      </w:pPr>
      <w:rPr>
        <w:rFonts w:ascii="Courier New" w:hAnsi="Courier New" w:cs="Courier New" w:hint="default"/>
      </w:rPr>
    </w:lvl>
    <w:lvl w:ilvl="8" w:tentative="1">
      <w:start w:val="1"/>
      <w:numFmt w:val="bullet"/>
      <w:lvlText w:val=""/>
      <w:lvlJc w:val="left"/>
      <w:pPr>
        <w:tabs>
          <w:tab w:val="num" w:pos="6433"/>
        </w:tabs>
        <w:ind w:left="6433" w:hanging="360"/>
      </w:pPr>
      <w:rPr>
        <w:rFonts w:ascii="Wingdings" w:hAnsi="Wingdings" w:hint="default"/>
      </w:rPr>
    </w:lvl>
  </w:abstractNum>
  <w:abstractNum w:abstractNumId="20">
    <w:nsid w:val="3F252062"/>
    <w:multiLevelType w:val="hybridMultilevel"/>
    <w:tmpl w:val="334C4A34"/>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03F038E"/>
    <w:multiLevelType w:val="hybridMultilevel"/>
    <w:tmpl w:val="3C9CA1B0"/>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3E14F67"/>
    <w:multiLevelType w:val="hybridMultilevel"/>
    <w:tmpl w:val="1B3E790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984FC9"/>
    <w:multiLevelType w:val="hybridMultilevel"/>
    <w:tmpl w:val="7972787A"/>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B20DD8"/>
    <w:multiLevelType w:val="hybridMultilevel"/>
    <w:tmpl w:val="2F94B086"/>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5CF57C0"/>
    <w:multiLevelType w:val="hybridMultilevel"/>
    <w:tmpl w:val="78ACBE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6">
    <w:nsid w:val="49754575"/>
    <w:multiLevelType w:val="hybridMultilevel"/>
    <w:tmpl w:val="9978010C"/>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CCF6C1B"/>
    <w:multiLevelType w:val="hybridMultilevel"/>
    <w:tmpl w:val="3006E5C0"/>
    <w:lvl w:ilvl="0">
      <w:start w:val="1"/>
      <w:numFmt w:val="bullet"/>
      <w:lvlText w:val=""/>
      <w:lvlJc w:val="left"/>
      <w:pPr>
        <w:tabs>
          <w:tab w:val="num" w:pos="108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color w:val="auto"/>
      </w:rPr>
    </w:lvl>
    <w:lvl w:ilvl="2">
      <w:start w:val="1"/>
      <w:numFmt w:val="bullet"/>
      <w:lvlText w:val=""/>
      <w:lvlJc w:val="left"/>
      <w:pPr>
        <w:tabs>
          <w:tab w:val="num" w:pos="2520"/>
        </w:tabs>
        <w:ind w:left="2880" w:hanging="360"/>
      </w:pPr>
      <w:rPr>
        <w:rFonts w:ascii="Symbol" w:hAnsi="Symbol" w:hint="default"/>
        <w:color w:val="auto"/>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4F954A0C"/>
    <w:multiLevelType w:val="hybridMultilevel"/>
    <w:tmpl w:val="F7481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BC30255"/>
    <w:multiLevelType w:val="hybridMultilevel"/>
    <w:tmpl w:val="6D62BA8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E79D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3476387"/>
    <w:multiLevelType w:val="hybridMultilevel"/>
    <w:tmpl w:val="F03E0906"/>
    <w:lvl w:ilvl="0">
      <w:start w:val="1"/>
      <w:numFmt w:val="upperLetter"/>
      <w:lvlText w:val="%1."/>
      <w:lvlJc w:val="left"/>
      <w:pPr>
        <w:ind w:left="0" w:hanging="360"/>
      </w:pPr>
      <w:rPr>
        <w:rFonts w:hint="default"/>
        <w:b/>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2">
    <w:nsid w:val="64475329"/>
    <w:multiLevelType w:val="hybridMultilevel"/>
    <w:tmpl w:val="97EA52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642326E"/>
    <w:multiLevelType w:val="hybridMultilevel"/>
    <w:tmpl w:val="A9C0A2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86D73CF"/>
    <w:multiLevelType w:val="hybridMultilevel"/>
    <w:tmpl w:val="F3DCCEC6"/>
    <w:lvl w:ilvl="0">
      <w:start w:val="1"/>
      <w:numFmt w:val="upperRoman"/>
      <w:lvlText w:val="%1."/>
      <w:lvlJc w:val="righ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5">
    <w:nsid w:val="6B421256"/>
    <w:multiLevelType w:val="hybridMultilevel"/>
    <w:tmpl w:val="602E19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01C3317"/>
    <w:multiLevelType w:val="hybridMultilevel"/>
    <w:tmpl w:val="7B82CBE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13F5BB1"/>
    <w:multiLevelType w:val="hybridMultilevel"/>
    <w:tmpl w:val="B5F4FF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590B86"/>
    <w:multiLevelType w:val="hybridMultilevel"/>
    <w:tmpl w:val="EC24A640"/>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51D23B0"/>
    <w:multiLevelType w:val="hybridMultilevel"/>
    <w:tmpl w:val="E7764B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5877B5C"/>
    <w:multiLevelType w:val="hybridMultilevel"/>
    <w:tmpl w:val="6CFEA5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9033B65"/>
    <w:multiLevelType w:val="hybridMultilevel"/>
    <w:tmpl w:val="ACE8BD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EA374BF"/>
    <w:multiLevelType w:val="hybridMultilevel"/>
    <w:tmpl w:val="474A32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755C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1115382">
    <w:abstractNumId w:val="21"/>
  </w:num>
  <w:num w:numId="2" w16cid:durableId="637763498">
    <w:abstractNumId w:val="12"/>
  </w:num>
  <w:num w:numId="3" w16cid:durableId="700404028">
    <w:abstractNumId w:val="23"/>
  </w:num>
  <w:num w:numId="4" w16cid:durableId="1406413604">
    <w:abstractNumId w:val="20"/>
  </w:num>
  <w:num w:numId="5" w16cid:durableId="363822339">
    <w:abstractNumId w:val="28"/>
  </w:num>
  <w:num w:numId="6" w16cid:durableId="1168331612">
    <w:abstractNumId w:val="13"/>
  </w:num>
  <w:num w:numId="7" w16cid:durableId="1966621039">
    <w:abstractNumId w:val="31"/>
  </w:num>
  <w:num w:numId="8" w16cid:durableId="1023634456">
    <w:abstractNumId w:val="39"/>
  </w:num>
  <w:num w:numId="9" w16cid:durableId="1709142612">
    <w:abstractNumId w:val="3"/>
  </w:num>
  <w:num w:numId="10" w16cid:durableId="764301987">
    <w:abstractNumId w:val="37"/>
  </w:num>
  <w:num w:numId="11" w16cid:durableId="801965511">
    <w:abstractNumId w:val="42"/>
  </w:num>
  <w:num w:numId="12" w16cid:durableId="863522147">
    <w:abstractNumId w:val="2"/>
  </w:num>
  <w:num w:numId="13" w16cid:durableId="289239568">
    <w:abstractNumId w:val="27"/>
  </w:num>
  <w:num w:numId="14" w16cid:durableId="1442147004">
    <w:abstractNumId w:val="8"/>
  </w:num>
  <w:num w:numId="15" w16cid:durableId="1015884014">
    <w:abstractNumId w:val="36"/>
  </w:num>
  <w:num w:numId="16" w16cid:durableId="354038257">
    <w:abstractNumId w:val="33"/>
  </w:num>
  <w:num w:numId="17" w16cid:durableId="1899317690">
    <w:abstractNumId w:val="16"/>
  </w:num>
  <w:num w:numId="18" w16cid:durableId="1441031215">
    <w:abstractNumId w:val="38"/>
  </w:num>
  <w:num w:numId="19" w16cid:durableId="932471627">
    <w:abstractNumId w:val="1"/>
  </w:num>
  <w:num w:numId="20" w16cid:durableId="271518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17508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2706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721034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2705226">
    <w:abstractNumId w:val="17"/>
  </w:num>
  <w:num w:numId="25" w16cid:durableId="1323703452">
    <w:abstractNumId w:val="25"/>
  </w:num>
  <w:num w:numId="26" w16cid:durableId="1233740006">
    <w:abstractNumId w:val="6"/>
  </w:num>
  <w:num w:numId="27" w16cid:durableId="1935433507">
    <w:abstractNumId w:val="32"/>
  </w:num>
  <w:num w:numId="28" w16cid:durableId="1191379548">
    <w:abstractNumId w:val="35"/>
  </w:num>
  <w:num w:numId="29" w16cid:durableId="244725811">
    <w:abstractNumId w:val="40"/>
  </w:num>
  <w:num w:numId="30" w16cid:durableId="618492630">
    <w:abstractNumId w:val="22"/>
  </w:num>
  <w:num w:numId="31" w16cid:durableId="1367680002">
    <w:abstractNumId w:val="10"/>
  </w:num>
  <w:num w:numId="32" w16cid:durableId="647175198">
    <w:abstractNumId w:val="41"/>
  </w:num>
  <w:num w:numId="33" w16cid:durableId="424687649">
    <w:abstractNumId w:val="24"/>
  </w:num>
  <w:num w:numId="34" w16cid:durableId="1083062499">
    <w:abstractNumId w:val="7"/>
  </w:num>
  <w:num w:numId="35" w16cid:durableId="650251858">
    <w:abstractNumId w:val="29"/>
  </w:num>
  <w:num w:numId="36" w16cid:durableId="791554406">
    <w:abstractNumId w:val="34"/>
  </w:num>
  <w:num w:numId="37" w16cid:durableId="360207459">
    <w:abstractNumId w:val="0"/>
  </w:num>
  <w:num w:numId="38" w16cid:durableId="2086415623">
    <w:abstractNumId w:val="26"/>
  </w:num>
  <w:num w:numId="39" w16cid:durableId="2038236495">
    <w:abstractNumId w:val="19"/>
  </w:num>
  <w:num w:numId="40" w16cid:durableId="842553063">
    <w:abstractNumId w:val="9"/>
  </w:num>
  <w:num w:numId="41" w16cid:durableId="14580683">
    <w:abstractNumId w:val="15"/>
  </w:num>
  <w:num w:numId="42" w16cid:durableId="2008701520">
    <w:abstractNumId w:val="5"/>
  </w:num>
  <w:num w:numId="43" w16cid:durableId="197553512">
    <w:abstractNumId w:val="30"/>
  </w:num>
  <w:num w:numId="44" w16cid:durableId="17447181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7BB3"/>
    <w:rsid w:val="00011486"/>
    <w:rsid w:val="0001289F"/>
    <w:rsid w:val="00012DFF"/>
    <w:rsid w:val="000137DD"/>
    <w:rsid w:val="00013FA8"/>
    <w:rsid w:val="000152ED"/>
    <w:rsid w:val="00017985"/>
    <w:rsid w:val="00020E1F"/>
    <w:rsid w:val="00021286"/>
    <w:rsid w:val="000221AB"/>
    <w:rsid w:val="00024F23"/>
    <w:rsid w:val="000257C8"/>
    <w:rsid w:val="00026233"/>
    <w:rsid w:val="000279AB"/>
    <w:rsid w:val="000301D6"/>
    <w:rsid w:val="0003029E"/>
    <w:rsid w:val="00031E01"/>
    <w:rsid w:val="000328C2"/>
    <w:rsid w:val="0003453A"/>
    <w:rsid w:val="000345FD"/>
    <w:rsid w:val="00035A58"/>
    <w:rsid w:val="000406DB"/>
    <w:rsid w:val="00040AA3"/>
    <w:rsid w:val="00040DB5"/>
    <w:rsid w:val="00041AE7"/>
    <w:rsid w:val="00042531"/>
    <w:rsid w:val="00043784"/>
    <w:rsid w:val="000459AD"/>
    <w:rsid w:val="00045DDA"/>
    <w:rsid w:val="000505E6"/>
    <w:rsid w:val="000524C8"/>
    <w:rsid w:val="00052706"/>
    <w:rsid w:val="00052BFA"/>
    <w:rsid w:val="00052C82"/>
    <w:rsid w:val="00052D4D"/>
    <w:rsid w:val="0005319C"/>
    <w:rsid w:val="0006131D"/>
    <w:rsid w:val="00061B7C"/>
    <w:rsid w:val="00062448"/>
    <w:rsid w:val="0006288C"/>
    <w:rsid w:val="00063C5F"/>
    <w:rsid w:val="00064444"/>
    <w:rsid w:val="000644DB"/>
    <w:rsid w:val="00067175"/>
    <w:rsid w:val="00070F40"/>
    <w:rsid w:val="00077A38"/>
    <w:rsid w:val="00080C61"/>
    <w:rsid w:val="000838B9"/>
    <w:rsid w:val="00083F1A"/>
    <w:rsid w:val="0008505E"/>
    <w:rsid w:val="00085222"/>
    <w:rsid w:val="00086337"/>
    <w:rsid w:val="00092D2F"/>
    <w:rsid w:val="000940DB"/>
    <w:rsid w:val="00095E78"/>
    <w:rsid w:val="000A1069"/>
    <w:rsid w:val="000A186F"/>
    <w:rsid w:val="000A1997"/>
    <w:rsid w:val="000A26E5"/>
    <w:rsid w:val="000A4AC6"/>
    <w:rsid w:val="000A5E6F"/>
    <w:rsid w:val="000B07A7"/>
    <w:rsid w:val="000B1DE9"/>
    <w:rsid w:val="000B54AE"/>
    <w:rsid w:val="000B736F"/>
    <w:rsid w:val="000B7946"/>
    <w:rsid w:val="000C13FA"/>
    <w:rsid w:val="000C17F4"/>
    <w:rsid w:val="000C272C"/>
    <w:rsid w:val="000C290E"/>
    <w:rsid w:val="000C3168"/>
    <w:rsid w:val="000C5E48"/>
    <w:rsid w:val="000C6940"/>
    <w:rsid w:val="000C6BFB"/>
    <w:rsid w:val="000C7090"/>
    <w:rsid w:val="000D2ACC"/>
    <w:rsid w:val="000D2FBE"/>
    <w:rsid w:val="000D40E2"/>
    <w:rsid w:val="000D591F"/>
    <w:rsid w:val="000D770D"/>
    <w:rsid w:val="000E2CA2"/>
    <w:rsid w:val="000E4BF5"/>
    <w:rsid w:val="000E50ED"/>
    <w:rsid w:val="000E5AE6"/>
    <w:rsid w:val="000F19F6"/>
    <w:rsid w:val="000F1C17"/>
    <w:rsid w:val="000F3AF1"/>
    <w:rsid w:val="0010105F"/>
    <w:rsid w:val="0010185D"/>
    <w:rsid w:val="00102758"/>
    <w:rsid w:val="0010371E"/>
    <w:rsid w:val="001044E7"/>
    <w:rsid w:val="00104BEE"/>
    <w:rsid w:val="00106A49"/>
    <w:rsid w:val="00112EC1"/>
    <w:rsid w:val="00115528"/>
    <w:rsid w:val="00115BAF"/>
    <w:rsid w:val="00116C64"/>
    <w:rsid w:val="001204AD"/>
    <w:rsid w:val="001209A8"/>
    <w:rsid w:val="00120EC9"/>
    <w:rsid w:val="0012116C"/>
    <w:rsid w:val="00124029"/>
    <w:rsid w:val="00124ABA"/>
    <w:rsid w:val="0013148E"/>
    <w:rsid w:val="00131CA2"/>
    <w:rsid w:val="00132AAE"/>
    <w:rsid w:val="0013461A"/>
    <w:rsid w:val="00134AC7"/>
    <w:rsid w:val="001367D3"/>
    <w:rsid w:val="00136D66"/>
    <w:rsid w:val="00136E3D"/>
    <w:rsid w:val="001407F1"/>
    <w:rsid w:val="00140A94"/>
    <w:rsid w:val="00141270"/>
    <w:rsid w:val="001423EA"/>
    <w:rsid w:val="001426FA"/>
    <w:rsid w:val="001427EE"/>
    <w:rsid w:val="001432D1"/>
    <w:rsid w:val="0014658C"/>
    <w:rsid w:val="00146A5C"/>
    <w:rsid w:val="00146D2D"/>
    <w:rsid w:val="00150FB7"/>
    <w:rsid w:val="00151F27"/>
    <w:rsid w:val="001525B7"/>
    <w:rsid w:val="00152B0A"/>
    <w:rsid w:val="001565D2"/>
    <w:rsid w:val="0016040F"/>
    <w:rsid w:val="00162A3F"/>
    <w:rsid w:val="00162B02"/>
    <w:rsid w:val="00162B42"/>
    <w:rsid w:val="00162EB0"/>
    <w:rsid w:val="0016326A"/>
    <w:rsid w:val="00163465"/>
    <w:rsid w:val="00163E09"/>
    <w:rsid w:val="00164403"/>
    <w:rsid w:val="00165236"/>
    <w:rsid w:val="00165DD0"/>
    <w:rsid w:val="0017102D"/>
    <w:rsid w:val="00176251"/>
    <w:rsid w:val="00176C1E"/>
    <w:rsid w:val="00176D18"/>
    <w:rsid w:val="00181B35"/>
    <w:rsid w:val="00182B9F"/>
    <w:rsid w:val="001845FE"/>
    <w:rsid w:val="00184A91"/>
    <w:rsid w:val="00187B7C"/>
    <w:rsid w:val="0019104E"/>
    <w:rsid w:val="00192806"/>
    <w:rsid w:val="00192A32"/>
    <w:rsid w:val="00195CB7"/>
    <w:rsid w:val="001974F1"/>
    <w:rsid w:val="001A08C2"/>
    <w:rsid w:val="001A153A"/>
    <w:rsid w:val="001A1BB2"/>
    <w:rsid w:val="001A22AC"/>
    <w:rsid w:val="001A26B5"/>
    <w:rsid w:val="001A34FD"/>
    <w:rsid w:val="001A3F6A"/>
    <w:rsid w:val="001A4397"/>
    <w:rsid w:val="001A5845"/>
    <w:rsid w:val="001A6280"/>
    <w:rsid w:val="001A6558"/>
    <w:rsid w:val="001A65A6"/>
    <w:rsid w:val="001B0340"/>
    <w:rsid w:val="001B04B5"/>
    <w:rsid w:val="001B2AD5"/>
    <w:rsid w:val="001B4087"/>
    <w:rsid w:val="001B518D"/>
    <w:rsid w:val="001B5C21"/>
    <w:rsid w:val="001B6D5A"/>
    <w:rsid w:val="001C2CE5"/>
    <w:rsid w:val="001C315C"/>
    <w:rsid w:val="001C3961"/>
    <w:rsid w:val="001C5695"/>
    <w:rsid w:val="001D01B9"/>
    <w:rsid w:val="001D04F5"/>
    <w:rsid w:val="001D0BDE"/>
    <w:rsid w:val="001D0CE8"/>
    <w:rsid w:val="001D2323"/>
    <w:rsid w:val="001D3A94"/>
    <w:rsid w:val="001D3F94"/>
    <w:rsid w:val="001D4FA7"/>
    <w:rsid w:val="001D6966"/>
    <w:rsid w:val="001D6BD7"/>
    <w:rsid w:val="001E0DA7"/>
    <w:rsid w:val="001E0FAA"/>
    <w:rsid w:val="001E10CC"/>
    <w:rsid w:val="001E6F5F"/>
    <w:rsid w:val="001F08DF"/>
    <w:rsid w:val="001F236A"/>
    <w:rsid w:val="001F2F88"/>
    <w:rsid w:val="001F3896"/>
    <w:rsid w:val="001F6B0C"/>
    <w:rsid w:val="001F7872"/>
    <w:rsid w:val="002000AC"/>
    <w:rsid w:val="00207965"/>
    <w:rsid w:val="00207AC6"/>
    <w:rsid w:val="00210A30"/>
    <w:rsid w:val="00212BB9"/>
    <w:rsid w:val="00215236"/>
    <w:rsid w:val="00215930"/>
    <w:rsid w:val="002211FF"/>
    <w:rsid w:val="00222C37"/>
    <w:rsid w:val="00223091"/>
    <w:rsid w:val="00223E9C"/>
    <w:rsid w:val="00226A95"/>
    <w:rsid w:val="00226AB0"/>
    <w:rsid w:val="002276EF"/>
    <w:rsid w:val="00227EDD"/>
    <w:rsid w:val="00234CD9"/>
    <w:rsid w:val="002363DF"/>
    <w:rsid w:val="002400AB"/>
    <w:rsid w:val="002408E5"/>
    <w:rsid w:val="00241F88"/>
    <w:rsid w:val="00243A5C"/>
    <w:rsid w:val="00244033"/>
    <w:rsid w:val="002453F0"/>
    <w:rsid w:val="00250440"/>
    <w:rsid w:val="002522F2"/>
    <w:rsid w:val="00252FD8"/>
    <w:rsid w:val="00254066"/>
    <w:rsid w:val="00255C98"/>
    <w:rsid w:val="00257DB9"/>
    <w:rsid w:val="00262184"/>
    <w:rsid w:val="00262F7B"/>
    <w:rsid w:val="00264366"/>
    <w:rsid w:val="00264A64"/>
    <w:rsid w:val="00267D4A"/>
    <w:rsid w:val="00267D59"/>
    <w:rsid w:val="0027037C"/>
    <w:rsid w:val="002718F9"/>
    <w:rsid w:val="00272623"/>
    <w:rsid w:val="00272AC1"/>
    <w:rsid w:val="002764F7"/>
    <w:rsid w:val="00276CAD"/>
    <w:rsid w:val="002775E6"/>
    <w:rsid w:val="00277D10"/>
    <w:rsid w:val="00281B67"/>
    <w:rsid w:val="002854A2"/>
    <w:rsid w:val="00285C42"/>
    <w:rsid w:val="00285E55"/>
    <w:rsid w:val="002869A0"/>
    <w:rsid w:val="0028721D"/>
    <w:rsid w:val="00287954"/>
    <w:rsid w:val="002919C8"/>
    <w:rsid w:val="00291AA9"/>
    <w:rsid w:val="00291F59"/>
    <w:rsid w:val="00291FDF"/>
    <w:rsid w:val="00295103"/>
    <w:rsid w:val="00295F06"/>
    <w:rsid w:val="002964A0"/>
    <w:rsid w:val="002A02E5"/>
    <w:rsid w:val="002A17E1"/>
    <w:rsid w:val="002A38F4"/>
    <w:rsid w:val="002A39B5"/>
    <w:rsid w:val="002A48D5"/>
    <w:rsid w:val="002A6F27"/>
    <w:rsid w:val="002A7012"/>
    <w:rsid w:val="002A7613"/>
    <w:rsid w:val="002B3E22"/>
    <w:rsid w:val="002B42D3"/>
    <w:rsid w:val="002B56B5"/>
    <w:rsid w:val="002C0D88"/>
    <w:rsid w:val="002C3C7F"/>
    <w:rsid w:val="002C4206"/>
    <w:rsid w:val="002C68AA"/>
    <w:rsid w:val="002D00ED"/>
    <w:rsid w:val="002D3E56"/>
    <w:rsid w:val="002D579D"/>
    <w:rsid w:val="002D69F6"/>
    <w:rsid w:val="002D7990"/>
    <w:rsid w:val="002E3255"/>
    <w:rsid w:val="002E4641"/>
    <w:rsid w:val="002F28BE"/>
    <w:rsid w:val="002F717B"/>
    <w:rsid w:val="0030079F"/>
    <w:rsid w:val="00302E7F"/>
    <w:rsid w:val="00303DC4"/>
    <w:rsid w:val="00304775"/>
    <w:rsid w:val="00304A02"/>
    <w:rsid w:val="0030746D"/>
    <w:rsid w:val="00307B3C"/>
    <w:rsid w:val="0031012C"/>
    <w:rsid w:val="00311598"/>
    <w:rsid w:val="003122A8"/>
    <w:rsid w:val="00313880"/>
    <w:rsid w:val="003166A0"/>
    <w:rsid w:val="00320B82"/>
    <w:rsid w:val="00320F7C"/>
    <w:rsid w:val="00322434"/>
    <w:rsid w:val="003228A2"/>
    <w:rsid w:val="0032384A"/>
    <w:rsid w:val="0032415D"/>
    <w:rsid w:val="0032610B"/>
    <w:rsid w:val="00330407"/>
    <w:rsid w:val="00330847"/>
    <w:rsid w:val="003360E1"/>
    <w:rsid w:val="0033633E"/>
    <w:rsid w:val="00337111"/>
    <w:rsid w:val="00337D27"/>
    <w:rsid w:val="00340B9C"/>
    <w:rsid w:val="003448E0"/>
    <w:rsid w:val="00351921"/>
    <w:rsid w:val="00351BCF"/>
    <w:rsid w:val="00351E1B"/>
    <w:rsid w:val="00352210"/>
    <w:rsid w:val="00352B1C"/>
    <w:rsid w:val="003554F7"/>
    <w:rsid w:val="00360ED5"/>
    <w:rsid w:val="00361114"/>
    <w:rsid w:val="003633FD"/>
    <w:rsid w:val="00364A4B"/>
    <w:rsid w:val="00365708"/>
    <w:rsid w:val="00366137"/>
    <w:rsid w:val="00366D69"/>
    <w:rsid w:val="00370C93"/>
    <w:rsid w:val="0037233B"/>
    <w:rsid w:val="00373CA5"/>
    <w:rsid w:val="003740DC"/>
    <w:rsid w:val="0037574F"/>
    <w:rsid w:val="00375852"/>
    <w:rsid w:val="003773D2"/>
    <w:rsid w:val="00377A6B"/>
    <w:rsid w:val="00381D22"/>
    <w:rsid w:val="0038357A"/>
    <w:rsid w:val="00385BEF"/>
    <w:rsid w:val="00385C0E"/>
    <w:rsid w:val="003865F7"/>
    <w:rsid w:val="00392188"/>
    <w:rsid w:val="00394393"/>
    <w:rsid w:val="00395A4B"/>
    <w:rsid w:val="00397093"/>
    <w:rsid w:val="00397269"/>
    <w:rsid w:val="003A0039"/>
    <w:rsid w:val="003A3E7D"/>
    <w:rsid w:val="003A412F"/>
    <w:rsid w:val="003A4488"/>
    <w:rsid w:val="003A4D75"/>
    <w:rsid w:val="003A4DD7"/>
    <w:rsid w:val="003A4F77"/>
    <w:rsid w:val="003A506A"/>
    <w:rsid w:val="003A5D3D"/>
    <w:rsid w:val="003A7F24"/>
    <w:rsid w:val="003B1773"/>
    <w:rsid w:val="003B4CAC"/>
    <w:rsid w:val="003B533E"/>
    <w:rsid w:val="003B6930"/>
    <w:rsid w:val="003B6B7A"/>
    <w:rsid w:val="003B7244"/>
    <w:rsid w:val="003B754D"/>
    <w:rsid w:val="003C0359"/>
    <w:rsid w:val="003C1D46"/>
    <w:rsid w:val="003C2807"/>
    <w:rsid w:val="003C2B47"/>
    <w:rsid w:val="003C3292"/>
    <w:rsid w:val="003C3683"/>
    <w:rsid w:val="003C5489"/>
    <w:rsid w:val="003C5498"/>
    <w:rsid w:val="003C623F"/>
    <w:rsid w:val="003C6725"/>
    <w:rsid w:val="003C78E4"/>
    <w:rsid w:val="003D15DD"/>
    <w:rsid w:val="003D72A6"/>
    <w:rsid w:val="003D79C6"/>
    <w:rsid w:val="003E0078"/>
    <w:rsid w:val="003E2B2B"/>
    <w:rsid w:val="003E2DE5"/>
    <w:rsid w:val="003E2EB8"/>
    <w:rsid w:val="003E3CBA"/>
    <w:rsid w:val="003F570C"/>
    <w:rsid w:val="00402321"/>
    <w:rsid w:val="0040344D"/>
    <w:rsid w:val="004058AA"/>
    <w:rsid w:val="004064D3"/>
    <w:rsid w:val="00406F33"/>
    <w:rsid w:val="004076A3"/>
    <w:rsid w:val="00410EFD"/>
    <w:rsid w:val="00411123"/>
    <w:rsid w:val="004121C3"/>
    <w:rsid w:val="00413D8F"/>
    <w:rsid w:val="00416834"/>
    <w:rsid w:val="004176EF"/>
    <w:rsid w:val="004176FA"/>
    <w:rsid w:val="00421769"/>
    <w:rsid w:val="004245C3"/>
    <w:rsid w:val="004311C5"/>
    <w:rsid w:val="00434028"/>
    <w:rsid w:val="00434B3A"/>
    <w:rsid w:val="004402F1"/>
    <w:rsid w:val="00440328"/>
    <w:rsid w:val="004408A5"/>
    <w:rsid w:val="00440A6D"/>
    <w:rsid w:val="0044168F"/>
    <w:rsid w:val="00441FC2"/>
    <w:rsid w:val="004467F4"/>
    <w:rsid w:val="00450603"/>
    <w:rsid w:val="004507A6"/>
    <w:rsid w:val="00450F9E"/>
    <w:rsid w:val="004515EC"/>
    <w:rsid w:val="004519F8"/>
    <w:rsid w:val="00452100"/>
    <w:rsid w:val="004524F1"/>
    <w:rsid w:val="00454D80"/>
    <w:rsid w:val="00456F19"/>
    <w:rsid w:val="00463197"/>
    <w:rsid w:val="00463F03"/>
    <w:rsid w:val="00464D1B"/>
    <w:rsid w:val="00465485"/>
    <w:rsid w:val="00465D2B"/>
    <w:rsid w:val="00471542"/>
    <w:rsid w:val="00472E7F"/>
    <w:rsid w:val="00474FA0"/>
    <w:rsid w:val="00481C32"/>
    <w:rsid w:val="004832D9"/>
    <w:rsid w:val="00485152"/>
    <w:rsid w:val="00486CA2"/>
    <w:rsid w:val="00486D10"/>
    <w:rsid w:val="004874E4"/>
    <w:rsid w:val="0048798E"/>
    <w:rsid w:val="00490718"/>
    <w:rsid w:val="00490E34"/>
    <w:rsid w:val="0049365D"/>
    <w:rsid w:val="00493AD9"/>
    <w:rsid w:val="004941FD"/>
    <w:rsid w:val="00494B68"/>
    <w:rsid w:val="00495070"/>
    <w:rsid w:val="004A03C2"/>
    <w:rsid w:val="004A0835"/>
    <w:rsid w:val="004A26D4"/>
    <w:rsid w:val="004A2D11"/>
    <w:rsid w:val="004A42EA"/>
    <w:rsid w:val="004A442C"/>
    <w:rsid w:val="004A6DFA"/>
    <w:rsid w:val="004B01BC"/>
    <w:rsid w:val="004B02B8"/>
    <w:rsid w:val="004B0930"/>
    <w:rsid w:val="004B173E"/>
    <w:rsid w:val="004B211A"/>
    <w:rsid w:val="004B26EB"/>
    <w:rsid w:val="004B2EB0"/>
    <w:rsid w:val="004B31A7"/>
    <w:rsid w:val="004B4A81"/>
    <w:rsid w:val="004B6F29"/>
    <w:rsid w:val="004C095D"/>
    <w:rsid w:val="004C426E"/>
    <w:rsid w:val="004C505F"/>
    <w:rsid w:val="004D1994"/>
    <w:rsid w:val="004D30CB"/>
    <w:rsid w:val="004D4949"/>
    <w:rsid w:val="004D51FA"/>
    <w:rsid w:val="004D5B0F"/>
    <w:rsid w:val="004D727E"/>
    <w:rsid w:val="004E001F"/>
    <w:rsid w:val="004E091E"/>
    <w:rsid w:val="004E17D3"/>
    <w:rsid w:val="004E1ADD"/>
    <w:rsid w:val="004E1B3E"/>
    <w:rsid w:val="004E2240"/>
    <w:rsid w:val="004E2EE5"/>
    <w:rsid w:val="004E40D5"/>
    <w:rsid w:val="004E58AF"/>
    <w:rsid w:val="004F153E"/>
    <w:rsid w:val="004F2A8D"/>
    <w:rsid w:val="004F4CCD"/>
    <w:rsid w:val="004F4DB1"/>
    <w:rsid w:val="004F50DF"/>
    <w:rsid w:val="0050410D"/>
    <w:rsid w:val="005043F0"/>
    <w:rsid w:val="00506D1D"/>
    <w:rsid w:val="00507048"/>
    <w:rsid w:val="0051089D"/>
    <w:rsid w:val="005115A3"/>
    <w:rsid w:val="005136FE"/>
    <w:rsid w:val="00514D15"/>
    <w:rsid w:val="00515A44"/>
    <w:rsid w:val="00517360"/>
    <w:rsid w:val="00520517"/>
    <w:rsid w:val="0052263E"/>
    <w:rsid w:val="00524041"/>
    <w:rsid w:val="00524BC5"/>
    <w:rsid w:val="00525251"/>
    <w:rsid w:val="00525467"/>
    <w:rsid w:val="005259E6"/>
    <w:rsid w:val="00526960"/>
    <w:rsid w:val="00530B9E"/>
    <w:rsid w:val="00532B82"/>
    <w:rsid w:val="005343E9"/>
    <w:rsid w:val="00534C31"/>
    <w:rsid w:val="005358E3"/>
    <w:rsid w:val="00535CC8"/>
    <w:rsid w:val="00536A5C"/>
    <w:rsid w:val="00537771"/>
    <w:rsid w:val="005377CE"/>
    <w:rsid w:val="00537A93"/>
    <w:rsid w:val="00537AF2"/>
    <w:rsid w:val="0054073D"/>
    <w:rsid w:val="00541CC4"/>
    <w:rsid w:val="005428B5"/>
    <w:rsid w:val="0054310E"/>
    <w:rsid w:val="005437DB"/>
    <w:rsid w:val="00543B9E"/>
    <w:rsid w:val="00544840"/>
    <w:rsid w:val="00545968"/>
    <w:rsid w:val="00545DE1"/>
    <w:rsid w:val="0054737C"/>
    <w:rsid w:val="00551343"/>
    <w:rsid w:val="00551A74"/>
    <w:rsid w:val="00551B63"/>
    <w:rsid w:val="00552772"/>
    <w:rsid w:val="00553A76"/>
    <w:rsid w:val="005557D7"/>
    <w:rsid w:val="0055769B"/>
    <w:rsid w:val="0056251A"/>
    <w:rsid w:val="005626F0"/>
    <w:rsid w:val="00563F06"/>
    <w:rsid w:val="00566634"/>
    <w:rsid w:val="0057126A"/>
    <w:rsid w:val="005714FC"/>
    <w:rsid w:val="005735B2"/>
    <w:rsid w:val="00576A10"/>
    <w:rsid w:val="00581B62"/>
    <w:rsid w:val="005829C4"/>
    <w:rsid w:val="0058352C"/>
    <w:rsid w:val="0058374C"/>
    <w:rsid w:val="00584E3C"/>
    <w:rsid w:val="00585B16"/>
    <w:rsid w:val="00587910"/>
    <w:rsid w:val="00590936"/>
    <w:rsid w:val="00591123"/>
    <w:rsid w:val="00591125"/>
    <w:rsid w:val="005914F5"/>
    <w:rsid w:val="005915D7"/>
    <w:rsid w:val="00592D83"/>
    <w:rsid w:val="005930F1"/>
    <w:rsid w:val="0059324F"/>
    <w:rsid w:val="00594EB2"/>
    <w:rsid w:val="005954D5"/>
    <w:rsid w:val="00595D88"/>
    <w:rsid w:val="00597AD0"/>
    <w:rsid w:val="00597BF7"/>
    <w:rsid w:val="005A13D6"/>
    <w:rsid w:val="005A4D51"/>
    <w:rsid w:val="005A6705"/>
    <w:rsid w:val="005A68AB"/>
    <w:rsid w:val="005A6A88"/>
    <w:rsid w:val="005B05DF"/>
    <w:rsid w:val="005B14E0"/>
    <w:rsid w:val="005B1646"/>
    <w:rsid w:val="005B210B"/>
    <w:rsid w:val="005B2237"/>
    <w:rsid w:val="005B6517"/>
    <w:rsid w:val="005C162C"/>
    <w:rsid w:val="005C1F9F"/>
    <w:rsid w:val="005C5A86"/>
    <w:rsid w:val="005C6595"/>
    <w:rsid w:val="005D2114"/>
    <w:rsid w:val="005D29E8"/>
    <w:rsid w:val="005D39A7"/>
    <w:rsid w:val="005D69DB"/>
    <w:rsid w:val="005D7446"/>
    <w:rsid w:val="005D7EE8"/>
    <w:rsid w:val="005E0031"/>
    <w:rsid w:val="005E0B5D"/>
    <w:rsid w:val="005E1063"/>
    <w:rsid w:val="005E12EB"/>
    <w:rsid w:val="005E19ED"/>
    <w:rsid w:val="005E2181"/>
    <w:rsid w:val="005E2A0B"/>
    <w:rsid w:val="005E4F0D"/>
    <w:rsid w:val="005E57B6"/>
    <w:rsid w:val="005E6944"/>
    <w:rsid w:val="005E7FC3"/>
    <w:rsid w:val="005F020A"/>
    <w:rsid w:val="005F0536"/>
    <w:rsid w:val="005F1594"/>
    <w:rsid w:val="005F16CB"/>
    <w:rsid w:val="005F366B"/>
    <w:rsid w:val="005F381D"/>
    <w:rsid w:val="005F4D6C"/>
    <w:rsid w:val="005F6BEB"/>
    <w:rsid w:val="005F6F79"/>
    <w:rsid w:val="0060203B"/>
    <w:rsid w:val="00602BAB"/>
    <w:rsid w:val="006038FA"/>
    <w:rsid w:val="00604542"/>
    <w:rsid w:val="00607178"/>
    <w:rsid w:val="0060758B"/>
    <w:rsid w:val="006122D2"/>
    <w:rsid w:val="00612A1F"/>
    <w:rsid w:val="00615CB6"/>
    <w:rsid w:val="0061710E"/>
    <w:rsid w:val="00621BC8"/>
    <w:rsid w:val="00621C6C"/>
    <w:rsid w:val="006245BC"/>
    <w:rsid w:val="00624CF6"/>
    <w:rsid w:val="00625831"/>
    <w:rsid w:val="0062619D"/>
    <w:rsid w:val="00630EB2"/>
    <w:rsid w:val="00633890"/>
    <w:rsid w:val="00634553"/>
    <w:rsid w:val="00634A74"/>
    <w:rsid w:val="0063625E"/>
    <w:rsid w:val="00636D72"/>
    <w:rsid w:val="006404AB"/>
    <w:rsid w:val="006421A1"/>
    <w:rsid w:val="006432A9"/>
    <w:rsid w:val="00644B15"/>
    <w:rsid w:val="00645DA6"/>
    <w:rsid w:val="006465F9"/>
    <w:rsid w:val="0065067C"/>
    <w:rsid w:val="00650CC4"/>
    <w:rsid w:val="006511F7"/>
    <w:rsid w:val="0065192A"/>
    <w:rsid w:val="00654189"/>
    <w:rsid w:val="0065495F"/>
    <w:rsid w:val="006559FB"/>
    <w:rsid w:val="006569B7"/>
    <w:rsid w:val="00663D4F"/>
    <w:rsid w:val="00664810"/>
    <w:rsid w:val="00664F4A"/>
    <w:rsid w:val="006654CD"/>
    <w:rsid w:val="00665E5C"/>
    <w:rsid w:val="00671C28"/>
    <w:rsid w:val="00671DF1"/>
    <w:rsid w:val="00674E97"/>
    <w:rsid w:val="006754C5"/>
    <w:rsid w:val="00675CC6"/>
    <w:rsid w:val="00676956"/>
    <w:rsid w:val="00676D82"/>
    <w:rsid w:val="00681F08"/>
    <w:rsid w:val="0068279D"/>
    <w:rsid w:val="0068730E"/>
    <w:rsid w:val="006909B3"/>
    <w:rsid w:val="00691EF7"/>
    <w:rsid w:val="006951B6"/>
    <w:rsid w:val="006A02FE"/>
    <w:rsid w:val="006A1C60"/>
    <w:rsid w:val="006A35A2"/>
    <w:rsid w:val="006A4817"/>
    <w:rsid w:val="006A5ACC"/>
    <w:rsid w:val="006A633B"/>
    <w:rsid w:val="006A6F4E"/>
    <w:rsid w:val="006B19F6"/>
    <w:rsid w:val="006B2BA1"/>
    <w:rsid w:val="006B2C26"/>
    <w:rsid w:val="006C1559"/>
    <w:rsid w:val="006C166C"/>
    <w:rsid w:val="006C3813"/>
    <w:rsid w:val="006C4455"/>
    <w:rsid w:val="006C7C15"/>
    <w:rsid w:val="006D20CE"/>
    <w:rsid w:val="006D2941"/>
    <w:rsid w:val="006E2298"/>
    <w:rsid w:val="006E339F"/>
    <w:rsid w:val="006E4296"/>
    <w:rsid w:val="006E4473"/>
    <w:rsid w:val="006E547A"/>
    <w:rsid w:val="006E5637"/>
    <w:rsid w:val="006E720B"/>
    <w:rsid w:val="006E7460"/>
    <w:rsid w:val="006E75E7"/>
    <w:rsid w:val="006F0527"/>
    <w:rsid w:val="006F5D6E"/>
    <w:rsid w:val="006F6CF2"/>
    <w:rsid w:val="007007B5"/>
    <w:rsid w:val="00701C0C"/>
    <w:rsid w:val="00707A52"/>
    <w:rsid w:val="007115C7"/>
    <w:rsid w:val="00712D7C"/>
    <w:rsid w:val="007136DE"/>
    <w:rsid w:val="00715B43"/>
    <w:rsid w:val="0071612F"/>
    <w:rsid w:val="00720918"/>
    <w:rsid w:val="00721257"/>
    <w:rsid w:val="0072164C"/>
    <w:rsid w:val="00721EF9"/>
    <w:rsid w:val="007221A0"/>
    <w:rsid w:val="00725C63"/>
    <w:rsid w:val="00727251"/>
    <w:rsid w:val="007327BD"/>
    <w:rsid w:val="00733816"/>
    <w:rsid w:val="00733D30"/>
    <w:rsid w:val="007344A3"/>
    <w:rsid w:val="0073489D"/>
    <w:rsid w:val="00737538"/>
    <w:rsid w:val="007471D4"/>
    <w:rsid w:val="007476C6"/>
    <w:rsid w:val="00750600"/>
    <w:rsid w:val="00750A79"/>
    <w:rsid w:val="00750DF6"/>
    <w:rsid w:val="007512EA"/>
    <w:rsid w:val="0075217F"/>
    <w:rsid w:val="00752E6F"/>
    <w:rsid w:val="007536D2"/>
    <w:rsid w:val="00762356"/>
    <w:rsid w:val="007629BB"/>
    <w:rsid w:val="007629CA"/>
    <w:rsid w:val="00763FBE"/>
    <w:rsid w:val="007655B8"/>
    <w:rsid w:val="007659CE"/>
    <w:rsid w:val="00765B38"/>
    <w:rsid w:val="007668D9"/>
    <w:rsid w:val="00767558"/>
    <w:rsid w:val="0077038E"/>
    <w:rsid w:val="007708C0"/>
    <w:rsid w:val="00770DB7"/>
    <w:rsid w:val="007726F9"/>
    <w:rsid w:val="0077298A"/>
    <w:rsid w:val="00773D6B"/>
    <w:rsid w:val="0077410E"/>
    <w:rsid w:val="007750EA"/>
    <w:rsid w:val="00775F6D"/>
    <w:rsid w:val="007765BF"/>
    <w:rsid w:val="007766D4"/>
    <w:rsid w:val="0077737F"/>
    <w:rsid w:val="00777C54"/>
    <w:rsid w:val="0078021C"/>
    <w:rsid w:val="00781782"/>
    <w:rsid w:val="007851E9"/>
    <w:rsid w:val="00785F2D"/>
    <w:rsid w:val="00787CD8"/>
    <w:rsid w:val="00787E64"/>
    <w:rsid w:val="00791329"/>
    <w:rsid w:val="00791904"/>
    <w:rsid w:val="00792FEC"/>
    <w:rsid w:val="0079621A"/>
    <w:rsid w:val="00796F6F"/>
    <w:rsid w:val="007A0011"/>
    <w:rsid w:val="007A14C6"/>
    <w:rsid w:val="007A2519"/>
    <w:rsid w:val="007A2B1C"/>
    <w:rsid w:val="007A4D38"/>
    <w:rsid w:val="007B570B"/>
    <w:rsid w:val="007B5AB0"/>
    <w:rsid w:val="007B7FE0"/>
    <w:rsid w:val="007C255C"/>
    <w:rsid w:val="007C2761"/>
    <w:rsid w:val="007C2CA7"/>
    <w:rsid w:val="007C308B"/>
    <w:rsid w:val="007C39D5"/>
    <w:rsid w:val="007C4DCE"/>
    <w:rsid w:val="007D0464"/>
    <w:rsid w:val="007D0FAF"/>
    <w:rsid w:val="007D0FD2"/>
    <w:rsid w:val="007D6A5D"/>
    <w:rsid w:val="007D77B2"/>
    <w:rsid w:val="007E0BFC"/>
    <w:rsid w:val="007E206A"/>
    <w:rsid w:val="007E21B5"/>
    <w:rsid w:val="007E4CF0"/>
    <w:rsid w:val="007E4ECC"/>
    <w:rsid w:val="007E76CA"/>
    <w:rsid w:val="007F02A8"/>
    <w:rsid w:val="007F4225"/>
    <w:rsid w:val="007F4A8F"/>
    <w:rsid w:val="008021EA"/>
    <w:rsid w:val="00803AF7"/>
    <w:rsid w:val="00806F96"/>
    <w:rsid w:val="0080737A"/>
    <w:rsid w:val="00810547"/>
    <w:rsid w:val="00811622"/>
    <w:rsid w:val="0081259F"/>
    <w:rsid w:val="008134D4"/>
    <w:rsid w:val="0081689F"/>
    <w:rsid w:val="008175B4"/>
    <w:rsid w:val="008258B7"/>
    <w:rsid w:val="00827722"/>
    <w:rsid w:val="008306AD"/>
    <w:rsid w:val="00834A70"/>
    <w:rsid w:val="008353A4"/>
    <w:rsid w:val="00835A22"/>
    <w:rsid w:val="00837F30"/>
    <w:rsid w:val="00840D93"/>
    <w:rsid w:val="00840E7B"/>
    <w:rsid w:val="00842FB0"/>
    <w:rsid w:val="00843DBF"/>
    <w:rsid w:val="00843EFF"/>
    <w:rsid w:val="00843FA9"/>
    <w:rsid w:val="008440F5"/>
    <w:rsid w:val="00845165"/>
    <w:rsid w:val="008454A0"/>
    <w:rsid w:val="00845715"/>
    <w:rsid w:val="008468BC"/>
    <w:rsid w:val="00846940"/>
    <w:rsid w:val="00850224"/>
    <w:rsid w:val="00851D71"/>
    <w:rsid w:val="00851DC1"/>
    <w:rsid w:val="00852B97"/>
    <w:rsid w:val="00854299"/>
    <w:rsid w:val="00855AF3"/>
    <w:rsid w:val="00856552"/>
    <w:rsid w:val="00856C81"/>
    <w:rsid w:val="00857B95"/>
    <w:rsid w:val="00857F0F"/>
    <w:rsid w:val="00860369"/>
    <w:rsid w:val="008630ED"/>
    <w:rsid w:val="00864351"/>
    <w:rsid w:val="00866BB7"/>
    <w:rsid w:val="00866D3B"/>
    <w:rsid w:val="00874FEA"/>
    <w:rsid w:val="0088003F"/>
    <w:rsid w:val="00881857"/>
    <w:rsid w:val="00881A07"/>
    <w:rsid w:val="00882057"/>
    <w:rsid w:val="0088404B"/>
    <w:rsid w:val="0088770B"/>
    <w:rsid w:val="008902F2"/>
    <w:rsid w:val="00890559"/>
    <w:rsid w:val="00890AD5"/>
    <w:rsid w:val="00892717"/>
    <w:rsid w:val="00892D2E"/>
    <w:rsid w:val="00892FCF"/>
    <w:rsid w:val="008940E9"/>
    <w:rsid w:val="00894446"/>
    <w:rsid w:val="00894F62"/>
    <w:rsid w:val="008951F0"/>
    <w:rsid w:val="008A0004"/>
    <w:rsid w:val="008A130C"/>
    <w:rsid w:val="008A16B4"/>
    <w:rsid w:val="008A16E6"/>
    <w:rsid w:val="008A263D"/>
    <w:rsid w:val="008A3312"/>
    <w:rsid w:val="008A37BA"/>
    <w:rsid w:val="008A3ADA"/>
    <w:rsid w:val="008A46FB"/>
    <w:rsid w:val="008A5E80"/>
    <w:rsid w:val="008A64BD"/>
    <w:rsid w:val="008A7723"/>
    <w:rsid w:val="008B215B"/>
    <w:rsid w:val="008B3546"/>
    <w:rsid w:val="008B4BCE"/>
    <w:rsid w:val="008B5DA3"/>
    <w:rsid w:val="008C056C"/>
    <w:rsid w:val="008C0DBF"/>
    <w:rsid w:val="008C1094"/>
    <w:rsid w:val="008C5F51"/>
    <w:rsid w:val="008C6C19"/>
    <w:rsid w:val="008D132B"/>
    <w:rsid w:val="008D1FC6"/>
    <w:rsid w:val="008D3196"/>
    <w:rsid w:val="008D45C8"/>
    <w:rsid w:val="008D6073"/>
    <w:rsid w:val="008D6CEE"/>
    <w:rsid w:val="008D6FD6"/>
    <w:rsid w:val="008D73A9"/>
    <w:rsid w:val="008E163B"/>
    <w:rsid w:val="008E48E8"/>
    <w:rsid w:val="008E573C"/>
    <w:rsid w:val="008E5838"/>
    <w:rsid w:val="008F006F"/>
    <w:rsid w:val="008F1E66"/>
    <w:rsid w:val="008F29BF"/>
    <w:rsid w:val="008F5B7B"/>
    <w:rsid w:val="008F68CC"/>
    <w:rsid w:val="009011A2"/>
    <w:rsid w:val="00901C26"/>
    <w:rsid w:val="009027FB"/>
    <w:rsid w:val="00902D22"/>
    <w:rsid w:val="00903489"/>
    <w:rsid w:val="00904CAD"/>
    <w:rsid w:val="00904E4F"/>
    <w:rsid w:val="00905CD8"/>
    <w:rsid w:val="00906B12"/>
    <w:rsid w:val="00907505"/>
    <w:rsid w:val="00907F79"/>
    <w:rsid w:val="00910898"/>
    <w:rsid w:val="0091194E"/>
    <w:rsid w:val="0091513A"/>
    <w:rsid w:val="009154CA"/>
    <w:rsid w:val="00923B6C"/>
    <w:rsid w:val="00925766"/>
    <w:rsid w:val="00925D9C"/>
    <w:rsid w:val="00926B2D"/>
    <w:rsid w:val="00930026"/>
    <w:rsid w:val="00932627"/>
    <w:rsid w:val="00935003"/>
    <w:rsid w:val="009368D3"/>
    <w:rsid w:val="009376F2"/>
    <w:rsid w:val="009379A5"/>
    <w:rsid w:val="00941294"/>
    <w:rsid w:val="00941941"/>
    <w:rsid w:val="00942011"/>
    <w:rsid w:val="009422EC"/>
    <w:rsid w:val="0094256D"/>
    <w:rsid w:val="00944C21"/>
    <w:rsid w:val="00946197"/>
    <w:rsid w:val="00947A2D"/>
    <w:rsid w:val="0095066F"/>
    <w:rsid w:val="00950D84"/>
    <w:rsid w:val="00956819"/>
    <w:rsid w:val="00957007"/>
    <w:rsid w:val="0096190B"/>
    <w:rsid w:val="0096278E"/>
    <w:rsid w:val="00963E4A"/>
    <w:rsid w:val="00964FDE"/>
    <w:rsid w:val="00967676"/>
    <w:rsid w:val="00970A28"/>
    <w:rsid w:val="009716E1"/>
    <w:rsid w:val="009720C5"/>
    <w:rsid w:val="0097249F"/>
    <w:rsid w:val="00972CB1"/>
    <w:rsid w:val="0097482A"/>
    <w:rsid w:val="009758B4"/>
    <w:rsid w:val="00981066"/>
    <w:rsid w:val="0098378B"/>
    <w:rsid w:val="0098546F"/>
    <w:rsid w:val="009859D8"/>
    <w:rsid w:val="0098667A"/>
    <w:rsid w:val="0098672D"/>
    <w:rsid w:val="00986AD8"/>
    <w:rsid w:val="00991098"/>
    <w:rsid w:val="009930F3"/>
    <w:rsid w:val="00994D98"/>
    <w:rsid w:val="009A012E"/>
    <w:rsid w:val="009A01FA"/>
    <w:rsid w:val="009A498E"/>
    <w:rsid w:val="009A6B0E"/>
    <w:rsid w:val="009A74B9"/>
    <w:rsid w:val="009A7900"/>
    <w:rsid w:val="009B02B3"/>
    <w:rsid w:val="009B359F"/>
    <w:rsid w:val="009B41B5"/>
    <w:rsid w:val="009B4FCF"/>
    <w:rsid w:val="009B6373"/>
    <w:rsid w:val="009B655B"/>
    <w:rsid w:val="009B7C32"/>
    <w:rsid w:val="009B7EC7"/>
    <w:rsid w:val="009C17A9"/>
    <w:rsid w:val="009C7ECB"/>
    <w:rsid w:val="009D0B5C"/>
    <w:rsid w:val="009D107E"/>
    <w:rsid w:val="009D1F14"/>
    <w:rsid w:val="009D3AC8"/>
    <w:rsid w:val="009D4ABB"/>
    <w:rsid w:val="009D51C9"/>
    <w:rsid w:val="009D6B7A"/>
    <w:rsid w:val="009E184A"/>
    <w:rsid w:val="009E2211"/>
    <w:rsid w:val="009E2733"/>
    <w:rsid w:val="009E2C66"/>
    <w:rsid w:val="009E3814"/>
    <w:rsid w:val="009E5BEE"/>
    <w:rsid w:val="009E6903"/>
    <w:rsid w:val="009E77F6"/>
    <w:rsid w:val="009F398F"/>
    <w:rsid w:val="009F5FC7"/>
    <w:rsid w:val="009F61A7"/>
    <w:rsid w:val="009F6563"/>
    <w:rsid w:val="009F7029"/>
    <w:rsid w:val="009F703A"/>
    <w:rsid w:val="009F77C8"/>
    <w:rsid w:val="009F7B88"/>
    <w:rsid w:val="00A002F6"/>
    <w:rsid w:val="00A035EF"/>
    <w:rsid w:val="00A03985"/>
    <w:rsid w:val="00A06C17"/>
    <w:rsid w:val="00A150A7"/>
    <w:rsid w:val="00A2189F"/>
    <w:rsid w:val="00A21A6A"/>
    <w:rsid w:val="00A21E12"/>
    <w:rsid w:val="00A22CFD"/>
    <w:rsid w:val="00A2311A"/>
    <w:rsid w:val="00A2324D"/>
    <w:rsid w:val="00A23D8E"/>
    <w:rsid w:val="00A24912"/>
    <w:rsid w:val="00A24E39"/>
    <w:rsid w:val="00A252D6"/>
    <w:rsid w:val="00A308E1"/>
    <w:rsid w:val="00A31744"/>
    <w:rsid w:val="00A328B1"/>
    <w:rsid w:val="00A32D1D"/>
    <w:rsid w:val="00A33CD1"/>
    <w:rsid w:val="00A349CE"/>
    <w:rsid w:val="00A37B7F"/>
    <w:rsid w:val="00A45119"/>
    <w:rsid w:val="00A4559D"/>
    <w:rsid w:val="00A46290"/>
    <w:rsid w:val="00A50F6B"/>
    <w:rsid w:val="00A53C26"/>
    <w:rsid w:val="00A53F0F"/>
    <w:rsid w:val="00A54063"/>
    <w:rsid w:val="00A552CA"/>
    <w:rsid w:val="00A56212"/>
    <w:rsid w:val="00A56EE4"/>
    <w:rsid w:val="00A602C9"/>
    <w:rsid w:val="00A60C11"/>
    <w:rsid w:val="00A63E18"/>
    <w:rsid w:val="00A63EC1"/>
    <w:rsid w:val="00A64EB1"/>
    <w:rsid w:val="00A64F2F"/>
    <w:rsid w:val="00A656D8"/>
    <w:rsid w:val="00A65D8D"/>
    <w:rsid w:val="00A706B0"/>
    <w:rsid w:val="00A71185"/>
    <w:rsid w:val="00A73012"/>
    <w:rsid w:val="00A73E10"/>
    <w:rsid w:val="00A76F61"/>
    <w:rsid w:val="00A7706D"/>
    <w:rsid w:val="00A80EFD"/>
    <w:rsid w:val="00A81226"/>
    <w:rsid w:val="00A81C9B"/>
    <w:rsid w:val="00A81FD1"/>
    <w:rsid w:val="00A937FD"/>
    <w:rsid w:val="00A9433E"/>
    <w:rsid w:val="00A9589F"/>
    <w:rsid w:val="00A96002"/>
    <w:rsid w:val="00A96290"/>
    <w:rsid w:val="00AA0DE0"/>
    <w:rsid w:val="00AA1693"/>
    <w:rsid w:val="00AA5B96"/>
    <w:rsid w:val="00AA604F"/>
    <w:rsid w:val="00AA7255"/>
    <w:rsid w:val="00AB06B7"/>
    <w:rsid w:val="00AB6948"/>
    <w:rsid w:val="00AC0447"/>
    <w:rsid w:val="00AC0D97"/>
    <w:rsid w:val="00AC2BEC"/>
    <w:rsid w:val="00AC67D7"/>
    <w:rsid w:val="00AC7242"/>
    <w:rsid w:val="00AD2F01"/>
    <w:rsid w:val="00AD41CF"/>
    <w:rsid w:val="00AD5014"/>
    <w:rsid w:val="00AD55AB"/>
    <w:rsid w:val="00AD6B4C"/>
    <w:rsid w:val="00AD6DB6"/>
    <w:rsid w:val="00AD7F83"/>
    <w:rsid w:val="00AE325D"/>
    <w:rsid w:val="00AE48F8"/>
    <w:rsid w:val="00AE56CC"/>
    <w:rsid w:val="00AF01CF"/>
    <w:rsid w:val="00AF056E"/>
    <w:rsid w:val="00AF11FC"/>
    <w:rsid w:val="00AF2F48"/>
    <w:rsid w:val="00AF6A02"/>
    <w:rsid w:val="00B0225C"/>
    <w:rsid w:val="00B05461"/>
    <w:rsid w:val="00B05E6F"/>
    <w:rsid w:val="00B06ED6"/>
    <w:rsid w:val="00B157AA"/>
    <w:rsid w:val="00B15980"/>
    <w:rsid w:val="00B16F87"/>
    <w:rsid w:val="00B17339"/>
    <w:rsid w:val="00B17D16"/>
    <w:rsid w:val="00B20214"/>
    <w:rsid w:val="00B2036A"/>
    <w:rsid w:val="00B21BFC"/>
    <w:rsid w:val="00B21DFD"/>
    <w:rsid w:val="00B22B69"/>
    <w:rsid w:val="00B27066"/>
    <w:rsid w:val="00B27B00"/>
    <w:rsid w:val="00B32CFB"/>
    <w:rsid w:val="00B3327A"/>
    <w:rsid w:val="00B33D78"/>
    <w:rsid w:val="00B358C5"/>
    <w:rsid w:val="00B35B6F"/>
    <w:rsid w:val="00B374AA"/>
    <w:rsid w:val="00B4054C"/>
    <w:rsid w:val="00B413D3"/>
    <w:rsid w:val="00B4155B"/>
    <w:rsid w:val="00B42973"/>
    <w:rsid w:val="00B44B26"/>
    <w:rsid w:val="00B47E44"/>
    <w:rsid w:val="00B5036A"/>
    <w:rsid w:val="00B50CD1"/>
    <w:rsid w:val="00B51A09"/>
    <w:rsid w:val="00B51A11"/>
    <w:rsid w:val="00B53274"/>
    <w:rsid w:val="00B53404"/>
    <w:rsid w:val="00B534A8"/>
    <w:rsid w:val="00B538B2"/>
    <w:rsid w:val="00B544FD"/>
    <w:rsid w:val="00B55099"/>
    <w:rsid w:val="00B561C6"/>
    <w:rsid w:val="00B56E6A"/>
    <w:rsid w:val="00B6365F"/>
    <w:rsid w:val="00B64823"/>
    <w:rsid w:val="00B655DD"/>
    <w:rsid w:val="00B658EA"/>
    <w:rsid w:val="00B67576"/>
    <w:rsid w:val="00B700AC"/>
    <w:rsid w:val="00B71ECA"/>
    <w:rsid w:val="00B72FE5"/>
    <w:rsid w:val="00B73FD8"/>
    <w:rsid w:val="00B7546F"/>
    <w:rsid w:val="00B759B8"/>
    <w:rsid w:val="00B764AF"/>
    <w:rsid w:val="00B777F8"/>
    <w:rsid w:val="00B77D03"/>
    <w:rsid w:val="00B80894"/>
    <w:rsid w:val="00B80E24"/>
    <w:rsid w:val="00B816EB"/>
    <w:rsid w:val="00B85FF0"/>
    <w:rsid w:val="00B9054B"/>
    <w:rsid w:val="00B910BE"/>
    <w:rsid w:val="00B910D0"/>
    <w:rsid w:val="00B934FE"/>
    <w:rsid w:val="00B968FA"/>
    <w:rsid w:val="00BA2B62"/>
    <w:rsid w:val="00BA3260"/>
    <w:rsid w:val="00BA357B"/>
    <w:rsid w:val="00BA3CA5"/>
    <w:rsid w:val="00BA4592"/>
    <w:rsid w:val="00BA4FD7"/>
    <w:rsid w:val="00BA507D"/>
    <w:rsid w:val="00BA612A"/>
    <w:rsid w:val="00BB05C5"/>
    <w:rsid w:val="00BB094F"/>
    <w:rsid w:val="00BB2BEC"/>
    <w:rsid w:val="00BB3D1E"/>
    <w:rsid w:val="00BB4229"/>
    <w:rsid w:val="00BC0B33"/>
    <w:rsid w:val="00BC1570"/>
    <w:rsid w:val="00BC268B"/>
    <w:rsid w:val="00BC5D17"/>
    <w:rsid w:val="00BC60CF"/>
    <w:rsid w:val="00BC67AE"/>
    <w:rsid w:val="00BC7137"/>
    <w:rsid w:val="00BC7580"/>
    <w:rsid w:val="00BC76BA"/>
    <w:rsid w:val="00BD19C6"/>
    <w:rsid w:val="00BD2D58"/>
    <w:rsid w:val="00BD2D98"/>
    <w:rsid w:val="00BD31D8"/>
    <w:rsid w:val="00BD3258"/>
    <w:rsid w:val="00BD3863"/>
    <w:rsid w:val="00BD42D3"/>
    <w:rsid w:val="00BD77F2"/>
    <w:rsid w:val="00BE02DC"/>
    <w:rsid w:val="00BE1392"/>
    <w:rsid w:val="00BE32FF"/>
    <w:rsid w:val="00BE35DE"/>
    <w:rsid w:val="00BE4E9C"/>
    <w:rsid w:val="00BF157C"/>
    <w:rsid w:val="00BF2378"/>
    <w:rsid w:val="00BF3D7A"/>
    <w:rsid w:val="00BF70F3"/>
    <w:rsid w:val="00C031B6"/>
    <w:rsid w:val="00C03D31"/>
    <w:rsid w:val="00C04006"/>
    <w:rsid w:val="00C04546"/>
    <w:rsid w:val="00C048AF"/>
    <w:rsid w:val="00C055C0"/>
    <w:rsid w:val="00C0599C"/>
    <w:rsid w:val="00C05E8C"/>
    <w:rsid w:val="00C060FC"/>
    <w:rsid w:val="00C066EC"/>
    <w:rsid w:val="00C0677F"/>
    <w:rsid w:val="00C10380"/>
    <w:rsid w:val="00C13F44"/>
    <w:rsid w:val="00C148EA"/>
    <w:rsid w:val="00C14FD5"/>
    <w:rsid w:val="00C158EA"/>
    <w:rsid w:val="00C172B2"/>
    <w:rsid w:val="00C178A8"/>
    <w:rsid w:val="00C21BBB"/>
    <w:rsid w:val="00C21F73"/>
    <w:rsid w:val="00C225F9"/>
    <w:rsid w:val="00C22A7C"/>
    <w:rsid w:val="00C22E0D"/>
    <w:rsid w:val="00C23762"/>
    <w:rsid w:val="00C241CA"/>
    <w:rsid w:val="00C3027A"/>
    <w:rsid w:val="00C30FFC"/>
    <w:rsid w:val="00C318FF"/>
    <w:rsid w:val="00C32C41"/>
    <w:rsid w:val="00C357B1"/>
    <w:rsid w:val="00C37606"/>
    <w:rsid w:val="00C40B25"/>
    <w:rsid w:val="00C45DD5"/>
    <w:rsid w:val="00C47617"/>
    <w:rsid w:val="00C51D8F"/>
    <w:rsid w:val="00C56C32"/>
    <w:rsid w:val="00C57337"/>
    <w:rsid w:val="00C61AE7"/>
    <w:rsid w:val="00C63752"/>
    <w:rsid w:val="00C6418B"/>
    <w:rsid w:val="00C64BA4"/>
    <w:rsid w:val="00C653EB"/>
    <w:rsid w:val="00C6571B"/>
    <w:rsid w:val="00C657AC"/>
    <w:rsid w:val="00C65C74"/>
    <w:rsid w:val="00C661DE"/>
    <w:rsid w:val="00C71AC8"/>
    <w:rsid w:val="00C72749"/>
    <w:rsid w:val="00C73873"/>
    <w:rsid w:val="00C74AA4"/>
    <w:rsid w:val="00C7642C"/>
    <w:rsid w:val="00C76F7E"/>
    <w:rsid w:val="00C806F6"/>
    <w:rsid w:val="00C81A47"/>
    <w:rsid w:val="00C85192"/>
    <w:rsid w:val="00C853AF"/>
    <w:rsid w:val="00C85805"/>
    <w:rsid w:val="00C85D1C"/>
    <w:rsid w:val="00C85FD3"/>
    <w:rsid w:val="00C94065"/>
    <w:rsid w:val="00C94F99"/>
    <w:rsid w:val="00C952B4"/>
    <w:rsid w:val="00C95B0E"/>
    <w:rsid w:val="00C974D1"/>
    <w:rsid w:val="00C978CD"/>
    <w:rsid w:val="00CA2854"/>
    <w:rsid w:val="00CA39E1"/>
    <w:rsid w:val="00CA5116"/>
    <w:rsid w:val="00CA5A84"/>
    <w:rsid w:val="00CA6DF3"/>
    <w:rsid w:val="00CB3F40"/>
    <w:rsid w:val="00CB6683"/>
    <w:rsid w:val="00CC02E2"/>
    <w:rsid w:val="00CC0621"/>
    <w:rsid w:val="00CC128C"/>
    <w:rsid w:val="00CC2DCD"/>
    <w:rsid w:val="00CC54B5"/>
    <w:rsid w:val="00CC557A"/>
    <w:rsid w:val="00CC5D60"/>
    <w:rsid w:val="00CD115C"/>
    <w:rsid w:val="00CD1859"/>
    <w:rsid w:val="00CD1E4A"/>
    <w:rsid w:val="00CD590D"/>
    <w:rsid w:val="00CE0B15"/>
    <w:rsid w:val="00CE0F3D"/>
    <w:rsid w:val="00CE1F39"/>
    <w:rsid w:val="00CE2FBD"/>
    <w:rsid w:val="00CE33E3"/>
    <w:rsid w:val="00CF3063"/>
    <w:rsid w:val="00CF312E"/>
    <w:rsid w:val="00CF4FB5"/>
    <w:rsid w:val="00CF5014"/>
    <w:rsid w:val="00CF60A8"/>
    <w:rsid w:val="00CF6C58"/>
    <w:rsid w:val="00CF7F21"/>
    <w:rsid w:val="00CF7F69"/>
    <w:rsid w:val="00D02066"/>
    <w:rsid w:val="00D03146"/>
    <w:rsid w:val="00D034B3"/>
    <w:rsid w:val="00D052E4"/>
    <w:rsid w:val="00D10C29"/>
    <w:rsid w:val="00D15631"/>
    <w:rsid w:val="00D16536"/>
    <w:rsid w:val="00D16CB6"/>
    <w:rsid w:val="00D170A7"/>
    <w:rsid w:val="00D20E39"/>
    <w:rsid w:val="00D223B8"/>
    <w:rsid w:val="00D23469"/>
    <w:rsid w:val="00D2431E"/>
    <w:rsid w:val="00D2502A"/>
    <w:rsid w:val="00D269BD"/>
    <w:rsid w:val="00D317BE"/>
    <w:rsid w:val="00D331A8"/>
    <w:rsid w:val="00D35554"/>
    <w:rsid w:val="00D360C2"/>
    <w:rsid w:val="00D36647"/>
    <w:rsid w:val="00D3786C"/>
    <w:rsid w:val="00D42CD5"/>
    <w:rsid w:val="00D45AEC"/>
    <w:rsid w:val="00D47616"/>
    <w:rsid w:val="00D47684"/>
    <w:rsid w:val="00D51D83"/>
    <w:rsid w:val="00D51DCA"/>
    <w:rsid w:val="00D524D3"/>
    <w:rsid w:val="00D5295E"/>
    <w:rsid w:val="00D52FCB"/>
    <w:rsid w:val="00D5384C"/>
    <w:rsid w:val="00D53BF0"/>
    <w:rsid w:val="00D548C1"/>
    <w:rsid w:val="00D55420"/>
    <w:rsid w:val="00D577CC"/>
    <w:rsid w:val="00D57AD0"/>
    <w:rsid w:val="00D61405"/>
    <w:rsid w:val="00D62413"/>
    <w:rsid w:val="00D63972"/>
    <w:rsid w:val="00D668A4"/>
    <w:rsid w:val="00D7260E"/>
    <w:rsid w:val="00D72BD4"/>
    <w:rsid w:val="00D73250"/>
    <w:rsid w:val="00D73658"/>
    <w:rsid w:val="00D73D13"/>
    <w:rsid w:val="00D74BFA"/>
    <w:rsid w:val="00D74FA3"/>
    <w:rsid w:val="00D75ADD"/>
    <w:rsid w:val="00D75FBA"/>
    <w:rsid w:val="00D769A7"/>
    <w:rsid w:val="00D775BD"/>
    <w:rsid w:val="00D8128F"/>
    <w:rsid w:val="00D81F4C"/>
    <w:rsid w:val="00D821A5"/>
    <w:rsid w:val="00D841E9"/>
    <w:rsid w:val="00D84F1D"/>
    <w:rsid w:val="00D85145"/>
    <w:rsid w:val="00D85C2C"/>
    <w:rsid w:val="00D87213"/>
    <w:rsid w:val="00D905A0"/>
    <w:rsid w:val="00D91BE3"/>
    <w:rsid w:val="00D95E3E"/>
    <w:rsid w:val="00DA0303"/>
    <w:rsid w:val="00DA2549"/>
    <w:rsid w:val="00DA3184"/>
    <w:rsid w:val="00DA3439"/>
    <w:rsid w:val="00DA465C"/>
    <w:rsid w:val="00DA4F56"/>
    <w:rsid w:val="00DA4FB9"/>
    <w:rsid w:val="00DA7978"/>
    <w:rsid w:val="00DA7D80"/>
    <w:rsid w:val="00DB17FA"/>
    <w:rsid w:val="00DB556D"/>
    <w:rsid w:val="00DB5929"/>
    <w:rsid w:val="00DB5F44"/>
    <w:rsid w:val="00DB6492"/>
    <w:rsid w:val="00DB7F6F"/>
    <w:rsid w:val="00DC13A6"/>
    <w:rsid w:val="00DC1A56"/>
    <w:rsid w:val="00DC2116"/>
    <w:rsid w:val="00DC3BEA"/>
    <w:rsid w:val="00DC5B34"/>
    <w:rsid w:val="00DD003A"/>
    <w:rsid w:val="00DD0353"/>
    <w:rsid w:val="00DD0CF6"/>
    <w:rsid w:val="00DD1025"/>
    <w:rsid w:val="00DD28B1"/>
    <w:rsid w:val="00DD587D"/>
    <w:rsid w:val="00DD5AA5"/>
    <w:rsid w:val="00DD6FC6"/>
    <w:rsid w:val="00DD7909"/>
    <w:rsid w:val="00DE0977"/>
    <w:rsid w:val="00DE1FFE"/>
    <w:rsid w:val="00DE2251"/>
    <w:rsid w:val="00DE2F29"/>
    <w:rsid w:val="00DE4E39"/>
    <w:rsid w:val="00DE5B9B"/>
    <w:rsid w:val="00DE5EE9"/>
    <w:rsid w:val="00DE750C"/>
    <w:rsid w:val="00DE7630"/>
    <w:rsid w:val="00DF0016"/>
    <w:rsid w:val="00DF015F"/>
    <w:rsid w:val="00DF109A"/>
    <w:rsid w:val="00DF5014"/>
    <w:rsid w:val="00DF630D"/>
    <w:rsid w:val="00DF6EB0"/>
    <w:rsid w:val="00E000E9"/>
    <w:rsid w:val="00E010D1"/>
    <w:rsid w:val="00E01C83"/>
    <w:rsid w:val="00E0279E"/>
    <w:rsid w:val="00E109BE"/>
    <w:rsid w:val="00E135C5"/>
    <w:rsid w:val="00E142D1"/>
    <w:rsid w:val="00E161E0"/>
    <w:rsid w:val="00E16E3F"/>
    <w:rsid w:val="00E21EA7"/>
    <w:rsid w:val="00E24586"/>
    <w:rsid w:val="00E24DF9"/>
    <w:rsid w:val="00E30324"/>
    <w:rsid w:val="00E30A41"/>
    <w:rsid w:val="00E30C11"/>
    <w:rsid w:val="00E36A3B"/>
    <w:rsid w:val="00E36A94"/>
    <w:rsid w:val="00E36F04"/>
    <w:rsid w:val="00E37C3E"/>
    <w:rsid w:val="00E40188"/>
    <w:rsid w:val="00E42157"/>
    <w:rsid w:val="00E458C5"/>
    <w:rsid w:val="00E50477"/>
    <w:rsid w:val="00E522AF"/>
    <w:rsid w:val="00E5254C"/>
    <w:rsid w:val="00E525CA"/>
    <w:rsid w:val="00E534CD"/>
    <w:rsid w:val="00E53AA7"/>
    <w:rsid w:val="00E53B94"/>
    <w:rsid w:val="00E561BE"/>
    <w:rsid w:val="00E56E39"/>
    <w:rsid w:val="00E6013B"/>
    <w:rsid w:val="00E6130B"/>
    <w:rsid w:val="00E61419"/>
    <w:rsid w:val="00E617CA"/>
    <w:rsid w:val="00E61CBF"/>
    <w:rsid w:val="00E6304D"/>
    <w:rsid w:val="00E63BCD"/>
    <w:rsid w:val="00E63FDB"/>
    <w:rsid w:val="00E67831"/>
    <w:rsid w:val="00E72345"/>
    <w:rsid w:val="00E74912"/>
    <w:rsid w:val="00E777A9"/>
    <w:rsid w:val="00E80CBF"/>
    <w:rsid w:val="00E82A39"/>
    <w:rsid w:val="00E841E8"/>
    <w:rsid w:val="00E858AB"/>
    <w:rsid w:val="00E877C7"/>
    <w:rsid w:val="00E91F01"/>
    <w:rsid w:val="00E937EA"/>
    <w:rsid w:val="00E956D7"/>
    <w:rsid w:val="00E96F69"/>
    <w:rsid w:val="00E97CC3"/>
    <w:rsid w:val="00EA0F5E"/>
    <w:rsid w:val="00EA2051"/>
    <w:rsid w:val="00EA25E9"/>
    <w:rsid w:val="00EA4927"/>
    <w:rsid w:val="00EA6377"/>
    <w:rsid w:val="00EA69B2"/>
    <w:rsid w:val="00EB0C03"/>
    <w:rsid w:val="00EB2BB8"/>
    <w:rsid w:val="00EB3F75"/>
    <w:rsid w:val="00EB5078"/>
    <w:rsid w:val="00EB63FB"/>
    <w:rsid w:val="00EB6437"/>
    <w:rsid w:val="00EC066C"/>
    <w:rsid w:val="00EC1348"/>
    <w:rsid w:val="00EC1987"/>
    <w:rsid w:val="00EC1B73"/>
    <w:rsid w:val="00EC3B48"/>
    <w:rsid w:val="00EC4E23"/>
    <w:rsid w:val="00EC6666"/>
    <w:rsid w:val="00EC669E"/>
    <w:rsid w:val="00EC691D"/>
    <w:rsid w:val="00ED0C63"/>
    <w:rsid w:val="00ED1B7C"/>
    <w:rsid w:val="00ED396B"/>
    <w:rsid w:val="00ED76AB"/>
    <w:rsid w:val="00EE0D6C"/>
    <w:rsid w:val="00EE1650"/>
    <w:rsid w:val="00EE3068"/>
    <w:rsid w:val="00EE5F93"/>
    <w:rsid w:val="00EF0D2C"/>
    <w:rsid w:val="00EF1544"/>
    <w:rsid w:val="00EF7A5A"/>
    <w:rsid w:val="00F00650"/>
    <w:rsid w:val="00F02161"/>
    <w:rsid w:val="00F03A12"/>
    <w:rsid w:val="00F04BA3"/>
    <w:rsid w:val="00F054BA"/>
    <w:rsid w:val="00F05F02"/>
    <w:rsid w:val="00F13708"/>
    <w:rsid w:val="00F14925"/>
    <w:rsid w:val="00F21468"/>
    <w:rsid w:val="00F21808"/>
    <w:rsid w:val="00F22520"/>
    <w:rsid w:val="00F242F6"/>
    <w:rsid w:val="00F24D3E"/>
    <w:rsid w:val="00F250F4"/>
    <w:rsid w:val="00F261AB"/>
    <w:rsid w:val="00F27733"/>
    <w:rsid w:val="00F30C54"/>
    <w:rsid w:val="00F31CDE"/>
    <w:rsid w:val="00F32F03"/>
    <w:rsid w:val="00F33107"/>
    <w:rsid w:val="00F35F85"/>
    <w:rsid w:val="00F37630"/>
    <w:rsid w:val="00F37A2E"/>
    <w:rsid w:val="00F42A34"/>
    <w:rsid w:val="00F42B44"/>
    <w:rsid w:val="00F451C0"/>
    <w:rsid w:val="00F465AD"/>
    <w:rsid w:val="00F472D0"/>
    <w:rsid w:val="00F52CAE"/>
    <w:rsid w:val="00F5387F"/>
    <w:rsid w:val="00F549B6"/>
    <w:rsid w:val="00F54F4F"/>
    <w:rsid w:val="00F5679A"/>
    <w:rsid w:val="00F6015D"/>
    <w:rsid w:val="00F61952"/>
    <w:rsid w:val="00F627B5"/>
    <w:rsid w:val="00F66A6B"/>
    <w:rsid w:val="00F720D5"/>
    <w:rsid w:val="00F72704"/>
    <w:rsid w:val="00F736C5"/>
    <w:rsid w:val="00F73931"/>
    <w:rsid w:val="00F73E28"/>
    <w:rsid w:val="00F80546"/>
    <w:rsid w:val="00F81A7B"/>
    <w:rsid w:val="00F82AE0"/>
    <w:rsid w:val="00F85068"/>
    <w:rsid w:val="00F87D1E"/>
    <w:rsid w:val="00F93B70"/>
    <w:rsid w:val="00F93BB9"/>
    <w:rsid w:val="00F94C75"/>
    <w:rsid w:val="00F9504A"/>
    <w:rsid w:val="00F955FE"/>
    <w:rsid w:val="00F95A54"/>
    <w:rsid w:val="00F96B2D"/>
    <w:rsid w:val="00F971B1"/>
    <w:rsid w:val="00FA34B3"/>
    <w:rsid w:val="00FA3DB0"/>
    <w:rsid w:val="00FA4E77"/>
    <w:rsid w:val="00FA6879"/>
    <w:rsid w:val="00FA7074"/>
    <w:rsid w:val="00FA7283"/>
    <w:rsid w:val="00FC25FD"/>
    <w:rsid w:val="00FC79D1"/>
    <w:rsid w:val="00FD53BC"/>
    <w:rsid w:val="00FD7CAE"/>
    <w:rsid w:val="00FE0DD3"/>
    <w:rsid w:val="00FE2384"/>
    <w:rsid w:val="00FE2E91"/>
    <w:rsid w:val="00FE38FC"/>
    <w:rsid w:val="00FE5453"/>
    <w:rsid w:val="00FE54D4"/>
    <w:rsid w:val="00FE5842"/>
    <w:rsid w:val="00FE5F79"/>
    <w:rsid w:val="00FE63D5"/>
    <w:rsid w:val="00FE73A1"/>
    <w:rsid w:val="00FF0F05"/>
    <w:rsid w:val="00FF60D5"/>
    <w:rsid w:val="015756C9"/>
    <w:rsid w:val="020A40E5"/>
    <w:rsid w:val="051FBD0B"/>
    <w:rsid w:val="0666FDD9"/>
    <w:rsid w:val="072C307A"/>
    <w:rsid w:val="072F85C4"/>
    <w:rsid w:val="0816B8C6"/>
    <w:rsid w:val="0B3DC6BA"/>
    <w:rsid w:val="0B3E240E"/>
    <w:rsid w:val="0BA10842"/>
    <w:rsid w:val="0E90B135"/>
    <w:rsid w:val="100B2391"/>
    <w:rsid w:val="11D0853F"/>
    <w:rsid w:val="151C2695"/>
    <w:rsid w:val="1564491E"/>
    <w:rsid w:val="17EAB1A0"/>
    <w:rsid w:val="18156D50"/>
    <w:rsid w:val="1E719932"/>
    <w:rsid w:val="1F45935B"/>
    <w:rsid w:val="20E4FD5D"/>
    <w:rsid w:val="2163B79E"/>
    <w:rsid w:val="2284720C"/>
    <w:rsid w:val="23437F85"/>
    <w:rsid w:val="23520ED9"/>
    <w:rsid w:val="2675BB05"/>
    <w:rsid w:val="283B5C80"/>
    <w:rsid w:val="288E8F6D"/>
    <w:rsid w:val="2968678F"/>
    <w:rsid w:val="2FC58CC9"/>
    <w:rsid w:val="3107F3D6"/>
    <w:rsid w:val="331CEC83"/>
    <w:rsid w:val="353E7B26"/>
    <w:rsid w:val="35DE4E14"/>
    <w:rsid w:val="35EE60AC"/>
    <w:rsid w:val="37DC552A"/>
    <w:rsid w:val="3AAAC43D"/>
    <w:rsid w:val="3FDF2F3A"/>
    <w:rsid w:val="40965E4B"/>
    <w:rsid w:val="42164F7A"/>
    <w:rsid w:val="42E19A2D"/>
    <w:rsid w:val="46268039"/>
    <w:rsid w:val="472BE84D"/>
    <w:rsid w:val="475A2B66"/>
    <w:rsid w:val="4ADF8765"/>
    <w:rsid w:val="4B0959E1"/>
    <w:rsid w:val="4E137689"/>
    <w:rsid w:val="4E82C885"/>
    <w:rsid w:val="4F53D621"/>
    <w:rsid w:val="538A480F"/>
    <w:rsid w:val="5397538A"/>
    <w:rsid w:val="539D5809"/>
    <w:rsid w:val="540E4B31"/>
    <w:rsid w:val="577723B5"/>
    <w:rsid w:val="58614F8E"/>
    <w:rsid w:val="5ACD1EAC"/>
    <w:rsid w:val="5AD931E2"/>
    <w:rsid w:val="5C05DB94"/>
    <w:rsid w:val="5CF1ADC6"/>
    <w:rsid w:val="5D8CADAC"/>
    <w:rsid w:val="60AD16BE"/>
    <w:rsid w:val="61126748"/>
    <w:rsid w:val="6303F11C"/>
    <w:rsid w:val="630DEB32"/>
    <w:rsid w:val="650B2FE2"/>
    <w:rsid w:val="657A33C1"/>
    <w:rsid w:val="66E23560"/>
    <w:rsid w:val="6750BB19"/>
    <w:rsid w:val="6D3486BF"/>
    <w:rsid w:val="6D897FC7"/>
    <w:rsid w:val="73B1E0B0"/>
    <w:rsid w:val="762F1090"/>
    <w:rsid w:val="771F996A"/>
    <w:rsid w:val="78E704C0"/>
    <w:rsid w:val="7C90FE91"/>
    <w:rsid w:val="7D2467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A1517C"/>
  <w15:chartTrackingRefBased/>
  <w15:docId w15:val="{10B28ED1-C0E6-47AC-A6C2-90B515CB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FA3"/>
    <w:rPr>
      <w:rFonts w:ascii="Times New Roman" w:hAnsi="Times New Roman"/>
    </w:rPr>
  </w:style>
  <w:style w:type="paragraph" w:styleId="Heading1">
    <w:name w:val="heading 1"/>
    <w:basedOn w:val="Normal"/>
    <w:next w:val="Normal"/>
    <w:link w:val="Heading1Char"/>
    <w:qFormat/>
    <w:rsid w:val="00DE0977"/>
    <w:pPr>
      <w:keepNext/>
      <w:widowControl w:val="0"/>
      <w:jc w:val="center"/>
      <w:outlineLvl w:val="0"/>
    </w:pPr>
    <w:rPr>
      <w:rFonts w:ascii="Courier New" w:hAnsi="Courier New"/>
      <w:b/>
      <w:snapToGrid w:val="0"/>
      <w:sz w:val="24"/>
    </w:rPr>
  </w:style>
  <w:style w:type="paragraph" w:styleId="Heading2">
    <w:name w:val="heading 2"/>
    <w:basedOn w:val="Normal"/>
    <w:next w:val="Normal"/>
    <w:link w:val="Heading2Char"/>
    <w:qFormat/>
    <w:rsid w:val="00DE0977"/>
    <w:pPr>
      <w:keepNext/>
      <w:jc w:val="right"/>
      <w:outlineLvl w:val="1"/>
    </w:pPr>
    <w:rPr>
      <w:rFonts w:ascii="Courier" w:hAnsi="Courier"/>
      <w:snapToGrid w:val="0"/>
      <w:sz w:val="24"/>
      <w:u w:val="single"/>
    </w:rPr>
  </w:style>
  <w:style w:type="paragraph" w:styleId="Heading4">
    <w:name w:val="heading 4"/>
    <w:basedOn w:val="Normal"/>
    <w:next w:val="Normal"/>
    <w:link w:val="Heading4Char"/>
    <w:unhideWhenUsed/>
    <w:qFormat/>
    <w:rsid w:val="005D69D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E6903"/>
    <w:pPr>
      <w:widowControl w:val="0"/>
      <w:spacing w:before="240" w:after="60"/>
      <w:outlineLvl w:val="4"/>
    </w:pPr>
    <w:rPr>
      <w:rFonts w:ascii="Courier" w:hAnsi="Courier"/>
      <w:b/>
      <w:bCs/>
      <w:i/>
      <w:iCs/>
      <w:snapToGrid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3292"/>
    <w:rPr>
      <w:rFonts w:ascii="Tahoma" w:hAnsi="Tahoma"/>
      <w:sz w:val="16"/>
      <w:szCs w:val="16"/>
      <w:lang w:val="x-none" w:eastAsia="x-none"/>
    </w:rPr>
  </w:style>
  <w:style w:type="character" w:customStyle="1" w:styleId="BalloonTextChar">
    <w:name w:val="Balloon Text Char"/>
    <w:link w:val="BalloonText"/>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qFormat/>
    <w:rsid w:val="00941941"/>
    <w:rPr>
      <w:b/>
      <w:bCs/>
    </w:rPr>
  </w:style>
  <w:style w:type="character" w:styleId="CommentReference">
    <w:name w:val="annotation reference"/>
    <w:semiHidden/>
    <w:rsid w:val="00941941"/>
    <w:rPr>
      <w:sz w:val="16"/>
      <w:szCs w:val="16"/>
    </w:rPr>
  </w:style>
  <w:style w:type="paragraph" w:styleId="CommentText">
    <w:name w:val="annotation text"/>
    <w:basedOn w:val="Normal"/>
    <w:link w:val="CommentTextChar"/>
    <w:semiHidden/>
    <w:rsid w:val="00941941"/>
    <w:rPr>
      <w:snapToGrid w:val="0"/>
      <w:lang w:val="x-none" w:eastAsia="x-none"/>
    </w:rPr>
  </w:style>
  <w:style w:type="character" w:styleId="Hyperlink">
    <w:name w:val="Hyperlink"/>
    <w:rsid w:val="006038FA"/>
    <w:rPr>
      <w:color w:val="0000FF"/>
      <w:u w:val="single"/>
    </w:rPr>
  </w:style>
  <w:style w:type="paragraph" w:styleId="NormalWeb">
    <w:name w:val="Normal (Web)"/>
    <w:basedOn w:val="Normal"/>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CommentSubject">
    <w:name w:val="annotation subject"/>
    <w:basedOn w:val="CommentText"/>
    <w:next w:val="CommentText"/>
    <w:link w:val="CommentSubjectChar"/>
    <w:semiHidden/>
    <w:unhideWhenUsed/>
    <w:rsid w:val="0001289F"/>
    <w:pPr>
      <w:autoSpaceDE w:val="0"/>
      <w:autoSpaceDN w:val="0"/>
      <w:adjustRightInd w:val="0"/>
    </w:pPr>
    <w:rPr>
      <w:b/>
      <w:bCs/>
      <w:snapToGrid/>
    </w:rPr>
  </w:style>
  <w:style w:type="character" w:customStyle="1" w:styleId="CommentTextChar">
    <w:name w:val="Comment Text Char"/>
    <w:link w:val="CommentText"/>
    <w:semiHidden/>
    <w:rsid w:val="0001289F"/>
    <w:rPr>
      <w:rFonts w:ascii="Times New Roman" w:hAnsi="Times New Roman"/>
      <w:snapToGrid w:val="0"/>
    </w:rPr>
  </w:style>
  <w:style w:type="character" w:customStyle="1" w:styleId="CommentSubjectChar">
    <w:name w:val="Comment Subject Char"/>
    <w:link w:val="CommentSubject"/>
    <w:semiHidden/>
    <w:rsid w:val="0001289F"/>
    <w:rPr>
      <w:rFonts w:ascii="Times New Roman" w:hAnsi="Times New Roman"/>
      <w:b/>
      <w:bCs/>
      <w:snapToGrid/>
    </w:rPr>
  </w:style>
  <w:style w:type="paragraph" w:styleId="BodyText">
    <w:name w:val="Body Text"/>
    <w:basedOn w:val="Normal"/>
    <w:link w:val="BodyTextChar"/>
    <w:rsid w:val="009E184A"/>
    <w:pPr>
      <w:tabs>
        <w:tab w:val="left" w:pos="-1080"/>
        <w:tab w:val="left" w:pos="-720"/>
        <w:tab w:val="left" w:pos="0"/>
        <w:tab w:val="left" w:pos="450"/>
        <w:tab w:val="left" w:pos="1440"/>
      </w:tabs>
    </w:pPr>
    <w:rPr>
      <w:snapToGrid w:val="0"/>
      <w:color w:val="0000FF"/>
      <w:sz w:val="24"/>
      <w:lang w:val="x-none" w:eastAsia="x-none"/>
    </w:rPr>
  </w:style>
  <w:style w:type="character" w:customStyle="1" w:styleId="BodyTextChar">
    <w:name w:val="Body Text Char"/>
    <w:link w:val="BodyText"/>
    <w:rsid w:val="009E184A"/>
    <w:rPr>
      <w:rFonts w:ascii="Times New Roman" w:hAnsi="Times New Roman"/>
      <w:snapToGrid w:val="0"/>
      <w:color w:val="0000FF"/>
      <w:sz w:val="24"/>
    </w:rPr>
  </w:style>
  <w:style w:type="paragraph" w:styleId="PlainText">
    <w:name w:val="Plain Text"/>
    <w:basedOn w:val="Normal"/>
    <w:link w:val="PlainTextChar"/>
    <w:rsid w:val="00257DB9"/>
    <w:rPr>
      <w:rFonts w:ascii="Courier New" w:hAnsi="Courier New"/>
      <w:lang w:val="x-none" w:eastAsia="x-none"/>
    </w:rPr>
  </w:style>
  <w:style w:type="character" w:customStyle="1" w:styleId="PlainTextChar">
    <w:name w:val="Plain Text Char"/>
    <w:link w:val="PlainText"/>
    <w:rsid w:val="00257DB9"/>
    <w:rPr>
      <w:rFonts w:ascii="Courier New" w:hAnsi="Courier New"/>
    </w:rPr>
  </w:style>
  <w:style w:type="paragraph" w:styleId="Header">
    <w:name w:val="header"/>
    <w:basedOn w:val="Normal"/>
    <w:link w:val="HeaderChar"/>
    <w:unhideWhenUsed/>
    <w:rsid w:val="0030079F"/>
    <w:pPr>
      <w:tabs>
        <w:tab w:val="center" w:pos="4680"/>
        <w:tab w:val="right" w:pos="9360"/>
      </w:tabs>
    </w:pPr>
    <w:rPr>
      <w:lang w:val="x-none" w:eastAsia="x-none"/>
    </w:rPr>
  </w:style>
  <w:style w:type="character" w:customStyle="1" w:styleId="HeaderChar">
    <w:name w:val="Header Char"/>
    <w:link w:val="Header"/>
    <w:rsid w:val="0030079F"/>
    <w:rPr>
      <w:rFonts w:ascii="Times New Roman" w:hAnsi="Times New Roman"/>
    </w:rPr>
  </w:style>
  <w:style w:type="paragraph" w:styleId="Footer">
    <w:name w:val="footer"/>
    <w:basedOn w:val="Normal"/>
    <w:link w:val="FooterChar"/>
    <w:unhideWhenUsed/>
    <w:rsid w:val="0030079F"/>
    <w:pPr>
      <w:tabs>
        <w:tab w:val="center" w:pos="4680"/>
        <w:tab w:val="right" w:pos="9360"/>
      </w:tabs>
    </w:pPr>
    <w:rPr>
      <w:lang w:val="x-none" w:eastAsia="x-none"/>
    </w:rPr>
  </w:style>
  <w:style w:type="character" w:customStyle="1" w:styleId="FooterChar">
    <w:name w:val="Footer Char"/>
    <w:link w:val="Footer"/>
    <w:rsid w:val="0030079F"/>
    <w:rPr>
      <w:rFonts w:ascii="Times New Roman" w:hAnsi="Times New Roman"/>
    </w:rPr>
  </w:style>
  <w:style w:type="character" w:customStyle="1" w:styleId="Heading5Char">
    <w:name w:val="Heading 5 Char"/>
    <w:link w:val="Heading5"/>
    <w:rsid w:val="009E6903"/>
    <w:rPr>
      <w:rFonts w:ascii="Courier" w:hAnsi="Courier"/>
      <w:b/>
      <w:bCs/>
      <w:i/>
      <w:iCs/>
      <w:snapToGrid w:val="0"/>
      <w:sz w:val="26"/>
      <w:szCs w:val="26"/>
    </w:rPr>
  </w:style>
  <w:style w:type="character" w:customStyle="1" w:styleId="updatebodytest1">
    <w:name w:val="updatebodytest1"/>
    <w:rsid w:val="009E6903"/>
    <w:rPr>
      <w:rFonts w:ascii="Arial" w:hAnsi="Arial" w:cs="Arial" w:hint="default"/>
      <w:b w:val="0"/>
      <w:bCs w:val="0"/>
      <w:i w:val="0"/>
      <w:iCs w:val="0"/>
      <w:smallCaps w:val="0"/>
      <w:sz w:val="18"/>
      <w:szCs w:val="18"/>
    </w:rPr>
  </w:style>
  <w:style w:type="character" w:customStyle="1" w:styleId="apple-converted-space">
    <w:name w:val="apple-converted-space"/>
    <w:rsid w:val="00765B38"/>
  </w:style>
  <w:style w:type="character" w:customStyle="1" w:styleId="aqj">
    <w:name w:val="aqj"/>
    <w:rsid w:val="00765B38"/>
  </w:style>
  <w:style w:type="paragraph" w:styleId="Revision">
    <w:name w:val="Revision"/>
    <w:hidden/>
    <w:uiPriority w:val="99"/>
    <w:semiHidden/>
    <w:rsid w:val="00ED1B7C"/>
    <w:rPr>
      <w:rFonts w:ascii="Times New Roman" w:hAnsi="Times New Roman"/>
    </w:rPr>
  </w:style>
  <w:style w:type="table" w:styleId="TableGrid">
    <w:name w:val="Table Grid"/>
    <w:basedOn w:val="TableNormal"/>
    <w:uiPriority w:val="59"/>
    <w:rsid w:val="00D5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FEC"/>
    <w:pPr>
      <w:ind w:left="720"/>
      <w:contextualSpacing/>
    </w:pPr>
  </w:style>
  <w:style w:type="paragraph" w:styleId="EndnoteText">
    <w:name w:val="endnote text"/>
    <w:basedOn w:val="Normal"/>
    <w:link w:val="EndnoteTextChar"/>
    <w:uiPriority w:val="99"/>
    <w:semiHidden/>
    <w:unhideWhenUsed/>
    <w:rsid w:val="0059324F"/>
  </w:style>
  <w:style w:type="character" w:customStyle="1" w:styleId="EndnoteTextChar">
    <w:name w:val="Endnote Text Char"/>
    <w:basedOn w:val="DefaultParagraphFont"/>
    <w:link w:val="EndnoteText"/>
    <w:uiPriority w:val="99"/>
    <w:semiHidden/>
    <w:rsid w:val="0059324F"/>
    <w:rPr>
      <w:rFonts w:ascii="Times New Roman" w:hAnsi="Times New Roman"/>
    </w:rPr>
  </w:style>
  <w:style w:type="character" w:styleId="EndnoteReference">
    <w:name w:val="endnote reference"/>
    <w:basedOn w:val="DefaultParagraphFont"/>
    <w:uiPriority w:val="99"/>
    <w:semiHidden/>
    <w:unhideWhenUsed/>
    <w:rsid w:val="0059324F"/>
    <w:rPr>
      <w:vertAlign w:val="superscript"/>
    </w:rPr>
  </w:style>
  <w:style w:type="character" w:styleId="UnresolvedMention">
    <w:name w:val="Unresolved Mention"/>
    <w:basedOn w:val="DefaultParagraphFont"/>
    <w:uiPriority w:val="99"/>
    <w:semiHidden/>
    <w:unhideWhenUsed/>
    <w:rsid w:val="001B4087"/>
    <w:rPr>
      <w:color w:val="605E5C"/>
      <w:shd w:val="clear" w:color="auto" w:fill="E1DFDD"/>
    </w:rPr>
  </w:style>
  <w:style w:type="character" w:customStyle="1" w:styleId="Heading4Char">
    <w:name w:val="Heading 4 Char"/>
    <w:basedOn w:val="DefaultParagraphFont"/>
    <w:link w:val="Heading4"/>
    <w:rsid w:val="005D69DB"/>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5D69DB"/>
    <w:pPr>
      <w:spacing w:after="120" w:line="480" w:lineRule="auto"/>
      <w:ind w:left="360"/>
    </w:pPr>
  </w:style>
  <w:style w:type="character" w:customStyle="1" w:styleId="BodyTextIndent2Char">
    <w:name w:val="Body Text Indent 2 Char"/>
    <w:basedOn w:val="DefaultParagraphFont"/>
    <w:link w:val="BodyTextIndent2"/>
    <w:uiPriority w:val="99"/>
    <w:semiHidden/>
    <w:rsid w:val="005D69DB"/>
    <w:rPr>
      <w:rFonts w:ascii="Times New Roman" w:hAnsi="Times New Roman"/>
    </w:rPr>
  </w:style>
  <w:style w:type="character" w:customStyle="1" w:styleId="Heading1Char">
    <w:name w:val="Heading 1 Char"/>
    <w:basedOn w:val="DefaultParagraphFont"/>
    <w:link w:val="Heading1"/>
    <w:rsid w:val="00DE0977"/>
    <w:rPr>
      <w:rFonts w:ascii="Courier New" w:hAnsi="Courier New"/>
      <w:b/>
      <w:snapToGrid w:val="0"/>
      <w:sz w:val="24"/>
    </w:rPr>
  </w:style>
  <w:style w:type="character" w:customStyle="1" w:styleId="Heading2Char">
    <w:name w:val="Heading 2 Char"/>
    <w:basedOn w:val="DefaultParagraphFont"/>
    <w:link w:val="Heading2"/>
    <w:rsid w:val="00DE0977"/>
    <w:rPr>
      <w:rFonts w:ascii="Courier" w:hAnsi="Courier"/>
      <w:snapToGrid w:val="0"/>
      <w:sz w:val="24"/>
      <w:u w:val="single"/>
    </w:rPr>
  </w:style>
  <w:style w:type="character" w:customStyle="1" w:styleId="Hypertext">
    <w:name w:val="Hypertext"/>
    <w:rsid w:val="00DE0977"/>
    <w:rPr>
      <w:color w:val="0000FF"/>
      <w:u w:val="single"/>
    </w:rPr>
  </w:style>
  <w:style w:type="character" w:styleId="PageNumber">
    <w:name w:val="page number"/>
    <w:basedOn w:val="DefaultParagraphFont"/>
    <w:rsid w:val="00DE0977"/>
  </w:style>
  <w:style w:type="paragraph" w:customStyle="1" w:styleId="p3">
    <w:name w:val="p3"/>
    <w:basedOn w:val="Normal"/>
    <w:rsid w:val="00DE0977"/>
    <w:pPr>
      <w:widowControl w:val="0"/>
      <w:tabs>
        <w:tab w:val="left" w:pos="2320"/>
      </w:tabs>
      <w:spacing w:line="480" w:lineRule="atLeast"/>
      <w:ind w:left="432" w:firstLine="432"/>
    </w:pPr>
    <w:rPr>
      <w:rFonts w:ascii="Courier 10cpi" w:hAnsi="Courier 10cpi"/>
      <w:sz w:val="24"/>
    </w:rPr>
  </w:style>
  <w:style w:type="paragraph" w:styleId="BodyTextIndent">
    <w:name w:val="Body Text Indent"/>
    <w:basedOn w:val="Normal"/>
    <w:link w:val="BodyTextIndentChar"/>
    <w:rsid w:val="00DE0977"/>
    <w:pPr>
      <w:spacing w:line="480" w:lineRule="auto"/>
      <w:ind w:firstLine="720"/>
    </w:pPr>
    <w:rPr>
      <w:snapToGrid w:val="0"/>
      <w:sz w:val="24"/>
    </w:rPr>
  </w:style>
  <w:style w:type="character" w:customStyle="1" w:styleId="BodyTextIndentChar">
    <w:name w:val="Body Text Indent Char"/>
    <w:basedOn w:val="DefaultParagraphFont"/>
    <w:link w:val="BodyTextIndent"/>
    <w:rsid w:val="00DE0977"/>
    <w:rPr>
      <w:rFonts w:ascii="Times New Roman" w:hAnsi="Times New Roman"/>
      <w:snapToGrid w:val="0"/>
      <w:sz w:val="24"/>
    </w:rPr>
  </w:style>
  <w:style w:type="paragraph" w:styleId="DocumentMap">
    <w:name w:val="Document Map"/>
    <w:basedOn w:val="Normal"/>
    <w:link w:val="DocumentMapChar"/>
    <w:semiHidden/>
    <w:rsid w:val="00DE0977"/>
    <w:pPr>
      <w:widowControl w:val="0"/>
      <w:shd w:val="clear" w:color="auto" w:fill="000080"/>
    </w:pPr>
    <w:rPr>
      <w:rFonts w:ascii="MS Shell Dlg" w:hAnsi="MS Shell Dlg" w:cs="MS Shell Dlg"/>
      <w:snapToGrid w:val="0"/>
      <w:sz w:val="24"/>
    </w:rPr>
  </w:style>
  <w:style w:type="character" w:customStyle="1" w:styleId="DocumentMapChar">
    <w:name w:val="Document Map Char"/>
    <w:basedOn w:val="DefaultParagraphFont"/>
    <w:link w:val="DocumentMap"/>
    <w:semiHidden/>
    <w:rsid w:val="00DE0977"/>
    <w:rPr>
      <w:rFonts w:ascii="MS Shell Dlg" w:hAnsi="MS Shell Dlg" w:cs="MS Shell Dlg"/>
      <w:snapToGrid w:val="0"/>
      <w:sz w:val="24"/>
      <w:shd w:val="clear" w:color="auto" w:fill="000080"/>
    </w:rPr>
  </w:style>
  <w:style w:type="paragraph" w:styleId="HTMLPreformatted">
    <w:name w:val="HTML Preformatted"/>
    <w:basedOn w:val="Normal"/>
    <w:link w:val="HTMLPreformattedChar"/>
    <w:rsid w:val="00DE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rsid w:val="00DE0977"/>
    <w:rPr>
      <w:rFonts w:ascii="Courier New" w:hAnsi="Courier New"/>
      <w:lang w:val="x-none" w:eastAsia="x-none"/>
    </w:rPr>
  </w:style>
  <w:style w:type="paragraph" w:styleId="FootnoteText">
    <w:name w:val="footnote text"/>
    <w:basedOn w:val="Normal"/>
    <w:link w:val="FootnoteTextChar"/>
    <w:uiPriority w:val="99"/>
    <w:semiHidden/>
    <w:unhideWhenUsed/>
    <w:rsid w:val="001B04B5"/>
  </w:style>
  <w:style w:type="character" w:customStyle="1" w:styleId="FootnoteTextChar">
    <w:name w:val="Footnote Text Char"/>
    <w:basedOn w:val="DefaultParagraphFont"/>
    <w:link w:val="FootnoteText"/>
    <w:uiPriority w:val="99"/>
    <w:semiHidden/>
    <w:rsid w:val="001B04B5"/>
    <w:rPr>
      <w:rFonts w:ascii="Times New Roman" w:hAnsi="Times New Roman"/>
    </w:rPr>
  </w:style>
  <w:style w:type="character" w:styleId="Mention">
    <w:name w:val="Mention"/>
    <w:basedOn w:val="DefaultParagraphFont"/>
    <w:uiPriority w:val="99"/>
    <w:unhideWhenUsed/>
    <w:rsid w:val="001A3F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b56a8f-c205-45ee-9d88-4096a00fd0fc">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C913228723924280983BDCB34D0F6E" ma:contentTypeVersion="11" ma:contentTypeDescription="Create a new document." ma:contentTypeScope="" ma:versionID="5a0fff40ec8be80cc89f8c1bbe173a4e">
  <xsd:schema xmlns:xsd="http://www.w3.org/2001/XMLSchema" xmlns:xs="http://www.w3.org/2001/XMLSchema" xmlns:p="http://schemas.microsoft.com/office/2006/metadata/properties" xmlns:ns2="7cb56a8f-c205-45ee-9d88-4096a00fd0fc" xmlns:ns3="a6766774-30a2-4c8d-b456-98a46e3489f0" xmlns:ns4="31062a0d-ede8-4112-b4bb-00a9c1bc8e16" targetNamespace="http://schemas.microsoft.com/office/2006/metadata/properties" ma:root="true" ma:fieldsID="153632da5c0d26943f25fa5718861a69" ns2:_="" ns3:_="" ns4:_="">
    <xsd:import namespace="7cb56a8f-c205-45ee-9d88-4096a00fd0fc"/>
    <xsd:import namespace="a6766774-30a2-4c8d-b456-98a46e3489f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56a8f-c205-45ee-9d88-4096a00fd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66774-30a2-4c8d-b456-98a46e3489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4d732d-dc59-4f5c-920b-044acb1ecaf4}" ma:internalName="TaxCatchAll" ma:showField="CatchAllData" ma:web="a6766774-30a2-4c8d-b456-98a46e348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C49FA-B6AD-402B-AD66-1D6D03053A8A}">
  <ds:schemaRefs>
    <ds:schemaRef ds:uri="http://schemas.microsoft.com/office/2006/metadata/properties"/>
    <ds:schemaRef ds:uri="http://schemas.microsoft.com/office/infopath/2007/PartnerControls"/>
    <ds:schemaRef ds:uri="7cb56a8f-c205-45ee-9d88-4096a00fd0fc"/>
    <ds:schemaRef ds:uri="31062a0d-ede8-4112-b4bb-00a9c1bc8e16"/>
  </ds:schemaRefs>
</ds:datastoreItem>
</file>

<file path=customXml/itemProps2.xml><?xml version="1.0" encoding="utf-8"?>
<ds:datastoreItem xmlns:ds="http://schemas.openxmlformats.org/officeDocument/2006/customXml" ds:itemID="{F373ADF6-FD55-4242-8AD8-2BEEB26B7A26}">
  <ds:schemaRefs>
    <ds:schemaRef ds:uri="http://schemas.openxmlformats.org/officeDocument/2006/bibliography"/>
  </ds:schemaRefs>
</ds:datastoreItem>
</file>

<file path=customXml/itemProps3.xml><?xml version="1.0" encoding="utf-8"?>
<ds:datastoreItem xmlns:ds="http://schemas.openxmlformats.org/officeDocument/2006/customXml" ds:itemID="{F5AF43F5-E5A5-4E91-A363-C80D5576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56a8f-c205-45ee-9d88-4096a00fd0fc"/>
    <ds:schemaRef ds:uri="a6766774-30a2-4c8d-b456-98a46e3489f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06A21-15AC-4D3A-AC3D-47D25C469B20}">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4934</Words>
  <Characters>28522</Characters>
  <Application>Microsoft Office Word</Application>
  <DocSecurity>0</DocSecurity>
  <Lines>770</Lines>
  <Paragraphs>242</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djbieniewicz</dc:creator>
  <cp:lastModifiedBy>Hensley, Ginger J (Federal)</cp:lastModifiedBy>
  <cp:revision>2</cp:revision>
  <cp:lastPrinted>2019-05-15T17:12:00Z</cp:lastPrinted>
  <dcterms:created xsi:type="dcterms:W3CDTF">2026-05-07T17:17:00Z</dcterms:created>
  <dcterms:modified xsi:type="dcterms:W3CDTF">2026-05-07T17:17:00Z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0x01010067C913228723924280983BDCB34D0F6E</vt:lpwstr>
  </property>
  <property fmtid="{D5CDD505-2E9C-101B-9397-08002B2CF9AE}" pid="3" name="lqminfo">
    <vt:i4>2</vt:i4>
  </property>
  <property fmtid="{D5CDD505-2E9C-101B-9397-08002B2CF9AE}" pid="4" name="lqmsess">
    <vt:lpwstr>a203d671-33d8-456c-8716-ac944d72ea98</vt:lpwstr>
  </property>
  <property fmtid="{D5CDD505-2E9C-101B-9397-08002B2CF9AE}" pid="5" name="MediaServiceImageTags">
    <vt:lpwstr/>
  </property>
  <property fmtid="{D5CDD505-2E9C-101B-9397-08002B2CF9AE}" pid="6" name="_AdHocReviewCycleID">
    <vt:i4>1683885920</vt:i4>
  </property>
  <property fmtid="{D5CDD505-2E9C-101B-9397-08002B2CF9AE}" pid="7" name="_AuthorEmail">
    <vt:lpwstr>Stuart_Levenbach@omb.eop.gov</vt:lpwstr>
  </property>
  <property fmtid="{D5CDD505-2E9C-101B-9397-08002B2CF9AE}" pid="8" name="_AuthorEmailDisplayName">
    <vt:lpwstr>Levenbach, Stuart</vt:lpwstr>
  </property>
  <property fmtid="{D5CDD505-2E9C-101B-9397-08002B2CF9AE}" pid="9" name="_EmailSubject">
    <vt:lpwstr>ONRR ICR 1012-0004</vt:lpwstr>
  </property>
  <property fmtid="{D5CDD505-2E9C-101B-9397-08002B2CF9AE}" pid="10" name="_NewReviewCycle">
    <vt:lpwstr/>
  </property>
  <property fmtid="{D5CDD505-2E9C-101B-9397-08002B2CF9AE}" pid="11" name="_ReviewingToolsShownOnce">
    <vt:lpwstr/>
  </property>
</Properties>
</file>