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67E9D06E">
      <w:pPr>
        <w:widowControl/>
        <w:tabs>
          <w:tab w:val="left" w:pos="720"/>
        </w:tabs>
        <w:ind w:left="720" w:hanging="1440"/>
        <w:jc w:val="center"/>
        <w:rPr>
          <w:rFonts w:ascii="Times New Roman" w:hAnsi="Times New Roman"/>
          <w:b/>
          <w:bCs/>
        </w:rPr>
      </w:pPr>
      <w:r w:rsidRPr="4B6C6459">
        <w:rPr>
          <w:rFonts w:ascii="Times New Roman" w:hAnsi="Times New Roman"/>
          <w:b/>
          <w:bCs/>
        </w:rPr>
        <w:t>SUPPORTING STATEMENT</w:t>
      </w:r>
      <w:r w:rsidRPr="4B6C6459" w:rsidR="006B506A">
        <w:rPr>
          <w:rFonts w:ascii="Times New Roman" w:hAnsi="Times New Roman"/>
          <w:b/>
          <w:bCs/>
        </w:rPr>
        <w:t xml:space="preserve"> A</w:t>
      </w:r>
      <w:r w:rsidRPr="4B6C6459">
        <w:rPr>
          <w:rFonts w:ascii="Times New Roman" w:hAnsi="Times New Roman"/>
          <w:b/>
          <w:bCs/>
        </w:rPr>
        <w:t xml:space="preserve"> FOR</w:t>
      </w:r>
    </w:p>
    <w:p w:rsidR="000B6FB6" w:rsidP="4B6C6459" w14:paraId="3F2C2E90" w14:textId="0CAC4814">
      <w:pPr>
        <w:pStyle w:val="NoSpacing"/>
        <w:jc w:val="center"/>
        <w:rPr>
          <w:b/>
          <w:bCs/>
          <w:sz w:val="24"/>
          <w:szCs w:val="24"/>
        </w:rPr>
      </w:pPr>
      <w:r w:rsidRPr="00437F5F">
        <w:rPr>
          <w:b/>
          <w:bCs/>
          <w:sz w:val="24"/>
          <w:szCs w:val="24"/>
        </w:rPr>
        <w:t>Voluntary Wellness Program</w:t>
      </w:r>
      <w:r w:rsidRPr="00437F5F">
        <w:rPr>
          <w:sz w:val="24"/>
          <w:szCs w:val="24"/>
        </w:rPr>
        <w:t xml:space="preserve"> </w:t>
      </w:r>
      <w:r w:rsidRPr="00437F5F">
        <w:rPr>
          <w:b/>
          <w:bCs/>
          <w:sz w:val="24"/>
          <w:szCs w:val="24"/>
        </w:rPr>
        <w:t>Healthcare Provider Clearance Form</w:t>
      </w:r>
    </w:p>
    <w:p w:rsidR="002D0A00" w:rsidRPr="00437F5F" w:rsidP="4B6C6459" w14:paraId="0B053D29" w14:textId="23559A88">
      <w:pPr>
        <w:pStyle w:val="NoSpacing"/>
        <w:jc w:val="center"/>
        <w:rPr>
          <w:b/>
          <w:bCs/>
          <w:sz w:val="24"/>
          <w:szCs w:val="24"/>
        </w:rPr>
      </w:pPr>
      <w:r>
        <w:rPr>
          <w:b/>
          <w:bCs/>
          <w:sz w:val="24"/>
          <w:szCs w:val="24"/>
        </w:rPr>
        <w:t>DEA</w:t>
      </w:r>
      <w:r w:rsidR="00CD454D">
        <w:rPr>
          <w:b/>
          <w:bCs/>
          <w:sz w:val="24"/>
          <w:szCs w:val="24"/>
        </w:rPr>
        <w:t xml:space="preserve"> Form</w:t>
      </w:r>
      <w:r>
        <w:rPr>
          <w:b/>
          <w:bCs/>
          <w:sz w:val="24"/>
          <w:szCs w:val="24"/>
        </w:rPr>
        <w:t xml:space="preserve"> 315c</w:t>
      </w:r>
    </w:p>
    <w:p w:rsidR="000B6FB6" w:rsidP="4B6C6459" w14:paraId="1CF8A88F" w14:textId="27613916">
      <w:pPr>
        <w:widowControl/>
        <w:jc w:val="center"/>
        <w:rPr>
          <w:rFonts w:ascii="Times New Roman" w:hAnsi="Times New Roman"/>
          <w:b/>
          <w:bCs/>
        </w:rPr>
      </w:pPr>
      <w:r w:rsidRPr="00CD454D">
        <w:rPr>
          <w:rFonts w:ascii="Times New Roman" w:hAnsi="Times New Roman"/>
          <w:b/>
          <w:bCs/>
        </w:rPr>
        <w:t>OMB Approval Number</w:t>
      </w:r>
      <w:r>
        <w:rPr>
          <w:rFonts w:ascii="Times New Roman" w:hAnsi="Times New Roman"/>
          <w:b/>
          <w:bCs/>
        </w:rPr>
        <w:t xml:space="preserve"> XXXX</w:t>
      </w:r>
    </w:p>
    <w:p w:rsidR="00CD454D" w:rsidRPr="00CD454D" w:rsidP="4B6C6459" w14:paraId="5068AB82" w14:textId="77777777">
      <w:pPr>
        <w:widowControl/>
        <w:jc w:val="center"/>
        <w:rPr>
          <w:rFonts w:ascii="Times New Roman" w:hAnsi="Times New Roman"/>
          <w:b/>
          <w:bCs/>
        </w:rPr>
      </w:pPr>
    </w:p>
    <w:p w:rsidR="00690F56" w:rsidRPr="00A47DA7" w:rsidP="00242CA0" w14:paraId="0A674873" w14:textId="77777777">
      <w:pPr>
        <w:widowControl/>
        <w:numPr>
          <w:ilvl w:val="0"/>
          <w:numId w:val="20"/>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EE09A2" w:rsidP="4B6C6459" w14:paraId="38CEE6AD" w14:textId="6D3624AE">
      <w:pPr>
        <w:widowControl/>
        <w:rPr>
          <w:rFonts w:ascii="Times New Roman" w:hAnsi="Times New Roman"/>
          <w:b/>
          <w:bCs/>
        </w:rPr>
      </w:pPr>
      <w:r w:rsidRPr="00EE09A2">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443A1" w:rsidRPr="00EE09A2" w:rsidP="4B6C6459" w14:paraId="6DF1D955" w14:textId="02C7DE9D">
      <w:pPr>
        <w:widowControl/>
        <w:rPr>
          <w:rFonts w:ascii="Times New Roman" w:hAnsi="Times New Roman"/>
          <w:b/>
          <w:bCs/>
        </w:rPr>
      </w:pPr>
    </w:p>
    <w:p w:rsidR="008E75B8" w:rsidRPr="008E75B8" w:rsidP="008E75B8" w14:paraId="04A43C6A" w14:textId="3E3D90AC">
      <w:pPr>
        <w:pStyle w:val="ListParagraph"/>
        <w:widowControl/>
        <w:spacing w:after="180"/>
        <w:rPr>
          <w:rFonts w:ascii="Times New Roman" w:hAnsi="Times New Roman"/>
        </w:rPr>
      </w:pPr>
      <w:bookmarkStart w:id="0" w:name="OLE_LINK1"/>
      <w:r w:rsidRPr="230867D8">
        <w:rPr>
          <w:rFonts w:ascii="Times New Roman" w:hAnsi="Times New Roman"/>
        </w:rPr>
        <w:t>The collection of information via the DEA-315</w:t>
      </w:r>
      <w:r w:rsidRPr="230867D8" w:rsidR="2F084543">
        <w:rPr>
          <w:rFonts w:ascii="Times New Roman" w:hAnsi="Times New Roman"/>
        </w:rPr>
        <w:t>c</w:t>
      </w:r>
      <w:r w:rsidRPr="230867D8">
        <w:rPr>
          <w:rFonts w:ascii="Times New Roman" w:hAnsi="Times New Roman"/>
        </w:rPr>
        <w:t xml:space="preserve"> form is necessary to determine whether DEA employees are medically cleared to safely participate in physical fitness activities under the Voluntary Wellness Program (VWP). This requirement is both a matter of workplace safety and an essential component of the agency’s broader health and wellness initiatives.</w:t>
      </w:r>
    </w:p>
    <w:p w:rsidR="008E75B8" w:rsidRPr="008E75B8" w:rsidP="008E75B8" w14:paraId="2BAE5B17" w14:textId="77777777">
      <w:pPr>
        <w:pStyle w:val="ListParagraph"/>
        <w:widowControl/>
        <w:spacing w:after="180"/>
        <w:rPr>
          <w:rFonts w:ascii="Times New Roman" w:hAnsi="Times New Roman"/>
        </w:rPr>
      </w:pPr>
      <w:r w:rsidRPr="008E75B8">
        <w:rPr>
          <w:rFonts w:ascii="Times New Roman" w:hAnsi="Times New Roman"/>
        </w:rPr>
        <w:t xml:space="preserve">Pursuant to DEA Personnel Manual 2792, employees must submit a health assessment completed by </w:t>
      </w:r>
      <w:bookmarkStart w:id="1" w:name="OLE_LINK2"/>
      <w:r w:rsidRPr="008E75B8">
        <w:rPr>
          <w:rFonts w:ascii="Times New Roman" w:hAnsi="Times New Roman"/>
        </w:rPr>
        <w:t xml:space="preserve">a licensed medical professional </w:t>
      </w:r>
      <w:bookmarkEnd w:id="1"/>
      <w:r w:rsidRPr="008E75B8">
        <w:rPr>
          <w:rFonts w:ascii="Times New Roman" w:hAnsi="Times New Roman"/>
        </w:rPr>
        <w:t>prior to engaging in VWP activities. This process ensures that participation is medically appropriate based on the individual’s current health status and minimizes the risk of injury or exacerbation of existing conditions.</w:t>
      </w:r>
    </w:p>
    <w:p w:rsidR="00B443A1" w:rsidRPr="00EE09A2" w:rsidP="008E75B8" w14:paraId="512871BA" w14:textId="5AE95E1E">
      <w:pPr>
        <w:pStyle w:val="ListParagraph"/>
        <w:widowControl/>
        <w:spacing w:after="180"/>
        <w:rPr>
          <w:rFonts w:ascii="Times New Roman" w:hAnsi="Times New Roman"/>
        </w:rPr>
      </w:pPr>
      <w:r w:rsidRPr="008E75B8">
        <w:rPr>
          <w:rFonts w:ascii="Times New Roman" w:hAnsi="Times New Roman"/>
        </w:rPr>
        <w:t>The requirement to collect this information is further supported by administrative directives that promote employee well-being and support the safe implementation of agency-sponsored wellness programs. A copy of the relevant section of DEA Personnel Manual 2792 is attached in accordance with the request.</w:t>
      </w:r>
    </w:p>
    <w:p w:rsidR="00802A30" w:rsidRPr="00A47DA7" w:rsidP="4B6C6459" w14:paraId="580B3CE2" w14:textId="4DA1EF4C">
      <w:pPr>
        <w:widowControl/>
        <w:rPr>
          <w:rFonts w:ascii="Times New Roman" w:hAnsi="Times New Roman"/>
          <w:b/>
          <w:bCs/>
        </w:rPr>
      </w:pPr>
      <w:bookmarkStart w:id="2" w:name="OLE_LINK8"/>
      <w:bookmarkEnd w:id="0"/>
      <w:r w:rsidRPr="009C2D0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802A30" w:rsidRPr="00A47DA7" w:rsidP="4B6C6459" w14:paraId="7F9C6F34" w14:textId="220390BE">
      <w:pPr>
        <w:widowControl/>
        <w:rPr>
          <w:rFonts w:ascii="Times New Roman" w:hAnsi="Times New Roman"/>
          <w:b/>
          <w:bCs/>
        </w:rPr>
      </w:pPr>
    </w:p>
    <w:p w:rsidR="00485AD2" w:rsidP="00FA2205" w14:paraId="6E1CDBC0" w14:textId="5ECFB328">
      <w:pPr>
        <w:pStyle w:val="NoSpacing"/>
        <w:ind w:left="720"/>
        <w:rPr>
          <w:sz w:val="24"/>
          <w:szCs w:val="24"/>
        </w:rPr>
      </w:pPr>
      <w:r w:rsidRPr="00FA2205">
        <w:rPr>
          <w:sz w:val="24"/>
          <w:szCs w:val="24"/>
        </w:rPr>
        <w:t xml:space="preserve">The information is collected by the DEA Work Life Administrator and is used to confirm that employees have been medically cleared to participate in </w:t>
      </w:r>
      <w:r w:rsidR="00547C6B">
        <w:rPr>
          <w:sz w:val="24"/>
          <w:szCs w:val="24"/>
        </w:rPr>
        <w:t>V</w:t>
      </w:r>
      <w:r w:rsidRPr="00FA2205">
        <w:rPr>
          <w:sz w:val="24"/>
          <w:szCs w:val="24"/>
        </w:rPr>
        <w:t xml:space="preserve">oluntary </w:t>
      </w:r>
      <w:r w:rsidR="00547C6B">
        <w:rPr>
          <w:sz w:val="24"/>
          <w:szCs w:val="24"/>
        </w:rPr>
        <w:t>W</w:t>
      </w:r>
      <w:r w:rsidRPr="00FA2205">
        <w:rPr>
          <w:sz w:val="24"/>
          <w:szCs w:val="24"/>
        </w:rPr>
        <w:t>ellness</w:t>
      </w:r>
      <w:r w:rsidR="00547C6B">
        <w:rPr>
          <w:sz w:val="24"/>
          <w:szCs w:val="24"/>
        </w:rPr>
        <w:t xml:space="preserve"> Program</w:t>
      </w:r>
      <w:r w:rsidRPr="00FA2205">
        <w:rPr>
          <w:sz w:val="24"/>
          <w:szCs w:val="24"/>
        </w:rPr>
        <w:t xml:space="preserve"> activities. Employees are responsible for obtaining medical clearance from a licensed physician, who must complete the required health assessment form. Once completed, the form is submitted electronically to the DEA Work Life Administrator for review. This process ensures that participation in the program does not pose a health risk to the employee and that all activities align with the individual’s current medical condition. Additionally, the information serves to establish program eligibility and supports appropriate documentation for liability coverage. </w:t>
      </w:r>
      <w:r w:rsidR="009C2D05">
        <w:rPr>
          <w:sz w:val="24"/>
          <w:szCs w:val="24"/>
        </w:rPr>
        <w:t xml:space="preserve"> </w:t>
      </w:r>
    </w:p>
    <w:p w:rsidR="009C2D05" w:rsidRPr="00A47DA7" w:rsidP="00FA2205" w14:paraId="147177D7" w14:textId="77777777">
      <w:pPr>
        <w:pStyle w:val="NoSpacing"/>
        <w:ind w:left="720"/>
        <w:rPr>
          <w:sz w:val="24"/>
          <w:szCs w:val="24"/>
        </w:rPr>
      </w:pPr>
    </w:p>
    <w:p w:rsidR="00881163" w:rsidRPr="00C02BDD" w:rsidP="4B6C6459" w14:paraId="46CC73FC" w14:textId="4D55591E">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3" w:name="OLE_LINK9"/>
      <w:bookmarkEnd w:id="2"/>
      <w:r w:rsidRPr="00C02BD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C02BDD">
        <w:rPr>
          <w:rFonts w:ascii="Times New Roman" w:hAnsi="Times New Roman"/>
          <w:b/>
          <w:bCs/>
        </w:rPr>
        <w:t>the basis for the decision for adopting this means of collection.  Also</w:t>
      </w:r>
      <w:r w:rsidRPr="00C02BDD" w:rsidR="00237691">
        <w:rPr>
          <w:rFonts w:ascii="Times New Roman" w:hAnsi="Times New Roman"/>
          <w:b/>
          <w:bCs/>
        </w:rPr>
        <w:t>,</w:t>
      </w:r>
      <w:r w:rsidRPr="00C02BDD">
        <w:rPr>
          <w:rFonts w:ascii="Times New Roman" w:hAnsi="Times New Roman"/>
          <w:b/>
          <w:bCs/>
        </w:rPr>
        <w:t xml:space="preserve"> describe any consideration of using information technology to reduce burden.</w:t>
      </w:r>
      <w:r w:rsidRPr="00C02BDD">
        <w:rPr>
          <w:rFonts w:ascii="Times New Roman" w:hAnsi="Times New Roman"/>
        </w:rPr>
        <w:t xml:space="preserve"> </w:t>
      </w:r>
    </w:p>
    <w:p w:rsidR="00690F56" w:rsidRPr="00C02BDD" w:rsidP="4B6C6459" w14:paraId="5B6071AC" w14:textId="1CCCCE6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4B6C6459" w:rsidP="4B6C6459" w14:paraId="6F3F2B59" w14:textId="618CF016">
      <w:pPr>
        <w:pStyle w:val="ListParagraph"/>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16E2">
        <w:rPr>
          <w:rFonts w:ascii="Times New Roman" w:hAnsi="Times New Roman"/>
        </w:rPr>
        <w:t xml:space="preserve">The information is collected by the DEA Work Life Administrator and is used to confirm that employees have been medically cleared to participate in voluntary physical wellness activities. As part of the current process, the employee obtains </w:t>
      </w:r>
      <w:r w:rsidRPr="001816E2" w:rsidR="001132A0">
        <w:rPr>
          <w:rFonts w:ascii="Times New Roman" w:hAnsi="Times New Roman"/>
        </w:rPr>
        <w:t>medical</w:t>
      </w:r>
      <w:r w:rsidRPr="001816E2">
        <w:rPr>
          <w:rFonts w:ascii="Times New Roman" w:hAnsi="Times New Roman"/>
        </w:rPr>
        <w:t xml:space="preserve"> clearance from a licensed healthcare provider using the required DEA </w:t>
      </w:r>
      <w:r w:rsidR="0015234E">
        <w:rPr>
          <w:rFonts w:ascii="Times New Roman" w:hAnsi="Times New Roman"/>
        </w:rPr>
        <w:t>F</w:t>
      </w:r>
      <w:r w:rsidRPr="001816E2">
        <w:rPr>
          <w:rFonts w:ascii="Times New Roman" w:hAnsi="Times New Roman"/>
        </w:rPr>
        <w:t>orm</w:t>
      </w:r>
      <w:r w:rsidR="0015234E">
        <w:rPr>
          <w:rFonts w:ascii="Times New Roman" w:hAnsi="Times New Roman"/>
        </w:rPr>
        <w:t xml:space="preserve"> 315c</w:t>
      </w:r>
      <w:r w:rsidRPr="001816E2">
        <w:rPr>
          <w:rFonts w:ascii="Times New Roman" w:hAnsi="Times New Roman"/>
        </w:rPr>
        <w:t xml:space="preserve">. In some cases, healthcare providers may allow the employee to submit the form electronically and may also return the completed form electronically to the employee. However, the healthcare provider does not submit the form directly to the DEA. The completed clearance form is returned to the employee, who then submits it electronically to the DEA Work Life Administrator as part of a larger documentation package required for program participation. </w:t>
      </w:r>
      <w:bookmarkEnd w:id="3"/>
    </w:p>
    <w:p w:rsidR="4B6C6459" w:rsidP="4B6C6459" w14:paraId="5C715D7B" w14:textId="795CB530">
      <w:pPr>
        <w:pStyle w:val="ListParagraph"/>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4B6C6459" w:rsidP="4B6C6459" w14:paraId="633C1D95" w14:textId="5FFE367D">
      <w:pPr>
        <w:pStyle w:val="ListParagraph"/>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4B6C6459" w:rsidP="4B6C6459" w14:paraId="67435BED" w14:textId="0E8C1066">
      <w:pPr>
        <w:pStyle w:val="ListParagraph"/>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830060" w:rsidP="4B6C6459" w14:paraId="1F4E2827" w14:textId="49D1A4F4">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4B6C6459">
        <w:rPr>
          <w:rFonts w:ascii="Times New Roman" w:hAnsi="Times New Roman"/>
          <w:b/>
          <w:bCs/>
        </w:rPr>
        <w:t xml:space="preserve"> </w:t>
      </w:r>
      <w:bookmarkStart w:id="4" w:name="OLE_LINK10"/>
      <w:r w:rsidRPr="00830060">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830060" w:rsidR="00237691">
        <w:rPr>
          <w:rFonts w:ascii="Times New Roman" w:hAnsi="Times New Roman"/>
          <w:b/>
          <w:bCs/>
        </w:rPr>
        <w:t>A.</w:t>
      </w:r>
      <w:r w:rsidRPr="00830060">
        <w:rPr>
          <w:rFonts w:ascii="Times New Roman" w:hAnsi="Times New Roman"/>
          <w:b/>
          <w:bCs/>
        </w:rPr>
        <w:t>2 above.</w:t>
      </w:r>
    </w:p>
    <w:p w:rsidR="4B6C6459" w:rsidRPr="00830060" w:rsidP="4B6C6459" w14:paraId="53AEC368" w14:textId="22A503B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bookmarkEnd w:id="4"/>
    <w:p w:rsidR="3893E4ED" w:rsidRPr="00830060" w:rsidP="00C31259" w14:paraId="2B5BF5C3" w14:textId="020761A0">
      <w:pPr>
        <w:pStyle w:val="NoSpacing"/>
        <w:ind w:left="720"/>
        <w:rPr>
          <w:sz w:val="24"/>
          <w:szCs w:val="24"/>
        </w:rPr>
      </w:pPr>
      <w:r w:rsidRPr="006D6F26">
        <w:rPr>
          <w:sz w:val="24"/>
          <w:szCs w:val="24"/>
        </w:rPr>
        <w:t>There is no duplication of information. The DEA</w:t>
      </w:r>
      <w:r>
        <w:rPr>
          <w:sz w:val="24"/>
          <w:szCs w:val="24"/>
        </w:rPr>
        <w:t xml:space="preserve"> Form </w:t>
      </w:r>
      <w:r w:rsidRPr="006D6F26">
        <w:rPr>
          <w:sz w:val="24"/>
          <w:szCs w:val="24"/>
        </w:rPr>
        <w:t>315</w:t>
      </w:r>
      <w:r>
        <w:rPr>
          <w:sz w:val="24"/>
          <w:szCs w:val="24"/>
        </w:rPr>
        <w:t>c</w:t>
      </w:r>
      <w:r w:rsidRPr="006D6F26">
        <w:rPr>
          <w:sz w:val="24"/>
          <w:szCs w:val="24"/>
        </w:rPr>
        <w:t xml:space="preserve"> captures a unique medical clearance that is specific to an employee’s eligibility to participate in the Voluntary Wellness Program. This information is not collected or maintained elsewhere in DEA personnel files or occupational health records, as it pertains solely to voluntary fitness activities and is based on an individualized assessment by a licensed healthcare provider. No existing forms or systems within the agency collect the same data for this specific purpose, and therefore, the use or modification of other records is not applicable.</w:t>
      </w:r>
    </w:p>
    <w:p w:rsidR="4B6C6459" w:rsidRPr="00830060" w:rsidP="4B6C6459" w14:paraId="2FDA4AC8" w14:textId="5446AF9C">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30060">
        <w:rPr>
          <w:rFonts w:ascii="Times New Roman" w:hAnsi="Times New Roman"/>
          <w:b/>
          <w:bCs/>
        </w:rPr>
        <w:t xml:space="preserve"> 5.</w:t>
      </w:r>
      <w:r w:rsidRPr="00830060">
        <w:rPr>
          <w:rFonts w:ascii="Times New Roman" w:hAnsi="Times New Roman"/>
        </w:rPr>
        <w:t xml:space="preserve">  </w:t>
      </w:r>
      <w:r w:rsidRPr="00830060">
        <w:rPr>
          <w:rFonts w:ascii="Times New Roman" w:hAnsi="Times New Roman"/>
          <w:b/>
          <w:bCs/>
        </w:rPr>
        <w:t>If the collection of information impacts small businesses or other small entities</w:t>
      </w:r>
      <w:r w:rsidRPr="00830060" w:rsidR="00237691">
        <w:rPr>
          <w:rFonts w:ascii="Times New Roman" w:hAnsi="Times New Roman"/>
          <w:b/>
          <w:bCs/>
        </w:rPr>
        <w:t>,</w:t>
      </w:r>
      <w:r w:rsidRPr="00830060">
        <w:rPr>
          <w:rFonts w:ascii="Times New Roman" w:hAnsi="Times New Roman"/>
          <w:b/>
          <w:bCs/>
        </w:rPr>
        <w:t xml:space="preserve"> describe any methods used to minimize burden.</w:t>
      </w:r>
    </w:p>
    <w:p w:rsidR="00F522EC" w:rsidP="00F522EC" w14:paraId="093F3022" w14:textId="77777777">
      <w:pPr>
        <w:pStyle w:val="BodyText"/>
        <w:spacing w:before="1"/>
        <w:ind w:left="128"/>
        <w:rPr>
          <w:b/>
          <w:bCs/>
        </w:rPr>
      </w:pPr>
      <w:r>
        <w:rPr>
          <w:b/>
          <w:bCs/>
        </w:rPr>
        <w:tab/>
      </w:r>
    </w:p>
    <w:p w:rsidR="00F522EC" w:rsidP="00460EC3" w14:paraId="29A3FC1C" w14:textId="520E4A24">
      <w:pPr>
        <w:pStyle w:val="BodyText"/>
        <w:spacing w:before="1"/>
        <w:ind w:left="720"/>
        <w:rPr>
          <w:sz w:val="24"/>
          <w:szCs w:val="24"/>
        </w:rPr>
      </w:pPr>
      <w:r>
        <w:rPr>
          <w:color w:val="343434"/>
          <w:w w:val="105"/>
          <w:sz w:val="24"/>
          <w:szCs w:val="24"/>
        </w:rPr>
        <w:t>There is no impact on small business.</w:t>
      </w:r>
    </w:p>
    <w:p w:rsidR="005622FE" w:rsidRPr="00830060" w:rsidP="00E805DC" w14:paraId="6F57386F" w14:textId="6F57C5E4">
      <w:pPr>
        <w:widowControl/>
        <w:tabs>
          <w:tab w:val="left" w:pos="-360"/>
          <w:tab w:val="left" w:pos="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ab/>
      </w:r>
    </w:p>
    <w:p w:rsidR="000B2D33" w:rsidRPr="00830060" w:rsidP="4DCA6B06" w14:paraId="36B29418" w14:textId="5E48AFD5">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30060">
        <w:rPr>
          <w:rFonts w:ascii="Times New Roman" w:hAnsi="Times New Roman"/>
          <w:b/>
          <w:bCs/>
        </w:rPr>
        <w:t xml:space="preserve"> 6</w:t>
      </w:r>
      <w:r w:rsidRPr="00830060" w:rsidR="00237691">
        <w:rPr>
          <w:rFonts w:ascii="Times New Roman" w:hAnsi="Times New Roman"/>
          <w:b/>
          <w:bCs/>
        </w:rPr>
        <w:t>.  Describe the consequence to f</w:t>
      </w:r>
      <w:r w:rsidRPr="00830060">
        <w:rPr>
          <w:rFonts w:ascii="Times New Roman" w:hAnsi="Times New Roman"/>
          <w:b/>
          <w:bCs/>
        </w:rPr>
        <w:t>ederal program or policy activities if the collection is not conducted or is conducted less frequently, as well as any technical or legal obstacles to reducing burden.</w:t>
      </w:r>
    </w:p>
    <w:p w:rsidR="00690F56" w:rsidRPr="00830060" w:rsidP="4B6C6459" w14:paraId="494DFC57" w14:textId="4E519E42">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30060" w:rsidP="00E805DC" w14:paraId="7C4C2F67" w14:textId="61F7445E">
      <w:pPr>
        <w:pStyle w:val="NoSpacing"/>
        <w:tabs>
          <w:tab w:val="left" w:pos="810"/>
        </w:tabs>
        <w:ind w:left="720"/>
        <w:rPr>
          <w:sz w:val="24"/>
          <w:szCs w:val="24"/>
        </w:rPr>
      </w:pPr>
      <w:r w:rsidRPr="00830060">
        <w:rPr>
          <w:sz w:val="24"/>
          <w:szCs w:val="24"/>
        </w:rPr>
        <w:t>Without the DEA</w:t>
      </w:r>
      <w:r w:rsidRPr="00830060" w:rsidR="00C31259">
        <w:rPr>
          <w:sz w:val="24"/>
          <w:szCs w:val="24"/>
        </w:rPr>
        <w:t xml:space="preserve"> Form </w:t>
      </w:r>
      <w:r w:rsidRPr="00830060">
        <w:rPr>
          <w:sz w:val="24"/>
          <w:szCs w:val="24"/>
        </w:rPr>
        <w:t>315</w:t>
      </w:r>
      <w:r w:rsidRPr="00830060" w:rsidR="00C31259">
        <w:rPr>
          <w:sz w:val="24"/>
          <w:szCs w:val="24"/>
        </w:rPr>
        <w:t>c</w:t>
      </w:r>
      <w:r w:rsidRPr="00830060">
        <w:rPr>
          <w:sz w:val="24"/>
          <w:szCs w:val="24"/>
        </w:rPr>
        <w:t>, the DEA would be unable to verify participants’ medical suitability for the VWP. This poses safety risks to employees, potential liability to the agency, and could jeopardize program integrity.</w:t>
      </w:r>
    </w:p>
    <w:p w:rsidR="4B6C6459" w:rsidP="4B6C6459" w14:paraId="2085D309" w14:textId="799713CF">
      <w:pPr>
        <w:pStyle w:val="NoSpacing"/>
        <w:rPr>
          <w:sz w:val="24"/>
          <w:szCs w:val="24"/>
          <w:highlight w:val="yellow"/>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C7638" w:rsidP="00690F56" w14:paraId="583D2BFF"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CC7638" w:rsidP="00CC7638" w14:paraId="2AF95DEC" w14:textId="77777777">
      <w:pPr>
        <w:pStyle w:val="ListParagraph"/>
      </w:pPr>
    </w:p>
    <w:p w:rsidR="00CC7638" w:rsidRPr="00D53DEB" w:rsidP="00CC7638" w14:paraId="61D45CCF" w14:textId="25CDBB9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CC7638">
        <w:t>There are no special circumstances.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5F3E69" w:rsidP="00690F56" w14:paraId="2A5638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F3E69" w:rsidRPr="005F3E69" w:rsidP="00690F56" w14:paraId="53A53E01" w14:textId="29AA40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ab/>
      </w:r>
      <w:r>
        <w:rPr>
          <w:rFonts w:ascii="Times New Roman" w:hAnsi="Times New Roman"/>
        </w:rPr>
        <w:t xml:space="preserve">The 60-day notice was posted in the OFR on August 4, 2025, 90 FR 36453 and open for public comment until October 4, 2025, </w:t>
      </w:r>
      <w:r>
        <w:rPr>
          <w:rFonts w:ascii="Times New Roman" w:hAnsi="Times New Roman"/>
        </w:rPr>
        <w:t>No</w:t>
      </w:r>
      <w:r>
        <w:rPr>
          <w:rFonts w:ascii="Times New Roman" w:hAnsi="Times New Roman"/>
        </w:rPr>
        <w:t xml:space="preserve"> comments were received.  The 30-day notice was posted on November 24, 2025, with the comment period ending on December 24, 2025.</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w:t>
      </w:r>
      <w:r w:rsidRPr="00D53DEB">
        <w:rPr>
          <w:rFonts w:ascii="Times New Roman" w:hAnsi="Times New Roman"/>
          <w:b/>
          <w:bCs/>
        </w:rPr>
        <w:t>circumstances that may preclude consultation in a specific situation.  These circumstances should be explained.</w:t>
      </w:r>
    </w:p>
    <w:p w:rsidR="00DA7DC9" w:rsidRPr="00A47DA7" w:rsidP="0060114B" w14:paraId="0C933CDF" w14:textId="77777777">
      <w:pPr>
        <w:widowControl/>
        <w:autoSpaceDE/>
        <w:autoSpaceDN/>
        <w:adjustRightInd/>
        <w:rPr>
          <w:rFonts w:ascii="Times New Roman" w:eastAsia="Calibri" w:hAnsi="Times New Roman"/>
        </w:rPr>
      </w:pPr>
    </w:p>
    <w:p w:rsidR="00690F5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334332" w:rsidP="00690F56" w14:paraId="71CF6519" w14:textId="581261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b/>
      </w:r>
    </w:p>
    <w:p w:rsidR="00334332" w:rsidRPr="00334332" w:rsidP="00666AB1" w14:paraId="6C041233" w14:textId="1C0A85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rPr>
      </w:pPr>
      <w:r>
        <w:rPr>
          <w:rFonts w:ascii="Times New Roman" w:hAnsi="Times New Roman"/>
        </w:rPr>
        <w:t xml:space="preserve"> </w:t>
      </w:r>
      <w:r w:rsidRPr="00334332">
        <w:rPr>
          <w:rFonts w:ascii="Times New Roman" w:hAnsi="Times New Roman"/>
        </w:rPr>
        <w:t>There are no gifts o</w:t>
      </w:r>
      <w:r w:rsidR="00207B99">
        <w:rPr>
          <w:rFonts w:ascii="Times New Roman" w:hAnsi="Times New Roman"/>
        </w:rPr>
        <w:t>r</w:t>
      </w:r>
      <w:r w:rsidRPr="00334332">
        <w:rPr>
          <w:rFonts w:ascii="Times New Roman" w:hAnsi="Times New Roman"/>
        </w:rPr>
        <w:t xml:space="preserve"> payments </w:t>
      </w:r>
      <w:r w:rsidR="00207B99">
        <w:rPr>
          <w:rFonts w:ascii="Times New Roman" w:hAnsi="Times New Roman"/>
        </w:rPr>
        <w:t xml:space="preserve">made to the </w:t>
      </w:r>
      <w:r w:rsidRPr="00334332">
        <w:rPr>
          <w:rFonts w:ascii="Times New Roman" w:hAnsi="Times New Roman"/>
        </w:rPr>
        <w:t>respondents</w:t>
      </w:r>
      <w:r w:rsidR="00207B99">
        <w:rPr>
          <w:rFonts w:ascii="Times New Roman" w:hAnsi="Times New Roman"/>
        </w:rPr>
        <w:t xml:space="preserve"> by the DEA</w:t>
      </w:r>
      <w:r w:rsidRPr="00334332">
        <w:rPr>
          <w:rFonts w:ascii="Times New Roman" w:hAnsi="Times New Roman"/>
        </w:rPr>
        <w:t>.</w:t>
      </w:r>
      <w:r w:rsidR="00207B99">
        <w:rPr>
          <w:rFonts w:ascii="Times New Roman" w:hAnsi="Times New Roman"/>
        </w:rPr>
        <w:t xml:space="preserve">  The employee is </w:t>
      </w:r>
      <w:r w:rsidR="00D845AA">
        <w:rPr>
          <w:rFonts w:ascii="Times New Roman" w:hAnsi="Times New Roman"/>
        </w:rPr>
        <w:t xml:space="preserve">  </w:t>
      </w:r>
      <w:r>
        <w:rPr>
          <w:rFonts w:ascii="Times New Roman" w:hAnsi="Times New Roman"/>
        </w:rPr>
        <w:t xml:space="preserve">   </w:t>
      </w:r>
      <w:r w:rsidR="00666AB1">
        <w:rPr>
          <w:rFonts w:ascii="Times New Roman" w:hAnsi="Times New Roman"/>
        </w:rPr>
        <w:t xml:space="preserve">  </w:t>
      </w:r>
      <w:r w:rsidR="00207B99">
        <w:rPr>
          <w:rFonts w:ascii="Times New Roman" w:hAnsi="Times New Roman"/>
        </w:rPr>
        <w:t xml:space="preserve">required to pay whatever fee the medical provider charges for this service.  </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45AA" w:rsidP="4DCA6B06" w14:paraId="0BFB46C5"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45AA">
        <w:rPr>
          <w:rFonts w:ascii="Times New Roman" w:hAnsi="Times New Roman"/>
          <w:b/>
          <w:bCs/>
        </w:rPr>
        <w:t>10.  Describe any assurance of confidentiality provided to respondents and the basis for the assurance in statute, regulation, or agency policy.</w:t>
      </w:r>
    </w:p>
    <w:p w:rsidR="00B16D4F" w:rsidRPr="00D845AA" w:rsidP="4B6C6459" w14:paraId="3C38F2A8" w14:textId="6EB048D2">
      <w:pPr>
        <w:pStyle w:val="NoSpacing"/>
        <w:rPr>
          <w:sz w:val="24"/>
          <w:szCs w:val="24"/>
        </w:rPr>
      </w:pPr>
    </w:p>
    <w:p w:rsidR="00B16D4F" w:rsidRPr="00D845AA" w:rsidP="00043759" w14:paraId="733548D7" w14:textId="30042517">
      <w:pPr>
        <w:pStyle w:val="NoSpacing"/>
        <w:ind w:left="720"/>
        <w:rPr>
          <w:sz w:val="24"/>
          <w:szCs w:val="24"/>
        </w:rPr>
      </w:pPr>
      <w:r w:rsidRPr="00D845AA">
        <w:rPr>
          <w:sz w:val="24"/>
          <w:szCs w:val="24"/>
        </w:rPr>
        <w:t>The form does not request medical diagnosis or sensitive medical history</w:t>
      </w:r>
      <w:r w:rsidR="00D6349D">
        <w:rPr>
          <w:sz w:val="24"/>
          <w:szCs w:val="24"/>
        </w:rPr>
        <w:t xml:space="preserve">, </w:t>
      </w:r>
      <w:r w:rsidRPr="00D845AA">
        <w:rPr>
          <w:sz w:val="24"/>
          <w:szCs w:val="24"/>
        </w:rPr>
        <w:t>only a clearance decision. Completed forms are distributed only to internal staff: the Work Life Administrator and the employee. Records are managed in accordance with DOJ privacy and records policies.</w:t>
      </w:r>
      <w:r w:rsidR="00B213B1">
        <w:rPr>
          <w:sz w:val="24"/>
          <w:szCs w:val="24"/>
        </w:rPr>
        <w:t xml:space="preserve">  </w:t>
      </w:r>
      <w:r w:rsidRPr="00B213B1" w:rsidR="00B213B1">
        <w:rPr>
          <w:sz w:val="24"/>
          <w:szCs w:val="24"/>
        </w:rPr>
        <w:t>As set forth in the Form's Privacy Act Notice, use and disclosure of information contained therein will be strictly controlled and will be confined to those who have a need for the information in conjunction with DEA responsibilities.</w:t>
      </w:r>
    </w:p>
    <w:p w:rsidR="00B16D4F" w:rsidP="4B6C6459" w14:paraId="4E371B59" w14:textId="6186335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16D4F" w:rsidRPr="00B16D4F" w:rsidP="00B16D4F" w14:paraId="57B820F4" w14:textId="6D0E07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16D4F">
        <w:rPr>
          <w:rFonts w:ascii="Times New Roman" w:hAnsi="Times New Roman"/>
          <w:b/>
          <w:bCs/>
        </w:rPr>
        <w:t xml:space="preserve">Confidentiality of Survey Data        </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4B6C6459" w:rsidP="4B6C6459" w14:paraId="08CD8ADB" w14:textId="60A4C55D">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B7EA8" w:rsidP="4B6C6459" w14:paraId="39124B7D"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B7EA8">
        <w:rPr>
          <w:rFonts w:ascii="Times New Roman" w:hAnsi="Times New Roman"/>
          <w:b/>
          <w:bCs/>
        </w:rPr>
        <w:t>12.  Provide estimates of the hour burden of the collection of information.  The statement should:</w:t>
      </w:r>
    </w:p>
    <w:p w:rsidR="00690F56" w:rsidRPr="00FB7EA8"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667F3" w:rsidRPr="00FB7EA8" w:rsidP="4B6C6459" w14:paraId="5C35446F" w14:textId="0BEAF3A0">
      <w:pPr>
        <w:widowControl/>
        <w:numPr>
          <w:ilvl w:val="0"/>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B7EA8">
        <w:rPr>
          <w:rFonts w:ascii="Times New Roman" w:hAnsi="Times New Roman"/>
          <w:b/>
          <w:bCs/>
        </w:rPr>
        <w:t xml:space="preserve">Indicate </w:t>
      </w:r>
      <w:r w:rsidRPr="00FB7EA8" w:rsidR="00690F56">
        <w:rPr>
          <w:rFonts w:ascii="Times New Roman" w:hAnsi="Times New Roman"/>
          <w:b/>
          <w:bCs/>
        </w:rPr>
        <w:t>the number of respondents, frequency of response, annual hour burden, and an explanation o</w:t>
      </w:r>
      <w:r w:rsidRPr="00FB7EA8" w:rsidR="00D2331B">
        <w:rPr>
          <w:rFonts w:ascii="Times New Roman" w:hAnsi="Times New Roman"/>
          <w:b/>
          <w:bCs/>
        </w:rPr>
        <w:t xml:space="preserve">f </w:t>
      </w:r>
      <w:r w:rsidRPr="00FB7EA8"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FB7EA8">
        <w:rPr>
          <w:rFonts w:ascii="Times New Roman" w:hAnsi="Times New Roman"/>
          <w:b/>
          <w:bCs/>
        </w:rPr>
        <w:t>,</w:t>
      </w:r>
      <w:r w:rsidRPr="00FB7EA8" w:rsidR="00690F56">
        <w:rPr>
          <w:rFonts w:ascii="Times New Roman" w:hAnsi="Times New Roman"/>
          <w:b/>
          <w:bCs/>
        </w:rPr>
        <w:t xml:space="preserve"> estimates should not include burden hours</w:t>
      </w:r>
      <w:r w:rsidRPr="00FB7EA8" w:rsidR="00CD215D">
        <w:rPr>
          <w:rFonts w:ascii="Times New Roman" w:hAnsi="Times New Roman"/>
          <w:b/>
          <w:bCs/>
        </w:rPr>
        <w:t xml:space="preserve"> </w:t>
      </w:r>
      <w:r w:rsidRPr="00FB7EA8" w:rsidR="00690F56">
        <w:rPr>
          <w:rFonts w:ascii="Times New Roman" w:hAnsi="Times New Roman"/>
          <w:b/>
          <w:bCs/>
        </w:rPr>
        <w:t>for customary and usual business practices.</w:t>
      </w:r>
    </w:p>
    <w:p w:rsidR="4B6C6459" w:rsidRPr="00FB7EA8" w:rsidP="4B6C6459" w14:paraId="28F8B4F5" w14:textId="13ECCBCE">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p>
    <w:p w:rsidR="007A7F79" w:rsidRPr="00FB7EA8" w:rsidP="4DCA6B06" w14:paraId="37614E37" w14:textId="77777777">
      <w:pPr>
        <w:pStyle w:val="Level1"/>
        <w:widowControl/>
        <w:numPr>
          <w:ilvl w:val="0"/>
          <w:numId w:val="1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EA8">
        <w:rPr>
          <w:b/>
          <w:bCs/>
        </w:rPr>
        <w:t>If this request for approval covers more than one form, provide separate hour burden estimates for each form.</w:t>
      </w:r>
    </w:p>
    <w:p w:rsidR="00FB7EA8" w:rsidP="004E0163" w14:paraId="51B8C1FE" w14:textId="77777777">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b/>
          <w:bCs/>
        </w:rPr>
      </w:pPr>
    </w:p>
    <w:p w:rsidR="2589E7D6" w:rsidRPr="00FB7EA8" w:rsidP="00FB7EA8" w14:paraId="49EEEAA5" w14:textId="3A61B710">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pPr>
      <w:r w:rsidRPr="00FB7EA8">
        <w:t xml:space="preserve">This request pertains to one </w:t>
      </w:r>
      <w:r w:rsidRPr="00FB7EA8" w:rsidR="00F54863">
        <w:t>DEA Form 315c</w:t>
      </w:r>
      <w:r w:rsidRPr="00FB7EA8">
        <w:t xml:space="preserve"> no separate breakdown is needed. </w:t>
      </w:r>
    </w:p>
    <w:p w:rsidR="00882B1D" w:rsidRPr="00FB7EA8" w:rsidP="4DCA6B06" w14:paraId="2B026727" w14:textId="77777777">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7809E6" w:rsidP="4DCA6B06" w14:paraId="163C0E79" w14:textId="77777777">
      <w:pPr>
        <w:widowControl/>
        <w:numPr>
          <w:ilvl w:val="0"/>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B7EA8">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7809E6">
        <w:rPr>
          <w:rFonts w:ascii="Times New Roman" w:hAnsi="Times New Roman"/>
          <w:b/>
          <w:bCs/>
        </w:rPr>
        <w:t xml:space="preserve">collection activities should not be included here.  Instead, </w:t>
      </w:r>
      <w:r w:rsidRPr="007809E6" w:rsidR="00312124">
        <w:rPr>
          <w:rFonts w:ascii="Times New Roman" w:hAnsi="Times New Roman"/>
          <w:b/>
          <w:bCs/>
        </w:rPr>
        <w:t>this cost</w:t>
      </w:r>
      <w:r w:rsidRPr="007809E6" w:rsidR="00C667F3">
        <w:rPr>
          <w:rFonts w:ascii="Times New Roman" w:hAnsi="Times New Roman"/>
          <w:b/>
          <w:bCs/>
        </w:rPr>
        <w:t xml:space="preserve"> should be included in Item 14</w:t>
      </w:r>
      <w:r w:rsidRPr="007809E6">
        <w:rPr>
          <w:rFonts w:ascii="Times New Roman" w:hAnsi="Times New Roman"/>
          <w:b/>
          <w:bCs/>
        </w:rPr>
        <w:t>.</w:t>
      </w:r>
    </w:p>
    <w:p w:rsidR="006626FF" w:rsidRPr="007809E6" w:rsidP="4B6C6459" w14:paraId="5F3D1D8F" w14:textId="3DD78725">
      <w:pPr>
        <w:pStyle w:val="NoSpacing"/>
        <w:numPr>
          <w:ilvl w:val="1"/>
          <w:numId w:val="16"/>
        </w:numPr>
        <w:rPr>
          <w:color w:val="000000" w:themeColor="text1"/>
          <w:sz w:val="24"/>
          <w:szCs w:val="24"/>
        </w:rPr>
      </w:pPr>
      <w:r w:rsidRPr="007809E6">
        <w:rPr>
          <w:color w:val="000000" w:themeColor="text1"/>
          <w:sz w:val="24"/>
          <w:szCs w:val="24"/>
        </w:rPr>
        <w:t>Wage Category: Healthcare providers (physicians, nurse practitioners,</w:t>
      </w:r>
      <w:r w:rsidRPr="007809E6" w:rsidR="0FBF5BBA">
        <w:rPr>
          <w:color w:val="000000" w:themeColor="text1"/>
          <w:sz w:val="24"/>
          <w:szCs w:val="24"/>
        </w:rPr>
        <w:t xml:space="preserve"> </w:t>
      </w:r>
      <w:r w:rsidRPr="007809E6">
        <w:rPr>
          <w:color w:val="000000" w:themeColor="text1"/>
          <w:sz w:val="24"/>
          <w:szCs w:val="24"/>
        </w:rPr>
        <w:t>physician assistants)</w:t>
      </w:r>
    </w:p>
    <w:p w:rsidR="006626FF" w:rsidRPr="007809E6" w:rsidP="4B6C6459" w14:paraId="0F7779D0" w14:textId="77784DF1">
      <w:pPr>
        <w:pStyle w:val="NoSpacing"/>
        <w:numPr>
          <w:ilvl w:val="1"/>
          <w:numId w:val="16"/>
        </w:numPr>
        <w:rPr>
          <w:color w:val="000000" w:themeColor="text1"/>
          <w:sz w:val="24"/>
          <w:szCs w:val="24"/>
        </w:rPr>
      </w:pPr>
      <w:r w:rsidRPr="007809E6">
        <w:rPr>
          <w:color w:val="000000" w:themeColor="text1"/>
          <w:sz w:val="24"/>
          <w:szCs w:val="24"/>
        </w:rPr>
        <w:t>Estimated Hourly Wage: $85/hour</w:t>
      </w:r>
    </w:p>
    <w:p w:rsidR="006626FF" w:rsidP="4B6C6459" w14:paraId="2453188A" w14:textId="31CFBAD2">
      <w:pPr>
        <w:pStyle w:val="NoSpacing"/>
        <w:numPr>
          <w:ilvl w:val="1"/>
          <w:numId w:val="16"/>
        </w:numPr>
        <w:rPr>
          <w:color w:val="000000" w:themeColor="text1"/>
          <w:sz w:val="24"/>
          <w:szCs w:val="24"/>
        </w:rPr>
      </w:pPr>
      <w:r w:rsidRPr="007809E6">
        <w:rPr>
          <w:color w:val="000000" w:themeColor="text1"/>
          <w:sz w:val="24"/>
          <w:szCs w:val="24"/>
        </w:rPr>
        <w:t>Total Respondent Cost:</w:t>
      </w:r>
      <w:r w:rsidRPr="007809E6" w:rsidR="0E97B0F0">
        <w:rPr>
          <w:color w:val="000000" w:themeColor="text1"/>
          <w:sz w:val="24"/>
          <w:szCs w:val="24"/>
        </w:rPr>
        <w:t xml:space="preserve"> </w:t>
      </w:r>
      <w:r w:rsidRPr="007809E6">
        <w:rPr>
          <w:color w:val="000000" w:themeColor="text1"/>
          <w:sz w:val="24"/>
          <w:szCs w:val="24"/>
        </w:rPr>
        <w:t>75 \text{hours} × \$85 = \$6,375</w:t>
      </w:r>
    </w:p>
    <w:p w:rsidR="007809E6" w:rsidRPr="007809E6" w:rsidP="007809E6" w14:paraId="1CEF13E8" w14:textId="7E9686C3">
      <w:pPr>
        <w:pStyle w:val="NoSpacing"/>
        <w:numPr>
          <w:ilvl w:val="2"/>
          <w:numId w:val="16"/>
        </w:numPr>
        <w:rPr>
          <w:color w:val="000000" w:themeColor="text1"/>
          <w:sz w:val="24"/>
          <w:szCs w:val="24"/>
        </w:rPr>
      </w:pPr>
      <w:r>
        <w:rPr>
          <w:color w:val="000000" w:themeColor="text1"/>
          <w:sz w:val="24"/>
          <w:szCs w:val="24"/>
        </w:rPr>
        <w:t>Note:  The respon</w:t>
      </w:r>
      <w:r w:rsidR="007C76A3">
        <w:rPr>
          <w:color w:val="000000" w:themeColor="text1"/>
          <w:sz w:val="24"/>
          <w:szCs w:val="24"/>
        </w:rPr>
        <w:t xml:space="preserve">dent does not bear the burden of the cost as the DEA employee either </w:t>
      </w:r>
      <w:r w:rsidR="00F40BAD">
        <w:rPr>
          <w:color w:val="000000" w:themeColor="text1"/>
          <w:sz w:val="24"/>
          <w:szCs w:val="24"/>
        </w:rPr>
        <w:t xml:space="preserve">pays privately or uses health insurance.  </w:t>
      </w:r>
    </w:p>
    <w:p w:rsidR="006626FF" w:rsidRPr="006626FF" w:rsidP="4B6C6459" w14:paraId="49938EA8" w14:textId="35A38CEC">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8610" w:type="dxa"/>
        <w:jc w:val="center"/>
        <w:tblLook w:val="04A0"/>
      </w:tblPr>
      <w:tblGrid>
        <w:gridCol w:w="1435"/>
        <w:gridCol w:w="1435"/>
        <w:gridCol w:w="1435"/>
        <w:gridCol w:w="1435"/>
        <w:gridCol w:w="1435"/>
        <w:gridCol w:w="1435"/>
      </w:tblGrid>
      <w:tr w14:paraId="4AA59B92" w14:textId="77777777" w:rsidTr="4B6C6459">
        <w:tblPrEx>
          <w:tblW w:w="8610" w:type="dxa"/>
          <w:jc w:val="center"/>
          <w:tblLook w:val="04A0"/>
        </w:tblPrEx>
        <w:trPr>
          <w:trHeight w:val="300"/>
          <w:jc w:val="center"/>
        </w:trPr>
        <w:tc>
          <w:tcPr>
            <w:tcW w:w="1435" w:type="dxa"/>
            <w:shd w:val="clear" w:color="auto" w:fill="ADB9CA" w:themeFill="text2" w:themeFillTint="66"/>
          </w:tcPr>
          <w:p w:rsidR="00D51D54"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35" w:type="dxa"/>
            <w:shd w:val="clear" w:color="auto" w:fill="ADB9CA" w:themeFill="text2" w:themeFillTint="66"/>
          </w:tcPr>
          <w:p w:rsidR="00D51D54"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435" w:type="dxa"/>
            <w:shd w:val="clear" w:color="auto" w:fill="ADB9CA" w:themeFill="text2" w:themeFillTint="66"/>
          </w:tcPr>
          <w:p w:rsidR="00D51D54"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435" w:type="dxa"/>
            <w:shd w:val="clear" w:color="auto" w:fill="ADB9CA" w:themeFill="text2" w:themeFillTint="66"/>
          </w:tcPr>
          <w:p w:rsidR="00D51D54"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435" w:type="dxa"/>
            <w:shd w:val="clear" w:color="auto" w:fill="ADB9CA" w:themeFill="text2" w:themeFillTint="66"/>
          </w:tcPr>
          <w:p w:rsidR="00D51D54"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1435" w:type="dxa"/>
            <w:shd w:val="clear" w:color="auto" w:fill="ADB9CA" w:themeFill="text2" w:themeFillTint="66"/>
          </w:tcPr>
          <w:p w:rsidR="00D51D54"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4B6C6459">
        <w:tblPrEx>
          <w:tblW w:w="8610" w:type="dxa"/>
          <w:jc w:val="center"/>
          <w:tblLook w:val="04A0"/>
        </w:tblPrEx>
        <w:trPr>
          <w:trHeight w:val="300"/>
          <w:jc w:val="center"/>
        </w:trPr>
        <w:tc>
          <w:tcPr>
            <w:tcW w:w="1435" w:type="dxa"/>
            <w:vAlign w:val="bottom"/>
          </w:tcPr>
          <w:p w:rsidR="00D51D54" w:rsidRPr="008F47CB" w:rsidP="008C6A87" w14:paraId="4E4E0FA6" w14:textId="764064B3">
            <w:pPr>
              <w:jc w:val="right"/>
              <w:rPr>
                <w:rFonts w:ascii="Times New Roman" w:hAnsi="Times New Roman"/>
                <w:sz w:val="22"/>
                <w:szCs w:val="22"/>
              </w:rPr>
            </w:pPr>
            <w:r>
              <w:rPr>
                <w:rFonts w:ascii="Times New Roman" w:hAnsi="Times New Roman"/>
                <w:sz w:val="22"/>
                <w:szCs w:val="22"/>
              </w:rPr>
              <w:t>DEA Form 315c</w:t>
            </w:r>
            <w:r w:rsidR="005E4BB6">
              <w:rPr>
                <w:rFonts w:ascii="Times New Roman" w:hAnsi="Times New Roman"/>
                <w:sz w:val="22"/>
                <w:szCs w:val="22"/>
              </w:rPr>
              <w:t xml:space="preserve"> </w:t>
            </w:r>
          </w:p>
        </w:tc>
        <w:tc>
          <w:tcPr>
            <w:tcW w:w="1435" w:type="dxa"/>
            <w:vAlign w:val="bottom"/>
          </w:tcPr>
          <w:p w:rsidR="00D51D54" w:rsidRPr="008F47CB" w:rsidP="008C6A87" w14:paraId="23BB2474" w14:textId="6DBBF438">
            <w:pPr>
              <w:jc w:val="right"/>
              <w:rPr>
                <w:rFonts w:ascii="Times New Roman" w:hAnsi="Times New Roman"/>
                <w:sz w:val="22"/>
                <w:szCs w:val="22"/>
              </w:rPr>
            </w:pPr>
            <w:r>
              <w:rPr>
                <w:rFonts w:ascii="Times New Roman" w:hAnsi="Times New Roman"/>
                <w:sz w:val="22"/>
                <w:szCs w:val="22"/>
              </w:rPr>
              <w:t>100</w:t>
            </w:r>
            <w:r w:rsidR="005E4BB6">
              <w:rPr>
                <w:rFonts w:ascii="Times New Roman" w:hAnsi="Times New Roman"/>
                <w:sz w:val="22"/>
                <w:szCs w:val="22"/>
              </w:rPr>
              <w:t xml:space="preserve"> </w:t>
            </w:r>
          </w:p>
        </w:tc>
        <w:tc>
          <w:tcPr>
            <w:tcW w:w="1435" w:type="dxa"/>
            <w:vAlign w:val="bottom"/>
          </w:tcPr>
          <w:p w:rsidR="00D51D54" w:rsidRPr="008F47CB" w:rsidP="008C6A87" w14:paraId="5D72451D" w14:textId="4BD29C2C">
            <w:pPr>
              <w:jc w:val="right"/>
              <w:rPr>
                <w:rFonts w:ascii="Times New Roman" w:hAnsi="Times New Roman"/>
                <w:sz w:val="22"/>
                <w:szCs w:val="22"/>
              </w:rPr>
            </w:pPr>
            <w:r>
              <w:rPr>
                <w:rFonts w:ascii="Times New Roman" w:hAnsi="Times New Roman"/>
                <w:sz w:val="22"/>
                <w:szCs w:val="22"/>
              </w:rPr>
              <w:t>1 x per year</w:t>
            </w:r>
            <w:r w:rsidR="005E4BB6">
              <w:rPr>
                <w:rFonts w:ascii="Times New Roman" w:hAnsi="Times New Roman"/>
                <w:sz w:val="22"/>
                <w:szCs w:val="22"/>
              </w:rPr>
              <w:t xml:space="preserve"> </w:t>
            </w:r>
          </w:p>
        </w:tc>
        <w:tc>
          <w:tcPr>
            <w:tcW w:w="1435" w:type="dxa"/>
            <w:vAlign w:val="bottom"/>
          </w:tcPr>
          <w:p w:rsidR="00D51D54" w:rsidRPr="008F47CB" w:rsidP="008C6A87" w14:paraId="03D2549D" w14:textId="0BE4EB09">
            <w:pPr>
              <w:jc w:val="right"/>
              <w:rPr>
                <w:rFonts w:ascii="Times New Roman" w:hAnsi="Times New Roman"/>
                <w:sz w:val="22"/>
                <w:szCs w:val="22"/>
              </w:rPr>
            </w:pPr>
            <w:r>
              <w:rPr>
                <w:rFonts w:ascii="Times New Roman" w:hAnsi="Times New Roman"/>
                <w:sz w:val="22"/>
                <w:szCs w:val="22"/>
              </w:rPr>
              <w:t>100</w:t>
            </w:r>
            <w:r w:rsidR="005E4BB6">
              <w:rPr>
                <w:rFonts w:ascii="Times New Roman" w:hAnsi="Times New Roman"/>
                <w:sz w:val="22"/>
                <w:szCs w:val="22"/>
              </w:rPr>
              <w:t xml:space="preserve"> </w:t>
            </w:r>
          </w:p>
        </w:tc>
        <w:tc>
          <w:tcPr>
            <w:tcW w:w="1435" w:type="dxa"/>
            <w:vAlign w:val="bottom"/>
          </w:tcPr>
          <w:p w:rsidR="00D51D54" w:rsidRPr="008F47CB" w:rsidP="008C6A87" w14:paraId="3704ADCE" w14:textId="7E3267C8">
            <w:pPr>
              <w:jc w:val="right"/>
              <w:rPr>
                <w:rFonts w:ascii="Times New Roman" w:hAnsi="Times New Roman"/>
                <w:sz w:val="22"/>
                <w:szCs w:val="22"/>
              </w:rPr>
            </w:pPr>
            <w:r>
              <w:rPr>
                <w:rFonts w:ascii="Times New Roman" w:hAnsi="Times New Roman"/>
                <w:sz w:val="22"/>
                <w:szCs w:val="22"/>
              </w:rPr>
              <w:t>45 minutes</w:t>
            </w:r>
            <w:r w:rsidR="005E4BB6">
              <w:rPr>
                <w:rFonts w:ascii="Times New Roman" w:hAnsi="Times New Roman"/>
                <w:sz w:val="22"/>
                <w:szCs w:val="22"/>
              </w:rPr>
              <w:t xml:space="preserve"> </w:t>
            </w:r>
          </w:p>
        </w:tc>
        <w:tc>
          <w:tcPr>
            <w:tcW w:w="1435" w:type="dxa"/>
            <w:vAlign w:val="bottom"/>
          </w:tcPr>
          <w:p w:rsidR="00D51D54" w:rsidRPr="008F47CB" w:rsidP="008C6A87" w14:paraId="498C761A" w14:textId="38DFD316">
            <w:pPr>
              <w:jc w:val="right"/>
              <w:rPr>
                <w:rFonts w:ascii="Times New Roman" w:hAnsi="Times New Roman"/>
                <w:sz w:val="22"/>
                <w:szCs w:val="22"/>
              </w:rPr>
            </w:pPr>
            <w:r>
              <w:rPr>
                <w:rFonts w:ascii="Times New Roman" w:hAnsi="Times New Roman"/>
                <w:sz w:val="22"/>
                <w:szCs w:val="22"/>
              </w:rPr>
              <w:t>75 hours</w:t>
            </w:r>
            <w:r w:rsidR="005E4BB6">
              <w:rPr>
                <w:rFonts w:ascii="Times New Roman" w:hAnsi="Times New Roman"/>
                <w:sz w:val="22"/>
                <w:szCs w:val="22"/>
              </w:rPr>
              <w:t xml:space="preserve"> </w:t>
            </w:r>
          </w:p>
        </w:tc>
      </w:tr>
      <w:tr w14:paraId="578B68EB" w14:textId="77777777" w:rsidTr="4B6C6459">
        <w:tblPrEx>
          <w:tblW w:w="8610" w:type="dxa"/>
          <w:jc w:val="center"/>
          <w:tblLook w:val="04A0"/>
        </w:tblPrEx>
        <w:trPr>
          <w:trHeight w:val="300"/>
          <w:jc w:val="center"/>
        </w:trPr>
        <w:tc>
          <w:tcPr>
            <w:tcW w:w="1435" w:type="dxa"/>
          </w:tcPr>
          <w:p w:rsidR="00D51D54" w:rsidRPr="008F47CB" w:rsidP="00D51D54" w14:paraId="3D459D2C" w14:textId="7781F529">
            <w:pPr>
              <w:rPr>
                <w:rFonts w:ascii="Times New Roman" w:hAnsi="Times New Roman"/>
                <w:b/>
                <w:i/>
                <w:sz w:val="22"/>
                <w:szCs w:val="22"/>
              </w:rPr>
            </w:pPr>
          </w:p>
        </w:tc>
        <w:tc>
          <w:tcPr>
            <w:tcW w:w="1435" w:type="dxa"/>
            <w:vAlign w:val="bottom"/>
          </w:tcPr>
          <w:p w:rsidR="00D51D54" w:rsidRPr="008F47CB" w:rsidP="00D51D54" w14:paraId="32AB6B8A" w14:textId="4FA72665">
            <w:pPr>
              <w:jc w:val="right"/>
              <w:rPr>
                <w:rFonts w:ascii="Times New Roman" w:hAnsi="Times New Roman"/>
                <w:b/>
                <w:i/>
                <w:sz w:val="22"/>
                <w:szCs w:val="22"/>
              </w:rPr>
            </w:pPr>
          </w:p>
        </w:tc>
        <w:tc>
          <w:tcPr>
            <w:tcW w:w="1435" w:type="dxa"/>
            <w:vAlign w:val="bottom"/>
          </w:tcPr>
          <w:p w:rsidR="00D51D54" w:rsidRPr="008F47CB" w:rsidP="00D51D54" w14:paraId="75495CB4" w14:textId="7C6FC44B">
            <w:pPr>
              <w:jc w:val="center"/>
              <w:rPr>
                <w:rFonts w:ascii="Times New Roman" w:hAnsi="Times New Roman"/>
                <w:b/>
                <w:i/>
                <w:sz w:val="22"/>
                <w:szCs w:val="22"/>
              </w:rPr>
            </w:pPr>
          </w:p>
        </w:tc>
        <w:tc>
          <w:tcPr>
            <w:tcW w:w="1435" w:type="dxa"/>
            <w:vAlign w:val="bottom"/>
          </w:tcPr>
          <w:p w:rsidR="00D51D54" w:rsidRPr="008F47CB" w:rsidP="00D51D54" w14:paraId="1A7661D9" w14:textId="69F572EF">
            <w:pPr>
              <w:jc w:val="right"/>
              <w:rPr>
                <w:rFonts w:ascii="Times New Roman" w:hAnsi="Times New Roman"/>
                <w:b/>
                <w:i/>
                <w:sz w:val="22"/>
                <w:szCs w:val="22"/>
              </w:rPr>
            </w:pPr>
            <w:r>
              <w:rPr>
                <w:rFonts w:ascii="Times New Roman" w:hAnsi="Times New Roman"/>
                <w:b/>
                <w:i/>
                <w:sz w:val="22"/>
                <w:szCs w:val="22"/>
              </w:rPr>
              <w:t xml:space="preserve"> </w:t>
            </w:r>
          </w:p>
        </w:tc>
        <w:tc>
          <w:tcPr>
            <w:tcW w:w="1435" w:type="dxa"/>
            <w:vAlign w:val="bottom"/>
          </w:tcPr>
          <w:p w:rsidR="00D51D54" w:rsidRPr="008F47CB" w:rsidP="00D51D54" w14:paraId="4A94906E" w14:textId="23D5C63A">
            <w:pPr>
              <w:jc w:val="right"/>
              <w:rPr>
                <w:rFonts w:ascii="Times New Roman" w:hAnsi="Times New Roman"/>
                <w:b/>
                <w:i/>
                <w:sz w:val="22"/>
                <w:szCs w:val="22"/>
              </w:rPr>
            </w:pPr>
          </w:p>
        </w:tc>
        <w:tc>
          <w:tcPr>
            <w:tcW w:w="1435" w:type="dxa"/>
            <w:vAlign w:val="bottom"/>
          </w:tcPr>
          <w:p w:rsidR="00D51D54" w:rsidRPr="008F47CB" w:rsidP="00D51D54" w14:paraId="4075BA8E" w14:textId="2D8E25CA">
            <w:pPr>
              <w:jc w:val="right"/>
              <w:rPr>
                <w:rFonts w:ascii="Times New Roman" w:hAnsi="Times New Roman"/>
                <w:b/>
                <w:i/>
                <w:sz w:val="22"/>
                <w:szCs w:val="22"/>
              </w:rPr>
            </w:pPr>
            <w:r>
              <w:rPr>
                <w:rFonts w:ascii="Times New Roman" w:hAnsi="Times New Roman"/>
                <w:b/>
                <w:i/>
                <w:sz w:val="22"/>
                <w:szCs w:val="22"/>
              </w:rPr>
              <w:t xml:space="preserve"> </w:t>
            </w:r>
          </w:p>
        </w:tc>
      </w:tr>
    </w:tbl>
    <w:p w:rsidR="00EE2223" w:rsidRPr="00EE2223" w:rsidP="4B6C6459" w14:paraId="322BE8B1" w14:textId="35915BBC">
      <w:pPr>
        <w:widowControl/>
        <w:numPr>
          <w:ilvl w:val="1"/>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Estimated Number of Respondents: 300 healthcare providers</w:t>
      </w:r>
    </w:p>
    <w:p w:rsidR="00EE2223" w:rsidRPr="00EE2223" w:rsidP="4B6C6459" w14:paraId="5AE265D4" w14:textId="088F283D">
      <w:pPr>
        <w:widowControl/>
        <w:numPr>
          <w:ilvl w:val="1"/>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Frequency of Response: Once every three years per respondent</w:t>
      </w:r>
    </w:p>
    <w:p w:rsidR="00EE2223" w:rsidRPr="00EE2223" w:rsidP="4B6C6459" w14:paraId="43CFC69A" w14:textId="2AD97816">
      <w:pPr>
        <w:widowControl/>
        <w:numPr>
          <w:ilvl w:val="1"/>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Average Annual Responses: 100 (300 ÷ 3)</w:t>
      </w:r>
    </w:p>
    <w:p w:rsidR="00EE2223" w:rsidRPr="00EE2223" w:rsidP="4B6C6459" w14:paraId="57D03C0F" w14:textId="0C79E591">
      <w:pPr>
        <w:widowControl/>
        <w:numPr>
          <w:ilvl w:val="1"/>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Estimated Time per Response: 45 minutes (0.75 hours)</w:t>
      </w:r>
    </w:p>
    <w:p w:rsidR="00EE2223" w:rsidRPr="00EE2223" w:rsidP="4B6C6459" w14:paraId="4368ABD9" w14:textId="365687A5">
      <w:pPr>
        <w:widowControl/>
        <w:numPr>
          <w:ilvl w:val="2"/>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This estimate includes time for reviewing medical records, conducting a brief evaluation (if needed), completing the form, and noting any restrictions or medical considerations. Total Annual Hour Burden: 100 \text{responses} × 0.75 \text{hours} = 75 \text{hours}</w:t>
      </w:r>
    </w:p>
    <w:p w:rsidR="00EE2223" w:rsidRPr="00EE2223" w:rsidP="4B6C6459" w14:paraId="3D90B418" w14:textId="1C69A45A">
      <w:pPr>
        <w:widowControl/>
        <w:numPr>
          <w:ilvl w:val="1"/>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b/>
          <w:bCs/>
        </w:rPr>
      </w:pPr>
      <w:r w:rsidRPr="4B6C6459">
        <w:rPr>
          <w:rFonts w:ascii="Times New Roman" w:hAnsi="Times New Roman"/>
          <w:b/>
          <w:bCs/>
        </w:rPr>
        <w:t>Range of Burden Variation:</w:t>
      </w:r>
    </w:p>
    <w:p w:rsidR="00EE2223" w:rsidRPr="00EE2223" w:rsidP="4B6C6459" w14:paraId="00191D17" w14:textId="13D077D0">
      <w:pPr>
        <w:widowControl/>
        <w:numPr>
          <w:ilvl w:val="2"/>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Low end: 30 minutes (0.5 hours) for simple clearances</w:t>
      </w:r>
    </w:p>
    <w:p w:rsidR="00EE2223" w:rsidRPr="00EE2223" w:rsidP="4B6C6459" w14:paraId="02E25846" w14:textId="64A757D6">
      <w:pPr>
        <w:widowControl/>
        <w:numPr>
          <w:ilvl w:val="2"/>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High end: 60 minutes (1.0 hour) for cases requiring clinical documentation or complex conditions</w:t>
      </w:r>
    </w:p>
    <w:p w:rsidR="00EE2223" w:rsidRPr="00EE2223" w:rsidP="4B6C6459" w14:paraId="325838CF" w14:textId="5F81B7F0">
      <w:pPr>
        <w:widowControl/>
        <w:numPr>
          <w:ilvl w:val="1"/>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b/>
          <w:bCs/>
        </w:rPr>
        <w:t>Explanation of Variance:</w:t>
      </w:r>
    </w:p>
    <w:p w:rsidR="00EE2223" w:rsidRPr="00EE2223" w:rsidP="4B6C6459" w14:paraId="35101C7F" w14:textId="5DAA7F2E">
      <w:pPr>
        <w:widowControl/>
        <w:numPr>
          <w:ilvl w:val="2"/>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imes New Roman" w:hAnsi="Times New Roman"/>
        </w:rPr>
      </w:pPr>
      <w:r w:rsidRPr="4B6C6459">
        <w:rPr>
          <w:rFonts w:ascii="Times New Roman" w:hAnsi="Times New Roman"/>
        </w:rPr>
        <w:t>Time depends on the complexity of the employee’s medical profile and whether restrictions or additional guidance are required.</w:t>
      </w:r>
    </w:p>
    <w:p w:rsidR="00EE2223" w:rsidRPr="00EE2223" w:rsidP="4B6C6459" w14:paraId="73540948" w14:textId="2943C209">
      <w:pPr>
        <w:widowControl/>
        <w:autoSpaceDE/>
        <w:autoSpaceDN/>
        <w:adjustRightInd/>
        <w:rPr>
          <w:rFonts w:ascii="Times New Roman" w:hAnsi="Times New Roman"/>
          <w:i/>
          <w:iCs/>
        </w:rPr>
      </w:pPr>
    </w:p>
    <w:p w:rsidR="00CD215D" w:rsidRPr="00B44174" w:rsidP="4DCA6B06" w14:paraId="4F65FC6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44174">
        <w:rPr>
          <w:rFonts w:ascii="Times New Roman" w:hAnsi="Times New Roman"/>
          <w:b/>
          <w:bCs/>
        </w:rPr>
        <w:t xml:space="preserve">13.  Provide an estimate of </w:t>
      </w:r>
      <w:r w:rsidRPr="00B44174" w:rsidR="00C667F3">
        <w:rPr>
          <w:rFonts w:ascii="Times New Roman" w:hAnsi="Times New Roman"/>
          <w:b/>
          <w:bCs/>
        </w:rPr>
        <w:t>the tot</w:t>
      </w:r>
      <w:r w:rsidRPr="00B44174">
        <w:rPr>
          <w:rFonts w:ascii="Times New Roman" w:hAnsi="Times New Roman"/>
          <w:b/>
          <w:bCs/>
        </w:rPr>
        <w:t xml:space="preserve">al annual cost burden to respondents or recordkeepers resulting from the collection of information.  (Do not include the cost of any hour </w:t>
      </w:r>
      <w:r w:rsidRPr="00B44174" w:rsidR="00C667F3">
        <w:rPr>
          <w:rFonts w:ascii="Times New Roman" w:hAnsi="Times New Roman"/>
          <w:b/>
          <w:bCs/>
        </w:rPr>
        <w:t>burden shown in Items 12 and 14</w:t>
      </w:r>
      <w:r w:rsidRPr="00B44174">
        <w:rPr>
          <w:rFonts w:ascii="Times New Roman" w:hAnsi="Times New Roman"/>
          <w:b/>
          <w:bCs/>
        </w:rPr>
        <w:t>)</w:t>
      </w:r>
      <w:r w:rsidRPr="00B44174" w:rsidR="00C667F3">
        <w:rPr>
          <w:rFonts w:ascii="Times New Roman" w:hAnsi="Times New Roman"/>
          <w:b/>
          <w:bCs/>
        </w:rPr>
        <w:t>.</w:t>
      </w:r>
    </w:p>
    <w:p w:rsidR="00CD215D" w:rsidRPr="00B44174" w:rsidP="4DCA6B06" w14:paraId="168FFC6B"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84F8D" w:rsidRPr="00B44174" w:rsidP="4DCA6B06" w14:paraId="2CD34CEB" w14:textId="5BAA3D6E">
      <w:pPr>
        <w:widowControl/>
        <w:numPr>
          <w:ilvl w:val="0"/>
          <w:numId w:val="25"/>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B44174">
        <w:rPr>
          <w:rFonts w:ascii="Times New Roman" w:hAnsi="Times New Roman"/>
          <w:b/>
          <w:bCs/>
        </w:rPr>
        <w:t>T</w:t>
      </w:r>
      <w:r w:rsidRPr="00B44174" w:rsidR="00CD215D">
        <w:rPr>
          <w:rFonts w:ascii="Times New Roman" w:hAnsi="Times New Roman"/>
          <w:b/>
          <w:bCs/>
        </w:rPr>
        <w:t>he cost estimate should be split into two components:</w:t>
      </w:r>
      <w:r w:rsidRPr="00B44174" w:rsidR="00AB4DC3">
        <w:rPr>
          <w:rFonts w:ascii="Times New Roman" w:hAnsi="Times New Roman"/>
          <w:b/>
          <w:bCs/>
        </w:rPr>
        <w:t xml:space="preserve"> (a) a total capital</w:t>
      </w:r>
    </w:p>
    <w:p w:rsidR="006F6E13" w:rsidRPr="00B44174" w:rsidP="4DCA6B06" w14:paraId="413AA81E" w14:textId="2A97B18F">
      <w:pPr>
        <w:widowControl/>
        <w:tabs>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B44174">
        <w:rPr>
          <w:rFonts w:ascii="Times New Roman" w:hAnsi="Times New Roman"/>
          <w:b/>
          <w:bCs/>
        </w:rPr>
        <w:t>a</w:t>
      </w:r>
      <w:r w:rsidRPr="00B44174" w:rsidR="00AB4DC3">
        <w:rPr>
          <w:rFonts w:ascii="Times New Roman" w:hAnsi="Times New Roman"/>
          <w:b/>
          <w:bCs/>
        </w:rPr>
        <w:t>nd</w:t>
      </w:r>
      <w:r w:rsidRPr="00B44174" w:rsidR="00584F8D">
        <w:rPr>
          <w:rFonts w:ascii="Times New Roman" w:hAnsi="Times New Roman"/>
          <w:b/>
          <w:bCs/>
        </w:rPr>
        <w:t xml:space="preserve"> </w:t>
      </w:r>
      <w:r w:rsidRPr="00B44174" w:rsidR="00AB4DC3">
        <w:rPr>
          <w:rFonts w:ascii="Times New Roman" w:hAnsi="Times New Roman"/>
          <w:b/>
          <w:bCs/>
        </w:rPr>
        <w:t xml:space="preserve">start </w:t>
      </w:r>
      <w:r w:rsidRPr="00B44174" w:rsidR="00CD215D">
        <w:rPr>
          <w:rFonts w:ascii="Times New Roman" w:hAnsi="Times New Roman"/>
          <w:b/>
          <w:bCs/>
        </w:rPr>
        <w:t xml:space="preserve">up cost component </w:t>
      </w:r>
      <w:r w:rsidRPr="00B44174" w:rsidR="00C667F3">
        <w:rPr>
          <w:rFonts w:ascii="Times New Roman" w:hAnsi="Times New Roman"/>
          <w:b/>
          <w:bCs/>
        </w:rPr>
        <w:t>(</w:t>
      </w:r>
      <w:r w:rsidRPr="00B44174" w:rsidR="00CD215D">
        <w:rPr>
          <w:rFonts w:ascii="Times New Roman" w:hAnsi="Times New Roman"/>
          <w:b/>
          <w:bCs/>
        </w:rPr>
        <w:t>annualized over its expected useful life)</w:t>
      </w:r>
      <w:r w:rsidRPr="00B44174" w:rsidR="00C667F3">
        <w:rPr>
          <w:rFonts w:ascii="Times New Roman" w:hAnsi="Times New Roman"/>
          <w:b/>
          <w:bCs/>
        </w:rPr>
        <w:t>;</w:t>
      </w:r>
      <w:r w:rsidRPr="00B44174" w:rsidR="00CD215D">
        <w:rPr>
          <w:rFonts w:ascii="Times New Roman" w:hAnsi="Times New Roman"/>
          <w:b/>
          <w:bCs/>
        </w:rPr>
        <w:t xml:space="preserve"> and (b) a</w:t>
      </w:r>
    </w:p>
    <w:p w:rsidR="00584F8D" w:rsidRPr="00B44174" w:rsidP="4B6C6459" w14:paraId="0F31C321" w14:textId="53AD2176">
      <w:pPr>
        <w:widowControl/>
        <w:tabs>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rPr>
      </w:pPr>
      <w:r w:rsidRPr="00B44174">
        <w:rPr>
          <w:rFonts w:ascii="Times New Roman" w:hAnsi="Times New Roman"/>
          <w:b/>
          <w:bCs/>
        </w:rPr>
        <w:t xml:space="preserve">total operation and </w:t>
      </w:r>
      <w:r w:rsidRPr="00B44174" w:rsidR="006F6E13">
        <w:rPr>
          <w:rFonts w:ascii="Times New Roman" w:hAnsi="Times New Roman"/>
          <w:b/>
          <w:bCs/>
        </w:rPr>
        <w:t>m</w:t>
      </w:r>
      <w:r w:rsidRPr="00B44174">
        <w:rPr>
          <w:rFonts w:ascii="Times New Roman" w:hAnsi="Times New Roman"/>
          <w:b/>
          <w:bCs/>
        </w:rPr>
        <w:t>aintenance and purchase of se</w:t>
      </w:r>
      <w:r w:rsidRPr="00B44174" w:rsidR="006F6E13">
        <w:rPr>
          <w:rFonts w:ascii="Times New Roman" w:hAnsi="Times New Roman"/>
          <w:b/>
          <w:bCs/>
        </w:rPr>
        <w:t xml:space="preserve">rvice component.  </w:t>
      </w:r>
      <w:r w:rsidRPr="00B44174">
        <w:rPr>
          <w:rFonts w:ascii="Times New Roman" w:hAnsi="Times New Roman"/>
          <w:b/>
        </w:rPr>
        <w:tab/>
      </w:r>
      <w:r w:rsidRPr="00B44174">
        <w:rPr>
          <w:rFonts w:ascii="Times New Roman" w:hAnsi="Times New Roman"/>
          <w:b/>
        </w:rPr>
        <w:tab/>
      </w:r>
      <w:r w:rsidRPr="00B44174" w:rsidR="006F6E13">
        <w:rPr>
          <w:rFonts w:ascii="Times New Roman" w:hAnsi="Times New Roman"/>
          <w:b/>
          <w:bCs/>
        </w:rPr>
        <w:t>The estimates</w:t>
      </w:r>
      <w:r w:rsidRPr="00B44174">
        <w:rPr>
          <w:rFonts w:ascii="Times New Roman" w:hAnsi="Times New Roman"/>
          <w:b/>
          <w:bCs/>
        </w:rPr>
        <w:t xml:space="preserve"> should take into account costs associated with generating, </w:t>
      </w:r>
      <w:r w:rsidRPr="00B44174">
        <w:rPr>
          <w:rFonts w:ascii="Times New Roman" w:hAnsi="Times New Roman"/>
          <w:b/>
        </w:rPr>
        <w:tab/>
      </w:r>
      <w:r w:rsidRPr="00B44174">
        <w:rPr>
          <w:rFonts w:ascii="Times New Roman" w:hAnsi="Times New Roman"/>
          <w:b/>
        </w:rPr>
        <w:tab/>
      </w:r>
      <w:r w:rsidRPr="00B44174">
        <w:rPr>
          <w:rFonts w:ascii="Times New Roman" w:hAnsi="Times New Roman"/>
          <w:b/>
          <w:bCs/>
        </w:rPr>
        <w:t xml:space="preserve">maintaining, and disclosing or providing the information.  Include descriptions of methods used to estimate major cost factors including system and technology </w:t>
      </w:r>
      <w:r w:rsidRPr="00B44174">
        <w:rPr>
          <w:rFonts w:ascii="Times New Roman" w:hAnsi="Times New Roman"/>
          <w:b/>
          <w:bCs/>
        </w:rPr>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1C75B2" w:rsidP="001C75B2" w14:paraId="10DEAAA9" w14:textId="5B8E0599">
      <w:pPr>
        <w:pStyle w:val="BodyText"/>
        <w:spacing w:before="1" w:line="252" w:lineRule="auto"/>
        <w:ind w:left="161" w:hanging="6"/>
        <w:rPr>
          <w:b/>
          <w:bCs/>
        </w:rPr>
      </w:pPr>
      <w:r>
        <w:rPr>
          <w:color w:val="313131"/>
          <w:w w:val="105"/>
          <w:sz w:val="24"/>
          <w:szCs w:val="24"/>
        </w:rPr>
        <w:tab/>
      </w:r>
      <w:r>
        <w:rPr>
          <w:color w:val="313131"/>
          <w:w w:val="105"/>
          <w:sz w:val="24"/>
          <w:szCs w:val="24"/>
        </w:rPr>
        <w:tab/>
      </w:r>
    </w:p>
    <w:p w:rsidR="00CD215D" w:rsidRPr="001C75B2" w:rsidP="4B6C6459" w14:paraId="57AFA060" w14:textId="656EB29E">
      <w:pPr>
        <w:widowControl/>
        <w:numPr>
          <w:ilvl w:val="0"/>
          <w:numId w:val="1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75B2">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1C75B2" w:rsidP="4DCA6B06" w14:paraId="148E4C51" w14:textId="66E9E8B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E5C56" w:rsidRPr="001C75B2" w:rsidP="4B6C6459" w14:paraId="0EEDC34C" w14:textId="763678E3">
      <w:pPr>
        <w:widowControl/>
        <w:numPr>
          <w:ilvl w:val="0"/>
          <w:numId w:val="1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75B2">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75B2" w:rsidP="001C75B2" w14:paraId="344C6060" w14:textId="77777777">
      <w:pPr>
        <w:pStyle w:val="ListParagraph"/>
        <w:rPr>
          <w:rFonts w:ascii="Times New Roman" w:hAnsi="Times New Roman"/>
        </w:rPr>
      </w:pPr>
    </w:p>
    <w:p w:rsidR="001C75B2" w:rsidRPr="00666AB1" w:rsidP="00FB7EA8" w14:paraId="44AE43B3" w14:textId="5D0D343C">
      <w:pPr>
        <w:pStyle w:val="BodyText"/>
        <w:spacing w:before="1" w:line="252" w:lineRule="auto"/>
        <w:ind w:left="147" w:hanging="6"/>
        <w:rPr>
          <w:sz w:val="24"/>
          <w:szCs w:val="24"/>
        </w:rPr>
      </w:pPr>
      <w:r>
        <w:rPr>
          <w:color w:val="313131"/>
          <w:w w:val="105"/>
          <w:sz w:val="24"/>
          <w:szCs w:val="24"/>
        </w:rPr>
        <w:tab/>
      </w:r>
      <w:r>
        <w:rPr>
          <w:color w:val="313131"/>
          <w:w w:val="105"/>
          <w:sz w:val="24"/>
          <w:szCs w:val="24"/>
        </w:rPr>
        <w:tab/>
      </w:r>
      <w:r w:rsidRPr="00666AB1">
        <w:rPr>
          <w:w w:val="105"/>
          <w:sz w:val="24"/>
          <w:szCs w:val="24"/>
        </w:rPr>
        <w:t xml:space="preserve">Total Capital and Start Up Cost to Respondents: Zero. Respondents can use existing </w:t>
      </w:r>
      <w:r w:rsidRPr="00666AB1">
        <w:rPr>
          <w:w w:val="105"/>
          <w:sz w:val="24"/>
          <w:szCs w:val="24"/>
        </w:rPr>
        <w:tab/>
        <w:t>software and Internet connections or, if that is unavailable, can fill out paper forms.</w:t>
      </w:r>
      <w:r w:rsidRPr="00666AB1" w:rsidR="00DB0EAF">
        <w:rPr>
          <w:w w:val="105"/>
          <w:sz w:val="24"/>
          <w:szCs w:val="24"/>
        </w:rPr>
        <w:t xml:space="preserve">     </w:t>
      </w:r>
      <w:r w:rsidRPr="00666AB1" w:rsidR="00DB0EAF">
        <w:rPr>
          <w:w w:val="105"/>
          <w:sz w:val="24"/>
          <w:szCs w:val="24"/>
        </w:rPr>
        <w:tab/>
        <w:t xml:space="preserve">Services provided by the respondents are paid by the DEA employee via health </w:t>
      </w:r>
      <w:r w:rsidRPr="00666AB1" w:rsidR="00DB0EAF">
        <w:rPr>
          <w:w w:val="105"/>
          <w:sz w:val="24"/>
          <w:szCs w:val="24"/>
        </w:rPr>
        <w:tab/>
        <w:t>insurance or private pay.</w:t>
      </w:r>
    </w:p>
    <w:p w:rsidR="001C75B2" w:rsidRPr="00666AB1" w:rsidP="00FB7EA8" w14:paraId="6C67FAB9" w14:textId="77777777">
      <w:pPr>
        <w:pStyle w:val="BodyText"/>
        <w:spacing w:before="4"/>
        <w:ind w:left="1"/>
        <w:rPr>
          <w:sz w:val="24"/>
          <w:szCs w:val="24"/>
        </w:rPr>
      </w:pPr>
    </w:p>
    <w:p w:rsidR="001C75B2" w:rsidRPr="00666AB1" w:rsidP="00FB7EA8" w14:paraId="6C0A7D18" w14:textId="77777777">
      <w:pPr>
        <w:pStyle w:val="BodyText"/>
        <w:spacing w:line="252" w:lineRule="auto"/>
        <w:ind w:left="141" w:right="231" w:hanging="7"/>
        <w:rPr>
          <w:sz w:val="24"/>
          <w:szCs w:val="24"/>
        </w:rPr>
      </w:pPr>
      <w:r w:rsidRPr="00666AB1">
        <w:rPr>
          <w:w w:val="105"/>
          <w:sz w:val="24"/>
          <w:szCs w:val="24"/>
        </w:rPr>
        <w:tab/>
      </w:r>
      <w:r w:rsidRPr="00666AB1">
        <w:rPr>
          <w:w w:val="105"/>
          <w:sz w:val="24"/>
          <w:szCs w:val="24"/>
        </w:rPr>
        <w:tab/>
        <w:t xml:space="preserve">Total operation and maintenance and purchase of services requirement: Zero. DEA </w:t>
      </w:r>
      <w:r w:rsidRPr="00666AB1">
        <w:rPr>
          <w:w w:val="105"/>
          <w:sz w:val="24"/>
          <w:szCs w:val="24"/>
        </w:rPr>
        <w:tab/>
        <w:t>can use existing software and Internet connections.</w:t>
      </w:r>
    </w:p>
    <w:p w:rsidR="001C75B2" w:rsidRPr="001C75B2" w:rsidP="001C75B2" w14:paraId="44EC3224"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rPr>
      </w:pPr>
    </w:p>
    <w:p w:rsidR="009E5C56" w:rsidRPr="0080225C" w:rsidP="4DCA6B06" w14:paraId="3E33DFB9" w14:textId="7B3C55CE">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80225C" w:rsidP="4DCA6B06" w14:paraId="697B43F9" w14:textId="34E1317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0225C">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80225C">
        <w:rPr>
          <w:rFonts w:ascii="Times New Roman" w:hAnsi="Times New Roman"/>
        </w:rPr>
        <w:t xml:space="preserve"> </w:t>
      </w:r>
      <w:r w:rsidRPr="0080225C">
        <w:rPr>
          <w:rFonts w:ascii="Times New Roman" w:hAnsi="Times New Roman"/>
          <w:b/>
          <w:bCs/>
        </w:rPr>
        <w:t>without this collection of information.  Agencies also may aggregate cost estimates from Items 12, 13, and 14 into a single table.</w:t>
      </w:r>
    </w:p>
    <w:p w:rsidR="4B6C6459" w:rsidP="4B6C6459" w14:paraId="36A98D21" w14:textId="7FD2E9B3">
      <w:pPr>
        <w:pStyle w:val="NoSpacing"/>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F527E" w:rsidP="00666AB1" w14:paraId="740BBEDE" w14:textId="2A768232">
      <w:pPr>
        <w:pStyle w:val="BodyText"/>
        <w:spacing w:line="252" w:lineRule="auto"/>
        <w:ind w:left="282" w:right="472" w:hanging="7"/>
        <w:rPr>
          <w:sz w:val="24"/>
          <w:szCs w:val="24"/>
        </w:rPr>
      </w:pPr>
      <w:r>
        <w:rPr>
          <w:b/>
          <w:bCs/>
        </w:rPr>
        <w:tab/>
      </w:r>
      <w:r>
        <w:rPr>
          <w:b/>
          <w:bCs/>
        </w:rPr>
        <w:tab/>
      </w:r>
      <w:r>
        <w:rPr>
          <w:color w:val="313131"/>
          <w:w w:val="105"/>
          <w:sz w:val="24"/>
          <w:szCs w:val="24"/>
        </w:rPr>
        <w:t>Cost of printing and maintaining form: Zero as this process is electronic</w:t>
      </w:r>
    </w:p>
    <w:p w:rsidR="00BF527E" w:rsidP="00666AB1" w14:paraId="01A63B1F" w14:textId="77777777">
      <w:pPr>
        <w:pStyle w:val="BodyText"/>
        <w:ind w:left="144"/>
        <w:rPr>
          <w:sz w:val="24"/>
          <w:szCs w:val="24"/>
        </w:rPr>
      </w:pPr>
    </w:p>
    <w:p w:rsidR="00BF527E" w:rsidP="00666AB1" w14:paraId="6136BA19" w14:textId="0CA5C9C1">
      <w:pPr>
        <w:pStyle w:val="BodyText"/>
        <w:spacing w:line="252" w:lineRule="auto"/>
        <w:ind w:left="287" w:hanging="12"/>
        <w:rPr>
          <w:sz w:val="24"/>
          <w:szCs w:val="24"/>
        </w:rPr>
      </w:pPr>
      <w:r>
        <w:rPr>
          <w:color w:val="313131"/>
          <w:w w:val="105"/>
          <w:sz w:val="24"/>
          <w:szCs w:val="24"/>
        </w:rPr>
        <w:tab/>
      </w:r>
      <w:r>
        <w:rPr>
          <w:color w:val="313131"/>
          <w:w w:val="105"/>
          <w:sz w:val="24"/>
          <w:szCs w:val="24"/>
        </w:rPr>
        <w:tab/>
        <w:t xml:space="preserve">Cost of personnel and support staff or other expenses that would not have been </w:t>
      </w:r>
      <w:r>
        <w:rPr>
          <w:color w:val="313131"/>
          <w:w w:val="105"/>
          <w:sz w:val="24"/>
          <w:szCs w:val="24"/>
        </w:rPr>
        <w:tab/>
        <w:t>incurred without collection of information: Zero</w:t>
      </w:r>
    </w:p>
    <w:p w:rsidR="00BF527E" w:rsidP="00666AB1" w14:paraId="0B8E46E0" w14:textId="77777777">
      <w:pPr>
        <w:pStyle w:val="BodyText"/>
        <w:spacing w:before="4"/>
        <w:ind w:left="144"/>
        <w:rPr>
          <w:sz w:val="24"/>
          <w:szCs w:val="24"/>
        </w:rPr>
      </w:pPr>
    </w:p>
    <w:p w:rsidR="00BF527E" w:rsidP="00666AB1" w14:paraId="6C41ACA1" w14:textId="74DE7ED2">
      <w:pPr>
        <w:pStyle w:val="BodyText"/>
        <w:spacing w:before="1" w:line="252" w:lineRule="auto"/>
        <w:ind w:left="285" w:hanging="4"/>
        <w:rPr>
          <w:sz w:val="24"/>
          <w:szCs w:val="24"/>
        </w:rPr>
      </w:pPr>
      <w:r>
        <w:rPr>
          <w:color w:val="313131"/>
          <w:w w:val="105"/>
          <w:sz w:val="24"/>
          <w:szCs w:val="24"/>
        </w:rPr>
        <w:tab/>
      </w:r>
      <w:r>
        <w:rPr>
          <w:color w:val="313131"/>
          <w:w w:val="105"/>
          <w:sz w:val="24"/>
          <w:szCs w:val="24"/>
        </w:rPr>
        <w:tab/>
        <w:t xml:space="preserve">Therefore, the estimated annual cost to Federal government is zero.  </w:t>
      </w:r>
    </w:p>
    <w:p w:rsidR="00BF527E" w:rsidP="00BF527E" w14:paraId="2E88919A" w14:textId="77777777">
      <w:pPr>
        <w:pStyle w:val="BodyText"/>
        <w:rPr>
          <w:sz w:val="24"/>
          <w:szCs w:val="24"/>
        </w:rPr>
      </w:pPr>
    </w:p>
    <w:p w:rsidR="4B6C6459" w:rsidP="4B6C6459" w14:paraId="17379AED" w14:textId="09179AF1">
      <w:pPr>
        <w:pStyle w:val="NoSpacing"/>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P="4B6C6459" w14:paraId="0BCEB47E" w14:textId="24231B0D">
      <w:pPr>
        <w:pStyle w:val="NoSpacing"/>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4B6C6459">
        <w:rPr>
          <w:b/>
          <w:bCs/>
          <w:sz w:val="24"/>
          <w:szCs w:val="24"/>
        </w:rPr>
        <w:t>15.</w:t>
      </w:r>
      <w:r>
        <w:tab/>
      </w:r>
      <w:r w:rsidRPr="4B6C6459">
        <w:rPr>
          <w:b/>
          <w:bCs/>
          <w:sz w:val="24"/>
          <w:szCs w:val="24"/>
        </w:rPr>
        <w:t>Explain the reasons for any</w:t>
      </w:r>
      <w:r w:rsidRPr="4B6C6459" w:rsidR="00882AB5">
        <w:rPr>
          <w:b/>
          <w:bCs/>
          <w:sz w:val="24"/>
          <w:szCs w:val="24"/>
        </w:rPr>
        <w:t xml:space="preserve"> program changes or adjustments.</w:t>
      </w:r>
    </w:p>
    <w:p w:rsidR="00183283" w:rsidP="4B6C6459" w14:paraId="039C7159" w14:textId="77777777">
      <w:pPr>
        <w:pStyle w:val="NoSpacing"/>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183283" w:rsidRPr="00183283" w:rsidP="00666AB1" w14:paraId="732ACC89" w14:textId="1BDC98CD">
      <w:pPr>
        <w:pStyle w:val="NoSpacing"/>
        <w:tabs>
          <w:tab w:val="left" w:pos="360"/>
          <w:tab w:val="left" w:pos="540"/>
          <w:tab w:val="left" w:pos="72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b/>
          <w:bCs/>
          <w:sz w:val="24"/>
          <w:szCs w:val="24"/>
        </w:rPr>
        <w:tab/>
      </w:r>
      <w:r w:rsidR="00666AB1">
        <w:rPr>
          <w:b/>
          <w:bCs/>
          <w:sz w:val="24"/>
          <w:szCs w:val="24"/>
        </w:rPr>
        <w:tab/>
        <w:t xml:space="preserve"> </w:t>
      </w:r>
      <w:r>
        <w:rPr>
          <w:sz w:val="24"/>
          <w:szCs w:val="24"/>
        </w:rPr>
        <w:t xml:space="preserve">There are no program changes or adjustments to report.  </w:t>
      </w:r>
    </w:p>
    <w:p w:rsidR="00F01C29" w:rsidRPr="00F4518C" w:rsidP="00690F56" w14:paraId="2B287E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B1521B" w:rsidP="00690F56" w14:paraId="07A51A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1521B" w:rsidP="00B1521B" w14:paraId="7EE6C8A4" w14:textId="78DEB541">
      <w:pPr>
        <w:pStyle w:val="BodyText"/>
        <w:ind w:left="138"/>
        <w:rPr>
          <w:sz w:val="24"/>
          <w:szCs w:val="24"/>
        </w:rPr>
      </w:pPr>
      <w:r>
        <w:rPr>
          <w:color w:val="313131"/>
          <w:w w:val="105"/>
          <w:sz w:val="24"/>
          <w:szCs w:val="24"/>
        </w:rPr>
        <w:tab/>
        <w:t>There are no plans to publish the information collected.</w:t>
      </w:r>
    </w:p>
    <w:p w:rsidR="00B1521B" w:rsidRPr="00D53DEB" w:rsidP="00690F56" w14:paraId="4FC568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B1630F4" w14:textId="2DD054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8A265A" w:rsidP="008A265A" w14:paraId="404BECD5" w14:textId="77777777">
      <w:pPr>
        <w:pStyle w:val="BodyText"/>
        <w:ind w:firstLine="148"/>
        <w:rPr>
          <w:color w:val="313131"/>
          <w:w w:val="105"/>
          <w:sz w:val="24"/>
          <w:szCs w:val="24"/>
        </w:rPr>
      </w:pPr>
    </w:p>
    <w:p w:rsidR="008A265A" w:rsidP="008A265A" w14:paraId="7EA226A5" w14:textId="12DC7514">
      <w:pPr>
        <w:pStyle w:val="BodyText"/>
        <w:ind w:firstLine="148"/>
        <w:rPr>
          <w:sz w:val="24"/>
          <w:szCs w:val="24"/>
        </w:rPr>
      </w:pPr>
      <w:r>
        <w:rPr>
          <w:color w:val="313131"/>
          <w:w w:val="105"/>
          <w:sz w:val="24"/>
          <w:szCs w:val="24"/>
        </w:rPr>
        <w:tab/>
        <w:t>DEA will display the expiration date on this collection.</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B714CC" w:rsidRPr="00D53DEB" w:rsidP="00690F56" w14:paraId="55A058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B714CC" w:rsidP="00B714CC" w14:paraId="08CEE665" w14:textId="2E843A7C">
      <w:pPr>
        <w:pStyle w:val="BodyText"/>
        <w:spacing w:before="1"/>
        <w:ind w:left="148"/>
        <w:rPr>
          <w:sz w:val="24"/>
          <w:szCs w:val="24"/>
        </w:rPr>
      </w:pPr>
      <w:r>
        <w:rPr>
          <w:color w:val="313131"/>
          <w:w w:val="105"/>
          <w:sz w:val="24"/>
          <w:szCs w:val="24"/>
        </w:rPr>
        <w:tab/>
        <w:t>There</w:t>
      </w:r>
      <w:r>
        <w:rPr>
          <w:color w:val="313131"/>
          <w:spacing w:val="-6"/>
          <w:w w:val="105"/>
          <w:sz w:val="24"/>
          <w:szCs w:val="24"/>
        </w:rPr>
        <w:t xml:space="preserve"> </w:t>
      </w:r>
      <w:r>
        <w:rPr>
          <w:color w:val="313131"/>
          <w:w w:val="105"/>
          <w:sz w:val="24"/>
          <w:szCs w:val="24"/>
        </w:rPr>
        <w:t>are</w:t>
      </w:r>
      <w:r>
        <w:rPr>
          <w:color w:val="313131"/>
          <w:spacing w:val="-9"/>
          <w:w w:val="105"/>
          <w:sz w:val="24"/>
          <w:szCs w:val="24"/>
        </w:rPr>
        <w:t xml:space="preserve"> </w:t>
      </w:r>
      <w:r>
        <w:rPr>
          <w:color w:val="313131"/>
          <w:w w:val="105"/>
          <w:sz w:val="24"/>
          <w:szCs w:val="24"/>
        </w:rPr>
        <w:t>no</w:t>
      </w:r>
      <w:r>
        <w:rPr>
          <w:color w:val="313131"/>
          <w:spacing w:val="-7"/>
          <w:w w:val="105"/>
          <w:sz w:val="24"/>
          <w:szCs w:val="24"/>
        </w:rPr>
        <w:t xml:space="preserve"> </w:t>
      </w:r>
      <w:r>
        <w:rPr>
          <w:color w:val="313131"/>
          <w:w w:val="105"/>
          <w:sz w:val="24"/>
          <w:szCs w:val="24"/>
        </w:rPr>
        <w:t>exceptions</w:t>
      </w:r>
      <w:r>
        <w:rPr>
          <w:color w:val="313131"/>
          <w:spacing w:val="-3"/>
          <w:w w:val="105"/>
          <w:sz w:val="24"/>
          <w:szCs w:val="24"/>
        </w:rPr>
        <w:t xml:space="preserve"> </w:t>
      </w:r>
      <w:r>
        <w:rPr>
          <w:color w:val="313131"/>
          <w:w w:val="105"/>
          <w:sz w:val="24"/>
          <w:szCs w:val="24"/>
        </w:rPr>
        <w:t>to</w:t>
      </w:r>
      <w:r>
        <w:rPr>
          <w:color w:val="313131"/>
          <w:spacing w:val="-12"/>
          <w:w w:val="105"/>
          <w:sz w:val="24"/>
          <w:szCs w:val="24"/>
        </w:rPr>
        <w:t xml:space="preserve"> </w:t>
      </w:r>
      <w:r>
        <w:rPr>
          <w:color w:val="313131"/>
          <w:w w:val="105"/>
          <w:sz w:val="24"/>
          <w:szCs w:val="24"/>
        </w:rPr>
        <w:t>the</w:t>
      </w:r>
      <w:r>
        <w:rPr>
          <w:color w:val="313131"/>
          <w:spacing w:val="-18"/>
          <w:w w:val="105"/>
          <w:sz w:val="24"/>
          <w:szCs w:val="24"/>
        </w:rPr>
        <w:t xml:space="preserve"> </w:t>
      </w:r>
      <w:r>
        <w:rPr>
          <w:color w:val="313131"/>
          <w:w w:val="105"/>
          <w:sz w:val="24"/>
          <w:szCs w:val="24"/>
        </w:rPr>
        <w:t>certification</w:t>
      </w:r>
      <w:r>
        <w:rPr>
          <w:color w:val="313131"/>
          <w:spacing w:val="-1"/>
          <w:w w:val="105"/>
          <w:sz w:val="24"/>
          <w:szCs w:val="24"/>
        </w:rPr>
        <w:t xml:space="preserve"> </w:t>
      </w:r>
      <w:r>
        <w:rPr>
          <w:color w:val="313131"/>
          <w:w w:val="105"/>
          <w:sz w:val="24"/>
          <w:szCs w:val="24"/>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14C7925">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060A9280">
    <w:pPr>
      <w:pStyle w:val="Header"/>
      <w:rPr>
        <w:rFonts w:ascii="Times New Roman" w:hAnsi="Times New Roman"/>
        <w:bCs/>
        <w:sz w:val="20"/>
        <w:szCs w:val="20"/>
      </w:rPr>
    </w:pPr>
    <w:r>
      <w:rPr>
        <w:rFonts w:ascii="Times New Roman" w:hAnsi="Times New Roman"/>
        <w:bCs/>
        <w:sz w:val="20"/>
        <w:szCs w:val="20"/>
      </w:rPr>
      <w:t xml:space="preserve">Voluntary Wellness Program Healthcare Provider Clearance Form </w:t>
    </w:r>
  </w:p>
  <w:p w:rsidR="00EC0B43" w14:paraId="52F50703" w14:textId="2DE4493B">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D454D">
      <w:rPr>
        <w:rFonts w:ascii="Times New Roman" w:hAnsi="Times New Roman"/>
        <w:sz w:val="20"/>
        <w:szCs w:val="20"/>
      </w:rPr>
      <w:t xml:space="preserve"> </w:t>
    </w:r>
  </w:p>
  <w:p w:rsidR="00304132" w14:paraId="29EBD65C" w14:textId="328676EE">
    <w:pPr>
      <w:pStyle w:val="Header"/>
      <w:rPr>
        <w:rFonts w:ascii="Times New Roman" w:hAnsi="Times New Roman"/>
        <w:sz w:val="20"/>
        <w:szCs w:val="20"/>
      </w:rPr>
    </w:pPr>
    <w:r>
      <w:rPr>
        <w:rFonts w:ascii="Times New Roman" w:hAnsi="Times New Roman"/>
        <w:sz w:val="20"/>
        <w:szCs w:val="20"/>
      </w:rPr>
      <w:t xml:space="preserve">OMB Expiration Date: </w:t>
    </w:r>
    <w:r w:rsidR="00CD454D">
      <w:rPr>
        <w:rFonts w:ascii="Times New Roman" w:hAnsi="Times New Roman"/>
        <w:sz w:val="20"/>
        <w:szCs w:val="20"/>
      </w:rPr>
      <w:t xml:space="preserve"> </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78F06"/>
    <w:multiLevelType w:val="hybridMultilevel"/>
    <w:tmpl w:val="142C1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B2EF31"/>
    <w:multiLevelType w:val="hybridMultilevel"/>
    <w:tmpl w:val="4AF40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71C0EF"/>
    <w:multiLevelType w:val="hybridMultilevel"/>
    <w:tmpl w:val="E61C3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2C75C81"/>
    <w:multiLevelType w:val="hybridMultilevel"/>
    <w:tmpl w:val="55E0D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4560F82"/>
    <w:multiLevelType w:val="hybridMultilevel"/>
    <w:tmpl w:val="62D62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4F367DA"/>
    <w:multiLevelType w:val="hybridMultilevel"/>
    <w:tmpl w:val="FDA0A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AF8EC4"/>
    <w:multiLevelType w:val="hybridMultilevel"/>
    <w:tmpl w:val="6FA68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B663B0"/>
    <w:multiLevelType w:val="hybridMultilevel"/>
    <w:tmpl w:val="CD8AD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FCAD70B"/>
    <w:multiLevelType w:val="hybridMultilevel"/>
    <w:tmpl w:val="4D96E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1124A8A"/>
    <w:multiLevelType w:val="hybridMultilevel"/>
    <w:tmpl w:val="9F90E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89F536"/>
    <w:multiLevelType w:val="hybridMultilevel"/>
    <w:tmpl w:val="1F14C2D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DF603D9"/>
    <w:multiLevelType w:val="hybridMultilevel"/>
    <w:tmpl w:val="6F72E426"/>
    <w:lvl w:ilvl="0">
      <w:start w:val="1"/>
      <w:numFmt w:val="bullet"/>
      <w:lvlText w:val="o"/>
      <w:lvlJc w:val="left"/>
      <w:pPr>
        <w:ind w:left="1260" w:hanging="360"/>
      </w:pPr>
      <w:rPr>
        <w:rFonts w:ascii="Courier New" w:hAnsi="Courier New"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num w:numId="1" w16cid:durableId="369688935">
    <w:abstractNumId w:val="15"/>
  </w:num>
  <w:num w:numId="2" w16cid:durableId="1661932398">
    <w:abstractNumId w:val="14"/>
  </w:num>
  <w:num w:numId="3" w16cid:durableId="860632528">
    <w:abstractNumId w:val="2"/>
  </w:num>
  <w:num w:numId="4" w16cid:durableId="1395935979">
    <w:abstractNumId w:val="24"/>
  </w:num>
  <w:num w:numId="5" w16cid:durableId="605307163">
    <w:abstractNumId w:val="23"/>
  </w:num>
  <w:num w:numId="6" w16cid:durableId="749081605">
    <w:abstractNumId w:val="19"/>
  </w:num>
  <w:num w:numId="7" w16cid:durableId="679354295">
    <w:abstractNumId w:val="3"/>
  </w:num>
  <w:num w:numId="8" w16cid:durableId="1479566235">
    <w:abstractNumId w:val="9"/>
  </w:num>
  <w:num w:numId="9" w16cid:durableId="52435727">
    <w:abstractNumId w:val="18"/>
  </w:num>
  <w:num w:numId="10" w16cid:durableId="1727755211">
    <w:abstractNumId w:val="11"/>
  </w:num>
  <w:num w:numId="11" w16cid:durableId="331614749">
    <w:abstractNumId w:val="8"/>
  </w:num>
  <w:num w:numId="12" w16cid:durableId="1892956091">
    <w:abstractNumId w:val="12"/>
  </w:num>
  <w:num w:numId="13" w16cid:durableId="171003194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4" w16cid:durableId="125219656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15" w16cid:durableId="1309096662">
    <w:abstractNumId w:val="5"/>
  </w:num>
  <w:num w:numId="16" w16cid:durableId="229930272">
    <w:abstractNumId w:val="17"/>
  </w:num>
  <w:num w:numId="17" w16cid:durableId="971792251">
    <w:abstractNumId w:val="4"/>
  </w:num>
  <w:num w:numId="18" w16cid:durableId="517893457">
    <w:abstractNumId w:val="6"/>
  </w:num>
  <w:num w:numId="19" w16cid:durableId="2225714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0" w16cid:durableId="2031910714">
    <w:abstractNumId w:val="21"/>
  </w:num>
  <w:num w:numId="21" w16cid:durableId="1479420224">
    <w:abstractNumId w:val="1"/>
  </w:num>
  <w:num w:numId="22" w16cid:durableId="550313553">
    <w:abstractNumId w:val="20"/>
  </w:num>
  <w:num w:numId="23" w16cid:durableId="260719735">
    <w:abstractNumId w:val="10"/>
  </w:num>
  <w:num w:numId="24" w16cid:durableId="62875977">
    <w:abstractNumId w:val="16"/>
  </w:num>
  <w:num w:numId="25" w16cid:durableId="1911885173">
    <w:abstractNumId w:val="7"/>
  </w:num>
  <w:num w:numId="26" w16cid:durableId="233856609">
    <w:abstractNumId w:val="22"/>
  </w:num>
  <w:num w:numId="27" w16cid:durableId="1281690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170F2"/>
    <w:rsid w:val="00020F69"/>
    <w:rsid w:val="00022303"/>
    <w:rsid w:val="0003073D"/>
    <w:rsid w:val="0004107F"/>
    <w:rsid w:val="00042CBD"/>
    <w:rsid w:val="00043759"/>
    <w:rsid w:val="00052174"/>
    <w:rsid w:val="00061F6C"/>
    <w:rsid w:val="00064E28"/>
    <w:rsid w:val="000655CC"/>
    <w:rsid w:val="0007383F"/>
    <w:rsid w:val="0009131C"/>
    <w:rsid w:val="00094A5E"/>
    <w:rsid w:val="00095C30"/>
    <w:rsid w:val="00097683"/>
    <w:rsid w:val="00097C15"/>
    <w:rsid w:val="000A7853"/>
    <w:rsid w:val="000B0391"/>
    <w:rsid w:val="000B2D33"/>
    <w:rsid w:val="000B4875"/>
    <w:rsid w:val="000B6FB6"/>
    <w:rsid w:val="000C257C"/>
    <w:rsid w:val="000C3A92"/>
    <w:rsid w:val="000C74FB"/>
    <w:rsid w:val="000D7F95"/>
    <w:rsid w:val="000E1C64"/>
    <w:rsid w:val="000F6836"/>
    <w:rsid w:val="00100822"/>
    <w:rsid w:val="001040D4"/>
    <w:rsid w:val="001078BB"/>
    <w:rsid w:val="001132A0"/>
    <w:rsid w:val="00116CD5"/>
    <w:rsid w:val="00117CA5"/>
    <w:rsid w:val="0012491B"/>
    <w:rsid w:val="0012515C"/>
    <w:rsid w:val="00131F0F"/>
    <w:rsid w:val="00133C47"/>
    <w:rsid w:val="00133E3D"/>
    <w:rsid w:val="001376D3"/>
    <w:rsid w:val="001436FD"/>
    <w:rsid w:val="0014556E"/>
    <w:rsid w:val="0014601E"/>
    <w:rsid w:val="00146124"/>
    <w:rsid w:val="00146F1C"/>
    <w:rsid w:val="0015234E"/>
    <w:rsid w:val="0015322B"/>
    <w:rsid w:val="0015365E"/>
    <w:rsid w:val="00157A90"/>
    <w:rsid w:val="00161A5F"/>
    <w:rsid w:val="00167AD4"/>
    <w:rsid w:val="0017001E"/>
    <w:rsid w:val="00180E5A"/>
    <w:rsid w:val="001816E2"/>
    <w:rsid w:val="00183283"/>
    <w:rsid w:val="001869DB"/>
    <w:rsid w:val="00192711"/>
    <w:rsid w:val="00192CE5"/>
    <w:rsid w:val="001A47D9"/>
    <w:rsid w:val="001B4BB9"/>
    <w:rsid w:val="001B774F"/>
    <w:rsid w:val="001C39F6"/>
    <w:rsid w:val="001C75B2"/>
    <w:rsid w:val="001D10ED"/>
    <w:rsid w:val="001D2D09"/>
    <w:rsid w:val="001D67BB"/>
    <w:rsid w:val="001D69A5"/>
    <w:rsid w:val="001E0E7F"/>
    <w:rsid w:val="001E266E"/>
    <w:rsid w:val="001E2932"/>
    <w:rsid w:val="001E3596"/>
    <w:rsid w:val="001E4AB5"/>
    <w:rsid w:val="001E5213"/>
    <w:rsid w:val="001F056F"/>
    <w:rsid w:val="001F2E8E"/>
    <w:rsid w:val="001F552E"/>
    <w:rsid w:val="002036A1"/>
    <w:rsid w:val="00207B99"/>
    <w:rsid w:val="00210A61"/>
    <w:rsid w:val="002134B4"/>
    <w:rsid w:val="002203C9"/>
    <w:rsid w:val="0022214C"/>
    <w:rsid w:val="00233555"/>
    <w:rsid w:val="00234341"/>
    <w:rsid w:val="00237691"/>
    <w:rsid w:val="00242CA0"/>
    <w:rsid w:val="00243432"/>
    <w:rsid w:val="0024438F"/>
    <w:rsid w:val="00245035"/>
    <w:rsid w:val="00247146"/>
    <w:rsid w:val="00247409"/>
    <w:rsid w:val="00251737"/>
    <w:rsid w:val="002517E4"/>
    <w:rsid w:val="002525E8"/>
    <w:rsid w:val="0025791B"/>
    <w:rsid w:val="00262716"/>
    <w:rsid w:val="00273D58"/>
    <w:rsid w:val="00277C1F"/>
    <w:rsid w:val="00277F77"/>
    <w:rsid w:val="00283449"/>
    <w:rsid w:val="002866AD"/>
    <w:rsid w:val="00286BE3"/>
    <w:rsid w:val="00287ACB"/>
    <w:rsid w:val="00287B7D"/>
    <w:rsid w:val="00287F03"/>
    <w:rsid w:val="0029135D"/>
    <w:rsid w:val="00292951"/>
    <w:rsid w:val="00293CD1"/>
    <w:rsid w:val="00293FEE"/>
    <w:rsid w:val="00296525"/>
    <w:rsid w:val="002A3962"/>
    <w:rsid w:val="002A5972"/>
    <w:rsid w:val="002A6FB5"/>
    <w:rsid w:val="002B544F"/>
    <w:rsid w:val="002C0F8B"/>
    <w:rsid w:val="002C5AE9"/>
    <w:rsid w:val="002D0A00"/>
    <w:rsid w:val="002D5264"/>
    <w:rsid w:val="002E238B"/>
    <w:rsid w:val="002E4200"/>
    <w:rsid w:val="002E6DF9"/>
    <w:rsid w:val="002E6F9C"/>
    <w:rsid w:val="002F3BB8"/>
    <w:rsid w:val="00304132"/>
    <w:rsid w:val="00304EAD"/>
    <w:rsid w:val="00312124"/>
    <w:rsid w:val="00313820"/>
    <w:rsid w:val="00313AC0"/>
    <w:rsid w:val="00322C1B"/>
    <w:rsid w:val="0032649A"/>
    <w:rsid w:val="00332F98"/>
    <w:rsid w:val="003335D9"/>
    <w:rsid w:val="00334332"/>
    <w:rsid w:val="0033578D"/>
    <w:rsid w:val="003430A6"/>
    <w:rsid w:val="003448FC"/>
    <w:rsid w:val="003548D8"/>
    <w:rsid w:val="003563EC"/>
    <w:rsid w:val="00363CC2"/>
    <w:rsid w:val="00363D39"/>
    <w:rsid w:val="0036403A"/>
    <w:rsid w:val="00370C9A"/>
    <w:rsid w:val="00371B01"/>
    <w:rsid w:val="00371EEC"/>
    <w:rsid w:val="003819B1"/>
    <w:rsid w:val="003876F3"/>
    <w:rsid w:val="00387916"/>
    <w:rsid w:val="00390426"/>
    <w:rsid w:val="003908B9"/>
    <w:rsid w:val="00394AEB"/>
    <w:rsid w:val="003A2E23"/>
    <w:rsid w:val="003A4476"/>
    <w:rsid w:val="003A6353"/>
    <w:rsid w:val="003B09D3"/>
    <w:rsid w:val="003B2F28"/>
    <w:rsid w:val="003B5882"/>
    <w:rsid w:val="003C13C6"/>
    <w:rsid w:val="003C6DA9"/>
    <w:rsid w:val="003D0009"/>
    <w:rsid w:val="003D1372"/>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37F5F"/>
    <w:rsid w:val="00442410"/>
    <w:rsid w:val="00443460"/>
    <w:rsid w:val="0044773C"/>
    <w:rsid w:val="0045262E"/>
    <w:rsid w:val="00460EC3"/>
    <w:rsid w:val="00461B8A"/>
    <w:rsid w:val="004672B5"/>
    <w:rsid w:val="00481232"/>
    <w:rsid w:val="004830EB"/>
    <w:rsid w:val="00483B13"/>
    <w:rsid w:val="004844D1"/>
    <w:rsid w:val="0048559D"/>
    <w:rsid w:val="00485AD2"/>
    <w:rsid w:val="0049001D"/>
    <w:rsid w:val="00494A93"/>
    <w:rsid w:val="00494D75"/>
    <w:rsid w:val="004A1763"/>
    <w:rsid w:val="004B1E83"/>
    <w:rsid w:val="004D1C78"/>
    <w:rsid w:val="004D441E"/>
    <w:rsid w:val="004D46D1"/>
    <w:rsid w:val="004E0163"/>
    <w:rsid w:val="004E1D9E"/>
    <w:rsid w:val="004E2C1E"/>
    <w:rsid w:val="004E5B39"/>
    <w:rsid w:val="00501A15"/>
    <w:rsid w:val="00502C36"/>
    <w:rsid w:val="005164DC"/>
    <w:rsid w:val="005203D5"/>
    <w:rsid w:val="00522B8D"/>
    <w:rsid w:val="0052585C"/>
    <w:rsid w:val="00530EBD"/>
    <w:rsid w:val="005413BB"/>
    <w:rsid w:val="00542CDC"/>
    <w:rsid w:val="00547C6B"/>
    <w:rsid w:val="0055140D"/>
    <w:rsid w:val="00562128"/>
    <w:rsid w:val="005622FE"/>
    <w:rsid w:val="00565454"/>
    <w:rsid w:val="00567912"/>
    <w:rsid w:val="00570098"/>
    <w:rsid w:val="005805E7"/>
    <w:rsid w:val="005825A4"/>
    <w:rsid w:val="00583F5D"/>
    <w:rsid w:val="0058424C"/>
    <w:rsid w:val="00584F8D"/>
    <w:rsid w:val="005939AA"/>
    <w:rsid w:val="005A0350"/>
    <w:rsid w:val="005A23DC"/>
    <w:rsid w:val="005A7D9E"/>
    <w:rsid w:val="005B15D8"/>
    <w:rsid w:val="005B2697"/>
    <w:rsid w:val="005B5990"/>
    <w:rsid w:val="005C0C77"/>
    <w:rsid w:val="005C55D0"/>
    <w:rsid w:val="005C6147"/>
    <w:rsid w:val="005D19A6"/>
    <w:rsid w:val="005D23C7"/>
    <w:rsid w:val="005D5F8C"/>
    <w:rsid w:val="005D72AF"/>
    <w:rsid w:val="005E4BB6"/>
    <w:rsid w:val="005E5148"/>
    <w:rsid w:val="005F374F"/>
    <w:rsid w:val="005F3AFA"/>
    <w:rsid w:val="005F3E69"/>
    <w:rsid w:val="005F60D6"/>
    <w:rsid w:val="005F66EE"/>
    <w:rsid w:val="005F7AC2"/>
    <w:rsid w:val="0060114B"/>
    <w:rsid w:val="00603D4A"/>
    <w:rsid w:val="00607AC5"/>
    <w:rsid w:val="00611DE2"/>
    <w:rsid w:val="00614A1C"/>
    <w:rsid w:val="006227B3"/>
    <w:rsid w:val="00627B1F"/>
    <w:rsid w:val="00627F63"/>
    <w:rsid w:val="00642220"/>
    <w:rsid w:val="00645FBC"/>
    <w:rsid w:val="006508B8"/>
    <w:rsid w:val="0065148D"/>
    <w:rsid w:val="00652ED1"/>
    <w:rsid w:val="006546D4"/>
    <w:rsid w:val="006626FF"/>
    <w:rsid w:val="006650A8"/>
    <w:rsid w:val="00666AB1"/>
    <w:rsid w:val="006728B4"/>
    <w:rsid w:val="0067772C"/>
    <w:rsid w:val="00683A96"/>
    <w:rsid w:val="00684FF5"/>
    <w:rsid w:val="00685435"/>
    <w:rsid w:val="00685F44"/>
    <w:rsid w:val="00687746"/>
    <w:rsid w:val="00690F56"/>
    <w:rsid w:val="006A0C64"/>
    <w:rsid w:val="006A4637"/>
    <w:rsid w:val="006A7528"/>
    <w:rsid w:val="006B3A18"/>
    <w:rsid w:val="006B506A"/>
    <w:rsid w:val="006C2FC8"/>
    <w:rsid w:val="006C37B3"/>
    <w:rsid w:val="006C39F8"/>
    <w:rsid w:val="006C6AFF"/>
    <w:rsid w:val="006D6548"/>
    <w:rsid w:val="006D6F26"/>
    <w:rsid w:val="006D7EE8"/>
    <w:rsid w:val="006E1A08"/>
    <w:rsid w:val="006E4433"/>
    <w:rsid w:val="006E54FE"/>
    <w:rsid w:val="006E604F"/>
    <w:rsid w:val="006E63C6"/>
    <w:rsid w:val="006F2132"/>
    <w:rsid w:val="006F66F9"/>
    <w:rsid w:val="006F6E13"/>
    <w:rsid w:val="007010C5"/>
    <w:rsid w:val="007011F1"/>
    <w:rsid w:val="007127A1"/>
    <w:rsid w:val="00713ACE"/>
    <w:rsid w:val="00715F82"/>
    <w:rsid w:val="00717027"/>
    <w:rsid w:val="0071749C"/>
    <w:rsid w:val="00721E05"/>
    <w:rsid w:val="00740A99"/>
    <w:rsid w:val="007412B6"/>
    <w:rsid w:val="00741BF4"/>
    <w:rsid w:val="00745631"/>
    <w:rsid w:val="00753389"/>
    <w:rsid w:val="00755761"/>
    <w:rsid w:val="007636EC"/>
    <w:rsid w:val="00766F09"/>
    <w:rsid w:val="00767D37"/>
    <w:rsid w:val="00774503"/>
    <w:rsid w:val="007754A0"/>
    <w:rsid w:val="00777CD2"/>
    <w:rsid w:val="00780272"/>
    <w:rsid w:val="0078038F"/>
    <w:rsid w:val="007804CA"/>
    <w:rsid w:val="007809E6"/>
    <w:rsid w:val="0078153B"/>
    <w:rsid w:val="00785FE9"/>
    <w:rsid w:val="00786E04"/>
    <w:rsid w:val="00796EBA"/>
    <w:rsid w:val="007A3819"/>
    <w:rsid w:val="007A7F79"/>
    <w:rsid w:val="007B46FA"/>
    <w:rsid w:val="007C124D"/>
    <w:rsid w:val="007C76A3"/>
    <w:rsid w:val="007D3462"/>
    <w:rsid w:val="007D46C2"/>
    <w:rsid w:val="007D7C62"/>
    <w:rsid w:val="007E3065"/>
    <w:rsid w:val="007F3B38"/>
    <w:rsid w:val="007F3C02"/>
    <w:rsid w:val="007F783A"/>
    <w:rsid w:val="0080225C"/>
    <w:rsid w:val="00802605"/>
    <w:rsid w:val="00802A30"/>
    <w:rsid w:val="008043E5"/>
    <w:rsid w:val="00804A1A"/>
    <w:rsid w:val="0081073D"/>
    <w:rsid w:val="00811465"/>
    <w:rsid w:val="00813CC0"/>
    <w:rsid w:val="0082255F"/>
    <w:rsid w:val="00826215"/>
    <w:rsid w:val="00827FCF"/>
    <w:rsid w:val="00830060"/>
    <w:rsid w:val="008323ED"/>
    <w:rsid w:val="00832EBB"/>
    <w:rsid w:val="00835955"/>
    <w:rsid w:val="00846701"/>
    <w:rsid w:val="008624D5"/>
    <w:rsid w:val="00867849"/>
    <w:rsid w:val="00870153"/>
    <w:rsid w:val="00871CA6"/>
    <w:rsid w:val="00881163"/>
    <w:rsid w:val="00882AB5"/>
    <w:rsid w:val="00882B1D"/>
    <w:rsid w:val="0088672C"/>
    <w:rsid w:val="00895454"/>
    <w:rsid w:val="00895E32"/>
    <w:rsid w:val="008A1F0C"/>
    <w:rsid w:val="008A265A"/>
    <w:rsid w:val="008A40D1"/>
    <w:rsid w:val="008B3128"/>
    <w:rsid w:val="008B541B"/>
    <w:rsid w:val="008C656B"/>
    <w:rsid w:val="008C6A87"/>
    <w:rsid w:val="008E75B8"/>
    <w:rsid w:val="008E7879"/>
    <w:rsid w:val="008F47CB"/>
    <w:rsid w:val="00901003"/>
    <w:rsid w:val="0090158E"/>
    <w:rsid w:val="00901EF6"/>
    <w:rsid w:val="0090413E"/>
    <w:rsid w:val="00923B37"/>
    <w:rsid w:val="009271B1"/>
    <w:rsid w:val="00930C0D"/>
    <w:rsid w:val="0093485F"/>
    <w:rsid w:val="009407FC"/>
    <w:rsid w:val="00943FDA"/>
    <w:rsid w:val="009441E2"/>
    <w:rsid w:val="00950ED2"/>
    <w:rsid w:val="009556A1"/>
    <w:rsid w:val="0096258F"/>
    <w:rsid w:val="00963680"/>
    <w:rsid w:val="00964D3F"/>
    <w:rsid w:val="00967F58"/>
    <w:rsid w:val="009700D9"/>
    <w:rsid w:val="0097660B"/>
    <w:rsid w:val="00981086"/>
    <w:rsid w:val="00983CA7"/>
    <w:rsid w:val="00985369"/>
    <w:rsid w:val="00985C15"/>
    <w:rsid w:val="00992D09"/>
    <w:rsid w:val="00996A5D"/>
    <w:rsid w:val="009A6DCA"/>
    <w:rsid w:val="009B00FD"/>
    <w:rsid w:val="009B38D1"/>
    <w:rsid w:val="009B4116"/>
    <w:rsid w:val="009B689F"/>
    <w:rsid w:val="009B6955"/>
    <w:rsid w:val="009C103D"/>
    <w:rsid w:val="009C2A10"/>
    <w:rsid w:val="009C2D05"/>
    <w:rsid w:val="009D0BBA"/>
    <w:rsid w:val="009D1EA2"/>
    <w:rsid w:val="009D46A4"/>
    <w:rsid w:val="009E0141"/>
    <w:rsid w:val="009E234B"/>
    <w:rsid w:val="009E5C56"/>
    <w:rsid w:val="009E7D1A"/>
    <w:rsid w:val="009F52F3"/>
    <w:rsid w:val="00A056BB"/>
    <w:rsid w:val="00A10441"/>
    <w:rsid w:val="00A15094"/>
    <w:rsid w:val="00A217C3"/>
    <w:rsid w:val="00A21F98"/>
    <w:rsid w:val="00A2391E"/>
    <w:rsid w:val="00A24C38"/>
    <w:rsid w:val="00A33AAC"/>
    <w:rsid w:val="00A41C21"/>
    <w:rsid w:val="00A45878"/>
    <w:rsid w:val="00A47452"/>
    <w:rsid w:val="00A47DA7"/>
    <w:rsid w:val="00A52DE7"/>
    <w:rsid w:val="00A545F6"/>
    <w:rsid w:val="00A5501F"/>
    <w:rsid w:val="00A55023"/>
    <w:rsid w:val="00A5562F"/>
    <w:rsid w:val="00A56B86"/>
    <w:rsid w:val="00A632EF"/>
    <w:rsid w:val="00A677E9"/>
    <w:rsid w:val="00A70609"/>
    <w:rsid w:val="00A740AB"/>
    <w:rsid w:val="00A834BF"/>
    <w:rsid w:val="00A90769"/>
    <w:rsid w:val="00A944F3"/>
    <w:rsid w:val="00A973AA"/>
    <w:rsid w:val="00AA177A"/>
    <w:rsid w:val="00AA1D9F"/>
    <w:rsid w:val="00AA418C"/>
    <w:rsid w:val="00AB3A5C"/>
    <w:rsid w:val="00AB4DC3"/>
    <w:rsid w:val="00AC775D"/>
    <w:rsid w:val="00AD022F"/>
    <w:rsid w:val="00AD0EDB"/>
    <w:rsid w:val="00AD113F"/>
    <w:rsid w:val="00AD5532"/>
    <w:rsid w:val="00AD75AC"/>
    <w:rsid w:val="00AE0D00"/>
    <w:rsid w:val="00AF2C11"/>
    <w:rsid w:val="00AF3788"/>
    <w:rsid w:val="00AF38B7"/>
    <w:rsid w:val="00AF5262"/>
    <w:rsid w:val="00AF5F69"/>
    <w:rsid w:val="00AF7928"/>
    <w:rsid w:val="00B07F40"/>
    <w:rsid w:val="00B13844"/>
    <w:rsid w:val="00B1521B"/>
    <w:rsid w:val="00B16D4F"/>
    <w:rsid w:val="00B213B1"/>
    <w:rsid w:val="00B26E3E"/>
    <w:rsid w:val="00B30C84"/>
    <w:rsid w:val="00B35DAD"/>
    <w:rsid w:val="00B41793"/>
    <w:rsid w:val="00B417B3"/>
    <w:rsid w:val="00B44174"/>
    <w:rsid w:val="00B443A1"/>
    <w:rsid w:val="00B47443"/>
    <w:rsid w:val="00B5043F"/>
    <w:rsid w:val="00B5377A"/>
    <w:rsid w:val="00B6181C"/>
    <w:rsid w:val="00B61B58"/>
    <w:rsid w:val="00B64496"/>
    <w:rsid w:val="00B66204"/>
    <w:rsid w:val="00B66231"/>
    <w:rsid w:val="00B674DE"/>
    <w:rsid w:val="00B67A3F"/>
    <w:rsid w:val="00B714CC"/>
    <w:rsid w:val="00B9439C"/>
    <w:rsid w:val="00B9611E"/>
    <w:rsid w:val="00B96E43"/>
    <w:rsid w:val="00BA1A79"/>
    <w:rsid w:val="00BA6A42"/>
    <w:rsid w:val="00BA6C9C"/>
    <w:rsid w:val="00BB2AA1"/>
    <w:rsid w:val="00BB3BEF"/>
    <w:rsid w:val="00BC0E35"/>
    <w:rsid w:val="00BC5F22"/>
    <w:rsid w:val="00BD21CA"/>
    <w:rsid w:val="00BD34F2"/>
    <w:rsid w:val="00BD498A"/>
    <w:rsid w:val="00BF0E96"/>
    <w:rsid w:val="00BF527E"/>
    <w:rsid w:val="00C0069F"/>
    <w:rsid w:val="00C02BDD"/>
    <w:rsid w:val="00C02E4A"/>
    <w:rsid w:val="00C04C0E"/>
    <w:rsid w:val="00C05B4B"/>
    <w:rsid w:val="00C05B88"/>
    <w:rsid w:val="00C05EBE"/>
    <w:rsid w:val="00C0715B"/>
    <w:rsid w:val="00C07F7F"/>
    <w:rsid w:val="00C12530"/>
    <w:rsid w:val="00C14429"/>
    <w:rsid w:val="00C16FA7"/>
    <w:rsid w:val="00C232BE"/>
    <w:rsid w:val="00C247D8"/>
    <w:rsid w:val="00C25486"/>
    <w:rsid w:val="00C25E66"/>
    <w:rsid w:val="00C272BA"/>
    <w:rsid w:val="00C31259"/>
    <w:rsid w:val="00C33D1B"/>
    <w:rsid w:val="00C34009"/>
    <w:rsid w:val="00C453FA"/>
    <w:rsid w:val="00C4763A"/>
    <w:rsid w:val="00C63D1E"/>
    <w:rsid w:val="00C667F3"/>
    <w:rsid w:val="00C712D2"/>
    <w:rsid w:val="00C726E3"/>
    <w:rsid w:val="00C75869"/>
    <w:rsid w:val="00C77B5C"/>
    <w:rsid w:val="00C824C6"/>
    <w:rsid w:val="00C8275F"/>
    <w:rsid w:val="00C83BC9"/>
    <w:rsid w:val="00C87068"/>
    <w:rsid w:val="00C90D2D"/>
    <w:rsid w:val="00C9162F"/>
    <w:rsid w:val="00CA2F0A"/>
    <w:rsid w:val="00CA652C"/>
    <w:rsid w:val="00CA7F47"/>
    <w:rsid w:val="00CB1ECE"/>
    <w:rsid w:val="00CB3579"/>
    <w:rsid w:val="00CB5C31"/>
    <w:rsid w:val="00CC0731"/>
    <w:rsid w:val="00CC1B60"/>
    <w:rsid w:val="00CC510D"/>
    <w:rsid w:val="00CC7638"/>
    <w:rsid w:val="00CC770C"/>
    <w:rsid w:val="00CD215D"/>
    <w:rsid w:val="00CD454D"/>
    <w:rsid w:val="00CD4F92"/>
    <w:rsid w:val="00CD6628"/>
    <w:rsid w:val="00CE7DC9"/>
    <w:rsid w:val="00D00B48"/>
    <w:rsid w:val="00D2331B"/>
    <w:rsid w:val="00D266F7"/>
    <w:rsid w:val="00D36BB6"/>
    <w:rsid w:val="00D472BE"/>
    <w:rsid w:val="00D51D54"/>
    <w:rsid w:val="00D53DEB"/>
    <w:rsid w:val="00D57DE8"/>
    <w:rsid w:val="00D6349D"/>
    <w:rsid w:val="00D735B0"/>
    <w:rsid w:val="00D73AAD"/>
    <w:rsid w:val="00D75842"/>
    <w:rsid w:val="00D802D6"/>
    <w:rsid w:val="00D845AA"/>
    <w:rsid w:val="00D86A15"/>
    <w:rsid w:val="00D86FF7"/>
    <w:rsid w:val="00D94420"/>
    <w:rsid w:val="00D956B2"/>
    <w:rsid w:val="00DA7DC9"/>
    <w:rsid w:val="00DB0EAF"/>
    <w:rsid w:val="00DB6C30"/>
    <w:rsid w:val="00DB7B7C"/>
    <w:rsid w:val="00DC513F"/>
    <w:rsid w:val="00DD1EE8"/>
    <w:rsid w:val="00DD6DF0"/>
    <w:rsid w:val="00DE46BB"/>
    <w:rsid w:val="00E0031C"/>
    <w:rsid w:val="00E010DE"/>
    <w:rsid w:val="00E0138A"/>
    <w:rsid w:val="00E06430"/>
    <w:rsid w:val="00E13DE5"/>
    <w:rsid w:val="00E1439D"/>
    <w:rsid w:val="00E150CA"/>
    <w:rsid w:val="00E163CF"/>
    <w:rsid w:val="00E20D5B"/>
    <w:rsid w:val="00E22463"/>
    <w:rsid w:val="00E23871"/>
    <w:rsid w:val="00E25951"/>
    <w:rsid w:val="00E322E9"/>
    <w:rsid w:val="00E400EA"/>
    <w:rsid w:val="00E42DB5"/>
    <w:rsid w:val="00E46EE5"/>
    <w:rsid w:val="00E57F5E"/>
    <w:rsid w:val="00E60FB0"/>
    <w:rsid w:val="00E614A1"/>
    <w:rsid w:val="00E674A9"/>
    <w:rsid w:val="00E67748"/>
    <w:rsid w:val="00E700AD"/>
    <w:rsid w:val="00E74ABD"/>
    <w:rsid w:val="00E74E6C"/>
    <w:rsid w:val="00E805DC"/>
    <w:rsid w:val="00E81C88"/>
    <w:rsid w:val="00E829F2"/>
    <w:rsid w:val="00E83023"/>
    <w:rsid w:val="00E83271"/>
    <w:rsid w:val="00E833E4"/>
    <w:rsid w:val="00E86973"/>
    <w:rsid w:val="00E87201"/>
    <w:rsid w:val="00E909D5"/>
    <w:rsid w:val="00E92EED"/>
    <w:rsid w:val="00E93A0F"/>
    <w:rsid w:val="00E96323"/>
    <w:rsid w:val="00EA081B"/>
    <w:rsid w:val="00EA3E66"/>
    <w:rsid w:val="00EA50C8"/>
    <w:rsid w:val="00EC0B43"/>
    <w:rsid w:val="00EC2ADC"/>
    <w:rsid w:val="00EC4301"/>
    <w:rsid w:val="00EC4383"/>
    <w:rsid w:val="00EC5D7E"/>
    <w:rsid w:val="00ED49C1"/>
    <w:rsid w:val="00EE09A2"/>
    <w:rsid w:val="00EE2223"/>
    <w:rsid w:val="00EF2707"/>
    <w:rsid w:val="00EF6029"/>
    <w:rsid w:val="00EF70DB"/>
    <w:rsid w:val="00F01C29"/>
    <w:rsid w:val="00F11AA8"/>
    <w:rsid w:val="00F12F81"/>
    <w:rsid w:val="00F24787"/>
    <w:rsid w:val="00F27223"/>
    <w:rsid w:val="00F3294F"/>
    <w:rsid w:val="00F331BA"/>
    <w:rsid w:val="00F3623C"/>
    <w:rsid w:val="00F40BAD"/>
    <w:rsid w:val="00F41116"/>
    <w:rsid w:val="00F44D20"/>
    <w:rsid w:val="00F4518C"/>
    <w:rsid w:val="00F4529D"/>
    <w:rsid w:val="00F508EB"/>
    <w:rsid w:val="00F522EC"/>
    <w:rsid w:val="00F53F09"/>
    <w:rsid w:val="00F54863"/>
    <w:rsid w:val="00F56B20"/>
    <w:rsid w:val="00F6219B"/>
    <w:rsid w:val="00F6464F"/>
    <w:rsid w:val="00F64E0B"/>
    <w:rsid w:val="00F6534F"/>
    <w:rsid w:val="00F72D66"/>
    <w:rsid w:val="00F811BF"/>
    <w:rsid w:val="00F8164B"/>
    <w:rsid w:val="00F84EFC"/>
    <w:rsid w:val="00F86D3A"/>
    <w:rsid w:val="00F935EE"/>
    <w:rsid w:val="00F957A8"/>
    <w:rsid w:val="00F96885"/>
    <w:rsid w:val="00FA2205"/>
    <w:rsid w:val="00FA3D8C"/>
    <w:rsid w:val="00FB026D"/>
    <w:rsid w:val="00FB587F"/>
    <w:rsid w:val="00FB7EA8"/>
    <w:rsid w:val="00FC576B"/>
    <w:rsid w:val="00FD35DD"/>
    <w:rsid w:val="00FD5092"/>
    <w:rsid w:val="00FD5326"/>
    <w:rsid w:val="00FF42E2"/>
    <w:rsid w:val="00FF4C58"/>
    <w:rsid w:val="00FF61D3"/>
    <w:rsid w:val="00FF6C7B"/>
    <w:rsid w:val="03F874F3"/>
    <w:rsid w:val="040FD4D2"/>
    <w:rsid w:val="0706BCDB"/>
    <w:rsid w:val="07F234CF"/>
    <w:rsid w:val="0BBC7450"/>
    <w:rsid w:val="0E97B0F0"/>
    <w:rsid w:val="0FBF5BBA"/>
    <w:rsid w:val="10FA0EFF"/>
    <w:rsid w:val="11E97134"/>
    <w:rsid w:val="1393E27C"/>
    <w:rsid w:val="1495C2FA"/>
    <w:rsid w:val="17AC6483"/>
    <w:rsid w:val="191F7594"/>
    <w:rsid w:val="1AE99054"/>
    <w:rsid w:val="1E426283"/>
    <w:rsid w:val="20E314B6"/>
    <w:rsid w:val="230867D8"/>
    <w:rsid w:val="23A00966"/>
    <w:rsid w:val="252E1AC3"/>
    <w:rsid w:val="2589E7D6"/>
    <w:rsid w:val="25B9161A"/>
    <w:rsid w:val="263273CC"/>
    <w:rsid w:val="268052CF"/>
    <w:rsid w:val="29B8DDA7"/>
    <w:rsid w:val="2A39F4D7"/>
    <w:rsid w:val="2D92D3B0"/>
    <w:rsid w:val="2F084543"/>
    <w:rsid w:val="2F7B16F2"/>
    <w:rsid w:val="300115BE"/>
    <w:rsid w:val="3090252C"/>
    <w:rsid w:val="3294145F"/>
    <w:rsid w:val="32D5A762"/>
    <w:rsid w:val="3330C477"/>
    <w:rsid w:val="35CCF72F"/>
    <w:rsid w:val="36FDB987"/>
    <w:rsid w:val="3893E4ED"/>
    <w:rsid w:val="3AC59FCB"/>
    <w:rsid w:val="3B96C478"/>
    <w:rsid w:val="3CD85905"/>
    <w:rsid w:val="3EF48109"/>
    <w:rsid w:val="402339B2"/>
    <w:rsid w:val="40FDEF78"/>
    <w:rsid w:val="417390C7"/>
    <w:rsid w:val="467016C3"/>
    <w:rsid w:val="489730B9"/>
    <w:rsid w:val="4A708637"/>
    <w:rsid w:val="4B046B7A"/>
    <w:rsid w:val="4B6AD821"/>
    <w:rsid w:val="4B6C6459"/>
    <w:rsid w:val="4DCA6B06"/>
    <w:rsid w:val="4E644F4D"/>
    <w:rsid w:val="4E83B45E"/>
    <w:rsid w:val="4F56244E"/>
    <w:rsid w:val="50B09812"/>
    <w:rsid w:val="519DF503"/>
    <w:rsid w:val="53D2BC37"/>
    <w:rsid w:val="5589731F"/>
    <w:rsid w:val="579733ED"/>
    <w:rsid w:val="57CCF308"/>
    <w:rsid w:val="587FBF96"/>
    <w:rsid w:val="589D0268"/>
    <w:rsid w:val="5DE572D2"/>
    <w:rsid w:val="5E62442C"/>
    <w:rsid w:val="5FFC7098"/>
    <w:rsid w:val="6401D604"/>
    <w:rsid w:val="64905C23"/>
    <w:rsid w:val="678F8C8A"/>
    <w:rsid w:val="68431BA3"/>
    <w:rsid w:val="70F76E3C"/>
    <w:rsid w:val="7248AE89"/>
    <w:rsid w:val="7366D74A"/>
    <w:rsid w:val="7803A051"/>
    <w:rsid w:val="780F83E1"/>
    <w:rsid w:val="7A283947"/>
    <w:rsid w:val="7A79597D"/>
    <w:rsid w:val="7B0DC8E3"/>
    <w:rsid w:val="7B1BE545"/>
    <w:rsid w:val="7E0F72D3"/>
    <w:rsid w:val="7FE1A4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rsid w:val="4B6C6459"/>
    <w:pPr>
      <w:keepNext/>
      <w:keepLines/>
      <w:spacing w:before="160" w:after="80"/>
      <w:outlineLvl w:val="2"/>
    </w:pPr>
    <w:rPr>
      <w:rFonts w:eastAsiaTheme="minorEastAsia" w:cstheme="majorEastAsia"/>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NoSpacing">
    <w:name w:val="No Spacing"/>
    <w:uiPriority w:val="1"/>
    <w:qFormat/>
    <w:rsid w:val="4B6C6459"/>
  </w:style>
  <w:style w:type="paragraph" w:styleId="BodyText">
    <w:name w:val="Body Text"/>
    <w:basedOn w:val="Normal"/>
    <w:link w:val="BodyTextChar"/>
    <w:uiPriority w:val="1"/>
    <w:unhideWhenUsed/>
    <w:qFormat/>
    <w:rsid w:val="00B714CC"/>
    <w:pPr>
      <w:adjustRightInd/>
    </w:pPr>
    <w:rPr>
      <w:rFonts w:ascii="Times New Roman" w:hAnsi="Times New Roman"/>
      <w:sz w:val="23"/>
      <w:szCs w:val="23"/>
    </w:rPr>
  </w:style>
  <w:style w:type="character" w:customStyle="1" w:styleId="BodyTextChar">
    <w:name w:val="Body Text Char"/>
    <w:basedOn w:val="DefaultParagraphFont"/>
    <w:link w:val="BodyText"/>
    <w:uiPriority w:val="1"/>
    <w:rsid w:val="00B714CC"/>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91C75C8683648AEE83A5B78B97400" ma:contentTypeVersion="4" ma:contentTypeDescription="Create a new document." ma:contentTypeScope="" ma:versionID="3f62639064fb5fbdcd300d111bda1ff9">
  <xsd:schema xmlns:xsd="http://www.w3.org/2001/XMLSchema" xmlns:xs="http://www.w3.org/2001/XMLSchema" xmlns:p="http://schemas.microsoft.com/office/2006/metadata/properties" xmlns:ns2="568c35f7-48f6-4ace-abf7-155ce2ff7dda" targetNamespace="http://schemas.microsoft.com/office/2006/metadata/properties" ma:root="true" ma:fieldsID="dd77e76d0f0e9ec5cb2807e3e20bc396" ns2:_="">
    <xsd:import namespace="568c35f7-48f6-4ace-abf7-155ce2ff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35f7-48f6-4ace-abf7-155ce2ff7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39ABB-18AD-4392-BAE4-4545F81D8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35f7-48f6-4ace-abf7-155ce2ff7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FB8DE-55C1-4748-9D2E-01933000A2EB}">
  <ds:schemaRefs>
    <ds:schemaRef ds:uri="http://schemas.microsoft.com/sharepoint/v3/contenttype/forms"/>
  </ds:schemaRefs>
</ds:datastoreItem>
</file>

<file path=customXml/itemProps3.xml><?xml version="1.0" encoding="utf-8"?>
<ds:datastoreItem xmlns:ds="http://schemas.openxmlformats.org/officeDocument/2006/customXml" ds:itemID="{0167DD24-4D5A-4CC5-86C4-EF3B3396D3F8}">
  <ds:schemaRefs>
    <ds:schemaRef ds:uri="http://schemas.openxmlformats.org/officeDocument/2006/bibliography"/>
  </ds:schemaRefs>
</ds:datastoreItem>
</file>

<file path=customXml/itemProps4.xml><?xml version="1.0" encoding="utf-8"?>
<ds:datastoreItem xmlns:ds="http://schemas.openxmlformats.org/officeDocument/2006/customXml" ds:itemID="{4A575B12-64E7-402E-8EF7-7FF762C1C6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2</cp:revision>
  <cp:lastPrinted>2020-02-19T15:46:00Z</cp:lastPrinted>
  <dcterms:created xsi:type="dcterms:W3CDTF">2025-11-24T15:59:00Z</dcterms:created>
  <dcterms:modified xsi:type="dcterms:W3CDTF">2025-11-24T15:59:00Z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0x01010008C91C75C8683648AEE83A5B78B97400</vt:lpwstr>
  </property>
</Properties>
</file>