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45F2" w:rsidP="00481173" w14:paraId="21796BBA" w14:textId="2BD3A431">
      <w:pPr>
        <w:pStyle w:val="BodyText"/>
        <w:spacing w:before="68"/>
        <w:ind w:right="-50"/>
        <w:jc w:val="center"/>
      </w:pPr>
      <w:r>
        <w:t>Department</w:t>
      </w:r>
      <w:r>
        <w:rPr>
          <w:spacing w:val="-4"/>
        </w:rPr>
        <w:t xml:space="preserve"> </w:t>
      </w:r>
      <w:r>
        <w:t>of</w:t>
      </w:r>
      <w:r>
        <w:rPr>
          <w:spacing w:val="-5"/>
        </w:rPr>
        <w:t xml:space="preserve"> </w:t>
      </w:r>
      <w:r>
        <w:t>Justice</w:t>
      </w:r>
    </w:p>
    <w:p w:rsidR="003245F2" w:rsidP="00481173" w14:paraId="4A26732B" w14:textId="77777777">
      <w:pPr>
        <w:pStyle w:val="BodyText"/>
        <w:jc w:val="center"/>
      </w:pPr>
      <w:r>
        <w:t>Bureau</w:t>
      </w:r>
      <w:r>
        <w:rPr>
          <w:spacing w:val="-2"/>
        </w:rPr>
        <w:t xml:space="preserve"> </w:t>
      </w:r>
      <w:r>
        <w:t>of</w:t>
      </w:r>
      <w:r>
        <w:rPr>
          <w:spacing w:val="-2"/>
        </w:rPr>
        <w:t xml:space="preserve"> </w:t>
      </w:r>
      <w:r>
        <w:t>Alcohol,</w:t>
      </w:r>
      <w:r>
        <w:rPr>
          <w:spacing w:val="-2"/>
        </w:rPr>
        <w:t xml:space="preserve"> </w:t>
      </w:r>
      <w:r>
        <w:t>Tobacco,</w:t>
      </w:r>
      <w:r>
        <w:rPr>
          <w:spacing w:val="-1"/>
        </w:rPr>
        <w:t xml:space="preserve"> </w:t>
      </w:r>
      <w:r>
        <w:t>Firearms</w:t>
      </w:r>
      <w:r>
        <w:rPr>
          <w:spacing w:val="-2"/>
        </w:rPr>
        <w:t xml:space="preserve"> </w:t>
      </w:r>
      <w:r>
        <w:t>and</w:t>
      </w:r>
      <w:r>
        <w:rPr>
          <w:spacing w:val="-1"/>
        </w:rPr>
        <w:t xml:space="preserve"> </w:t>
      </w:r>
      <w:r>
        <w:t>Explosives</w:t>
      </w:r>
    </w:p>
    <w:p w:rsidR="003245F2" w:rsidP="00481173" w14:paraId="394B28A8" w14:textId="7759E11A">
      <w:pPr>
        <w:pStyle w:val="BodyText"/>
        <w:spacing w:line="242" w:lineRule="auto"/>
        <w:ind w:right="40"/>
        <w:jc w:val="center"/>
      </w:pPr>
      <w:r>
        <w:t>Information</w:t>
      </w:r>
      <w:r>
        <w:rPr>
          <w:spacing w:val="-4"/>
        </w:rPr>
        <w:t xml:space="preserve"> </w:t>
      </w:r>
      <w:r>
        <w:t>Collection</w:t>
      </w:r>
      <w:r>
        <w:rPr>
          <w:spacing w:val="-4"/>
        </w:rPr>
        <w:t xml:space="preserve"> </w:t>
      </w:r>
      <w:r>
        <w:t>Request</w:t>
      </w:r>
      <w:r>
        <w:rPr>
          <w:spacing w:val="-4"/>
        </w:rPr>
        <w:t xml:space="preserve"> </w:t>
      </w:r>
      <w:r>
        <w:t>(ICR)</w:t>
      </w:r>
    </w:p>
    <w:p w:rsidR="003245F2" w:rsidP="00481173" w14:paraId="136388E1" w14:textId="72F28F87">
      <w:pPr>
        <w:pStyle w:val="BodyText"/>
        <w:spacing w:line="273" w:lineRule="exact"/>
        <w:jc w:val="center"/>
      </w:pPr>
      <w:r>
        <w:t xml:space="preserve">Supporting Statement for </w:t>
      </w:r>
      <w:r w:rsidR="00F11949">
        <w:t>1140-0032</w:t>
      </w:r>
    </w:p>
    <w:p w:rsidR="003245F2" w:rsidP="00481173" w14:paraId="6C86DD07" w14:textId="2EAD92F3">
      <w:pPr>
        <w:pStyle w:val="BodyText"/>
        <w:tabs>
          <w:tab w:val="left" w:pos="3240"/>
          <w:tab w:val="left" w:pos="3780"/>
        </w:tabs>
        <w:jc w:val="center"/>
      </w:pPr>
      <w:r>
        <w:t>Records</w:t>
      </w:r>
      <w:r>
        <w:rPr>
          <w:spacing w:val="-2"/>
        </w:rPr>
        <w:t xml:space="preserve"> </w:t>
      </w:r>
      <w:r>
        <w:t>of</w:t>
      </w:r>
      <w:r>
        <w:rPr>
          <w:spacing w:val="-3"/>
        </w:rPr>
        <w:t xml:space="preserve"> </w:t>
      </w:r>
      <w:r>
        <w:t>Acquisition</w:t>
      </w:r>
      <w:r>
        <w:rPr>
          <w:spacing w:val="-2"/>
        </w:rPr>
        <w:t xml:space="preserve"> </w:t>
      </w:r>
      <w:r>
        <w:t>and</w:t>
      </w:r>
      <w:r>
        <w:rPr>
          <w:spacing w:val="-2"/>
        </w:rPr>
        <w:t xml:space="preserve"> </w:t>
      </w:r>
      <w:r>
        <w:t>Disposition</w:t>
      </w:r>
      <w:r w:rsidR="001E5E30">
        <w:t>:</w:t>
      </w:r>
      <w:r w:rsidR="00B927C5">
        <w:t xml:space="preserve"> Dealers</w:t>
      </w:r>
      <w:r w:rsidR="61282DE5">
        <w:t>/Pawnbrokers</w:t>
      </w:r>
      <w:r w:rsidR="00B927C5">
        <w:t xml:space="preserve"> </w:t>
      </w:r>
      <w:r w:rsidR="00FA6DA9">
        <w:t xml:space="preserve">of </w:t>
      </w:r>
      <w:r w:rsidR="00B927C5">
        <w:t xml:space="preserve">Type 01/02 </w:t>
      </w:r>
      <w:r w:rsidR="000E4E57">
        <w:t>Firearms</w:t>
      </w:r>
      <w:r w:rsidR="005563E4">
        <w:t>,</w:t>
      </w:r>
      <w:r w:rsidR="000E4E57">
        <w:t xml:space="preserve"> </w:t>
      </w:r>
      <w:r w:rsidR="00B927C5">
        <w:t xml:space="preserve">and </w:t>
      </w:r>
      <w:r>
        <w:t>Collectors</w:t>
      </w:r>
      <w:r w:rsidR="00BA5207">
        <w:rPr>
          <w:spacing w:val="-2"/>
        </w:rPr>
        <w:t xml:space="preserve"> of</w:t>
      </w:r>
      <w:r w:rsidR="000E4E57">
        <w:rPr>
          <w:spacing w:val="-2"/>
        </w:rPr>
        <w:t xml:space="preserve"> </w:t>
      </w:r>
      <w:r w:rsidR="00B927C5">
        <w:rPr>
          <w:spacing w:val="-2"/>
        </w:rPr>
        <w:t>Type 03</w:t>
      </w:r>
      <w:r w:rsidR="00840863">
        <w:rPr>
          <w:spacing w:val="-2"/>
        </w:rPr>
        <w:t xml:space="preserve"> </w:t>
      </w:r>
      <w:r>
        <w:t>Firearms</w:t>
      </w:r>
    </w:p>
    <w:p w:rsidR="00481173" w:rsidP="00481173" w14:paraId="0CD6C013" w14:textId="77777777">
      <w:pPr>
        <w:pStyle w:val="BodyText"/>
        <w:tabs>
          <w:tab w:val="left" w:pos="3240"/>
          <w:tab w:val="left" w:pos="3780"/>
        </w:tabs>
        <w:jc w:val="center"/>
      </w:pPr>
    </w:p>
    <w:p w:rsidR="00481173" w:rsidRPr="00481173" w:rsidP="00481173" w14:paraId="1F72D093" w14:textId="74519DC8">
      <w:pPr>
        <w:pStyle w:val="BodyText"/>
        <w:tabs>
          <w:tab w:val="left" w:pos="3240"/>
          <w:tab w:val="left" w:pos="3780"/>
        </w:tabs>
        <w:jc w:val="center"/>
        <w:rPr>
          <w:b/>
          <w:bCs/>
        </w:rPr>
      </w:pPr>
      <w:r w:rsidRPr="00481173">
        <w:rPr>
          <w:b/>
          <w:bCs/>
        </w:rPr>
        <w:t>SUPPORTING STATEMENT</w:t>
      </w:r>
    </w:p>
    <w:p w:rsidR="003245F2" w:rsidP="00481173" w14:paraId="0CDA45B7" w14:textId="77777777">
      <w:pPr>
        <w:pStyle w:val="BodyText"/>
        <w:jc w:val="center"/>
        <w:rPr>
          <w:sz w:val="20"/>
        </w:rPr>
      </w:pPr>
    </w:p>
    <w:p w:rsidR="003245F2" w:rsidP="00481173" w14:paraId="2CB12DD0" w14:textId="77777777">
      <w:pPr>
        <w:pStyle w:val="BodyText"/>
        <w:spacing w:before="7"/>
        <w:jc w:val="center"/>
        <w:rPr>
          <w:sz w:val="20"/>
        </w:rPr>
      </w:pPr>
    </w:p>
    <w:p w:rsidR="003245F2" w:rsidP="00481173" w14:paraId="24373E1C" w14:textId="07A504DB">
      <w:pPr>
        <w:pStyle w:val="Heading1"/>
        <w:tabs>
          <w:tab w:val="left" w:pos="0"/>
        </w:tabs>
        <w:spacing w:before="90"/>
        <w:ind w:left="0" w:firstLine="0"/>
      </w:pPr>
      <w:r>
        <w:t xml:space="preserve">A. </w:t>
      </w:r>
      <w:r w:rsidR="00B46D18">
        <w:t>JUSTIFICATION</w:t>
      </w:r>
    </w:p>
    <w:p w:rsidR="003245F2" w14:paraId="76567ED4" w14:textId="77777777">
      <w:pPr>
        <w:pStyle w:val="BodyText"/>
        <w:spacing w:before="6"/>
        <w:rPr>
          <w:b/>
          <w:sz w:val="23"/>
        </w:rPr>
      </w:pPr>
    </w:p>
    <w:p w:rsidR="003245F2" w:rsidRPr="009B414C" w:rsidP="00095B6F" w14:paraId="6F4C6FDE" w14:textId="5E8897BD">
      <w:pPr>
        <w:tabs>
          <w:tab w:val="left" w:pos="940"/>
        </w:tabs>
        <w:rPr>
          <w:b/>
          <w:bCs/>
          <w:sz w:val="24"/>
        </w:rPr>
      </w:pPr>
      <w:r w:rsidRPr="009B414C">
        <w:rPr>
          <w:b/>
          <w:bCs/>
          <w:sz w:val="24"/>
        </w:rPr>
        <w:t>1</w:t>
      </w:r>
      <w:r w:rsidRPr="009B414C" w:rsidR="009B414C">
        <w:rPr>
          <w:b/>
          <w:bCs/>
          <w:sz w:val="24"/>
        </w:rPr>
        <w:t>.</w:t>
      </w:r>
      <w:r w:rsidR="00481173">
        <w:rPr>
          <w:b/>
          <w:bCs/>
          <w:sz w:val="24"/>
        </w:rPr>
        <w:t xml:space="preserve"> </w:t>
      </w:r>
      <w:r w:rsidR="009B414C">
        <w:rPr>
          <w:b/>
          <w:bCs/>
          <w:sz w:val="24"/>
        </w:rPr>
        <w:t>Explain the circumstances that make the information collection necessary.</w:t>
      </w:r>
    </w:p>
    <w:p w:rsidR="003245F2" w14:paraId="626C845E" w14:textId="77777777">
      <w:pPr>
        <w:pStyle w:val="BodyText"/>
        <w:spacing w:before="7"/>
        <w:rPr>
          <w:sz w:val="21"/>
        </w:rPr>
      </w:pPr>
    </w:p>
    <w:p w:rsidR="003245F2" w:rsidP="00252E27" w14:paraId="781EF990" w14:textId="39B1270F">
      <w:pPr>
        <w:pStyle w:val="BodyText"/>
        <w:tabs>
          <w:tab w:val="left" w:pos="9338"/>
        </w:tabs>
      </w:pPr>
      <w:r>
        <w:t xml:space="preserve">The Gun Control Act of 1968, at </w:t>
      </w:r>
      <w:r w:rsidR="00F11949">
        <w:t>18 U.S.C.</w:t>
      </w:r>
      <w:r w:rsidR="001C6AE5">
        <w:t xml:space="preserve"> </w:t>
      </w:r>
      <w:r w:rsidR="00F11949">
        <w:t>§ 923</w:t>
      </w:r>
      <w:r w:rsidR="003E1A00">
        <w:t>(g)</w:t>
      </w:r>
      <w:r w:rsidR="00F11949">
        <w:t xml:space="preserve">, </w:t>
      </w:r>
      <w:r w:rsidR="00C20C73">
        <w:t>requires licensed dealers</w:t>
      </w:r>
      <w:r w:rsidR="413F43CA">
        <w:t>, pawnbrokers</w:t>
      </w:r>
      <w:r>
        <w:t>,</w:t>
      </w:r>
      <w:r w:rsidR="413F43CA">
        <w:t xml:space="preserve"> </w:t>
      </w:r>
      <w:r w:rsidR="00C20C73">
        <w:t>and collectors to maintain</w:t>
      </w:r>
      <w:r w:rsidR="00CE2B79">
        <w:t xml:space="preserve"> records of receipt, sale, or other disposition of firearms</w:t>
      </w:r>
      <w:r w:rsidR="001B7084">
        <w:t xml:space="preserve"> </w:t>
      </w:r>
      <w:r w:rsidR="0099596F">
        <w:t xml:space="preserve">(acquisition and disposition </w:t>
      </w:r>
      <w:r w:rsidR="007A24E0">
        <w:t xml:space="preserve">(A&amp;D) </w:t>
      </w:r>
      <w:r w:rsidR="0099596F">
        <w:t>records</w:t>
      </w:r>
      <w:r w:rsidR="007A24E0">
        <w:t xml:space="preserve">) </w:t>
      </w:r>
      <w:r w:rsidR="001B7084">
        <w:t>in the format that the Attorney General may prescribe.</w:t>
      </w:r>
      <w:r w:rsidR="00481173">
        <w:t xml:space="preserve"> </w:t>
      </w:r>
      <w:r w:rsidR="00DA20F5">
        <w:t xml:space="preserve">The required format for the A&amp;D records </w:t>
      </w:r>
      <w:r w:rsidR="00780A9B">
        <w:t xml:space="preserve">and time frame for recording the required information is set forth in </w:t>
      </w:r>
      <w:r w:rsidR="00DA20F5">
        <w:t>27 CFR</w:t>
      </w:r>
      <w:r w:rsidR="00EB0EB2">
        <w:t xml:space="preserve"> </w:t>
      </w:r>
      <w:r w:rsidR="00DA20F5">
        <w:t>478.125(e</w:t>
      </w:r>
      <w:r w:rsidR="23A089DF">
        <w:t>)</w:t>
      </w:r>
      <w:r w:rsidR="651F6B57">
        <w:t xml:space="preserve"> and</w:t>
      </w:r>
      <w:r w:rsidR="00780A9B">
        <w:t xml:space="preserve"> (f)</w:t>
      </w:r>
      <w:r w:rsidR="70DC1E7C">
        <w:t>.</w:t>
      </w:r>
      <w:r w:rsidR="00137331">
        <w:t xml:space="preserve"> </w:t>
      </w:r>
      <w:r w:rsidR="00F14A97">
        <w:t>A licensed dealer</w:t>
      </w:r>
      <w:r w:rsidR="68C96F0D">
        <w:t>, pawnbroker</w:t>
      </w:r>
      <w:r>
        <w:t>,</w:t>
      </w:r>
      <w:r w:rsidR="00F14A97">
        <w:t xml:space="preserve"> or collector m</w:t>
      </w:r>
      <w:r w:rsidR="00136D73">
        <w:t>ay request an alternate means for maintaining the required A&amp;D records</w:t>
      </w:r>
      <w:r>
        <w:t>,</w:t>
      </w:r>
      <w:r w:rsidR="00136D73">
        <w:t xml:space="preserve"> </w:t>
      </w:r>
      <w:r w:rsidR="003D740B">
        <w:t xml:space="preserve">as </w:t>
      </w:r>
      <w:r>
        <w:t>described</w:t>
      </w:r>
      <w:r w:rsidR="003D740B">
        <w:t xml:space="preserve"> in 27 CFR 478.125(h).</w:t>
      </w:r>
    </w:p>
    <w:p w:rsidR="003245F2" w:rsidP="00252E27" w14:paraId="57590D56" w14:textId="04250FDD">
      <w:pPr>
        <w:pStyle w:val="BodyText"/>
        <w:tabs>
          <w:tab w:val="left" w:pos="1410"/>
        </w:tabs>
        <w:rPr>
          <w:sz w:val="27"/>
        </w:rPr>
      </w:pPr>
      <w:r>
        <w:rPr>
          <w:sz w:val="27"/>
        </w:rPr>
        <w:tab/>
      </w:r>
    </w:p>
    <w:p w:rsidR="003245F2" w:rsidRPr="0065654E" w:rsidP="00252E27" w14:paraId="0E61782F" w14:textId="6574946C">
      <w:pPr>
        <w:tabs>
          <w:tab w:val="left" w:pos="940"/>
          <w:tab w:val="left" w:pos="9338"/>
        </w:tabs>
        <w:rPr>
          <w:b/>
          <w:bCs/>
          <w:sz w:val="24"/>
        </w:rPr>
      </w:pPr>
      <w:r w:rsidRPr="0065654E">
        <w:rPr>
          <w:b/>
          <w:bCs/>
          <w:sz w:val="24"/>
        </w:rPr>
        <w:t>2.</w:t>
      </w:r>
      <w:r w:rsidR="00481173">
        <w:rPr>
          <w:b/>
          <w:bCs/>
          <w:sz w:val="24"/>
        </w:rPr>
        <w:t xml:space="preserve"> </w:t>
      </w:r>
      <w:r>
        <w:rPr>
          <w:b/>
          <w:bCs/>
          <w:sz w:val="24"/>
        </w:rPr>
        <w:t>Indicate how,</w:t>
      </w:r>
      <w:r w:rsidR="00BE380B">
        <w:rPr>
          <w:b/>
          <w:bCs/>
          <w:sz w:val="24"/>
        </w:rPr>
        <w:t xml:space="preserve"> by whom, and for what purpose the information is to be used.</w:t>
      </w:r>
    </w:p>
    <w:p w:rsidR="003245F2" w:rsidP="00252E27" w14:paraId="4C4C51AE" w14:textId="77777777">
      <w:pPr>
        <w:pStyle w:val="BodyText"/>
        <w:tabs>
          <w:tab w:val="left" w:pos="9338"/>
        </w:tabs>
        <w:rPr>
          <w:sz w:val="18"/>
        </w:rPr>
      </w:pPr>
    </w:p>
    <w:p w:rsidR="00E96E3A" w:rsidP="00252E27" w14:paraId="52206252" w14:textId="51207E72">
      <w:pPr>
        <w:tabs>
          <w:tab w:val="left" w:pos="9338"/>
        </w:tabs>
        <w:rPr>
          <w:sz w:val="24"/>
          <w:szCs w:val="24"/>
        </w:rPr>
      </w:pPr>
      <w:r w:rsidRPr="1EAA3271">
        <w:rPr>
          <w:sz w:val="24"/>
          <w:szCs w:val="24"/>
        </w:rPr>
        <w:t xml:space="preserve">For each </w:t>
      </w:r>
      <w:r w:rsidRPr="1EAA3271" w:rsidR="002A0878">
        <w:rPr>
          <w:sz w:val="24"/>
          <w:szCs w:val="24"/>
        </w:rPr>
        <w:t xml:space="preserve">firearm </w:t>
      </w:r>
      <w:r w:rsidRPr="1EAA3271" w:rsidR="00240499">
        <w:rPr>
          <w:sz w:val="24"/>
          <w:szCs w:val="24"/>
        </w:rPr>
        <w:t>a license</w:t>
      </w:r>
      <w:r w:rsidRPr="1EAA3271" w:rsidR="0007344D">
        <w:rPr>
          <w:sz w:val="24"/>
          <w:szCs w:val="24"/>
        </w:rPr>
        <w:t>d</w:t>
      </w:r>
      <w:r w:rsidRPr="1EAA3271" w:rsidR="00240499">
        <w:rPr>
          <w:sz w:val="24"/>
          <w:szCs w:val="24"/>
        </w:rPr>
        <w:t xml:space="preserve"> dealer or pawnbroker </w:t>
      </w:r>
      <w:r w:rsidRPr="1EAA3271" w:rsidR="002A0878">
        <w:rPr>
          <w:sz w:val="24"/>
          <w:szCs w:val="24"/>
        </w:rPr>
        <w:t>acquire</w:t>
      </w:r>
      <w:r w:rsidRPr="1EAA3271" w:rsidR="00240499">
        <w:rPr>
          <w:sz w:val="24"/>
          <w:szCs w:val="24"/>
        </w:rPr>
        <w:t>s</w:t>
      </w:r>
      <w:r w:rsidRPr="1EAA3271" w:rsidR="002A0878">
        <w:rPr>
          <w:sz w:val="24"/>
          <w:szCs w:val="24"/>
        </w:rPr>
        <w:t xml:space="preserve">, </w:t>
      </w:r>
      <w:r w:rsidRPr="1EAA3271" w:rsidR="00240499">
        <w:rPr>
          <w:sz w:val="24"/>
          <w:szCs w:val="24"/>
        </w:rPr>
        <w:t>they</w:t>
      </w:r>
      <w:r w:rsidRPr="1EAA3271" w:rsidR="7B0B768B">
        <w:rPr>
          <w:sz w:val="24"/>
          <w:szCs w:val="24"/>
        </w:rPr>
        <w:t xml:space="preserve"> </w:t>
      </w:r>
      <w:r w:rsidRPr="1EAA3271" w:rsidR="00C67F87">
        <w:rPr>
          <w:sz w:val="24"/>
          <w:szCs w:val="24"/>
        </w:rPr>
        <w:t>must</w:t>
      </w:r>
      <w:r w:rsidRPr="1EAA3271" w:rsidR="00E907A2">
        <w:rPr>
          <w:sz w:val="24"/>
          <w:szCs w:val="24"/>
        </w:rPr>
        <w:t xml:space="preserve"> </w:t>
      </w:r>
      <w:r w:rsidRPr="1EAA3271" w:rsidR="00B927C5">
        <w:rPr>
          <w:sz w:val="24"/>
          <w:szCs w:val="24"/>
        </w:rPr>
        <w:t xml:space="preserve">record </w:t>
      </w:r>
      <w:r w:rsidRPr="1EAA3271" w:rsidR="00240499">
        <w:rPr>
          <w:sz w:val="24"/>
          <w:szCs w:val="24"/>
        </w:rPr>
        <w:t xml:space="preserve">in their A&amp;D record </w:t>
      </w:r>
      <w:r w:rsidRPr="1EAA3271" w:rsidR="00B927C5">
        <w:rPr>
          <w:sz w:val="24"/>
          <w:szCs w:val="24"/>
        </w:rPr>
        <w:t xml:space="preserve">the </w:t>
      </w:r>
      <w:r w:rsidRPr="1EAA3271" w:rsidR="006A206E">
        <w:rPr>
          <w:sz w:val="24"/>
          <w:szCs w:val="24"/>
        </w:rPr>
        <w:t xml:space="preserve">date </w:t>
      </w:r>
      <w:r w:rsidRPr="1EAA3271" w:rsidR="00240499">
        <w:rPr>
          <w:sz w:val="24"/>
          <w:szCs w:val="24"/>
        </w:rPr>
        <w:t>they receive the firearm</w:t>
      </w:r>
      <w:r w:rsidRPr="1EAA3271" w:rsidR="006A206E">
        <w:rPr>
          <w:sz w:val="24"/>
          <w:szCs w:val="24"/>
        </w:rPr>
        <w:t>, the name and address</w:t>
      </w:r>
      <w:r w:rsidRPr="1EAA3271" w:rsidR="0030322A">
        <w:rPr>
          <w:sz w:val="24"/>
          <w:szCs w:val="24"/>
        </w:rPr>
        <w:t xml:space="preserve"> or name and license number of the person from </w:t>
      </w:r>
      <w:r w:rsidRPr="1EAA3271" w:rsidR="00B9306D">
        <w:rPr>
          <w:sz w:val="24"/>
          <w:szCs w:val="24"/>
        </w:rPr>
        <w:t>whom</w:t>
      </w:r>
      <w:r w:rsidRPr="1EAA3271" w:rsidR="0030322A">
        <w:rPr>
          <w:sz w:val="24"/>
          <w:szCs w:val="24"/>
        </w:rPr>
        <w:t xml:space="preserve"> received, the name of the manufacturer and importer (if any), the model, serial number</w:t>
      </w:r>
      <w:r w:rsidRPr="1EAA3271" w:rsidR="00B06C27">
        <w:rPr>
          <w:sz w:val="24"/>
          <w:szCs w:val="24"/>
        </w:rPr>
        <w:t>, type</w:t>
      </w:r>
      <w:r w:rsidRPr="1EAA3271" w:rsidR="001C35F9">
        <w:rPr>
          <w:sz w:val="24"/>
          <w:szCs w:val="24"/>
        </w:rPr>
        <w:t>,</w:t>
      </w:r>
      <w:r w:rsidRPr="1EAA3271" w:rsidR="00B06C27">
        <w:rPr>
          <w:sz w:val="24"/>
          <w:szCs w:val="24"/>
        </w:rPr>
        <w:t xml:space="preserve"> and the caliber or gauge</w:t>
      </w:r>
      <w:r w:rsidRPr="1EAA3271" w:rsidR="00240499">
        <w:rPr>
          <w:sz w:val="24"/>
          <w:szCs w:val="24"/>
        </w:rPr>
        <w:t>,</w:t>
      </w:r>
      <w:r w:rsidRPr="1EAA3271" w:rsidR="00B06C27">
        <w:rPr>
          <w:sz w:val="24"/>
          <w:szCs w:val="24"/>
        </w:rPr>
        <w:t xml:space="preserve"> of the firearm</w:t>
      </w:r>
      <w:r w:rsidRPr="1EAA3271" w:rsidR="001F657D">
        <w:rPr>
          <w:sz w:val="24"/>
          <w:szCs w:val="24"/>
        </w:rPr>
        <w:t>.</w:t>
      </w:r>
      <w:r w:rsidR="00481173">
        <w:rPr>
          <w:sz w:val="24"/>
          <w:szCs w:val="24"/>
        </w:rPr>
        <w:t xml:space="preserve"> </w:t>
      </w:r>
      <w:r w:rsidRPr="1EAA3271" w:rsidR="009C4D76">
        <w:rPr>
          <w:sz w:val="24"/>
          <w:szCs w:val="24"/>
        </w:rPr>
        <w:t xml:space="preserve">For each firearm </w:t>
      </w:r>
      <w:r w:rsidRPr="1EAA3271" w:rsidR="0007344D">
        <w:rPr>
          <w:sz w:val="24"/>
          <w:szCs w:val="24"/>
        </w:rPr>
        <w:t>a licensed dealer o</w:t>
      </w:r>
      <w:r w:rsidRPr="1EAA3271" w:rsidR="00222A02">
        <w:rPr>
          <w:sz w:val="24"/>
          <w:szCs w:val="24"/>
        </w:rPr>
        <w:t>r</w:t>
      </w:r>
      <w:r w:rsidRPr="1EAA3271" w:rsidR="0007344D">
        <w:rPr>
          <w:sz w:val="24"/>
          <w:szCs w:val="24"/>
        </w:rPr>
        <w:t xml:space="preserve"> pawnbroker </w:t>
      </w:r>
      <w:r w:rsidRPr="1EAA3271" w:rsidR="009C4D76">
        <w:rPr>
          <w:sz w:val="24"/>
          <w:szCs w:val="24"/>
        </w:rPr>
        <w:t>dispose</w:t>
      </w:r>
      <w:r w:rsidRPr="1EAA3271" w:rsidR="0007344D">
        <w:rPr>
          <w:sz w:val="24"/>
          <w:szCs w:val="24"/>
        </w:rPr>
        <w:t>s</w:t>
      </w:r>
      <w:r w:rsidRPr="1EAA3271" w:rsidR="009C4D76">
        <w:rPr>
          <w:sz w:val="24"/>
          <w:szCs w:val="24"/>
        </w:rPr>
        <w:t xml:space="preserve"> of, </w:t>
      </w:r>
      <w:r w:rsidRPr="1EAA3271" w:rsidR="0007344D">
        <w:rPr>
          <w:sz w:val="24"/>
          <w:szCs w:val="24"/>
        </w:rPr>
        <w:t>they</w:t>
      </w:r>
      <w:r w:rsidRPr="1EAA3271" w:rsidR="009C4D76">
        <w:rPr>
          <w:sz w:val="24"/>
          <w:szCs w:val="24"/>
        </w:rPr>
        <w:t xml:space="preserve"> </w:t>
      </w:r>
      <w:r w:rsidRPr="1EAA3271" w:rsidR="00222A02">
        <w:rPr>
          <w:sz w:val="24"/>
          <w:szCs w:val="24"/>
        </w:rPr>
        <w:t>must</w:t>
      </w:r>
      <w:r w:rsidRPr="1EAA3271" w:rsidR="009E02E2">
        <w:rPr>
          <w:sz w:val="24"/>
          <w:szCs w:val="24"/>
        </w:rPr>
        <w:t xml:space="preserve"> record </w:t>
      </w:r>
      <w:r w:rsidRPr="1EAA3271" w:rsidR="0007344D">
        <w:rPr>
          <w:sz w:val="24"/>
          <w:szCs w:val="24"/>
        </w:rPr>
        <w:t xml:space="preserve">in their A&amp;D record </w:t>
      </w:r>
      <w:r w:rsidRPr="1EAA3271" w:rsidR="00F04661">
        <w:rPr>
          <w:sz w:val="24"/>
          <w:szCs w:val="24"/>
        </w:rPr>
        <w:t xml:space="preserve">the date of the sale or other disposition </w:t>
      </w:r>
      <w:r w:rsidRPr="1EAA3271" w:rsidR="00215D23">
        <w:rPr>
          <w:sz w:val="24"/>
          <w:szCs w:val="24"/>
        </w:rPr>
        <w:t xml:space="preserve">of each </w:t>
      </w:r>
      <w:r w:rsidRPr="1EAA3271" w:rsidR="00835DFA">
        <w:rPr>
          <w:sz w:val="24"/>
          <w:szCs w:val="24"/>
        </w:rPr>
        <w:t>firearm</w:t>
      </w:r>
      <w:r w:rsidRPr="1EAA3271" w:rsidR="00215D23">
        <w:rPr>
          <w:sz w:val="24"/>
          <w:szCs w:val="24"/>
        </w:rPr>
        <w:t>, the name and address of the person to whom the firearm is transferred, or the name and license nu</w:t>
      </w:r>
      <w:r w:rsidRPr="1EAA3271" w:rsidR="00835DFA">
        <w:rPr>
          <w:sz w:val="24"/>
          <w:szCs w:val="24"/>
        </w:rPr>
        <w:t xml:space="preserve">mber of the person to whom transferred if such person is a licensee, or the firearms transaction record </w:t>
      </w:r>
      <w:r w:rsidRPr="1EAA3271" w:rsidR="0007344D">
        <w:rPr>
          <w:sz w:val="24"/>
          <w:szCs w:val="24"/>
        </w:rPr>
        <w:t xml:space="preserve">(ATF </w:t>
      </w:r>
      <w:r w:rsidRPr="1EAA3271" w:rsidR="00835DFA">
        <w:rPr>
          <w:sz w:val="24"/>
          <w:szCs w:val="24"/>
        </w:rPr>
        <w:t>Form 4473</w:t>
      </w:r>
      <w:r w:rsidRPr="1EAA3271" w:rsidR="0007344D">
        <w:rPr>
          <w:sz w:val="24"/>
          <w:szCs w:val="24"/>
        </w:rPr>
        <w:t>)s</w:t>
      </w:r>
      <w:r w:rsidRPr="1EAA3271" w:rsidR="00E4613B">
        <w:rPr>
          <w:sz w:val="24"/>
          <w:szCs w:val="24"/>
        </w:rPr>
        <w:t xml:space="preserve"> the for</w:t>
      </w:r>
      <w:r w:rsidRPr="1EAA3271" w:rsidR="00E075CF">
        <w:rPr>
          <w:sz w:val="24"/>
          <w:szCs w:val="24"/>
        </w:rPr>
        <w:t>ms</w:t>
      </w:r>
      <w:r w:rsidRPr="1EAA3271" w:rsidR="00E4613B">
        <w:rPr>
          <w:sz w:val="24"/>
          <w:szCs w:val="24"/>
        </w:rPr>
        <w:t xml:space="preserve"> 4473 and files them </w:t>
      </w:r>
      <w:r w:rsidRPr="1EAA3271" w:rsidR="00E075CF">
        <w:rPr>
          <w:sz w:val="24"/>
          <w:szCs w:val="24"/>
        </w:rPr>
        <w:t>numerically</w:t>
      </w:r>
      <w:r w:rsidRPr="1EAA3271" w:rsidR="00CC3960">
        <w:rPr>
          <w:sz w:val="24"/>
          <w:szCs w:val="24"/>
        </w:rPr>
        <w:t xml:space="preserve"> in their A&amp;D record</w:t>
      </w:r>
      <w:r w:rsidRPr="1EAA3271" w:rsidR="00C37155">
        <w:rPr>
          <w:sz w:val="24"/>
          <w:szCs w:val="24"/>
        </w:rPr>
        <w:t>.</w:t>
      </w:r>
      <w:r w:rsidR="00481173">
        <w:rPr>
          <w:sz w:val="24"/>
          <w:szCs w:val="24"/>
        </w:rPr>
        <w:t xml:space="preserve"> </w:t>
      </w:r>
      <w:r w:rsidRPr="1EAA3271" w:rsidR="00752F12">
        <w:rPr>
          <w:sz w:val="24"/>
          <w:szCs w:val="24"/>
        </w:rPr>
        <w:t xml:space="preserve"> </w:t>
      </w:r>
      <w:r w:rsidRPr="1EAA3271" w:rsidR="0007344D">
        <w:rPr>
          <w:sz w:val="24"/>
          <w:szCs w:val="24"/>
        </w:rPr>
        <w:t>This required information must be</w:t>
      </w:r>
      <w:r w:rsidRPr="1EAA3271" w:rsidR="00752F12">
        <w:rPr>
          <w:sz w:val="24"/>
          <w:szCs w:val="24"/>
        </w:rPr>
        <w:t xml:space="preserve"> </w:t>
      </w:r>
      <w:r w:rsidRPr="1EAA3271" w:rsidR="00301AB4">
        <w:rPr>
          <w:sz w:val="24"/>
          <w:szCs w:val="24"/>
        </w:rPr>
        <w:t xml:space="preserve">entered </w:t>
      </w:r>
      <w:r w:rsidRPr="1EAA3271" w:rsidR="0007344D">
        <w:rPr>
          <w:sz w:val="24"/>
          <w:szCs w:val="24"/>
        </w:rPr>
        <w:t xml:space="preserve">into the A&amp;D record </w:t>
      </w:r>
      <w:r w:rsidRPr="1EAA3271" w:rsidR="00301AB4">
        <w:rPr>
          <w:sz w:val="24"/>
          <w:szCs w:val="24"/>
        </w:rPr>
        <w:t xml:space="preserve">in the </w:t>
      </w:r>
      <w:r w:rsidRPr="1EAA3271" w:rsidR="00371D0A">
        <w:rPr>
          <w:sz w:val="24"/>
          <w:szCs w:val="24"/>
        </w:rPr>
        <w:t>format</w:t>
      </w:r>
      <w:r w:rsidRPr="1EAA3271" w:rsidR="00B927C5">
        <w:rPr>
          <w:sz w:val="24"/>
          <w:szCs w:val="24"/>
        </w:rPr>
        <w:t xml:space="preserve"> </w:t>
      </w:r>
      <w:r w:rsidRPr="1EAA3271" w:rsidR="00AD53E0">
        <w:rPr>
          <w:sz w:val="24"/>
          <w:szCs w:val="24"/>
        </w:rPr>
        <w:t xml:space="preserve">required </w:t>
      </w:r>
      <w:r w:rsidRPr="1EAA3271" w:rsidR="00B927C5">
        <w:rPr>
          <w:sz w:val="24"/>
          <w:szCs w:val="24"/>
        </w:rPr>
        <w:t xml:space="preserve">by 27 CFR 478.125(e). The </w:t>
      </w:r>
      <w:r w:rsidRPr="1EAA3271" w:rsidR="00940DF8">
        <w:rPr>
          <w:sz w:val="24"/>
          <w:szCs w:val="24"/>
        </w:rPr>
        <w:t xml:space="preserve">licensed </w:t>
      </w:r>
      <w:r w:rsidRPr="1EAA3271">
        <w:rPr>
          <w:sz w:val="24"/>
          <w:szCs w:val="24"/>
        </w:rPr>
        <w:t>dealer</w:t>
      </w:r>
      <w:r w:rsidRPr="1EAA3271" w:rsidR="29F63340">
        <w:rPr>
          <w:sz w:val="24"/>
          <w:szCs w:val="24"/>
        </w:rPr>
        <w:t xml:space="preserve"> </w:t>
      </w:r>
      <w:r w:rsidRPr="1EAA3271" w:rsidR="4CBEB41F">
        <w:rPr>
          <w:sz w:val="24"/>
          <w:szCs w:val="24"/>
        </w:rPr>
        <w:t>or pawnbroker</w:t>
      </w:r>
      <w:r w:rsidRPr="1EAA3271">
        <w:rPr>
          <w:sz w:val="24"/>
          <w:szCs w:val="24"/>
        </w:rPr>
        <w:t xml:space="preserve"> </w:t>
      </w:r>
      <w:r w:rsidRPr="1EAA3271" w:rsidR="00B927C5">
        <w:rPr>
          <w:sz w:val="24"/>
          <w:szCs w:val="24"/>
        </w:rPr>
        <w:t xml:space="preserve">must record </w:t>
      </w:r>
      <w:r w:rsidRPr="1EAA3271" w:rsidR="00AD53E0">
        <w:rPr>
          <w:sz w:val="24"/>
          <w:szCs w:val="24"/>
        </w:rPr>
        <w:t xml:space="preserve">the </w:t>
      </w:r>
      <w:r w:rsidRPr="1EAA3271" w:rsidR="00914049">
        <w:rPr>
          <w:sz w:val="24"/>
          <w:szCs w:val="24"/>
        </w:rPr>
        <w:t>acquisition</w:t>
      </w:r>
      <w:r w:rsidRPr="1EAA3271" w:rsidR="00AD53E0">
        <w:rPr>
          <w:sz w:val="24"/>
          <w:szCs w:val="24"/>
        </w:rPr>
        <w:t xml:space="preserve"> </w:t>
      </w:r>
      <w:r w:rsidRPr="1EAA3271" w:rsidR="00B927C5">
        <w:rPr>
          <w:sz w:val="24"/>
          <w:szCs w:val="24"/>
        </w:rPr>
        <w:t>information no later than the close of the next business day</w:t>
      </w:r>
      <w:r w:rsidRPr="1EAA3271" w:rsidR="008C0093">
        <w:rPr>
          <w:sz w:val="24"/>
          <w:szCs w:val="24"/>
        </w:rPr>
        <w:t xml:space="preserve"> </w:t>
      </w:r>
      <w:r w:rsidRPr="1EAA3271" w:rsidR="00135E91">
        <w:rPr>
          <w:sz w:val="24"/>
          <w:szCs w:val="24"/>
        </w:rPr>
        <w:t xml:space="preserve">following </w:t>
      </w:r>
      <w:r w:rsidRPr="1EAA3271" w:rsidR="00B927C5">
        <w:rPr>
          <w:sz w:val="24"/>
          <w:szCs w:val="24"/>
        </w:rPr>
        <w:t xml:space="preserve">the </w:t>
      </w:r>
      <w:r w:rsidRPr="1EAA3271" w:rsidR="00B0585D">
        <w:rPr>
          <w:sz w:val="24"/>
          <w:szCs w:val="24"/>
        </w:rPr>
        <w:t xml:space="preserve">date </w:t>
      </w:r>
      <w:r w:rsidRPr="1EAA3271" w:rsidR="0007344D">
        <w:rPr>
          <w:sz w:val="24"/>
          <w:szCs w:val="24"/>
        </w:rPr>
        <w:t>on which they</w:t>
      </w:r>
      <w:r w:rsidRPr="1EAA3271" w:rsidR="00B0585D">
        <w:rPr>
          <w:sz w:val="24"/>
          <w:szCs w:val="24"/>
        </w:rPr>
        <w:t xml:space="preserve"> purchase or </w:t>
      </w:r>
      <w:r w:rsidRPr="1EAA3271" w:rsidR="0007344D">
        <w:rPr>
          <w:sz w:val="24"/>
          <w:szCs w:val="24"/>
        </w:rPr>
        <w:t>acquire</w:t>
      </w:r>
      <w:r w:rsidRPr="1EAA3271" w:rsidR="00B927C5">
        <w:rPr>
          <w:sz w:val="24"/>
          <w:szCs w:val="24"/>
        </w:rPr>
        <w:t xml:space="preserve"> a </w:t>
      </w:r>
      <w:r w:rsidRPr="1EAA3271" w:rsidR="0007344D">
        <w:rPr>
          <w:sz w:val="24"/>
          <w:szCs w:val="24"/>
        </w:rPr>
        <w:t xml:space="preserve">given </w:t>
      </w:r>
      <w:r w:rsidRPr="1EAA3271" w:rsidR="00B927C5">
        <w:rPr>
          <w:sz w:val="24"/>
          <w:szCs w:val="24"/>
        </w:rPr>
        <w:t>firearm</w:t>
      </w:r>
      <w:r w:rsidRPr="1EAA3271" w:rsidR="008C0093">
        <w:rPr>
          <w:sz w:val="24"/>
          <w:szCs w:val="24"/>
        </w:rPr>
        <w:t>,</w:t>
      </w:r>
      <w:r w:rsidRPr="1EAA3271" w:rsidR="00B927C5">
        <w:rPr>
          <w:sz w:val="24"/>
          <w:szCs w:val="24"/>
        </w:rPr>
        <w:t xml:space="preserve"> and</w:t>
      </w:r>
      <w:r w:rsidRPr="1EAA3271" w:rsidR="00914049">
        <w:rPr>
          <w:sz w:val="24"/>
          <w:szCs w:val="24"/>
        </w:rPr>
        <w:t xml:space="preserve"> the disposition information</w:t>
      </w:r>
      <w:r w:rsidRPr="1EAA3271" w:rsidR="00B927C5">
        <w:rPr>
          <w:sz w:val="24"/>
          <w:szCs w:val="24"/>
        </w:rPr>
        <w:t xml:space="preserve"> no later than </w:t>
      </w:r>
      <w:r w:rsidRPr="1EAA3271">
        <w:rPr>
          <w:sz w:val="24"/>
          <w:szCs w:val="24"/>
        </w:rPr>
        <w:t xml:space="preserve">seven </w:t>
      </w:r>
      <w:r w:rsidRPr="1EAA3271" w:rsidR="00B927C5">
        <w:rPr>
          <w:sz w:val="24"/>
          <w:szCs w:val="24"/>
        </w:rPr>
        <w:t xml:space="preserve">days following date </w:t>
      </w:r>
      <w:r w:rsidRPr="1EAA3271" w:rsidR="0007344D">
        <w:rPr>
          <w:sz w:val="24"/>
          <w:szCs w:val="24"/>
        </w:rPr>
        <w:t xml:space="preserve">on which they </w:t>
      </w:r>
      <w:r w:rsidRPr="1EAA3271" w:rsidR="00460F67">
        <w:rPr>
          <w:sz w:val="24"/>
          <w:szCs w:val="24"/>
        </w:rPr>
        <w:t>s</w:t>
      </w:r>
      <w:r w:rsidRPr="1EAA3271" w:rsidR="0007344D">
        <w:rPr>
          <w:sz w:val="24"/>
          <w:szCs w:val="24"/>
        </w:rPr>
        <w:t>ell</w:t>
      </w:r>
      <w:r w:rsidRPr="1EAA3271" w:rsidR="00460F67">
        <w:rPr>
          <w:sz w:val="24"/>
          <w:szCs w:val="24"/>
        </w:rPr>
        <w:t xml:space="preserve"> or other</w:t>
      </w:r>
      <w:r w:rsidRPr="1EAA3271" w:rsidR="0007344D">
        <w:rPr>
          <w:sz w:val="24"/>
          <w:szCs w:val="24"/>
        </w:rPr>
        <w:t>wise</w:t>
      </w:r>
      <w:r w:rsidRPr="1EAA3271" w:rsidR="00460F67">
        <w:rPr>
          <w:sz w:val="24"/>
          <w:szCs w:val="24"/>
        </w:rPr>
        <w:t xml:space="preserve"> </w:t>
      </w:r>
      <w:r w:rsidRPr="1EAA3271" w:rsidR="0007344D">
        <w:rPr>
          <w:sz w:val="24"/>
          <w:szCs w:val="24"/>
        </w:rPr>
        <w:t xml:space="preserve">dispose </w:t>
      </w:r>
      <w:r w:rsidRPr="1EAA3271" w:rsidR="00B927C5">
        <w:rPr>
          <w:sz w:val="24"/>
          <w:szCs w:val="24"/>
        </w:rPr>
        <w:t xml:space="preserve">of </w:t>
      </w:r>
      <w:r w:rsidRPr="1EAA3271" w:rsidR="00D04C7B">
        <w:rPr>
          <w:sz w:val="24"/>
          <w:szCs w:val="24"/>
        </w:rPr>
        <w:t xml:space="preserve">a </w:t>
      </w:r>
      <w:r w:rsidRPr="1EAA3271" w:rsidR="0007344D">
        <w:rPr>
          <w:sz w:val="24"/>
          <w:szCs w:val="24"/>
        </w:rPr>
        <w:t xml:space="preserve">given </w:t>
      </w:r>
      <w:r w:rsidRPr="1EAA3271" w:rsidR="00B927C5">
        <w:rPr>
          <w:sz w:val="24"/>
          <w:szCs w:val="24"/>
        </w:rPr>
        <w:t xml:space="preserve">firearm. The </w:t>
      </w:r>
      <w:r w:rsidRPr="1EAA3271" w:rsidR="00D04C7B">
        <w:rPr>
          <w:sz w:val="24"/>
          <w:szCs w:val="24"/>
        </w:rPr>
        <w:t xml:space="preserve">A&amp;D </w:t>
      </w:r>
      <w:r w:rsidRPr="1EAA3271" w:rsidR="00B927C5">
        <w:rPr>
          <w:sz w:val="24"/>
          <w:szCs w:val="24"/>
        </w:rPr>
        <w:t xml:space="preserve">record must be maintained in bound form </w:t>
      </w:r>
      <w:r w:rsidRPr="1EAA3271" w:rsidR="00532BF5">
        <w:rPr>
          <w:sz w:val="24"/>
          <w:szCs w:val="24"/>
        </w:rPr>
        <w:t xml:space="preserve">in </w:t>
      </w:r>
      <w:r w:rsidRPr="1EAA3271" w:rsidR="00B927C5">
        <w:rPr>
          <w:sz w:val="24"/>
          <w:szCs w:val="24"/>
        </w:rPr>
        <w:t xml:space="preserve">the required format. </w:t>
      </w:r>
      <w:r w:rsidRPr="1EAA3271" w:rsidR="007F5740">
        <w:rPr>
          <w:sz w:val="24"/>
          <w:szCs w:val="24"/>
        </w:rPr>
        <w:t>However, in accordance with ATF Ruling</w:t>
      </w:r>
      <w:r w:rsidRPr="1EAA3271" w:rsidR="00BB325C">
        <w:rPr>
          <w:sz w:val="24"/>
          <w:szCs w:val="24"/>
        </w:rPr>
        <w:t xml:space="preserve"> 2016-1, licensed dealers </w:t>
      </w:r>
      <w:r w:rsidRPr="1EAA3271" w:rsidR="00F57B89">
        <w:rPr>
          <w:sz w:val="24"/>
          <w:szCs w:val="24"/>
        </w:rPr>
        <w:t>and</w:t>
      </w:r>
      <w:r w:rsidRPr="1EAA3271" w:rsidR="62E5A07F">
        <w:rPr>
          <w:sz w:val="24"/>
          <w:szCs w:val="24"/>
        </w:rPr>
        <w:t xml:space="preserve"> pawnbrokers</w:t>
      </w:r>
      <w:r w:rsidRPr="1EAA3271" w:rsidR="76B97003">
        <w:rPr>
          <w:sz w:val="24"/>
          <w:szCs w:val="24"/>
        </w:rPr>
        <w:t xml:space="preserve"> </w:t>
      </w:r>
      <w:r w:rsidRPr="1EAA3271" w:rsidR="00BB325C">
        <w:rPr>
          <w:sz w:val="24"/>
          <w:szCs w:val="24"/>
        </w:rPr>
        <w:t xml:space="preserve">may keep the A&amp;D records </w:t>
      </w:r>
      <w:r w:rsidRPr="1EAA3271" w:rsidR="00C33F3A">
        <w:rPr>
          <w:sz w:val="24"/>
          <w:szCs w:val="24"/>
        </w:rPr>
        <w:t xml:space="preserve">electronically instead of in paper form. </w:t>
      </w:r>
      <w:r w:rsidRPr="1EAA3271" w:rsidR="00B927C5">
        <w:rPr>
          <w:sz w:val="24"/>
          <w:szCs w:val="24"/>
        </w:rPr>
        <w:t>The record</w:t>
      </w:r>
      <w:r w:rsidRPr="1EAA3271" w:rsidR="0007344D">
        <w:rPr>
          <w:sz w:val="24"/>
          <w:szCs w:val="24"/>
        </w:rPr>
        <w:t>s</w:t>
      </w:r>
      <w:r w:rsidRPr="1EAA3271" w:rsidR="00B927C5">
        <w:rPr>
          <w:sz w:val="24"/>
          <w:szCs w:val="24"/>
        </w:rPr>
        <w:t xml:space="preserve"> </w:t>
      </w:r>
      <w:r w:rsidRPr="1EAA3271" w:rsidR="0007344D">
        <w:rPr>
          <w:sz w:val="24"/>
          <w:szCs w:val="24"/>
        </w:rPr>
        <w:t>must be retained</w:t>
      </w:r>
      <w:r w:rsidRPr="1EAA3271" w:rsidR="00B927C5">
        <w:rPr>
          <w:sz w:val="24"/>
          <w:szCs w:val="24"/>
        </w:rPr>
        <w:t xml:space="preserve"> </w:t>
      </w:r>
      <w:r w:rsidRPr="1EAA3271" w:rsidR="00107721">
        <w:rPr>
          <w:sz w:val="24"/>
          <w:szCs w:val="24"/>
        </w:rPr>
        <w:t>until the business or licensed activity is</w:t>
      </w:r>
      <w:r w:rsidRPr="1EAA3271" w:rsidR="008062A3">
        <w:rPr>
          <w:sz w:val="24"/>
          <w:szCs w:val="24"/>
        </w:rPr>
        <w:t xml:space="preserve"> discontinued</w:t>
      </w:r>
      <w:r w:rsidRPr="1EAA3271" w:rsidR="0007344D">
        <w:rPr>
          <w:sz w:val="24"/>
          <w:szCs w:val="24"/>
        </w:rPr>
        <w:t>,</w:t>
      </w:r>
      <w:r w:rsidRPr="1EAA3271" w:rsidR="008062A3">
        <w:rPr>
          <w:sz w:val="24"/>
          <w:szCs w:val="24"/>
        </w:rPr>
        <w:t xml:space="preserve"> as required by </w:t>
      </w:r>
      <w:r w:rsidRPr="1EAA3271" w:rsidR="004D68BB">
        <w:rPr>
          <w:sz w:val="24"/>
          <w:szCs w:val="24"/>
        </w:rPr>
        <w:t>27 CFR 478.129(</w:t>
      </w:r>
      <w:r w:rsidRPr="1EAA3271" w:rsidR="2EF9F146">
        <w:rPr>
          <w:sz w:val="24"/>
          <w:szCs w:val="24"/>
        </w:rPr>
        <w:t>e</w:t>
      </w:r>
      <w:r w:rsidRPr="1EAA3271" w:rsidR="004D68BB">
        <w:rPr>
          <w:sz w:val="24"/>
          <w:szCs w:val="24"/>
        </w:rPr>
        <w:t>)</w:t>
      </w:r>
      <w:r w:rsidRPr="1EAA3271" w:rsidR="00B927C5">
        <w:rPr>
          <w:sz w:val="24"/>
          <w:szCs w:val="24"/>
        </w:rPr>
        <w:t>.</w:t>
      </w:r>
      <w:r w:rsidRPr="1EAA3271">
        <w:rPr>
          <w:sz w:val="24"/>
          <w:szCs w:val="24"/>
        </w:rPr>
        <w:t xml:space="preserve"> </w:t>
      </w:r>
    </w:p>
    <w:p w:rsidR="00E96E3A" w:rsidRPr="002B7109" w:rsidP="00252E27" w14:paraId="2ACDEE1F" w14:textId="77777777">
      <w:pPr>
        <w:tabs>
          <w:tab w:val="left" w:pos="9338"/>
        </w:tabs>
        <w:rPr>
          <w:sz w:val="24"/>
          <w:szCs w:val="24"/>
          <w:u w:val="single"/>
        </w:rPr>
      </w:pPr>
    </w:p>
    <w:p w:rsidR="003245F2" w:rsidP="00063660" w14:paraId="26E6594D" w14:textId="5C343F1E">
      <w:pPr>
        <w:tabs>
          <w:tab w:val="left" w:pos="630"/>
          <w:tab w:val="left" w:pos="9338"/>
        </w:tabs>
        <w:spacing w:line="259" w:lineRule="auto"/>
        <w:rPr>
          <w:sz w:val="24"/>
          <w:szCs w:val="24"/>
        </w:rPr>
      </w:pPr>
      <w:r w:rsidRPr="1EAA3271">
        <w:rPr>
          <w:sz w:val="24"/>
          <w:szCs w:val="24"/>
        </w:rPr>
        <w:t xml:space="preserve">For each curio or relic firearm </w:t>
      </w:r>
      <w:r w:rsidRPr="1EAA3271" w:rsidR="00C67F87">
        <w:rPr>
          <w:sz w:val="24"/>
          <w:szCs w:val="24"/>
        </w:rPr>
        <w:t>they acquire</w:t>
      </w:r>
      <w:r w:rsidRPr="1EAA3271">
        <w:rPr>
          <w:sz w:val="24"/>
          <w:szCs w:val="24"/>
        </w:rPr>
        <w:t xml:space="preserve">, </w:t>
      </w:r>
      <w:r w:rsidRPr="1EAA3271" w:rsidR="00966FF8">
        <w:rPr>
          <w:sz w:val="24"/>
          <w:szCs w:val="24"/>
        </w:rPr>
        <w:t>l</w:t>
      </w:r>
      <w:r w:rsidRPr="1EAA3271" w:rsidR="4F7BDA8E">
        <w:rPr>
          <w:sz w:val="24"/>
          <w:szCs w:val="24"/>
        </w:rPr>
        <w:t>icensed</w:t>
      </w:r>
      <w:r w:rsidRPr="008C0093" w:rsidR="00F11949">
        <w:rPr>
          <w:sz w:val="24"/>
          <w:szCs w:val="24"/>
        </w:rPr>
        <w:t xml:space="preserve"> collectors </w:t>
      </w:r>
      <w:r w:rsidRPr="1EAA3271" w:rsidR="00C67F87">
        <w:rPr>
          <w:sz w:val="24"/>
          <w:szCs w:val="24"/>
        </w:rPr>
        <w:t>must</w:t>
      </w:r>
      <w:r w:rsidRPr="1EAA3271" w:rsidR="4D0BDAD4">
        <w:rPr>
          <w:sz w:val="24"/>
          <w:szCs w:val="24"/>
        </w:rPr>
        <w:t xml:space="preserve"> record </w:t>
      </w:r>
      <w:r w:rsidRPr="1EAA3271" w:rsidR="00C67F87">
        <w:rPr>
          <w:sz w:val="24"/>
          <w:szCs w:val="24"/>
        </w:rPr>
        <w:t xml:space="preserve">in their A&amp;D record </w:t>
      </w:r>
      <w:r w:rsidRPr="1EAA3271" w:rsidR="4D0BDAD4">
        <w:rPr>
          <w:sz w:val="24"/>
          <w:szCs w:val="24"/>
        </w:rPr>
        <w:t xml:space="preserve">the </w:t>
      </w:r>
      <w:r w:rsidRPr="1EAA3271" w:rsidR="005148B6">
        <w:rPr>
          <w:sz w:val="24"/>
          <w:szCs w:val="24"/>
        </w:rPr>
        <w:t xml:space="preserve">date </w:t>
      </w:r>
      <w:r w:rsidRPr="1EAA3271" w:rsidR="00C67F87">
        <w:rPr>
          <w:sz w:val="24"/>
          <w:szCs w:val="24"/>
        </w:rPr>
        <w:t>they receive the curio or relic firearm</w:t>
      </w:r>
      <w:r w:rsidRPr="1EAA3271" w:rsidR="005148B6">
        <w:rPr>
          <w:sz w:val="24"/>
          <w:szCs w:val="24"/>
        </w:rPr>
        <w:t>, the name and address or the name and license number</w:t>
      </w:r>
      <w:r w:rsidRPr="1EAA3271" w:rsidR="001A037E">
        <w:rPr>
          <w:sz w:val="24"/>
          <w:szCs w:val="24"/>
        </w:rPr>
        <w:t xml:space="preserve"> of the person from whom received, the name of the manufacturer and importer </w:t>
      </w:r>
      <w:r w:rsidRPr="1EAA3271" w:rsidR="006E7A7A">
        <w:rPr>
          <w:sz w:val="24"/>
          <w:szCs w:val="24"/>
        </w:rPr>
        <w:t>(if any), the model, serial number, type</w:t>
      </w:r>
      <w:r w:rsidRPr="1EAA3271" w:rsidR="00C67F87">
        <w:rPr>
          <w:sz w:val="24"/>
          <w:szCs w:val="24"/>
        </w:rPr>
        <w:t>,</w:t>
      </w:r>
      <w:r w:rsidRPr="1EAA3271" w:rsidR="006E7A7A">
        <w:rPr>
          <w:sz w:val="24"/>
          <w:szCs w:val="24"/>
        </w:rPr>
        <w:t xml:space="preserve"> and the caliber or gauge</w:t>
      </w:r>
      <w:r w:rsidRPr="1EAA3271" w:rsidR="00222A02">
        <w:rPr>
          <w:sz w:val="24"/>
          <w:szCs w:val="24"/>
        </w:rPr>
        <w:t>,</w:t>
      </w:r>
      <w:r w:rsidRPr="1EAA3271" w:rsidR="006E7A7A">
        <w:rPr>
          <w:sz w:val="24"/>
          <w:szCs w:val="24"/>
        </w:rPr>
        <w:t xml:space="preserve"> of th</w:t>
      </w:r>
      <w:r w:rsidRPr="1EAA3271" w:rsidR="0095151D">
        <w:rPr>
          <w:sz w:val="24"/>
          <w:szCs w:val="24"/>
        </w:rPr>
        <w:t>e curio or relic</w:t>
      </w:r>
      <w:r w:rsidRPr="1EAA3271" w:rsidR="00C67F87">
        <w:rPr>
          <w:sz w:val="24"/>
          <w:szCs w:val="24"/>
        </w:rPr>
        <w:t xml:space="preserve"> firearm</w:t>
      </w:r>
      <w:r w:rsidRPr="1EAA3271" w:rsidR="0095151D">
        <w:rPr>
          <w:sz w:val="24"/>
          <w:szCs w:val="24"/>
        </w:rPr>
        <w:t>.</w:t>
      </w:r>
      <w:r w:rsidR="00481173">
        <w:rPr>
          <w:sz w:val="24"/>
          <w:szCs w:val="24"/>
        </w:rPr>
        <w:t xml:space="preserve"> </w:t>
      </w:r>
      <w:r w:rsidRPr="1EAA3271" w:rsidR="006B180D">
        <w:rPr>
          <w:sz w:val="24"/>
          <w:szCs w:val="24"/>
        </w:rPr>
        <w:t xml:space="preserve">For each </w:t>
      </w:r>
      <w:r w:rsidRPr="1EAA3271" w:rsidR="006B180D">
        <w:rPr>
          <w:sz w:val="24"/>
          <w:szCs w:val="24"/>
        </w:rPr>
        <w:t xml:space="preserve">sale or other disposition of a </w:t>
      </w:r>
      <w:r w:rsidRPr="1EAA3271" w:rsidR="00C67F87">
        <w:rPr>
          <w:sz w:val="24"/>
          <w:szCs w:val="24"/>
        </w:rPr>
        <w:t xml:space="preserve">curio or relic </w:t>
      </w:r>
      <w:r w:rsidRPr="1EAA3271" w:rsidR="006B180D">
        <w:rPr>
          <w:sz w:val="24"/>
          <w:szCs w:val="24"/>
        </w:rPr>
        <w:t>firearm</w:t>
      </w:r>
      <w:r w:rsidRPr="1EAA3271" w:rsidR="00C67F87">
        <w:rPr>
          <w:sz w:val="24"/>
          <w:szCs w:val="24"/>
        </w:rPr>
        <w:t xml:space="preserve"> they make</w:t>
      </w:r>
      <w:r w:rsidRPr="1EAA3271" w:rsidR="006B180D">
        <w:rPr>
          <w:sz w:val="24"/>
          <w:szCs w:val="24"/>
        </w:rPr>
        <w:t xml:space="preserve">, the licensed collector </w:t>
      </w:r>
      <w:r w:rsidRPr="1EAA3271" w:rsidR="00C67F87">
        <w:rPr>
          <w:sz w:val="24"/>
          <w:szCs w:val="24"/>
        </w:rPr>
        <w:t>must</w:t>
      </w:r>
      <w:r w:rsidRPr="1EAA3271" w:rsidR="006B180D">
        <w:rPr>
          <w:sz w:val="24"/>
          <w:szCs w:val="24"/>
        </w:rPr>
        <w:t xml:space="preserve"> record </w:t>
      </w:r>
      <w:r w:rsidRPr="1EAA3271" w:rsidR="00E301F2">
        <w:rPr>
          <w:sz w:val="24"/>
          <w:szCs w:val="24"/>
        </w:rPr>
        <w:t xml:space="preserve">the </w:t>
      </w:r>
      <w:r w:rsidRPr="1EAA3271" w:rsidR="00A92F6F">
        <w:rPr>
          <w:sz w:val="24"/>
          <w:szCs w:val="24"/>
        </w:rPr>
        <w:t>date of the sale or other disposition</w:t>
      </w:r>
      <w:r w:rsidRPr="1EAA3271" w:rsidR="00B367FA">
        <w:rPr>
          <w:sz w:val="24"/>
          <w:szCs w:val="24"/>
        </w:rPr>
        <w:t xml:space="preserve"> of each curio or relic</w:t>
      </w:r>
      <w:r w:rsidRPr="1EAA3271" w:rsidR="00C67F87">
        <w:rPr>
          <w:sz w:val="24"/>
          <w:szCs w:val="24"/>
        </w:rPr>
        <w:t xml:space="preserve"> firearm</w:t>
      </w:r>
      <w:r w:rsidRPr="1EAA3271" w:rsidR="00B367FA">
        <w:rPr>
          <w:sz w:val="24"/>
          <w:szCs w:val="24"/>
        </w:rPr>
        <w:t xml:space="preserve">, the name and address of the person to whom </w:t>
      </w:r>
      <w:r w:rsidRPr="1EAA3271" w:rsidR="00C67F87">
        <w:rPr>
          <w:sz w:val="24"/>
          <w:szCs w:val="24"/>
        </w:rPr>
        <w:t xml:space="preserve">it is </w:t>
      </w:r>
      <w:r w:rsidRPr="1EAA3271" w:rsidR="00B367FA">
        <w:rPr>
          <w:sz w:val="24"/>
          <w:szCs w:val="24"/>
        </w:rPr>
        <w:t>transferred, or the name and</w:t>
      </w:r>
      <w:r w:rsidRPr="1EAA3271" w:rsidR="007125F9">
        <w:rPr>
          <w:sz w:val="24"/>
          <w:szCs w:val="24"/>
        </w:rPr>
        <w:t xml:space="preserve"> license number of the person to whom transferred if such person is a licensee, the</w:t>
      </w:r>
      <w:r w:rsidRPr="1EAA3271" w:rsidR="008D5B02">
        <w:rPr>
          <w:sz w:val="24"/>
          <w:szCs w:val="24"/>
        </w:rPr>
        <w:t xml:space="preserve"> date of birth of the transferee if other than a licensee</w:t>
      </w:r>
      <w:r w:rsidRPr="1EAA3271" w:rsidR="00A92F6F">
        <w:rPr>
          <w:sz w:val="24"/>
          <w:szCs w:val="24"/>
        </w:rPr>
        <w:t xml:space="preserve">, </w:t>
      </w:r>
      <w:r w:rsidRPr="1EAA3271" w:rsidR="00625196">
        <w:rPr>
          <w:sz w:val="24"/>
          <w:szCs w:val="24"/>
        </w:rPr>
        <w:t>and the</w:t>
      </w:r>
      <w:r w:rsidRPr="1EAA3271" w:rsidR="00387420">
        <w:rPr>
          <w:sz w:val="24"/>
          <w:szCs w:val="24"/>
        </w:rPr>
        <w:t xml:space="preserve"> driver’s license number or other identification if </w:t>
      </w:r>
      <w:r w:rsidRPr="1EAA3271" w:rsidR="00F702BB">
        <w:rPr>
          <w:sz w:val="24"/>
          <w:szCs w:val="24"/>
        </w:rPr>
        <w:t>a non</w:t>
      </w:r>
      <w:r w:rsidRPr="1EAA3271" w:rsidR="00C67F87">
        <w:rPr>
          <w:sz w:val="24"/>
          <w:szCs w:val="24"/>
        </w:rPr>
        <w:t>-</w:t>
      </w:r>
      <w:r w:rsidRPr="1EAA3271" w:rsidR="00F702BB">
        <w:rPr>
          <w:sz w:val="24"/>
          <w:szCs w:val="24"/>
        </w:rPr>
        <w:t>licensee</w:t>
      </w:r>
      <w:r w:rsidRPr="1EAA3271" w:rsidR="00C67F87">
        <w:rPr>
          <w:sz w:val="24"/>
          <w:szCs w:val="24"/>
        </w:rPr>
        <w:t xml:space="preserve">. </w:t>
      </w:r>
      <w:r w:rsidRPr="1EAA3271" w:rsidR="00222A02">
        <w:rPr>
          <w:sz w:val="24"/>
          <w:szCs w:val="24"/>
        </w:rPr>
        <w:t xml:space="preserve">This required information must be entered into the A&amp;D record </w:t>
      </w:r>
      <w:r w:rsidRPr="1EAA3271" w:rsidR="692C5FF8">
        <w:rPr>
          <w:sz w:val="24"/>
          <w:szCs w:val="24"/>
        </w:rPr>
        <w:t>in the format</w:t>
      </w:r>
      <w:r w:rsidR="00481173">
        <w:rPr>
          <w:sz w:val="24"/>
          <w:szCs w:val="24"/>
        </w:rPr>
        <w:t xml:space="preserve"> </w:t>
      </w:r>
      <w:r w:rsidRPr="1EAA3271" w:rsidR="001C04AE">
        <w:rPr>
          <w:sz w:val="24"/>
          <w:szCs w:val="24"/>
        </w:rPr>
        <w:t xml:space="preserve">required </w:t>
      </w:r>
      <w:r w:rsidRPr="008C0093" w:rsidR="00F11949">
        <w:rPr>
          <w:sz w:val="24"/>
          <w:szCs w:val="24"/>
        </w:rPr>
        <w:t xml:space="preserve">by 27 CFR 478.125(f). The </w:t>
      </w:r>
      <w:r w:rsidRPr="1EAA3271" w:rsidR="00703CE7">
        <w:rPr>
          <w:sz w:val="24"/>
          <w:szCs w:val="24"/>
        </w:rPr>
        <w:t xml:space="preserve">licensed </w:t>
      </w:r>
      <w:r w:rsidRPr="008C0093" w:rsidR="00F11949">
        <w:rPr>
          <w:sz w:val="24"/>
          <w:szCs w:val="24"/>
        </w:rPr>
        <w:t xml:space="preserve">collector must record </w:t>
      </w:r>
      <w:r w:rsidRPr="1EAA3271" w:rsidR="00521623">
        <w:rPr>
          <w:sz w:val="24"/>
          <w:szCs w:val="24"/>
        </w:rPr>
        <w:t xml:space="preserve">the </w:t>
      </w:r>
      <w:r w:rsidRPr="1EAA3271" w:rsidR="00940DF8">
        <w:rPr>
          <w:sz w:val="24"/>
          <w:szCs w:val="24"/>
        </w:rPr>
        <w:t>acquisition</w:t>
      </w:r>
      <w:r w:rsidRPr="1EAA3271" w:rsidR="00521623">
        <w:rPr>
          <w:sz w:val="24"/>
          <w:szCs w:val="24"/>
        </w:rPr>
        <w:t xml:space="preserve"> </w:t>
      </w:r>
      <w:r w:rsidRPr="008C0093" w:rsidR="00F11949">
        <w:rPr>
          <w:sz w:val="24"/>
          <w:szCs w:val="24"/>
        </w:rPr>
        <w:t xml:space="preserve">information no later than the close of the next business day </w:t>
      </w:r>
      <w:r w:rsidRPr="1EAA3271" w:rsidR="001716DD">
        <w:rPr>
          <w:sz w:val="24"/>
          <w:szCs w:val="24"/>
        </w:rPr>
        <w:t xml:space="preserve">following </w:t>
      </w:r>
      <w:r w:rsidRPr="008C0093" w:rsidR="00F11949">
        <w:rPr>
          <w:sz w:val="24"/>
          <w:szCs w:val="24"/>
        </w:rPr>
        <w:t xml:space="preserve">the date </w:t>
      </w:r>
      <w:r w:rsidRPr="1EAA3271" w:rsidR="00222A02">
        <w:rPr>
          <w:sz w:val="24"/>
          <w:szCs w:val="24"/>
        </w:rPr>
        <w:t xml:space="preserve">on which they </w:t>
      </w:r>
      <w:r w:rsidRPr="1EAA3271" w:rsidR="72F3298E">
        <w:rPr>
          <w:sz w:val="24"/>
          <w:szCs w:val="24"/>
        </w:rPr>
        <w:t xml:space="preserve">purchase or </w:t>
      </w:r>
      <w:r w:rsidRPr="1EAA3271" w:rsidR="00222A02">
        <w:rPr>
          <w:sz w:val="24"/>
          <w:szCs w:val="24"/>
        </w:rPr>
        <w:t>acquire a given curio or relic firearm</w:t>
      </w:r>
      <w:r w:rsidRPr="008C0093" w:rsidR="00F11949">
        <w:rPr>
          <w:sz w:val="24"/>
          <w:szCs w:val="24"/>
        </w:rPr>
        <w:t xml:space="preserve">, </w:t>
      </w:r>
      <w:r w:rsidRPr="1EAA3271" w:rsidR="2B1DE6D9">
        <w:rPr>
          <w:sz w:val="24"/>
          <w:szCs w:val="24"/>
        </w:rPr>
        <w:t xml:space="preserve">and </w:t>
      </w:r>
      <w:r w:rsidRPr="1EAA3271" w:rsidR="00940DF8">
        <w:rPr>
          <w:sz w:val="24"/>
          <w:szCs w:val="24"/>
        </w:rPr>
        <w:t>the disposition information</w:t>
      </w:r>
      <w:r w:rsidRPr="1EAA3271" w:rsidR="00A46C7F">
        <w:rPr>
          <w:sz w:val="24"/>
          <w:szCs w:val="24"/>
        </w:rPr>
        <w:t xml:space="preserve"> </w:t>
      </w:r>
      <w:r w:rsidRPr="1EAA3271" w:rsidR="2B1DE6D9">
        <w:rPr>
          <w:sz w:val="24"/>
          <w:szCs w:val="24"/>
        </w:rPr>
        <w:t xml:space="preserve">no later than </w:t>
      </w:r>
      <w:r w:rsidRPr="008C0093" w:rsidR="00F11949">
        <w:rPr>
          <w:sz w:val="24"/>
          <w:szCs w:val="24"/>
        </w:rPr>
        <w:t xml:space="preserve">seven days </w:t>
      </w:r>
      <w:r w:rsidRPr="1EAA3271" w:rsidR="3DE15AE0">
        <w:rPr>
          <w:sz w:val="24"/>
          <w:szCs w:val="24"/>
        </w:rPr>
        <w:t xml:space="preserve">following </w:t>
      </w:r>
      <w:r w:rsidRPr="1EAA3271" w:rsidR="00222A02">
        <w:rPr>
          <w:sz w:val="24"/>
          <w:szCs w:val="24"/>
        </w:rPr>
        <w:t xml:space="preserve">the </w:t>
      </w:r>
      <w:r w:rsidRPr="1EAA3271" w:rsidR="3DE15AE0">
        <w:rPr>
          <w:sz w:val="24"/>
          <w:szCs w:val="24"/>
        </w:rPr>
        <w:t xml:space="preserve">date </w:t>
      </w:r>
      <w:r w:rsidRPr="1EAA3271" w:rsidR="00222A02">
        <w:rPr>
          <w:sz w:val="24"/>
          <w:szCs w:val="24"/>
        </w:rPr>
        <w:t xml:space="preserve">on which </w:t>
      </w:r>
      <w:r w:rsidRPr="008C0093" w:rsidR="00F11949">
        <w:rPr>
          <w:sz w:val="24"/>
          <w:szCs w:val="24"/>
        </w:rPr>
        <w:t>the</w:t>
      </w:r>
      <w:r w:rsidRPr="1EAA3271" w:rsidR="00222A02">
        <w:rPr>
          <w:sz w:val="24"/>
          <w:szCs w:val="24"/>
        </w:rPr>
        <w:t>y</w:t>
      </w:r>
      <w:r w:rsidRPr="008C0093" w:rsidR="00F11949">
        <w:rPr>
          <w:sz w:val="24"/>
          <w:szCs w:val="24"/>
        </w:rPr>
        <w:t xml:space="preserve"> </w:t>
      </w:r>
      <w:r w:rsidRPr="1EAA3271" w:rsidR="00EE1CB8">
        <w:rPr>
          <w:sz w:val="24"/>
          <w:szCs w:val="24"/>
        </w:rPr>
        <w:t>s</w:t>
      </w:r>
      <w:r w:rsidRPr="1EAA3271" w:rsidR="00222A02">
        <w:rPr>
          <w:sz w:val="24"/>
          <w:szCs w:val="24"/>
        </w:rPr>
        <w:t>ell</w:t>
      </w:r>
      <w:r w:rsidRPr="1EAA3271" w:rsidR="00EE1CB8">
        <w:rPr>
          <w:sz w:val="24"/>
          <w:szCs w:val="24"/>
        </w:rPr>
        <w:t xml:space="preserve"> or other</w:t>
      </w:r>
      <w:r w:rsidRPr="1EAA3271" w:rsidR="00222A02">
        <w:rPr>
          <w:sz w:val="24"/>
          <w:szCs w:val="24"/>
        </w:rPr>
        <w:t>wise</w:t>
      </w:r>
      <w:r w:rsidRPr="1EAA3271" w:rsidR="00EE1CB8">
        <w:rPr>
          <w:sz w:val="24"/>
          <w:szCs w:val="24"/>
        </w:rPr>
        <w:t xml:space="preserve"> </w:t>
      </w:r>
      <w:r w:rsidRPr="1EAA3271" w:rsidR="00222A02">
        <w:rPr>
          <w:sz w:val="24"/>
          <w:szCs w:val="24"/>
        </w:rPr>
        <w:t xml:space="preserve">dispose </w:t>
      </w:r>
      <w:r w:rsidRPr="008C0093" w:rsidR="00F11949">
        <w:rPr>
          <w:sz w:val="24"/>
          <w:szCs w:val="24"/>
        </w:rPr>
        <w:t xml:space="preserve">of </w:t>
      </w:r>
      <w:r w:rsidRPr="1EAA3271" w:rsidR="00222A02">
        <w:rPr>
          <w:sz w:val="24"/>
          <w:szCs w:val="24"/>
        </w:rPr>
        <w:t xml:space="preserve">a given </w:t>
      </w:r>
      <w:r w:rsidRPr="008C0093" w:rsidR="00F11949">
        <w:rPr>
          <w:sz w:val="24"/>
          <w:szCs w:val="24"/>
        </w:rPr>
        <w:t xml:space="preserve">curio </w:t>
      </w:r>
      <w:r w:rsidRPr="1EAA3271" w:rsidR="00784EAE">
        <w:rPr>
          <w:sz w:val="24"/>
          <w:szCs w:val="24"/>
        </w:rPr>
        <w:t xml:space="preserve">or </w:t>
      </w:r>
      <w:r w:rsidRPr="008C0093" w:rsidR="00F11949">
        <w:rPr>
          <w:sz w:val="24"/>
          <w:szCs w:val="24"/>
        </w:rPr>
        <w:t>relic</w:t>
      </w:r>
      <w:r w:rsidRPr="008C0093" w:rsidR="00F11949">
        <w:rPr>
          <w:spacing w:val="1"/>
          <w:sz w:val="24"/>
          <w:szCs w:val="24"/>
        </w:rPr>
        <w:t xml:space="preserve"> </w:t>
      </w:r>
      <w:r w:rsidRPr="008C0093" w:rsidR="00F11949">
        <w:rPr>
          <w:sz w:val="24"/>
          <w:szCs w:val="24"/>
        </w:rPr>
        <w:t>firearm. These records must be maintained in bound form in the required</w:t>
      </w:r>
      <w:r w:rsidRPr="008C0093" w:rsidR="00F11949">
        <w:rPr>
          <w:spacing w:val="1"/>
          <w:sz w:val="24"/>
          <w:szCs w:val="24"/>
        </w:rPr>
        <w:t xml:space="preserve"> </w:t>
      </w:r>
      <w:r w:rsidRPr="008C0093" w:rsidR="00F11949">
        <w:rPr>
          <w:sz w:val="24"/>
          <w:szCs w:val="24"/>
        </w:rPr>
        <w:t>format.</w:t>
      </w:r>
      <w:r w:rsidR="00481173">
        <w:rPr>
          <w:sz w:val="24"/>
          <w:szCs w:val="24"/>
        </w:rPr>
        <w:t xml:space="preserve"> </w:t>
      </w:r>
      <w:r w:rsidRPr="1EAA3271" w:rsidR="0ADAF09D">
        <w:rPr>
          <w:sz w:val="24"/>
          <w:szCs w:val="24"/>
        </w:rPr>
        <w:t>However, in accordance with ATF Ruling 2016-1, licensed collectors m</w:t>
      </w:r>
      <w:r w:rsidRPr="1EAA3271" w:rsidR="00290C42">
        <w:rPr>
          <w:sz w:val="24"/>
          <w:szCs w:val="24"/>
        </w:rPr>
        <w:t>a</w:t>
      </w:r>
      <w:r w:rsidRPr="1EAA3271" w:rsidR="0ADAF09D">
        <w:rPr>
          <w:sz w:val="24"/>
          <w:szCs w:val="24"/>
        </w:rPr>
        <w:t>y keep the A&amp;D records electronically instead of in paper form.</w:t>
      </w:r>
      <w:r w:rsidRPr="008C0093" w:rsidR="00F11949">
        <w:rPr>
          <w:sz w:val="24"/>
          <w:szCs w:val="24"/>
        </w:rPr>
        <w:t xml:space="preserve"> </w:t>
      </w:r>
      <w:r w:rsidRPr="1EAA3271" w:rsidR="2F41F1C0">
        <w:rPr>
          <w:sz w:val="24"/>
          <w:szCs w:val="24"/>
        </w:rPr>
        <w:t>The record</w:t>
      </w:r>
      <w:r w:rsidRPr="1EAA3271" w:rsidR="00290C42">
        <w:rPr>
          <w:sz w:val="24"/>
          <w:szCs w:val="24"/>
        </w:rPr>
        <w:t>s</w:t>
      </w:r>
      <w:r w:rsidRPr="1EAA3271" w:rsidR="2F41F1C0">
        <w:rPr>
          <w:sz w:val="24"/>
          <w:szCs w:val="24"/>
        </w:rPr>
        <w:t xml:space="preserve"> </w:t>
      </w:r>
      <w:r w:rsidRPr="1EAA3271" w:rsidR="00290C42">
        <w:rPr>
          <w:sz w:val="24"/>
          <w:szCs w:val="24"/>
        </w:rPr>
        <w:t xml:space="preserve">must be retained </w:t>
      </w:r>
      <w:r w:rsidRPr="1EAA3271" w:rsidR="6F3A2049">
        <w:rPr>
          <w:sz w:val="24"/>
          <w:szCs w:val="24"/>
        </w:rPr>
        <w:t>until the business or l</w:t>
      </w:r>
      <w:r w:rsidRPr="1EAA3271" w:rsidR="2B8F5484">
        <w:rPr>
          <w:sz w:val="24"/>
          <w:szCs w:val="24"/>
        </w:rPr>
        <w:t>i</w:t>
      </w:r>
      <w:r w:rsidRPr="1EAA3271" w:rsidR="6F3A2049">
        <w:rPr>
          <w:sz w:val="24"/>
          <w:szCs w:val="24"/>
        </w:rPr>
        <w:t>censed activity is discontinued</w:t>
      </w:r>
      <w:r w:rsidRPr="1EAA3271" w:rsidR="00290C42">
        <w:rPr>
          <w:sz w:val="24"/>
          <w:szCs w:val="24"/>
        </w:rPr>
        <w:t>,</w:t>
      </w:r>
      <w:r w:rsidRPr="1EAA3271" w:rsidR="6F3A2049">
        <w:rPr>
          <w:sz w:val="24"/>
          <w:szCs w:val="24"/>
        </w:rPr>
        <w:t xml:space="preserve"> as required by</w:t>
      </w:r>
      <w:r w:rsidRPr="1EAA3271" w:rsidR="00290C42">
        <w:rPr>
          <w:sz w:val="24"/>
          <w:szCs w:val="24"/>
        </w:rPr>
        <w:t xml:space="preserve"> </w:t>
      </w:r>
      <w:r w:rsidRPr="1EAA3271" w:rsidR="3A184D46">
        <w:rPr>
          <w:sz w:val="24"/>
          <w:szCs w:val="24"/>
        </w:rPr>
        <w:t>27 CFR 478.129(e)</w:t>
      </w:r>
      <w:r w:rsidRPr="1EAA3271" w:rsidR="2F41F1C0">
        <w:rPr>
          <w:sz w:val="24"/>
          <w:szCs w:val="24"/>
        </w:rPr>
        <w:t>.</w:t>
      </w:r>
    </w:p>
    <w:p w:rsidR="00105A7E" w:rsidP="00063660" w14:paraId="7EFBCAD9" w14:textId="77777777">
      <w:pPr>
        <w:tabs>
          <w:tab w:val="left" w:pos="630"/>
          <w:tab w:val="left" w:pos="9338"/>
        </w:tabs>
        <w:spacing w:line="259" w:lineRule="auto"/>
        <w:rPr>
          <w:sz w:val="24"/>
          <w:szCs w:val="24"/>
        </w:rPr>
      </w:pPr>
    </w:p>
    <w:p w:rsidR="00105A7E" w:rsidRPr="008C0093" w:rsidP="00063660" w14:paraId="21E560C5" w14:textId="32FB3F90">
      <w:pPr>
        <w:tabs>
          <w:tab w:val="left" w:pos="630"/>
          <w:tab w:val="left" w:pos="9338"/>
        </w:tabs>
        <w:spacing w:line="259" w:lineRule="auto"/>
        <w:rPr>
          <w:sz w:val="24"/>
          <w:szCs w:val="24"/>
        </w:rPr>
      </w:pPr>
      <w:r w:rsidRPr="008C0093">
        <w:rPr>
          <w:sz w:val="24"/>
          <w:szCs w:val="24"/>
        </w:rPr>
        <w:t xml:space="preserve">ATF may use the collected information </w:t>
      </w:r>
      <w:r>
        <w:rPr>
          <w:sz w:val="24"/>
          <w:szCs w:val="24"/>
        </w:rPr>
        <w:t xml:space="preserve">during </w:t>
      </w:r>
      <w:r w:rsidRPr="008C0093">
        <w:rPr>
          <w:sz w:val="24"/>
          <w:szCs w:val="24"/>
        </w:rPr>
        <w:t>criminal investigations or</w:t>
      </w:r>
      <w:r w:rsidRPr="008C0093">
        <w:rPr>
          <w:spacing w:val="1"/>
          <w:sz w:val="24"/>
          <w:szCs w:val="24"/>
        </w:rPr>
        <w:t xml:space="preserve"> </w:t>
      </w:r>
      <w:r w:rsidRPr="008C0093">
        <w:rPr>
          <w:sz w:val="24"/>
          <w:szCs w:val="24"/>
        </w:rPr>
        <w:t>government inspections.</w:t>
      </w:r>
      <w:r>
        <w:rPr>
          <w:sz w:val="24"/>
          <w:szCs w:val="24"/>
        </w:rPr>
        <w:t xml:space="preserve"> </w:t>
      </w:r>
      <w:r w:rsidR="002A5585">
        <w:rPr>
          <w:sz w:val="24"/>
          <w:szCs w:val="24"/>
        </w:rPr>
        <w:t>The A&amp;D records of licensed dealers</w:t>
      </w:r>
      <w:r w:rsidRPr="165D93D4" w:rsidR="2FCE90F1">
        <w:rPr>
          <w:sz w:val="24"/>
          <w:szCs w:val="24"/>
        </w:rPr>
        <w:t>, pawnbrokers</w:t>
      </w:r>
      <w:r w:rsidR="00290C42">
        <w:rPr>
          <w:sz w:val="24"/>
          <w:szCs w:val="24"/>
        </w:rPr>
        <w:t>,</w:t>
      </w:r>
      <w:r w:rsidR="002A5585">
        <w:rPr>
          <w:sz w:val="24"/>
          <w:szCs w:val="24"/>
        </w:rPr>
        <w:t xml:space="preserve"> and collectors are</w:t>
      </w:r>
      <w:r w:rsidR="003055B4">
        <w:rPr>
          <w:sz w:val="24"/>
          <w:szCs w:val="24"/>
        </w:rPr>
        <w:t xml:space="preserve"> integral to tracing firearms during criminal investigations.</w:t>
      </w:r>
      <w:r w:rsidR="00481173">
        <w:rPr>
          <w:sz w:val="24"/>
          <w:szCs w:val="24"/>
        </w:rPr>
        <w:t xml:space="preserve"> </w:t>
      </w:r>
      <w:r w:rsidR="003055B4">
        <w:rPr>
          <w:sz w:val="24"/>
          <w:szCs w:val="24"/>
        </w:rPr>
        <w:t>These records are vital to ATF’s mission</w:t>
      </w:r>
      <w:r w:rsidR="0004513B">
        <w:rPr>
          <w:sz w:val="24"/>
          <w:szCs w:val="24"/>
        </w:rPr>
        <w:t xml:space="preserve"> to enforce the law and regulations and provide specific information not obtainable elsewhere.</w:t>
      </w:r>
      <w:r w:rsidR="002121BC">
        <w:rPr>
          <w:sz w:val="24"/>
          <w:szCs w:val="24"/>
        </w:rPr>
        <w:t xml:space="preserve"> </w:t>
      </w:r>
      <w:r w:rsidR="002B0567">
        <w:rPr>
          <w:sz w:val="24"/>
          <w:szCs w:val="24"/>
        </w:rPr>
        <w:t xml:space="preserve">The A&amp;D records are used during compliance inspections to ensure that </w:t>
      </w:r>
      <w:r w:rsidR="0083602C">
        <w:rPr>
          <w:sz w:val="24"/>
          <w:szCs w:val="24"/>
        </w:rPr>
        <w:t xml:space="preserve">the licensee’s </w:t>
      </w:r>
      <w:r w:rsidR="00527B95">
        <w:rPr>
          <w:sz w:val="24"/>
          <w:szCs w:val="24"/>
        </w:rPr>
        <w:t xml:space="preserve">firearm </w:t>
      </w:r>
      <w:r w:rsidR="0083602C">
        <w:rPr>
          <w:sz w:val="24"/>
          <w:szCs w:val="24"/>
        </w:rPr>
        <w:t xml:space="preserve">inventory </w:t>
      </w:r>
      <w:r w:rsidR="00527B95">
        <w:rPr>
          <w:sz w:val="24"/>
          <w:szCs w:val="24"/>
        </w:rPr>
        <w:t>has been</w:t>
      </w:r>
      <w:r w:rsidR="0083602C">
        <w:rPr>
          <w:sz w:val="24"/>
          <w:szCs w:val="24"/>
        </w:rPr>
        <w:t xml:space="preserve"> accurately accounted for</w:t>
      </w:r>
      <w:r w:rsidR="00527B95">
        <w:rPr>
          <w:sz w:val="24"/>
          <w:szCs w:val="24"/>
        </w:rPr>
        <w:t>.</w:t>
      </w:r>
      <w:r w:rsidR="00481173">
        <w:rPr>
          <w:sz w:val="24"/>
          <w:szCs w:val="24"/>
        </w:rPr>
        <w:t xml:space="preserve"> </w:t>
      </w:r>
      <w:r w:rsidR="002121BC">
        <w:rPr>
          <w:sz w:val="24"/>
          <w:szCs w:val="24"/>
        </w:rPr>
        <w:t>The uniformity of the records required by</w:t>
      </w:r>
      <w:r w:rsidR="00543BDC">
        <w:rPr>
          <w:sz w:val="24"/>
          <w:szCs w:val="24"/>
        </w:rPr>
        <w:t xml:space="preserve"> 27 CFR 478.125(e) and (f)</w:t>
      </w:r>
      <w:r w:rsidR="008B3FB2">
        <w:rPr>
          <w:sz w:val="24"/>
          <w:szCs w:val="24"/>
        </w:rPr>
        <w:t xml:space="preserve"> allows ATF compliance personnel to examine a licensee’s records with minimal interference </w:t>
      </w:r>
      <w:r w:rsidR="00290C42">
        <w:rPr>
          <w:sz w:val="24"/>
          <w:szCs w:val="24"/>
        </w:rPr>
        <w:t>to</w:t>
      </w:r>
      <w:r w:rsidR="008B3FB2">
        <w:rPr>
          <w:sz w:val="24"/>
          <w:szCs w:val="24"/>
        </w:rPr>
        <w:t xml:space="preserve"> the licensee’s normal business operation</w:t>
      </w:r>
      <w:r w:rsidR="00290C42">
        <w:rPr>
          <w:sz w:val="24"/>
          <w:szCs w:val="24"/>
        </w:rPr>
        <w:t>s</w:t>
      </w:r>
      <w:r w:rsidR="008B3FB2">
        <w:rPr>
          <w:sz w:val="24"/>
          <w:szCs w:val="24"/>
        </w:rPr>
        <w:t>.</w:t>
      </w:r>
    </w:p>
    <w:p w:rsidR="003245F2" w:rsidP="00252E27" w14:paraId="6DFCB7AF" w14:textId="77777777">
      <w:pPr>
        <w:pStyle w:val="BodyText"/>
        <w:tabs>
          <w:tab w:val="left" w:pos="9338"/>
        </w:tabs>
        <w:rPr>
          <w:sz w:val="21"/>
        </w:rPr>
      </w:pPr>
    </w:p>
    <w:p w:rsidR="003245F2" w:rsidRPr="00BE380B" w:rsidP="00252E27" w14:paraId="131FB72D" w14:textId="17AA829C">
      <w:pPr>
        <w:tabs>
          <w:tab w:val="left" w:pos="940"/>
          <w:tab w:val="left" w:pos="9338"/>
        </w:tabs>
        <w:rPr>
          <w:b/>
          <w:bCs/>
          <w:sz w:val="24"/>
        </w:rPr>
      </w:pPr>
      <w:r w:rsidRPr="00BE380B">
        <w:rPr>
          <w:b/>
          <w:bCs/>
          <w:sz w:val="24"/>
        </w:rPr>
        <w:t>3.</w:t>
      </w:r>
      <w:r w:rsidR="00481173">
        <w:rPr>
          <w:b/>
          <w:bCs/>
          <w:sz w:val="24"/>
        </w:rPr>
        <w:t xml:space="preserve"> </w:t>
      </w:r>
      <w:r>
        <w:rPr>
          <w:b/>
          <w:bCs/>
          <w:sz w:val="24"/>
        </w:rPr>
        <w:t>Describe whether, and to what extent, the informa</w:t>
      </w:r>
      <w:r w:rsidR="00B6295C">
        <w:rPr>
          <w:b/>
          <w:bCs/>
          <w:sz w:val="24"/>
        </w:rPr>
        <w:t xml:space="preserve">tion collection involves the use of automated, electronic, mechanical, or other technological collection techniques or other forms of information technology, e.g., </w:t>
      </w:r>
      <w:r w:rsidR="00A379BC">
        <w:rPr>
          <w:b/>
          <w:bCs/>
          <w:sz w:val="24"/>
        </w:rPr>
        <w:t>permitting electronic submission of responses, and the basis for the decision for adopting this means of collection.</w:t>
      </w:r>
    </w:p>
    <w:p w:rsidR="003245F2" w:rsidP="00252E27" w14:paraId="42C303E7" w14:textId="77777777">
      <w:pPr>
        <w:pStyle w:val="BodyText"/>
        <w:tabs>
          <w:tab w:val="left" w:pos="9338"/>
        </w:tabs>
      </w:pPr>
    </w:p>
    <w:p w:rsidR="00030AE5" w:rsidRPr="00030AE5" w:rsidP="00030AE5" w14:paraId="59D91F37" w14:textId="3B5362FA">
      <w:pPr>
        <w:pStyle w:val="BodyText"/>
        <w:tabs>
          <w:tab w:val="left" w:pos="9338"/>
        </w:tabs>
      </w:pPr>
      <w:r>
        <w:t>P</w:t>
      </w:r>
      <w:r w:rsidRPr="00030AE5">
        <w:t>ursuant to ATF Rul</w:t>
      </w:r>
      <w:r>
        <w:t>ing</w:t>
      </w:r>
      <w:r w:rsidRPr="00030AE5">
        <w:t xml:space="preserve"> 2016-1, </w:t>
      </w:r>
      <w:r>
        <w:t xml:space="preserve">licensed dealers, pawnbrokers, and collectors </w:t>
      </w:r>
      <w:r w:rsidR="00A55FBA">
        <w:t>are permitted to</w:t>
      </w:r>
      <w:r>
        <w:t xml:space="preserve"> </w:t>
      </w:r>
      <w:r w:rsidRPr="00030AE5">
        <w:t xml:space="preserve">maintain </w:t>
      </w:r>
      <w:r w:rsidR="0011443C">
        <w:t>A&amp;D</w:t>
      </w:r>
      <w:r w:rsidRPr="00030AE5">
        <w:t xml:space="preserve"> records electronically </w:t>
      </w:r>
      <w:r>
        <w:t>if they choose</w:t>
      </w:r>
      <w:r w:rsidRPr="00030AE5">
        <w:t>.</w:t>
      </w:r>
      <w:r w:rsidR="00481173">
        <w:t xml:space="preserve"> </w:t>
      </w:r>
      <w:r w:rsidRPr="00030AE5">
        <w:t xml:space="preserve">The </w:t>
      </w:r>
      <w:r w:rsidR="0011443C">
        <w:t xml:space="preserve">A&amp;D </w:t>
      </w:r>
      <w:r w:rsidRPr="00030AE5">
        <w:t>records are kept on the licensee’s business premise</w:t>
      </w:r>
      <w:r>
        <w:t>s in either electronic or paper form, and must be made available to ATF during an inspection or in response to a request, but do not have to be transmitted. As a result, there is no need for electronic or other technical submission methods</w:t>
      </w:r>
      <w:r w:rsidRPr="00030AE5">
        <w:t>.</w:t>
      </w:r>
    </w:p>
    <w:p w:rsidR="003245F2" w:rsidP="00252E27" w14:paraId="26DCABDE" w14:textId="77777777">
      <w:pPr>
        <w:pStyle w:val="BodyText"/>
        <w:tabs>
          <w:tab w:val="left" w:pos="9338"/>
        </w:tabs>
        <w:rPr>
          <w:sz w:val="22"/>
        </w:rPr>
      </w:pPr>
    </w:p>
    <w:p w:rsidR="003245F2" w:rsidRPr="00FD5C4F" w:rsidP="00252E27" w14:paraId="7ABA322C" w14:textId="2A4E41D4">
      <w:pPr>
        <w:tabs>
          <w:tab w:val="left" w:pos="940"/>
          <w:tab w:val="left" w:pos="9338"/>
        </w:tabs>
        <w:rPr>
          <w:sz w:val="24"/>
        </w:rPr>
      </w:pPr>
      <w:r>
        <w:rPr>
          <w:b/>
          <w:bCs/>
          <w:sz w:val="24"/>
        </w:rPr>
        <w:t>4.</w:t>
      </w:r>
      <w:r w:rsidR="00481173">
        <w:rPr>
          <w:b/>
          <w:bCs/>
          <w:sz w:val="24"/>
        </w:rPr>
        <w:t xml:space="preserve"> </w:t>
      </w:r>
      <w:r w:rsidRPr="00A93D06">
        <w:rPr>
          <w:b/>
          <w:bCs/>
          <w:sz w:val="24"/>
        </w:rPr>
        <w:t>Describe efforts to identify duplication.</w:t>
      </w:r>
    </w:p>
    <w:p w:rsidR="003245F2" w:rsidP="00252E27" w14:paraId="3EB06DC1" w14:textId="77777777">
      <w:pPr>
        <w:tabs>
          <w:tab w:val="left" w:pos="9338"/>
        </w:tabs>
        <w:rPr>
          <w:sz w:val="24"/>
        </w:rPr>
      </w:pPr>
    </w:p>
    <w:p w:rsidR="003245F2" w:rsidP="00252E27" w14:paraId="772EA79A" w14:textId="6A2D3D77">
      <w:pPr>
        <w:pStyle w:val="BodyText"/>
        <w:tabs>
          <w:tab w:val="left" w:pos="9338"/>
        </w:tabs>
      </w:pPr>
      <w:r>
        <w:t>The information collected pursuant to this ICR is not duplicated elsewhere. It consists of a continuously updated record of acquisition and disposition of firearms, and is maintained by the licensee on their premises, so there is no other source for the information.</w:t>
      </w:r>
      <w:r w:rsidR="00481173">
        <w:t xml:space="preserve">  </w:t>
      </w:r>
    </w:p>
    <w:p w:rsidR="003245F2" w:rsidP="00252E27" w14:paraId="53E0A84B" w14:textId="77777777">
      <w:pPr>
        <w:pStyle w:val="BodyText"/>
        <w:tabs>
          <w:tab w:val="left" w:pos="9338"/>
        </w:tabs>
        <w:rPr>
          <w:sz w:val="23"/>
        </w:rPr>
      </w:pPr>
    </w:p>
    <w:p w:rsidR="003245F2" w:rsidRPr="00A93D06" w:rsidP="00252E27" w14:paraId="6CA52E12" w14:textId="71BB2797">
      <w:pPr>
        <w:tabs>
          <w:tab w:val="left" w:pos="940"/>
          <w:tab w:val="left" w:pos="9338"/>
        </w:tabs>
        <w:rPr>
          <w:b/>
          <w:bCs/>
          <w:sz w:val="24"/>
        </w:rPr>
      </w:pPr>
      <w:r>
        <w:rPr>
          <w:b/>
          <w:bCs/>
          <w:sz w:val="24"/>
        </w:rPr>
        <w:t>5.</w:t>
      </w:r>
      <w:r w:rsidR="00481173">
        <w:rPr>
          <w:b/>
          <w:bCs/>
          <w:sz w:val="24"/>
        </w:rPr>
        <w:t xml:space="preserve"> </w:t>
      </w:r>
      <w:r>
        <w:rPr>
          <w:b/>
          <w:bCs/>
          <w:sz w:val="24"/>
        </w:rPr>
        <w:t>If the information collection impacts small businesses or other small entities, describe any methods used to minimize burden.</w:t>
      </w:r>
    </w:p>
    <w:p w:rsidR="003245F2" w:rsidP="00252E27" w14:paraId="17E546CD" w14:textId="77777777">
      <w:pPr>
        <w:pStyle w:val="BodyText"/>
        <w:tabs>
          <w:tab w:val="left" w:pos="9338"/>
        </w:tabs>
      </w:pPr>
    </w:p>
    <w:p w:rsidR="003245F2" w:rsidP="00252E27" w14:paraId="51D9ED6E" w14:textId="1447FA80">
      <w:pPr>
        <w:pStyle w:val="BodyText"/>
        <w:tabs>
          <w:tab w:val="left" w:pos="9338"/>
        </w:tabs>
      </w:pPr>
      <w:r>
        <w:t>This</w:t>
      </w:r>
      <w:r>
        <w:rPr>
          <w:spacing w:val="-2"/>
        </w:rPr>
        <w:t xml:space="preserve"> </w:t>
      </w:r>
      <w:r>
        <w:t>information</w:t>
      </w:r>
      <w:r>
        <w:rPr>
          <w:spacing w:val="-2"/>
        </w:rPr>
        <w:t xml:space="preserve"> </w:t>
      </w:r>
      <w:r w:rsidR="000E53AC">
        <w:rPr>
          <w:spacing w:val="-2"/>
        </w:rPr>
        <w:t>collection</w:t>
      </w:r>
      <w:r w:rsidR="00764609">
        <w:rPr>
          <w:spacing w:val="-2"/>
        </w:rPr>
        <w:t xml:space="preserve"> </w:t>
      </w:r>
      <w:r w:rsidR="00764609">
        <w:t>does not have a</w:t>
      </w:r>
      <w:r>
        <w:rPr>
          <w:spacing w:val="-1"/>
        </w:rPr>
        <w:t xml:space="preserve"> </w:t>
      </w:r>
      <w:r>
        <w:t>significant impact</w:t>
      </w:r>
      <w:r>
        <w:rPr>
          <w:spacing w:val="-1"/>
        </w:rPr>
        <w:t xml:space="preserve"> </w:t>
      </w:r>
      <w:r>
        <w:t>on</w:t>
      </w:r>
      <w:r>
        <w:rPr>
          <w:spacing w:val="-2"/>
        </w:rPr>
        <w:t xml:space="preserve"> </w:t>
      </w:r>
      <w:r>
        <w:t>small</w:t>
      </w:r>
      <w:r>
        <w:rPr>
          <w:spacing w:val="-1"/>
        </w:rPr>
        <w:t xml:space="preserve"> </w:t>
      </w:r>
      <w:r w:rsidR="00764609">
        <w:t>entities</w:t>
      </w:r>
      <w:r>
        <w:t>.</w:t>
      </w:r>
    </w:p>
    <w:p w:rsidR="003245F2" w:rsidP="00252E27" w14:paraId="30766F53" w14:textId="77777777">
      <w:pPr>
        <w:pStyle w:val="BodyText"/>
        <w:tabs>
          <w:tab w:val="left" w:pos="9338"/>
        </w:tabs>
      </w:pPr>
    </w:p>
    <w:p w:rsidR="003245F2" w:rsidRPr="002E11C6" w:rsidP="00252E27" w14:paraId="4A999F3D" w14:textId="4E281549">
      <w:pPr>
        <w:tabs>
          <w:tab w:val="left" w:pos="940"/>
          <w:tab w:val="left" w:pos="9338"/>
        </w:tabs>
        <w:rPr>
          <w:b/>
          <w:bCs/>
          <w:sz w:val="24"/>
        </w:rPr>
      </w:pPr>
      <w:r>
        <w:rPr>
          <w:b/>
          <w:bCs/>
          <w:sz w:val="24"/>
        </w:rPr>
        <w:t>6.</w:t>
      </w:r>
      <w:r w:rsidR="00481173">
        <w:rPr>
          <w:b/>
          <w:bCs/>
          <w:sz w:val="24"/>
        </w:rPr>
        <w:t xml:space="preserve"> </w:t>
      </w:r>
      <w:r>
        <w:rPr>
          <w:b/>
          <w:bCs/>
          <w:sz w:val="24"/>
        </w:rPr>
        <w:t>Describe the con</w:t>
      </w:r>
      <w:r w:rsidR="00667A94">
        <w:rPr>
          <w:b/>
          <w:bCs/>
          <w:sz w:val="24"/>
        </w:rPr>
        <w:t>sequence to federal program</w:t>
      </w:r>
      <w:r w:rsidR="004577B2">
        <w:rPr>
          <w:b/>
          <w:bCs/>
          <w:sz w:val="24"/>
        </w:rPr>
        <w:t>s</w:t>
      </w:r>
      <w:r w:rsidR="00667A94">
        <w:rPr>
          <w:b/>
          <w:bCs/>
          <w:sz w:val="24"/>
        </w:rPr>
        <w:t xml:space="preserve"> or policy activities if the collection is not conducted or is conducted less frequently, as well as</w:t>
      </w:r>
      <w:r w:rsidR="009C0600">
        <w:rPr>
          <w:b/>
          <w:bCs/>
          <w:sz w:val="24"/>
        </w:rPr>
        <w:t xml:space="preserve"> any technical or legal obstacles to reducing burden.</w:t>
      </w:r>
    </w:p>
    <w:p w:rsidR="00655729" w:rsidP="00252E27" w14:paraId="4271B150" w14:textId="77777777">
      <w:pPr>
        <w:pStyle w:val="ListParagraph"/>
        <w:tabs>
          <w:tab w:val="left" w:pos="940"/>
          <w:tab w:val="left" w:pos="9338"/>
        </w:tabs>
        <w:ind w:left="0" w:firstLine="0"/>
        <w:rPr>
          <w:sz w:val="24"/>
          <w:u w:val="none"/>
        </w:rPr>
      </w:pPr>
    </w:p>
    <w:p w:rsidR="003245F2" w:rsidP="00252E27" w14:paraId="027ECA12" w14:textId="6E5BB55E">
      <w:pPr>
        <w:pStyle w:val="BodyText"/>
        <w:tabs>
          <w:tab w:val="left" w:pos="9338"/>
        </w:tabs>
      </w:pPr>
      <w:r>
        <w:t xml:space="preserve">This information is collected to increase public safety, both by enabling licensees to account for firearms that might be missing or stolen, and by enabling ATF to trace firearms used in crimes. The information is collected by the licensee as the acquisition or disposition occurs, which is less burdensome for the licensee and best assures that the information will be accurate and up to date at any time it is inspected or needed to trace a firearm used in a crime. </w:t>
      </w:r>
      <w:r w:rsidR="00F11949">
        <w:t xml:space="preserve">Less frequent collection of this information would </w:t>
      </w:r>
      <w:r>
        <w:t xml:space="preserve">therefore </w:t>
      </w:r>
      <w:r w:rsidR="00A047F7">
        <w:t>threaten public safety</w:t>
      </w:r>
      <w:r>
        <w:t xml:space="preserve"> and hamper law enforcement operations, as well as create extra burdens for licensees who would have to remember the information until such time as they record it</w:t>
      </w:r>
      <w:r w:rsidR="00F11949">
        <w:t>.</w:t>
      </w:r>
    </w:p>
    <w:p w:rsidR="00076C68" w:rsidP="00252E27" w14:paraId="26F225B2" w14:textId="77777777">
      <w:pPr>
        <w:pStyle w:val="BodyText"/>
        <w:tabs>
          <w:tab w:val="left" w:pos="9338"/>
        </w:tabs>
      </w:pPr>
    </w:p>
    <w:p w:rsidR="003245F2" w:rsidP="00252E27" w14:paraId="551ABF06" w14:textId="37969523">
      <w:pPr>
        <w:tabs>
          <w:tab w:val="left" w:pos="940"/>
          <w:tab w:val="left" w:pos="9338"/>
        </w:tabs>
        <w:rPr>
          <w:b/>
          <w:bCs/>
          <w:sz w:val="24"/>
        </w:rPr>
      </w:pPr>
      <w:r>
        <w:rPr>
          <w:b/>
          <w:bCs/>
          <w:sz w:val="24"/>
        </w:rPr>
        <w:t>7.</w:t>
      </w:r>
      <w:r w:rsidR="00481173">
        <w:rPr>
          <w:b/>
          <w:bCs/>
          <w:sz w:val="24"/>
        </w:rPr>
        <w:t xml:space="preserve"> </w:t>
      </w:r>
      <w:r>
        <w:rPr>
          <w:b/>
          <w:bCs/>
          <w:sz w:val="24"/>
        </w:rPr>
        <w:t xml:space="preserve">Explain any </w:t>
      </w:r>
      <w:r w:rsidRPr="009C0600">
        <w:rPr>
          <w:b/>
          <w:bCs/>
          <w:sz w:val="24"/>
        </w:rPr>
        <w:t>special</w:t>
      </w:r>
      <w:r w:rsidRPr="009C0600">
        <w:rPr>
          <w:b/>
          <w:bCs/>
          <w:spacing w:val="-9"/>
          <w:sz w:val="24"/>
        </w:rPr>
        <w:t xml:space="preserve"> </w:t>
      </w:r>
      <w:r w:rsidRPr="009C0600">
        <w:rPr>
          <w:b/>
          <w:bCs/>
          <w:sz w:val="24"/>
        </w:rPr>
        <w:t>circumstances</w:t>
      </w:r>
      <w:r>
        <w:rPr>
          <w:b/>
          <w:bCs/>
          <w:sz w:val="24"/>
        </w:rPr>
        <w:t xml:space="preserve"> that would cause the information collection to be conducted in a manner inconsistent with 5 CFR 1320.6.</w:t>
      </w:r>
    </w:p>
    <w:p w:rsidR="00655729" w:rsidP="00252E27" w14:paraId="7AA5B689" w14:textId="77777777">
      <w:pPr>
        <w:pStyle w:val="ListParagraph"/>
        <w:tabs>
          <w:tab w:val="left" w:pos="940"/>
          <w:tab w:val="left" w:pos="9338"/>
        </w:tabs>
        <w:ind w:left="0" w:firstLine="0"/>
        <w:rPr>
          <w:sz w:val="24"/>
          <w:u w:val="none"/>
        </w:rPr>
      </w:pPr>
    </w:p>
    <w:p w:rsidR="003245F2" w:rsidP="00252E27" w14:paraId="7E1F22A5" w14:textId="2BD3EF91">
      <w:pPr>
        <w:pStyle w:val="BodyText"/>
        <w:tabs>
          <w:tab w:val="left" w:pos="9338"/>
        </w:tabs>
      </w:pPr>
      <w:r>
        <w:t>Federal firearms licensees must retain the</w:t>
      </w:r>
      <w:r w:rsidRPr="009B2C51">
        <w:t xml:space="preserve"> information collected pursuant to this ICR as part of their permanent records until the</w:t>
      </w:r>
      <w:r>
        <w:t>y discontinue the</w:t>
      </w:r>
      <w:r w:rsidRPr="009B2C51">
        <w:t xml:space="preserve"> business or licensed activity, as required by 27 CFR 478.129(e).</w:t>
      </w:r>
      <w:r>
        <w:t xml:space="preserve"> </w:t>
      </w:r>
      <w:r w:rsidR="00F11949">
        <w:t>There</w:t>
      </w:r>
      <w:r w:rsidR="00F11949">
        <w:rPr>
          <w:spacing w:val="-7"/>
        </w:rPr>
        <w:t xml:space="preserve"> </w:t>
      </w:r>
      <w:r w:rsidR="00F11949">
        <w:t>are</w:t>
      </w:r>
      <w:r w:rsidR="00F11949">
        <w:rPr>
          <w:spacing w:val="-8"/>
        </w:rPr>
        <w:t xml:space="preserve"> </w:t>
      </w:r>
      <w:r w:rsidR="00F11949">
        <w:t>no</w:t>
      </w:r>
      <w:r w:rsidR="00F11949">
        <w:rPr>
          <w:spacing w:val="-7"/>
        </w:rPr>
        <w:t xml:space="preserve"> </w:t>
      </w:r>
      <w:r>
        <w:rPr>
          <w:spacing w:val="-7"/>
        </w:rPr>
        <w:t xml:space="preserve">other </w:t>
      </w:r>
      <w:r w:rsidR="00F11949">
        <w:t>special</w:t>
      </w:r>
      <w:r w:rsidR="00F11949">
        <w:rPr>
          <w:spacing w:val="-7"/>
        </w:rPr>
        <w:t xml:space="preserve"> </w:t>
      </w:r>
      <w:r w:rsidR="00F11949">
        <w:t>cir</w:t>
      </w:r>
      <w:r w:rsidR="00FA6DA9">
        <w:t>cu</w:t>
      </w:r>
      <w:r w:rsidR="00F11949">
        <w:t>mstances</w:t>
      </w:r>
      <w:r w:rsidR="00F11949">
        <w:rPr>
          <w:spacing w:val="-7"/>
        </w:rPr>
        <w:t xml:space="preserve"> </w:t>
      </w:r>
      <w:r w:rsidR="00F11949">
        <w:t>associated</w:t>
      </w:r>
      <w:r w:rsidR="00F11949">
        <w:rPr>
          <w:spacing w:val="-8"/>
        </w:rPr>
        <w:t xml:space="preserve"> </w:t>
      </w:r>
      <w:r w:rsidR="00F11949">
        <w:t>with</w:t>
      </w:r>
      <w:r w:rsidR="00F11949">
        <w:rPr>
          <w:spacing w:val="-7"/>
        </w:rPr>
        <w:t xml:space="preserve"> </w:t>
      </w:r>
      <w:r w:rsidR="00F11949">
        <w:t>this</w:t>
      </w:r>
      <w:r w:rsidR="00F11949">
        <w:rPr>
          <w:spacing w:val="-7"/>
        </w:rPr>
        <w:t xml:space="preserve"> </w:t>
      </w:r>
      <w:r w:rsidR="00790868">
        <w:rPr>
          <w:spacing w:val="-7"/>
        </w:rPr>
        <w:t xml:space="preserve">information </w:t>
      </w:r>
      <w:r w:rsidR="00F11949">
        <w:t>collection.</w:t>
      </w:r>
    </w:p>
    <w:p w:rsidR="00655729" w:rsidP="00252E27" w14:paraId="36CBE449" w14:textId="77777777">
      <w:pPr>
        <w:pStyle w:val="BodyText"/>
        <w:tabs>
          <w:tab w:val="left" w:pos="9338"/>
        </w:tabs>
      </w:pPr>
    </w:p>
    <w:p w:rsidR="003245F2" w:rsidRPr="00FA1685" w:rsidP="00252E27" w14:paraId="0B810024" w14:textId="191135D6">
      <w:pPr>
        <w:tabs>
          <w:tab w:val="left" w:pos="940"/>
          <w:tab w:val="left" w:pos="9338"/>
        </w:tabs>
        <w:rPr>
          <w:b/>
          <w:bCs/>
          <w:iCs/>
          <w:sz w:val="24"/>
        </w:rPr>
      </w:pPr>
      <w:r>
        <w:rPr>
          <w:b/>
          <w:bCs/>
          <w:sz w:val="24"/>
        </w:rPr>
        <w:t>8.</w:t>
      </w:r>
      <w:r w:rsidR="00481173">
        <w:rPr>
          <w:b/>
          <w:bCs/>
          <w:sz w:val="24"/>
        </w:rPr>
        <w:t xml:space="preserve"> </w:t>
      </w:r>
      <w:r w:rsidR="00F07BFB">
        <w:rPr>
          <w:b/>
          <w:bCs/>
          <w:sz w:val="24"/>
        </w:rPr>
        <w:t xml:space="preserve">If applicable, provide a copy and identify the date and page number of publication in the </w:t>
      </w:r>
      <w:r w:rsidR="00F07BFB">
        <w:rPr>
          <w:b/>
          <w:bCs/>
          <w:i/>
          <w:iCs/>
          <w:sz w:val="24"/>
        </w:rPr>
        <w:t>Federal Register</w:t>
      </w:r>
      <w:r w:rsidR="00F07BFB">
        <w:rPr>
          <w:b/>
          <w:bCs/>
          <w:i/>
          <w:sz w:val="24"/>
        </w:rPr>
        <w:t xml:space="preserve"> </w:t>
      </w:r>
      <w:r w:rsidR="00FA1685">
        <w:rPr>
          <w:b/>
          <w:bCs/>
          <w:iCs/>
          <w:sz w:val="24"/>
        </w:rPr>
        <w:t>of the agency’s notice, required by 5 CFR 1320.8(d), soliciting comments on the information collection prior to submission to OMB.</w:t>
      </w:r>
    </w:p>
    <w:p w:rsidR="003245F2" w:rsidP="00252E27" w14:paraId="6EEF23A4" w14:textId="77777777">
      <w:pPr>
        <w:pStyle w:val="BodyText"/>
        <w:tabs>
          <w:tab w:val="left" w:pos="9338"/>
        </w:tabs>
        <w:rPr>
          <w:sz w:val="26"/>
        </w:rPr>
      </w:pPr>
    </w:p>
    <w:p w:rsidR="003245F2" w:rsidRPr="0052118C" w:rsidP="00252E27" w14:paraId="67373E1E" w14:textId="4F49BB7A">
      <w:pPr>
        <w:pStyle w:val="BodyText"/>
        <w:tabs>
          <w:tab w:val="left" w:pos="8550"/>
          <w:tab w:val="left" w:pos="9338"/>
        </w:tabs>
      </w:pPr>
      <w:r>
        <w:t xml:space="preserve">The 60-day notice was published in the </w:t>
      </w:r>
      <w:r>
        <w:rPr>
          <w:i/>
          <w:iCs/>
        </w:rPr>
        <w:t>Federal Register</w:t>
      </w:r>
      <w:r>
        <w:t xml:space="preserve"> on</w:t>
      </w:r>
      <w:r w:rsidR="00481173">
        <w:t xml:space="preserve"> </w:t>
      </w:r>
      <w:r w:rsidRPr="00481173">
        <w:rPr>
          <w:highlight w:val="yellow"/>
        </w:rPr>
        <w:t>[</w:t>
      </w:r>
      <w:r w:rsidRPr="00481173" w:rsidR="00DA7D49">
        <w:rPr>
          <w:highlight w:val="yellow"/>
        </w:rPr>
        <w:t xml:space="preserve">xx/xx/xx] </w:t>
      </w:r>
      <w:r w:rsidRPr="00481173" w:rsidR="004721A2">
        <w:rPr>
          <w:highlight w:val="yellow"/>
        </w:rPr>
        <w:t>(XX FR XXXXX)</w:t>
      </w:r>
      <w:r w:rsidR="004721A2">
        <w:t>.</w:t>
      </w:r>
      <w:r w:rsidR="003A683F">
        <w:t xml:space="preserve"> The comment period ended on </w:t>
      </w:r>
      <w:r w:rsidRPr="00481173" w:rsidR="003A683F">
        <w:rPr>
          <w:highlight w:val="yellow"/>
        </w:rPr>
        <w:t>[xx/xx/xx]</w:t>
      </w:r>
      <w:r w:rsidR="00076C68">
        <w:t>.</w:t>
      </w:r>
      <w:r w:rsidR="00481173">
        <w:t xml:space="preserve"> </w:t>
      </w:r>
      <w:r w:rsidR="00076C68">
        <w:t xml:space="preserve">ATF received </w:t>
      </w:r>
      <w:r w:rsidRPr="00481173" w:rsidR="00076C68">
        <w:t>no</w:t>
      </w:r>
      <w:r w:rsidR="00076C68">
        <w:t xml:space="preserve"> comments.</w:t>
      </w:r>
    </w:p>
    <w:p w:rsidR="003245F2" w:rsidP="00252E27" w14:paraId="4D56E255" w14:textId="77777777">
      <w:pPr>
        <w:pStyle w:val="BodyText"/>
        <w:tabs>
          <w:tab w:val="left" w:pos="8550"/>
          <w:tab w:val="left" w:pos="9338"/>
        </w:tabs>
        <w:rPr>
          <w:sz w:val="26"/>
        </w:rPr>
      </w:pPr>
    </w:p>
    <w:p w:rsidR="00655729" w:rsidP="00252E27" w14:paraId="30FE8689" w14:textId="1B318C19">
      <w:pPr>
        <w:tabs>
          <w:tab w:val="left" w:pos="940"/>
          <w:tab w:val="left" w:pos="9338"/>
        </w:tabs>
        <w:rPr>
          <w:b/>
          <w:bCs/>
          <w:sz w:val="24"/>
        </w:rPr>
      </w:pPr>
      <w:r>
        <w:rPr>
          <w:b/>
          <w:bCs/>
          <w:sz w:val="24"/>
        </w:rPr>
        <w:t>9.</w:t>
      </w:r>
      <w:r w:rsidR="00481173">
        <w:rPr>
          <w:b/>
          <w:bCs/>
          <w:sz w:val="24"/>
        </w:rPr>
        <w:t xml:space="preserve"> </w:t>
      </w:r>
      <w:r>
        <w:rPr>
          <w:b/>
          <w:bCs/>
          <w:sz w:val="24"/>
        </w:rPr>
        <w:t>Explain any decision to provide any payments or gifts to respondents, other than remuneration of contractors or grantees.</w:t>
      </w:r>
    </w:p>
    <w:p w:rsidR="008408BD" w:rsidRPr="00FA1685" w:rsidP="00252E27" w14:paraId="6198D051" w14:textId="77777777">
      <w:pPr>
        <w:tabs>
          <w:tab w:val="left" w:pos="940"/>
          <w:tab w:val="left" w:pos="9338"/>
        </w:tabs>
        <w:rPr>
          <w:b/>
          <w:bCs/>
          <w:sz w:val="24"/>
        </w:rPr>
      </w:pPr>
    </w:p>
    <w:p w:rsidR="003245F2" w:rsidP="008408BD" w14:paraId="1935C421" w14:textId="739A290C">
      <w:pPr>
        <w:tabs>
          <w:tab w:val="left" w:pos="940"/>
          <w:tab w:val="left" w:pos="9338"/>
        </w:tabs>
        <w:rPr>
          <w:sz w:val="24"/>
        </w:rPr>
      </w:pPr>
      <w:r w:rsidRPr="00ED4ABD">
        <w:rPr>
          <w:sz w:val="24"/>
        </w:rPr>
        <w:t>No payment or</w:t>
      </w:r>
      <w:r w:rsidRPr="00ED4ABD">
        <w:rPr>
          <w:spacing w:val="1"/>
          <w:sz w:val="24"/>
        </w:rPr>
        <w:t xml:space="preserve"> </w:t>
      </w:r>
      <w:r w:rsidRPr="00ED4ABD">
        <w:rPr>
          <w:sz w:val="24"/>
        </w:rPr>
        <w:t>gift is associated</w:t>
      </w:r>
      <w:r w:rsidRPr="00ED4ABD">
        <w:rPr>
          <w:spacing w:val="-1"/>
          <w:sz w:val="24"/>
        </w:rPr>
        <w:t xml:space="preserve"> </w:t>
      </w:r>
      <w:r w:rsidRPr="00ED4ABD">
        <w:rPr>
          <w:sz w:val="24"/>
        </w:rPr>
        <w:t>with this</w:t>
      </w:r>
      <w:r w:rsidRPr="00ED4ABD">
        <w:rPr>
          <w:spacing w:val="2"/>
          <w:sz w:val="24"/>
        </w:rPr>
        <w:t xml:space="preserve"> </w:t>
      </w:r>
      <w:r w:rsidR="008408BD">
        <w:rPr>
          <w:spacing w:val="2"/>
          <w:sz w:val="24"/>
        </w:rPr>
        <w:t xml:space="preserve">information </w:t>
      </w:r>
      <w:r w:rsidRPr="00ED4ABD" w:rsidR="00655729">
        <w:rPr>
          <w:sz w:val="24"/>
        </w:rPr>
        <w:t>collection</w:t>
      </w:r>
      <w:r w:rsidRPr="00ED4ABD">
        <w:rPr>
          <w:sz w:val="24"/>
        </w:rPr>
        <w:t>.</w:t>
      </w:r>
    </w:p>
    <w:p w:rsidR="008408BD" w:rsidRPr="00ED4ABD" w:rsidP="00252E27" w14:paraId="5D12ACDF" w14:textId="77777777">
      <w:pPr>
        <w:tabs>
          <w:tab w:val="left" w:pos="940"/>
          <w:tab w:val="left" w:pos="9338"/>
        </w:tabs>
        <w:rPr>
          <w:sz w:val="24"/>
        </w:rPr>
      </w:pPr>
    </w:p>
    <w:p w:rsidR="003245F2" w:rsidRPr="00FA1685" w:rsidP="00252E27" w14:paraId="3EB1D305" w14:textId="44AF0596">
      <w:pPr>
        <w:tabs>
          <w:tab w:val="left" w:pos="940"/>
          <w:tab w:val="left" w:pos="9338"/>
        </w:tabs>
        <w:rPr>
          <w:b/>
          <w:bCs/>
          <w:sz w:val="24"/>
        </w:rPr>
      </w:pPr>
      <w:r>
        <w:rPr>
          <w:b/>
          <w:bCs/>
          <w:sz w:val="24"/>
        </w:rPr>
        <w:t>10.</w:t>
      </w:r>
      <w:r w:rsidR="00481173">
        <w:rPr>
          <w:b/>
          <w:bCs/>
          <w:sz w:val="24"/>
        </w:rPr>
        <w:t xml:space="preserve"> </w:t>
      </w:r>
      <w:r w:rsidR="00DE5BA2">
        <w:rPr>
          <w:b/>
          <w:bCs/>
          <w:sz w:val="24"/>
        </w:rPr>
        <w:t xml:space="preserve">Describe any </w:t>
      </w:r>
      <w:r w:rsidRPr="00FA1685" w:rsidR="00DE5BA2">
        <w:rPr>
          <w:b/>
          <w:bCs/>
          <w:sz w:val="24"/>
        </w:rPr>
        <w:t>assurance</w:t>
      </w:r>
      <w:r w:rsidRPr="00FA1685" w:rsidR="00DE5BA2">
        <w:rPr>
          <w:b/>
          <w:bCs/>
          <w:spacing w:val="-4"/>
          <w:sz w:val="24"/>
        </w:rPr>
        <w:t xml:space="preserve"> </w:t>
      </w:r>
      <w:r w:rsidRPr="00FA1685" w:rsidR="00DE5BA2">
        <w:rPr>
          <w:b/>
          <w:bCs/>
          <w:sz w:val="24"/>
        </w:rPr>
        <w:t>of</w:t>
      </w:r>
      <w:r w:rsidRPr="00FA1685" w:rsidR="00DE5BA2">
        <w:rPr>
          <w:b/>
          <w:bCs/>
          <w:spacing w:val="-8"/>
          <w:sz w:val="24"/>
        </w:rPr>
        <w:t xml:space="preserve"> </w:t>
      </w:r>
      <w:r w:rsidRPr="00FA1685" w:rsidR="00DE5BA2">
        <w:rPr>
          <w:b/>
          <w:bCs/>
          <w:sz w:val="24"/>
        </w:rPr>
        <w:t>confidentiality</w:t>
      </w:r>
      <w:r w:rsidR="00DE5BA2">
        <w:rPr>
          <w:b/>
          <w:bCs/>
          <w:sz w:val="24"/>
        </w:rPr>
        <w:t xml:space="preserve"> provided to respondents and the basis for the assurance in statute, regulation, or agency policy.</w:t>
      </w:r>
    </w:p>
    <w:p w:rsidR="00655729" w:rsidP="00252E27" w14:paraId="0EC5B19A" w14:textId="77777777">
      <w:pPr>
        <w:pStyle w:val="ListParagraph"/>
        <w:tabs>
          <w:tab w:val="left" w:pos="940"/>
          <w:tab w:val="left" w:pos="9338"/>
        </w:tabs>
        <w:ind w:left="0" w:firstLine="0"/>
        <w:rPr>
          <w:sz w:val="24"/>
          <w:u w:val="none"/>
        </w:rPr>
      </w:pPr>
    </w:p>
    <w:p w:rsidR="00D12957" w:rsidP="00252E27" w14:paraId="4F368404" w14:textId="2BA871BA">
      <w:pPr>
        <w:pStyle w:val="BodyText"/>
        <w:tabs>
          <w:tab w:val="left" w:pos="9338"/>
        </w:tabs>
      </w:pPr>
      <w:r w:rsidRPr="00481173">
        <w:rPr>
          <w:spacing w:val="-57"/>
        </w:rPr>
        <w:t xml:space="preserve">            </w:t>
      </w:r>
      <w:r w:rsidRPr="00481173" w:rsidR="00817F6A">
        <w:t>ATF has not assured respondents of confidentiality</w:t>
      </w:r>
      <w:r w:rsidRPr="00481173" w:rsidR="006B7945">
        <w:t>.</w:t>
      </w:r>
      <w:r w:rsidRPr="00481173">
        <w:t xml:space="preserve"> </w:t>
      </w:r>
      <w:r w:rsidRPr="00481173" w:rsidR="006B7945">
        <w:t>However, the information being collected includes PII and is thus protected by the Privacy</w:t>
      </w:r>
      <w:r w:rsidRPr="00481173" w:rsidR="002A2229">
        <w:t xml:space="preserve"> Act.</w:t>
      </w:r>
      <w:r w:rsidRPr="00481173" w:rsidR="003501D8">
        <w:t xml:space="preserve"> The information is maintained by ATF in </w:t>
      </w:r>
      <w:r w:rsidRPr="00481173" w:rsidR="008C08F4">
        <w:t xml:space="preserve">a </w:t>
      </w:r>
      <w:r w:rsidRPr="00481173" w:rsidR="003501D8">
        <w:t>system of records, Justice/ATF-003, Regulatory Enforcement Record System.</w:t>
      </w:r>
      <w:r w:rsidRPr="00481173" w:rsidR="008505DA">
        <w:t xml:space="preserve"> The associated Privacy Act statement is located on ATF’s website.</w:t>
      </w:r>
    </w:p>
    <w:p w:rsidR="003245F2" w:rsidP="00252E27" w14:paraId="642693B5" w14:textId="77777777">
      <w:pPr>
        <w:pStyle w:val="BodyText"/>
        <w:tabs>
          <w:tab w:val="left" w:pos="9338"/>
        </w:tabs>
        <w:rPr>
          <w:sz w:val="23"/>
        </w:rPr>
      </w:pPr>
    </w:p>
    <w:p w:rsidR="003245F2" w:rsidRPr="00DE5BA2" w:rsidP="00252E27" w14:paraId="36FD817D" w14:textId="221BEFF8">
      <w:pPr>
        <w:tabs>
          <w:tab w:val="left" w:pos="940"/>
          <w:tab w:val="left" w:pos="9338"/>
        </w:tabs>
        <w:rPr>
          <w:b/>
          <w:bCs/>
          <w:sz w:val="24"/>
        </w:rPr>
      </w:pPr>
      <w:r>
        <w:rPr>
          <w:b/>
          <w:bCs/>
          <w:sz w:val="24"/>
        </w:rPr>
        <w:t>11.</w:t>
      </w:r>
      <w:r w:rsidR="00481173">
        <w:rPr>
          <w:b/>
          <w:bCs/>
          <w:sz w:val="24"/>
        </w:rPr>
        <w:t xml:space="preserve"> </w:t>
      </w:r>
      <w:r>
        <w:rPr>
          <w:b/>
          <w:bCs/>
          <w:sz w:val="24"/>
        </w:rPr>
        <w:t>Provide additional justification for any questions of a sen</w:t>
      </w:r>
      <w:r w:rsidR="00D94295">
        <w:rPr>
          <w:b/>
          <w:bCs/>
          <w:sz w:val="24"/>
        </w:rPr>
        <w:t xml:space="preserve">sitive nature, such as sexual </w:t>
      </w:r>
      <w:r w:rsidR="00D94295">
        <w:rPr>
          <w:b/>
          <w:bCs/>
          <w:sz w:val="24"/>
        </w:rPr>
        <w:t>behavior and attitudes, religious beliefs, and other matters that are commonly considered private.</w:t>
      </w:r>
    </w:p>
    <w:p w:rsidR="003245F2" w:rsidP="00252E27" w14:paraId="365D601E" w14:textId="77777777">
      <w:pPr>
        <w:pStyle w:val="BodyText"/>
        <w:tabs>
          <w:tab w:val="left" w:pos="9338"/>
        </w:tabs>
        <w:rPr>
          <w:sz w:val="23"/>
        </w:rPr>
      </w:pPr>
    </w:p>
    <w:p w:rsidR="003245F2" w:rsidP="00252E27" w14:paraId="373D3238" w14:textId="7E240FA6">
      <w:pPr>
        <w:pStyle w:val="BodyText"/>
        <w:tabs>
          <w:tab w:val="left" w:pos="9338"/>
        </w:tabs>
      </w:pPr>
      <w:r>
        <w:t>This information collection does not ask questions or require information of a sensitive nature.</w:t>
      </w:r>
    </w:p>
    <w:p w:rsidR="003245F2" w:rsidP="00252E27" w14:paraId="41BC6795" w14:textId="77777777">
      <w:pPr>
        <w:pStyle w:val="BodyText"/>
        <w:tabs>
          <w:tab w:val="left" w:pos="9338"/>
        </w:tabs>
      </w:pPr>
    </w:p>
    <w:p w:rsidR="003245F2" w:rsidP="00252E27" w14:paraId="73DEA5C7" w14:textId="1CF970FF">
      <w:pPr>
        <w:tabs>
          <w:tab w:val="left" w:pos="940"/>
          <w:tab w:val="left" w:pos="9338"/>
        </w:tabs>
        <w:rPr>
          <w:b/>
          <w:bCs/>
          <w:sz w:val="24"/>
        </w:rPr>
      </w:pPr>
      <w:r>
        <w:rPr>
          <w:b/>
          <w:bCs/>
          <w:sz w:val="24"/>
        </w:rPr>
        <w:t>12.</w:t>
      </w:r>
      <w:r w:rsidR="00481173">
        <w:rPr>
          <w:b/>
          <w:bCs/>
          <w:sz w:val="24"/>
        </w:rPr>
        <w:t xml:space="preserve"> </w:t>
      </w:r>
      <w:r w:rsidR="00D83021">
        <w:rPr>
          <w:b/>
          <w:bCs/>
          <w:sz w:val="24"/>
        </w:rPr>
        <w:t>Provide estimates of the information collection’s hour burden.</w:t>
      </w:r>
    </w:p>
    <w:p w:rsidR="00A16118" w:rsidP="00252E27" w14:paraId="67AEA4A4" w14:textId="77777777">
      <w:pPr>
        <w:tabs>
          <w:tab w:val="left" w:pos="940"/>
          <w:tab w:val="left" w:pos="9338"/>
        </w:tabs>
        <w:rPr>
          <w:b/>
          <w:bCs/>
          <w:sz w:val="24"/>
        </w:rPr>
      </w:pPr>
    </w:p>
    <w:p w:rsidR="000613DE" w:rsidP="00252E27" w14:paraId="223313C9" w14:textId="69B5F5A2">
      <w:pPr>
        <w:pStyle w:val="BodyText"/>
        <w:tabs>
          <w:tab w:val="left" w:pos="720"/>
          <w:tab w:val="left" w:pos="9338"/>
        </w:tabs>
        <w:rPr>
          <w:sz w:val="32"/>
        </w:rPr>
      </w:pPr>
      <w:r>
        <w:t xml:space="preserve">Based </w:t>
      </w:r>
      <w:r w:rsidR="00D03E73">
        <w:t xml:space="preserve">on the </w:t>
      </w:r>
      <w:r w:rsidR="00D26558">
        <w:t xml:space="preserve">number </w:t>
      </w:r>
      <w:r w:rsidR="009D5369">
        <w:t>of Type</w:t>
      </w:r>
      <w:r w:rsidR="00481173">
        <w:t xml:space="preserve"> </w:t>
      </w:r>
      <w:r w:rsidR="009D5369">
        <w:t>1, Type</w:t>
      </w:r>
      <w:r w:rsidR="00481173">
        <w:t xml:space="preserve"> </w:t>
      </w:r>
      <w:r w:rsidR="009D5369">
        <w:t>2, and Type 3 FFLs, t</w:t>
      </w:r>
      <w:r w:rsidRPr="00E73E33" w:rsidR="00F11949">
        <w:t xml:space="preserve">here are </w:t>
      </w:r>
      <w:r w:rsidRPr="00E73E33" w:rsidR="007B1CF5">
        <w:t>1</w:t>
      </w:r>
      <w:r w:rsidR="007B1CF5">
        <w:t>02,555</w:t>
      </w:r>
      <w:r w:rsidRPr="00E73E33" w:rsidR="00F11949">
        <w:t xml:space="preserve"> </w:t>
      </w:r>
      <w:r w:rsidR="004567D1">
        <w:t>potential licensee</w:t>
      </w:r>
      <w:r w:rsidR="00674E8F">
        <w:t xml:space="preserve">s that </w:t>
      </w:r>
      <w:r w:rsidR="00124B03">
        <w:t>would be required to keep these records</w:t>
      </w:r>
      <w:r w:rsidR="00674E8F">
        <w:t xml:space="preserve">. </w:t>
      </w:r>
      <w:r w:rsidR="00124B03">
        <w:t>However,</w:t>
      </w:r>
      <w:r w:rsidR="00C31E6E">
        <w:t xml:space="preserve"> the vast majority of</w:t>
      </w:r>
      <w:r w:rsidR="00C31E6E">
        <w:t xml:space="preserve"> </w:t>
      </w:r>
      <w:r w:rsidR="00124B03">
        <w:t xml:space="preserve">these </w:t>
      </w:r>
      <w:r w:rsidR="00C31E6E">
        <w:t xml:space="preserve">FFLs </w:t>
      </w:r>
      <w:r w:rsidR="00CD1F3F">
        <w:t xml:space="preserve">would already maintain records of </w:t>
      </w:r>
      <w:r w:rsidR="00124B03">
        <w:t xml:space="preserve">purchases, sales, and other inventory </w:t>
      </w:r>
      <w:r w:rsidR="00F37DB3">
        <w:t>inflow and outflow as a regular standard business practice</w:t>
      </w:r>
      <w:r w:rsidR="00156485">
        <w:t xml:space="preserve">, </w:t>
      </w:r>
      <w:r w:rsidR="00C31E6E">
        <w:t xml:space="preserve">tracking acquisitions and dispositions of firearms stock </w:t>
      </w:r>
      <w:r w:rsidR="00156485">
        <w:t xml:space="preserve">would be accounted for in the baseline </w:t>
      </w:r>
      <w:r w:rsidR="0060053A">
        <w:t xml:space="preserve">regardless of ATF’s requirement. </w:t>
      </w:r>
      <w:r w:rsidR="006D7086">
        <w:t>While most</w:t>
      </w:r>
      <w:r w:rsidR="00C31E6E">
        <w:t xml:space="preserve"> FFLs would engage </w:t>
      </w:r>
      <w:r w:rsidR="006D7086">
        <w:t xml:space="preserve">in such </w:t>
      </w:r>
      <w:r w:rsidR="00277006">
        <w:t xml:space="preserve">regular </w:t>
      </w:r>
      <w:r w:rsidR="006D7086">
        <w:t xml:space="preserve">business practices, </w:t>
      </w:r>
      <w:r w:rsidR="00CF5AB3">
        <w:t xml:space="preserve">a minority of FFLs, most likely small operations or those with sub-standard </w:t>
      </w:r>
      <w:r w:rsidR="00F362C0">
        <w:t>record</w:t>
      </w:r>
      <w:r w:rsidR="00713482">
        <w:t>-</w:t>
      </w:r>
      <w:r w:rsidR="00F362C0">
        <w:t>keeping practice</w:t>
      </w:r>
      <w:r w:rsidR="00713482">
        <w:t>s</w:t>
      </w:r>
      <w:r w:rsidR="002B791A">
        <w:t>,</w:t>
      </w:r>
      <w:r w:rsidR="00F362C0">
        <w:t xml:space="preserve"> </w:t>
      </w:r>
      <w:r w:rsidR="002B791A">
        <w:t>could potentially</w:t>
      </w:r>
      <w:r w:rsidR="00F362C0">
        <w:t xml:space="preserve"> face these requirements as a new c</w:t>
      </w:r>
      <w:r w:rsidR="00805E75">
        <w:t xml:space="preserve">ollection. </w:t>
      </w:r>
      <w:r w:rsidR="009A5CF8">
        <w:t>The Department</w:t>
      </w:r>
      <w:r w:rsidR="009A5CF8">
        <w:t xml:space="preserve"> </w:t>
      </w:r>
      <w:r w:rsidR="002B791A">
        <w:t xml:space="preserve">therefore </w:t>
      </w:r>
      <w:r w:rsidR="00805E75">
        <w:t>estimates that approximately 10 percent of FFLs</w:t>
      </w:r>
      <w:r w:rsidR="009C1B0B">
        <w:t xml:space="preserve">, or 1,025, would </w:t>
      </w:r>
      <w:r w:rsidR="00BC4C5C">
        <w:t xml:space="preserve"> be the </w:t>
      </w:r>
      <w:r w:rsidRPr="00E73E33" w:rsidR="00F11949">
        <w:t>respondents for this IC.</w:t>
      </w:r>
      <w:r w:rsidRPr="00E73E33" w:rsidR="00F11949">
        <w:rPr>
          <w:spacing w:val="-1"/>
        </w:rPr>
        <w:t xml:space="preserve"> </w:t>
      </w:r>
      <w:r w:rsidRPr="00E73E33" w:rsidR="00F11949">
        <w:t>Each</w:t>
      </w:r>
      <w:r w:rsidRPr="00E73E33" w:rsidR="00F11949">
        <w:rPr>
          <w:spacing w:val="-1"/>
        </w:rPr>
        <w:t xml:space="preserve"> </w:t>
      </w:r>
      <w:r w:rsidRPr="00E73E33" w:rsidR="00F11949">
        <w:t>respondent</w:t>
      </w:r>
      <w:r w:rsidRPr="00E73E33" w:rsidR="00F11949">
        <w:rPr>
          <w:spacing w:val="-1"/>
        </w:rPr>
        <w:t xml:space="preserve"> </w:t>
      </w:r>
      <w:r w:rsidRPr="00E73E33" w:rsidR="00F11949">
        <w:t>report</w:t>
      </w:r>
      <w:r w:rsidR="005A4A87">
        <w:t>s</w:t>
      </w:r>
      <w:r w:rsidR="00481173">
        <w:rPr>
          <w:spacing w:val="-57"/>
        </w:rPr>
        <w:t xml:space="preserve">               </w:t>
      </w:r>
      <w:r w:rsidRPr="00E73E33" w:rsidR="00F11949">
        <w:t>once</w:t>
      </w:r>
      <w:r w:rsidRPr="00E73E33" w:rsidR="00F11949">
        <w:rPr>
          <w:spacing w:val="-2"/>
        </w:rPr>
        <w:t xml:space="preserve"> </w:t>
      </w:r>
      <w:r w:rsidRPr="00E73E33" w:rsidR="00F11949">
        <w:t>annually. Therefore, the</w:t>
      </w:r>
      <w:r w:rsidRPr="00E73E33" w:rsidR="00F11949">
        <w:rPr>
          <w:spacing w:val="-1"/>
        </w:rPr>
        <w:t xml:space="preserve"> </w:t>
      </w:r>
      <w:r w:rsidRPr="00E73E33" w:rsidR="00F11949">
        <w:t>total responses</w:t>
      </w:r>
      <w:r w:rsidRPr="00E73E33" w:rsidR="00F11949">
        <w:rPr>
          <w:spacing w:val="-1"/>
        </w:rPr>
        <w:t xml:space="preserve"> </w:t>
      </w:r>
      <w:r w:rsidRPr="00E73E33">
        <w:t>are</w:t>
      </w:r>
      <w:r w:rsidRPr="00E73E33" w:rsidR="00F11949">
        <w:t xml:space="preserve"> also </w:t>
      </w:r>
      <w:r w:rsidRPr="00E73E33" w:rsidR="00DD76CA">
        <w:t>1</w:t>
      </w:r>
      <w:r w:rsidR="00BC4C5C">
        <w:t>,</w:t>
      </w:r>
      <w:r w:rsidR="007B1CF5">
        <w:t>02</w:t>
      </w:r>
      <w:r w:rsidR="005A4A87">
        <w:t>5</w:t>
      </w:r>
      <w:r w:rsidRPr="00E73E33" w:rsidR="00F11949">
        <w:t>.</w:t>
      </w:r>
    </w:p>
    <w:p w:rsidR="000613DE" w:rsidP="00252E27" w14:paraId="4C5D0166" w14:textId="77777777">
      <w:pPr>
        <w:pStyle w:val="BodyText"/>
        <w:tabs>
          <w:tab w:val="left" w:pos="720"/>
          <w:tab w:val="left" w:pos="9338"/>
        </w:tabs>
      </w:pPr>
    </w:p>
    <w:p w:rsidR="003245F2" w:rsidP="00252E27" w14:paraId="2F2EAA66" w14:textId="049D4271">
      <w:pPr>
        <w:pStyle w:val="BodyText"/>
        <w:tabs>
          <w:tab w:val="left" w:pos="720"/>
          <w:tab w:val="left" w:pos="9338"/>
        </w:tabs>
      </w:pPr>
      <w:r>
        <w:t xml:space="preserve">Although the length of time involved in keeping these records throughout a year can vary widely depending upon the </w:t>
      </w:r>
      <w:r w:rsidR="00AF7B43">
        <w:t>volume</w:t>
      </w:r>
      <w:r>
        <w:t xml:space="preserve"> of acquisitions and dispositions a particular entity has during the year, </w:t>
      </w:r>
      <w:r w:rsidR="005A4A87">
        <w:t xml:space="preserve">ATF </w:t>
      </w:r>
      <w:r w:rsidR="00FE158D">
        <w:t>used an estimated</w:t>
      </w:r>
      <w:r w:rsidR="005A4A87">
        <w:t xml:space="preserve"> </w:t>
      </w:r>
      <w:r w:rsidR="00FE158D">
        <w:t>average of</w:t>
      </w:r>
      <w:r w:rsidR="005A4A87">
        <w:t xml:space="preserve"> </w:t>
      </w:r>
      <w:r w:rsidR="003B068C">
        <w:t>2</w:t>
      </w:r>
      <w:r w:rsidR="005A4A87">
        <w:t xml:space="preserve"> hours</w:t>
      </w:r>
      <w:r w:rsidR="00F11949">
        <w:t xml:space="preserve"> </w:t>
      </w:r>
      <w:r w:rsidR="00B03CD4">
        <w:t>to complete entries</w:t>
      </w:r>
      <w:r w:rsidR="005D6312">
        <w:t xml:space="preserve"> </w:t>
      </w:r>
      <w:r w:rsidR="00AF0244">
        <w:t>annually</w:t>
      </w:r>
      <w:r w:rsidR="006C69DB">
        <w:t xml:space="preserve"> for these respondents as they are likely small operations with fewer transactions</w:t>
      </w:r>
      <w:r w:rsidR="00F11949">
        <w:t xml:space="preserve">. </w:t>
      </w:r>
      <w:r w:rsidR="00FE158D">
        <w:t>Therefore</w:t>
      </w:r>
      <w:r w:rsidR="00F11949">
        <w:t>, the annual time</w:t>
      </w:r>
      <w:r w:rsidR="00481173">
        <w:t xml:space="preserve"> </w:t>
      </w:r>
      <w:r w:rsidR="00F11949">
        <w:t>burden</w:t>
      </w:r>
      <w:r w:rsidR="00F11949">
        <w:rPr>
          <w:spacing w:val="-1"/>
        </w:rPr>
        <w:t xml:space="preserve"> </w:t>
      </w:r>
      <w:r w:rsidR="00F11949">
        <w:t>associated</w:t>
      </w:r>
      <w:r w:rsidR="00F11949">
        <w:rPr>
          <w:spacing w:val="-1"/>
        </w:rPr>
        <w:t xml:space="preserve"> </w:t>
      </w:r>
      <w:r w:rsidR="00F11949">
        <w:t>with</w:t>
      </w:r>
      <w:r w:rsidR="00F11949">
        <w:rPr>
          <w:spacing w:val="-1"/>
        </w:rPr>
        <w:t xml:space="preserve"> </w:t>
      </w:r>
      <w:r w:rsidR="009A5CF8">
        <w:t>this ICR</w:t>
      </w:r>
      <w:r w:rsidR="00F11949">
        <w:rPr>
          <w:spacing w:val="-4"/>
        </w:rPr>
        <w:t xml:space="preserve"> </w:t>
      </w:r>
      <w:r w:rsidR="00F11949">
        <w:t>is</w:t>
      </w:r>
      <w:r w:rsidR="00F11949">
        <w:rPr>
          <w:spacing w:val="-1"/>
        </w:rPr>
        <w:t xml:space="preserve"> </w:t>
      </w:r>
      <w:r w:rsidR="005C759B">
        <w:rPr>
          <w:spacing w:val="-1"/>
        </w:rPr>
        <w:t>2,050</w:t>
      </w:r>
      <w:r w:rsidR="00F11949">
        <w:t xml:space="preserve"> hours</w:t>
      </w:r>
      <w:r w:rsidR="00AF7B43">
        <w:t xml:space="preserve"> (</w:t>
      </w:r>
      <w:r w:rsidR="003B068C">
        <w:t>2</w:t>
      </w:r>
      <w:r w:rsidR="00F11949">
        <w:t xml:space="preserve"> hours * </w:t>
      </w:r>
      <w:r w:rsidR="00DD76CA">
        <w:t>1</w:t>
      </w:r>
      <w:r w:rsidR="005C759B">
        <w:t>,</w:t>
      </w:r>
      <w:r w:rsidR="00870095">
        <w:t>025</w:t>
      </w:r>
      <w:r w:rsidR="005C759B">
        <w:t xml:space="preserve"> </w:t>
      </w:r>
      <w:r w:rsidR="00F11949">
        <w:rPr>
          <w:spacing w:val="-57"/>
        </w:rPr>
        <w:t xml:space="preserve"> </w:t>
      </w:r>
      <w:r w:rsidR="00F11949">
        <w:t>respondents).</w:t>
      </w:r>
      <w:r w:rsidR="008D5AAD">
        <w:t xml:space="preserve"> </w:t>
      </w:r>
    </w:p>
    <w:p w:rsidR="00BF632D" w:rsidRPr="006626FF" w:rsidP="00BF632D" w14:paraId="124BD3F4" w14:textId="77777777">
      <w:pPr>
        <w:rPr>
          <w:i/>
        </w:rPr>
      </w:pPr>
    </w:p>
    <w:p w:rsidR="006C6973" w:rsidRPr="004F6202" w:rsidP="004F6202" w14:paraId="3BD9073A" w14:textId="202A111A">
      <w:pPr>
        <w:pStyle w:val="BodyText"/>
        <w:tabs>
          <w:tab w:val="left" w:pos="720"/>
          <w:tab w:val="left" w:pos="9338"/>
        </w:tabs>
        <w:rPr>
          <w:bCs/>
        </w:rPr>
      </w:pPr>
      <w:r w:rsidRPr="004F6202">
        <w:rPr>
          <w:bCs/>
        </w:rPr>
        <w:t xml:space="preserve">The </w:t>
      </w:r>
      <w:r w:rsidR="00776FAC">
        <w:rPr>
          <w:bCs/>
        </w:rPr>
        <w:t>Department assumes, based on data from FFL inspections, that the</w:t>
      </w:r>
      <w:r w:rsidR="00F90A73">
        <w:rPr>
          <w:bCs/>
        </w:rPr>
        <w:t xml:space="preserve"> individual completing the IC for respondents would </w:t>
      </w:r>
      <w:r w:rsidRPr="004F6202">
        <w:rPr>
          <w:bCs/>
        </w:rPr>
        <w:t>be a retail salesperson</w:t>
      </w:r>
      <w:r w:rsidR="00F90A73">
        <w:rPr>
          <w:bCs/>
        </w:rPr>
        <w:t xml:space="preserve"> or equivalent</w:t>
      </w:r>
      <w:r w:rsidRPr="004F6202">
        <w:rPr>
          <w:bCs/>
        </w:rPr>
        <w:t>. ATF used wage data from the U.S. Department of Labor, Bureau of Labor Statistics (BLS) category 41-2031 Retail Salespersons for May 2023, from which to estimate the monetized value of respondent time under this information collection. Based on the BLS information, ATF estimates the average hourly employer costs for applicants as $17.64. ATF also applied a load rate of 1.42 to account for benefit costs paid by the employer, making the loaded wage rate $25.05 ($17.64 * 1.42). </w:t>
      </w:r>
    </w:p>
    <w:p w:rsidR="006C6973" w:rsidRPr="004F6202" w:rsidP="004F6202" w14:paraId="0FF713BD" w14:textId="77777777">
      <w:pPr>
        <w:rPr>
          <w:bCs/>
        </w:rPr>
      </w:pPr>
      <w:r w:rsidRPr="004F6202">
        <w:rPr>
          <w:bCs/>
        </w:rPr>
        <w:t> </w:t>
      </w:r>
    </w:p>
    <w:p w:rsidR="006C6973" w:rsidRPr="004F6202" w:rsidP="004F6202" w14:paraId="14BD0112" w14:textId="448E624E">
      <w:pPr>
        <w:pStyle w:val="BodyText"/>
        <w:tabs>
          <w:tab w:val="left" w:pos="720"/>
          <w:tab w:val="left" w:pos="9338"/>
        </w:tabs>
        <w:rPr>
          <w:bCs/>
        </w:rPr>
      </w:pPr>
      <w:r w:rsidRPr="004F6202">
        <w:rPr>
          <w:bCs/>
        </w:rPr>
        <w:t xml:space="preserve">To calculate the individual monetized value of respondent time, ATF used </w:t>
      </w:r>
      <w:r w:rsidR="00182FCE">
        <w:rPr>
          <w:bCs/>
        </w:rPr>
        <w:t>2</w:t>
      </w:r>
      <w:r w:rsidRPr="004F6202">
        <w:rPr>
          <w:bCs/>
        </w:rPr>
        <w:t xml:space="preserve"> hours of labor ($25.05 * </w:t>
      </w:r>
      <w:r w:rsidR="00182FCE">
        <w:rPr>
          <w:bCs/>
        </w:rPr>
        <w:t>2</w:t>
      </w:r>
      <w:r w:rsidRPr="004F6202">
        <w:rPr>
          <w:bCs/>
        </w:rPr>
        <w:t xml:space="preserve"> hours), which result</w:t>
      </w:r>
      <w:r w:rsidR="00625A3A">
        <w:rPr>
          <w:bCs/>
        </w:rPr>
        <w:t>s</w:t>
      </w:r>
      <w:r w:rsidRPr="004F6202">
        <w:rPr>
          <w:bCs/>
        </w:rPr>
        <w:t xml:space="preserve"> in an estimate of approximately $</w:t>
      </w:r>
      <w:r w:rsidR="00182FCE">
        <w:rPr>
          <w:bCs/>
        </w:rPr>
        <w:t>5</w:t>
      </w:r>
      <w:r w:rsidRPr="004F6202">
        <w:rPr>
          <w:bCs/>
        </w:rPr>
        <w:t>0.</w:t>
      </w:r>
      <w:r w:rsidR="00182FCE">
        <w:rPr>
          <w:bCs/>
        </w:rPr>
        <w:t>1</w:t>
      </w:r>
      <w:r w:rsidRPr="004F6202">
        <w:rPr>
          <w:bCs/>
        </w:rPr>
        <w:t xml:space="preserve">0 per respondent for </w:t>
      </w:r>
      <w:r w:rsidR="00625A3A">
        <w:rPr>
          <w:bCs/>
        </w:rPr>
        <w:t>record-keeping</w:t>
      </w:r>
      <w:r w:rsidRPr="004F6202">
        <w:rPr>
          <w:bCs/>
        </w:rPr>
        <w:t>. </w:t>
      </w:r>
    </w:p>
    <w:p w:rsidR="006C6973" w:rsidRPr="004F6202" w:rsidP="004F6202" w14:paraId="31DEC6FD" w14:textId="77777777">
      <w:pPr>
        <w:rPr>
          <w:bCs/>
        </w:rPr>
      </w:pPr>
      <w:r w:rsidRPr="004F6202">
        <w:rPr>
          <w:bCs/>
        </w:rPr>
        <w:t> </w:t>
      </w:r>
    </w:p>
    <w:p w:rsidR="006C6973" w:rsidRPr="004F6202" w:rsidP="004F6202" w14:paraId="4A849B45" w14:textId="629A7632">
      <w:pPr>
        <w:pStyle w:val="BodyText"/>
        <w:tabs>
          <w:tab w:val="left" w:pos="720"/>
          <w:tab w:val="left" w:pos="9338"/>
        </w:tabs>
        <w:rPr>
          <w:bCs/>
        </w:rPr>
      </w:pPr>
      <w:r w:rsidRPr="004F6202">
        <w:t>Therefore</w:t>
      </w:r>
      <w:r w:rsidRPr="004F6202">
        <w:rPr>
          <w:bCs/>
        </w:rPr>
        <w:t>, the total monetized value of the time burden associated with this collection is $</w:t>
      </w:r>
      <w:r w:rsidR="00A90C4A">
        <w:rPr>
          <w:bCs/>
        </w:rPr>
        <w:t>51,352.5</w:t>
      </w:r>
      <w:r w:rsidRPr="004F6202">
        <w:rPr>
          <w:bCs/>
        </w:rPr>
        <w:t xml:space="preserve"> (1</w:t>
      </w:r>
      <w:r w:rsidR="0009624B">
        <w:rPr>
          <w:bCs/>
        </w:rPr>
        <w:t>,</w:t>
      </w:r>
      <w:r w:rsidRPr="004F6202">
        <w:rPr>
          <w:bCs/>
        </w:rPr>
        <w:t>025 total responses * $</w:t>
      </w:r>
      <w:r w:rsidR="00A90C4A">
        <w:rPr>
          <w:bCs/>
        </w:rPr>
        <w:t>5</w:t>
      </w:r>
      <w:r w:rsidRPr="004F6202">
        <w:rPr>
          <w:bCs/>
        </w:rPr>
        <w:t>0.</w:t>
      </w:r>
      <w:r w:rsidR="00A90C4A">
        <w:rPr>
          <w:bCs/>
        </w:rPr>
        <w:t>1</w:t>
      </w:r>
      <w:r w:rsidRPr="004F6202">
        <w:rPr>
          <w:bCs/>
        </w:rPr>
        <w:t>0 cost per response). </w:t>
      </w:r>
    </w:p>
    <w:p w:rsidR="006C6973" w:rsidRPr="006C6973" w:rsidP="006C6973" w14:paraId="5C458B38" w14:textId="77777777">
      <w:pPr>
        <w:jc w:val="center"/>
        <w:rPr>
          <w:b/>
        </w:rPr>
      </w:pPr>
      <w:r w:rsidRPr="006C6973">
        <w:rPr>
          <w:b/>
        </w:rPr>
        <w:t> </w:t>
      </w:r>
    </w:p>
    <w:p w:rsidR="006C6973" w:rsidRPr="0077200C" w:rsidP="006C6973" w14:paraId="72FAC56C" w14:textId="4249408E">
      <w:pPr>
        <w:jc w:val="center"/>
        <w:rPr>
          <w:b/>
          <w:bCs/>
        </w:rPr>
      </w:pPr>
      <w:r w:rsidRPr="0077200C">
        <w:rPr>
          <w:b/>
          <w:bCs/>
        </w:rPr>
        <w:t>Table. Estimated annualized respondent hour burden and monetized value</w:t>
      </w:r>
    </w:p>
    <w:p w:rsidR="006C6973" w:rsidRPr="0077200C" w:rsidP="006C6973" w14:paraId="1974B786" w14:textId="0F3E5DD5">
      <w:pPr>
        <w:jc w:val="center"/>
        <w:rPr>
          <w:b/>
          <w:bCs/>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05"/>
        <w:gridCol w:w="1140"/>
        <w:gridCol w:w="1065"/>
        <w:gridCol w:w="1020"/>
        <w:gridCol w:w="1170"/>
        <w:gridCol w:w="1860"/>
      </w:tblGrid>
      <w:tr w14:paraId="3B9D24BF" w14:textId="77777777" w:rsidTr="0009624B">
        <w:tblPrEx>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jc w:val="center"/>
        </w:trPr>
        <w:tc>
          <w:tcPr>
            <w:tcW w:w="1905" w:type="dxa"/>
            <w:tcBorders>
              <w:top w:val="single" w:sz="6" w:space="0" w:color="auto"/>
              <w:left w:val="single" w:sz="6" w:space="0" w:color="auto"/>
              <w:bottom w:val="single" w:sz="6" w:space="0" w:color="auto"/>
              <w:right w:val="single" w:sz="6" w:space="0" w:color="auto"/>
            </w:tcBorders>
            <w:shd w:val="clear" w:color="auto" w:fill="8DB3E2"/>
            <w:hideMark/>
          </w:tcPr>
          <w:p w:rsidR="006C6973" w:rsidRPr="0077200C" w:rsidP="006C6973" w14:paraId="2DB149C0" w14:textId="66A26A7A">
            <w:pPr>
              <w:jc w:val="center"/>
              <w:rPr>
                <w:b/>
                <w:bCs/>
              </w:rPr>
            </w:pPr>
            <w:r w:rsidRPr="0077200C">
              <w:rPr>
                <w:b/>
                <w:bCs/>
              </w:rPr>
              <w:t>Activity</w:t>
            </w:r>
          </w:p>
        </w:tc>
        <w:tc>
          <w:tcPr>
            <w:tcW w:w="1140" w:type="dxa"/>
            <w:tcBorders>
              <w:top w:val="single" w:sz="6" w:space="0" w:color="auto"/>
              <w:left w:val="single" w:sz="6" w:space="0" w:color="auto"/>
              <w:bottom w:val="single" w:sz="6" w:space="0" w:color="auto"/>
              <w:right w:val="single" w:sz="6" w:space="0" w:color="auto"/>
            </w:tcBorders>
            <w:shd w:val="clear" w:color="auto" w:fill="8DB3E2"/>
            <w:hideMark/>
          </w:tcPr>
          <w:p w:rsidR="006C6973" w:rsidRPr="0077200C" w:rsidP="006C6973" w14:paraId="05671BD4" w14:textId="7FDBA9B3">
            <w:pPr>
              <w:jc w:val="center"/>
              <w:rPr>
                <w:b/>
                <w:bCs/>
              </w:rPr>
            </w:pPr>
            <w:r w:rsidRPr="0077200C">
              <w:rPr>
                <w:b/>
                <w:bCs/>
              </w:rPr>
              <w:t>Total annual responses</w:t>
            </w:r>
          </w:p>
        </w:tc>
        <w:tc>
          <w:tcPr>
            <w:tcW w:w="1065" w:type="dxa"/>
            <w:tcBorders>
              <w:top w:val="single" w:sz="6" w:space="0" w:color="auto"/>
              <w:left w:val="single" w:sz="6" w:space="0" w:color="auto"/>
              <w:bottom w:val="single" w:sz="6" w:space="0" w:color="auto"/>
              <w:right w:val="single" w:sz="6" w:space="0" w:color="auto"/>
            </w:tcBorders>
            <w:shd w:val="clear" w:color="auto" w:fill="8DB3E2"/>
            <w:hideMark/>
          </w:tcPr>
          <w:p w:rsidR="006C6973" w:rsidRPr="0077200C" w:rsidP="006C6973" w14:paraId="5FA335A8" w14:textId="290A40FF">
            <w:pPr>
              <w:jc w:val="center"/>
              <w:rPr>
                <w:b/>
                <w:bCs/>
              </w:rPr>
            </w:pPr>
            <w:r w:rsidRPr="0077200C">
              <w:rPr>
                <w:b/>
                <w:bCs/>
              </w:rPr>
              <w:t>Time per response</w:t>
            </w:r>
          </w:p>
        </w:tc>
        <w:tc>
          <w:tcPr>
            <w:tcW w:w="1020" w:type="dxa"/>
            <w:tcBorders>
              <w:top w:val="single" w:sz="6" w:space="0" w:color="auto"/>
              <w:left w:val="single" w:sz="6" w:space="0" w:color="auto"/>
              <w:bottom w:val="single" w:sz="6" w:space="0" w:color="auto"/>
              <w:right w:val="single" w:sz="6" w:space="0" w:color="auto"/>
            </w:tcBorders>
            <w:shd w:val="clear" w:color="auto" w:fill="8DB3E2"/>
            <w:hideMark/>
          </w:tcPr>
          <w:p w:rsidR="006C6973" w:rsidRPr="0077200C" w:rsidP="006C6973" w14:paraId="134E5D3A" w14:textId="096C51FA">
            <w:pPr>
              <w:jc w:val="center"/>
              <w:rPr>
                <w:b/>
                <w:bCs/>
              </w:rPr>
            </w:pPr>
            <w:r w:rsidRPr="0077200C">
              <w:rPr>
                <w:b/>
                <w:bCs/>
              </w:rPr>
              <w:t>Total annual burden (hours)</w:t>
            </w:r>
          </w:p>
        </w:tc>
        <w:tc>
          <w:tcPr>
            <w:tcW w:w="1170" w:type="dxa"/>
            <w:tcBorders>
              <w:top w:val="single" w:sz="6" w:space="0" w:color="auto"/>
              <w:left w:val="single" w:sz="6" w:space="0" w:color="auto"/>
              <w:bottom w:val="single" w:sz="6" w:space="0" w:color="auto"/>
              <w:right w:val="single" w:sz="6" w:space="0" w:color="auto"/>
            </w:tcBorders>
            <w:shd w:val="clear" w:color="auto" w:fill="8DB3E2"/>
            <w:hideMark/>
          </w:tcPr>
          <w:p w:rsidR="006C6973" w:rsidRPr="0077200C" w:rsidP="006C6973" w14:paraId="405B42D3" w14:textId="1B91A768">
            <w:pPr>
              <w:jc w:val="center"/>
              <w:rPr>
                <w:b/>
                <w:bCs/>
              </w:rPr>
            </w:pPr>
            <w:r w:rsidRPr="0077200C">
              <w:rPr>
                <w:b/>
                <w:bCs/>
              </w:rPr>
              <w:t>Hourly rate*</w:t>
            </w:r>
          </w:p>
        </w:tc>
        <w:tc>
          <w:tcPr>
            <w:tcW w:w="1860" w:type="dxa"/>
            <w:tcBorders>
              <w:top w:val="single" w:sz="6" w:space="0" w:color="auto"/>
              <w:left w:val="single" w:sz="6" w:space="0" w:color="auto"/>
              <w:bottom w:val="single" w:sz="6" w:space="0" w:color="auto"/>
              <w:right w:val="single" w:sz="6" w:space="0" w:color="auto"/>
            </w:tcBorders>
            <w:shd w:val="clear" w:color="auto" w:fill="8DB3E2"/>
            <w:hideMark/>
          </w:tcPr>
          <w:p w:rsidR="006C6973" w:rsidRPr="0077200C" w:rsidP="006C6973" w14:paraId="081F80CE" w14:textId="3DD0147A">
            <w:pPr>
              <w:jc w:val="center"/>
              <w:rPr>
                <w:b/>
                <w:bCs/>
              </w:rPr>
            </w:pPr>
            <w:r w:rsidRPr="0077200C">
              <w:rPr>
                <w:b/>
                <w:bCs/>
              </w:rPr>
              <w:t>Monetized value of respondent time</w:t>
            </w:r>
          </w:p>
        </w:tc>
      </w:tr>
      <w:tr w14:paraId="4F89890D" w14:textId="77777777" w:rsidTr="004F6202">
        <w:tblPrEx>
          <w:tblW w:w="0" w:type="dxa"/>
          <w:jc w:val="center"/>
          <w:tblCellMar>
            <w:left w:w="0" w:type="dxa"/>
            <w:right w:w="0" w:type="dxa"/>
          </w:tblCellMar>
          <w:tblLook w:val="04A0"/>
        </w:tblPrEx>
        <w:trPr>
          <w:trHeight w:val="300"/>
          <w:jc w:val="center"/>
        </w:trPr>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C6973" w:rsidRPr="004F6202" w:rsidP="006C6973" w14:paraId="169778EC" w14:textId="72AE6209">
            <w:pPr>
              <w:jc w:val="center"/>
            </w:pPr>
            <w:r w:rsidRPr="004F6202">
              <w:t>A&amp;D entries</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C6973" w:rsidRPr="004F6202" w:rsidP="006C6973" w14:paraId="4C06BECA" w14:textId="588489F2">
            <w:pPr>
              <w:jc w:val="center"/>
            </w:pPr>
            <w:r w:rsidRPr="004F6202">
              <w:t>1</w:t>
            </w:r>
            <w:r w:rsidR="00182FCE">
              <w:t>,</w:t>
            </w:r>
            <w:r w:rsidRPr="004F6202">
              <w:t>025</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C6973" w:rsidRPr="004F6202" w:rsidP="006C6973" w14:paraId="39D2290B" w14:textId="75158815">
            <w:pPr>
              <w:jc w:val="center"/>
            </w:pPr>
            <w:r>
              <w:t>2</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C6973" w:rsidRPr="004F6202" w:rsidP="006C6973" w14:paraId="4E7D66C8" w14:textId="54CCF604">
            <w:pPr>
              <w:jc w:val="center"/>
            </w:pPr>
            <w:r>
              <w:t>2,050</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C6973" w:rsidRPr="004F6202" w:rsidP="006C6973" w14:paraId="3BDCF40D" w14:textId="1F2859EB">
            <w:pPr>
              <w:jc w:val="center"/>
            </w:pPr>
            <w:r w:rsidRPr="004F6202">
              <w:t>$25.05</w:t>
            </w:r>
          </w:p>
        </w:tc>
        <w:tc>
          <w:tcPr>
            <w:tcW w:w="18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C6973" w:rsidRPr="004F6202" w:rsidP="006C6973" w14:paraId="268B780E" w14:textId="6075C4D7">
            <w:pPr>
              <w:jc w:val="center"/>
            </w:pPr>
            <w:r w:rsidRPr="004F6202">
              <w:t>$</w:t>
            </w:r>
            <w:r w:rsidR="0009624B">
              <w:t>51,352.5</w:t>
            </w:r>
          </w:p>
        </w:tc>
      </w:tr>
    </w:tbl>
    <w:p w:rsidR="00F45361" w:rsidP="00252E27" w14:paraId="388BAA74" w14:textId="0CE08BC3">
      <w:pPr>
        <w:pStyle w:val="BodyText"/>
        <w:tabs>
          <w:tab w:val="left" w:pos="720"/>
          <w:tab w:val="left" w:pos="9338"/>
        </w:tabs>
        <w:rPr>
          <w:sz w:val="26"/>
        </w:rPr>
      </w:pPr>
      <w:r w:rsidRPr="006C6973">
        <w:rPr>
          <w:b/>
        </w:rPr>
        <w:t xml:space="preserve"> </w:t>
      </w:r>
    </w:p>
    <w:p w:rsidR="003245F2" w:rsidP="00252E27" w14:paraId="5FA8D112" w14:textId="4065AE4D">
      <w:pPr>
        <w:tabs>
          <w:tab w:val="left" w:pos="940"/>
          <w:tab w:val="left" w:pos="9338"/>
        </w:tabs>
        <w:rPr>
          <w:b/>
          <w:bCs/>
          <w:sz w:val="24"/>
        </w:rPr>
      </w:pPr>
      <w:r>
        <w:rPr>
          <w:b/>
          <w:bCs/>
          <w:sz w:val="24"/>
        </w:rPr>
        <w:t>13.</w:t>
      </w:r>
      <w:r w:rsidR="00481173">
        <w:rPr>
          <w:b/>
          <w:bCs/>
          <w:sz w:val="24"/>
        </w:rPr>
        <w:t xml:space="preserve"> </w:t>
      </w:r>
      <w:r>
        <w:rPr>
          <w:b/>
          <w:bCs/>
          <w:sz w:val="24"/>
        </w:rPr>
        <w:t xml:space="preserve">Provide an </w:t>
      </w:r>
      <w:r w:rsidR="004B7B1A">
        <w:rPr>
          <w:b/>
          <w:bCs/>
          <w:sz w:val="24"/>
        </w:rPr>
        <w:t>estimate</w:t>
      </w:r>
      <w:r>
        <w:rPr>
          <w:b/>
          <w:bCs/>
          <w:sz w:val="24"/>
        </w:rPr>
        <w:t xml:space="preserve"> of the total annual cost burden to respondents or recordkeepers resulting from the information collection</w:t>
      </w:r>
      <w:r w:rsidR="004B7B1A">
        <w:rPr>
          <w:b/>
          <w:bCs/>
          <w:sz w:val="24"/>
        </w:rPr>
        <w:t>.</w:t>
      </w:r>
      <w:r w:rsidR="00481173">
        <w:rPr>
          <w:b/>
          <w:bCs/>
          <w:sz w:val="24"/>
        </w:rPr>
        <w:t xml:space="preserve"> </w:t>
      </w:r>
      <w:r w:rsidR="004B7B1A">
        <w:rPr>
          <w:b/>
          <w:bCs/>
          <w:sz w:val="24"/>
        </w:rPr>
        <w:t>(Do not include the cost of any hour burden shown in Items 12 and 14).</w:t>
      </w:r>
    </w:p>
    <w:p w:rsidR="006207A1" w:rsidP="00252E27" w14:paraId="0A91E0AB" w14:textId="77777777">
      <w:pPr>
        <w:tabs>
          <w:tab w:val="left" w:pos="940"/>
          <w:tab w:val="left" w:pos="9338"/>
        </w:tabs>
        <w:rPr>
          <w:b/>
          <w:bCs/>
          <w:sz w:val="24"/>
        </w:rPr>
      </w:pPr>
    </w:p>
    <w:p w:rsidR="00476F2F" w:rsidRPr="00420603" w:rsidP="00476F2F" w14:paraId="637A4B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420603">
        <w:t>There are no additional costs associated with this information collection.</w:t>
      </w:r>
    </w:p>
    <w:p w:rsidR="003245F2" w:rsidP="00252E27" w14:paraId="15DBF5D7" w14:textId="77777777">
      <w:pPr>
        <w:pStyle w:val="BodyText"/>
        <w:tabs>
          <w:tab w:val="left" w:pos="9338"/>
        </w:tabs>
      </w:pPr>
    </w:p>
    <w:p w:rsidR="003245F2" w:rsidRPr="004B7B1A" w:rsidP="00252E27" w14:paraId="3272EEAE" w14:textId="06DFDCE6">
      <w:pPr>
        <w:tabs>
          <w:tab w:val="left" w:pos="940"/>
          <w:tab w:val="left" w:pos="9338"/>
        </w:tabs>
        <w:rPr>
          <w:b/>
          <w:bCs/>
          <w:sz w:val="24"/>
        </w:rPr>
      </w:pPr>
      <w:r>
        <w:rPr>
          <w:b/>
          <w:bCs/>
          <w:sz w:val="24"/>
        </w:rPr>
        <w:t>14.</w:t>
      </w:r>
      <w:r w:rsidR="00481173">
        <w:rPr>
          <w:b/>
          <w:bCs/>
          <w:sz w:val="24"/>
        </w:rPr>
        <w:t xml:space="preserve"> </w:t>
      </w:r>
      <w:r>
        <w:rPr>
          <w:b/>
          <w:bCs/>
          <w:sz w:val="24"/>
        </w:rPr>
        <w:t>Provide estimates of the annualized</w:t>
      </w:r>
      <w:r w:rsidR="000B3C98">
        <w:rPr>
          <w:b/>
          <w:bCs/>
          <w:sz w:val="24"/>
        </w:rPr>
        <w:t xml:space="preserve"> </w:t>
      </w:r>
      <w:r w:rsidRPr="004B7B1A">
        <w:rPr>
          <w:b/>
          <w:bCs/>
          <w:sz w:val="24"/>
        </w:rPr>
        <w:t>cost</w:t>
      </w:r>
      <w:r w:rsidRPr="004B7B1A">
        <w:rPr>
          <w:b/>
          <w:bCs/>
          <w:spacing w:val="-4"/>
          <w:sz w:val="24"/>
        </w:rPr>
        <w:t xml:space="preserve"> </w:t>
      </w:r>
      <w:r w:rsidRPr="004B7B1A">
        <w:rPr>
          <w:b/>
          <w:bCs/>
          <w:sz w:val="24"/>
        </w:rPr>
        <w:t>to</w:t>
      </w:r>
      <w:r w:rsidRPr="004B7B1A">
        <w:rPr>
          <w:b/>
          <w:bCs/>
          <w:spacing w:val="-3"/>
          <w:sz w:val="24"/>
        </w:rPr>
        <w:t xml:space="preserve"> </w:t>
      </w:r>
      <w:r w:rsidRPr="004B7B1A">
        <w:rPr>
          <w:b/>
          <w:bCs/>
          <w:sz w:val="24"/>
        </w:rPr>
        <w:t>the</w:t>
      </w:r>
      <w:r w:rsidRPr="004B7B1A">
        <w:rPr>
          <w:b/>
          <w:bCs/>
          <w:spacing w:val="-4"/>
          <w:sz w:val="24"/>
        </w:rPr>
        <w:t xml:space="preserve"> </w:t>
      </w:r>
      <w:r w:rsidRPr="004B7B1A">
        <w:rPr>
          <w:b/>
          <w:bCs/>
          <w:sz w:val="24"/>
        </w:rPr>
        <w:t>federal</w:t>
      </w:r>
      <w:r w:rsidRPr="004B7B1A">
        <w:rPr>
          <w:b/>
          <w:bCs/>
          <w:spacing w:val="-3"/>
          <w:sz w:val="24"/>
        </w:rPr>
        <w:t xml:space="preserve"> </w:t>
      </w:r>
      <w:r w:rsidRPr="004B7B1A">
        <w:rPr>
          <w:b/>
          <w:bCs/>
          <w:sz w:val="24"/>
        </w:rPr>
        <w:t>government</w:t>
      </w:r>
      <w:r>
        <w:rPr>
          <w:b/>
          <w:bCs/>
          <w:sz w:val="24"/>
        </w:rPr>
        <w:t>.</w:t>
      </w:r>
    </w:p>
    <w:p w:rsidR="003245F2" w:rsidP="00252E27" w14:paraId="7E3B5E2D" w14:textId="77777777">
      <w:pPr>
        <w:pStyle w:val="BodyText"/>
        <w:tabs>
          <w:tab w:val="left" w:pos="9338"/>
        </w:tabs>
        <w:rPr>
          <w:sz w:val="23"/>
        </w:rPr>
      </w:pPr>
    </w:p>
    <w:p w:rsidR="00847672" w:rsidRPr="005C3FEB" w:rsidP="00847672" w14:paraId="2E1773DB" w14:textId="77777777">
      <w:pPr>
        <w:spacing w:after="240"/>
      </w:pPr>
      <w:r>
        <w:t>ATF estimates no additional costs to the federal government associated with this collection. This is due to the current staffing and administrative capacity already in place to complete any marginal processing required under this information collection, with long-term staffing capacity serving as a sunk cost.</w:t>
      </w:r>
    </w:p>
    <w:p w:rsidR="003245F2" w:rsidRPr="000B3C98" w:rsidP="00252E27" w14:paraId="1C11D58C" w14:textId="45A4E0FF">
      <w:pPr>
        <w:tabs>
          <w:tab w:val="left" w:pos="940"/>
          <w:tab w:val="left" w:pos="9338"/>
        </w:tabs>
        <w:rPr>
          <w:b/>
          <w:bCs/>
          <w:sz w:val="24"/>
        </w:rPr>
      </w:pPr>
      <w:r>
        <w:rPr>
          <w:b/>
          <w:bCs/>
          <w:sz w:val="24"/>
        </w:rPr>
        <w:t>15.</w:t>
      </w:r>
      <w:r w:rsidR="00481173">
        <w:rPr>
          <w:b/>
          <w:bCs/>
          <w:sz w:val="24"/>
        </w:rPr>
        <w:t xml:space="preserve"> </w:t>
      </w:r>
      <w:r w:rsidR="00455D48">
        <w:rPr>
          <w:b/>
          <w:bCs/>
          <w:sz w:val="24"/>
        </w:rPr>
        <w:t>Explain the reasons for any program changes or adjustment.</w:t>
      </w:r>
    </w:p>
    <w:p w:rsidR="00AB1ACA" w:rsidRPr="00ED4ABD" w:rsidP="00252E27" w14:paraId="5300C76F" w14:textId="77777777">
      <w:pPr>
        <w:tabs>
          <w:tab w:val="left" w:pos="940"/>
          <w:tab w:val="left" w:pos="9338"/>
        </w:tabs>
        <w:rPr>
          <w:sz w:val="24"/>
        </w:rPr>
      </w:pPr>
    </w:p>
    <w:p w:rsidR="003245F2" w:rsidP="00252E27" w14:paraId="733A2237" w14:textId="45172B39">
      <w:pPr>
        <w:pStyle w:val="BodyText"/>
        <w:tabs>
          <w:tab w:val="left" w:pos="9338"/>
        </w:tabs>
        <w:rPr>
          <w:spacing w:val="-57"/>
        </w:rPr>
      </w:pPr>
      <w:r>
        <w:rPr>
          <w:iCs/>
          <w:color w:val="000000" w:themeColor="text1"/>
        </w:rPr>
        <w:t xml:space="preserve">The total time burden has </w:t>
      </w:r>
      <w:r w:rsidR="00736215">
        <w:rPr>
          <w:iCs/>
          <w:color w:val="000000" w:themeColor="text1"/>
        </w:rPr>
        <w:t>de</w:t>
      </w:r>
      <w:r>
        <w:rPr>
          <w:iCs/>
          <w:color w:val="000000" w:themeColor="text1"/>
        </w:rPr>
        <w:t xml:space="preserve">creased </w:t>
      </w:r>
      <w:r w:rsidR="002B5624">
        <w:rPr>
          <w:iCs/>
          <w:color w:val="000000" w:themeColor="text1"/>
        </w:rPr>
        <w:t>since</w:t>
      </w:r>
      <w:r>
        <w:rPr>
          <w:iCs/>
          <w:color w:val="000000" w:themeColor="text1"/>
        </w:rPr>
        <w:t xml:space="preserve"> the last renewal in 2022</w:t>
      </w:r>
      <w:r w:rsidR="007A06EF">
        <w:rPr>
          <w:iCs/>
          <w:color w:val="000000" w:themeColor="text1"/>
        </w:rPr>
        <w:t>,</w:t>
      </w:r>
      <w:r>
        <w:rPr>
          <w:iCs/>
          <w:color w:val="000000" w:themeColor="text1"/>
        </w:rPr>
        <w:t xml:space="preserve"> from 347,703 hours to </w:t>
      </w:r>
      <w:r w:rsidR="00123BA9">
        <w:t>2,050</w:t>
      </w:r>
      <w:r>
        <w:t xml:space="preserve">. This </w:t>
      </w:r>
      <w:r w:rsidR="00123BA9">
        <w:t>de</w:t>
      </w:r>
      <w:r w:rsidR="00BF0075">
        <w:t>crease is because the previous ICR estimated 3 minutes per re</w:t>
      </w:r>
      <w:r w:rsidR="00BB09FE">
        <w:t xml:space="preserve">cord, inadvertently mixing up 3 minutes per entry with the total </w:t>
      </w:r>
      <w:r w:rsidR="002B5624">
        <w:t xml:space="preserve">annual </w:t>
      </w:r>
      <w:r w:rsidR="00BB09FE">
        <w:t>time for the record-keeping. This renewal corrects that error</w:t>
      </w:r>
      <w:r w:rsidR="001932AF">
        <w:t xml:space="preserve"> with a fairly high average </w:t>
      </w:r>
      <w:r w:rsidR="002B5624">
        <w:t>estimate of</w:t>
      </w:r>
      <w:r w:rsidR="001932AF">
        <w:t xml:space="preserve"> </w:t>
      </w:r>
      <w:r w:rsidR="000D0CA4">
        <w:t>2</w:t>
      </w:r>
      <w:r w:rsidR="001932AF">
        <w:t xml:space="preserve"> hours </w:t>
      </w:r>
      <w:r w:rsidR="0032497C">
        <w:t xml:space="preserve">for these small respondents </w:t>
      </w:r>
      <w:r w:rsidR="001932AF">
        <w:t xml:space="preserve">to </w:t>
      </w:r>
      <w:r w:rsidR="00FD2649">
        <w:t>make entries of all acquisitions and dispositions</w:t>
      </w:r>
      <w:r w:rsidR="001932AF">
        <w:t xml:space="preserve"> throughout the year.</w:t>
      </w:r>
      <w:r w:rsidR="00FD2649">
        <w:t xml:space="preserve"> </w:t>
      </w:r>
      <w:r w:rsidR="001F4559">
        <w:t>This renewal also</w:t>
      </w:r>
      <w:r w:rsidR="000D0CA4">
        <w:t xml:space="preserve"> </w:t>
      </w:r>
      <w:r w:rsidR="005F17A3">
        <w:t>revised</w:t>
      </w:r>
      <w:r w:rsidR="000D0CA4">
        <w:t xml:space="preserve"> downward the </w:t>
      </w:r>
      <w:r w:rsidR="005F17A3">
        <w:t>number of respondents to approximately 10 percent of all Type</w:t>
      </w:r>
      <w:r w:rsidR="001F4559">
        <w:t xml:space="preserve"> </w:t>
      </w:r>
      <w:r w:rsidR="005F17A3">
        <w:t xml:space="preserve">1, 2 and 3 FFLs to account for the fact that a majority of </w:t>
      </w:r>
      <w:r w:rsidR="0003012C">
        <w:t xml:space="preserve">licensees would already keep the required </w:t>
      </w:r>
      <w:r w:rsidR="001F4559">
        <w:t>information</w:t>
      </w:r>
      <w:r w:rsidR="0003012C">
        <w:t xml:space="preserve"> as a normal course of business</w:t>
      </w:r>
      <w:r w:rsidR="009461FD">
        <w:t xml:space="preserve"> as part of standard business practice</w:t>
      </w:r>
      <w:r w:rsidR="00A30C61">
        <w:t>, even without this IC</w:t>
      </w:r>
      <w:r w:rsidR="009461FD">
        <w:t xml:space="preserve">. </w:t>
      </w:r>
    </w:p>
    <w:p w:rsidR="00F45361" w:rsidP="00252E27" w14:paraId="52C6501E" w14:textId="77777777">
      <w:pPr>
        <w:pStyle w:val="BodyText"/>
        <w:tabs>
          <w:tab w:val="left" w:pos="9338"/>
        </w:tabs>
      </w:pPr>
    </w:p>
    <w:p w:rsidR="003245F2" w:rsidRPr="00455D48" w:rsidP="00252E27" w14:paraId="183F8754" w14:textId="1468CAF7">
      <w:pPr>
        <w:tabs>
          <w:tab w:val="left" w:pos="940"/>
          <w:tab w:val="left" w:pos="9338"/>
        </w:tabs>
        <w:rPr>
          <w:b/>
          <w:bCs/>
          <w:sz w:val="24"/>
        </w:rPr>
      </w:pPr>
      <w:r>
        <w:rPr>
          <w:b/>
          <w:bCs/>
          <w:sz w:val="24"/>
        </w:rPr>
        <w:t>16.</w:t>
      </w:r>
      <w:r w:rsidR="00481173">
        <w:rPr>
          <w:b/>
          <w:bCs/>
          <w:sz w:val="24"/>
        </w:rPr>
        <w:t xml:space="preserve"> </w:t>
      </w:r>
      <w:r w:rsidR="00A70370">
        <w:rPr>
          <w:b/>
          <w:bCs/>
          <w:sz w:val="24"/>
        </w:rPr>
        <w:t>For information collections whose results will be published, outline plans for tabulations and publication.</w:t>
      </w:r>
    </w:p>
    <w:p w:rsidR="003245F2" w:rsidP="00252E27" w14:paraId="583751FE" w14:textId="77777777">
      <w:pPr>
        <w:pStyle w:val="BodyText"/>
        <w:tabs>
          <w:tab w:val="left" w:pos="9338"/>
        </w:tabs>
        <w:rPr>
          <w:sz w:val="23"/>
        </w:rPr>
      </w:pPr>
    </w:p>
    <w:p w:rsidR="00FB7D01" w:rsidP="00FB7D01" w14:paraId="7DF91E86"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bookmarkStart w:id="0" w:name="_Hlk188874978"/>
      <w:r w:rsidRPr="00420603">
        <w:t>ATF will not publish the results of this collection.</w:t>
      </w:r>
    </w:p>
    <w:bookmarkEnd w:id="0"/>
    <w:p w:rsidR="003245F2" w:rsidP="00252E27" w14:paraId="178742AE" w14:textId="77777777">
      <w:pPr>
        <w:pStyle w:val="BodyText"/>
        <w:tabs>
          <w:tab w:val="left" w:pos="9338"/>
        </w:tabs>
      </w:pPr>
    </w:p>
    <w:p w:rsidR="00AB1ACA" w:rsidRPr="00AB4E5D" w:rsidP="00252E27" w14:paraId="593B61CC" w14:textId="755267F6">
      <w:pPr>
        <w:tabs>
          <w:tab w:val="left" w:pos="940"/>
          <w:tab w:val="left" w:pos="9338"/>
        </w:tabs>
        <w:rPr>
          <w:b/>
          <w:bCs/>
          <w:sz w:val="24"/>
        </w:rPr>
      </w:pPr>
      <w:r>
        <w:rPr>
          <w:b/>
          <w:bCs/>
          <w:sz w:val="24"/>
        </w:rPr>
        <w:t>17.</w:t>
      </w:r>
      <w:r w:rsidR="00481173">
        <w:rPr>
          <w:b/>
          <w:bCs/>
          <w:sz w:val="24"/>
        </w:rPr>
        <w:t xml:space="preserve"> </w:t>
      </w:r>
      <w:r w:rsidR="00AB48AC">
        <w:rPr>
          <w:b/>
          <w:bCs/>
          <w:sz w:val="24"/>
        </w:rPr>
        <w:t>If seeking approval to display the expiration date for OMB approval of the information collection, explain the reasons that display</w:t>
      </w:r>
      <w:r w:rsidR="00C6211F">
        <w:rPr>
          <w:b/>
          <w:bCs/>
          <w:sz w:val="24"/>
        </w:rPr>
        <w:t xml:space="preserve"> would be inappropriate.</w:t>
      </w:r>
    </w:p>
    <w:p w:rsidR="00AB1ACA" w:rsidP="00252E27" w14:paraId="627E02B4" w14:textId="77777777">
      <w:pPr>
        <w:pStyle w:val="ListParagraph"/>
        <w:tabs>
          <w:tab w:val="left" w:pos="940"/>
          <w:tab w:val="left" w:pos="9338"/>
        </w:tabs>
        <w:ind w:left="0" w:firstLine="0"/>
      </w:pPr>
    </w:p>
    <w:p w:rsidR="00AB1ACA" w:rsidP="00252E27" w14:paraId="5D1BFFE7" w14:textId="7910186E">
      <w:pPr>
        <w:pStyle w:val="BodyText"/>
        <w:tabs>
          <w:tab w:val="left" w:pos="9338"/>
        </w:tabs>
      </w:pPr>
      <w:r>
        <w:t>This information collection does not involve a form or other collection instrument upon which ATF could display the expiration date.</w:t>
      </w:r>
      <w:r w:rsidR="00481173">
        <w:t xml:space="preserve"> </w:t>
      </w:r>
      <w:r w:rsidR="004701E7">
        <w:t>It requires industry t</w:t>
      </w:r>
      <w:r w:rsidR="00C16795">
        <w:t>o maintain the records of acquisitions and disposition at their business premises</w:t>
      </w:r>
      <w:r w:rsidR="003D18D4">
        <w:t>.</w:t>
      </w:r>
      <w:r w:rsidR="00481173">
        <w:t xml:space="preserve"> </w:t>
      </w:r>
      <w:r w:rsidR="00E40E68">
        <w:t>As a result, ATF is not able to display an expiration date.</w:t>
      </w:r>
    </w:p>
    <w:p w:rsidR="00FA6DA9" w:rsidP="00252E27" w14:paraId="7A7981F4" w14:textId="77777777">
      <w:pPr>
        <w:pStyle w:val="BodyText"/>
        <w:tabs>
          <w:tab w:val="left" w:pos="9338"/>
        </w:tabs>
      </w:pPr>
    </w:p>
    <w:p w:rsidR="003245F2" w:rsidRPr="00D244A5" w:rsidP="00252E27" w14:paraId="1DA9B7E6" w14:textId="2CB9FEF0">
      <w:pPr>
        <w:tabs>
          <w:tab w:val="left" w:pos="940"/>
          <w:tab w:val="left" w:pos="9338"/>
        </w:tabs>
        <w:rPr>
          <w:b/>
          <w:bCs/>
          <w:sz w:val="24"/>
        </w:rPr>
      </w:pPr>
      <w:r>
        <w:rPr>
          <w:b/>
          <w:bCs/>
          <w:sz w:val="24"/>
        </w:rPr>
        <w:t>18.</w:t>
      </w:r>
      <w:r w:rsidR="00481173">
        <w:rPr>
          <w:b/>
          <w:bCs/>
          <w:sz w:val="24"/>
        </w:rPr>
        <w:t xml:space="preserve"> </w:t>
      </w:r>
      <w:r w:rsidR="00252E27">
        <w:rPr>
          <w:b/>
          <w:bCs/>
          <w:sz w:val="24"/>
        </w:rPr>
        <w:t xml:space="preserve">Explain each </w:t>
      </w:r>
      <w:r w:rsidRPr="00D244A5">
        <w:rPr>
          <w:b/>
          <w:bCs/>
          <w:sz w:val="24"/>
        </w:rPr>
        <w:t>exception</w:t>
      </w:r>
      <w:r w:rsidRPr="00D244A5">
        <w:rPr>
          <w:b/>
          <w:bCs/>
          <w:spacing w:val="-2"/>
          <w:sz w:val="24"/>
        </w:rPr>
        <w:t xml:space="preserve"> </w:t>
      </w:r>
      <w:r w:rsidRPr="00D244A5">
        <w:rPr>
          <w:b/>
          <w:bCs/>
          <w:sz w:val="24"/>
        </w:rPr>
        <w:t>to</w:t>
      </w:r>
      <w:r w:rsidRPr="00D244A5">
        <w:rPr>
          <w:b/>
          <w:bCs/>
          <w:spacing w:val="-2"/>
          <w:sz w:val="24"/>
        </w:rPr>
        <w:t xml:space="preserve"> </w:t>
      </w:r>
      <w:r w:rsidRPr="00D244A5">
        <w:rPr>
          <w:b/>
          <w:bCs/>
          <w:sz w:val="24"/>
        </w:rPr>
        <w:t>the</w:t>
      </w:r>
      <w:r w:rsidRPr="00D244A5">
        <w:rPr>
          <w:b/>
          <w:bCs/>
          <w:spacing w:val="-3"/>
          <w:sz w:val="24"/>
        </w:rPr>
        <w:t xml:space="preserve"> </w:t>
      </w:r>
      <w:r w:rsidRPr="00D244A5">
        <w:rPr>
          <w:b/>
          <w:bCs/>
          <w:sz w:val="24"/>
        </w:rPr>
        <w:t>certification</w:t>
      </w:r>
      <w:r w:rsidRPr="00D244A5">
        <w:rPr>
          <w:b/>
          <w:bCs/>
          <w:spacing w:val="-4"/>
          <w:sz w:val="24"/>
        </w:rPr>
        <w:t xml:space="preserve"> </w:t>
      </w:r>
      <w:r w:rsidRPr="00D244A5">
        <w:rPr>
          <w:b/>
          <w:bCs/>
          <w:sz w:val="24"/>
        </w:rPr>
        <w:t>statement</w:t>
      </w:r>
      <w:r w:rsidR="00252E27">
        <w:rPr>
          <w:b/>
          <w:bCs/>
          <w:sz w:val="24"/>
        </w:rPr>
        <w:t>.</w:t>
      </w:r>
    </w:p>
    <w:p w:rsidR="003245F2" w:rsidP="00252E27" w14:paraId="1300AEE0" w14:textId="77777777">
      <w:pPr>
        <w:pStyle w:val="BodyText"/>
        <w:tabs>
          <w:tab w:val="left" w:pos="9338"/>
        </w:tabs>
        <w:rPr>
          <w:sz w:val="23"/>
        </w:rPr>
      </w:pPr>
    </w:p>
    <w:p w:rsidR="003245F2" w:rsidP="00252E27" w14:paraId="1C418352" w14:textId="2B685665">
      <w:pPr>
        <w:pStyle w:val="BodyText"/>
        <w:tabs>
          <w:tab w:val="left" w:pos="9338"/>
        </w:tabs>
      </w:pPr>
      <w:r>
        <w:t>This information collection does not include any</w:t>
      </w:r>
      <w:r w:rsidR="00F11949">
        <w:rPr>
          <w:spacing w:val="-3"/>
        </w:rPr>
        <w:t xml:space="preserve"> </w:t>
      </w:r>
      <w:r w:rsidR="00F11949">
        <w:t>exceptions</w:t>
      </w:r>
      <w:r w:rsidR="00F11949">
        <w:rPr>
          <w:spacing w:val="-6"/>
        </w:rPr>
        <w:t xml:space="preserve"> </w:t>
      </w:r>
      <w:r w:rsidR="00F11949">
        <w:t>to</w:t>
      </w:r>
      <w:r w:rsidR="00F11949">
        <w:rPr>
          <w:spacing w:val="-5"/>
        </w:rPr>
        <w:t xml:space="preserve"> </w:t>
      </w:r>
      <w:r w:rsidR="00F11949">
        <w:t>the</w:t>
      </w:r>
      <w:r w:rsidR="00F11949">
        <w:rPr>
          <w:spacing w:val="-6"/>
        </w:rPr>
        <w:t xml:space="preserve"> </w:t>
      </w:r>
      <w:r w:rsidR="00F11949">
        <w:t>certification</w:t>
      </w:r>
      <w:r w:rsidR="00F11949">
        <w:rPr>
          <w:spacing w:val="-5"/>
        </w:rPr>
        <w:t xml:space="preserve"> </w:t>
      </w:r>
      <w:r w:rsidR="00F11949">
        <w:t>statement.</w:t>
      </w:r>
    </w:p>
    <w:p w:rsidR="003245F2" w:rsidP="00ED4ABD" w14:paraId="1857A042" w14:textId="77777777">
      <w:pPr>
        <w:pStyle w:val="BodyText"/>
        <w:tabs>
          <w:tab w:val="left" w:pos="9338"/>
        </w:tabs>
        <w:spacing w:before="7"/>
        <w:ind w:left="360"/>
      </w:pPr>
    </w:p>
    <w:p w:rsidR="003245F2" w:rsidP="00ED4ABD" w14:paraId="74ABB1AE" w14:textId="46FE75FF">
      <w:pPr>
        <w:pStyle w:val="Heading1"/>
        <w:numPr>
          <w:ilvl w:val="0"/>
          <w:numId w:val="1"/>
        </w:numPr>
        <w:tabs>
          <w:tab w:val="left" w:pos="570"/>
          <w:tab w:val="left" w:pos="571"/>
          <w:tab w:val="left" w:pos="9338"/>
        </w:tabs>
        <w:ind w:left="0" w:hanging="720"/>
      </w:pPr>
      <w:r>
        <w:t>THIS COLLECTIONS</w:t>
      </w:r>
      <w:r>
        <w:rPr>
          <w:spacing w:val="-4"/>
        </w:rPr>
        <w:t xml:space="preserve"> </w:t>
      </w:r>
      <w:r>
        <w:t>OF</w:t>
      </w:r>
      <w:r>
        <w:rPr>
          <w:spacing w:val="-2"/>
        </w:rPr>
        <w:t xml:space="preserve"> </w:t>
      </w:r>
      <w:r>
        <w:t>INFORMATION</w:t>
      </w:r>
      <w:r>
        <w:rPr>
          <w:spacing w:val="-3"/>
        </w:rPr>
        <w:t xml:space="preserve"> </w:t>
      </w:r>
      <w:r>
        <w:t>EMPLOYS NO</w:t>
      </w:r>
      <w:r>
        <w:rPr>
          <w:spacing w:val="-3"/>
        </w:rPr>
        <w:t xml:space="preserve"> </w:t>
      </w:r>
      <w:r>
        <w:t>STATISTICAL</w:t>
      </w:r>
      <w:r>
        <w:rPr>
          <w:spacing w:val="-3"/>
        </w:rPr>
        <w:t xml:space="preserve"> </w:t>
      </w:r>
      <w:r>
        <w:t>METHODS.</w:t>
      </w:r>
    </w:p>
    <w:p w:rsidR="003245F2" w:rsidP="00ED4ABD" w14:paraId="79CC58C4" w14:textId="77777777">
      <w:pPr>
        <w:pStyle w:val="BodyText"/>
        <w:tabs>
          <w:tab w:val="left" w:pos="9338"/>
        </w:tabs>
        <w:spacing w:before="7"/>
        <w:ind w:left="360"/>
        <w:rPr>
          <w:b/>
          <w:sz w:val="23"/>
        </w:rPr>
      </w:pPr>
    </w:p>
    <w:p w:rsidR="003245F2" w:rsidP="00D504A9" w14:paraId="2F766172" w14:textId="42A1B47E">
      <w:pPr>
        <w:pStyle w:val="BodyText"/>
        <w:tabs>
          <w:tab w:val="left" w:pos="9338"/>
        </w:tabs>
      </w:pPr>
      <w:r>
        <w:t>This collection does not employ statistical methods.</w:t>
      </w:r>
    </w:p>
    <w:sectPr w:rsidSect="00C46A3D">
      <w:headerReference w:type="default" r:id="rId8"/>
      <w:footerReference w:type="default" r:id="rId9"/>
      <w:pgSz w:w="12240" w:h="15840"/>
      <w:pgMar w:top="1440" w:right="1440" w:bottom="1440" w:left="1440" w:header="720" w:footer="100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45F2" w14:paraId="2A5B5CC2" w14:textId="1677FEFE">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3767455</wp:posOffset>
              </wp:positionH>
              <wp:positionV relativeFrom="page">
                <wp:posOffset>9277350</wp:posOffset>
              </wp:positionV>
              <wp:extent cx="159385" cy="180975"/>
              <wp:effectExtent l="0" t="0" r="0" b="0"/>
              <wp:wrapNone/>
              <wp:docPr id="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938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245F2" w14:textId="77777777">
                          <w:pPr>
                            <w:spacing w:before="11"/>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2.55pt;height:14.25pt;margin-top:730.5pt;margin-left:296.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3245F2" w14:paraId="207D1715" w14:textId="77777777">
                    <w:pPr>
                      <w:spacing w:before="11"/>
                      <w:ind w:left="60"/>
                    </w:pPr>
                    <w:r>
                      <w:fldChar w:fldCharType="begin"/>
                    </w:r>
                    <w:r>
                      <w:instrText xml:space="preserve"> PAGE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6513" w:rsidRPr="0038207A" w:rsidP="000D4D16" w14:paraId="6E236BB7" w14:textId="0A9C7127">
    <w:pPr>
      <w:pStyle w:val="Header"/>
      <w:rPr>
        <w:sz w:val="20"/>
        <w:szCs w:val="20"/>
      </w:rPr>
    </w:pPr>
    <w:r w:rsidRPr="0038207A">
      <w:rPr>
        <w:sz w:val="20"/>
        <w:szCs w:val="20"/>
      </w:rPr>
      <w:t>Records of Acquisition and Disposition</w:t>
    </w:r>
    <w:r w:rsidR="001E5E30">
      <w:rPr>
        <w:sz w:val="20"/>
        <w:szCs w:val="20"/>
      </w:rPr>
      <w:t xml:space="preserve">: </w:t>
    </w:r>
    <w:r w:rsidRPr="0038207A">
      <w:rPr>
        <w:sz w:val="20"/>
        <w:szCs w:val="20"/>
      </w:rPr>
      <w:t>Dealers</w:t>
    </w:r>
    <w:r w:rsidR="005A7C2D">
      <w:rPr>
        <w:sz w:val="20"/>
        <w:szCs w:val="20"/>
      </w:rPr>
      <w:t>/Pawnbrokers</w:t>
    </w:r>
    <w:r w:rsidRPr="0038207A">
      <w:rPr>
        <w:sz w:val="20"/>
        <w:szCs w:val="20"/>
      </w:rPr>
      <w:t xml:space="preserve"> of Type 01/02 Firearms, and Collectors</w:t>
    </w:r>
    <w:r w:rsidR="00111FE8">
      <w:rPr>
        <w:sz w:val="20"/>
        <w:szCs w:val="20"/>
      </w:rPr>
      <w:t xml:space="preserve"> </w:t>
    </w:r>
    <w:r w:rsidRPr="0038207A">
      <w:rPr>
        <w:sz w:val="20"/>
        <w:szCs w:val="20"/>
      </w:rPr>
      <w:t>of Type 03 Firearm</w:t>
    </w:r>
    <w:r w:rsidRPr="0038207A" w:rsidR="00796821">
      <w:rPr>
        <w:sz w:val="20"/>
        <w:szCs w:val="20"/>
      </w:rPr>
      <w:t>s</w:t>
    </w:r>
  </w:p>
  <w:p w:rsidR="00796821" w:rsidRPr="0038207A" w:rsidP="000D4D16" w14:paraId="17E998E4" w14:textId="42829396">
    <w:pPr>
      <w:pStyle w:val="Header"/>
      <w:rPr>
        <w:sz w:val="20"/>
        <w:szCs w:val="20"/>
      </w:rPr>
    </w:pPr>
    <w:r w:rsidRPr="0038207A">
      <w:rPr>
        <w:sz w:val="20"/>
        <w:szCs w:val="20"/>
      </w:rPr>
      <w:t>OMB Control Number: 1140-0032</w:t>
    </w:r>
  </w:p>
  <w:p w:rsidR="00796821" w:rsidP="000D4D16" w14:paraId="00F7E31E" w14:textId="26C76DD9">
    <w:pPr>
      <w:pStyle w:val="Header"/>
      <w:rPr>
        <w:sz w:val="20"/>
        <w:szCs w:val="20"/>
      </w:rPr>
    </w:pPr>
    <w:r w:rsidRPr="0038207A">
      <w:rPr>
        <w:sz w:val="20"/>
        <w:szCs w:val="20"/>
      </w:rPr>
      <w:t xml:space="preserve">OMB Expiration Date:  </w:t>
    </w:r>
    <w:r w:rsidRPr="0038207A" w:rsidR="00D75349">
      <w:rPr>
        <w:sz w:val="20"/>
        <w:szCs w:val="20"/>
      </w:rPr>
      <w:t>07/31/202</w:t>
    </w:r>
    <w:r w:rsidRPr="0038207A" w:rsidR="00CD51AA">
      <w:rPr>
        <w:sz w:val="20"/>
        <w:szCs w:val="20"/>
      </w:rPr>
      <w:t>5</w:t>
    </w:r>
  </w:p>
  <w:p w:rsidR="00FC5F43" w:rsidRPr="0038207A" w:rsidP="000D4D16" w14:paraId="66001321" w14:textId="77777777">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4798C"/>
    <w:multiLevelType w:val="multilevel"/>
    <w:tmpl w:val="6A6C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713CC7"/>
    <w:multiLevelType w:val="hybridMultilevel"/>
    <w:tmpl w:val="D71CE7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2E783D"/>
    <w:multiLevelType w:val="multilevel"/>
    <w:tmpl w:val="26C8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3E32263"/>
    <w:multiLevelType w:val="multilevel"/>
    <w:tmpl w:val="B43C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5C54F75"/>
    <w:multiLevelType w:val="multilevel"/>
    <w:tmpl w:val="21B8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6BB071C"/>
    <w:multiLevelType w:val="multilevel"/>
    <w:tmpl w:val="D526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DBC16A6"/>
    <w:multiLevelType w:val="multilevel"/>
    <w:tmpl w:val="3FF64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FE201B6"/>
    <w:multiLevelType w:val="hybridMultilevel"/>
    <w:tmpl w:val="C900A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D9A5A30"/>
    <w:multiLevelType w:val="multilevel"/>
    <w:tmpl w:val="4CCA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DC11955"/>
    <w:multiLevelType w:val="hybridMultilevel"/>
    <w:tmpl w:val="03483196"/>
    <w:lvl w:ilvl="0">
      <w:start w:val="1"/>
      <w:numFmt w:val="upperLetter"/>
      <w:lvlText w:val="%1."/>
      <w:lvlJc w:val="left"/>
      <w:pPr>
        <w:ind w:left="570" w:hanging="454"/>
      </w:pPr>
      <w:rPr>
        <w:rFonts w:ascii="Times New Roman" w:eastAsia="Times New Roman" w:hAnsi="Times New Roman" w:cs="Times New Roman" w:hint="default"/>
        <w:b/>
        <w:bCs/>
        <w:i w:val="0"/>
        <w:iCs w:val="0"/>
        <w:spacing w:val="-2"/>
        <w:w w:val="96"/>
        <w:sz w:val="24"/>
        <w:szCs w:val="24"/>
        <w:lang w:val="en-US" w:eastAsia="en-US" w:bidi="ar-SA"/>
      </w:rPr>
    </w:lvl>
    <w:lvl w:ilvl="1">
      <w:start w:val="1"/>
      <w:numFmt w:val="decimal"/>
      <w:lvlText w:val="%2."/>
      <w:lvlJc w:val="left"/>
      <w:pPr>
        <w:ind w:left="363" w:hanging="363"/>
      </w:pPr>
      <w:rPr>
        <w:rFonts w:ascii="Times New Roman" w:eastAsia="Times New Roman" w:hAnsi="Times New Roman" w:cs="Times New Roman" w:hint="default"/>
        <w:b w:val="0"/>
        <w:bCs w:val="0"/>
        <w:i w:val="0"/>
        <w:iCs w:val="0"/>
        <w:spacing w:val="-4"/>
        <w:w w:val="95"/>
        <w:sz w:val="24"/>
        <w:szCs w:val="24"/>
        <w:lang w:val="en-US" w:eastAsia="en-US" w:bidi="ar-SA"/>
      </w:rPr>
    </w:lvl>
    <w:lvl w:ilvl="2">
      <w:start w:val="0"/>
      <w:numFmt w:val="bullet"/>
      <w:lvlText w:val="•"/>
      <w:lvlJc w:val="left"/>
      <w:pPr>
        <w:ind w:left="1828" w:hanging="363"/>
      </w:pPr>
      <w:rPr>
        <w:rFonts w:hint="default"/>
        <w:lang w:val="en-US" w:eastAsia="en-US" w:bidi="ar-SA"/>
      </w:rPr>
    </w:lvl>
    <w:lvl w:ilvl="3">
      <w:start w:val="0"/>
      <w:numFmt w:val="bullet"/>
      <w:lvlText w:val="•"/>
      <w:lvlJc w:val="left"/>
      <w:pPr>
        <w:ind w:left="2717" w:hanging="363"/>
      </w:pPr>
      <w:rPr>
        <w:rFonts w:hint="default"/>
        <w:lang w:val="en-US" w:eastAsia="en-US" w:bidi="ar-SA"/>
      </w:rPr>
    </w:lvl>
    <w:lvl w:ilvl="4">
      <w:start w:val="0"/>
      <w:numFmt w:val="bullet"/>
      <w:lvlText w:val="•"/>
      <w:lvlJc w:val="left"/>
      <w:pPr>
        <w:ind w:left="3606" w:hanging="363"/>
      </w:pPr>
      <w:rPr>
        <w:rFonts w:hint="default"/>
        <w:lang w:val="en-US" w:eastAsia="en-US" w:bidi="ar-SA"/>
      </w:rPr>
    </w:lvl>
    <w:lvl w:ilvl="5">
      <w:start w:val="0"/>
      <w:numFmt w:val="bullet"/>
      <w:lvlText w:val="•"/>
      <w:lvlJc w:val="left"/>
      <w:pPr>
        <w:ind w:left="4495" w:hanging="363"/>
      </w:pPr>
      <w:rPr>
        <w:rFonts w:hint="default"/>
        <w:lang w:val="en-US" w:eastAsia="en-US" w:bidi="ar-SA"/>
      </w:rPr>
    </w:lvl>
    <w:lvl w:ilvl="6">
      <w:start w:val="0"/>
      <w:numFmt w:val="bullet"/>
      <w:lvlText w:val="•"/>
      <w:lvlJc w:val="left"/>
      <w:pPr>
        <w:ind w:left="5384" w:hanging="363"/>
      </w:pPr>
      <w:rPr>
        <w:rFonts w:hint="default"/>
        <w:lang w:val="en-US" w:eastAsia="en-US" w:bidi="ar-SA"/>
      </w:rPr>
    </w:lvl>
    <w:lvl w:ilvl="7">
      <w:start w:val="0"/>
      <w:numFmt w:val="bullet"/>
      <w:lvlText w:val="•"/>
      <w:lvlJc w:val="left"/>
      <w:pPr>
        <w:ind w:left="6273" w:hanging="363"/>
      </w:pPr>
      <w:rPr>
        <w:rFonts w:hint="default"/>
        <w:lang w:val="en-US" w:eastAsia="en-US" w:bidi="ar-SA"/>
      </w:rPr>
    </w:lvl>
    <w:lvl w:ilvl="8">
      <w:start w:val="0"/>
      <w:numFmt w:val="bullet"/>
      <w:lvlText w:val="•"/>
      <w:lvlJc w:val="left"/>
      <w:pPr>
        <w:ind w:left="7162" w:hanging="363"/>
      </w:pPr>
      <w:rPr>
        <w:rFonts w:hint="default"/>
        <w:lang w:val="en-US" w:eastAsia="en-US" w:bidi="ar-SA"/>
      </w:rPr>
    </w:lvl>
  </w:abstractNum>
  <w:abstractNum w:abstractNumId="10">
    <w:nsid w:val="50F7551E"/>
    <w:multiLevelType w:val="multilevel"/>
    <w:tmpl w:val="33606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2F967DE"/>
    <w:multiLevelType w:val="multilevel"/>
    <w:tmpl w:val="13E0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32E5103"/>
    <w:multiLevelType w:val="multilevel"/>
    <w:tmpl w:val="4D36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C810E92"/>
    <w:multiLevelType w:val="multilevel"/>
    <w:tmpl w:val="6C0A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1EA2A93"/>
    <w:multiLevelType w:val="multilevel"/>
    <w:tmpl w:val="0C3E0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7672B23"/>
    <w:multiLevelType w:val="multilevel"/>
    <w:tmpl w:val="14AA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A6E2205"/>
    <w:multiLevelType w:val="multilevel"/>
    <w:tmpl w:val="B88E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5595524">
    <w:abstractNumId w:val="9"/>
  </w:num>
  <w:num w:numId="2" w16cid:durableId="1112242757">
    <w:abstractNumId w:val="8"/>
  </w:num>
  <w:num w:numId="3" w16cid:durableId="1425342609">
    <w:abstractNumId w:val="16"/>
  </w:num>
  <w:num w:numId="4" w16cid:durableId="332876412">
    <w:abstractNumId w:val="14"/>
  </w:num>
  <w:num w:numId="5" w16cid:durableId="1722554071">
    <w:abstractNumId w:val="5"/>
  </w:num>
  <w:num w:numId="6" w16cid:durableId="568466786">
    <w:abstractNumId w:val="10"/>
  </w:num>
  <w:num w:numId="7" w16cid:durableId="1439831662">
    <w:abstractNumId w:val="4"/>
  </w:num>
  <w:num w:numId="8" w16cid:durableId="43721360">
    <w:abstractNumId w:val="11"/>
  </w:num>
  <w:num w:numId="9" w16cid:durableId="1432580318">
    <w:abstractNumId w:val="13"/>
  </w:num>
  <w:num w:numId="10" w16cid:durableId="1375233107">
    <w:abstractNumId w:val="1"/>
  </w:num>
  <w:num w:numId="11" w16cid:durableId="436606205">
    <w:abstractNumId w:val="15"/>
  </w:num>
  <w:num w:numId="12" w16cid:durableId="1914048699">
    <w:abstractNumId w:val="12"/>
  </w:num>
  <w:num w:numId="13" w16cid:durableId="1229150003">
    <w:abstractNumId w:val="0"/>
  </w:num>
  <w:num w:numId="14" w16cid:durableId="398328742">
    <w:abstractNumId w:val="6"/>
  </w:num>
  <w:num w:numId="15" w16cid:durableId="1854690099">
    <w:abstractNumId w:val="3"/>
  </w:num>
  <w:num w:numId="16" w16cid:durableId="1058824512">
    <w:abstractNumId w:val="2"/>
  </w:num>
  <w:num w:numId="17" w16cid:durableId="15237847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5F2"/>
    <w:rsid w:val="00017190"/>
    <w:rsid w:val="00022A00"/>
    <w:rsid w:val="0003012C"/>
    <w:rsid w:val="00030AE5"/>
    <w:rsid w:val="00042685"/>
    <w:rsid w:val="0004513B"/>
    <w:rsid w:val="00045C7A"/>
    <w:rsid w:val="00055B5A"/>
    <w:rsid w:val="000613DE"/>
    <w:rsid w:val="00063660"/>
    <w:rsid w:val="00073248"/>
    <w:rsid w:val="0007344D"/>
    <w:rsid w:val="00076C68"/>
    <w:rsid w:val="0008007B"/>
    <w:rsid w:val="00084694"/>
    <w:rsid w:val="00084ECA"/>
    <w:rsid w:val="00086B75"/>
    <w:rsid w:val="00091E9B"/>
    <w:rsid w:val="00092CBB"/>
    <w:rsid w:val="000944B0"/>
    <w:rsid w:val="00095B6F"/>
    <w:rsid w:val="00095EB2"/>
    <w:rsid w:val="0009624B"/>
    <w:rsid w:val="000A36AB"/>
    <w:rsid w:val="000B1279"/>
    <w:rsid w:val="000B12C2"/>
    <w:rsid w:val="000B3C98"/>
    <w:rsid w:val="000C10E7"/>
    <w:rsid w:val="000C3BC0"/>
    <w:rsid w:val="000C6154"/>
    <w:rsid w:val="000D0CA4"/>
    <w:rsid w:val="000D291B"/>
    <w:rsid w:val="000D4D16"/>
    <w:rsid w:val="000D5B80"/>
    <w:rsid w:val="000D6303"/>
    <w:rsid w:val="000D7F78"/>
    <w:rsid w:val="000E3299"/>
    <w:rsid w:val="000E4E57"/>
    <w:rsid w:val="000E53AC"/>
    <w:rsid w:val="000F1505"/>
    <w:rsid w:val="000F7448"/>
    <w:rsid w:val="000F7640"/>
    <w:rsid w:val="0010490B"/>
    <w:rsid w:val="00105A7E"/>
    <w:rsid w:val="00106B76"/>
    <w:rsid w:val="00107721"/>
    <w:rsid w:val="00111FE8"/>
    <w:rsid w:val="0011443C"/>
    <w:rsid w:val="00116552"/>
    <w:rsid w:val="001171FF"/>
    <w:rsid w:val="00122144"/>
    <w:rsid w:val="00123BA9"/>
    <w:rsid w:val="00124B03"/>
    <w:rsid w:val="0012758B"/>
    <w:rsid w:val="00135E91"/>
    <w:rsid w:val="00136D73"/>
    <w:rsid w:val="00137331"/>
    <w:rsid w:val="001446A4"/>
    <w:rsid w:val="001522CA"/>
    <w:rsid w:val="00153D8B"/>
    <w:rsid w:val="00154405"/>
    <w:rsid w:val="00156485"/>
    <w:rsid w:val="001648B5"/>
    <w:rsid w:val="00171589"/>
    <w:rsid w:val="001716DD"/>
    <w:rsid w:val="001755A2"/>
    <w:rsid w:val="0017736D"/>
    <w:rsid w:val="00182625"/>
    <w:rsid w:val="00182F14"/>
    <w:rsid w:val="00182FCE"/>
    <w:rsid w:val="001932AF"/>
    <w:rsid w:val="00194AF0"/>
    <w:rsid w:val="0019615B"/>
    <w:rsid w:val="001A037E"/>
    <w:rsid w:val="001B315A"/>
    <w:rsid w:val="001B7084"/>
    <w:rsid w:val="001C04AE"/>
    <w:rsid w:val="001C0B13"/>
    <w:rsid w:val="001C35F9"/>
    <w:rsid w:val="001C6AE5"/>
    <w:rsid w:val="001D1A21"/>
    <w:rsid w:val="001E4703"/>
    <w:rsid w:val="001E4B3C"/>
    <w:rsid w:val="001E5E30"/>
    <w:rsid w:val="001F3514"/>
    <w:rsid w:val="001F4559"/>
    <w:rsid w:val="001F657D"/>
    <w:rsid w:val="00206B49"/>
    <w:rsid w:val="00207618"/>
    <w:rsid w:val="002121BC"/>
    <w:rsid w:val="00215D23"/>
    <w:rsid w:val="00221DBF"/>
    <w:rsid w:val="00222A02"/>
    <w:rsid w:val="002257BF"/>
    <w:rsid w:val="00225B34"/>
    <w:rsid w:val="00236F40"/>
    <w:rsid w:val="00240499"/>
    <w:rsid w:val="00252E27"/>
    <w:rsid w:val="0026378D"/>
    <w:rsid w:val="00270257"/>
    <w:rsid w:val="00271EF8"/>
    <w:rsid w:val="00272F3B"/>
    <w:rsid w:val="00274E1B"/>
    <w:rsid w:val="0027548D"/>
    <w:rsid w:val="00276037"/>
    <w:rsid w:val="00277006"/>
    <w:rsid w:val="00285441"/>
    <w:rsid w:val="00286A72"/>
    <w:rsid w:val="00290C42"/>
    <w:rsid w:val="002A0878"/>
    <w:rsid w:val="002A2229"/>
    <w:rsid w:val="002A5585"/>
    <w:rsid w:val="002B0567"/>
    <w:rsid w:val="002B2F30"/>
    <w:rsid w:val="002B5624"/>
    <w:rsid w:val="002B5DF8"/>
    <w:rsid w:val="002B7109"/>
    <w:rsid w:val="002B791A"/>
    <w:rsid w:val="002C0F73"/>
    <w:rsid w:val="002D0DD7"/>
    <w:rsid w:val="002D2B52"/>
    <w:rsid w:val="002D4C62"/>
    <w:rsid w:val="002E11C6"/>
    <w:rsid w:val="002E3252"/>
    <w:rsid w:val="002E483C"/>
    <w:rsid w:val="002E4DA8"/>
    <w:rsid w:val="002F38F3"/>
    <w:rsid w:val="00301AB4"/>
    <w:rsid w:val="00302EC7"/>
    <w:rsid w:val="0030322A"/>
    <w:rsid w:val="003055B4"/>
    <w:rsid w:val="00306DC8"/>
    <w:rsid w:val="003204E9"/>
    <w:rsid w:val="003240FD"/>
    <w:rsid w:val="003245F2"/>
    <w:rsid w:val="0032497C"/>
    <w:rsid w:val="00327149"/>
    <w:rsid w:val="0032773F"/>
    <w:rsid w:val="00332862"/>
    <w:rsid w:val="00336D03"/>
    <w:rsid w:val="00337B86"/>
    <w:rsid w:val="003501D8"/>
    <w:rsid w:val="00353534"/>
    <w:rsid w:val="00367557"/>
    <w:rsid w:val="00371D0A"/>
    <w:rsid w:val="00372124"/>
    <w:rsid w:val="00374A63"/>
    <w:rsid w:val="003752D4"/>
    <w:rsid w:val="0038207A"/>
    <w:rsid w:val="00387420"/>
    <w:rsid w:val="003923F4"/>
    <w:rsid w:val="003A1791"/>
    <w:rsid w:val="003A683F"/>
    <w:rsid w:val="003B0600"/>
    <w:rsid w:val="003B068C"/>
    <w:rsid w:val="003B07F7"/>
    <w:rsid w:val="003C4FAD"/>
    <w:rsid w:val="003D18D4"/>
    <w:rsid w:val="003D2620"/>
    <w:rsid w:val="003D740B"/>
    <w:rsid w:val="003D7FF3"/>
    <w:rsid w:val="003E1A00"/>
    <w:rsid w:val="003E1C8C"/>
    <w:rsid w:val="003E2F0B"/>
    <w:rsid w:val="003E4385"/>
    <w:rsid w:val="003F0C02"/>
    <w:rsid w:val="003F1482"/>
    <w:rsid w:val="0040187F"/>
    <w:rsid w:val="004019C2"/>
    <w:rsid w:val="00413E81"/>
    <w:rsid w:val="004147AE"/>
    <w:rsid w:val="00420603"/>
    <w:rsid w:val="00423A76"/>
    <w:rsid w:val="00426E81"/>
    <w:rsid w:val="00455D48"/>
    <w:rsid w:val="0045626E"/>
    <w:rsid w:val="004567D1"/>
    <w:rsid w:val="004577B2"/>
    <w:rsid w:val="00460F67"/>
    <w:rsid w:val="00467EBD"/>
    <w:rsid w:val="004701E7"/>
    <w:rsid w:val="004721A2"/>
    <w:rsid w:val="00474A55"/>
    <w:rsid w:val="00475CAB"/>
    <w:rsid w:val="00476F2F"/>
    <w:rsid w:val="00481173"/>
    <w:rsid w:val="004827E6"/>
    <w:rsid w:val="00482C37"/>
    <w:rsid w:val="0048392C"/>
    <w:rsid w:val="00487D73"/>
    <w:rsid w:val="004A096D"/>
    <w:rsid w:val="004A35EA"/>
    <w:rsid w:val="004A3DA8"/>
    <w:rsid w:val="004B7B1A"/>
    <w:rsid w:val="004C530B"/>
    <w:rsid w:val="004C6B3A"/>
    <w:rsid w:val="004D68BB"/>
    <w:rsid w:val="004E25B3"/>
    <w:rsid w:val="004F3581"/>
    <w:rsid w:val="004F6202"/>
    <w:rsid w:val="005148B6"/>
    <w:rsid w:val="005209AC"/>
    <w:rsid w:val="0052118C"/>
    <w:rsid w:val="00521623"/>
    <w:rsid w:val="00526F41"/>
    <w:rsid w:val="00527B95"/>
    <w:rsid w:val="00532BF5"/>
    <w:rsid w:val="00534699"/>
    <w:rsid w:val="00543BDC"/>
    <w:rsid w:val="005563E4"/>
    <w:rsid w:val="00560EFD"/>
    <w:rsid w:val="00565DA4"/>
    <w:rsid w:val="00577B25"/>
    <w:rsid w:val="00591E04"/>
    <w:rsid w:val="005A0E3A"/>
    <w:rsid w:val="005A4A87"/>
    <w:rsid w:val="005A7C2D"/>
    <w:rsid w:val="005B0938"/>
    <w:rsid w:val="005B25C4"/>
    <w:rsid w:val="005B4572"/>
    <w:rsid w:val="005C2C01"/>
    <w:rsid w:val="005C3FEB"/>
    <w:rsid w:val="005C759B"/>
    <w:rsid w:val="005D6312"/>
    <w:rsid w:val="005D6BB7"/>
    <w:rsid w:val="005E0642"/>
    <w:rsid w:val="005E2466"/>
    <w:rsid w:val="005E4F08"/>
    <w:rsid w:val="005F17A3"/>
    <w:rsid w:val="005F1D0F"/>
    <w:rsid w:val="005F2B2F"/>
    <w:rsid w:val="005F5A04"/>
    <w:rsid w:val="0060053A"/>
    <w:rsid w:val="0060208F"/>
    <w:rsid w:val="006207A1"/>
    <w:rsid w:val="00623BFC"/>
    <w:rsid w:val="00625196"/>
    <w:rsid w:val="00625A3A"/>
    <w:rsid w:val="00631ED3"/>
    <w:rsid w:val="006378FB"/>
    <w:rsid w:val="006415EA"/>
    <w:rsid w:val="00655729"/>
    <w:rsid w:val="0065654E"/>
    <w:rsid w:val="006601B4"/>
    <w:rsid w:val="006626FF"/>
    <w:rsid w:val="00667A94"/>
    <w:rsid w:val="00674E8F"/>
    <w:rsid w:val="00680F64"/>
    <w:rsid w:val="00681356"/>
    <w:rsid w:val="0068295D"/>
    <w:rsid w:val="006A206E"/>
    <w:rsid w:val="006A2162"/>
    <w:rsid w:val="006B180D"/>
    <w:rsid w:val="006B49CF"/>
    <w:rsid w:val="006B76F4"/>
    <w:rsid w:val="006B7945"/>
    <w:rsid w:val="006C102C"/>
    <w:rsid w:val="006C2BC9"/>
    <w:rsid w:val="006C6973"/>
    <w:rsid w:val="006C69DB"/>
    <w:rsid w:val="006C7E52"/>
    <w:rsid w:val="006D7086"/>
    <w:rsid w:val="006E7A7A"/>
    <w:rsid w:val="00703CE7"/>
    <w:rsid w:val="00706954"/>
    <w:rsid w:val="00707F99"/>
    <w:rsid w:val="007113A2"/>
    <w:rsid w:val="00711E91"/>
    <w:rsid w:val="007125F9"/>
    <w:rsid w:val="00713482"/>
    <w:rsid w:val="00717D66"/>
    <w:rsid w:val="00720867"/>
    <w:rsid w:val="007317FA"/>
    <w:rsid w:val="00736215"/>
    <w:rsid w:val="00737A9D"/>
    <w:rsid w:val="007434B3"/>
    <w:rsid w:val="007437DD"/>
    <w:rsid w:val="00744BBF"/>
    <w:rsid w:val="007451CC"/>
    <w:rsid w:val="007471B5"/>
    <w:rsid w:val="007500A8"/>
    <w:rsid w:val="007513DC"/>
    <w:rsid w:val="00751748"/>
    <w:rsid w:val="00752F12"/>
    <w:rsid w:val="007531E2"/>
    <w:rsid w:val="007561F7"/>
    <w:rsid w:val="00764609"/>
    <w:rsid w:val="00766328"/>
    <w:rsid w:val="00771500"/>
    <w:rsid w:val="0077200C"/>
    <w:rsid w:val="00776FAC"/>
    <w:rsid w:val="00780A9B"/>
    <w:rsid w:val="00784EAE"/>
    <w:rsid w:val="00785D3F"/>
    <w:rsid w:val="00790868"/>
    <w:rsid w:val="007920DD"/>
    <w:rsid w:val="0079223C"/>
    <w:rsid w:val="00792B8F"/>
    <w:rsid w:val="00796821"/>
    <w:rsid w:val="007A04AD"/>
    <w:rsid w:val="007A06EF"/>
    <w:rsid w:val="007A24E0"/>
    <w:rsid w:val="007A4B8A"/>
    <w:rsid w:val="007B1CF5"/>
    <w:rsid w:val="007B1F86"/>
    <w:rsid w:val="007B3F6F"/>
    <w:rsid w:val="007C1BF0"/>
    <w:rsid w:val="007F0A13"/>
    <w:rsid w:val="007F5740"/>
    <w:rsid w:val="007F767A"/>
    <w:rsid w:val="00805E75"/>
    <w:rsid w:val="008062A3"/>
    <w:rsid w:val="00812D19"/>
    <w:rsid w:val="00817F6A"/>
    <w:rsid w:val="00821EDD"/>
    <w:rsid w:val="008224B1"/>
    <w:rsid w:val="00822534"/>
    <w:rsid w:val="0082610E"/>
    <w:rsid w:val="00830070"/>
    <w:rsid w:val="00830F1D"/>
    <w:rsid w:val="00833D3E"/>
    <w:rsid w:val="00835DFA"/>
    <w:rsid w:val="0083602C"/>
    <w:rsid w:val="008367FA"/>
    <w:rsid w:val="00837378"/>
    <w:rsid w:val="00840863"/>
    <w:rsid w:val="008408BD"/>
    <w:rsid w:val="008418D9"/>
    <w:rsid w:val="00847010"/>
    <w:rsid w:val="00847672"/>
    <w:rsid w:val="008505DA"/>
    <w:rsid w:val="00856A2B"/>
    <w:rsid w:val="008643B1"/>
    <w:rsid w:val="00870095"/>
    <w:rsid w:val="00874E06"/>
    <w:rsid w:val="00876D79"/>
    <w:rsid w:val="008776AA"/>
    <w:rsid w:val="008900CD"/>
    <w:rsid w:val="00893202"/>
    <w:rsid w:val="0089488A"/>
    <w:rsid w:val="008977DC"/>
    <w:rsid w:val="008A32C1"/>
    <w:rsid w:val="008A554C"/>
    <w:rsid w:val="008B3FB2"/>
    <w:rsid w:val="008B7977"/>
    <w:rsid w:val="008B7A72"/>
    <w:rsid w:val="008C0093"/>
    <w:rsid w:val="008C08F4"/>
    <w:rsid w:val="008D00E1"/>
    <w:rsid w:val="008D0CBD"/>
    <w:rsid w:val="008D5AAD"/>
    <w:rsid w:val="008D5B02"/>
    <w:rsid w:val="008D6056"/>
    <w:rsid w:val="008D6C18"/>
    <w:rsid w:val="008E5E47"/>
    <w:rsid w:val="008E64BC"/>
    <w:rsid w:val="008F5DAB"/>
    <w:rsid w:val="008F5DCF"/>
    <w:rsid w:val="008F6E31"/>
    <w:rsid w:val="00912C52"/>
    <w:rsid w:val="00914049"/>
    <w:rsid w:val="009328D6"/>
    <w:rsid w:val="00940DF8"/>
    <w:rsid w:val="00941CFE"/>
    <w:rsid w:val="0094242D"/>
    <w:rsid w:val="009461FD"/>
    <w:rsid w:val="00950568"/>
    <w:rsid w:val="0095151D"/>
    <w:rsid w:val="00966FF8"/>
    <w:rsid w:val="009716E7"/>
    <w:rsid w:val="00972F8C"/>
    <w:rsid w:val="00976513"/>
    <w:rsid w:val="009822BE"/>
    <w:rsid w:val="0099247A"/>
    <w:rsid w:val="0099596F"/>
    <w:rsid w:val="009A3D3C"/>
    <w:rsid w:val="009A5CF8"/>
    <w:rsid w:val="009B2C51"/>
    <w:rsid w:val="009B414C"/>
    <w:rsid w:val="009B4992"/>
    <w:rsid w:val="009B7D28"/>
    <w:rsid w:val="009C0600"/>
    <w:rsid w:val="009C1B0B"/>
    <w:rsid w:val="009C4D76"/>
    <w:rsid w:val="009C58BF"/>
    <w:rsid w:val="009D5369"/>
    <w:rsid w:val="009D5912"/>
    <w:rsid w:val="009D6CD5"/>
    <w:rsid w:val="009D6F9E"/>
    <w:rsid w:val="009E02E2"/>
    <w:rsid w:val="009E14A3"/>
    <w:rsid w:val="009F1AD3"/>
    <w:rsid w:val="009F1F84"/>
    <w:rsid w:val="009F64B5"/>
    <w:rsid w:val="00A01CF9"/>
    <w:rsid w:val="00A047F7"/>
    <w:rsid w:val="00A05594"/>
    <w:rsid w:val="00A132FA"/>
    <w:rsid w:val="00A15165"/>
    <w:rsid w:val="00A16118"/>
    <w:rsid w:val="00A16284"/>
    <w:rsid w:val="00A30C61"/>
    <w:rsid w:val="00A34279"/>
    <w:rsid w:val="00A379BC"/>
    <w:rsid w:val="00A4099E"/>
    <w:rsid w:val="00A45F67"/>
    <w:rsid w:val="00A46724"/>
    <w:rsid w:val="00A46C7F"/>
    <w:rsid w:val="00A505BE"/>
    <w:rsid w:val="00A519BF"/>
    <w:rsid w:val="00A55741"/>
    <w:rsid w:val="00A55FBA"/>
    <w:rsid w:val="00A6102B"/>
    <w:rsid w:val="00A6477B"/>
    <w:rsid w:val="00A6719E"/>
    <w:rsid w:val="00A70370"/>
    <w:rsid w:val="00A70382"/>
    <w:rsid w:val="00A8020B"/>
    <w:rsid w:val="00A84E68"/>
    <w:rsid w:val="00A85DBE"/>
    <w:rsid w:val="00A90C4A"/>
    <w:rsid w:val="00A929AB"/>
    <w:rsid w:val="00A92F6F"/>
    <w:rsid w:val="00A93D06"/>
    <w:rsid w:val="00AA79CA"/>
    <w:rsid w:val="00AB0CC5"/>
    <w:rsid w:val="00AB1063"/>
    <w:rsid w:val="00AB1ACA"/>
    <w:rsid w:val="00AB23A9"/>
    <w:rsid w:val="00AB2623"/>
    <w:rsid w:val="00AB48AC"/>
    <w:rsid w:val="00AB4E5D"/>
    <w:rsid w:val="00AB6FA1"/>
    <w:rsid w:val="00AB7E1C"/>
    <w:rsid w:val="00AC1818"/>
    <w:rsid w:val="00AD009D"/>
    <w:rsid w:val="00AD25CD"/>
    <w:rsid w:val="00AD34FE"/>
    <w:rsid w:val="00AD53E0"/>
    <w:rsid w:val="00AE0636"/>
    <w:rsid w:val="00AE622D"/>
    <w:rsid w:val="00AF0244"/>
    <w:rsid w:val="00AF7718"/>
    <w:rsid w:val="00AF7B43"/>
    <w:rsid w:val="00B00932"/>
    <w:rsid w:val="00B016AA"/>
    <w:rsid w:val="00B034F5"/>
    <w:rsid w:val="00B03CD4"/>
    <w:rsid w:val="00B0585D"/>
    <w:rsid w:val="00B05F35"/>
    <w:rsid w:val="00B06C27"/>
    <w:rsid w:val="00B129DC"/>
    <w:rsid w:val="00B21D10"/>
    <w:rsid w:val="00B351B3"/>
    <w:rsid w:val="00B367FA"/>
    <w:rsid w:val="00B36A7F"/>
    <w:rsid w:val="00B442E2"/>
    <w:rsid w:val="00B44C26"/>
    <w:rsid w:val="00B46D18"/>
    <w:rsid w:val="00B47975"/>
    <w:rsid w:val="00B52AAF"/>
    <w:rsid w:val="00B6295C"/>
    <w:rsid w:val="00B72EC1"/>
    <w:rsid w:val="00B73A88"/>
    <w:rsid w:val="00B927C5"/>
    <w:rsid w:val="00B92FA4"/>
    <w:rsid w:val="00B9306D"/>
    <w:rsid w:val="00BA2221"/>
    <w:rsid w:val="00BA3D1C"/>
    <w:rsid w:val="00BA5207"/>
    <w:rsid w:val="00BB09FE"/>
    <w:rsid w:val="00BB1C3E"/>
    <w:rsid w:val="00BB325C"/>
    <w:rsid w:val="00BB66A8"/>
    <w:rsid w:val="00BB68A4"/>
    <w:rsid w:val="00BC4C5C"/>
    <w:rsid w:val="00BD1C46"/>
    <w:rsid w:val="00BD7A96"/>
    <w:rsid w:val="00BE380B"/>
    <w:rsid w:val="00BE510D"/>
    <w:rsid w:val="00BE6A4E"/>
    <w:rsid w:val="00BF0075"/>
    <w:rsid w:val="00BF1553"/>
    <w:rsid w:val="00BF1791"/>
    <w:rsid w:val="00BF632D"/>
    <w:rsid w:val="00C06995"/>
    <w:rsid w:val="00C131E4"/>
    <w:rsid w:val="00C16795"/>
    <w:rsid w:val="00C20C73"/>
    <w:rsid w:val="00C22AFD"/>
    <w:rsid w:val="00C2414A"/>
    <w:rsid w:val="00C31E6E"/>
    <w:rsid w:val="00C33F3A"/>
    <w:rsid w:val="00C340A5"/>
    <w:rsid w:val="00C37155"/>
    <w:rsid w:val="00C414A7"/>
    <w:rsid w:val="00C428AB"/>
    <w:rsid w:val="00C46A3D"/>
    <w:rsid w:val="00C6211F"/>
    <w:rsid w:val="00C67F87"/>
    <w:rsid w:val="00C70E77"/>
    <w:rsid w:val="00C77CFB"/>
    <w:rsid w:val="00C801E1"/>
    <w:rsid w:val="00C80FB0"/>
    <w:rsid w:val="00C82F01"/>
    <w:rsid w:val="00C86EE6"/>
    <w:rsid w:val="00C90323"/>
    <w:rsid w:val="00CB4153"/>
    <w:rsid w:val="00CB47BA"/>
    <w:rsid w:val="00CB4840"/>
    <w:rsid w:val="00CC3960"/>
    <w:rsid w:val="00CD1F3F"/>
    <w:rsid w:val="00CD51AA"/>
    <w:rsid w:val="00CD7D50"/>
    <w:rsid w:val="00CE2B79"/>
    <w:rsid w:val="00CE45B9"/>
    <w:rsid w:val="00CE5A8B"/>
    <w:rsid w:val="00CF06AA"/>
    <w:rsid w:val="00CF1415"/>
    <w:rsid w:val="00CF2247"/>
    <w:rsid w:val="00CF5AB3"/>
    <w:rsid w:val="00D03E73"/>
    <w:rsid w:val="00D04C7B"/>
    <w:rsid w:val="00D120E0"/>
    <w:rsid w:val="00D12957"/>
    <w:rsid w:val="00D244A5"/>
    <w:rsid w:val="00D26558"/>
    <w:rsid w:val="00D278FD"/>
    <w:rsid w:val="00D301D1"/>
    <w:rsid w:val="00D306DD"/>
    <w:rsid w:val="00D3087D"/>
    <w:rsid w:val="00D36E59"/>
    <w:rsid w:val="00D504A9"/>
    <w:rsid w:val="00D5206B"/>
    <w:rsid w:val="00D56F4E"/>
    <w:rsid w:val="00D710B4"/>
    <w:rsid w:val="00D75349"/>
    <w:rsid w:val="00D83021"/>
    <w:rsid w:val="00D94295"/>
    <w:rsid w:val="00DA20F5"/>
    <w:rsid w:val="00DA4ED5"/>
    <w:rsid w:val="00DA5227"/>
    <w:rsid w:val="00DA6984"/>
    <w:rsid w:val="00DA7D49"/>
    <w:rsid w:val="00DC0DDD"/>
    <w:rsid w:val="00DC2B93"/>
    <w:rsid w:val="00DC2F84"/>
    <w:rsid w:val="00DC2FC1"/>
    <w:rsid w:val="00DC47D5"/>
    <w:rsid w:val="00DD091B"/>
    <w:rsid w:val="00DD2C35"/>
    <w:rsid w:val="00DD76CA"/>
    <w:rsid w:val="00DE20A9"/>
    <w:rsid w:val="00DE4EE1"/>
    <w:rsid w:val="00DE5BA2"/>
    <w:rsid w:val="00DF11C0"/>
    <w:rsid w:val="00DF679D"/>
    <w:rsid w:val="00DF6E3D"/>
    <w:rsid w:val="00E02B7C"/>
    <w:rsid w:val="00E05971"/>
    <w:rsid w:val="00E075CF"/>
    <w:rsid w:val="00E10E6E"/>
    <w:rsid w:val="00E1330C"/>
    <w:rsid w:val="00E15134"/>
    <w:rsid w:val="00E1616C"/>
    <w:rsid w:val="00E301F2"/>
    <w:rsid w:val="00E302D7"/>
    <w:rsid w:val="00E35DE1"/>
    <w:rsid w:val="00E40C76"/>
    <w:rsid w:val="00E40E68"/>
    <w:rsid w:val="00E43CBD"/>
    <w:rsid w:val="00E4613B"/>
    <w:rsid w:val="00E52236"/>
    <w:rsid w:val="00E60B32"/>
    <w:rsid w:val="00E62BEA"/>
    <w:rsid w:val="00E641A4"/>
    <w:rsid w:val="00E73E33"/>
    <w:rsid w:val="00E74D46"/>
    <w:rsid w:val="00E82CFC"/>
    <w:rsid w:val="00E82FE7"/>
    <w:rsid w:val="00E83781"/>
    <w:rsid w:val="00E84ACE"/>
    <w:rsid w:val="00E87622"/>
    <w:rsid w:val="00E907A2"/>
    <w:rsid w:val="00E92473"/>
    <w:rsid w:val="00E96E3A"/>
    <w:rsid w:val="00EB0EB2"/>
    <w:rsid w:val="00EC01D4"/>
    <w:rsid w:val="00EC1772"/>
    <w:rsid w:val="00EC6DFB"/>
    <w:rsid w:val="00ED355B"/>
    <w:rsid w:val="00ED4ABD"/>
    <w:rsid w:val="00EE1CB8"/>
    <w:rsid w:val="00EE2EF6"/>
    <w:rsid w:val="00EF06B8"/>
    <w:rsid w:val="00EF1E31"/>
    <w:rsid w:val="00EF6675"/>
    <w:rsid w:val="00F0400D"/>
    <w:rsid w:val="00F04661"/>
    <w:rsid w:val="00F05687"/>
    <w:rsid w:val="00F07BFB"/>
    <w:rsid w:val="00F118CD"/>
    <w:rsid w:val="00F11949"/>
    <w:rsid w:val="00F14A97"/>
    <w:rsid w:val="00F1692E"/>
    <w:rsid w:val="00F34243"/>
    <w:rsid w:val="00F35099"/>
    <w:rsid w:val="00F362C0"/>
    <w:rsid w:val="00F37DB3"/>
    <w:rsid w:val="00F40F1F"/>
    <w:rsid w:val="00F45361"/>
    <w:rsid w:val="00F5051B"/>
    <w:rsid w:val="00F57B89"/>
    <w:rsid w:val="00F60588"/>
    <w:rsid w:val="00F638FB"/>
    <w:rsid w:val="00F6734D"/>
    <w:rsid w:val="00F702BB"/>
    <w:rsid w:val="00F73447"/>
    <w:rsid w:val="00F8336D"/>
    <w:rsid w:val="00F8663C"/>
    <w:rsid w:val="00F872BD"/>
    <w:rsid w:val="00F90A73"/>
    <w:rsid w:val="00F90C50"/>
    <w:rsid w:val="00F90F5F"/>
    <w:rsid w:val="00F92B4A"/>
    <w:rsid w:val="00FA0406"/>
    <w:rsid w:val="00FA1685"/>
    <w:rsid w:val="00FA6DA9"/>
    <w:rsid w:val="00FA7389"/>
    <w:rsid w:val="00FB7D01"/>
    <w:rsid w:val="00FC5F43"/>
    <w:rsid w:val="00FC6CCC"/>
    <w:rsid w:val="00FD2649"/>
    <w:rsid w:val="00FD5C4F"/>
    <w:rsid w:val="00FE09A4"/>
    <w:rsid w:val="00FE158D"/>
    <w:rsid w:val="00FE3A5F"/>
    <w:rsid w:val="00FE5501"/>
    <w:rsid w:val="00FF3DC8"/>
    <w:rsid w:val="012FBE33"/>
    <w:rsid w:val="013B3ECC"/>
    <w:rsid w:val="02695DAC"/>
    <w:rsid w:val="033C6DBA"/>
    <w:rsid w:val="04C95009"/>
    <w:rsid w:val="050C6A65"/>
    <w:rsid w:val="06F567CE"/>
    <w:rsid w:val="09E27B7F"/>
    <w:rsid w:val="0ADAF09D"/>
    <w:rsid w:val="0D322F8E"/>
    <w:rsid w:val="0FC29446"/>
    <w:rsid w:val="11BF513D"/>
    <w:rsid w:val="124F299A"/>
    <w:rsid w:val="125A254F"/>
    <w:rsid w:val="12BD6A0C"/>
    <w:rsid w:val="13DEA6F9"/>
    <w:rsid w:val="1609BDA0"/>
    <w:rsid w:val="165D93D4"/>
    <w:rsid w:val="1B36EC11"/>
    <w:rsid w:val="1B6DE343"/>
    <w:rsid w:val="1EAA3271"/>
    <w:rsid w:val="23A089DF"/>
    <w:rsid w:val="27B089CC"/>
    <w:rsid w:val="27BF615E"/>
    <w:rsid w:val="2972A0E6"/>
    <w:rsid w:val="29F63340"/>
    <w:rsid w:val="2B1DA539"/>
    <w:rsid w:val="2B1DE6D9"/>
    <w:rsid w:val="2B8F5484"/>
    <w:rsid w:val="2E16B071"/>
    <w:rsid w:val="2E5AB431"/>
    <w:rsid w:val="2ED5D217"/>
    <w:rsid w:val="2EF9F146"/>
    <w:rsid w:val="2F078EB9"/>
    <w:rsid w:val="2F41F1C0"/>
    <w:rsid w:val="2F7F0960"/>
    <w:rsid w:val="2FCE90F1"/>
    <w:rsid w:val="2FFE8A50"/>
    <w:rsid w:val="307A9495"/>
    <w:rsid w:val="31A69234"/>
    <w:rsid w:val="32EC2350"/>
    <w:rsid w:val="37F941CB"/>
    <w:rsid w:val="38EAAE6E"/>
    <w:rsid w:val="39FFEF34"/>
    <w:rsid w:val="3A184D46"/>
    <w:rsid w:val="3BBBED9E"/>
    <w:rsid w:val="3DE15AE0"/>
    <w:rsid w:val="3F564E80"/>
    <w:rsid w:val="413F43CA"/>
    <w:rsid w:val="4143D51D"/>
    <w:rsid w:val="437F8CB3"/>
    <w:rsid w:val="46004ECB"/>
    <w:rsid w:val="46005EC1"/>
    <w:rsid w:val="46012B66"/>
    <w:rsid w:val="47958EB4"/>
    <w:rsid w:val="4838191D"/>
    <w:rsid w:val="497B91F5"/>
    <w:rsid w:val="49DDD284"/>
    <w:rsid w:val="49F70099"/>
    <w:rsid w:val="4BAE04BE"/>
    <w:rsid w:val="4CBEB41F"/>
    <w:rsid w:val="4D0BDAD4"/>
    <w:rsid w:val="4EB4F1CF"/>
    <w:rsid w:val="4F7BDA8E"/>
    <w:rsid w:val="50A3EB4E"/>
    <w:rsid w:val="554DFB35"/>
    <w:rsid w:val="55B25DA2"/>
    <w:rsid w:val="57EC4771"/>
    <w:rsid w:val="58B1D0A2"/>
    <w:rsid w:val="59E5B95A"/>
    <w:rsid w:val="5A9F3D62"/>
    <w:rsid w:val="5C14A19F"/>
    <w:rsid w:val="5EB16EDC"/>
    <w:rsid w:val="5FD37F8D"/>
    <w:rsid w:val="60034B4C"/>
    <w:rsid w:val="60C68D38"/>
    <w:rsid w:val="61282DE5"/>
    <w:rsid w:val="617514C5"/>
    <w:rsid w:val="62E5A07F"/>
    <w:rsid w:val="651F6B57"/>
    <w:rsid w:val="66106416"/>
    <w:rsid w:val="6650CAAD"/>
    <w:rsid w:val="67AE859C"/>
    <w:rsid w:val="68C96F0D"/>
    <w:rsid w:val="692C5FF8"/>
    <w:rsid w:val="6B2A3D00"/>
    <w:rsid w:val="6C6AAB9F"/>
    <w:rsid w:val="6DB2BC94"/>
    <w:rsid w:val="6DC4BDE3"/>
    <w:rsid w:val="6ECFDE86"/>
    <w:rsid w:val="6ED375E4"/>
    <w:rsid w:val="6F3A2049"/>
    <w:rsid w:val="6F566D4A"/>
    <w:rsid w:val="6F6DD2B1"/>
    <w:rsid w:val="70DC1E7C"/>
    <w:rsid w:val="7147E9AF"/>
    <w:rsid w:val="72F3298E"/>
    <w:rsid w:val="75C17C37"/>
    <w:rsid w:val="76B97003"/>
    <w:rsid w:val="7761DAD2"/>
    <w:rsid w:val="785A5AB0"/>
    <w:rsid w:val="7876F53E"/>
    <w:rsid w:val="788138D4"/>
    <w:rsid w:val="7A6E5293"/>
    <w:rsid w:val="7AC96BFC"/>
    <w:rsid w:val="7B081BFA"/>
    <w:rsid w:val="7B0B768B"/>
    <w:rsid w:val="7CD54456"/>
    <w:rsid w:val="7D33562C"/>
    <w:rsid w:val="7DA9A947"/>
    <w:rsid w:val="7F96A5A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538AA4D"/>
  <w15:docId w15:val="{ED79C76D-9727-4B37-9A3B-F061504A0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70" w:hanging="455"/>
      <w:outlineLvl w:val="0"/>
    </w:pPr>
    <w:rPr>
      <w:b/>
      <w:bCs/>
      <w:sz w:val="24"/>
      <w:szCs w:val="24"/>
    </w:rPr>
  </w:style>
  <w:style w:type="paragraph" w:styleId="Heading2">
    <w:name w:val="heading 2"/>
    <w:basedOn w:val="Normal"/>
    <w:next w:val="Normal"/>
    <w:link w:val="Heading2Char"/>
    <w:uiPriority w:val="9"/>
    <w:semiHidden/>
    <w:unhideWhenUsed/>
    <w:qFormat/>
    <w:rsid w:val="000B12C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39" w:hanging="363"/>
    </w:pPr>
    <w:rPr>
      <w:u w:val="single" w:color="000000"/>
    </w:rPr>
  </w:style>
  <w:style w:type="paragraph" w:customStyle="1" w:styleId="TableParagraph">
    <w:name w:val="Table Paragraph"/>
    <w:basedOn w:val="Normal"/>
    <w:uiPriority w:val="1"/>
    <w:qFormat/>
  </w:style>
  <w:style w:type="character" w:styleId="CommentReference">
    <w:name w:val="annotation reference"/>
    <w:basedOn w:val="DefaultParagraphFont"/>
    <w:unhideWhenUsed/>
    <w:rsid w:val="00DD76CA"/>
    <w:rPr>
      <w:sz w:val="16"/>
      <w:szCs w:val="16"/>
    </w:rPr>
  </w:style>
  <w:style w:type="paragraph" w:styleId="CommentText">
    <w:name w:val="annotation text"/>
    <w:basedOn w:val="Normal"/>
    <w:link w:val="CommentTextChar"/>
    <w:unhideWhenUsed/>
    <w:rsid w:val="00DD76CA"/>
    <w:rPr>
      <w:sz w:val="20"/>
      <w:szCs w:val="20"/>
    </w:rPr>
  </w:style>
  <w:style w:type="character" w:customStyle="1" w:styleId="CommentTextChar">
    <w:name w:val="Comment Text Char"/>
    <w:basedOn w:val="DefaultParagraphFont"/>
    <w:link w:val="CommentText"/>
    <w:rsid w:val="00DD76C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76CA"/>
    <w:rPr>
      <w:b/>
      <w:bCs/>
    </w:rPr>
  </w:style>
  <w:style w:type="character" w:customStyle="1" w:styleId="CommentSubjectChar">
    <w:name w:val="Comment Subject Char"/>
    <w:basedOn w:val="CommentTextChar"/>
    <w:link w:val="CommentSubject"/>
    <w:uiPriority w:val="99"/>
    <w:semiHidden/>
    <w:rsid w:val="00DD76CA"/>
    <w:rPr>
      <w:rFonts w:ascii="Times New Roman" w:eastAsia="Times New Roman" w:hAnsi="Times New Roman" w:cs="Times New Roman"/>
      <w:b/>
      <w:bCs/>
      <w:sz w:val="20"/>
      <w:szCs w:val="20"/>
    </w:rPr>
  </w:style>
  <w:style w:type="paragraph" w:styleId="Revision">
    <w:name w:val="Revision"/>
    <w:hidden/>
    <w:uiPriority w:val="99"/>
    <w:semiHidden/>
    <w:rsid w:val="00E84ACE"/>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B92FA4"/>
    <w:pPr>
      <w:tabs>
        <w:tab w:val="center" w:pos="4680"/>
        <w:tab w:val="right" w:pos="9360"/>
      </w:tabs>
    </w:pPr>
  </w:style>
  <w:style w:type="character" w:customStyle="1" w:styleId="HeaderChar">
    <w:name w:val="Header Char"/>
    <w:basedOn w:val="DefaultParagraphFont"/>
    <w:link w:val="Header"/>
    <w:uiPriority w:val="99"/>
    <w:rsid w:val="00B92FA4"/>
    <w:rPr>
      <w:rFonts w:ascii="Times New Roman" w:eastAsia="Times New Roman" w:hAnsi="Times New Roman" w:cs="Times New Roman"/>
    </w:rPr>
  </w:style>
  <w:style w:type="paragraph" w:styleId="Footer">
    <w:name w:val="footer"/>
    <w:basedOn w:val="Normal"/>
    <w:link w:val="FooterChar"/>
    <w:uiPriority w:val="99"/>
    <w:unhideWhenUsed/>
    <w:rsid w:val="00B92FA4"/>
    <w:pPr>
      <w:tabs>
        <w:tab w:val="center" w:pos="4680"/>
        <w:tab w:val="right" w:pos="9360"/>
      </w:tabs>
    </w:pPr>
  </w:style>
  <w:style w:type="character" w:customStyle="1" w:styleId="FooterChar">
    <w:name w:val="Footer Char"/>
    <w:basedOn w:val="DefaultParagraphFont"/>
    <w:link w:val="Footer"/>
    <w:uiPriority w:val="99"/>
    <w:rsid w:val="00B92FA4"/>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0B12C2"/>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0B12C2"/>
    <w:rPr>
      <w:color w:val="0000FF" w:themeColor="hyperlink"/>
      <w:u w:val="single"/>
    </w:rPr>
  </w:style>
  <w:style w:type="character" w:styleId="UnresolvedMention">
    <w:name w:val="Unresolved Mention"/>
    <w:basedOn w:val="DefaultParagraphFont"/>
    <w:uiPriority w:val="99"/>
    <w:semiHidden/>
    <w:unhideWhenUsed/>
    <w:rsid w:val="000B12C2"/>
    <w:rPr>
      <w:color w:val="605E5C"/>
      <w:shd w:val="clear" w:color="auto" w:fill="E1DFDD"/>
    </w:rPr>
  </w:style>
  <w:style w:type="table" w:styleId="TableGrid">
    <w:name w:val="Table Grid"/>
    <w:basedOn w:val="TableNormal"/>
    <w:uiPriority w:val="39"/>
    <w:rsid w:val="000B12C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B12C2"/>
    <w:pPr>
      <w:widowControl/>
      <w:autoSpaceDE/>
      <w:autoSpaceDN/>
      <w:contextualSpacing/>
    </w:pPr>
    <w:rPr>
      <w:rFonts w:ascii="Arial" w:hAnsi="Arial" w:cs="Arial"/>
      <w:color w:val="000000" w:themeColor="text1"/>
      <w:sz w:val="20"/>
      <w:szCs w:val="20"/>
    </w:rPr>
  </w:style>
  <w:style w:type="character" w:customStyle="1" w:styleId="FootnoteTextChar">
    <w:name w:val="Footnote Text Char"/>
    <w:basedOn w:val="DefaultParagraphFont"/>
    <w:link w:val="FootnoteText"/>
    <w:uiPriority w:val="99"/>
    <w:rsid w:val="000B12C2"/>
    <w:rPr>
      <w:rFonts w:ascii="Arial" w:eastAsia="Times New Roman" w:hAnsi="Arial" w:cs="Arial"/>
      <w:color w:val="000000" w:themeColor="text1"/>
      <w:sz w:val="20"/>
      <w:szCs w:val="20"/>
    </w:rPr>
  </w:style>
  <w:style w:type="character" w:styleId="FootnoteReference">
    <w:name w:val="footnote reference"/>
    <w:aliases w:val="*Footnote Reference,Number"/>
    <w:basedOn w:val="DefaultParagraphFont"/>
    <w:uiPriority w:val="99"/>
    <w:unhideWhenUsed/>
    <w:qFormat/>
    <w:rsid w:val="000B12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8a7d0f-5415-41e0-b546-94eb434f95de">
      <Terms xmlns="http://schemas.microsoft.com/office/infopath/2007/PartnerControls"/>
    </lcf76f155ced4ddcb4097134ff3c332f>
    <Status xmlns="2c8a7d0f-5415-41e0-b546-94eb434f95de" xsi:nil="true"/>
    <TaxCatchAll xmlns="9736e30f-79ed-47d3-a340-de1c64cb87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9874730AEFF94BB2177E6D1D27E709" ma:contentTypeVersion="16" ma:contentTypeDescription="Create a new document." ma:contentTypeScope="" ma:versionID="7640d37d67605e33e90a84d9e36d212b">
  <xsd:schema xmlns:xsd="http://www.w3.org/2001/XMLSchema" xmlns:xs="http://www.w3.org/2001/XMLSchema" xmlns:p="http://schemas.microsoft.com/office/2006/metadata/properties" xmlns:ns2="2c8a7d0f-5415-41e0-b546-94eb434f95de" xmlns:ns3="9736e30f-79ed-47d3-a340-de1c64cb87ef" targetNamespace="http://schemas.microsoft.com/office/2006/metadata/properties" ma:root="true" ma:fieldsID="f9e95ac25c405fde2177bbdb325deb03" ns2:_="" ns3:_="">
    <xsd:import namespace="2c8a7d0f-5415-41e0-b546-94eb434f95de"/>
    <xsd:import namespace="9736e30f-79ed-47d3-a340-de1c64cb87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element ref="ns2:MediaServiceDateTaken" minOccurs="0"/>
                <xsd:element ref="ns2: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a7d0f-5415-41e0-b546-94eb434f9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Status" ma:index="22" nillable="true" ma:displayName="Status" ma:format="Dropdown" ma:internalName="Statu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36e30f-79ed-47d3-a340-de1c64cb87e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f50f4f7-81e5-4207-b147-47eee8b86108}" ma:internalName="TaxCatchAll" ma:showField="CatchAllData" ma:web="9736e30f-79ed-47d3-a340-de1c64cb87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3B037E-8D23-4C99-B12A-28E59722F4C2}">
  <ds:schemaRefs>
    <ds:schemaRef ds:uri="http://schemas.openxmlformats.org/officeDocument/2006/bibliography"/>
  </ds:schemaRefs>
</ds:datastoreItem>
</file>

<file path=customXml/itemProps2.xml><?xml version="1.0" encoding="utf-8"?>
<ds:datastoreItem xmlns:ds="http://schemas.openxmlformats.org/officeDocument/2006/customXml" ds:itemID="{DB713200-4CB7-4952-AC72-E9B77B02119C}">
  <ds:schemaRefs>
    <ds:schemaRef ds:uri="http://schemas.microsoft.com/office/2006/metadata/properties"/>
    <ds:schemaRef ds:uri="http://schemas.microsoft.com/office/infopath/2007/PartnerControls"/>
    <ds:schemaRef ds:uri="2c8a7d0f-5415-41e0-b546-94eb434f95de"/>
    <ds:schemaRef ds:uri="9736e30f-79ed-47d3-a340-de1c64cb87ef"/>
  </ds:schemaRefs>
</ds:datastoreItem>
</file>

<file path=customXml/itemProps3.xml><?xml version="1.0" encoding="utf-8"?>
<ds:datastoreItem xmlns:ds="http://schemas.openxmlformats.org/officeDocument/2006/customXml" ds:itemID="{D93E1131-9D72-4997-8354-9FC9B7241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a7d0f-5415-41e0-b546-94eb434f95de"/>
    <ds:schemaRef ds:uri="9736e30f-79ed-47d3-a340-de1c64cb8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D88063-FA1F-431D-B4AB-22C6244D1C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1945</TotalTime>
  <Pages>5</Pages>
  <Words>2089</Words>
  <Characters>11912</Characters>
  <Application>Microsoft Office Word</Application>
  <DocSecurity>0</DocSecurity>
  <Lines>99</Lines>
  <Paragraphs>27</Paragraphs>
  <ScaleCrop>false</ScaleCrop>
  <Company/>
  <LinksUpToDate>false</LinksUpToDate>
  <CharactersWithSpaces>13974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on Information Collection Request</dc:title>
  <dc:subject>Justification on Information Collection Request</dc:subject>
  <dc:creator>ATF - Bolton, Tamelia A.</dc:creator>
  <cp:keywords>Justification on Information Collection Request</cp:keywords>
  <cp:lastModifiedBy>Kimberly Keravuori</cp:lastModifiedBy>
  <cp:revision>342</cp:revision>
  <dcterms:created xsi:type="dcterms:W3CDTF">2022-06-24T11:02:00Z</dcterms:created>
  <dcterms:modified xsi:type="dcterms:W3CDTF">2025-07-02T20:30:00Z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0x0101002C9874730AEFF94BB2177E6D1D27E709</vt:lpwstr>
  </property>
  <property fmtid="{D5CDD505-2E9C-101B-9397-08002B2CF9AE}" pid="3" name="Created">
    <vt:filetime>2020-02-19T00:00:00Z</vt:filetime>
  </property>
  <property fmtid="{D5CDD505-2E9C-101B-9397-08002B2CF9AE}" pid="4" name="Creator">
    <vt:lpwstr>Acrobat PDFMaker 19 for Word</vt:lpwstr>
  </property>
  <property fmtid="{D5CDD505-2E9C-101B-9397-08002B2CF9AE}" pid="5" name="LastSaved">
    <vt:filetime>2022-01-14T00:00:00Z</vt:filetime>
  </property>
  <property fmtid="{D5CDD505-2E9C-101B-9397-08002B2CF9AE}" pid="6" name="MediaServiceImageTags">
    <vt:lpwstr/>
  </property>
</Properties>
</file>