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6C21" w:rsidRPr="00DF76A6" w:rsidP="00F66C21" w14:paraId="0EE75F21" w14:textId="77777777">
      <w:pPr>
        <w:jc w:val="center"/>
      </w:pPr>
      <w:r w:rsidRPr="00DF76A6">
        <w:t>Department of Justice</w:t>
      </w:r>
    </w:p>
    <w:p w:rsidR="00F66C21" w:rsidRPr="00DF76A6" w:rsidP="00F66C21" w14:paraId="5D3931FA" w14:textId="17F55BF4">
      <w:pPr>
        <w:jc w:val="center"/>
      </w:pPr>
      <w:r w:rsidRPr="00DF76A6">
        <w:t>Bureau of Alcohol, Tobacco, Firearms</w:t>
      </w:r>
      <w:r w:rsidR="008139E5">
        <w:t>,</w:t>
      </w:r>
      <w:r w:rsidRPr="00DF76A6">
        <w:t xml:space="preserve"> and Explosives</w:t>
      </w:r>
      <w:r w:rsidR="008139E5">
        <w:t xml:space="preserve"> (ATF)</w:t>
      </w:r>
    </w:p>
    <w:p w:rsidR="00F66C21" w:rsidRPr="00DF76A6" w:rsidP="00DF76A6" w14:paraId="763F3E7A" w14:textId="77ACF6A5">
      <w:pPr>
        <w:contextualSpacing/>
        <w:jc w:val="center"/>
      </w:pPr>
      <w:r w:rsidRPr="00DF76A6">
        <w:t>Information Collection Request</w:t>
      </w:r>
      <w:r w:rsidR="008139E5">
        <w:t xml:space="preserve"> (ICR)</w:t>
      </w:r>
    </w:p>
    <w:p w:rsidR="00A77660" w:rsidRPr="007C55E6" w:rsidP="00DF76A6" w14:paraId="6CC22DF7" w14:textId="5044FFF8">
      <w:pPr>
        <w:contextualSpacing/>
        <w:jc w:val="center"/>
      </w:pPr>
      <w:r w:rsidRPr="007C55E6">
        <w:t>O</w:t>
      </w:r>
      <w:r>
        <w:t xml:space="preserve">MB </w:t>
      </w:r>
      <w:r w:rsidRPr="007C55E6">
        <w:t>1140-0073</w:t>
      </w:r>
    </w:p>
    <w:p w:rsidR="00F66C21" w:rsidRPr="008139E5" w:rsidP="00DF76A6" w14:paraId="734CB56B" w14:textId="5FBDFC98">
      <w:pPr>
        <w:contextualSpacing/>
        <w:jc w:val="center"/>
        <w:rPr>
          <w:b/>
          <w:bCs/>
        </w:rPr>
      </w:pPr>
      <w:r w:rsidRPr="008139E5">
        <w:rPr>
          <w:b/>
          <w:bCs/>
        </w:rPr>
        <w:t xml:space="preserve">Furnishing of </w:t>
      </w:r>
      <w:r w:rsidR="008139E5">
        <w:rPr>
          <w:b/>
          <w:bCs/>
        </w:rPr>
        <w:t xml:space="preserve">Explosives </w:t>
      </w:r>
      <w:r w:rsidRPr="008139E5">
        <w:rPr>
          <w:b/>
          <w:bCs/>
        </w:rPr>
        <w:t>Samples</w:t>
      </w:r>
    </w:p>
    <w:p w:rsidR="008139E5" w:rsidP="00DF76A6" w14:paraId="72D74783" w14:textId="77777777">
      <w:pPr>
        <w:contextualSpacing/>
        <w:jc w:val="center"/>
      </w:pPr>
    </w:p>
    <w:p w:rsidR="008139E5" w:rsidRPr="008139E5" w:rsidP="00DF76A6" w14:paraId="2D2C990F" w14:textId="1CA95299">
      <w:pPr>
        <w:contextualSpacing/>
        <w:jc w:val="center"/>
        <w:rPr>
          <w:b/>
          <w:bCs/>
        </w:rPr>
      </w:pPr>
      <w:r w:rsidRPr="008139E5">
        <w:rPr>
          <w:b/>
          <w:bCs/>
        </w:rPr>
        <w:t>SUPPORTING STATEMENT</w:t>
      </w:r>
    </w:p>
    <w:p w:rsidR="008139E5" w:rsidRPr="00DF76A6" w:rsidP="00DF76A6" w14:paraId="2BD84735" w14:textId="77777777">
      <w:pPr>
        <w:contextualSpacing/>
        <w:jc w:val="center"/>
      </w:pPr>
    </w:p>
    <w:p w:rsidR="00F66C21" w:rsidRPr="00DF76A6" w:rsidP="00C718B4" w14:paraId="777110C9" w14:textId="59D4B0AB">
      <w:pPr>
        <w:pStyle w:val="Heading1"/>
        <w:spacing w:after="240"/>
        <w:rPr>
          <w:rFonts w:ascii="Times New Roman" w:hAnsi="Times New Roman" w:cs="Times New Roman"/>
        </w:rPr>
      </w:pPr>
      <w:r>
        <w:rPr>
          <w:rFonts w:ascii="Times New Roman" w:hAnsi="Times New Roman" w:cs="Times New Roman"/>
        </w:rPr>
        <w:t xml:space="preserve">A. </w:t>
      </w:r>
      <w:r w:rsidR="008139E5">
        <w:rPr>
          <w:rFonts w:ascii="Times New Roman" w:hAnsi="Times New Roman" w:cs="Times New Roman"/>
        </w:rPr>
        <w:t>JUSTIFICATION</w:t>
      </w:r>
    </w:p>
    <w:p w:rsidR="00FE644E" w:rsidRPr="00C44356" w:rsidP="00C718B4" w14:paraId="2E131822" w14:textId="6C8D8658">
      <w:pPr>
        <w:pStyle w:val="ListParagraph"/>
        <w:spacing w:after="240"/>
        <w:ind w:left="0"/>
        <w:rPr>
          <w:b/>
          <w:bCs/>
        </w:rPr>
      </w:pPr>
      <w:r>
        <w:rPr>
          <w:b/>
          <w:bCs/>
        </w:rPr>
        <w:t xml:space="preserve">1. </w:t>
      </w:r>
      <w:r w:rsidRPr="00C44356" w:rsidR="00E01B61">
        <w:rPr>
          <w:b/>
          <w:bCs/>
        </w:rPr>
        <w:t>Explain the circumstances that make the information collection necessary.</w:t>
      </w:r>
    </w:p>
    <w:p w:rsidR="00F66C21" w:rsidRPr="00DF76A6" w:rsidP="00C718B4" w14:paraId="0EAD6987" w14:textId="23C75B8C">
      <w:pPr>
        <w:spacing w:after="240"/>
        <w:contextualSpacing/>
        <w:rPr>
          <w:rFonts w:ascii="Courier New" w:hAnsi="Courier New" w:cs="Courier New"/>
        </w:rPr>
      </w:pPr>
      <w:r w:rsidRPr="00DF76A6">
        <w:t>ATF is</w:t>
      </w:r>
      <w:r w:rsidRPr="00DF76A6" w:rsidR="00D67E3C">
        <w:t xml:space="preserve"> </w:t>
      </w:r>
      <w:r w:rsidRPr="00DF76A6" w:rsidR="004636B1">
        <w:t xml:space="preserve">responsible </w:t>
      </w:r>
      <w:r w:rsidRPr="00DF76A6">
        <w:t>for enforcing Title XI of the Organized Crime Control Act of 1970 and implementing regulations</w:t>
      </w:r>
      <w:r w:rsidRPr="00DF76A6" w:rsidR="00103E24">
        <w:t xml:space="preserve"> </w:t>
      </w:r>
      <w:r w:rsidR="00C95D8E">
        <w:t>in</w:t>
      </w:r>
      <w:r w:rsidRPr="00DF76A6" w:rsidR="00103E24">
        <w:t xml:space="preserve"> 27 CFR</w:t>
      </w:r>
      <w:r w:rsidR="00570BBB">
        <w:t xml:space="preserve"> </w:t>
      </w:r>
      <w:r w:rsidR="00704ED4">
        <w:t>p</w:t>
      </w:r>
      <w:r w:rsidRPr="00DF76A6" w:rsidR="00704ED4">
        <w:t xml:space="preserve">art </w:t>
      </w:r>
      <w:r w:rsidRPr="00DF76A6" w:rsidR="00103E24">
        <w:t xml:space="preserve">555. </w:t>
      </w:r>
      <w:r w:rsidR="00704ED4">
        <w:t xml:space="preserve">The statute </w:t>
      </w:r>
      <w:r w:rsidRPr="00DF76A6">
        <w:t>require</w:t>
      </w:r>
      <w:r w:rsidR="00704ED4">
        <w:t>s</w:t>
      </w:r>
      <w:r w:rsidRPr="00DF76A6">
        <w:t xml:space="preserve"> that</w:t>
      </w:r>
      <w:r w:rsidR="00C95D8E">
        <w:t>, in general,</w:t>
      </w:r>
      <w:r w:rsidRPr="00DF76A6" w:rsidR="00103E24">
        <w:t xml:space="preserve"> “L</w:t>
      </w:r>
      <w:r w:rsidRPr="00DF76A6">
        <w:t xml:space="preserve">icensed manufacturers and </w:t>
      </w:r>
      <w:r w:rsidR="00704ED4">
        <w:t xml:space="preserve">licensed </w:t>
      </w:r>
      <w:r w:rsidRPr="00DF76A6">
        <w:t>importers and persons who manufacture or import explosive materials or ammonium nitrate shall</w:t>
      </w:r>
      <w:r w:rsidRPr="00DF76A6" w:rsidR="00103E24">
        <w:t xml:space="preserve">, when required by the </w:t>
      </w:r>
      <w:r w:rsidR="00704ED4">
        <w:t>[</w:t>
      </w:r>
      <w:r w:rsidRPr="00DF76A6" w:rsidR="00103E24">
        <w:t>Director</w:t>
      </w:r>
      <w:r w:rsidR="00704ED4">
        <w:t>]</w:t>
      </w:r>
      <w:r w:rsidR="00CC2C6A">
        <w:t>,</w:t>
      </w:r>
      <w:r w:rsidRPr="00DF76A6" w:rsidR="00CC2C6A">
        <w:t xml:space="preserve"> </w:t>
      </w:r>
      <w:r w:rsidR="00CC2C6A">
        <w:t>f</w:t>
      </w:r>
      <w:r w:rsidRPr="00DF76A6">
        <w:t>urnish</w:t>
      </w:r>
      <w:r w:rsidR="00C95D8E">
        <w:t xml:space="preserve"> --</w:t>
      </w:r>
      <w:r w:rsidRPr="00DF76A6" w:rsidR="00103E24">
        <w:t xml:space="preserve"> </w:t>
      </w:r>
      <w:r w:rsidR="00704ED4">
        <w:t>(A)</w:t>
      </w:r>
      <w:r w:rsidRPr="00DF76A6">
        <w:t xml:space="preserve"> </w:t>
      </w:r>
      <w:r w:rsidR="00704ED4">
        <w:t>s</w:t>
      </w:r>
      <w:r w:rsidRPr="00DF76A6" w:rsidR="00704ED4">
        <w:t xml:space="preserve">amples </w:t>
      </w:r>
      <w:r w:rsidRPr="00DF76A6">
        <w:t xml:space="preserve">of </w:t>
      </w:r>
      <w:r w:rsidR="00704ED4">
        <w:t xml:space="preserve">such </w:t>
      </w:r>
      <w:r w:rsidRPr="00DF76A6">
        <w:t>explosive materials or ammonium nitrate</w:t>
      </w:r>
      <w:r w:rsidR="00704ED4">
        <w:t>;</w:t>
      </w:r>
      <w:r w:rsidRPr="00DF76A6">
        <w:t xml:space="preserve"> </w:t>
      </w:r>
      <w:r w:rsidR="00704ED4">
        <w:t>(B)</w:t>
      </w:r>
      <w:r w:rsidRPr="00DF76A6" w:rsidR="00103E24">
        <w:t xml:space="preserve"> </w:t>
      </w:r>
      <w:r w:rsidR="00704ED4">
        <w:t>i</w:t>
      </w:r>
      <w:r w:rsidRPr="00DF76A6">
        <w:t xml:space="preserve">nformation on chemical composition of these </w:t>
      </w:r>
      <w:r w:rsidR="00704ED4">
        <w:t>products;</w:t>
      </w:r>
      <w:r w:rsidRPr="00DF76A6">
        <w:t xml:space="preserve"> and </w:t>
      </w:r>
      <w:r w:rsidR="00704ED4">
        <w:t>(C)</w:t>
      </w:r>
      <w:r w:rsidRPr="00DF76A6" w:rsidR="00103E24">
        <w:t xml:space="preserve"> </w:t>
      </w:r>
      <w:r w:rsidR="00704ED4">
        <w:t>a</w:t>
      </w:r>
      <w:r w:rsidRPr="00DF76A6" w:rsidR="00704ED4">
        <w:t xml:space="preserve">ny </w:t>
      </w:r>
      <w:r w:rsidRPr="00DF76A6">
        <w:t xml:space="preserve">other information the </w:t>
      </w:r>
      <w:r w:rsidR="00704ED4">
        <w:t>[</w:t>
      </w:r>
      <w:r w:rsidRPr="00DF76A6">
        <w:t>Director</w:t>
      </w:r>
      <w:r w:rsidR="00704ED4">
        <w:t>]</w:t>
      </w:r>
      <w:r w:rsidRPr="00DF76A6">
        <w:t xml:space="preserve"> </w:t>
      </w:r>
      <w:r w:rsidRPr="00DF76A6" w:rsidR="00704ED4">
        <w:t>de</w:t>
      </w:r>
      <w:r w:rsidR="00704ED4">
        <w:t>termines</w:t>
      </w:r>
      <w:r w:rsidRPr="00DF76A6" w:rsidR="00704ED4">
        <w:t xml:space="preserve"> </w:t>
      </w:r>
      <w:r w:rsidR="00704ED4">
        <w:t>is relevant to the identification of the explosive materials or to identification of the ammonium nitrate</w:t>
      </w:r>
      <w:r w:rsidRPr="00DF76A6">
        <w:t>.</w:t>
      </w:r>
      <w:r w:rsidRPr="00DF76A6" w:rsidR="00103E24">
        <w:t>”</w:t>
      </w:r>
      <w:r w:rsidRPr="00DF76A6">
        <w:t xml:space="preserve"> This requirement is specified</w:t>
      </w:r>
      <w:r w:rsidR="00704ED4">
        <w:t xml:space="preserve"> in</w:t>
      </w:r>
      <w:r w:rsidR="00A1130F">
        <w:t xml:space="preserve"> 18 U.S.C. 843(i)</w:t>
      </w:r>
      <w:r w:rsidRPr="00DF76A6">
        <w:t xml:space="preserve"> </w:t>
      </w:r>
      <w:r w:rsidR="00704ED4">
        <w:t>and a similar provision is included in the implementing regulations at</w:t>
      </w:r>
      <w:r w:rsidRPr="00DF76A6" w:rsidR="00704ED4">
        <w:t xml:space="preserve"> </w:t>
      </w:r>
      <w:r w:rsidRPr="00DF76A6">
        <w:t>27 CFR</w:t>
      </w:r>
      <w:r w:rsidR="00570BBB">
        <w:t xml:space="preserve"> </w:t>
      </w:r>
      <w:r w:rsidRPr="00524D0F" w:rsidR="00570BBB">
        <w:t>§</w:t>
      </w:r>
      <w:r w:rsidRPr="00524D0F">
        <w:t xml:space="preserve"> 555.110.</w:t>
      </w:r>
    </w:p>
    <w:p w:rsidR="00236D9D" w:rsidRPr="00C44356" w:rsidP="00C718B4" w14:paraId="75CC2905" w14:textId="67BBC32E">
      <w:pPr>
        <w:pStyle w:val="ListParagraph"/>
        <w:spacing w:after="240"/>
        <w:ind w:left="0"/>
        <w:rPr>
          <w:b/>
          <w:bCs/>
        </w:rPr>
      </w:pPr>
      <w:r>
        <w:rPr>
          <w:b/>
          <w:bCs/>
        </w:rPr>
        <w:t xml:space="preserve">2. </w:t>
      </w:r>
      <w:r w:rsidRPr="00C44356">
        <w:rPr>
          <w:b/>
          <w:bCs/>
        </w:rPr>
        <w:t>Indicate how, by whom, and for what purpose the information is to be used.</w:t>
      </w:r>
    </w:p>
    <w:p w:rsidR="00A05EA2" w:rsidP="00C718B4" w14:paraId="17DD8448"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A05EA2" w:rsidP="00C718B4" w14:paraId="4F442C90" w14:textId="5D1F611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A05EA2">
        <w:t>ATF will request samples of explosive materials or ammonium nitrate when classification under 27 CFR 555.202 is needed. Such classification is essential for ATF to determine the proper storage under 27 CFR 555.203 for the explosive material or ammonium nitrate. Generally, ATF will accept explosives testing data from other sources (e.g. U.S. Department of Transportation-approved Laboratory) to make classifications under 27 CFR 555.202. However, when explosives testing or technical data is not available, ATF will need to obtain samples to ensure proper classification for storage purposes. The classification of the explosive material will dictate what explosives storage magazine type is needed pursuant to 27 CFR 555.203. Each type of magazine has different construction requirements, so it is vital that ATF properly classifies explosive materials for storage.</w:t>
      </w:r>
    </w:p>
    <w:p w:rsidR="00A05EA2" w:rsidP="00C718B4" w14:paraId="29E53E7F"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03B2B" w:rsidRPr="00503B2B" w:rsidP="00C718B4" w14:paraId="2A491CE9" w14:textId="5B9979D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3. </w:t>
      </w:r>
      <w:r w:rsidRPr="00503B2B">
        <w:rPr>
          <w:b/>
          <w:bCs/>
        </w:rPr>
        <w:t>D</w:t>
      </w:r>
      <w:r w:rsidRPr="00503B2B" w:rsidR="00E852A0">
        <w:rPr>
          <w:b/>
          <w:bCs/>
        </w:rPr>
        <w:t xml:space="preserve">escribe whether, and to what extent, the information collection involves the use of automated, electronic, mechanical, or other technological collection techniques or other forms of information technology, </w:t>
      </w:r>
      <w:r w:rsidRPr="00503B2B" w:rsidR="00E852A0">
        <w:rPr>
          <w:b/>
          <w:i/>
        </w:rPr>
        <w:t>e.g.</w:t>
      </w:r>
      <w:r w:rsidRPr="00503B2B" w:rsidR="00E852A0">
        <w:rPr>
          <w:b/>
          <w:bCs/>
        </w:rPr>
        <w:t xml:space="preserve">, permitting electronic submission of responses, and the basis for the decision </w:t>
      </w:r>
      <w:r w:rsidRPr="00503B2B" w:rsidR="00E852A0">
        <w:rPr>
          <w:b/>
          <w:bCs/>
        </w:rPr>
        <w:t>for adopting</w:t>
      </w:r>
      <w:r w:rsidRPr="00503B2B" w:rsidR="00E852A0">
        <w:rPr>
          <w:b/>
          <w:bCs/>
        </w:rPr>
        <w:t xml:space="preserve"> this means of collection.</w:t>
      </w:r>
      <w:r w:rsidR="00AA4508">
        <w:rPr>
          <w:b/>
          <w:bCs/>
        </w:rPr>
        <w:t xml:space="preserve"> </w:t>
      </w:r>
    </w:p>
    <w:p w:rsidR="00F66C21" w:rsidRPr="00DF76A6" w:rsidP="00C718B4" w14:paraId="6CF56F51" w14:textId="123913ED">
      <w:pPr>
        <w:spacing w:after="240"/>
        <w:contextualSpacing/>
      </w:pPr>
      <w:r w:rsidRPr="00DF76A6">
        <w:t xml:space="preserve">The respondent must furnish </w:t>
      </w:r>
      <w:r w:rsidR="00605A0B">
        <w:t>an</w:t>
      </w:r>
      <w:r w:rsidRPr="00DF76A6" w:rsidR="00605A0B">
        <w:t xml:space="preserve"> </w:t>
      </w:r>
      <w:r w:rsidRPr="00DF76A6">
        <w:t>actual sample to ATF</w:t>
      </w:r>
      <w:r w:rsidR="00AA3035">
        <w:t>, which does not lend itself to the use of information technology. The accompanying information should arrive with the sample, so the use of information technology for the information is also inapplicable.</w:t>
      </w:r>
    </w:p>
    <w:p w:rsidR="00AF2B18" w:rsidP="00C718B4" w14:paraId="55BCDB23" w14:textId="51E4A14C">
      <w:pPr>
        <w:pStyle w:val="ListParagraph"/>
        <w:spacing w:after="240"/>
        <w:ind w:left="0"/>
      </w:pPr>
      <w:r>
        <w:rPr>
          <w:b/>
          <w:bCs/>
        </w:rPr>
        <w:t xml:space="preserve">4. </w:t>
      </w:r>
      <w:r w:rsidRPr="00DF0B03" w:rsidR="00DF0B03">
        <w:rPr>
          <w:b/>
          <w:bCs/>
        </w:rPr>
        <w:t>Describe efforts to identify duplication.</w:t>
      </w:r>
      <w:r w:rsidR="00AA4508">
        <w:rPr>
          <w:b/>
          <w:bCs/>
        </w:rPr>
        <w:t xml:space="preserve"> </w:t>
      </w:r>
    </w:p>
    <w:p w:rsidR="00587CD8" w:rsidRPr="00AF2B18" w:rsidP="00C718B4" w14:paraId="625B51D4" w14:textId="77777777">
      <w:pPr>
        <w:pStyle w:val="ListParagraph"/>
        <w:spacing w:after="240"/>
        <w:ind w:left="0"/>
      </w:pPr>
    </w:p>
    <w:p w:rsidR="000C2EC3" w:rsidP="00C718B4" w14:paraId="211C612D" w14:textId="1B248E68">
      <w:pPr>
        <w:pStyle w:val="ListParagraph"/>
        <w:spacing w:after="240"/>
        <w:ind w:left="0"/>
      </w:pPr>
      <w:r w:rsidRPr="00AA3035">
        <w:t xml:space="preserve">This information is not duplicative and requires </w:t>
      </w:r>
      <w:r w:rsidRPr="00AA3035" w:rsidR="00AA3035">
        <w:t>the submission of specific samples of</w:t>
      </w:r>
      <w:r w:rsidR="00AA3035">
        <w:t xml:space="preserve"> explosive material and descriptive information about them</w:t>
      </w:r>
      <w:r w:rsidR="00127FC2">
        <w:t xml:space="preserve"> from which to determine the appropriate storage</w:t>
      </w:r>
      <w:r w:rsidRPr="4E3A5DE6">
        <w:t>.</w:t>
      </w:r>
      <w:r w:rsidR="00AA3035">
        <w:t xml:space="preserve"> No other collection gathers this information.</w:t>
      </w:r>
    </w:p>
    <w:p w:rsidR="00587CD8" w:rsidRPr="00A973AA" w:rsidP="00C718B4" w14:paraId="26FAB22D" w14:textId="77777777">
      <w:pPr>
        <w:pStyle w:val="ListParagraph"/>
        <w:spacing w:after="240"/>
        <w:ind w:left="0"/>
      </w:pPr>
    </w:p>
    <w:p w:rsidR="00B675BE" w:rsidP="00C718B4" w14:paraId="206ADF32" w14:textId="5A18DFD2">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5. </w:t>
      </w:r>
      <w:r w:rsidRPr="00F15810">
        <w:rPr>
          <w:b/>
          <w:bCs/>
        </w:rPr>
        <w:t>If the information collection impacts small businesses or other small entities,</w:t>
      </w:r>
      <w:r>
        <w:rPr>
          <w:b/>
          <w:bCs/>
        </w:rPr>
        <w:t xml:space="preserve"> </w:t>
      </w:r>
      <w:r w:rsidRPr="007D353D">
        <w:rPr>
          <w:b/>
          <w:bCs/>
        </w:rPr>
        <w:t>describe any methods used to minimize burden.</w:t>
      </w:r>
    </w:p>
    <w:p w:rsidR="00587CD8" w:rsidRPr="00587CD8" w:rsidP="00C718B4" w14:paraId="352386A2"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547F73" w:rsidP="00C718B4" w14:paraId="31DEA41B" w14:textId="73E4BD2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547F73">
        <w:t>This information collection does not have a significant impact on small entities.</w:t>
      </w:r>
    </w:p>
    <w:p w:rsidR="00587CD8" w:rsidRPr="00587CD8" w:rsidP="00C718B4" w14:paraId="54F6F8DA"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C73686" w:rsidRPr="00CF1285" w:rsidP="00C718B4" w14:paraId="2D8707A8" w14:textId="39CA82F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6. </w:t>
      </w:r>
      <w:r w:rsidRPr="00CF1285" w:rsidR="00CF1285">
        <w:rPr>
          <w:b/>
          <w:bCs/>
        </w:rPr>
        <w:t xml:space="preserve">Describe the </w:t>
      </w:r>
      <w:r w:rsidRPr="00CF1285" w:rsidR="00CF1285">
        <w:rPr>
          <w:b/>
          <w:bCs/>
        </w:rPr>
        <w:t>consequence</w:t>
      </w:r>
      <w:r w:rsidRPr="00CF1285" w:rsidR="00CF1285">
        <w:rPr>
          <w:b/>
          <w:bCs/>
        </w:rPr>
        <w:t xml:space="preserve"> </w:t>
      </w:r>
      <w:r w:rsidRPr="00CF1285" w:rsidR="00CF1285">
        <w:rPr>
          <w:b/>
          <w:bCs/>
        </w:rPr>
        <w:t>to</w:t>
      </w:r>
      <w:r w:rsidRPr="00CF1285" w:rsidR="00CF1285">
        <w:rPr>
          <w:b/>
          <w:bCs/>
        </w:rPr>
        <w:t xml:space="preserve"> federal programs or policy activities if the collection is not conducted or is conducted less frequently, as well as any technical or legal obstacles to reducing burden.</w:t>
      </w:r>
    </w:p>
    <w:p w:rsidR="00F66C21" w:rsidP="00C718B4" w14:paraId="306F5992" w14:textId="4407D21F">
      <w:pPr>
        <w:spacing w:after="240"/>
        <w:contextualSpacing/>
      </w:pPr>
      <w:r>
        <w:t xml:space="preserve">ATF must be able to identify the explosive materials or the ammonium nitrate. </w:t>
      </w:r>
      <w:r w:rsidR="00DC2422">
        <w:t>I</w:t>
      </w:r>
      <w:r w:rsidRPr="00DC2422" w:rsidR="00DC2422">
        <w:t>f ATF is unable to obtain samples when other testing or technical data is not available, ATF will be unable to make an accurate classification for storage purposes.</w:t>
      </w:r>
      <w:r w:rsidR="00DC2422">
        <w:t xml:space="preserve"> Also, w</w:t>
      </w:r>
      <w:r>
        <w:t xml:space="preserve">ithout this </w:t>
      </w:r>
      <w:r w:rsidR="00F03C52">
        <w:t>information</w:t>
      </w:r>
      <w:r w:rsidR="00570BBB">
        <w:t xml:space="preserve"> </w:t>
      </w:r>
      <w:r>
        <w:t>collection</w:t>
      </w:r>
      <w:r w:rsidR="4B6A102C">
        <w:t>,</w:t>
      </w:r>
      <w:r>
        <w:t xml:space="preserve"> </w:t>
      </w:r>
      <w:r w:rsidR="00570BBB">
        <w:t>individuals c</w:t>
      </w:r>
      <w:r>
        <w:t>ould manufacture or import dangerous materials.</w:t>
      </w:r>
    </w:p>
    <w:p w:rsidR="005C318B" w:rsidRPr="00D53DEB" w:rsidP="00C718B4" w14:paraId="703E06AA" w14:textId="344FD7B0">
      <w:pPr>
        <w:pStyle w:val="ListParagraph"/>
        <w:spacing w:after="240"/>
        <w:ind w:left="0"/>
      </w:pPr>
      <w:r>
        <w:rPr>
          <w:b/>
          <w:bCs/>
        </w:rPr>
        <w:t xml:space="preserve">7. </w:t>
      </w:r>
      <w:r w:rsidRPr="005C318B">
        <w:rPr>
          <w:b/>
          <w:bCs/>
        </w:rPr>
        <w:t>Explain any special circumstances that would cause the information collection to be conducted in a manner inconsistent with 5 CFR 1320.6.</w:t>
      </w:r>
    </w:p>
    <w:p w:rsidR="00F66C21" w:rsidRPr="00DF76A6" w:rsidP="00C718B4" w14:paraId="3E931E8D" w14:textId="6219A9D0">
      <w:pPr>
        <w:spacing w:after="240"/>
        <w:contextualSpacing/>
      </w:pPr>
      <w:r>
        <w:t xml:space="preserve">This collection may require respondents to submit </w:t>
      </w:r>
      <w:r w:rsidR="007D353D">
        <w:t xml:space="preserve">business </w:t>
      </w:r>
      <w:r>
        <w:t xml:space="preserve">proprietary information. </w:t>
      </w:r>
      <w:r w:rsidRPr="00743682" w:rsidR="00743682">
        <w:t xml:space="preserve">All technical information received as part of a request under 27 CFR </w:t>
      </w:r>
      <w:r w:rsidR="00743682">
        <w:t xml:space="preserve">§ </w:t>
      </w:r>
      <w:r w:rsidRPr="00743682" w:rsidR="00743682">
        <w:t xml:space="preserve">555.110 will be maintained electronically on ATF’s secure servers that can only be accessed by employees who require access to make the classification. ATF will secure all explosive materials or ammonium nitrate samples in an explosives storage magazine that meets all of ATF’s explosives storage requirements in 27 CFR, 555, </w:t>
      </w:r>
      <w:r w:rsidR="00743682">
        <w:t>s</w:t>
      </w:r>
      <w:r w:rsidRPr="00743682" w:rsidR="00743682">
        <w:t>ubpart K – Storage</w:t>
      </w:r>
      <w:r w:rsidR="00743682">
        <w:t>,</w:t>
      </w:r>
      <w:r w:rsidRPr="00743682" w:rsidR="00743682">
        <w:t xml:space="preserve"> and that </w:t>
      </w:r>
      <w:r w:rsidRPr="00743682" w:rsidR="00743682">
        <w:t>is located in</w:t>
      </w:r>
      <w:r w:rsidRPr="00743682" w:rsidR="00743682">
        <w:t xml:space="preserve"> a secure location at ATF’s National Center for Explosives Training </w:t>
      </w:r>
      <w:r w:rsidR="000E3383">
        <w:t>and</w:t>
      </w:r>
      <w:r w:rsidRPr="00743682" w:rsidR="00743682">
        <w:t xml:space="preserve"> Research</w:t>
      </w:r>
      <w:r>
        <w:t>.</w:t>
      </w:r>
    </w:p>
    <w:p w:rsidR="004566AD" w:rsidP="00C718B4" w14:paraId="44BE8C3F" w14:textId="432A472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bookmarkStart w:id="0" w:name="_Hlk188987077"/>
      <w:r>
        <w:rPr>
          <w:b/>
          <w:bCs/>
        </w:rPr>
        <w:t xml:space="preserve">8. </w:t>
      </w:r>
      <w:r w:rsidRPr="00D53DEB" w:rsidR="003B18CA">
        <w:rPr>
          <w:b/>
          <w:bCs/>
        </w:rPr>
        <w:t>If applicable, provide a copy</w:t>
      </w:r>
      <w:r w:rsidR="009A33DF">
        <w:rPr>
          <w:b/>
          <w:bCs/>
        </w:rPr>
        <w:t>,</w:t>
      </w:r>
      <w:r w:rsidRPr="00D53DEB" w:rsidR="003B18CA">
        <w:rPr>
          <w:b/>
          <w:bCs/>
        </w:rPr>
        <w:t xml:space="preserve"> and identify the date and page number</w:t>
      </w:r>
      <w:r w:rsidR="003B18CA">
        <w:rPr>
          <w:b/>
          <w:bCs/>
        </w:rPr>
        <w:t>,</w:t>
      </w:r>
      <w:r w:rsidRPr="00D53DEB" w:rsidR="003B18CA">
        <w:rPr>
          <w:b/>
          <w:bCs/>
        </w:rPr>
        <w:t xml:space="preserve"> of </w:t>
      </w:r>
      <w:r w:rsidR="003B18CA">
        <w:rPr>
          <w:b/>
          <w:bCs/>
        </w:rPr>
        <w:t>the agency’s notice published</w:t>
      </w:r>
      <w:r w:rsidRPr="00D53DEB" w:rsidR="003B18CA">
        <w:rPr>
          <w:b/>
          <w:bCs/>
        </w:rPr>
        <w:t xml:space="preserve"> in the </w:t>
      </w:r>
      <w:r w:rsidRPr="003B18CA" w:rsidR="003B18CA">
        <w:rPr>
          <w:rStyle w:val="Heading2Char"/>
          <w:rFonts w:ascii="Times New Roman" w:hAnsi="Times New Roman" w:cs="Times New Roman"/>
          <w:b/>
          <w:bCs/>
          <w:i/>
          <w:iCs/>
          <w:color w:val="auto"/>
          <w:sz w:val="24"/>
          <w:szCs w:val="24"/>
        </w:rPr>
        <w:t>Federal Register</w:t>
      </w:r>
      <w:r w:rsidRPr="00D53DEB" w:rsidR="003B18CA">
        <w:rPr>
          <w:b/>
          <w:bCs/>
        </w:rPr>
        <w:t xml:space="preserve">, </w:t>
      </w:r>
      <w:r w:rsidR="003B18CA">
        <w:rPr>
          <w:b/>
          <w:bCs/>
        </w:rPr>
        <w:t xml:space="preserve">as </w:t>
      </w:r>
      <w:r w:rsidRPr="00D53DEB" w:rsidR="003B18CA">
        <w:rPr>
          <w:b/>
          <w:bCs/>
        </w:rPr>
        <w:t>required by 5 CFR 1320.8(d), soliciting comments on the information collection prior to submission to OMB.</w:t>
      </w:r>
    </w:p>
    <w:bookmarkEnd w:id="0"/>
    <w:p w:rsidR="00837D8A" w:rsidRPr="007611A1" w:rsidP="00C718B4" w14:paraId="50B214DC" w14:textId="2A70CEE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sidRPr="007611A1">
        <w:rPr>
          <w:b/>
          <w:bCs/>
        </w:rPr>
        <w:t xml:space="preserve"> </w:t>
      </w:r>
    </w:p>
    <w:p w:rsidR="004566AD" w:rsidP="00C718B4" w14:paraId="4827997F" w14:textId="27EDF96D">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4566AD">
        <w:t xml:space="preserve">The 60-Day Notice was published in the </w:t>
      </w:r>
      <w:r w:rsidRPr="004566AD">
        <w:rPr>
          <w:i/>
          <w:iCs/>
        </w:rPr>
        <w:t>Fede</w:t>
      </w:r>
      <w:r w:rsidRPr="00742338">
        <w:rPr>
          <w:i/>
          <w:iCs/>
        </w:rPr>
        <w:t>ral Register</w:t>
      </w:r>
      <w:r w:rsidRPr="00742338">
        <w:t xml:space="preserve"> on </w:t>
      </w:r>
      <w:r w:rsidRPr="004C7D74" w:rsidR="00742338">
        <w:t>05/05/2025</w:t>
      </w:r>
      <w:r w:rsidRPr="004C7D74">
        <w:t xml:space="preserve"> (</w:t>
      </w:r>
      <w:r w:rsidRPr="004C7D74" w:rsidR="00742338">
        <w:t xml:space="preserve">90 </w:t>
      </w:r>
      <w:r w:rsidRPr="004C7D74">
        <w:t xml:space="preserve">FR </w:t>
      </w:r>
      <w:r w:rsidRPr="004C7D74" w:rsidR="00742338">
        <w:t>19001</w:t>
      </w:r>
      <w:r w:rsidRPr="004C7D74">
        <w:t>)</w:t>
      </w:r>
      <w:r w:rsidRPr="00742338">
        <w:t xml:space="preserve">. The comment period ended on </w:t>
      </w:r>
      <w:r w:rsidRPr="004C7D74" w:rsidR="00742338">
        <w:t>07</w:t>
      </w:r>
      <w:r w:rsidRPr="004C7D74">
        <w:t>/</w:t>
      </w:r>
      <w:r w:rsidRPr="004C7D74" w:rsidR="00742338">
        <w:t>07</w:t>
      </w:r>
      <w:r w:rsidRPr="004C7D74">
        <w:t>/</w:t>
      </w:r>
      <w:r w:rsidRPr="004C7D74" w:rsidR="00742338">
        <w:t>2025</w:t>
      </w:r>
      <w:r w:rsidRPr="00742338">
        <w:t>. ATF received no comments.</w:t>
      </w:r>
    </w:p>
    <w:p w:rsidR="004566AD" w:rsidRPr="008D16F9" w:rsidP="00C718B4" w14:paraId="6AAAB1B9"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EF6C50" w:rsidRPr="00461F00" w:rsidP="00C718B4" w14:paraId="1ED26D30" w14:textId="69AAF708">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9. </w:t>
      </w:r>
      <w:r w:rsidRPr="00461F00">
        <w:rPr>
          <w:b/>
          <w:bCs/>
        </w:rPr>
        <w:t>Explain any decision to provide any payments or gifts to respondents, other than remuneration of contractors or grantees.</w:t>
      </w:r>
    </w:p>
    <w:p w:rsidR="00EF6C50" w:rsidRPr="00EF6C50" w:rsidP="00C718B4" w14:paraId="09B37D2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EF6C50" w:rsidP="00C718B4" w14:paraId="45D58CF9" w14:textId="3033C88D">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461F00">
        <w:t>No</w:t>
      </w:r>
      <w:r w:rsidRPr="00461F00">
        <w:t xml:space="preserve"> payment or gift is associated with this information collection.</w:t>
      </w:r>
      <w:r w:rsidR="007C0A81">
        <w:t xml:space="preserve"> </w:t>
      </w:r>
    </w:p>
    <w:p w:rsidR="00461F00" w:rsidP="00C718B4" w14:paraId="0466134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BB7F31" w:rsidRPr="00BB7F31" w:rsidP="00C718B4" w14:paraId="5849A0F1" w14:textId="5D966EF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10. </w:t>
      </w:r>
      <w:r w:rsidRPr="00BB7F31" w:rsidR="004D1207">
        <w:rPr>
          <w:b/>
          <w:bCs/>
        </w:rPr>
        <w:t>Describe any assurance of confidentiality provided to respondents and the basis for the assurance in statute, regulation, or agency policy.</w:t>
      </w:r>
    </w:p>
    <w:p w:rsidR="00E53AC5" w:rsidP="00C718B4" w14:paraId="3675B900" w14:textId="60784C5D">
      <w:pPr>
        <w:spacing w:after="240"/>
        <w:contextualSpacing/>
      </w:pPr>
      <w:r w:rsidRPr="007D353D">
        <w:t xml:space="preserve">ATF has not assured respondents of confidentiality. </w:t>
      </w:r>
      <w:r w:rsidRPr="007D353D" w:rsidR="007D353D">
        <w:t>However, the information being collected includes business proprietary information which qualifies as controlled unclassified information. The information is maintained and protected by</w:t>
      </w:r>
      <w:r w:rsidRPr="007D353D">
        <w:t xml:space="preserve"> ATF in system of records </w:t>
      </w:r>
      <w:r w:rsidRPr="007D353D" w:rsidR="009A33DF">
        <w:t>Justice/</w:t>
      </w:r>
      <w:r w:rsidRPr="007D353D">
        <w:t>ATF</w:t>
      </w:r>
      <w:r w:rsidR="009F322D">
        <w:t>-</w:t>
      </w:r>
      <w:r w:rsidR="00656E66">
        <w:t>008, Regulatory Enforcement Record System</w:t>
      </w:r>
      <w:r w:rsidRPr="4E3A5DE6">
        <w:t>.</w:t>
      </w:r>
      <w:r w:rsidR="009A33DF">
        <w:t xml:space="preserve"> </w:t>
      </w:r>
      <w:r w:rsidRPr="00DF76A6" w:rsidR="009A33DF">
        <w:t>The samples of explosive materials or ammonium nitrate are kept in a secure location at the ATF laboratory.</w:t>
      </w:r>
    </w:p>
    <w:p w:rsidR="007D353D" w:rsidP="00C718B4" w14:paraId="143109CB" w14:textId="2117D320">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Pr>
          <w:b/>
          <w:bCs/>
        </w:rPr>
        <w:t xml:space="preserve">11. </w:t>
      </w:r>
      <w:r w:rsidRPr="00E53AC5" w:rsidR="00D36731">
        <w:rPr>
          <w:b/>
          <w:bCs/>
        </w:rPr>
        <w:t>Provide additional justification for any questions of a sensitive nature, such as sexual behavior and attitudes, religious beliefs, and other matters that are commonly considered private.</w:t>
      </w:r>
      <w:bookmarkStart w:id="1" w:name="_Hlk96504898"/>
    </w:p>
    <w:p w:rsidR="00CB5C7A" w:rsidRPr="00CB5C7A" w:rsidP="00C718B4" w14:paraId="3F63064A" w14:textId="626D3C8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rsidRPr="00CB5C7A">
        <w:t>This information collection does not ask questions or require information of a sensitive nature.</w:t>
      </w:r>
    </w:p>
    <w:bookmarkEnd w:id="1"/>
    <w:p w:rsidR="00470CA6" w:rsidP="00C718B4" w14:paraId="085297A6" w14:textId="66BE03BA">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12. </w:t>
      </w:r>
      <w:r w:rsidRPr="00C5551C" w:rsidR="00C5551C">
        <w:rPr>
          <w:b/>
          <w:bCs/>
        </w:rPr>
        <w:t>Provide estimates of the information collection’s hour burden.</w:t>
      </w:r>
    </w:p>
    <w:p w:rsidR="005A0811" w:rsidP="00C718B4" w14:paraId="5EEE6E21" w14:textId="05BF293A">
      <w:pPr>
        <w:spacing w:after="240"/>
      </w:pPr>
      <w:r>
        <w:t>ATF estimates</w:t>
      </w:r>
      <w:r w:rsidRPr="00DF76A6" w:rsidR="00F03C52">
        <w:t xml:space="preserve"> that </w:t>
      </w:r>
      <w:r w:rsidRPr="00DF76A6" w:rsidR="00524D0F">
        <w:t>t</w:t>
      </w:r>
      <w:r w:rsidR="00524D0F">
        <w:t>h</w:t>
      </w:r>
      <w:r w:rsidRPr="00DF76A6" w:rsidR="00524D0F">
        <w:t>ere</w:t>
      </w:r>
      <w:r w:rsidRPr="00DF76A6" w:rsidR="00F03C52">
        <w:t xml:space="preserve"> are </w:t>
      </w:r>
      <w:r w:rsidR="00522840">
        <w:t>approximately</w:t>
      </w:r>
      <w:r w:rsidRPr="00DF76A6" w:rsidR="00F03C52">
        <w:t xml:space="preserve"> </w:t>
      </w:r>
      <w:r w:rsidRPr="00DF76A6" w:rsidR="00F66C21">
        <w:t xml:space="preserve">100 respondents </w:t>
      </w:r>
      <w:r w:rsidR="001D2606">
        <w:t xml:space="preserve">who provide responses to this </w:t>
      </w:r>
      <w:r w:rsidRPr="00524D0F" w:rsidR="00F66C21">
        <w:t xml:space="preserve">information collection request once per year. </w:t>
      </w:r>
      <w:r w:rsidR="00522840">
        <w:t>It takes each respondent</w:t>
      </w:r>
      <w:r w:rsidRPr="00DF76A6" w:rsidR="00F66C21">
        <w:t xml:space="preserve"> approximately 30 minutes</w:t>
      </w:r>
      <w:r w:rsidR="00522840">
        <w:t xml:space="preserve"> (0.5 hours)</w:t>
      </w:r>
      <w:r w:rsidRPr="00DF76A6" w:rsidR="00F66C21">
        <w:t xml:space="preserve"> to submit the samples and required documentation. This estimate includes time to read any relevant materials, gather the samples, and prepare any necessary documentation.</w:t>
      </w:r>
      <w:r w:rsidRPr="00DF76A6" w:rsidR="000F70DF">
        <w:t xml:space="preserve"> </w:t>
      </w:r>
      <w:r w:rsidRPr="00DF76A6" w:rsidR="00F66C21">
        <w:t>The</w:t>
      </w:r>
      <w:r w:rsidR="00522840">
        <w:t>refore, the</w:t>
      </w:r>
      <w:r w:rsidRPr="00DF76A6" w:rsidR="00F66C21">
        <w:t xml:space="preserve"> total annual burden hours associated with this </w:t>
      </w:r>
      <w:r w:rsidR="00522840">
        <w:t>information collection</w:t>
      </w:r>
      <w:r w:rsidRPr="00DF76A6" w:rsidR="00522840">
        <w:t xml:space="preserve"> </w:t>
      </w:r>
      <w:r w:rsidR="00D612FA">
        <w:t>is</w:t>
      </w:r>
      <w:r w:rsidRPr="00DF76A6" w:rsidR="00F66C21">
        <w:t xml:space="preserve"> 50 hours</w:t>
      </w:r>
      <w:r w:rsidR="00522840">
        <w:t xml:space="preserve"> (100 respondents * 0.5 hours)</w:t>
      </w:r>
      <w:r w:rsidRPr="00DF76A6" w:rsidR="00F66C21">
        <w:t>.</w:t>
      </w:r>
      <w:bookmarkStart w:id="2" w:name="_Hlk187135833"/>
    </w:p>
    <w:p w:rsidR="00F5078A" w:rsidRPr="003964BE" w:rsidP="00F5078A" w14:paraId="5F9C7423" w14:textId="343741E1">
      <w:pPr>
        <w:spacing w:after="240"/>
      </w:pPr>
      <w:r w:rsidRPr="003964BE">
        <w:t>ATF bases the economic cost estimates on wage data for Explosives Workers, Ordnance Handling Experts, and Blasters for May 2023, as determined by the U.S. Department of Labor, Bureau of Labor Statistics. The Bureau of Labor Statistics determined the average hourly employer costs for employee compensation for civilian workers to be $31.54. ATF also applied a load rate of 1.42 to account for benefit costs that accompany pay, per BLS. This results in an estimated total loaded wage rate of $44.79 ($31.54 * 1.42). Half an hour of labor ($44.79/hour * 0.5 hours) results in an estimate of approximately $22.39 per respondent to provide the samples and accompanying information. </w:t>
      </w:r>
    </w:p>
    <w:p w:rsidR="00F5078A" w:rsidRPr="003964BE" w:rsidP="00F5078A" w14:paraId="10203EE1" w14:textId="79F48FE6">
      <w:pPr>
        <w:spacing w:after="240"/>
      </w:pPr>
      <w:r w:rsidRPr="003964BE">
        <w:t>The total monetized value of time for all respondents is therefor</w:t>
      </w:r>
      <w:r w:rsidRPr="003964BE" w:rsidR="00BE49A8">
        <w:t>e</w:t>
      </w:r>
      <w:r w:rsidRPr="003964BE">
        <w:t xml:space="preserve"> $2,239.5 (100 total hours * $22.39 cost per response). </w:t>
      </w:r>
    </w:p>
    <w:p w:rsidR="00F5078A" w:rsidRPr="003964BE" w:rsidP="00F5078A" w14:paraId="40190140" w14:textId="77777777">
      <w:pPr>
        <w:spacing w:after="240"/>
      </w:pPr>
      <w:r w:rsidRPr="003964BE">
        <w:t xml:space="preserve">In addition, ATF estimates that it costs an average of $50 to ship samples via DHL or </w:t>
      </w:r>
      <w:r w:rsidRPr="003964BE">
        <w:t>Fedex</w:t>
      </w:r>
      <w:r w:rsidRPr="003964BE">
        <w:t>. This results in a total shipping cost of $5,000 (100 respondents * $50).  </w:t>
      </w:r>
    </w:p>
    <w:p w:rsidR="00F5078A" w:rsidRPr="003964BE" w:rsidP="00F5078A" w14:paraId="1A51C0FB" w14:textId="58B3FDAB">
      <w:pPr>
        <w:spacing w:after="240"/>
      </w:pPr>
      <w:r w:rsidRPr="003964BE">
        <w:t xml:space="preserve">Therefore, the shipping costs and monetized value of time result in a total cost </w:t>
      </w:r>
      <w:r w:rsidRPr="003964BE" w:rsidR="003964BE">
        <w:t xml:space="preserve">to the public </w:t>
      </w:r>
      <w:r w:rsidRPr="003964BE">
        <w:t>from this information collection of</w:t>
      </w:r>
      <w:r w:rsidRPr="003964BE" w:rsidR="003964BE">
        <w:t xml:space="preserve"> </w:t>
      </w:r>
      <w:r w:rsidRPr="003964BE">
        <w:t>$7,239.50. The table below illustrates these costs. </w:t>
      </w:r>
    </w:p>
    <w:p w:rsidR="00F5078A" w:rsidRPr="00F5078A" w:rsidP="003964BE" w14:paraId="4D6510A9" w14:textId="2C864C7D">
      <w:pPr>
        <w:spacing w:after="240"/>
        <w:jc w:val="center"/>
        <w:rPr>
          <w:u w:val="single"/>
        </w:rPr>
      </w:pPr>
      <w:r w:rsidRPr="00F5078A">
        <w:rPr>
          <w:b/>
          <w:bCs/>
          <w:u w:val="single"/>
        </w:rPr>
        <w:t>Table</w:t>
      </w:r>
      <w:r w:rsidR="00B324B6">
        <w:rPr>
          <w:b/>
          <w:bCs/>
          <w:u w:val="single"/>
        </w:rPr>
        <w:t xml:space="preserve"> 1</w:t>
      </w:r>
      <w:r w:rsidRPr="00F5078A">
        <w:rPr>
          <w:b/>
          <w:bCs/>
          <w:u w:val="single"/>
        </w:rPr>
        <w:t>. Estimated annualized cost and hour burden</w:t>
      </w:r>
    </w:p>
    <w:p w:rsidR="00F5078A" w:rsidRPr="00F5078A" w:rsidP="00F5078A" w14:paraId="393CF511" w14:textId="4144CEE6">
      <w:pPr>
        <w:spacing w:after="240"/>
        <w:rPr>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0"/>
        <w:gridCol w:w="1080"/>
        <w:gridCol w:w="1050"/>
        <w:gridCol w:w="945"/>
        <w:gridCol w:w="1080"/>
        <w:gridCol w:w="1200"/>
        <w:gridCol w:w="1620"/>
      </w:tblGrid>
      <w:tr w14:paraId="348C7A59" w14:textId="77777777" w:rsidTr="003964BE">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2926690" w14:textId="4C629D54">
            <w:pPr>
              <w:spacing w:after="240"/>
              <w:jc w:val="center"/>
            </w:pPr>
            <w:r w:rsidRPr="003964BE">
              <w:rPr>
                <w:b/>
                <w:bCs/>
              </w:rPr>
              <w:t>Activity</w:t>
            </w:r>
          </w:p>
        </w:tc>
        <w:tc>
          <w:tcPr>
            <w:tcW w:w="108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57596E6" w14:textId="7E3A730F">
            <w:pPr>
              <w:spacing w:after="240"/>
              <w:jc w:val="center"/>
            </w:pPr>
            <w:r w:rsidRPr="003964BE">
              <w:rPr>
                <w:b/>
                <w:bCs/>
              </w:rPr>
              <w:t>Total annual responses</w:t>
            </w:r>
          </w:p>
        </w:tc>
        <w:tc>
          <w:tcPr>
            <w:tcW w:w="105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3B2AE7AC" w14:textId="235CF499">
            <w:pPr>
              <w:spacing w:after="240"/>
              <w:jc w:val="center"/>
            </w:pPr>
            <w:r w:rsidRPr="003964BE">
              <w:rPr>
                <w:b/>
                <w:bCs/>
              </w:rPr>
              <w:t>Time per response</w:t>
            </w:r>
          </w:p>
        </w:tc>
        <w:tc>
          <w:tcPr>
            <w:tcW w:w="945"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8067D89" w14:textId="402045A8">
            <w:pPr>
              <w:spacing w:after="240"/>
              <w:jc w:val="center"/>
            </w:pPr>
            <w:r w:rsidRPr="003964BE">
              <w:rPr>
                <w:b/>
                <w:bCs/>
              </w:rPr>
              <w:t>Total annual burden (hours)</w:t>
            </w:r>
          </w:p>
        </w:tc>
        <w:tc>
          <w:tcPr>
            <w:tcW w:w="108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2C0AD89F" w14:textId="311D2116">
            <w:pPr>
              <w:spacing w:after="240"/>
              <w:jc w:val="center"/>
            </w:pPr>
            <w:r w:rsidRPr="003964BE">
              <w:rPr>
                <w:b/>
                <w:bCs/>
              </w:rPr>
              <w:t>Hourly rate*</w:t>
            </w:r>
          </w:p>
        </w:tc>
        <w:tc>
          <w:tcPr>
            <w:tcW w:w="120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37251C4F" w14:textId="458B27C7">
            <w:pPr>
              <w:spacing w:after="240"/>
              <w:jc w:val="center"/>
            </w:pPr>
            <w:r w:rsidRPr="003964BE">
              <w:rPr>
                <w:b/>
                <w:bCs/>
              </w:rPr>
              <w:t>Shipping cost per submission</w:t>
            </w:r>
          </w:p>
        </w:tc>
        <w:tc>
          <w:tcPr>
            <w:tcW w:w="162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25BBE6A8" w14:textId="0681CE85">
            <w:pPr>
              <w:spacing w:after="240"/>
              <w:jc w:val="center"/>
            </w:pPr>
            <w:r w:rsidRPr="003964BE">
              <w:rPr>
                <w:b/>
                <w:bCs/>
              </w:rPr>
              <w:t>Monetized value of respondent time</w:t>
            </w:r>
          </w:p>
        </w:tc>
      </w:tr>
      <w:tr w14:paraId="2A24A81D"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0C3E6E78" w14:textId="77777777">
            <w:pPr>
              <w:spacing w:after="240"/>
            </w:pPr>
            <w:r w:rsidRPr="003964BE">
              <w:t>Collecting samples and information </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5220A5AB" w14:textId="2AEFB6B4">
            <w:pPr>
              <w:spacing w:after="240"/>
              <w:jc w:val="center"/>
            </w:pPr>
            <w:r w:rsidRPr="003964BE">
              <w:t>100</w:t>
            </w:r>
          </w:p>
        </w:tc>
        <w:tc>
          <w:tcPr>
            <w:tcW w:w="105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4980742D" w14:textId="4940E5FD">
            <w:pPr>
              <w:spacing w:after="240"/>
              <w:jc w:val="center"/>
            </w:pPr>
            <w:r w:rsidRPr="003964BE">
              <w:t>0.50</w:t>
            </w:r>
          </w:p>
        </w:tc>
        <w:tc>
          <w:tcPr>
            <w:tcW w:w="945"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5FF5C121" w14:textId="59C40981">
            <w:pPr>
              <w:spacing w:after="240"/>
              <w:jc w:val="center"/>
            </w:pPr>
            <w:r w:rsidRPr="003964BE">
              <w:t>50</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71FF0692" w14:textId="50AD7799">
            <w:pPr>
              <w:spacing w:after="240"/>
              <w:jc w:val="center"/>
            </w:pPr>
            <w:r w:rsidRPr="003964BE">
              <w:t>$44.79</w:t>
            </w:r>
          </w:p>
        </w:tc>
        <w:tc>
          <w:tcPr>
            <w:tcW w:w="120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5FAC0B58" w14:textId="29D20B57">
            <w:pPr>
              <w:spacing w:after="240"/>
              <w:jc w:val="center"/>
            </w:pPr>
            <w:r w:rsidRPr="003964BE">
              <w:t>--</w:t>
            </w:r>
          </w:p>
        </w:tc>
        <w:tc>
          <w:tcPr>
            <w:tcW w:w="162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663C15FE" w14:textId="7A09CB83">
            <w:pPr>
              <w:spacing w:after="240"/>
              <w:jc w:val="center"/>
            </w:pPr>
            <w:r w:rsidRPr="003964BE">
              <w:t>$2,239.50</w:t>
            </w:r>
          </w:p>
        </w:tc>
      </w:tr>
      <w:tr w14:paraId="5C18C892"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5B521728" w14:textId="77777777">
            <w:pPr>
              <w:spacing w:after="240"/>
            </w:pPr>
            <w:r w:rsidRPr="003964BE">
              <w:t>Shipping samples </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774F4354" w14:textId="64D168A8">
            <w:pPr>
              <w:spacing w:after="240"/>
              <w:jc w:val="center"/>
            </w:pPr>
            <w:r w:rsidRPr="003964BE">
              <w:t>100</w:t>
            </w:r>
          </w:p>
        </w:tc>
        <w:tc>
          <w:tcPr>
            <w:tcW w:w="105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36D6D9A3" w14:textId="50A8EFD7">
            <w:pPr>
              <w:spacing w:after="240"/>
              <w:jc w:val="center"/>
            </w:pPr>
            <w:r w:rsidRPr="003964BE">
              <w:t>--</w:t>
            </w:r>
          </w:p>
        </w:tc>
        <w:tc>
          <w:tcPr>
            <w:tcW w:w="945"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6B68203F" w14:textId="7C05D9C7">
            <w:pPr>
              <w:spacing w:after="240"/>
              <w:jc w:val="center"/>
            </w:pPr>
            <w:r w:rsidRPr="003964BE">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14AA0F85" w14:textId="07809CDC">
            <w:pPr>
              <w:spacing w:after="240"/>
              <w:jc w:val="center"/>
            </w:pPr>
            <w:r w:rsidRPr="003964BE">
              <w:t>--</w:t>
            </w:r>
          </w:p>
        </w:tc>
        <w:tc>
          <w:tcPr>
            <w:tcW w:w="120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5B2213E4" w14:textId="6C0E573F">
            <w:pPr>
              <w:spacing w:after="240"/>
              <w:jc w:val="center"/>
            </w:pPr>
            <w:r w:rsidRPr="003964BE">
              <w:t>$50</w:t>
            </w:r>
          </w:p>
        </w:tc>
        <w:tc>
          <w:tcPr>
            <w:tcW w:w="162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456202F8" w14:textId="7D35F5FB">
            <w:pPr>
              <w:spacing w:after="240"/>
              <w:jc w:val="center"/>
            </w:pPr>
            <w:r w:rsidRPr="003964BE">
              <w:t>$5,000.00</w:t>
            </w:r>
          </w:p>
        </w:tc>
      </w:tr>
      <w:tr w14:paraId="43BC05C3"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3DD37922" w14:textId="77777777">
            <w:pPr>
              <w:spacing w:after="240"/>
              <w:jc w:val="right"/>
            </w:pPr>
            <w:r w:rsidRPr="003964BE">
              <w:rPr>
                <w:b/>
                <w:bCs/>
              </w:rPr>
              <w:t>Unduplicated totals</w:t>
            </w:r>
            <w:r w:rsidRPr="003964BE">
              <w:t> </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F5078A" w14:paraId="74DADCFF" w14:textId="77777777">
            <w:pPr>
              <w:spacing w:after="240"/>
            </w:pPr>
            <w:r w:rsidRPr="003964BE">
              <w:t> </w:t>
            </w:r>
          </w:p>
        </w:tc>
        <w:tc>
          <w:tcPr>
            <w:tcW w:w="1050" w:type="dxa"/>
            <w:tcBorders>
              <w:top w:val="single" w:sz="6" w:space="0" w:color="auto"/>
              <w:left w:val="single" w:sz="6" w:space="0" w:color="auto"/>
              <w:bottom w:val="single" w:sz="6" w:space="0" w:color="auto"/>
              <w:right w:val="single" w:sz="6" w:space="0" w:color="auto"/>
            </w:tcBorders>
            <w:vAlign w:val="center"/>
            <w:hideMark/>
          </w:tcPr>
          <w:p w:rsidR="00F5078A" w:rsidRPr="003964BE" w:rsidP="00F5078A" w14:paraId="0B5D2611" w14:textId="77777777">
            <w:pPr>
              <w:spacing w:after="240"/>
            </w:pPr>
            <w:r w:rsidRPr="003964BE">
              <w:t> </w:t>
            </w:r>
          </w:p>
        </w:tc>
        <w:tc>
          <w:tcPr>
            <w:tcW w:w="945" w:type="dxa"/>
            <w:tcBorders>
              <w:top w:val="single" w:sz="6" w:space="0" w:color="auto"/>
              <w:left w:val="single" w:sz="6" w:space="0" w:color="auto"/>
              <w:bottom w:val="single" w:sz="6" w:space="0" w:color="auto"/>
              <w:right w:val="single" w:sz="6" w:space="0" w:color="auto"/>
            </w:tcBorders>
            <w:vAlign w:val="center"/>
            <w:hideMark/>
          </w:tcPr>
          <w:p w:rsidR="00F5078A" w:rsidRPr="003964BE" w:rsidP="00F5078A" w14:paraId="0F89FE5F" w14:textId="77777777">
            <w:pPr>
              <w:spacing w:after="240"/>
            </w:pPr>
            <w:r w:rsidRPr="003964BE">
              <w:t> </w:t>
            </w:r>
          </w:p>
        </w:tc>
        <w:tc>
          <w:tcPr>
            <w:tcW w:w="1080" w:type="dxa"/>
            <w:tcBorders>
              <w:top w:val="single" w:sz="6" w:space="0" w:color="auto"/>
              <w:left w:val="single" w:sz="6" w:space="0" w:color="auto"/>
              <w:bottom w:val="single" w:sz="6" w:space="0" w:color="auto"/>
              <w:right w:val="single" w:sz="6" w:space="0" w:color="auto"/>
            </w:tcBorders>
            <w:vAlign w:val="center"/>
            <w:hideMark/>
          </w:tcPr>
          <w:p w:rsidR="00F5078A" w:rsidRPr="003964BE" w:rsidP="00F5078A" w14:paraId="3BF02BB9" w14:textId="77777777">
            <w:pPr>
              <w:spacing w:after="240"/>
            </w:pPr>
            <w:r w:rsidRPr="003964BE">
              <w:t> </w:t>
            </w:r>
          </w:p>
        </w:tc>
        <w:tc>
          <w:tcPr>
            <w:tcW w:w="1200" w:type="dxa"/>
            <w:tcBorders>
              <w:top w:val="single" w:sz="6" w:space="0" w:color="auto"/>
              <w:left w:val="single" w:sz="6" w:space="0" w:color="auto"/>
              <w:bottom w:val="single" w:sz="6" w:space="0" w:color="auto"/>
              <w:right w:val="single" w:sz="6" w:space="0" w:color="auto"/>
            </w:tcBorders>
            <w:vAlign w:val="center"/>
            <w:hideMark/>
          </w:tcPr>
          <w:p w:rsidR="00F5078A" w:rsidRPr="003964BE" w:rsidP="00F5078A" w14:paraId="07CA2E4E" w14:textId="77777777">
            <w:pPr>
              <w:spacing w:after="240"/>
            </w:pPr>
            <w:r w:rsidRPr="003964BE">
              <w:t> </w:t>
            </w:r>
          </w:p>
        </w:tc>
        <w:tc>
          <w:tcPr>
            <w:tcW w:w="1620" w:type="dxa"/>
            <w:tcBorders>
              <w:top w:val="single" w:sz="6" w:space="0" w:color="auto"/>
              <w:left w:val="single" w:sz="6" w:space="0" w:color="auto"/>
              <w:bottom w:val="single" w:sz="6" w:space="0" w:color="auto"/>
              <w:right w:val="single" w:sz="6" w:space="0" w:color="auto"/>
            </w:tcBorders>
            <w:vAlign w:val="center"/>
            <w:hideMark/>
          </w:tcPr>
          <w:p w:rsidR="00F5078A" w:rsidRPr="003964BE" w:rsidP="003964BE" w14:paraId="725F0E7F" w14:textId="5B7F8738">
            <w:pPr>
              <w:spacing w:after="240"/>
              <w:jc w:val="center"/>
            </w:pPr>
            <w:r w:rsidRPr="003964BE">
              <w:rPr>
                <w:b/>
                <w:bCs/>
              </w:rPr>
              <w:t>$7,239.50</w:t>
            </w:r>
          </w:p>
        </w:tc>
      </w:tr>
    </w:tbl>
    <w:p w:rsidR="00704060" w:rsidP="00C718B4" w14:paraId="2BC00DE8" w14:textId="77777777">
      <w:pPr>
        <w:spacing w:after="240"/>
      </w:pPr>
    </w:p>
    <w:bookmarkEnd w:id="2"/>
    <w:p w:rsidR="00587CD8" w:rsidP="00C718B4" w14:paraId="7BEECA79" w14:textId="77497AB8">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13. </w:t>
      </w:r>
      <w:r w:rsidRPr="00054955" w:rsidR="00054955">
        <w:rPr>
          <w:b/>
          <w:bCs/>
        </w:rPr>
        <w:t>Provide an estimate of the total annual cost burden to respondents or recordkeepers resulting from the information collection.</w:t>
      </w:r>
      <w:r w:rsidR="007C0A81">
        <w:rPr>
          <w:b/>
          <w:bCs/>
        </w:rPr>
        <w:t xml:space="preserve"> </w:t>
      </w:r>
      <w:r w:rsidRPr="00054955" w:rsidR="00054955">
        <w:rPr>
          <w:b/>
          <w:bCs/>
        </w:rPr>
        <w:t>(Do not include the cost of any hour burden shown in Items 12 and 14).</w:t>
      </w:r>
    </w:p>
    <w:p w:rsidR="00587CD8" w:rsidP="00C718B4" w14:paraId="61A64606"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BB5975" w:rsidP="00C718B4" w14:paraId="4604D6CC" w14:textId="160C585A">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t>ATF estimates a</w:t>
      </w:r>
      <w:r w:rsidR="00760EAC">
        <w:t>n additional</w:t>
      </w:r>
      <w:r>
        <w:t xml:space="preserve"> cost </w:t>
      </w:r>
      <w:r w:rsidR="00760EAC">
        <w:t>to each respondent of</w:t>
      </w:r>
      <w:r>
        <w:t xml:space="preserve"> $20 </w:t>
      </w:r>
      <w:r w:rsidR="00760EAC">
        <w:t>for the cost of the explosive materials</w:t>
      </w:r>
      <w:r>
        <w:t xml:space="preserve">. The </w:t>
      </w:r>
      <w:r w:rsidR="00760EAC">
        <w:t>total cost of the materials is therefore</w:t>
      </w:r>
      <w:r>
        <w:t xml:space="preserve"> $2,000</w:t>
      </w:r>
      <w:r w:rsidR="00760EAC">
        <w:t xml:space="preserve"> (100 respondents * $20)</w:t>
      </w:r>
      <w:r>
        <w:t xml:space="preserve">. </w:t>
      </w:r>
      <w:r w:rsidR="00760EAC">
        <w:t xml:space="preserve">However, the </w:t>
      </w:r>
      <w:r>
        <w:t xml:space="preserve">regulations </w:t>
      </w:r>
      <w:r>
        <w:t>at</w:t>
      </w:r>
      <w:r>
        <w:t xml:space="preserve"> 27 CFR </w:t>
      </w:r>
      <w:r w:rsidR="00760EAC">
        <w:t xml:space="preserve">§ </w:t>
      </w:r>
      <w:r>
        <w:t xml:space="preserve">555.110 provide for reimbursement </w:t>
      </w:r>
      <w:r w:rsidR="00751D56">
        <w:t xml:space="preserve">of </w:t>
      </w:r>
      <w:r>
        <w:t xml:space="preserve">the cost of the materials. Therefore, </w:t>
      </w:r>
      <w:r w:rsidR="00751D56">
        <w:t>this cost is reported as 0</w:t>
      </w:r>
      <w:r w:rsidR="00D612FA">
        <w:t>.</w:t>
      </w:r>
    </w:p>
    <w:p w:rsidR="00BB5975" w:rsidRPr="00D7684F" w:rsidP="00BB5975" w14:paraId="60AEB3EF" w14:textId="14130F72">
      <w:pPr>
        <w:spacing w:after="240"/>
        <w:jc w:val="center"/>
        <w:rPr>
          <w:b/>
          <w:bCs/>
        </w:rPr>
      </w:pPr>
      <w:r w:rsidRPr="00D7684F">
        <w:rPr>
          <w:b/>
          <w:bCs/>
        </w:rPr>
        <w:t>Table</w:t>
      </w:r>
      <w:r w:rsidR="00B324B6">
        <w:rPr>
          <w:b/>
          <w:bCs/>
        </w:rPr>
        <w:t xml:space="preserve"> 2</w:t>
      </w:r>
      <w:r w:rsidRPr="00D7684F">
        <w:rPr>
          <w:b/>
          <w:bCs/>
        </w:rPr>
        <w:t xml:space="preserve">. Estimated </w:t>
      </w:r>
      <w:r>
        <w:rPr>
          <w:b/>
          <w:bCs/>
        </w:rPr>
        <w:t>costs</w:t>
      </w:r>
    </w:p>
    <w:tbl>
      <w:tblPr>
        <w:tblStyle w:val="TableGrid"/>
        <w:tblW w:w="7562" w:type="dxa"/>
        <w:jc w:val="center"/>
        <w:tblLook w:val="04A0"/>
      </w:tblPr>
      <w:tblGrid>
        <w:gridCol w:w="1335"/>
        <w:gridCol w:w="1250"/>
        <w:gridCol w:w="1127"/>
        <w:gridCol w:w="1241"/>
        <w:gridCol w:w="1215"/>
        <w:gridCol w:w="1394"/>
      </w:tblGrid>
      <w:tr w14:paraId="45A32EA4" w14:textId="77777777" w:rsidTr="00BB5975">
        <w:tblPrEx>
          <w:tblW w:w="7562" w:type="dxa"/>
          <w:jc w:val="center"/>
          <w:tblLook w:val="04A0"/>
        </w:tblPrEx>
        <w:trPr>
          <w:jc w:val="center"/>
        </w:trPr>
        <w:tc>
          <w:tcPr>
            <w:tcW w:w="1335" w:type="dxa"/>
            <w:shd w:val="clear" w:color="auto" w:fill="9CC2E5" w:themeFill="accent1" w:themeFillTint="99"/>
            <w:vAlign w:val="center"/>
          </w:tcPr>
          <w:p w:rsidR="00BB5975" w:rsidRPr="00C43F2E" w14:paraId="2939C765" w14:textId="77777777">
            <w:pPr>
              <w:jc w:val="center"/>
              <w:rPr>
                <w:b/>
                <w:sz w:val="20"/>
                <w:szCs w:val="20"/>
              </w:rPr>
            </w:pPr>
            <w:r w:rsidRPr="00C43F2E">
              <w:rPr>
                <w:b/>
                <w:sz w:val="20"/>
                <w:szCs w:val="20"/>
              </w:rPr>
              <w:t>Activity</w:t>
            </w:r>
          </w:p>
        </w:tc>
        <w:tc>
          <w:tcPr>
            <w:tcW w:w="1250" w:type="dxa"/>
            <w:shd w:val="clear" w:color="auto" w:fill="9CC2E5" w:themeFill="accent1" w:themeFillTint="99"/>
            <w:vAlign w:val="center"/>
          </w:tcPr>
          <w:p w:rsidR="00BB5975" w:rsidRPr="00C43F2E" w14:paraId="28A332ED" w14:textId="77777777">
            <w:pPr>
              <w:jc w:val="center"/>
              <w:rPr>
                <w:b/>
                <w:sz w:val="20"/>
                <w:szCs w:val="20"/>
              </w:rPr>
            </w:pPr>
            <w:r>
              <w:rPr>
                <w:b/>
                <w:sz w:val="20"/>
                <w:szCs w:val="20"/>
              </w:rPr>
              <w:t>Number of respondents</w:t>
            </w:r>
          </w:p>
        </w:tc>
        <w:tc>
          <w:tcPr>
            <w:tcW w:w="1127" w:type="dxa"/>
            <w:shd w:val="clear" w:color="auto" w:fill="9CC2E5" w:themeFill="accent1" w:themeFillTint="99"/>
            <w:vAlign w:val="center"/>
          </w:tcPr>
          <w:p w:rsidR="00BB5975" w:rsidRPr="00C43F2E" w14:paraId="17E581A5" w14:textId="77777777">
            <w:pPr>
              <w:jc w:val="center"/>
              <w:rPr>
                <w:b/>
                <w:sz w:val="20"/>
                <w:szCs w:val="20"/>
              </w:rPr>
            </w:pPr>
            <w:r>
              <w:rPr>
                <w:b/>
                <w:sz w:val="20"/>
                <w:szCs w:val="20"/>
              </w:rPr>
              <w:t>Frequency</w:t>
            </w:r>
          </w:p>
        </w:tc>
        <w:tc>
          <w:tcPr>
            <w:tcW w:w="1241" w:type="dxa"/>
            <w:shd w:val="clear" w:color="auto" w:fill="9CC2E5" w:themeFill="accent1" w:themeFillTint="99"/>
            <w:vAlign w:val="center"/>
          </w:tcPr>
          <w:p w:rsidR="00BB5975" w:rsidRPr="00C43F2E" w14:paraId="7B5DB97E" w14:textId="733671B2">
            <w:pPr>
              <w:jc w:val="center"/>
              <w:rPr>
                <w:b/>
                <w:sz w:val="20"/>
                <w:szCs w:val="20"/>
              </w:rPr>
            </w:pPr>
            <w:r>
              <w:rPr>
                <w:b/>
                <w:sz w:val="20"/>
                <w:szCs w:val="20"/>
              </w:rPr>
              <w:t>Cost per response</w:t>
            </w:r>
          </w:p>
        </w:tc>
        <w:tc>
          <w:tcPr>
            <w:tcW w:w="1215" w:type="dxa"/>
            <w:shd w:val="clear" w:color="auto" w:fill="9CC2E5" w:themeFill="accent1" w:themeFillTint="99"/>
          </w:tcPr>
          <w:p w:rsidR="00BB5975" w:rsidRPr="00C43F2E" w14:paraId="22621A1C" w14:textId="7F6E905B">
            <w:pPr>
              <w:jc w:val="center"/>
              <w:rPr>
                <w:b/>
                <w:sz w:val="20"/>
                <w:szCs w:val="20"/>
              </w:rPr>
            </w:pPr>
            <w:r>
              <w:rPr>
                <w:b/>
                <w:sz w:val="20"/>
                <w:szCs w:val="20"/>
              </w:rPr>
              <w:t>Amount reimbursed</w:t>
            </w:r>
          </w:p>
        </w:tc>
        <w:tc>
          <w:tcPr>
            <w:tcW w:w="1394" w:type="dxa"/>
            <w:shd w:val="clear" w:color="auto" w:fill="9CC2E5" w:themeFill="accent1" w:themeFillTint="99"/>
            <w:vAlign w:val="center"/>
          </w:tcPr>
          <w:p w:rsidR="00BB5975" w:rsidRPr="00C43F2E" w14:paraId="55A21241" w14:textId="3F3383E9">
            <w:pPr>
              <w:jc w:val="center"/>
              <w:rPr>
                <w:b/>
                <w:sz w:val="20"/>
                <w:szCs w:val="20"/>
              </w:rPr>
            </w:pPr>
            <w:r w:rsidRPr="00C43F2E">
              <w:rPr>
                <w:b/>
                <w:sz w:val="20"/>
                <w:szCs w:val="20"/>
              </w:rPr>
              <w:t xml:space="preserve">Total annual </w:t>
            </w:r>
            <w:r>
              <w:rPr>
                <w:b/>
                <w:sz w:val="20"/>
                <w:szCs w:val="20"/>
              </w:rPr>
              <w:t>cost</w:t>
            </w:r>
          </w:p>
        </w:tc>
      </w:tr>
      <w:tr w14:paraId="3EB4E426" w14:textId="77777777" w:rsidTr="00BB5975">
        <w:tblPrEx>
          <w:tblW w:w="7562" w:type="dxa"/>
          <w:jc w:val="center"/>
          <w:tblLook w:val="04A0"/>
        </w:tblPrEx>
        <w:trPr>
          <w:jc w:val="center"/>
        </w:trPr>
        <w:tc>
          <w:tcPr>
            <w:tcW w:w="1335" w:type="dxa"/>
            <w:vAlign w:val="center"/>
          </w:tcPr>
          <w:p w:rsidR="00BB5975" w:rsidRPr="00C43F2E" w14:paraId="20411A0E" w14:textId="420FD3DB">
            <w:pPr>
              <w:jc w:val="right"/>
              <w:rPr>
                <w:sz w:val="20"/>
                <w:szCs w:val="20"/>
              </w:rPr>
            </w:pPr>
            <w:r>
              <w:rPr>
                <w:color w:val="000000"/>
                <w:sz w:val="20"/>
                <w:szCs w:val="20"/>
              </w:rPr>
              <w:t>Materials</w:t>
            </w:r>
          </w:p>
        </w:tc>
        <w:tc>
          <w:tcPr>
            <w:tcW w:w="1250" w:type="dxa"/>
            <w:vAlign w:val="center"/>
          </w:tcPr>
          <w:p w:rsidR="00BB5975" w:rsidRPr="00C43F2E" w14:paraId="7C9141B5" w14:textId="77777777">
            <w:pPr>
              <w:jc w:val="center"/>
              <w:rPr>
                <w:color w:val="000000"/>
                <w:sz w:val="20"/>
                <w:szCs w:val="20"/>
              </w:rPr>
            </w:pPr>
            <w:r>
              <w:rPr>
                <w:color w:val="000000"/>
                <w:sz w:val="20"/>
                <w:szCs w:val="20"/>
              </w:rPr>
              <w:t>100</w:t>
            </w:r>
          </w:p>
        </w:tc>
        <w:tc>
          <w:tcPr>
            <w:tcW w:w="1127" w:type="dxa"/>
            <w:vAlign w:val="center"/>
          </w:tcPr>
          <w:p w:rsidR="00BB5975" w:rsidRPr="00C43F2E" w14:paraId="6B92A68D" w14:textId="77777777">
            <w:pPr>
              <w:jc w:val="center"/>
              <w:rPr>
                <w:color w:val="000000"/>
                <w:sz w:val="20"/>
                <w:szCs w:val="20"/>
              </w:rPr>
            </w:pPr>
            <w:r>
              <w:rPr>
                <w:color w:val="000000"/>
                <w:sz w:val="20"/>
                <w:szCs w:val="20"/>
              </w:rPr>
              <w:t>1</w:t>
            </w:r>
          </w:p>
        </w:tc>
        <w:tc>
          <w:tcPr>
            <w:tcW w:w="1241" w:type="dxa"/>
            <w:vAlign w:val="center"/>
          </w:tcPr>
          <w:p w:rsidR="00BB5975" w:rsidRPr="00C43F2E" w14:paraId="19191D02" w14:textId="70A696A6">
            <w:pPr>
              <w:jc w:val="center"/>
              <w:rPr>
                <w:sz w:val="20"/>
                <w:szCs w:val="20"/>
              </w:rPr>
            </w:pPr>
            <w:r>
              <w:rPr>
                <w:sz w:val="20"/>
                <w:szCs w:val="20"/>
              </w:rPr>
              <w:t>$20</w:t>
            </w:r>
          </w:p>
        </w:tc>
        <w:tc>
          <w:tcPr>
            <w:tcW w:w="1215" w:type="dxa"/>
          </w:tcPr>
          <w:p w:rsidR="00BB5975" w:rsidRPr="00C43F2E" w14:paraId="45CCBDFA" w14:textId="2BF6BD9C">
            <w:pPr>
              <w:jc w:val="center"/>
              <w:rPr>
                <w:color w:val="000000"/>
                <w:sz w:val="20"/>
                <w:szCs w:val="20"/>
              </w:rPr>
            </w:pPr>
            <w:r>
              <w:rPr>
                <w:color w:val="000000"/>
                <w:sz w:val="20"/>
                <w:szCs w:val="20"/>
              </w:rPr>
              <w:t>-$20</w:t>
            </w:r>
          </w:p>
        </w:tc>
        <w:tc>
          <w:tcPr>
            <w:tcW w:w="1394" w:type="dxa"/>
            <w:vAlign w:val="center"/>
          </w:tcPr>
          <w:p w:rsidR="00BB5975" w:rsidRPr="00C43F2E" w14:paraId="737A87B3" w14:textId="391258A2">
            <w:pPr>
              <w:jc w:val="center"/>
              <w:rPr>
                <w:sz w:val="20"/>
                <w:szCs w:val="20"/>
              </w:rPr>
            </w:pPr>
            <w:r>
              <w:rPr>
                <w:color w:val="000000"/>
                <w:sz w:val="20"/>
                <w:szCs w:val="20"/>
              </w:rPr>
              <w:t>$0</w:t>
            </w:r>
          </w:p>
        </w:tc>
      </w:tr>
    </w:tbl>
    <w:p w:rsidR="00BB5975" w:rsidP="00C718B4" w14:paraId="22A2F571"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87CD8" w:rsidRPr="00587CD8" w:rsidP="00C718B4" w14:paraId="25245507"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782571" w:rsidRPr="00587CD8" w:rsidP="00C718B4" w14:paraId="2413664B" w14:textId="62908B3B">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14. </w:t>
      </w:r>
      <w:r w:rsidRPr="00782571">
        <w:rPr>
          <w:b/>
          <w:bCs/>
        </w:rPr>
        <w:t>Provide estimates of the annualized cost to the federal government.</w:t>
      </w:r>
    </w:p>
    <w:p w:rsidR="003D74D2" w:rsidP="003D74D2" w14:paraId="2EEFF438"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3D74D2" w:rsidP="003D74D2" w14:paraId="2CA42DD9" w14:textId="159FE15B">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t xml:space="preserve">As the regulations at 27 CFR § 555.110 provide for reimbursement of the cost of the materials, </w:t>
      </w:r>
      <w:r>
        <w:t xml:space="preserve">ATF estimates a cost to the federal government of $20 </w:t>
      </w:r>
      <w:r w:rsidR="00016726">
        <w:t xml:space="preserve">for </w:t>
      </w:r>
      <w:r w:rsidR="001C1A72">
        <w:t xml:space="preserve">reimbursing </w:t>
      </w:r>
      <w:r w:rsidR="00684665">
        <w:t xml:space="preserve">each respondent </w:t>
      </w:r>
      <w:r w:rsidR="0074358F">
        <w:t xml:space="preserve">the </w:t>
      </w:r>
      <w:r w:rsidR="008C79AF">
        <w:t xml:space="preserve">cost </w:t>
      </w:r>
      <w:r w:rsidR="001C1A72">
        <w:t xml:space="preserve">for </w:t>
      </w:r>
      <w:r>
        <w:t>the</w:t>
      </w:r>
      <w:r w:rsidR="00054A8F">
        <w:t>ir</w:t>
      </w:r>
      <w:r>
        <w:t xml:space="preserve"> </w:t>
      </w:r>
      <w:r w:rsidR="00016726">
        <w:t xml:space="preserve">submitted </w:t>
      </w:r>
      <w:r>
        <w:t xml:space="preserve">explosive materials. The total cost of the materials is therefore $2,000 (100 respondents * $20). </w:t>
      </w:r>
    </w:p>
    <w:p w:rsidR="003D74D2" w:rsidRPr="00D7684F" w:rsidP="003D74D2" w14:paraId="317FB2F4" w14:textId="77777777">
      <w:pPr>
        <w:spacing w:after="240"/>
        <w:jc w:val="center"/>
        <w:rPr>
          <w:b/>
          <w:bCs/>
        </w:rPr>
      </w:pPr>
      <w:r w:rsidRPr="00D7684F">
        <w:rPr>
          <w:b/>
          <w:bCs/>
        </w:rPr>
        <w:t xml:space="preserve">Table. Estimated </w:t>
      </w:r>
      <w:r>
        <w:rPr>
          <w:b/>
          <w:bCs/>
        </w:rPr>
        <w:t>costs</w:t>
      </w:r>
    </w:p>
    <w:tbl>
      <w:tblPr>
        <w:tblStyle w:val="TableGrid"/>
        <w:tblW w:w="6347" w:type="dxa"/>
        <w:jc w:val="center"/>
        <w:tblLook w:val="04A0"/>
      </w:tblPr>
      <w:tblGrid>
        <w:gridCol w:w="1335"/>
        <w:gridCol w:w="1250"/>
        <w:gridCol w:w="1127"/>
        <w:gridCol w:w="1241"/>
        <w:gridCol w:w="1394"/>
      </w:tblGrid>
      <w:tr w14:paraId="3C3CC45C" w14:textId="77777777" w:rsidTr="001C1A72">
        <w:tblPrEx>
          <w:tblW w:w="6347" w:type="dxa"/>
          <w:jc w:val="center"/>
          <w:tblLook w:val="04A0"/>
        </w:tblPrEx>
        <w:trPr>
          <w:jc w:val="center"/>
        </w:trPr>
        <w:tc>
          <w:tcPr>
            <w:tcW w:w="1335" w:type="dxa"/>
            <w:shd w:val="clear" w:color="auto" w:fill="9CC2E5" w:themeFill="accent1" w:themeFillTint="99"/>
            <w:vAlign w:val="center"/>
          </w:tcPr>
          <w:p w:rsidR="00DF1B75" w:rsidRPr="00C43F2E" w14:paraId="0B00FB4F" w14:textId="77777777">
            <w:pPr>
              <w:jc w:val="center"/>
              <w:rPr>
                <w:b/>
                <w:sz w:val="20"/>
                <w:szCs w:val="20"/>
              </w:rPr>
            </w:pPr>
            <w:r w:rsidRPr="00C43F2E">
              <w:rPr>
                <w:b/>
                <w:sz w:val="20"/>
                <w:szCs w:val="20"/>
              </w:rPr>
              <w:t>Activity</w:t>
            </w:r>
          </w:p>
        </w:tc>
        <w:tc>
          <w:tcPr>
            <w:tcW w:w="1250" w:type="dxa"/>
            <w:shd w:val="clear" w:color="auto" w:fill="9CC2E5" w:themeFill="accent1" w:themeFillTint="99"/>
            <w:vAlign w:val="center"/>
          </w:tcPr>
          <w:p w:rsidR="00DF1B75" w:rsidRPr="00C43F2E" w14:paraId="3FB5AFCF" w14:textId="77777777">
            <w:pPr>
              <w:jc w:val="center"/>
              <w:rPr>
                <w:b/>
                <w:sz w:val="20"/>
                <w:szCs w:val="20"/>
              </w:rPr>
            </w:pPr>
            <w:r>
              <w:rPr>
                <w:b/>
                <w:sz w:val="20"/>
                <w:szCs w:val="20"/>
              </w:rPr>
              <w:t>Number of respondents</w:t>
            </w:r>
          </w:p>
        </w:tc>
        <w:tc>
          <w:tcPr>
            <w:tcW w:w="1127" w:type="dxa"/>
            <w:shd w:val="clear" w:color="auto" w:fill="9CC2E5" w:themeFill="accent1" w:themeFillTint="99"/>
            <w:vAlign w:val="center"/>
          </w:tcPr>
          <w:p w:rsidR="00DF1B75" w:rsidRPr="00C43F2E" w14:paraId="38267530" w14:textId="77777777">
            <w:pPr>
              <w:jc w:val="center"/>
              <w:rPr>
                <w:b/>
                <w:sz w:val="20"/>
                <w:szCs w:val="20"/>
              </w:rPr>
            </w:pPr>
            <w:r>
              <w:rPr>
                <w:b/>
                <w:sz w:val="20"/>
                <w:szCs w:val="20"/>
              </w:rPr>
              <w:t>Frequency</w:t>
            </w:r>
          </w:p>
        </w:tc>
        <w:tc>
          <w:tcPr>
            <w:tcW w:w="1241" w:type="dxa"/>
            <w:shd w:val="clear" w:color="auto" w:fill="9CC2E5" w:themeFill="accent1" w:themeFillTint="99"/>
            <w:vAlign w:val="center"/>
          </w:tcPr>
          <w:p w:rsidR="00DF1B75" w:rsidRPr="00C43F2E" w14:paraId="366A75E0" w14:textId="77777777">
            <w:pPr>
              <w:jc w:val="center"/>
              <w:rPr>
                <w:b/>
                <w:sz w:val="20"/>
                <w:szCs w:val="20"/>
              </w:rPr>
            </w:pPr>
            <w:r>
              <w:rPr>
                <w:b/>
                <w:sz w:val="20"/>
                <w:szCs w:val="20"/>
              </w:rPr>
              <w:t>Cost per response</w:t>
            </w:r>
          </w:p>
        </w:tc>
        <w:tc>
          <w:tcPr>
            <w:tcW w:w="1394" w:type="dxa"/>
            <w:shd w:val="clear" w:color="auto" w:fill="9CC2E5" w:themeFill="accent1" w:themeFillTint="99"/>
            <w:vAlign w:val="center"/>
          </w:tcPr>
          <w:p w:rsidR="00DF1B75" w:rsidRPr="00C43F2E" w14:paraId="78C86E4F" w14:textId="77777777">
            <w:pPr>
              <w:jc w:val="center"/>
              <w:rPr>
                <w:b/>
                <w:sz w:val="20"/>
                <w:szCs w:val="20"/>
              </w:rPr>
            </w:pPr>
            <w:r w:rsidRPr="00C43F2E">
              <w:rPr>
                <w:b/>
                <w:sz w:val="20"/>
                <w:szCs w:val="20"/>
              </w:rPr>
              <w:t xml:space="preserve">Total annual </w:t>
            </w:r>
            <w:r>
              <w:rPr>
                <w:b/>
                <w:sz w:val="20"/>
                <w:szCs w:val="20"/>
              </w:rPr>
              <w:t>cost</w:t>
            </w:r>
          </w:p>
        </w:tc>
      </w:tr>
      <w:tr w14:paraId="03463288" w14:textId="77777777" w:rsidTr="001C1A72">
        <w:tblPrEx>
          <w:tblW w:w="6347" w:type="dxa"/>
          <w:jc w:val="center"/>
          <w:tblLook w:val="04A0"/>
        </w:tblPrEx>
        <w:trPr>
          <w:jc w:val="center"/>
        </w:trPr>
        <w:tc>
          <w:tcPr>
            <w:tcW w:w="1335" w:type="dxa"/>
            <w:vAlign w:val="center"/>
          </w:tcPr>
          <w:p w:rsidR="00DF1B75" w:rsidRPr="00C43F2E" w14:paraId="0245DA69" w14:textId="77777777">
            <w:pPr>
              <w:jc w:val="right"/>
              <w:rPr>
                <w:sz w:val="20"/>
                <w:szCs w:val="20"/>
              </w:rPr>
            </w:pPr>
            <w:r>
              <w:rPr>
                <w:color w:val="000000"/>
                <w:sz w:val="20"/>
                <w:szCs w:val="20"/>
              </w:rPr>
              <w:t>Materials</w:t>
            </w:r>
          </w:p>
        </w:tc>
        <w:tc>
          <w:tcPr>
            <w:tcW w:w="1250" w:type="dxa"/>
            <w:vAlign w:val="center"/>
          </w:tcPr>
          <w:p w:rsidR="00DF1B75" w:rsidRPr="00C43F2E" w14:paraId="4CD8B194" w14:textId="77777777">
            <w:pPr>
              <w:jc w:val="center"/>
              <w:rPr>
                <w:color w:val="000000"/>
                <w:sz w:val="20"/>
                <w:szCs w:val="20"/>
              </w:rPr>
            </w:pPr>
            <w:r>
              <w:rPr>
                <w:color w:val="000000"/>
                <w:sz w:val="20"/>
                <w:szCs w:val="20"/>
              </w:rPr>
              <w:t>100</w:t>
            </w:r>
          </w:p>
        </w:tc>
        <w:tc>
          <w:tcPr>
            <w:tcW w:w="1127" w:type="dxa"/>
            <w:vAlign w:val="center"/>
          </w:tcPr>
          <w:p w:rsidR="00DF1B75" w:rsidRPr="00C43F2E" w14:paraId="302166E4" w14:textId="77777777">
            <w:pPr>
              <w:jc w:val="center"/>
              <w:rPr>
                <w:color w:val="000000"/>
                <w:sz w:val="20"/>
                <w:szCs w:val="20"/>
              </w:rPr>
            </w:pPr>
            <w:r>
              <w:rPr>
                <w:color w:val="000000"/>
                <w:sz w:val="20"/>
                <w:szCs w:val="20"/>
              </w:rPr>
              <w:t>1</w:t>
            </w:r>
          </w:p>
        </w:tc>
        <w:tc>
          <w:tcPr>
            <w:tcW w:w="1241" w:type="dxa"/>
            <w:vAlign w:val="center"/>
          </w:tcPr>
          <w:p w:rsidR="00DF1B75" w:rsidRPr="00C43F2E" w14:paraId="0C75076E" w14:textId="77777777">
            <w:pPr>
              <w:jc w:val="center"/>
              <w:rPr>
                <w:sz w:val="20"/>
                <w:szCs w:val="20"/>
              </w:rPr>
            </w:pPr>
            <w:r>
              <w:rPr>
                <w:sz w:val="20"/>
                <w:szCs w:val="20"/>
              </w:rPr>
              <w:t>$20</w:t>
            </w:r>
          </w:p>
        </w:tc>
        <w:tc>
          <w:tcPr>
            <w:tcW w:w="1394" w:type="dxa"/>
            <w:vAlign w:val="center"/>
          </w:tcPr>
          <w:p w:rsidR="00DF1B75" w:rsidRPr="00C43F2E" w14:paraId="33DB688A" w14:textId="5130CDCF">
            <w:pPr>
              <w:jc w:val="center"/>
              <w:rPr>
                <w:sz w:val="20"/>
                <w:szCs w:val="20"/>
              </w:rPr>
            </w:pPr>
            <w:r>
              <w:rPr>
                <w:color w:val="000000"/>
                <w:sz w:val="20"/>
                <w:szCs w:val="20"/>
              </w:rPr>
              <w:t>$2,000</w:t>
            </w:r>
          </w:p>
        </w:tc>
      </w:tr>
    </w:tbl>
    <w:p w:rsidR="003D74D2" w:rsidP="003A0D38" w14:paraId="76BF047E" w14:textId="77777777">
      <w:pPr>
        <w:spacing w:after="240"/>
      </w:pPr>
    </w:p>
    <w:p w:rsidR="003A0D38" w:rsidRPr="005C3FEB" w:rsidP="003A0D38" w14:paraId="424CB442" w14:textId="77777777">
      <w:pPr>
        <w:spacing w:after="240"/>
      </w:pPr>
      <w: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5A5857" w:rsidRPr="00587CD8" w:rsidP="00C718B4" w14:paraId="6CEF9784" w14:textId="28472B70">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15. </w:t>
      </w:r>
      <w:r w:rsidRPr="005A5857">
        <w:rPr>
          <w:b/>
          <w:bCs/>
        </w:rPr>
        <w:t>Explain the reasons for any program changes or adjustments.</w:t>
      </w:r>
    </w:p>
    <w:p w:rsidR="00DE53AC" w:rsidP="00C718B4" w14:paraId="0D469384" w14:textId="0E83521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t>There are no program changes or adjustments associated with this collection.</w:t>
      </w:r>
    </w:p>
    <w:p w:rsidR="00587CD8" w:rsidRPr="00CA75F9" w:rsidP="00C718B4" w14:paraId="457F5E04" w14:textId="02896CA3">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16. </w:t>
      </w:r>
      <w:r w:rsidRPr="00CA75F9" w:rsidR="00CA75F9">
        <w:rPr>
          <w:b/>
          <w:bCs/>
        </w:rPr>
        <w:t>For information collections whose results will be published, outline plans for tabulations and publication.</w:t>
      </w:r>
    </w:p>
    <w:p w:rsidR="00BF658E" w:rsidP="00C718B4" w14:paraId="64E8D55F" w14:textId="029DAE3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rsidRPr="002F031E">
        <w:t>ATF will not publish the results of this collection.</w:t>
      </w:r>
    </w:p>
    <w:p w:rsidR="00587CD8" w:rsidP="00C718B4" w14:paraId="1E56BD36"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17. </w:t>
      </w:r>
      <w:r w:rsidRPr="00BF658E" w:rsidR="00BF658E">
        <w:rPr>
          <w:b/>
          <w:bCs/>
        </w:rPr>
        <w:t>If seeking approval to not display the expiration date for OMB approval of the information collection, explain the reasons that display would be inappropriate.</w:t>
      </w:r>
    </w:p>
    <w:p w:rsidR="00587CD8" w:rsidP="00C718B4" w14:paraId="39271F1F"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EF7954" w:rsidRPr="00587CD8" w:rsidP="00C718B4" w14:paraId="5A5116D0" w14:textId="4AB64AD5">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t xml:space="preserve">This information collection involves </w:t>
      </w:r>
      <w:r>
        <w:t>licensees</w:t>
      </w:r>
      <w:r>
        <w:t xml:space="preserve"> providing samples of explosives </w:t>
      </w:r>
      <w:r w:rsidR="00804FB1">
        <w:t>as requested</w:t>
      </w:r>
      <w:r w:rsidR="009931E8">
        <w:t>, per statutory and regulatory requirements</w:t>
      </w:r>
      <w:r>
        <w:t xml:space="preserve">. There is no collection </w:t>
      </w:r>
      <w:r>
        <w:t>instrument</w:t>
      </w:r>
      <w:r w:rsidR="00E75609">
        <w:t xml:space="preserve"> and ATF does not have a place at which it could display the expiration date</w:t>
      </w:r>
      <w:r w:rsidR="00A92DDD">
        <w:t>, which would just be randomly located if on the website</w:t>
      </w:r>
      <w:r w:rsidR="00042871">
        <w:t xml:space="preserve">. Submitters do not need to look up information </w:t>
      </w:r>
      <w:r w:rsidR="002C1809">
        <w:t xml:space="preserve">on ATF’s website </w:t>
      </w:r>
      <w:r w:rsidR="00042871">
        <w:t>on how to do this</w:t>
      </w:r>
      <w:r w:rsidR="008F35CC">
        <w:t xml:space="preserve"> – it is all contained in the </w:t>
      </w:r>
      <w:r w:rsidR="009C751E">
        <w:t xml:space="preserve">statute and </w:t>
      </w:r>
      <w:r w:rsidR="008F35CC">
        <w:t xml:space="preserve">regulation </w:t>
      </w:r>
      <w:r w:rsidR="002C1809">
        <w:t>–</w:t>
      </w:r>
      <w:r w:rsidR="00042871">
        <w:t xml:space="preserve"> </w:t>
      </w:r>
      <w:r w:rsidR="002C1809">
        <w:t>and ATF has no discussion of this on the website. Submitters</w:t>
      </w:r>
      <w:r w:rsidR="00042871">
        <w:t xml:space="preserve"> would not go to the website </w:t>
      </w:r>
      <w:r w:rsidR="003A07D0">
        <w:t xml:space="preserve">to look for information </w:t>
      </w:r>
      <w:r w:rsidR="00042871">
        <w:t>and thus would not see</w:t>
      </w:r>
      <w:r w:rsidR="00E50842">
        <w:t xml:space="preserve"> the expiration date if it was added somewhere. </w:t>
      </w:r>
      <w:r w:rsidR="00804FB1">
        <w:t>The control number is published in the</w:t>
      </w:r>
      <w:r w:rsidR="008F35CC">
        <w:t xml:space="preserve"> regulation, so that provides public notice</w:t>
      </w:r>
      <w:r w:rsidR="003A07D0">
        <w:t xml:space="preserve"> that OMB has approved the ICR</w:t>
      </w:r>
      <w:r w:rsidR="008F35CC">
        <w:t xml:space="preserve">. </w:t>
      </w:r>
      <w:r w:rsidRPr="00EF7954">
        <w:t xml:space="preserve">ATF </w:t>
      </w:r>
      <w:r w:rsidR="008F35CC">
        <w:t xml:space="preserve">requests approval </w:t>
      </w:r>
      <w:r w:rsidRPr="00EF7954">
        <w:t>to</w:t>
      </w:r>
      <w:r w:rsidR="008F35CC">
        <w:t xml:space="preserve"> not</w:t>
      </w:r>
      <w:r w:rsidRPr="00EF7954">
        <w:t xml:space="preserve"> display the OMB expiration date for this information collection.</w:t>
      </w:r>
      <w:r w:rsidR="007C0A81">
        <w:t xml:space="preserve"> </w:t>
      </w:r>
    </w:p>
    <w:p w:rsidR="00EF7954" w:rsidRPr="00BF658E" w:rsidP="00C718B4" w14:paraId="0CEF7B1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DA6574" w:rsidRPr="00DA6574" w:rsidP="00C718B4" w14:paraId="15695DD8" w14:textId="093647B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rPr>
      </w:pPr>
      <w:r>
        <w:rPr>
          <w:b/>
        </w:rPr>
        <w:t xml:space="preserve">18. </w:t>
      </w:r>
      <w:r w:rsidRPr="00DA6574">
        <w:rPr>
          <w:b/>
        </w:rPr>
        <w:t>Explain each exception to the certification statement.</w:t>
      </w:r>
    </w:p>
    <w:p w:rsidR="00DA6574" w:rsidP="00C718B4" w14:paraId="0641DF25"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A0811" w:rsidRPr="005A0811" w:rsidP="00C718B4" w14:paraId="2D2E71DF" w14:textId="1368A3AD">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DA6574">
        <w:t>This information collection does not include any exceptions to the certification statement.</w:t>
      </w:r>
    </w:p>
    <w:p w:rsidR="00E061F3" w:rsidRPr="00E061F3" w:rsidP="00C718B4" w14:paraId="0EA177FD" w14:textId="77777777">
      <w:pPr>
        <w:spacing w:after="240"/>
        <w:rPr>
          <w:b/>
          <w:bCs/>
        </w:rPr>
      </w:pPr>
      <w:r w:rsidRPr="00E061F3">
        <w:rPr>
          <w:b/>
          <w:bCs/>
        </w:rPr>
        <w:t>B. COLLECTIONS OF INFORMATON EMPLOYING STATISTICAL METHODS.</w:t>
      </w:r>
    </w:p>
    <w:p w:rsidR="001978C6" w:rsidRPr="00D53DEB" w:rsidP="00C718B4" w14:paraId="00E3460C" w14:textId="77777777">
      <w:pPr>
        <w:spacing w:after="240"/>
        <w:contextualSpacing/>
      </w:pPr>
      <w:r w:rsidRPr="00EF4F86">
        <w:t>This collection does not employ statistical methods.</w:t>
      </w:r>
    </w:p>
    <w:p w:rsidR="00350CB4" w:rsidRPr="000348A7" w:rsidP="001978C6" w14:paraId="6A10D664" w14:textId="5A27F5CB">
      <w:pPr>
        <w:pStyle w:val="BodyText"/>
        <w:spacing w:after="240"/>
        <w:rPr>
          <w:rFonts w:ascii="Times New Roman" w:hAnsi="Times New Roman" w:cs="Times New Roman"/>
          <w:b w:val="0"/>
          <w:bCs w:val="0"/>
        </w:rPr>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2332420"/>
      <w:docPartObj>
        <w:docPartGallery w:val="Page Numbers (Bottom of Page)"/>
        <w:docPartUnique/>
      </w:docPartObj>
    </w:sdtPr>
    <w:sdtEndPr>
      <w:rPr>
        <w:noProof/>
      </w:rPr>
    </w:sdtEndPr>
    <w:sdtContent>
      <w:p w:rsidR="00103E24" w14:paraId="7BD0C6EE" w14:textId="60CEDA5A">
        <w:pPr>
          <w:pStyle w:val="Footer"/>
          <w:jc w:val="center"/>
        </w:pPr>
        <w:r>
          <w:fldChar w:fldCharType="begin"/>
        </w:r>
        <w:r>
          <w:instrText xml:space="preserve"> PAGE   \* MERGEFORMAT </w:instrText>
        </w:r>
        <w:r>
          <w:fldChar w:fldCharType="separate"/>
        </w:r>
        <w:r w:rsidR="007719AB">
          <w:rPr>
            <w:noProof/>
          </w:rPr>
          <w:t>1</w:t>
        </w:r>
        <w:r>
          <w:rPr>
            <w:noProof/>
          </w:rPr>
          <w:fldChar w:fldCharType="end"/>
        </w:r>
      </w:p>
    </w:sdtContent>
  </w:sdt>
  <w:p w:rsidR="00103E24" w14:paraId="5A07E8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9E5" w:rsidRPr="006626FF" w:rsidP="008139E5" w14:paraId="672B89E4" w14:textId="311B6107">
    <w:pPr>
      <w:pStyle w:val="Header"/>
      <w:rPr>
        <w:bCs/>
        <w:sz w:val="20"/>
        <w:szCs w:val="20"/>
      </w:rPr>
    </w:pPr>
    <w:r>
      <w:rPr>
        <w:bCs/>
        <w:sz w:val="20"/>
        <w:szCs w:val="20"/>
      </w:rPr>
      <w:t>Furnishing of Explosives Samples</w:t>
    </w:r>
  </w:p>
  <w:p w:rsidR="008139E5" w:rsidP="008139E5" w14:paraId="0C55E9BD" w14:textId="1ADCF33B">
    <w:pPr>
      <w:pStyle w:val="Header"/>
      <w:rPr>
        <w:sz w:val="20"/>
        <w:szCs w:val="20"/>
      </w:rPr>
    </w:pPr>
    <w:r>
      <w:rPr>
        <w:sz w:val="20"/>
        <w:szCs w:val="20"/>
      </w:rPr>
      <w:t>OMB Control Number 1140-0073</w:t>
    </w:r>
  </w:p>
  <w:p w:rsidR="008139E5" w:rsidP="008139E5" w14:paraId="56F4BF71" w14:textId="3CE7DFDE">
    <w:pPr>
      <w:pStyle w:val="Header"/>
      <w:rPr>
        <w:sz w:val="20"/>
        <w:szCs w:val="20"/>
      </w:rPr>
    </w:pPr>
    <w:r>
      <w:rPr>
        <w:sz w:val="20"/>
        <w:szCs w:val="20"/>
      </w:rPr>
      <w:t>OMB Expiration Date: 7/31/2025</w:t>
    </w:r>
  </w:p>
  <w:p w:rsidR="008139E5" w14:paraId="472A26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C705F"/>
    <w:multiLevelType w:val="hybridMultilevel"/>
    <w:tmpl w:val="5F548DB0"/>
    <w:lvl w:ilvl="0">
      <w:start w:val="1"/>
      <w:numFmt w:val="upperLetter"/>
      <w:lvlText w:val="%1."/>
      <w:lvlJc w:val="left"/>
      <w:pPr>
        <w:ind w:left="18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1D9E645B"/>
    <w:multiLevelType w:val="hybridMultilevel"/>
    <w:tmpl w:val="6C9E43AA"/>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7D77F5B"/>
    <w:multiLevelType w:val="hybridMultilevel"/>
    <w:tmpl w:val="29621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D384825"/>
    <w:multiLevelType w:val="hybridMultilevel"/>
    <w:tmpl w:val="D36667F0"/>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CF6057"/>
    <w:multiLevelType w:val="hybridMultilevel"/>
    <w:tmpl w:val="840C62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D2E0FCF"/>
    <w:multiLevelType w:val="hybridMultilevel"/>
    <w:tmpl w:val="216C700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0668340">
    <w:abstractNumId w:val="2"/>
  </w:num>
  <w:num w:numId="2" w16cid:durableId="1419254378">
    <w:abstractNumId w:val="0"/>
  </w:num>
  <w:num w:numId="3" w16cid:durableId="1116144646">
    <w:abstractNumId w:val="5"/>
  </w:num>
  <w:num w:numId="4" w16cid:durableId="494494896">
    <w:abstractNumId w:val="6"/>
  </w:num>
  <w:num w:numId="5" w16cid:durableId="188491091">
    <w:abstractNumId w:val="3"/>
  </w:num>
  <w:num w:numId="6" w16cid:durableId="607153442">
    <w:abstractNumId w:val="1"/>
  </w:num>
  <w:num w:numId="7" w16cid:durableId="1595241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21"/>
    <w:rsid w:val="00016726"/>
    <w:rsid w:val="000348A7"/>
    <w:rsid w:val="000358E4"/>
    <w:rsid w:val="00042871"/>
    <w:rsid w:val="00054955"/>
    <w:rsid w:val="00054A8F"/>
    <w:rsid w:val="000635A4"/>
    <w:rsid w:val="00077BB4"/>
    <w:rsid w:val="00086279"/>
    <w:rsid w:val="00086304"/>
    <w:rsid w:val="00090E75"/>
    <w:rsid w:val="00095EE7"/>
    <w:rsid w:val="000C2EC3"/>
    <w:rsid w:val="000C676E"/>
    <w:rsid w:val="000D0EE3"/>
    <w:rsid w:val="000E0068"/>
    <w:rsid w:val="000E3383"/>
    <w:rsid w:val="000F2341"/>
    <w:rsid w:val="000F70DF"/>
    <w:rsid w:val="001032E0"/>
    <w:rsid w:val="00103E24"/>
    <w:rsid w:val="00104FB0"/>
    <w:rsid w:val="00106296"/>
    <w:rsid w:val="00124EE2"/>
    <w:rsid w:val="00127FC2"/>
    <w:rsid w:val="00144ED1"/>
    <w:rsid w:val="001467CE"/>
    <w:rsid w:val="00154650"/>
    <w:rsid w:val="00156137"/>
    <w:rsid w:val="001660DE"/>
    <w:rsid w:val="00172A21"/>
    <w:rsid w:val="0017412E"/>
    <w:rsid w:val="00175D40"/>
    <w:rsid w:val="0017794D"/>
    <w:rsid w:val="00187EE4"/>
    <w:rsid w:val="00194E0F"/>
    <w:rsid w:val="00194E37"/>
    <w:rsid w:val="00195399"/>
    <w:rsid w:val="001978C6"/>
    <w:rsid w:val="001B5A1B"/>
    <w:rsid w:val="001B710E"/>
    <w:rsid w:val="001B73E0"/>
    <w:rsid w:val="001C1A72"/>
    <w:rsid w:val="001C2A21"/>
    <w:rsid w:val="001C60C1"/>
    <w:rsid w:val="001C6AA1"/>
    <w:rsid w:val="001D2606"/>
    <w:rsid w:val="001D2F10"/>
    <w:rsid w:val="001D75A8"/>
    <w:rsid w:val="001E7CD0"/>
    <w:rsid w:val="00203D53"/>
    <w:rsid w:val="00206231"/>
    <w:rsid w:val="002070CA"/>
    <w:rsid w:val="0021346B"/>
    <w:rsid w:val="00220B86"/>
    <w:rsid w:val="00225FB3"/>
    <w:rsid w:val="002305A1"/>
    <w:rsid w:val="0023461A"/>
    <w:rsid w:val="00236D9D"/>
    <w:rsid w:val="0025046B"/>
    <w:rsid w:val="002602DB"/>
    <w:rsid w:val="00283A82"/>
    <w:rsid w:val="002A6B25"/>
    <w:rsid w:val="002C1809"/>
    <w:rsid w:val="002C65AD"/>
    <w:rsid w:val="002D13CB"/>
    <w:rsid w:val="002D26C7"/>
    <w:rsid w:val="002D468B"/>
    <w:rsid w:val="002D520F"/>
    <w:rsid w:val="002F031E"/>
    <w:rsid w:val="002F6C47"/>
    <w:rsid w:val="003029E3"/>
    <w:rsid w:val="00302E83"/>
    <w:rsid w:val="00304F5D"/>
    <w:rsid w:val="00330D20"/>
    <w:rsid w:val="00334DE3"/>
    <w:rsid w:val="00337E4F"/>
    <w:rsid w:val="00350CB4"/>
    <w:rsid w:val="0035500E"/>
    <w:rsid w:val="00377119"/>
    <w:rsid w:val="00385BEA"/>
    <w:rsid w:val="00386B27"/>
    <w:rsid w:val="00394D8E"/>
    <w:rsid w:val="003964BE"/>
    <w:rsid w:val="003A07D0"/>
    <w:rsid w:val="003A0D38"/>
    <w:rsid w:val="003A0F95"/>
    <w:rsid w:val="003A194E"/>
    <w:rsid w:val="003B036E"/>
    <w:rsid w:val="003B18CA"/>
    <w:rsid w:val="003D74D2"/>
    <w:rsid w:val="003E44A6"/>
    <w:rsid w:val="003F6418"/>
    <w:rsid w:val="00402695"/>
    <w:rsid w:val="00403703"/>
    <w:rsid w:val="00403F4B"/>
    <w:rsid w:val="004142D3"/>
    <w:rsid w:val="00435615"/>
    <w:rsid w:val="00435CDF"/>
    <w:rsid w:val="00437A6F"/>
    <w:rsid w:val="00446237"/>
    <w:rsid w:val="00452129"/>
    <w:rsid w:val="004544E3"/>
    <w:rsid w:val="00455A10"/>
    <w:rsid w:val="004566AD"/>
    <w:rsid w:val="00456A99"/>
    <w:rsid w:val="00461F00"/>
    <w:rsid w:val="004636B1"/>
    <w:rsid w:val="00470CA6"/>
    <w:rsid w:val="00473F9B"/>
    <w:rsid w:val="00474361"/>
    <w:rsid w:val="004C0B1A"/>
    <w:rsid w:val="004C530B"/>
    <w:rsid w:val="004C55E9"/>
    <w:rsid w:val="004C7D74"/>
    <w:rsid w:val="004D1207"/>
    <w:rsid w:val="004D201A"/>
    <w:rsid w:val="004E7726"/>
    <w:rsid w:val="004F0D9F"/>
    <w:rsid w:val="00503B2B"/>
    <w:rsid w:val="00503FA7"/>
    <w:rsid w:val="0051236C"/>
    <w:rsid w:val="0051490B"/>
    <w:rsid w:val="00520D7C"/>
    <w:rsid w:val="00522840"/>
    <w:rsid w:val="00524D0F"/>
    <w:rsid w:val="00534C52"/>
    <w:rsid w:val="00540E0A"/>
    <w:rsid w:val="00547F73"/>
    <w:rsid w:val="00555AFF"/>
    <w:rsid w:val="0056406A"/>
    <w:rsid w:val="00570BBB"/>
    <w:rsid w:val="00582D1C"/>
    <w:rsid w:val="00587CD8"/>
    <w:rsid w:val="005903C8"/>
    <w:rsid w:val="005A0000"/>
    <w:rsid w:val="005A0811"/>
    <w:rsid w:val="005A5857"/>
    <w:rsid w:val="005B342E"/>
    <w:rsid w:val="005C2C01"/>
    <w:rsid w:val="005C318B"/>
    <w:rsid w:val="005C3FEB"/>
    <w:rsid w:val="005D2533"/>
    <w:rsid w:val="00605A0B"/>
    <w:rsid w:val="0061263D"/>
    <w:rsid w:val="00623DB8"/>
    <w:rsid w:val="00637F09"/>
    <w:rsid w:val="006436B5"/>
    <w:rsid w:val="00656AFF"/>
    <w:rsid w:val="00656E66"/>
    <w:rsid w:val="006626FF"/>
    <w:rsid w:val="00667D05"/>
    <w:rsid w:val="00676D46"/>
    <w:rsid w:val="00684665"/>
    <w:rsid w:val="00690C95"/>
    <w:rsid w:val="006A69D0"/>
    <w:rsid w:val="006B209D"/>
    <w:rsid w:val="006C66A2"/>
    <w:rsid w:val="006D2BCD"/>
    <w:rsid w:val="006E13A3"/>
    <w:rsid w:val="006E5170"/>
    <w:rsid w:val="006E6E72"/>
    <w:rsid w:val="006F7839"/>
    <w:rsid w:val="00704060"/>
    <w:rsid w:val="00704ED4"/>
    <w:rsid w:val="0071771B"/>
    <w:rsid w:val="00717D66"/>
    <w:rsid w:val="007205CB"/>
    <w:rsid w:val="00735BC1"/>
    <w:rsid w:val="00742338"/>
    <w:rsid w:val="0074358F"/>
    <w:rsid w:val="00743682"/>
    <w:rsid w:val="00747595"/>
    <w:rsid w:val="00751D56"/>
    <w:rsid w:val="00760EAC"/>
    <w:rsid w:val="007611A1"/>
    <w:rsid w:val="00763863"/>
    <w:rsid w:val="007639A1"/>
    <w:rsid w:val="00764F5F"/>
    <w:rsid w:val="00770D63"/>
    <w:rsid w:val="007719AB"/>
    <w:rsid w:val="00782571"/>
    <w:rsid w:val="00787664"/>
    <w:rsid w:val="00793CEA"/>
    <w:rsid w:val="007A63FE"/>
    <w:rsid w:val="007A6EDA"/>
    <w:rsid w:val="007C0A81"/>
    <w:rsid w:val="007C3938"/>
    <w:rsid w:val="007C43BB"/>
    <w:rsid w:val="007C55E6"/>
    <w:rsid w:val="007C5A13"/>
    <w:rsid w:val="007C7FC8"/>
    <w:rsid w:val="007D353D"/>
    <w:rsid w:val="007F62C7"/>
    <w:rsid w:val="00802B02"/>
    <w:rsid w:val="00804FB1"/>
    <w:rsid w:val="00805992"/>
    <w:rsid w:val="008073F1"/>
    <w:rsid w:val="00810875"/>
    <w:rsid w:val="008139E5"/>
    <w:rsid w:val="008141F9"/>
    <w:rsid w:val="008162F0"/>
    <w:rsid w:val="00820279"/>
    <w:rsid w:val="0083205B"/>
    <w:rsid w:val="00837D8A"/>
    <w:rsid w:val="0084052F"/>
    <w:rsid w:val="00841805"/>
    <w:rsid w:val="00847AAC"/>
    <w:rsid w:val="00857394"/>
    <w:rsid w:val="008872A9"/>
    <w:rsid w:val="008916ED"/>
    <w:rsid w:val="008B33DC"/>
    <w:rsid w:val="008B548D"/>
    <w:rsid w:val="008C6F5B"/>
    <w:rsid w:val="008C79AF"/>
    <w:rsid w:val="008D00E1"/>
    <w:rsid w:val="008D156F"/>
    <w:rsid w:val="008D16F9"/>
    <w:rsid w:val="008E0F72"/>
    <w:rsid w:val="008F35CC"/>
    <w:rsid w:val="008F66D4"/>
    <w:rsid w:val="009002D2"/>
    <w:rsid w:val="009114DE"/>
    <w:rsid w:val="00913A51"/>
    <w:rsid w:val="00915F9A"/>
    <w:rsid w:val="00947839"/>
    <w:rsid w:val="00960D06"/>
    <w:rsid w:val="00960D39"/>
    <w:rsid w:val="009931E8"/>
    <w:rsid w:val="00996911"/>
    <w:rsid w:val="009A33DF"/>
    <w:rsid w:val="009A59C5"/>
    <w:rsid w:val="009C0927"/>
    <w:rsid w:val="009C14E4"/>
    <w:rsid w:val="009C751E"/>
    <w:rsid w:val="009D2F78"/>
    <w:rsid w:val="009F322D"/>
    <w:rsid w:val="00A05EA2"/>
    <w:rsid w:val="00A06322"/>
    <w:rsid w:val="00A1130F"/>
    <w:rsid w:val="00A3104F"/>
    <w:rsid w:val="00A33129"/>
    <w:rsid w:val="00A36322"/>
    <w:rsid w:val="00A52011"/>
    <w:rsid w:val="00A5447A"/>
    <w:rsid w:val="00A606AD"/>
    <w:rsid w:val="00A62EBE"/>
    <w:rsid w:val="00A77660"/>
    <w:rsid w:val="00A921C1"/>
    <w:rsid w:val="00A92DDD"/>
    <w:rsid w:val="00A9621D"/>
    <w:rsid w:val="00A973AA"/>
    <w:rsid w:val="00AA3035"/>
    <w:rsid w:val="00AA4508"/>
    <w:rsid w:val="00AB782B"/>
    <w:rsid w:val="00AC16C7"/>
    <w:rsid w:val="00AC3512"/>
    <w:rsid w:val="00AC66E1"/>
    <w:rsid w:val="00AD227E"/>
    <w:rsid w:val="00AF2B18"/>
    <w:rsid w:val="00AF58C7"/>
    <w:rsid w:val="00B06E82"/>
    <w:rsid w:val="00B2183F"/>
    <w:rsid w:val="00B271DF"/>
    <w:rsid w:val="00B30FF6"/>
    <w:rsid w:val="00B324B6"/>
    <w:rsid w:val="00B3492E"/>
    <w:rsid w:val="00B34B2C"/>
    <w:rsid w:val="00B40DE2"/>
    <w:rsid w:val="00B6111A"/>
    <w:rsid w:val="00B633F0"/>
    <w:rsid w:val="00B675BE"/>
    <w:rsid w:val="00B818E5"/>
    <w:rsid w:val="00B81C90"/>
    <w:rsid w:val="00B83AFF"/>
    <w:rsid w:val="00B85B41"/>
    <w:rsid w:val="00B90207"/>
    <w:rsid w:val="00BA1356"/>
    <w:rsid w:val="00BA32A8"/>
    <w:rsid w:val="00BA537A"/>
    <w:rsid w:val="00BB5975"/>
    <w:rsid w:val="00BB7BCF"/>
    <w:rsid w:val="00BB7F31"/>
    <w:rsid w:val="00BC4074"/>
    <w:rsid w:val="00BD2C1C"/>
    <w:rsid w:val="00BD341D"/>
    <w:rsid w:val="00BD364A"/>
    <w:rsid w:val="00BE087C"/>
    <w:rsid w:val="00BE0DB5"/>
    <w:rsid w:val="00BE4747"/>
    <w:rsid w:val="00BE49A8"/>
    <w:rsid w:val="00BF062B"/>
    <w:rsid w:val="00BF1373"/>
    <w:rsid w:val="00BF658E"/>
    <w:rsid w:val="00C113BE"/>
    <w:rsid w:val="00C1486B"/>
    <w:rsid w:val="00C21E1A"/>
    <w:rsid w:val="00C270FD"/>
    <w:rsid w:val="00C34523"/>
    <w:rsid w:val="00C36479"/>
    <w:rsid w:val="00C43F2E"/>
    <w:rsid w:val="00C44356"/>
    <w:rsid w:val="00C4743A"/>
    <w:rsid w:val="00C50CF7"/>
    <w:rsid w:val="00C5551C"/>
    <w:rsid w:val="00C718B4"/>
    <w:rsid w:val="00C73686"/>
    <w:rsid w:val="00C8268F"/>
    <w:rsid w:val="00C95D8E"/>
    <w:rsid w:val="00C966E1"/>
    <w:rsid w:val="00CA424C"/>
    <w:rsid w:val="00CA75F9"/>
    <w:rsid w:val="00CB5C7A"/>
    <w:rsid w:val="00CC2C6A"/>
    <w:rsid w:val="00CC7F65"/>
    <w:rsid w:val="00CD1BAC"/>
    <w:rsid w:val="00CE5068"/>
    <w:rsid w:val="00CF1285"/>
    <w:rsid w:val="00CF53C1"/>
    <w:rsid w:val="00D231D8"/>
    <w:rsid w:val="00D2626B"/>
    <w:rsid w:val="00D34524"/>
    <w:rsid w:val="00D36731"/>
    <w:rsid w:val="00D53DEB"/>
    <w:rsid w:val="00D612FA"/>
    <w:rsid w:val="00D62F5F"/>
    <w:rsid w:val="00D67E3C"/>
    <w:rsid w:val="00D7684F"/>
    <w:rsid w:val="00D834C2"/>
    <w:rsid w:val="00D94DC1"/>
    <w:rsid w:val="00DA6574"/>
    <w:rsid w:val="00DB213A"/>
    <w:rsid w:val="00DB7FB1"/>
    <w:rsid w:val="00DC2422"/>
    <w:rsid w:val="00DE03A2"/>
    <w:rsid w:val="00DE4F0A"/>
    <w:rsid w:val="00DE53AC"/>
    <w:rsid w:val="00DE7F0E"/>
    <w:rsid w:val="00DF0B03"/>
    <w:rsid w:val="00DF1B75"/>
    <w:rsid w:val="00DF28B8"/>
    <w:rsid w:val="00DF31E3"/>
    <w:rsid w:val="00DF76A6"/>
    <w:rsid w:val="00E01B61"/>
    <w:rsid w:val="00E061F3"/>
    <w:rsid w:val="00E12D7B"/>
    <w:rsid w:val="00E14004"/>
    <w:rsid w:val="00E16329"/>
    <w:rsid w:val="00E22A5F"/>
    <w:rsid w:val="00E275F6"/>
    <w:rsid w:val="00E30093"/>
    <w:rsid w:val="00E40C76"/>
    <w:rsid w:val="00E50842"/>
    <w:rsid w:val="00E5198C"/>
    <w:rsid w:val="00E53AC5"/>
    <w:rsid w:val="00E6720C"/>
    <w:rsid w:val="00E75609"/>
    <w:rsid w:val="00E852A0"/>
    <w:rsid w:val="00EA35CF"/>
    <w:rsid w:val="00EC1DB6"/>
    <w:rsid w:val="00EC3734"/>
    <w:rsid w:val="00ED37E6"/>
    <w:rsid w:val="00ED6FE1"/>
    <w:rsid w:val="00EE75A8"/>
    <w:rsid w:val="00EF4F86"/>
    <w:rsid w:val="00EF6C50"/>
    <w:rsid w:val="00EF7954"/>
    <w:rsid w:val="00F03C52"/>
    <w:rsid w:val="00F05167"/>
    <w:rsid w:val="00F15810"/>
    <w:rsid w:val="00F27341"/>
    <w:rsid w:val="00F31D14"/>
    <w:rsid w:val="00F42749"/>
    <w:rsid w:val="00F5078A"/>
    <w:rsid w:val="00F66C21"/>
    <w:rsid w:val="00F66E4D"/>
    <w:rsid w:val="00F74CF0"/>
    <w:rsid w:val="00F847B5"/>
    <w:rsid w:val="00F972BD"/>
    <w:rsid w:val="00FA685F"/>
    <w:rsid w:val="00FB0FD5"/>
    <w:rsid w:val="00FE644E"/>
    <w:rsid w:val="04EFA8DB"/>
    <w:rsid w:val="0E7E61F3"/>
    <w:rsid w:val="18D6FF5F"/>
    <w:rsid w:val="22AE6B3E"/>
    <w:rsid w:val="23D2ED32"/>
    <w:rsid w:val="30828527"/>
    <w:rsid w:val="3479A7E3"/>
    <w:rsid w:val="3F564449"/>
    <w:rsid w:val="4932A924"/>
    <w:rsid w:val="4B6A102C"/>
    <w:rsid w:val="4E3A5DE6"/>
    <w:rsid w:val="51C4BC6F"/>
    <w:rsid w:val="5A747D22"/>
    <w:rsid w:val="62E63773"/>
    <w:rsid w:val="7764A670"/>
    <w:rsid w:val="7934F3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42C8C3"/>
  <w15:docId w15:val="{3887E03C-3FA4-4F38-9408-5B0ABE59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9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6C21"/>
    <w:pPr>
      <w:keepNext/>
      <w:outlineLvl w:val="0"/>
    </w:pPr>
    <w:rPr>
      <w:rFonts w:ascii="Courier New" w:hAnsi="Courier New" w:cs="Courier New"/>
      <w:b/>
      <w:bCs/>
    </w:rPr>
  </w:style>
  <w:style w:type="paragraph" w:styleId="Heading2">
    <w:name w:val="heading 2"/>
    <w:basedOn w:val="Normal"/>
    <w:next w:val="Normal"/>
    <w:link w:val="Heading2Char"/>
    <w:uiPriority w:val="9"/>
    <w:semiHidden/>
    <w:unhideWhenUsed/>
    <w:qFormat/>
    <w:rsid w:val="00837D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C21"/>
    <w:rPr>
      <w:rFonts w:ascii="Courier New" w:eastAsia="Times New Roman" w:hAnsi="Courier New" w:cs="Courier New"/>
      <w:b/>
      <w:bCs/>
      <w:sz w:val="24"/>
      <w:szCs w:val="24"/>
    </w:rPr>
  </w:style>
  <w:style w:type="paragraph" w:styleId="BodyText">
    <w:name w:val="Body Text"/>
    <w:basedOn w:val="Normal"/>
    <w:link w:val="BodyTextChar"/>
    <w:rsid w:val="00F66C21"/>
    <w:rPr>
      <w:rFonts w:ascii="Courier New" w:hAnsi="Courier New" w:cs="Courier New"/>
      <w:b/>
      <w:bCs/>
    </w:rPr>
  </w:style>
  <w:style w:type="character" w:customStyle="1" w:styleId="BodyTextChar">
    <w:name w:val="Body Text Char"/>
    <w:basedOn w:val="DefaultParagraphFont"/>
    <w:link w:val="BodyText"/>
    <w:rsid w:val="00F66C21"/>
    <w:rPr>
      <w:rFonts w:ascii="Courier New" w:eastAsia="Times New Roman" w:hAnsi="Courier New" w:cs="Courier New"/>
      <w:b/>
      <w:bCs/>
      <w:sz w:val="24"/>
      <w:szCs w:val="24"/>
    </w:rPr>
  </w:style>
  <w:style w:type="paragraph" w:styleId="BodyTextIndent">
    <w:name w:val="Body Text Indent"/>
    <w:basedOn w:val="Normal"/>
    <w:link w:val="BodyTextIndentChar"/>
    <w:rsid w:val="00F66C21"/>
    <w:pPr>
      <w:ind w:left="360"/>
    </w:pPr>
    <w:rPr>
      <w:rFonts w:ascii="Courier New" w:hAnsi="Courier New" w:cs="Courier New"/>
    </w:rPr>
  </w:style>
  <w:style w:type="character" w:customStyle="1" w:styleId="BodyTextIndentChar">
    <w:name w:val="Body Text Indent Char"/>
    <w:basedOn w:val="DefaultParagraphFont"/>
    <w:link w:val="BodyTextIndent"/>
    <w:rsid w:val="00F66C21"/>
    <w:rPr>
      <w:rFonts w:ascii="Courier New" w:eastAsia="Times New Roman" w:hAnsi="Courier New" w:cs="Courier New"/>
      <w:sz w:val="24"/>
      <w:szCs w:val="24"/>
    </w:rPr>
  </w:style>
  <w:style w:type="paragraph" w:styleId="Header">
    <w:name w:val="header"/>
    <w:basedOn w:val="Normal"/>
    <w:link w:val="HeaderChar"/>
    <w:uiPriority w:val="99"/>
    <w:unhideWhenUsed/>
    <w:rsid w:val="004636B1"/>
    <w:pPr>
      <w:tabs>
        <w:tab w:val="center" w:pos="4680"/>
        <w:tab w:val="right" w:pos="9360"/>
      </w:tabs>
    </w:pPr>
  </w:style>
  <w:style w:type="character" w:customStyle="1" w:styleId="HeaderChar">
    <w:name w:val="Header Char"/>
    <w:basedOn w:val="DefaultParagraphFont"/>
    <w:link w:val="Header"/>
    <w:uiPriority w:val="99"/>
    <w:rsid w:val="00463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6B1"/>
    <w:pPr>
      <w:tabs>
        <w:tab w:val="center" w:pos="4680"/>
        <w:tab w:val="right" w:pos="9360"/>
      </w:tabs>
    </w:pPr>
  </w:style>
  <w:style w:type="character" w:customStyle="1" w:styleId="FooterChar">
    <w:name w:val="Footer Char"/>
    <w:basedOn w:val="DefaultParagraphFont"/>
    <w:link w:val="Footer"/>
    <w:uiPriority w:val="99"/>
    <w:rsid w:val="004636B1"/>
    <w:rPr>
      <w:rFonts w:ascii="Times New Roman" w:eastAsia="Times New Roman" w:hAnsi="Times New Roman" w:cs="Times New Roman"/>
      <w:sz w:val="24"/>
      <w:szCs w:val="24"/>
    </w:rPr>
  </w:style>
  <w:style w:type="character" w:styleId="CommentReference">
    <w:name w:val="annotation reference"/>
    <w:basedOn w:val="DefaultParagraphFont"/>
    <w:unhideWhenUsed/>
    <w:rsid w:val="00A36322"/>
    <w:rPr>
      <w:sz w:val="16"/>
      <w:szCs w:val="16"/>
    </w:rPr>
  </w:style>
  <w:style w:type="paragraph" w:styleId="CommentText">
    <w:name w:val="annotation text"/>
    <w:basedOn w:val="Normal"/>
    <w:link w:val="CommentTextChar"/>
    <w:unhideWhenUsed/>
    <w:rsid w:val="00A36322"/>
    <w:rPr>
      <w:sz w:val="20"/>
      <w:szCs w:val="20"/>
    </w:rPr>
  </w:style>
  <w:style w:type="character" w:customStyle="1" w:styleId="CommentTextChar">
    <w:name w:val="Comment Text Char"/>
    <w:basedOn w:val="DefaultParagraphFont"/>
    <w:link w:val="CommentText"/>
    <w:rsid w:val="00A36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322"/>
    <w:rPr>
      <w:b/>
      <w:bCs/>
    </w:rPr>
  </w:style>
  <w:style w:type="character" w:customStyle="1" w:styleId="CommentSubjectChar">
    <w:name w:val="Comment Subject Char"/>
    <w:basedOn w:val="CommentTextChar"/>
    <w:link w:val="CommentSubject"/>
    <w:uiPriority w:val="99"/>
    <w:semiHidden/>
    <w:rsid w:val="00A36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6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22"/>
    <w:rPr>
      <w:rFonts w:ascii="Segoe UI" w:eastAsia="Times New Roman" w:hAnsi="Segoe UI" w:cs="Segoe UI"/>
      <w:sz w:val="18"/>
      <w:szCs w:val="18"/>
    </w:rPr>
  </w:style>
  <w:style w:type="paragraph" w:styleId="ListParagraph">
    <w:name w:val="List Paragraph"/>
    <w:basedOn w:val="Normal"/>
    <w:uiPriority w:val="34"/>
    <w:qFormat/>
    <w:rsid w:val="00394D8E"/>
    <w:pPr>
      <w:ind w:left="720"/>
      <w:contextualSpacing/>
    </w:pPr>
  </w:style>
  <w:style w:type="paragraph" w:styleId="Revision">
    <w:name w:val="Revision"/>
    <w:hidden/>
    <w:uiPriority w:val="99"/>
    <w:semiHidden/>
    <w:rsid w:val="000C676E"/>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37D8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91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70CA6"/>
    <w:pPr>
      <w:widowControl w:val="0"/>
      <w:autoSpaceDE w:val="0"/>
      <w:autoSpaceDN w:val="0"/>
      <w:adjustRightInd w:val="0"/>
      <w:ind w:left="360" w:hanging="360"/>
    </w:pPr>
  </w:style>
  <w:style w:type="character" w:styleId="Hyperlink">
    <w:name w:val="Hyperlink"/>
    <w:basedOn w:val="DefaultParagraphFont"/>
    <w:uiPriority w:val="99"/>
    <w:rsid w:val="00782571"/>
    <w:rPr>
      <w:color w:val="0563C1" w:themeColor="hyperlink"/>
      <w:u w:val="single"/>
    </w:rPr>
  </w:style>
  <w:style w:type="paragraph" w:styleId="FootnoteText">
    <w:name w:val="footnote text"/>
    <w:aliases w:val=" Char, Char1,*Footnote Text,Char,Char1,ft"/>
    <w:basedOn w:val="Normal"/>
    <w:link w:val="FootnoteTextChar"/>
    <w:uiPriority w:val="99"/>
    <w:unhideWhenUsed/>
    <w:qFormat/>
    <w:rsid w:val="00EA35CF"/>
    <w:pPr>
      <w:contextualSpacing/>
    </w:pPr>
    <w:rPr>
      <w:rFonts w:ascii="Arial" w:hAnsi="Arial" w:cs="Arial"/>
      <w:color w:val="000000" w:themeColor="text1"/>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EA35CF"/>
    <w:rPr>
      <w:rFonts w:ascii="Arial" w:eastAsia="Times New Roman" w:hAnsi="Arial" w:cs="Arial"/>
      <w:color w:val="000000" w:themeColor="text1"/>
      <w:sz w:val="20"/>
      <w:szCs w:val="20"/>
    </w:rPr>
  </w:style>
  <w:style w:type="character" w:styleId="FootnoteReference">
    <w:name w:val="footnote reference"/>
    <w:aliases w:val="*Footnote Reference,Number"/>
    <w:basedOn w:val="DefaultParagraphFont"/>
    <w:uiPriority w:val="99"/>
    <w:unhideWhenUsed/>
    <w:qFormat/>
    <w:rsid w:val="00EA35CF"/>
    <w:rPr>
      <w:vertAlign w:val="superscript"/>
    </w:rPr>
  </w:style>
  <w:style w:type="character" w:styleId="Mention">
    <w:name w:val="Mention"/>
    <w:basedOn w:val="DefaultParagraphFont"/>
    <w:uiPriority w:val="99"/>
    <w:unhideWhenUsed/>
    <w:rsid w:val="003B03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d3281-29bf-4baa-ae53-f3776f456ed6">
      <Terms xmlns="http://schemas.microsoft.com/office/infopath/2007/PartnerControls"/>
    </lcf76f155ced4ddcb4097134ff3c332f>
    <TaxCatchAll xmlns="768bdf26-1ffa-46c3-9f11-5cd786606989" xsi:nil="true"/>
    <DataCollection xmlns="981d3281-29bf-4baa-ae53-f3776f456e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09F0E-C97B-41EE-8B3D-1580F2263F8F}">
  <ds:schemaRefs/>
</ds:datastoreItem>
</file>

<file path=customXml/itemProps2.xml><?xml version="1.0" encoding="utf-8"?>
<ds:datastoreItem xmlns:ds="http://schemas.openxmlformats.org/officeDocument/2006/customXml" ds:itemID="{1664A333-DD0B-4A42-9D21-9CF3458AF3C8}">
  <ds:schemaRefs>
    <ds:schemaRef ds:uri="http://schemas.microsoft.com/sharepoint/v3/contenttype/forms"/>
  </ds:schemaRefs>
</ds:datastoreItem>
</file>

<file path=customXml/itemProps3.xml><?xml version="1.0" encoding="utf-8"?>
<ds:datastoreItem xmlns:ds="http://schemas.openxmlformats.org/officeDocument/2006/customXml" ds:itemID="{135D0D26-DDB3-4B32-95DD-7987BBAE13BF}">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4.xml><?xml version="1.0" encoding="utf-8"?>
<ds:datastoreItem xmlns:ds="http://schemas.openxmlformats.org/officeDocument/2006/customXml" ds:itemID="{1A04B417-DE48-425A-8F03-76BC560D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Scheddel, Anita</dc:creator>
  <cp:lastModifiedBy>Holmes-Brooks, Colette N. (ATF) (CTR)</cp:lastModifiedBy>
  <cp:revision>2</cp:revision>
  <dcterms:created xsi:type="dcterms:W3CDTF">2026-03-30T15:44:00Z</dcterms:created>
  <dcterms:modified xsi:type="dcterms:W3CDTF">2026-03-30T15:44:00Z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