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187D" w:rsidRPr="00D26CED" w:rsidP="002C187D" w14:paraId="32B219B8" w14:textId="77777777">
      <w:pPr>
        <w:jc w:val="center"/>
      </w:pPr>
      <w:r w:rsidRPr="00D26CED">
        <w:t>Department of Justice</w:t>
      </w:r>
    </w:p>
    <w:p w:rsidR="002C187D" w:rsidRPr="00D26CED" w:rsidP="002C187D" w14:paraId="75916C07" w14:textId="36F96EE4">
      <w:pPr>
        <w:jc w:val="center"/>
      </w:pPr>
      <w:r w:rsidRPr="00D26CED">
        <w:t>Bureau of Alcohol, Tobacco, Firearms</w:t>
      </w:r>
      <w:r w:rsidRPr="00D26CED" w:rsidR="006A28D6">
        <w:t>,</w:t>
      </w:r>
      <w:r w:rsidRPr="00D26CED">
        <w:t xml:space="preserve"> and Explosives</w:t>
      </w:r>
      <w:r w:rsidRPr="00D26CED" w:rsidR="006A28D6">
        <w:t xml:space="preserve"> (ATF)</w:t>
      </w:r>
    </w:p>
    <w:p w:rsidR="002C187D" w:rsidRPr="00D26CED" w:rsidP="002C187D" w14:paraId="66EA2D9F" w14:textId="3E2929B3">
      <w:pPr>
        <w:jc w:val="center"/>
      </w:pPr>
      <w:r w:rsidRPr="00D26CED">
        <w:t>Information Collection Request</w:t>
      </w:r>
      <w:r w:rsidRPr="00D26CED" w:rsidR="006A28D6">
        <w:t xml:space="preserve"> (ICR)</w:t>
      </w:r>
    </w:p>
    <w:p w:rsidR="002C187D" w:rsidRPr="00D26CED" w:rsidP="002C187D" w14:paraId="40E507F3" w14:textId="31C2CF2A">
      <w:pPr>
        <w:jc w:val="center"/>
      </w:pPr>
      <w:r w:rsidRPr="00D26CED">
        <w:t>OMB 1140-</w:t>
      </w:r>
      <w:r w:rsidRPr="00D26CED" w:rsidR="00824EF9">
        <w:t>0122</w:t>
      </w:r>
    </w:p>
    <w:p w:rsidR="002C187D" w:rsidRPr="00D26CED" w:rsidP="002C187D" w14:paraId="0F5FDFD3" w14:textId="2CC21C6A">
      <w:pPr>
        <w:jc w:val="center"/>
        <w:rPr>
          <w:b/>
          <w:bCs/>
        </w:rPr>
      </w:pPr>
      <w:r w:rsidRPr="00D26CED">
        <w:rPr>
          <w:b/>
          <w:bCs/>
        </w:rPr>
        <w:t>Request for Temporary Eligibility to Hold a Sensitive Position</w:t>
      </w:r>
      <w:r w:rsidRPr="00D26CED" w:rsidR="006178EB">
        <w:rPr>
          <w:b/>
          <w:bCs/>
        </w:rPr>
        <w:t xml:space="preserve"> </w:t>
      </w:r>
      <w:r w:rsidRPr="00D26CED" w:rsidR="006A28D6">
        <w:rPr>
          <w:b/>
          <w:bCs/>
        </w:rPr>
        <w:t>(</w:t>
      </w:r>
      <w:r w:rsidRPr="00D26CED" w:rsidR="00853844">
        <w:rPr>
          <w:b/>
          <w:bCs/>
        </w:rPr>
        <w:t>ATF F</w:t>
      </w:r>
      <w:r w:rsidRPr="00D26CED" w:rsidR="00197AA7">
        <w:rPr>
          <w:b/>
          <w:bCs/>
        </w:rPr>
        <w:t>orm</w:t>
      </w:r>
      <w:r w:rsidRPr="00D26CED" w:rsidR="00853844">
        <w:rPr>
          <w:b/>
          <w:bCs/>
        </w:rPr>
        <w:t xml:space="preserve"> 8620.</w:t>
      </w:r>
      <w:r w:rsidRPr="00D26CED">
        <w:rPr>
          <w:b/>
          <w:bCs/>
        </w:rPr>
        <w:t>69</w:t>
      </w:r>
      <w:r w:rsidRPr="00D26CED" w:rsidR="006A28D6">
        <w:rPr>
          <w:b/>
          <w:bCs/>
        </w:rPr>
        <w:t>)</w:t>
      </w:r>
    </w:p>
    <w:p w:rsidR="002C187D" w:rsidRPr="00D26CED" w:rsidP="002C187D" w14:paraId="6C1A5041" w14:textId="77777777">
      <w:pPr>
        <w:jc w:val="center"/>
      </w:pPr>
    </w:p>
    <w:p w:rsidR="002C187D" w:rsidRPr="00D26CED" w:rsidP="002C187D" w14:paraId="4885CD11" w14:textId="77777777">
      <w:pPr>
        <w:jc w:val="center"/>
        <w:rPr>
          <w:b/>
        </w:rPr>
      </w:pPr>
      <w:r w:rsidRPr="00D26CED">
        <w:rPr>
          <w:b/>
        </w:rPr>
        <w:t>SUPPORTING STATEMENT</w:t>
      </w:r>
    </w:p>
    <w:p w:rsidR="002C187D" w:rsidRPr="00D26CED" w:rsidP="002C187D" w14:paraId="5018DDF7" w14:textId="77777777">
      <w:pPr>
        <w:jc w:val="center"/>
        <w:rPr>
          <w:b/>
        </w:rPr>
      </w:pPr>
    </w:p>
    <w:p w:rsidR="002C187D" w:rsidRPr="00D26CED" w:rsidP="00CE2FF4" w14:paraId="65082FEF" w14:textId="77777777">
      <w:pPr>
        <w:ind w:hanging="720"/>
        <w:rPr>
          <w:b/>
        </w:rPr>
      </w:pPr>
      <w:r w:rsidRPr="00D26CED">
        <w:rPr>
          <w:b/>
        </w:rPr>
        <w:t>A.</w:t>
      </w:r>
      <w:r w:rsidRPr="00D26CED">
        <w:rPr>
          <w:b/>
        </w:rPr>
        <w:tab/>
        <w:t>JUSTIFICATION</w:t>
      </w:r>
    </w:p>
    <w:p w:rsidR="002C187D" w:rsidRPr="00D26CED" w:rsidP="002C187D" w14:paraId="0623D08D" w14:textId="77777777">
      <w:pPr>
        <w:rPr>
          <w:b/>
        </w:rPr>
      </w:pPr>
    </w:p>
    <w:p w:rsidR="002C187D" w:rsidRPr="00D26CED" w:rsidP="005C5EF2" w14:paraId="270453D7" w14:textId="33CA43CB">
      <w:pPr>
        <w:tabs>
          <w:tab w:val="left" w:pos="576"/>
        </w:tabs>
        <w:spacing w:after="100" w:afterAutospacing="1"/>
      </w:pPr>
      <w:r w:rsidRPr="00D26CED">
        <w:t>1.</w:t>
      </w:r>
      <w:r w:rsidRPr="00D26CED" w:rsidR="005E52B5">
        <w:t xml:space="preserve"> </w:t>
      </w:r>
      <w:r w:rsidRPr="00D26CED" w:rsidR="00D844A5">
        <w:rPr>
          <w:b/>
          <w:bCs/>
        </w:rPr>
        <w:t>Explain the circumstances that make the information collection</w:t>
      </w:r>
      <w:r w:rsidRPr="00D26CED" w:rsidR="00D65343">
        <w:rPr>
          <w:b/>
          <w:bCs/>
        </w:rPr>
        <w:t xml:space="preserve"> necessary</w:t>
      </w:r>
      <w:r w:rsidRPr="00D26CED" w:rsidR="00D844A5">
        <w:rPr>
          <w:b/>
          <w:bCs/>
        </w:rPr>
        <w:t>.</w:t>
      </w:r>
    </w:p>
    <w:p w:rsidR="00015FF6" w:rsidRPr="00D26CED" w:rsidP="005E52B5" w14:paraId="6B49B304" w14:textId="7107DBF7">
      <w:r w:rsidRPr="00D26CED">
        <w:t>Pursuant to the Memorandum of Understanding (MOU) between the Bureau of Alcohol, Tobacco, Firearms</w:t>
      </w:r>
      <w:r w:rsidRPr="00D26CED" w:rsidR="006A28D6">
        <w:t>,</w:t>
      </w:r>
      <w:r w:rsidRPr="00D26CED">
        <w:t xml:space="preserve"> and Explosives (ATF) and the Office of Personnel Management (OPM), dated March 3, 2000, ATF is authorized to conduct personnel security and suitability background investigations and periodic reinvestigations. Investigations are conducted on applicants and employees in competitive service positions, as well as candidates, contractors, task force officers (TFOs), or volunteers/interns in ATF service provider positions. All personnel security investigations are conducted in accordance with the </w:t>
      </w:r>
      <w:r w:rsidRPr="00D26CED" w:rsidR="4177AF0E">
        <w:t xml:space="preserve">Intelligence Reform and Terrorism Prevention Act of 2004, 5 CFR </w:t>
      </w:r>
      <w:r w:rsidRPr="00D26CED" w:rsidR="005C5EF2">
        <w:t>p</w:t>
      </w:r>
      <w:r w:rsidRPr="00D26CED" w:rsidR="4177AF0E">
        <w:t>art 736, Trusted Workforce 2.0</w:t>
      </w:r>
      <w:r w:rsidRPr="00D26CED" w:rsidR="00FB2E85">
        <w:t>,</w:t>
      </w:r>
      <w:r w:rsidRPr="00D26CED" w:rsidR="4177AF0E">
        <w:t xml:space="preserve"> corresponding Federal Investigative Standards,</w:t>
      </w:r>
      <w:r w:rsidRPr="00D26CED" w:rsidR="007827BD">
        <w:t xml:space="preserve"> </w:t>
      </w:r>
      <w:r w:rsidRPr="00D26CED" w:rsidR="4177AF0E">
        <w:t>and Executive Orders 13467 and 13764.</w:t>
      </w:r>
    </w:p>
    <w:p w:rsidR="002C187D" w:rsidRPr="00D26CED" w:rsidP="005E52B5" w14:paraId="05658D7A" w14:textId="77777777"/>
    <w:p w:rsidR="00853844" w:rsidRPr="00D26CED" w:rsidP="005E52B5" w14:paraId="23F13FE3" w14:textId="6EC0E235">
      <w:r w:rsidRPr="00D26CED">
        <w:t>ATF recruits individuals for placement into full</w:t>
      </w:r>
      <w:r w:rsidRPr="00D26CED" w:rsidR="004F3C03">
        <w:t>-</w:t>
      </w:r>
      <w:r w:rsidRPr="00D26CED">
        <w:t xml:space="preserve">time equivalent </w:t>
      </w:r>
      <w:r w:rsidRPr="00D26CED" w:rsidR="005C5EF2">
        <w:t>f</w:t>
      </w:r>
      <w:r w:rsidRPr="00D26CED">
        <w:t xml:space="preserve">ederal positions and solicits individuals through the </w:t>
      </w:r>
      <w:r w:rsidRPr="00D26CED" w:rsidR="005C5EF2">
        <w:t>f</w:t>
      </w:r>
      <w:r w:rsidRPr="00D26CED">
        <w:t xml:space="preserve">ederal acquisition process to fill non-ATF personnel </w:t>
      </w:r>
      <w:r w:rsidRPr="00D26CED" w:rsidR="009254EF">
        <w:t xml:space="preserve">(contractors, </w:t>
      </w:r>
      <w:r w:rsidRPr="00D26CED">
        <w:t>TFOs</w:t>
      </w:r>
      <w:r w:rsidRPr="00D26CED" w:rsidR="009254EF">
        <w:t>, and volunteers</w:t>
      </w:r>
      <w:r w:rsidRPr="00D26CED" w:rsidR="00665BE0">
        <w:t>/interns</w:t>
      </w:r>
      <w:r w:rsidRPr="00D26CED" w:rsidR="009254EF">
        <w:t xml:space="preserve">) </w:t>
      </w:r>
      <w:r w:rsidRPr="00D26CED">
        <w:t xml:space="preserve">positions. </w:t>
      </w:r>
      <w:r w:rsidRPr="00D26CED" w:rsidR="00061612">
        <w:t>C</w:t>
      </w:r>
      <w:r w:rsidRPr="00D26CED">
        <w:t xml:space="preserve">andidates </w:t>
      </w:r>
      <w:r w:rsidRPr="00D26CED" w:rsidR="00061612">
        <w:t xml:space="preserve">who are </w:t>
      </w:r>
      <w:r w:rsidRPr="00D26CED">
        <w:t xml:space="preserve">tentatively selected for positions must meet </w:t>
      </w:r>
      <w:r w:rsidRPr="00D26CED" w:rsidR="005C5EF2">
        <w:t>f</w:t>
      </w:r>
      <w:r w:rsidRPr="00D26CED">
        <w:t>ederal,</w:t>
      </w:r>
      <w:r w:rsidRPr="00D26CED">
        <w:t xml:space="preserve"> Department of Justice, and ATF basic qualification requirements, before they may be granted access to ATF information, </w:t>
      </w:r>
      <w:r w:rsidRPr="00D26CED" w:rsidR="0024162E">
        <w:t>information technology (</w:t>
      </w:r>
      <w:r w:rsidRPr="00D26CED">
        <w:t>IT</w:t>
      </w:r>
      <w:r w:rsidRPr="00D26CED" w:rsidR="0024162E">
        <w:t>)</w:t>
      </w:r>
      <w:r w:rsidRPr="00D26CED">
        <w:t xml:space="preserve"> systems, and</w:t>
      </w:r>
      <w:r w:rsidRPr="00D26CED" w:rsidR="00200185">
        <w:t>/or unescorted access to ATF</w:t>
      </w:r>
      <w:r w:rsidRPr="00D26CED">
        <w:t xml:space="preserve"> facilities.</w:t>
      </w:r>
      <w:r w:rsidRPr="00D26CED" w:rsidR="00B3737B">
        <w:t xml:space="preserve"> </w:t>
      </w:r>
      <w:r w:rsidRPr="00D26CED">
        <w:t>Individuals will not be granted access if they fail to comply with these requirements and receive an unfavorable adjudication of their background investigation and/or polygraph examination (special agent applicants only).</w:t>
      </w:r>
    </w:p>
    <w:p w:rsidR="002C187D" w:rsidRPr="00D26CED" w:rsidP="005E52B5" w14:paraId="792CB4A3" w14:textId="77777777"/>
    <w:p w:rsidR="002C187D" w:rsidRPr="00D26CED" w:rsidP="00D11744" w14:paraId="431AD4DD" w14:textId="71FDBCF3">
      <w:pPr>
        <w:ind w:left="720" w:hanging="720"/>
      </w:pPr>
      <w:r w:rsidRPr="00D26CED">
        <w:rPr>
          <w:b/>
          <w:bCs/>
        </w:rPr>
        <w:t>2.</w:t>
      </w:r>
      <w:r w:rsidRPr="00D26CED" w:rsidR="005E52B5">
        <w:t xml:space="preserve"> </w:t>
      </w:r>
      <w:r w:rsidRPr="00D26CED" w:rsidR="00C8141B">
        <w:rPr>
          <w:b/>
          <w:bCs/>
        </w:rPr>
        <w:t>Indicate how, by whom, and for what purpose the information is to be used.</w:t>
      </w:r>
    </w:p>
    <w:p w:rsidR="002C187D" w:rsidRPr="00D26CED" w:rsidP="002C187D" w14:paraId="776501AA" w14:textId="77777777">
      <w:r w:rsidRPr="00D26CED">
        <w:tab/>
      </w:r>
    </w:p>
    <w:p w:rsidR="00C31A45" w:rsidRPr="00D26CED" w:rsidP="005E52B5" w14:paraId="7985FCF9" w14:textId="4D99411A">
      <w:r w:rsidRPr="00D26CED">
        <w:t xml:space="preserve">In the case of critical public trust positions, when there is a need to fill the position as soon as possible, ATF may offer the person selected for a job the option to begin work before the background investigation process is complete. However, such offers are on a temporary basis, pending the conclusion of the background investigation with a positive outcome, and if the outcome is not positive, the </w:t>
      </w:r>
      <w:r w:rsidRPr="00D26CED" w:rsidR="00213677">
        <w:t>candidate</w:t>
      </w:r>
      <w:r w:rsidRPr="00D26CED">
        <w:t xml:space="preserve"> would have to leave the position. As a result, ATF</w:t>
      </w:r>
      <w:r w:rsidRPr="00D26CED" w:rsidR="00213677">
        <w:t xml:space="preserve"> notifies the candidate of the possibility that they could be offered the position on a temporary basis pending the investigation’s conclusion and asks them if they would be willing to accept a temporary offer to begin with.</w:t>
      </w:r>
      <w:r w:rsidRPr="00D26CED">
        <w:t xml:space="preserve"> </w:t>
      </w:r>
      <w:r w:rsidRPr="00D26CED" w:rsidR="003279DD">
        <w:t xml:space="preserve">ATF </w:t>
      </w:r>
      <w:r w:rsidRPr="00D26CED" w:rsidR="00213677">
        <w:t xml:space="preserve">uses ATF </w:t>
      </w:r>
      <w:r w:rsidRPr="00D26CED" w:rsidR="003279DD">
        <w:t>Form 8620.</w:t>
      </w:r>
      <w:r w:rsidRPr="00D26CED" w:rsidR="00102BFC">
        <w:t>6</w:t>
      </w:r>
      <w:r w:rsidRPr="00D26CED" w:rsidR="008059DD">
        <w:t>9</w:t>
      </w:r>
      <w:r w:rsidRPr="00D26CED" w:rsidR="00213677">
        <w:t>, Request for Temporary Eligibility to Hold a Sensitive Position,</w:t>
      </w:r>
      <w:r w:rsidRPr="00D26CED" w:rsidR="005E52B5">
        <w:t xml:space="preserve"> </w:t>
      </w:r>
      <w:r w:rsidRPr="00D26CED" w:rsidR="00213677">
        <w:t>to notify candidates of this option and request their choice as to whether they’d accept such an offer or not</w:t>
      </w:r>
      <w:r w:rsidRPr="00D26CED" w:rsidR="00417F10">
        <w:t xml:space="preserve">. </w:t>
      </w:r>
      <w:r w:rsidRPr="00D26CED" w:rsidR="009E3223">
        <w:t xml:space="preserve">ATF also uses the </w:t>
      </w:r>
      <w:r w:rsidRPr="00D26CED">
        <w:t xml:space="preserve">form </w:t>
      </w:r>
      <w:r w:rsidRPr="00D26CED" w:rsidR="009E3223">
        <w:t xml:space="preserve">to </w:t>
      </w:r>
      <w:r w:rsidRPr="00D26CED" w:rsidR="00213677">
        <w:t>collect</w:t>
      </w:r>
      <w:r w:rsidRPr="00D26CED">
        <w:t xml:space="preserve"> </w:t>
      </w:r>
      <w:r w:rsidRPr="00D26CED" w:rsidR="009E3223">
        <w:t>information</w:t>
      </w:r>
      <w:r w:rsidRPr="00D26CED" w:rsidR="00871D41">
        <w:t xml:space="preserve"> </w:t>
      </w:r>
      <w:r w:rsidRPr="00D26CED" w:rsidR="009E3223">
        <w:t xml:space="preserve">that </w:t>
      </w:r>
      <w:r w:rsidRPr="00D26CED" w:rsidR="00213677">
        <w:t>ATF uses</w:t>
      </w:r>
      <w:r w:rsidRPr="00D26CED">
        <w:t xml:space="preserve"> to </w:t>
      </w:r>
      <w:r w:rsidRPr="00D26CED" w:rsidR="00871D41">
        <w:t xml:space="preserve">determine if </w:t>
      </w:r>
      <w:r w:rsidRPr="00D26CED" w:rsidR="009E3223">
        <w:t xml:space="preserve">the </w:t>
      </w:r>
      <w:r w:rsidRPr="00D26CED">
        <w:t xml:space="preserve">candidate (respondent) </w:t>
      </w:r>
      <w:r w:rsidRPr="00D26CED" w:rsidR="00871D41">
        <w:t xml:space="preserve">can be granted </w:t>
      </w:r>
      <w:r w:rsidRPr="00D26CED" w:rsidR="00B82AB0">
        <w:t xml:space="preserve">temporary </w:t>
      </w:r>
      <w:r w:rsidRPr="00D26CED">
        <w:t xml:space="preserve">eligibility to hold a sensitive </w:t>
      </w:r>
      <w:r w:rsidRPr="00D26CED" w:rsidR="00B82AB0">
        <w:t xml:space="preserve">position </w:t>
      </w:r>
      <w:r w:rsidRPr="00D26CED">
        <w:t>prior to completion and adjudication of the</w:t>
      </w:r>
      <w:r w:rsidRPr="00D26CED" w:rsidR="00197AA7">
        <w:t>ir</w:t>
      </w:r>
      <w:r w:rsidRPr="00D26CED">
        <w:t xml:space="preserve"> </w:t>
      </w:r>
      <w:r w:rsidRPr="00D26CED" w:rsidR="00871D41">
        <w:t xml:space="preserve">full </w:t>
      </w:r>
      <w:r w:rsidRPr="00D26CED">
        <w:t>background investigation.</w:t>
      </w:r>
      <w:r w:rsidRPr="00D26CED" w:rsidR="005C5EF2">
        <w:t xml:space="preserve"> </w:t>
      </w:r>
    </w:p>
    <w:p w:rsidR="00C31A45" w:rsidRPr="00D26CED" w:rsidP="005E52B5" w14:paraId="4CF3B812" w14:textId="77777777"/>
    <w:p w:rsidR="009E50A5" w:rsidRPr="00D26CED" w:rsidP="005E52B5" w14:paraId="6382BEFE" w14:textId="0B6363C8">
      <w:r w:rsidRPr="00D26CED">
        <w:t xml:space="preserve">ATF’s </w:t>
      </w:r>
      <w:r w:rsidRPr="00D26CED" w:rsidR="00061612">
        <w:t>Personnel Security Division</w:t>
      </w:r>
      <w:r w:rsidRPr="00D26CED" w:rsidR="00E12D48">
        <w:t xml:space="preserve"> (PSD) staff</w:t>
      </w:r>
      <w:r w:rsidRPr="00D26CED" w:rsidR="00061612">
        <w:t xml:space="preserve"> </w:t>
      </w:r>
      <w:r w:rsidRPr="00D26CED" w:rsidR="00041779">
        <w:t>may approve the request after</w:t>
      </w:r>
      <w:r w:rsidRPr="00D26CED" w:rsidR="009E3223">
        <w:t xml:space="preserve"> the initial stages of the background check process have been completed, which </w:t>
      </w:r>
      <w:r w:rsidRPr="00D26CED" w:rsidR="009E3223">
        <w:t>include</w:t>
      </w:r>
      <w:r w:rsidRPr="00D26CED" w:rsidR="00041779">
        <w:t xml:space="preserve"> a favorable review of the candidate’s </w:t>
      </w:r>
      <w:r w:rsidRPr="00D26CED" w:rsidR="00A03B7C">
        <w:t>c</w:t>
      </w:r>
      <w:r w:rsidRPr="00D26CED" w:rsidR="00B82AB0">
        <w:t>ompleted</w:t>
      </w:r>
      <w:r w:rsidRPr="00D26CED" w:rsidR="00196E4E">
        <w:t xml:space="preserve"> </w:t>
      </w:r>
      <w:r w:rsidRPr="00D26CED" w:rsidR="00B82AB0">
        <w:t>Standard Form 8</w:t>
      </w:r>
      <w:r w:rsidRPr="00D26CED">
        <w:t>5-P</w:t>
      </w:r>
      <w:r w:rsidRPr="00D26CED" w:rsidR="00B82AB0">
        <w:t xml:space="preserve">, Questionnaire for </w:t>
      </w:r>
      <w:r w:rsidRPr="00D26CED">
        <w:t xml:space="preserve">Public Trust Positions, and applicable record checks. Based on these analyses, </w:t>
      </w:r>
      <w:r w:rsidRPr="00D26CED" w:rsidR="00197AA7">
        <w:t>PSD staff will</w:t>
      </w:r>
      <w:r w:rsidRPr="00D26CED">
        <w:t xml:space="preserve"> determin</w:t>
      </w:r>
      <w:r w:rsidRPr="00D26CED" w:rsidR="00197AA7">
        <w:t>e if the</w:t>
      </w:r>
      <w:r w:rsidRPr="00D26CED">
        <w:t xml:space="preserve"> </w:t>
      </w:r>
      <w:r w:rsidRPr="00D26CED" w:rsidR="009E3223">
        <w:t xml:space="preserve">candidate </w:t>
      </w:r>
      <w:r w:rsidRPr="00D26CED">
        <w:t>may be granted temporary access to ATF information, IT systems, and/or unescorted access to ATF facilities</w:t>
      </w:r>
      <w:r w:rsidRPr="00D26CED" w:rsidR="009E3223">
        <w:t>, if they have also agreed to accept a temporary offer</w:t>
      </w:r>
      <w:r w:rsidRPr="00D26CED">
        <w:t>.</w:t>
      </w:r>
    </w:p>
    <w:p w:rsidR="00B3427C" w:rsidRPr="00D26CED" w:rsidP="005E52B5" w14:paraId="0F5E9377" w14:textId="77777777"/>
    <w:p w:rsidR="002C187D" w:rsidRPr="00D26CED" w:rsidP="005E52B5" w14:paraId="68969F98" w14:textId="38BA721B">
      <w:r w:rsidRPr="00D26CED">
        <w:rPr>
          <w:b/>
          <w:bCs/>
        </w:rPr>
        <w:t>3.</w:t>
      </w:r>
      <w:r w:rsidRPr="00D26CED" w:rsidR="005E52B5">
        <w:t xml:space="preserve"> </w:t>
      </w:r>
      <w:r w:rsidRPr="00D26CED" w:rsidR="00A77E9A">
        <w:rPr>
          <w:b/>
          <w:bCs/>
        </w:rPr>
        <w:t xml:space="preserve">Describe whether, and to what extent, the information collection involves using automated, electronic, mechanical, or other technological collection techniques or other forms of information technology, </w:t>
      </w:r>
      <w:r w:rsidRPr="00D26CED" w:rsidR="00A77E9A">
        <w:rPr>
          <w:b/>
          <w:i/>
        </w:rPr>
        <w:t>e.g.</w:t>
      </w:r>
      <w:r w:rsidRPr="00D26CED" w:rsidR="00A77E9A">
        <w:rPr>
          <w:b/>
          <w:bCs/>
        </w:rPr>
        <w:t xml:space="preserve">, permitting electronic submission of responses, and the basis for the decision </w:t>
      </w:r>
      <w:r w:rsidRPr="00D26CED" w:rsidR="00A77E9A">
        <w:rPr>
          <w:b/>
          <w:bCs/>
        </w:rPr>
        <w:t>for adopting</w:t>
      </w:r>
      <w:r w:rsidRPr="00D26CED" w:rsidR="00A77E9A">
        <w:rPr>
          <w:b/>
          <w:bCs/>
        </w:rPr>
        <w:t xml:space="preserve"> this means of collection.</w:t>
      </w:r>
    </w:p>
    <w:p w:rsidR="002C187D" w:rsidRPr="00D26CED" w:rsidP="005E52B5" w14:paraId="75758300" w14:textId="77777777"/>
    <w:p w:rsidR="004D1FAA" w:rsidRPr="00D26CED" w:rsidP="005E52B5" w14:paraId="382F8FB6" w14:textId="444FC7F5">
      <w:pPr>
        <w:contextualSpacing/>
      </w:pPr>
      <w:r w:rsidRPr="00D26CED">
        <w:t xml:space="preserve">ATF makes every effort to take advantage of </w:t>
      </w:r>
      <w:r w:rsidRPr="00D26CED" w:rsidR="00CB41C5">
        <w:t xml:space="preserve">available </w:t>
      </w:r>
      <w:r w:rsidRPr="00D26CED">
        <w:t xml:space="preserve">electronic collection and dissemination capabilities. </w:t>
      </w:r>
      <w:r w:rsidRPr="00D26CED" w:rsidR="00CB41C5">
        <w:t xml:space="preserve">The candidate’s sponsoring office emails the </w:t>
      </w:r>
      <w:r w:rsidRPr="00D26CED">
        <w:t>fillable ATF Form 8620.</w:t>
      </w:r>
      <w:r w:rsidRPr="00D26CED" w:rsidR="0050056E">
        <w:t>6</w:t>
      </w:r>
      <w:r w:rsidRPr="00D26CED" w:rsidR="00A42737">
        <w:t>9</w:t>
      </w:r>
      <w:r w:rsidRPr="00D26CED">
        <w:t xml:space="preserve"> (with electronic signature capability) to </w:t>
      </w:r>
      <w:r w:rsidRPr="00D26CED" w:rsidR="001C4377">
        <w:t xml:space="preserve">the </w:t>
      </w:r>
      <w:r w:rsidRPr="00D26CED" w:rsidR="00CB41C5">
        <w:t>candidate</w:t>
      </w:r>
      <w:r w:rsidRPr="00D26CED" w:rsidR="00666D34">
        <w:t xml:space="preserve">, </w:t>
      </w:r>
      <w:r w:rsidRPr="00D26CED">
        <w:t xml:space="preserve">along with submission instructions for returning the completed package </w:t>
      </w:r>
      <w:r w:rsidRPr="00D26CED" w:rsidR="00CB41C5">
        <w:t xml:space="preserve">by email </w:t>
      </w:r>
      <w:r w:rsidRPr="00D26CED">
        <w:t xml:space="preserve">to ATF for processing. </w:t>
      </w:r>
      <w:r w:rsidRPr="00D26CED" w:rsidR="00CB41C5">
        <w:t xml:space="preserve">Candidates </w:t>
      </w:r>
      <w:r w:rsidRPr="00D26CED" w:rsidR="00CB41C5">
        <w:t>are</w:t>
      </w:r>
      <w:r w:rsidRPr="00D26CED" w:rsidR="0085629E">
        <w:t xml:space="preserve"> able to</w:t>
      </w:r>
      <w:r w:rsidRPr="00D26CED" w:rsidR="0085629E">
        <w:t xml:space="preserve"> </w:t>
      </w:r>
      <w:r w:rsidRPr="00D26CED">
        <w:t xml:space="preserve">electronically complete </w:t>
      </w:r>
      <w:r w:rsidRPr="00D26CED" w:rsidR="00CB41C5">
        <w:t xml:space="preserve">and sign </w:t>
      </w:r>
      <w:r w:rsidRPr="00D26CED">
        <w:t xml:space="preserve">the </w:t>
      </w:r>
      <w:r w:rsidRPr="00D26CED">
        <w:t xml:space="preserve">form, </w:t>
      </w:r>
      <w:r w:rsidRPr="00D26CED" w:rsidR="71457F2E">
        <w:t>and</w:t>
      </w:r>
      <w:r w:rsidRPr="00D26CED" w:rsidR="71457F2E">
        <w:t xml:space="preserve"> </w:t>
      </w:r>
      <w:r w:rsidRPr="00D26CED">
        <w:t xml:space="preserve">electronically submit </w:t>
      </w:r>
      <w:r w:rsidRPr="00D26CED" w:rsidR="00CB41C5">
        <w:t xml:space="preserve">it as an </w:t>
      </w:r>
      <w:r w:rsidRPr="00D26CED">
        <w:t>encrypted or password</w:t>
      </w:r>
      <w:r w:rsidRPr="00D26CED" w:rsidR="00CB41C5">
        <w:t>-</w:t>
      </w:r>
      <w:r w:rsidRPr="00D26CED">
        <w:t>protected completed form by email.</w:t>
      </w:r>
      <w:r w:rsidRPr="00D26CED" w:rsidR="005E52B5">
        <w:t xml:space="preserve"> </w:t>
      </w:r>
    </w:p>
    <w:p w:rsidR="00267BE8" w:rsidRPr="00D26CED" w:rsidP="005E52B5" w14:paraId="13A90493" w14:textId="77777777">
      <w:pPr>
        <w:contextualSpacing/>
      </w:pPr>
    </w:p>
    <w:p w:rsidR="002C187D" w:rsidRPr="00D26CED" w:rsidP="005E52B5" w14:paraId="56212B81" w14:textId="6047F989">
      <w:r w:rsidRPr="00D26CED">
        <w:rPr>
          <w:b/>
          <w:bCs/>
        </w:rPr>
        <w:t>4.</w:t>
      </w:r>
      <w:r w:rsidRPr="00D26CED" w:rsidR="005E52B5">
        <w:t xml:space="preserve"> </w:t>
      </w:r>
      <w:r w:rsidRPr="00D26CED" w:rsidR="005C38F1">
        <w:rPr>
          <w:b/>
          <w:bCs/>
        </w:rPr>
        <w:t>Describe efforts to identify duplication.</w:t>
      </w:r>
    </w:p>
    <w:p w:rsidR="002C187D" w:rsidRPr="00D26CED" w:rsidP="005E52B5" w14:paraId="518EE53B" w14:textId="77777777"/>
    <w:p w:rsidR="004E188C" w:rsidRPr="00D26CED" w:rsidP="005E52B5" w14:paraId="71FCDB74" w14:textId="103F96DA">
      <w:r w:rsidRPr="00D26CED">
        <w:t>This information is not duplicative; it requires a unique choice by a candidate and accompanying information from which to make the specific decision about eligibility to fill a sensitive public trust position prior to completion of the background check process. ATF also uses a uniform subject classification system for forms to identify duplication and to ensure that any similar information already available cannot be used or modified for use for the purpose of this information collection.</w:t>
      </w:r>
    </w:p>
    <w:p w:rsidR="004E188C" w:rsidRPr="00D26CED" w:rsidP="005E52B5" w14:paraId="0C7BD4E0" w14:textId="77777777"/>
    <w:p w:rsidR="006823A0" w:rsidRPr="00D26CED" w:rsidP="005E52B5" w14:paraId="05A23FDD" w14:textId="76276483">
      <w:r w:rsidRPr="00D26CED">
        <w:rPr>
          <w:b/>
          <w:bCs/>
        </w:rPr>
        <w:t>5.</w:t>
      </w:r>
      <w:r w:rsidRPr="00D26CED" w:rsidR="005E52B5">
        <w:t xml:space="preserve"> </w:t>
      </w:r>
      <w:r w:rsidRPr="00D26CED" w:rsidR="008C050A">
        <w:rPr>
          <w:b/>
          <w:bCs/>
        </w:rPr>
        <w:t>If the information collection impacts small businesses or other small entities, describe any methods used to minimize burden.</w:t>
      </w:r>
    </w:p>
    <w:p w:rsidR="006823A0" w:rsidRPr="00D26CED" w:rsidP="005E52B5" w14:paraId="3C78B463" w14:textId="77777777"/>
    <w:p w:rsidR="004D361D" w:rsidRPr="00D26CED" w:rsidP="005E52B5" w14:paraId="7DAD0F28" w14:textId="04E258B9">
      <w:pPr>
        <w:rPr>
          <w:szCs w:val="20"/>
        </w:rPr>
      </w:pPr>
      <w:r w:rsidRPr="00D26CED">
        <w:t>Th</w:t>
      </w:r>
      <w:r w:rsidRPr="00D26CED" w:rsidR="006047AB">
        <w:t>is</w:t>
      </w:r>
      <w:r w:rsidRPr="00D26CED" w:rsidR="004E188C">
        <w:t xml:space="preserve"> </w:t>
      </w:r>
      <w:r w:rsidRPr="00D26CED" w:rsidR="001C4377">
        <w:t>information collection does not have a significant impact on small entities</w:t>
      </w:r>
      <w:r w:rsidRPr="00D26CED">
        <w:t>.</w:t>
      </w:r>
    </w:p>
    <w:p w:rsidR="006823A0" w:rsidRPr="00D26CED" w:rsidP="005E52B5" w14:paraId="732B5F86" w14:textId="1FD3ED63">
      <w:r w:rsidRPr="00D26CED">
        <w:t xml:space="preserve"> </w:t>
      </w:r>
    </w:p>
    <w:p w:rsidR="006823A0" w:rsidRPr="00D26CED" w:rsidP="005E52B5" w14:paraId="61FC8A65" w14:textId="6A37B4FE">
      <w:r w:rsidRPr="00D26CED">
        <w:rPr>
          <w:b/>
          <w:bCs/>
        </w:rPr>
        <w:t>6.</w:t>
      </w:r>
      <w:bookmarkStart w:id="0" w:name="_Hlk176863417"/>
      <w:r w:rsidRPr="00D26CED" w:rsidR="005E52B5">
        <w:t xml:space="preserve"> </w:t>
      </w:r>
      <w:r w:rsidRPr="00D26CED" w:rsidR="002762E3">
        <w:rPr>
          <w:b/>
          <w:bCs/>
        </w:rPr>
        <w:t xml:space="preserve">Describe the consequence </w:t>
      </w:r>
      <w:r w:rsidRPr="00D26CED" w:rsidR="002762E3">
        <w:rPr>
          <w:b/>
          <w:bCs/>
        </w:rPr>
        <w:t>to</w:t>
      </w:r>
      <w:r w:rsidRPr="00D26CED" w:rsidR="002762E3">
        <w:rPr>
          <w:b/>
          <w:bCs/>
        </w:rPr>
        <w:t xml:space="preserve"> federal program or policy activities if the collection is not conducted or is conducted less frequently, as well as any technical or legal obstacles to reducing burden.</w:t>
      </w:r>
      <w:bookmarkEnd w:id="0"/>
    </w:p>
    <w:p w:rsidR="006823A0" w:rsidRPr="00D26CED" w:rsidP="005E52B5" w14:paraId="30562221" w14:textId="77777777"/>
    <w:p w:rsidR="006823A0" w:rsidRPr="00D26CED" w:rsidP="005E52B5" w14:paraId="736812DE" w14:textId="0508F7B6">
      <w:r w:rsidRPr="00D26CED">
        <w:t xml:space="preserve">ATF </w:t>
      </w:r>
      <w:r w:rsidRPr="00D26CED" w:rsidR="0024162E">
        <w:t xml:space="preserve">must ensure that </w:t>
      </w:r>
      <w:r w:rsidRPr="00D26CED" w:rsidR="00812F3B">
        <w:t xml:space="preserve">all </w:t>
      </w:r>
      <w:r w:rsidRPr="00D26CED">
        <w:t xml:space="preserve">employees and non-ATF personnel </w:t>
      </w:r>
      <w:r w:rsidRPr="00D26CED" w:rsidR="00871D41">
        <w:t xml:space="preserve">have </w:t>
      </w:r>
      <w:r w:rsidRPr="00D26CED">
        <w:t>the highest degree of integrity and character</w:t>
      </w:r>
      <w:r w:rsidRPr="00D26CED" w:rsidR="00812F3B">
        <w:t>, while maintain</w:t>
      </w:r>
      <w:r w:rsidRPr="00D26CED" w:rsidR="00A37C94">
        <w:t>in</w:t>
      </w:r>
      <w:r w:rsidRPr="00D26CED" w:rsidR="00812F3B">
        <w:t>g</w:t>
      </w:r>
      <w:r w:rsidRPr="00D26CED" w:rsidR="0024162E">
        <w:t xml:space="preserve"> </w:t>
      </w:r>
      <w:r w:rsidRPr="00D26CED">
        <w:t xml:space="preserve">the safety and security of ATF information, IT systems, and facilities. </w:t>
      </w:r>
      <w:r w:rsidRPr="00D26CED" w:rsidR="003704FF">
        <w:t xml:space="preserve">However, ATF also needs to be able to fill critical public trust positions in a timely manner, and, depending upon backlog at the agency conducting the background investigations, this may take a significant </w:t>
      </w:r>
      <w:r w:rsidRPr="00D26CED" w:rsidR="003704FF">
        <w:t>period of time</w:t>
      </w:r>
      <w:r w:rsidRPr="00D26CED" w:rsidR="003704FF">
        <w:t xml:space="preserve">. This also means that eligible candidates might have to wait a long time to receive an offer. As a result, this information collection ensures a balance between these two interests and enables ATF to fill critical positions while ensuring security and candidates can begin working earlier. </w:t>
      </w:r>
      <w:r w:rsidRPr="00D26CED" w:rsidR="00ED46A2">
        <w:t xml:space="preserve">ATF would be unable to </w:t>
      </w:r>
      <w:r w:rsidRPr="00D26CED" w:rsidR="003704FF">
        <w:t xml:space="preserve">hire necessary candidates for such </w:t>
      </w:r>
      <w:r w:rsidRPr="00D26CED" w:rsidR="003704FF">
        <w:t xml:space="preserve">positions, candidates would have delays in onboarding, and ATF would be unable to </w:t>
      </w:r>
      <w:r w:rsidRPr="00D26CED">
        <w:t>ensur</w:t>
      </w:r>
      <w:r w:rsidRPr="00D26CED" w:rsidR="00ED46A2">
        <w:t>e</w:t>
      </w:r>
      <w:r w:rsidRPr="00D26CED">
        <w:t xml:space="preserve"> the safety and security of its resources</w:t>
      </w:r>
      <w:r w:rsidRPr="00D26CED" w:rsidR="00CC390F">
        <w:t xml:space="preserve"> without this information collection</w:t>
      </w:r>
      <w:r w:rsidRPr="00D26CED" w:rsidR="00ED46A2">
        <w:t>.</w:t>
      </w:r>
    </w:p>
    <w:p w:rsidR="006823A0" w:rsidRPr="00D26CED" w:rsidP="005E52B5" w14:paraId="7AA8C867" w14:textId="77777777"/>
    <w:p w:rsidR="006823A0" w:rsidRPr="00D26CED" w:rsidP="005E52B5" w14:paraId="381D1E11" w14:textId="7203F6A9">
      <w:r w:rsidRPr="00D26CED">
        <w:rPr>
          <w:b/>
          <w:bCs/>
        </w:rPr>
        <w:t>7.</w:t>
      </w:r>
      <w:r w:rsidRPr="00D26CED" w:rsidR="005E52B5">
        <w:t xml:space="preserve"> </w:t>
      </w:r>
      <w:r w:rsidRPr="00D26CED" w:rsidR="006C5530">
        <w:rPr>
          <w:b/>
          <w:bCs/>
        </w:rPr>
        <w:t>Explain any special circumstances that would cause an information collection to be conducted in a manner inconsistent with 5 CFR 1320.6.</w:t>
      </w:r>
    </w:p>
    <w:p w:rsidR="006823A0" w:rsidRPr="00D26CED" w:rsidP="005E52B5" w14:paraId="50173563" w14:textId="77777777"/>
    <w:p w:rsidR="006823A0" w:rsidRPr="00D26CED" w:rsidP="005E52B5" w14:paraId="132644A0" w14:textId="2EC5C720">
      <w:r w:rsidRPr="00D26CED">
        <w:t>There are no special circumstances associated with this information collection, which is conducted in a manner consistent with 5 CFR 1320.6.</w:t>
      </w:r>
      <w:r w:rsidRPr="00D26CED" w:rsidR="004A5C64">
        <w:t xml:space="preserve"> </w:t>
      </w:r>
    </w:p>
    <w:p w:rsidR="00A77E9A" w:rsidRPr="00D26CED" w:rsidP="005E52B5" w14:paraId="6D6C82E5" w14:textId="77777777"/>
    <w:p w:rsidR="006823A0" w:rsidRPr="00D26CED" w:rsidP="005E52B5" w14:paraId="3E236E30" w14:textId="248F0728">
      <w:r w:rsidRPr="00D26CED">
        <w:rPr>
          <w:b/>
          <w:bCs/>
        </w:rPr>
        <w:t>8.</w:t>
      </w:r>
      <w:bookmarkStart w:id="1" w:name="_Hlk188869254"/>
      <w:r w:rsidRPr="00D26CED" w:rsidR="005E52B5">
        <w:rPr>
          <w:b/>
          <w:bCs/>
        </w:rPr>
        <w:t xml:space="preserve"> </w:t>
      </w:r>
      <w:r w:rsidRPr="00D26CED" w:rsidR="00A77E9A">
        <w:rPr>
          <w:b/>
          <w:bCs/>
        </w:rPr>
        <w:t xml:space="preserve">If applicable, provide a copy and identify the date and page number, of the agency’s notice published in the </w:t>
      </w:r>
      <w:r w:rsidRPr="00D26CED" w:rsidR="00A77E9A">
        <w:rPr>
          <w:rStyle w:val="Heading2Char"/>
          <w:rFonts w:ascii="Times New Roman" w:hAnsi="Times New Roman" w:cs="Times New Roman"/>
          <w:sz w:val="24"/>
          <w:szCs w:val="24"/>
        </w:rPr>
        <w:t>Federal Register</w:t>
      </w:r>
      <w:r w:rsidRPr="00D26CED" w:rsidR="00A77E9A">
        <w:rPr>
          <w:b/>
          <w:bCs/>
        </w:rPr>
        <w:t>, as required by 5 CFR 1320.8(d), soliciting comments on the information collection prior to submission to OMB.</w:t>
      </w:r>
      <w:bookmarkEnd w:id="1"/>
      <w:r w:rsidRPr="00D26CED" w:rsidR="005C5EF2">
        <w:rPr>
          <w:b/>
          <w:bCs/>
        </w:rPr>
        <w:t xml:space="preserve"> </w:t>
      </w:r>
    </w:p>
    <w:p w:rsidR="006823A0" w:rsidRPr="00D26CED" w:rsidP="005E52B5" w14:paraId="70470CE3" w14:textId="77777777"/>
    <w:p w:rsidR="00A77E9A" w:rsidRPr="00D26CED" w:rsidP="005E52B5" w14:paraId="5EBB1BA9" w14:textId="630B5AB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6CED">
        <w:t xml:space="preserve">The 60-Day Notice was published in the </w:t>
      </w:r>
      <w:r w:rsidRPr="00D26CED">
        <w:rPr>
          <w:i/>
          <w:iCs/>
        </w:rPr>
        <w:t>Federal Register</w:t>
      </w:r>
      <w:r w:rsidRPr="00D26CED">
        <w:t xml:space="preserve"> on </w:t>
      </w:r>
      <w:r w:rsidR="004F3E74">
        <w:rPr>
          <w:highlight w:val="yellow"/>
        </w:rPr>
        <w:t>May 5, 2025</w:t>
      </w:r>
      <w:r w:rsidRPr="00D26CED">
        <w:rPr>
          <w:highlight w:val="yellow"/>
        </w:rPr>
        <w:t xml:space="preserve"> (</w:t>
      </w:r>
      <w:r w:rsidR="004F3E74">
        <w:rPr>
          <w:highlight w:val="yellow"/>
        </w:rPr>
        <w:t>90</w:t>
      </w:r>
      <w:r w:rsidRPr="00D26CED">
        <w:rPr>
          <w:highlight w:val="yellow"/>
        </w:rPr>
        <w:t xml:space="preserve"> FR </w:t>
      </w:r>
      <w:r w:rsidR="004F3E74">
        <w:rPr>
          <w:highlight w:val="yellow"/>
        </w:rPr>
        <w:t>1900</w:t>
      </w:r>
      <w:r w:rsidR="00A233CE">
        <w:rPr>
          <w:highlight w:val="yellow"/>
        </w:rPr>
        <w:t>4</w:t>
      </w:r>
      <w:r w:rsidRPr="00D26CED">
        <w:rPr>
          <w:highlight w:val="yellow"/>
        </w:rPr>
        <w:t>)</w:t>
      </w:r>
      <w:r w:rsidRPr="00D26CED">
        <w:t xml:space="preserve">. The comment period ended on </w:t>
      </w:r>
      <w:r w:rsidR="006A54D1">
        <w:t>July 7, 2025</w:t>
      </w:r>
      <w:r w:rsidRPr="00D26CED">
        <w:t>. ATF received no comments.</w:t>
      </w:r>
    </w:p>
    <w:p w:rsidR="006823A0" w:rsidRPr="00D26CED" w:rsidP="005E52B5" w14:paraId="052115C0" w14:textId="08496CED">
      <w:r w:rsidRPr="00D26CED">
        <w:t xml:space="preserve"> </w:t>
      </w:r>
    </w:p>
    <w:p w:rsidR="006823A0" w:rsidRPr="00D26CED" w:rsidP="005E52B5" w14:paraId="614C295C" w14:textId="41C02D97">
      <w:r w:rsidRPr="00D26CED">
        <w:rPr>
          <w:b/>
          <w:bCs/>
        </w:rPr>
        <w:t>9.</w:t>
      </w:r>
      <w:r w:rsidRPr="00D26CED" w:rsidR="005E52B5">
        <w:t xml:space="preserve"> </w:t>
      </w:r>
      <w:r w:rsidRPr="00D26CED" w:rsidR="00B45A6E">
        <w:rPr>
          <w:b/>
          <w:bCs/>
        </w:rPr>
        <w:t>Explain any decision to provide any payments or gifts to respondents, other than remuneration of contractors or grantees.</w:t>
      </w:r>
    </w:p>
    <w:p w:rsidR="006823A0" w:rsidRPr="00D26CED" w:rsidP="005E52B5" w14:paraId="41DB9A9E" w14:textId="77777777"/>
    <w:p w:rsidR="006823A0" w:rsidRPr="00D26CED" w:rsidP="005E52B5" w14:paraId="20C78454" w14:textId="271877C8">
      <w:r w:rsidRPr="00D26CED">
        <w:t>No payment or gift is associated with this collection.</w:t>
      </w:r>
      <w:r w:rsidRPr="00D26CED" w:rsidR="005C5EF2">
        <w:t xml:space="preserve"> </w:t>
      </w:r>
    </w:p>
    <w:p w:rsidR="006823A0" w:rsidRPr="00D26CED" w:rsidP="005E52B5" w14:paraId="212C57B2" w14:textId="77777777"/>
    <w:p w:rsidR="006823A0" w:rsidRPr="00D26CED" w:rsidP="005E52B5" w14:paraId="3D2CFE96" w14:textId="4F180746">
      <w:r w:rsidRPr="00D26CED">
        <w:rPr>
          <w:b/>
          <w:bCs/>
        </w:rPr>
        <w:t>10.</w:t>
      </w:r>
      <w:r w:rsidRPr="00D26CED" w:rsidR="005E52B5">
        <w:t xml:space="preserve"> </w:t>
      </w:r>
      <w:r w:rsidRPr="00D26CED" w:rsidR="00A6217F">
        <w:rPr>
          <w:b/>
          <w:bCs/>
        </w:rPr>
        <w:t>Describe any assurance of confidentiality provided to respondents and the basis for the assurance in statute, regulation, or agency policy.</w:t>
      </w:r>
    </w:p>
    <w:p w:rsidR="006823A0" w:rsidRPr="00D26CED" w:rsidP="005E52B5" w14:paraId="022F9FCE" w14:textId="77777777"/>
    <w:p w:rsidR="009006BF" w:rsidRPr="00D26CED" w:rsidP="005E52B5" w14:paraId="35A021C5" w14:textId="119B9B6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6CED">
        <w:t xml:space="preserve">ATF has not assured respondents of confidentiality. However, the information </w:t>
      </w:r>
      <w:r w:rsidRPr="00D26CED">
        <w:t>being collected</w:t>
      </w:r>
      <w:r w:rsidRPr="00D26CED">
        <w:t xml:space="preserve"> includes PII and is thus protected by the Privacy Act. The information is maintained by ATF in </w:t>
      </w:r>
      <w:r w:rsidRPr="00D26CED">
        <w:t>system</w:t>
      </w:r>
      <w:r w:rsidRPr="00D26CED">
        <w:t xml:space="preserve"> of records, Justice/ATF-006, Internal Security Record System, and becomes part of the respondent’s permanent personnel security record. The form that accompanies this ICR includes a Privacy Act statement that covers this information and informs respondents of the system of records, routine uses, etc.</w:t>
      </w:r>
    </w:p>
    <w:p w:rsidR="006823A0" w:rsidRPr="00D26CED" w:rsidP="005E52B5" w14:paraId="72A4ACA1" w14:textId="0FCDB077">
      <w:r w:rsidRPr="00D26CED">
        <w:t xml:space="preserve"> </w:t>
      </w:r>
    </w:p>
    <w:p w:rsidR="006823A0" w:rsidRPr="00D26CED" w:rsidP="005E52B5" w14:paraId="327F9D24" w14:textId="7CF6BB08">
      <w:r w:rsidRPr="00D26CED">
        <w:rPr>
          <w:b/>
          <w:bCs/>
        </w:rPr>
        <w:t>11.</w:t>
      </w:r>
      <w:r w:rsidRPr="00D26CED" w:rsidR="005E52B5">
        <w:t xml:space="preserve"> </w:t>
      </w:r>
      <w:r w:rsidRPr="00D26CED" w:rsidR="00B350B5">
        <w:rPr>
          <w:b/>
          <w:bCs/>
        </w:rPr>
        <w:t>Provide additional justification for any questions of a sensitive nature, such as sexual behavior and attitudes, religious beliefs, and other matters that are commonly considered private</w:t>
      </w:r>
      <w:r w:rsidRPr="00D26CED" w:rsidR="008275EB">
        <w:rPr>
          <w:b/>
          <w:bCs/>
        </w:rPr>
        <w:t>.</w:t>
      </w:r>
    </w:p>
    <w:p w:rsidR="006823A0" w:rsidRPr="00D26CED" w:rsidP="005E52B5" w14:paraId="64BC4345" w14:textId="77777777"/>
    <w:p w:rsidR="009006BF" w:rsidRPr="00D26CED" w:rsidP="005E52B5" w14:paraId="4928C41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2" w:name="_Hlk188869322"/>
      <w:r w:rsidRPr="00D26CED">
        <w:t>This information collection does not ask questions or require information of a sensitive nature.</w:t>
      </w:r>
      <w:bookmarkEnd w:id="2"/>
    </w:p>
    <w:p w:rsidR="006823A0" w:rsidRPr="00D26CED" w:rsidP="005E52B5" w14:paraId="7908DE29" w14:textId="77777777"/>
    <w:p w:rsidR="006823A0" w:rsidRPr="00D26CED" w:rsidP="005E52B5" w14:paraId="643FCE9E" w14:textId="55A1BD32">
      <w:r w:rsidRPr="00D26CED">
        <w:rPr>
          <w:b/>
          <w:bCs/>
        </w:rPr>
        <w:t>12.</w:t>
      </w:r>
      <w:r w:rsidRPr="00D26CED" w:rsidR="005E52B5">
        <w:t xml:space="preserve"> </w:t>
      </w:r>
      <w:r w:rsidRPr="00D26CED" w:rsidR="00645D90">
        <w:rPr>
          <w:b/>
          <w:bCs/>
        </w:rPr>
        <w:t>Provide estimates of the information collection</w:t>
      </w:r>
      <w:r w:rsidRPr="00D26CED" w:rsidR="009006BF">
        <w:rPr>
          <w:b/>
          <w:bCs/>
        </w:rPr>
        <w:t>’s hour burden</w:t>
      </w:r>
      <w:r w:rsidRPr="00D26CED" w:rsidR="00645D90">
        <w:rPr>
          <w:b/>
          <w:bCs/>
        </w:rPr>
        <w:t>.</w:t>
      </w:r>
    </w:p>
    <w:p w:rsidR="006823A0" w:rsidRPr="00D26CED" w:rsidP="005E52B5" w14:paraId="7EE669D2" w14:textId="77777777"/>
    <w:p w:rsidR="00A24008" w:rsidP="00A24008" w14:paraId="59E63A89" w14:textId="77777777">
      <w:r>
        <w:t>There are an average of</w:t>
      </w:r>
      <w:r w:rsidRPr="00956C61">
        <w:t xml:space="preserve"> </w:t>
      </w:r>
      <w:r>
        <w:t>1,000</w:t>
      </w:r>
      <w:r w:rsidRPr="00956C61">
        <w:t xml:space="preserve"> respondents </w:t>
      </w:r>
      <w:r>
        <w:t>completing</w:t>
      </w:r>
      <w:r w:rsidRPr="00956C61">
        <w:t xml:space="preserve"> this form </w:t>
      </w:r>
      <w:r>
        <w:t>each year</w:t>
      </w:r>
      <w:r w:rsidRPr="00956C61">
        <w:t>.</w:t>
      </w:r>
      <w:r>
        <w:t xml:space="preserve"> ATF therefore estimates that this average volume will extend to the future, although the number will likely be lower due to funding decreases and resulting impacts on jobs. </w:t>
      </w:r>
    </w:p>
    <w:p w:rsidR="00A24008" w:rsidP="00A24008" w14:paraId="706083A4" w14:textId="77777777"/>
    <w:p w:rsidR="00A24008" w:rsidP="00A24008" w14:paraId="41A71DAB" w14:textId="77777777">
      <w:r w:rsidRPr="00956C61">
        <w:t xml:space="preserve">Each respondent </w:t>
      </w:r>
      <w:r>
        <w:t>responds one time per year.</w:t>
      </w:r>
      <w:r w:rsidRPr="00956C61">
        <w:t xml:space="preserve"> </w:t>
      </w:r>
      <w:r>
        <w:t>We estimate</w:t>
      </w:r>
      <w:r w:rsidRPr="00956C61">
        <w:t xml:space="preserve"> that it takes </w:t>
      </w:r>
      <w:r>
        <w:t>5</w:t>
      </w:r>
      <w:r w:rsidRPr="00956C61">
        <w:t xml:space="preserve"> minutes </w:t>
      </w:r>
      <w:r>
        <w:t xml:space="preserve">(0.08 hours) for a respondent </w:t>
      </w:r>
      <w:r w:rsidRPr="00956C61">
        <w:t xml:space="preserve">to complete the form. The </w:t>
      </w:r>
      <w:r w:rsidRPr="00AD2274">
        <w:t xml:space="preserve">total annual burden hours associated with this collection </w:t>
      </w:r>
      <w:r>
        <w:t>are therefore</w:t>
      </w:r>
      <w:r w:rsidRPr="00AD2274">
        <w:t xml:space="preserve"> </w:t>
      </w:r>
      <w:r>
        <w:t>80</w:t>
      </w:r>
      <w:r w:rsidRPr="00AD2274">
        <w:t xml:space="preserve"> hours</w:t>
      </w:r>
      <w:r>
        <w:t xml:space="preserve"> (1,000 candidates * 0.08 hours)</w:t>
      </w:r>
      <w:r w:rsidRPr="00AD2274">
        <w:t>.</w:t>
      </w:r>
    </w:p>
    <w:p w:rsidR="00A24008" w:rsidP="00A24008" w14:paraId="432A02F6" w14:textId="77777777"/>
    <w:p w:rsidR="00A24008" w:rsidP="00A24008" w14:paraId="4F1AFFB8" w14:textId="188CD346">
      <w:pPr>
        <w:rPr>
          <w:rFonts w:eastAsia="Calibri"/>
          <w14:ligatures w14:val="standardContextual"/>
        </w:rPr>
      </w:pPr>
      <w:r w:rsidRPr="00DD5678">
        <w:rPr>
          <w:rFonts w:eastAsia="Calibri"/>
          <w14:ligatures w14:val="standardContextual"/>
        </w:rPr>
        <w:t xml:space="preserve">Because </w:t>
      </w:r>
      <w:r>
        <w:rPr>
          <w:rFonts w:eastAsia="Calibri"/>
          <w14:ligatures w14:val="standardContextual"/>
        </w:rPr>
        <w:t xml:space="preserve">the respondents must complete this form </w:t>
      </w:r>
      <w:r>
        <w:rPr>
          <w:rFonts w:eastAsia="Calibri"/>
          <w14:ligatures w14:val="standardContextual"/>
        </w:rPr>
        <w:t>in order to</w:t>
      </w:r>
      <w:r>
        <w:rPr>
          <w:rFonts w:eastAsia="Calibri"/>
          <w14:ligatures w14:val="standardContextual"/>
        </w:rPr>
        <w:t xml:space="preserve"> be employed in the relevant ATF position</w:t>
      </w:r>
      <w:r w:rsidRPr="00DD5678">
        <w:rPr>
          <w:rFonts w:eastAsia="Calibri"/>
          <w14:ligatures w14:val="standardContextual"/>
        </w:rPr>
        <w:t xml:space="preserve">, </w:t>
      </w:r>
      <w:r>
        <w:rPr>
          <w:rFonts w:eastAsia="Calibri"/>
          <w14:ligatures w14:val="standardContextual"/>
        </w:rPr>
        <w:t>ATF</w:t>
      </w:r>
      <w:r w:rsidRPr="00DD5678">
        <w:rPr>
          <w:rFonts w:eastAsia="Calibri"/>
          <w14:ligatures w14:val="standardContextual"/>
        </w:rPr>
        <w:t xml:space="preserve"> </w:t>
      </w:r>
      <w:r>
        <w:rPr>
          <w:rFonts w:eastAsia="Calibri"/>
          <w14:ligatures w14:val="standardContextual"/>
        </w:rPr>
        <w:t>assumes</w:t>
      </w:r>
      <w:r w:rsidRPr="00DD5678">
        <w:rPr>
          <w:rFonts w:eastAsia="Calibri"/>
          <w14:ligatures w14:val="standardContextual"/>
        </w:rPr>
        <w:t xml:space="preserve"> that </w:t>
      </w:r>
      <w:r>
        <w:rPr>
          <w:rFonts w:eastAsia="Calibri"/>
          <w14:ligatures w14:val="standardContextual"/>
        </w:rPr>
        <w:t xml:space="preserve">they </w:t>
      </w:r>
      <w:r>
        <w:rPr>
          <w:rFonts w:eastAsia="Calibri"/>
          <w14:ligatures w14:val="standardContextual"/>
        </w:rPr>
        <w:t>would</w:t>
      </w:r>
      <w:r>
        <w:rPr>
          <w:rFonts w:eastAsia="Calibri"/>
          <w14:ligatures w14:val="standardContextual"/>
        </w:rPr>
        <w:t xml:space="preserve"> not be doing the application during paid work time. Therefore, </w:t>
      </w:r>
      <w:r w:rsidRPr="002A3D64">
        <w:rPr>
          <w:rFonts w:eastAsia="Calibri"/>
          <w14:ligatures w14:val="standardContextual"/>
        </w:rPr>
        <w:t xml:space="preserve">ATF calculated the monetized value of that time using a standard </w:t>
      </w:r>
      <w:r>
        <w:rPr>
          <w:rFonts w:eastAsia="Calibri"/>
          <w14:ligatures w14:val="standardContextual"/>
        </w:rPr>
        <w:t>“</w:t>
      </w:r>
      <w:r w:rsidRPr="002A3D64">
        <w:rPr>
          <w:rFonts w:eastAsia="Calibri"/>
          <w14:ligatures w14:val="standardContextual"/>
        </w:rPr>
        <w:t>leisure wage</w:t>
      </w:r>
      <w:r>
        <w:rPr>
          <w:rFonts w:eastAsia="Calibri"/>
          <w14:ligatures w14:val="standardContextual"/>
        </w:rPr>
        <w:t>”</w:t>
      </w:r>
      <w:r w:rsidRPr="002A3D64">
        <w:rPr>
          <w:rFonts w:eastAsia="Calibri"/>
          <w14:ligatures w14:val="standardContextual"/>
        </w:rPr>
        <w:t xml:space="preserve"> formula. For th</w:t>
      </w:r>
      <w:r>
        <w:rPr>
          <w:rFonts w:eastAsia="Calibri"/>
          <w14:ligatures w14:val="standardContextual"/>
        </w:rPr>
        <w:t xml:space="preserve">is </w:t>
      </w:r>
      <w:r w:rsidRPr="002A3D64">
        <w:rPr>
          <w:rFonts w:eastAsia="Calibri"/>
          <w14:ligatures w14:val="standardContextual"/>
        </w:rPr>
        <w:t xml:space="preserve">calculation, ATF </w:t>
      </w:r>
      <w:r>
        <w:rPr>
          <w:rFonts w:eastAsia="Calibri"/>
          <w14:ligatures w14:val="standardContextual"/>
        </w:rPr>
        <w:t>used</w:t>
      </w:r>
      <w:r w:rsidRPr="002A3D64">
        <w:rPr>
          <w:rFonts w:eastAsia="Calibri"/>
          <w14:ligatures w14:val="standardContextual"/>
        </w:rPr>
        <w:t xml:space="preserve"> a methodology developed by the Department of Health and Human Services (HHS)</w:t>
      </w:r>
      <w:r>
        <w:rPr>
          <w:rFonts w:eastAsia="Calibri"/>
          <w14:ligatures w14:val="standardContextual"/>
        </w:rPr>
        <w:t>.</w:t>
      </w:r>
      <w:r w:rsidRPr="002A3D64">
        <w:rPr>
          <w:rFonts w:eastAsia="Calibri"/>
          <w14:ligatures w14:val="standardContextual"/>
        </w:rPr>
        <w:t xml:space="preserve"> Because HHS’s methodology relies on Bureau of Labor Statistics (BLS) data that is updated </w:t>
      </w:r>
      <w:r w:rsidRPr="002A3D64">
        <w:rPr>
          <w:rFonts w:eastAsia="Calibri"/>
          <w14:ligatures w14:val="standardContextual"/>
        </w:rPr>
        <w:t>on a monthly basis</w:t>
      </w:r>
      <w:r w:rsidRPr="002A3D64">
        <w:rPr>
          <w:rFonts w:eastAsia="Calibri"/>
          <w14:ligatures w14:val="standardContextual"/>
        </w:rPr>
        <w:t xml:space="preserve">, we did not need to use an inflation-adjusted wage rate. Accordingly, consistent with HHS’s methodology, we used the BLS median weekly income for full-time employees as the base </w:t>
      </w:r>
      <w:r>
        <w:rPr>
          <w:rFonts w:eastAsia="Calibri"/>
          <w14:ligatures w14:val="standardContextual"/>
        </w:rPr>
        <w:t>from which to calculate</w:t>
      </w:r>
      <w:r w:rsidRPr="002A3D64">
        <w:rPr>
          <w:rFonts w:eastAsia="Calibri"/>
          <w14:ligatures w14:val="standardContextual"/>
        </w:rPr>
        <w:t xml:space="preserve"> the hourly leisure wage. Based </w:t>
      </w:r>
      <w:r>
        <w:rPr>
          <w:rFonts w:eastAsia="Calibri"/>
          <w14:ligatures w14:val="standardContextual"/>
        </w:rPr>
        <w:t xml:space="preserve">on </w:t>
      </w:r>
      <w:r w:rsidRPr="002A3D64">
        <w:rPr>
          <w:rFonts w:eastAsia="Calibri"/>
          <w14:ligatures w14:val="standardContextual"/>
        </w:rPr>
        <w:t xml:space="preserve">this methodology, ATF attributes a rounded value of $23 per hour for time spent by respondents </w:t>
      </w:r>
      <w:r>
        <w:rPr>
          <w:rFonts w:eastAsia="Calibri"/>
          <w14:ligatures w14:val="standardContextual"/>
        </w:rPr>
        <w:t>to complete the appeal</w:t>
      </w:r>
      <w:r w:rsidRPr="002A3D64">
        <w:rPr>
          <w:rFonts w:eastAsia="Calibri"/>
          <w14:ligatures w14:val="standardContextual"/>
        </w:rPr>
        <w:t>.</w:t>
      </w:r>
      <w:r>
        <w:rPr>
          <w:rFonts w:eastAsia="Calibri"/>
          <w14:ligatures w14:val="standardContextual"/>
        </w:rPr>
        <w:t xml:space="preserve"> </w:t>
      </w:r>
    </w:p>
    <w:p w:rsidR="00A24008" w:rsidP="00A24008" w14:paraId="038EB45C" w14:textId="1A3FB1E3">
      <w:pPr>
        <w:rPr>
          <w:rFonts w:eastAsia="Calibri"/>
          <w14:ligatures w14:val="standardContextual"/>
        </w:rPr>
      </w:pPr>
    </w:p>
    <w:p w:rsidR="00A24008" w:rsidRPr="000C286C" w:rsidP="00A24008" w14:paraId="69296530" w14:textId="7A84E0B0">
      <w:pPr>
        <w:rPr>
          <w:rFonts w:eastAsia="Calibri"/>
          <w:bCs/>
          <w14:ligatures w14:val="standardContextual"/>
        </w:rPr>
      </w:pPr>
      <w:r>
        <w:rPr>
          <w:rFonts w:eastAsia="Calibri"/>
          <w:bCs/>
          <w14:ligatures w14:val="standardContextual"/>
        </w:rPr>
        <w:t>We</w:t>
      </w:r>
      <w:r w:rsidRPr="00DD5678">
        <w:rPr>
          <w:rFonts w:eastAsia="Calibri"/>
          <w:bCs/>
          <w14:ligatures w14:val="standardContextual"/>
        </w:rPr>
        <w:t xml:space="preserve"> then multiplied the hourly burden</w:t>
      </w:r>
      <w:r>
        <w:rPr>
          <w:rFonts w:eastAsia="Calibri"/>
          <w:bCs/>
          <w14:ligatures w14:val="standardContextual"/>
        </w:rPr>
        <w:t xml:space="preserve"> outlined above</w:t>
      </w:r>
      <w:r w:rsidRPr="00DD5678">
        <w:rPr>
          <w:rFonts w:eastAsia="Calibri"/>
          <w:bCs/>
          <w14:ligatures w14:val="standardContextual"/>
        </w:rPr>
        <w:t xml:space="preserve"> by the $23 hourly leisure wage rate to account for the value of time spent </w:t>
      </w:r>
      <w:r>
        <w:rPr>
          <w:rFonts w:eastAsia="Calibri"/>
          <w:bCs/>
          <w14:ligatures w14:val="standardContextual"/>
        </w:rPr>
        <w:t xml:space="preserve">completing the form. </w:t>
      </w:r>
      <w:r>
        <w:t>The monetized annual hourly burden for this information collection is therefore $1,840</w:t>
      </w:r>
      <w:r w:rsidRPr="0018494A">
        <w:t xml:space="preserve">. Table </w:t>
      </w:r>
      <w:r>
        <w:t>1</w:t>
      </w:r>
      <w:r w:rsidRPr="0018494A">
        <w:t xml:space="preserve"> provides the number of respondents, annual number of responses, hourly burden, and monetized value of respondent time.</w:t>
      </w:r>
      <w:r>
        <w:t xml:space="preserve"> </w:t>
      </w:r>
    </w:p>
    <w:p w:rsidR="00A24008" w:rsidP="00A24008" w14:paraId="4F9D97D6" w14:textId="7B696C6A">
      <w:pPr>
        <w:ind w:left="720"/>
      </w:pPr>
    </w:p>
    <w:p w:rsidR="00A24008" w:rsidP="00A24008" w14:paraId="0887BB2C" w14:textId="2832696D">
      <w:pPr>
        <w:ind w:left="720"/>
      </w:pPr>
    </w:p>
    <w:p w:rsidR="00A24008" w:rsidRPr="00302221" w:rsidP="00A24008" w14:paraId="7801A4A8" w14:textId="7B09F5E9">
      <w:pPr>
        <w:spacing w:after="100" w:afterAutospacing="1"/>
        <w:ind w:left="360"/>
        <w:jc w:val="center"/>
        <w:rPr>
          <w:b/>
          <w:bCs/>
        </w:rPr>
      </w:pPr>
      <w:r w:rsidRPr="00C634A0">
        <w:rPr>
          <w:b/>
          <w:bCs/>
        </w:rPr>
        <w:t xml:space="preserve">Table </w:t>
      </w:r>
      <w:r>
        <w:rPr>
          <w:b/>
          <w:bCs/>
        </w:rPr>
        <w:t>1</w:t>
      </w:r>
      <w:r w:rsidRPr="00C634A0">
        <w:rPr>
          <w:b/>
          <w:bCs/>
        </w:rPr>
        <w:t xml:space="preserve">. </w:t>
      </w:r>
      <w:r>
        <w:rPr>
          <w:b/>
          <w:bCs/>
        </w:rPr>
        <w:t>Annual monetized hourly burden costs (rounded)</w:t>
      </w:r>
    </w:p>
    <w:tbl>
      <w:tblPr>
        <w:tblStyle w:val="TableGrid"/>
        <w:tblW w:w="9715" w:type="dxa"/>
        <w:jc w:val="center"/>
        <w:tblLook w:val="04A0"/>
      </w:tblPr>
      <w:tblGrid>
        <w:gridCol w:w="1372"/>
        <w:gridCol w:w="1365"/>
        <w:gridCol w:w="1194"/>
        <w:gridCol w:w="1099"/>
        <w:gridCol w:w="961"/>
        <w:gridCol w:w="1315"/>
        <w:gridCol w:w="1123"/>
        <w:gridCol w:w="1286"/>
      </w:tblGrid>
      <w:tr w14:paraId="00ACC1EE" w14:textId="77777777">
        <w:tblPrEx>
          <w:tblW w:w="9715" w:type="dxa"/>
          <w:jc w:val="center"/>
          <w:tblLook w:val="04A0"/>
        </w:tblPrEx>
        <w:trPr>
          <w:jc w:val="center"/>
        </w:trPr>
        <w:tc>
          <w:tcPr>
            <w:tcW w:w="1372" w:type="dxa"/>
            <w:shd w:val="clear" w:color="auto" w:fill="9CC2E5" w:themeFill="accent1" w:themeFillTint="99"/>
          </w:tcPr>
          <w:p w:rsidR="00A24008" w:rsidRPr="001E4EF6" w14:paraId="2292BF7A" w14:textId="77777777">
            <w:pPr>
              <w:spacing w:after="100" w:afterAutospacing="1"/>
              <w:rPr>
                <w:b/>
                <w:sz w:val="20"/>
                <w:szCs w:val="20"/>
              </w:rPr>
            </w:pPr>
            <w:r w:rsidRPr="001E4EF6">
              <w:rPr>
                <w:b/>
                <w:sz w:val="20"/>
                <w:szCs w:val="20"/>
              </w:rPr>
              <w:t>Activity</w:t>
            </w:r>
          </w:p>
          <w:p w:rsidR="00A24008" w:rsidRPr="001E4EF6" w14:paraId="72C88169" w14:textId="77777777">
            <w:pPr>
              <w:spacing w:after="100" w:afterAutospacing="1"/>
              <w:rPr>
                <w:b/>
                <w:sz w:val="20"/>
                <w:szCs w:val="20"/>
              </w:rPr>
            </w:pPr>
          </w:p>
        </w:tc>
        <w:tc>
          <w:tcPr>
            <w:tcW w:w="1365" w:type="dxa"/>
            <w:shd w:val="clear" w:color="auto" w:fill="9CC2E5" w:themeFill="accent1" w:themeFillTint="99"/>
          </w:tcPr>
          <w:p w:rsidR="00A24008" w:rsidRPr="001E4EF6" w14:paraId="11198E09" w14:textId="77777777">
            <w:pPr>
              <w:spacing w:after="100" w:afterAutospacing="1"/>
              <w:rPr>
                <w:b/>
                <w:sz w:val="20"/>
                <w:szCs w:val="20"/>
              </w:rPr>
            </w:pPr>
            <w:r w:rsidRPr="001E4EF6">
              <w:rPr>
                <w:b/>
                <w:sz w:val="20"/>
                <w:szCs w:val="20"/>
              </w:rPr>
              <w:t>Number of respondents</w:t>
            </w:r>
          </w:p>
          <w:p w:rsidR="00A24008" w:rsidRPr="001E4EF6" w14:paraId="1C6AB089" w14:textId="77777777">
            <w:pPr>
              <w:spacing w:after="100" w:afterAutospacing="1"/>
              <w:rPr>
                <w:b/>
                <w:sz w:val="20"/>
                <w:szCs w:val="20"/>
              </w:rPr>
            </w:pPr>
          </w:p>
        </w:tc>
        <w:tc>
          <w:tcPr>
            <w:tcW w:w="1194" w:type="dxa"/>
            <w:shd w:val="clear" w:color="auto" w:fill="9CC2E5" w:themeFill="accent1" w:themeFillTint="99"/>
          </w:tcPr>
          <w:p w:rsidR="00A24008" w:rsidRPr="001E4EF6" w14:paraId="44033343" w14:textId="77777777">
            <w:pPr>
              <w:spacing w:after="100" w:afterAutospacing="1"/>
              <w:rPr>
                <w:b/>
                <w:sz w:val="20"/>
                <w:szCs w:val="20"/>
              </w:rPr>
            </w:pPr>
            <w:r w:rsidRPr="001E4EF6">
              <w:rPr>
                <w:b/>
                <w:sz w:val="20"/>
                <w:szCs w:val="20"/>
              </w:rPr>
              <w:t>Frequency per year</w:t>
            </w:r>
          </w:p>
        </w:tc>
        <w:tc>
          <w:tcPr>
            <w:tcW w:w="1099" w:type="dxa"/>
            <w:shd w:val="clear" w:color="auto" w:fill="9CC2E5" w:themeFill="accent1" w:themeFillTint="99"/>
          </w:tcPr>
          <w:p w:rsidR="00A24008" w:rsidRPr="001E4EF6" w14:paraId="49D273B8" w14:textId="77777777">
            <w:pPr>
              <w:spacing w:after="100" w:afterAutospacing="1"/>
              <w:rPr>
                <w:b/>
                <w:sz w:val="20"/>
                <w:szCs w:val="20"/>
              </w:rPr>
            </w:pPr>
            <w:r w:rsidRPr="001E4EF6">
              <w:rPr>
                <w:b/>
                <w:sz w:val="20"/>
                <w:szCs w:val="20"/>
              </w:rPr>
              <w:t>Total annual responses</w:t>
            </w:r>
          </w:p>
        </w:tc>
        <w:tc>
          <w:tcPr>
            <w:tcW w:w="961" w:type="dxa"/>
            <w:shd w:val="clear" w:color="auto" w:fill="9CC2E5" w:themeFill="accent1" w:themeFillTint="99"/>
          </w:tcPr>
          <w:p w:rsidR="00A24008" w:rsidRPr="001E4EF6" w14:paraId="29AE46A4" w14:textId="77777777">
            <w:pPr>
              <w:spacing w:after="100" w:afterAutospacing="1"/>
              <w:rPr>
                <w:b/>
                <w:sz w:val="20"/>
                <w:szCs w:val="20"/>
              </w:rPr>
            </w:pPr>
            <w:r w:rsidRPr="001E4EF6">
              <w:rPr>
                <w:b/>
                <w:sz w:val="20"/>
                <w:szCs w:val="20"/>
              </w:rPr>
              <w:t>Time per response</w:t>
            </w:r>
          </w:p>
        </w:tc>
        <w:tc>
          <w:tcPr>
            <w:tcW w:w="1315" w:type="dxa"/>
            <w:shd w:val="clear" w:color="auto" w:fill="9CC2E5" w:themeFill="accent1" w:themeFillTint="99"/>
          </w:tcPr>
          <w:p w:rsidR="00A24008" w:rsidRPr="001E4EF6" w14:paraId="1DD8D187" w14:textId="77777777">
            <w:pPr>
              <w:spacing w:after="100" w:afterAutospacing="1"/>
              <w:rPr>
                <w:b/>
                <w:sz w:val="20"/>
                <w:szCs w:val="20"/>
              </w:rPr>
            </w:pPr>
            <w:r w:rsidRPr="001E4EF6">
              <w:rPr>
                <w:b/>
                <w:sz w:val="20"/>
                <w:szCs w:val="20"/>
              </w:rPr>
              <w:t>Total annual burden (hours)</w:t>
            </w:r>
          </w:p>
        </w:tc>
        <w:tc>
          <w:tcPr>
            <w:tcW w:w="1123" w:type="dxa"/>
            <w:shd w:val="clear" w:color="auto" w:fill="9CC2E5" w:themeFill="accent1" w:themeFillTint="99"/>
          </w:tcPr>
          <w:p w:rsidR="00A24008" w:rsidRPr="001E4EF6" w14:paraId="21EAFA9E" w14:textId="77777777">
            <w:pPr>
              <w:spacing w:after="100" w:afterAutospacing="1"/>
              <w:rPr>
                <w:b/>
                <w:sz w:val="20"/>
                <w:szCs w:val="20"/>
              </w:rPr>
            </w:pPr>
            <w:r w:rsidRPr="001E4EF6">
              <w:rPr>
                <w:b/>
                <w:sz w:val="20"/>
                <w:szCs w:val="20"/>
              </w:rPr>
              <w:t>Hourly rate per response*</w:t>
            </w:r>
          </w:p>
        </w:tc>
        <w:tc>
          <w:tcPr>
            <w:tcW w:w="1286" w:type="dxa"/>
            <w:shd w:val="clear" w:color="auto" w:fill="9CC2E5" w:themeFill="accent1" w:themeFillTint="99"/>
          </w:tcPr>
          <w:p w:rsidR="00A24008" w:rsidRPr="001E4EF6" w14:paraId="4E9D3951" w14:textId="77777777">
            <w:pPr>
              <w:spacing w:after="100" w:afterAutospacing="1"/>
              <w:rPr>
                <w:b/>
                <w:sz w:val="20"/>
                <w:szCs w:val="20"/>
              </w:rPr>
            </w:pPr>
            <w:r w:rsidRPr="001E4EF6">
              <w:rPr>
                <w:b/>
                <w:sz w:val="20"/>
                <w:szCs w:val="20"/>
              </w:rPr>
              <w:t>Monetized value of respondent time</w:t>
            </w:r>
          </w:p>
        </w:tc>
      </w:tr>
      <w:tr w14:paraId="5D23472D" w14:textId="77777777">
        <w:tblPrEx>
          <w:tblW w:w="9715" w:type="dxa"/>
          <w:jc w:val="center"/>
          <w:tblLook w:val="04A0"/>
        </w:tblPrEx>
        <w:trPr>
          <w:jc w:val="center"/>
        </w:trPr>
        <w:tc>
          <w:tcPr>
            <w:tcW w:w="1372" w:type="dxa"/>
            <w:vAlign w:val="center"/>
          </w:tcPr>
          <w:p w:rsidR="00A24008" w:rsidRPr="001E4EF6" w14:paraId="7E987158" w14:textId="77777777">
            <w:pPr>
              <w:spacing w:after="100" w:afterAutospacing="1"/>
              <w:jc w:val="right"/>
              <w:rPr>
                <w:sz w:val="20"/>
                <w:szCs w:val="20"/>
              </w:rPr>
            </w:pPr>
            <w:r w:rsidRPr="001E4EF6">
              <w:rPr>
                <w:sz w:val="20"/>
                <w:szCs w:val="20"/>
              </w:rPr>
              <w:t>Request for temporary eligibility</w:t>
            </w:r>
          </w:p>
        </w:tc>
        <w:tc>
          <w:tcPr>
            <w:tcW w:w="1365" w:type="dxa"/>
            <w:vAlign w:val="center"/>
          </w:tcPr>
          <w:p w:rsidR="00A24008" w:rsidRPr="001E4EF6" w14:paraId="39412B6A" w14:textId="77777777">
            <w:pPr>
              <w:spacing w:after="100" w:afterAutospacing="1"/>
              <w:jc w:val="center"/>
              <w:rPr>
                <w:sz w:val="20"/>
                <w:szCs w:val="20"/>
              </w:rPr>
            </w:pPr>
            <w:r>
              <w:rPr>
                <w:sz w:val="20"/>
                <w:szCs w:val="20"/>
              </w:rPr>
              <w:t>1</w:t>
            </w:r>
            <w:r w:rsidRPr="001E4EF6">
              <w:rPr>
                <w:sz w:val="20"/>
                <w:szCs w:val="20"/>
              </w:rPr>
              <w:t>,000</w:t>
            </w:r>
          </w:p>
        </w:tc>
        <w:tc>
          <w:tcPr>
            <w:tcW w:w="1194" w:type="dxa"/>
            <w:vAlign w:val="center"/>
          </w:tcPr>
          <w:p w:rsidR="00A24008" w:rsidRPr="001E4EF6" w14:paraId="142B5CD9" w14:textId="77777777">
            <w:pPr>
              <w:spacing w:after="100" w:afterAutospacing="1"/>
              <w:jc w:val="center"/>
              <w:rPr>
                <w:sz w:val="20"/>
                <w:szCs w:val="20"/>
              </w:rPr>
            </w:pPr>
            <w:r w:rsidRPr="001E4EF6">
              <w:rPr>
                <w:sz w:val="20"/>
                <w:szCs w:val="20"/>
              </w:rPr>
              <w:t>1 time</w:t>
            </w:r>
          </w:p>
        </w:tc>
        <w:tc>
          <w:tcPr>
            <w:tcW w:w="1099" w:type="dxa"/>
            <w:vAlign w:val="center"/>
          </w:tcPr>
          <w:p w:rsidR="00A24008" w:rsidRPr="001E4EF6" w14:paraId="5E95B46A" w14:textId="77777777">
            <w:pPr>
              <w:spacing w:after="100" w:afterAutospacing="1"/>
              <w:jc w:val="center"/>
              <w:rPr>
                <w:sz w:val="20"/>
                <w:szCs w:val="20"/>
              </w:rPr>
            </w:pPr>
            <w:r>
              <w:rPr>
                <w:sz w:val="20"/>
                <w:szCs w:val="20"/>
              </w:rPr>
              <w:t>1</w:t>
            </w:r>
            <w:r w:rsidRPr="001E4EF6">
              <w:rPr>
                <w:sz w:val="20"/>
                <w:szCs w:val="20"/>
              </w:rPr>
              <w:t>,000</w:t>
            </w:r>
          </w:p>
        </w:tc>
        <w:tc>
          <w:tcPr>
            <w:tcW w:w="961" w:type="dxa"/>
            <w:vAlign w:val="center"/>
          </w:tcPr>
          <w:p w:rsidR="00A24008" w:rsidRPr="001E4EF6" w14:paraId="30374091" w14:textId="77777777">
            <w:pPr>
              <w:spacing w:after="100" w:afterAutospacing="1"/>
              <w:jc w:val="center"/>
              <w:rPr>
                <w:sz w:val="20"/>
                <w:szCs w:val="20"/>
              </w:rPr>
            </w:pPr>
            <w:r w:rsidRPr="001E4EF6">
              <w:rPr>
                <w:sz w:val="20"/>
                <w:szCs w:val="20"/>
              </w:rPr>
              <w:t>0.08</w:t>
            </w:r>
          </w:p>
        </w:tc>
        <w:tc>
          <w:tcPr>
            <w:tcW w:w="1315" w:type="dxa"/>
            <w:vAlign w:val="center"/>
          </w:tcPr>
          <w:p w:rsidR="00A24008" w:rsidRPr="001E4EF6" w14:paraId="52B4D065" w14:textId="77777777">
            <w:pPr>
              <w:spacing w:after="100" w:afterAutospacing="1"/>
              <w:jc w:val="center"/>
              <w:rPr>
                <w:sz w:val="20"/>
                <w:szCs w:val="20"/>
              </w:rPr>
            </w:pPr>
            <w:r>
              <w:rPr>
                <w:sz w:val="20"/>
                <w:szCs w:val="20"/>
              </w:rPr>
              <w:t>8</w:t>
            </w:r>
            <w:r w:rsidRPr="001E4EF6">
              <w:rPr>
                <w:sz w:val="20"/>
                <w:szCs w:val="20"/>
              </w:rPr>
              <w:t>0</w:t>
            </w:r>
          </w:p>
        </w:tc>
        <w:tc>
          <w:tcPr>
            <w:tcW w:w="1123" w:type="dxa"/>
            <w:vAlign w:val="center"/>
          </w:tcPr>
          <w:p w:rsidR="00A24008" w:rsidRPr="001E4EF6" w14:paraId="7DAB84BC" w14:textId="77777777">
            <w:pPr>
              <w:spacing w:after="100" w:afterAutospacing="1"/>
              <w:jc w:val="center"/>
              <w:rPr>
                <w:sz w:val="20"/>
                <w:szCs w:val="20"/>
              </w:rPr>
            </w:pPr>
            <w:r w:rsidRPr="001E4EF6">
              <w:rPr>
                <w:sz w:val="20"/>
                <w:szCs w:val="20"/>
              </w:rPr>
              <w:t>$23</w:t>
            </w:r>
          </w:p>
        </w:tc>
        <w:tc>
          <w:tcPr>
            <w:tcW w:w="1286" w:type="dxa"/>
            <w:shd w:val="clear" w:color="auto" w:fill="auto"/>
            <w:vAlign w:val="center"/>
          </w:tcPr>
          <w:p w:rsidR="00A24008" w:rsidRPr="001E4EF6" w14:paraId="38101C87" w14:textId="77777777">
            <w:pPr>
              <w:spacing w:after="100" w:afterAutospacing="1"/>
              <w:jc w:val="right"/>
              <w:rPr>
                <w:sz w:val="20"/>
                <w:szCs w:val="20"/>
              </w:rPr>
            </w:pPr>
            <w:r w:rsidRPr="001E4EF6">
              <w:rPr>
                <w:sz w:val="20"/>
                <w:szCs w:val="20"/>
              </w:rPr>
              <w:t>$</w:t>
            </w:r>
            <w:r>
              <w:rPr>
                <w:sz w:val="20"/>
                <w:szCs w:val="20"/>
              </w:rPr>
              <w:t>1,840</w:t>
            </w:r>
          </w:p>
        </w:tc>
      </w:tr>
    </w:tbl>
    <w:p w:rsidR="0018494A" w:rsidRPr="00D26CED" w:rsidP="005E52B5" w14:paraId="5532F751" w14:textId="77777777"/>
    <w:p w:rsidR="006823A0" w:rsidRPr="00D26CED" w:rsidP="005E52B5" w14:paraId="28E61799" w14:textId="2451825A">
      <w:r w:rsidRPr="00D26CED">
        <w:rPr>
          <w:b/>
          <w:bCs/>
        </w:rPr>
        <w:t>13.</w:t>
      </w:r>
      <w:r w:rsidRPr="00D26CED" w:rsidR="005E52B5">
        <w:t xml:space="preserve"> </w:t>
      </w:r>
      <w:r w:rsidRPr="00D26CED" w:rsidR="00CA4848">
        <w:rPr>
          <w:b/>
        </w:rPr>
        <w:t>Provide an estimate of the total annual cost burden to respondents or record-keepers resulting from the information collection.</w:t>
      </w:r>
      <w:r w:rsidRPr="00D26CED" w:rsidR="005C5EF2">
        <w:rPr>
          <w:b/>
        </w:rPr>
        <w:t xml:space="preserve"> </w:t>
      </w:r>
      <w:r w:rsidRPr="00D26CED" w:rsidR="00CA4848">
        <w:rPr>
          <w:b/>
        </w:rPr>
        <w:t>(Do not include the cost of any hour burden shown in Items 12 and 14).</w:t>
      </w:r>
    </w:p>
    <w:p w:rsidR="006823A0" w:rsidRPr="00D26CED" w:rsidP="005E52B5" w14:paraId="1E242246" w14:textId="77777777"/>
    <w:p w:rsidR="00BD3A1A" w:rsidRPr="00D26CED" w:rsidP="005E52B5" w14:paraId="1D60B659" w14:textId="746041D0">
      <w:r w:rsidRPr="00D26CED">
        <w:t>There are no additional costs associated with this information collection.</w:t>
      </w:r>
    </w:p>
    <w:p w:rsidR="006823A0" w:rsidRPr="00D26CED" w:rsidP="005E52B5" w14:paraId="1BA47BE4" w14:textId="77777777"/>
    <w:p w:rsidR="006823A0" w:rsidRPr="00D26CED" w:rsidP="005E52B5" w14:paraId="1031A762" w14:textId="3CBFB261">
      <w:r w:rsidRPr="00D26CED">
        <w:rPr>
          <w:b/>
          <w:bCs/>
        </w:rPr>
        <w:t>14.</w:t>
      </w:r>
      <w:r w:rsidRPr="00D26CED" w:rsidR="005E52B5">
        <w:t xml:space="preserve"> </w:t>
      </w:r>
      <w:r w:rsidRPr="00D26CED" w:rsidR="00BC09B2">
        <w:rPr>
          <w:b/>
          <w:bCs/>
        </w:rPr>
        <w:t xml:space="preserve">Provide estimates of the annualized cost to the </w:t>
      </w:r>
      <w:r w:rsidRPr="00D26CED" w:rsidR="00383AA9">
        <w:rPr>
          <w:b/>
          <w:bCs/>
        </w:rPr>
        <w:t>f</w:t>
      </w:r>
      <w:r w:rsidRPr="00D26CED" w:rsidR="00BC09B2">
        <w:rPr>
          <w:b/>
          <w:bCs/>
        </w:rPr>
        <w:t xml:space="preserve">ederal </w:t>
      </w:r>
      <w:r w:rsidRPr="00D26CED" w:rsidR="00383AA9">
        <w:rPr>
          <w:b/>
          <w:bCs/>
        </w:rPr>
        <w:t>g</w:t>
      </w:r>
      <w:r w:rsidRPr="00D26CED" w:rsidR="00BC09B2">
        <w:rPr>
          <w:b/>
          <w:bCs/>
        </w:rPr>
        <w:t>overnment.</w:t>
      </w:r>
    </w:p>
    <w:p w:rsidR="006823A0" w:rsidRPr="00D26CED" w:rsidP="005E52B5" w14:paraId="5BEF0E00" w14:textId="77777777"/>
    <w:p w:rsidR="00C26FDA" w:rsidP="1C442EE9" w14:paraId="03833BE0" w14:textId="4E2B1FEF">
      <w:pPr>
        <w:spacing w:after="240"/>
      </w:pPr>
      <w:r w:rsidRPr="1C442EE9">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6823A0" w:rsidRPr="00D26CED" w:rsidP="005E52B5" w14:paraId="6C07D1C9" w14:textId="74A77E10">
      <w:r w:rsidRPr="00D26CED">
        <w:rPr>
          <w:b/>
          <w:bCs/>
        </w:rPr>
        <w:t>15.</w:t>
      </w:r>
      <w:r w:rsidRPr="00D26CED" w:rsidR="005E52B5">
        <w:t xml:space="preserve"> </w:t>
      </w:r>
      <w:r w:rsidRPr="00D26CED" w:rsidR="007569DE">
        <w:rPr>
          <w:b/>
          <w:bCs/>
        </w:rPr>
        <w:t>Explain the reasons for any program changes or adjustments.</w:t>
      </w:r>
    </w:p>
    <w:p w:rsidR="006823A0" w:rsidRPr="00D26CED" w:rsidP="005E52B5" w14:paraId="030801BC" w14:textId="77777777"/>
    <w:p w:rsidR="006823A0" w:rsidRPr="00D26CED" w:rsidP="005E52B5" w14:paraId="65374A8F" w14:textId="1674B7A7">
      <w:r>
        <w:t xml:space="preserve">This information </w:t>
      </w:r>
      <w:r>
        <w:t>collection</w:t>
      </w:r>
      <w:r>
        <w:t xml:space="preserve"> reflects a decrease in the number of respondents from 2,000 to 1,000 due to budget cuts that affect open positions. This has resulted in a corresponding change in annual burden hours from 160 to 80. ATF has also included monetized costs for the burden </w:t>
      </w:r>
      <w:r>
        <w:t>hours.</w:t>
      </w:r>
      <w:r w:rsidRPr="00D26CED" w:rsidR="00DF1540">
        <w:t xml:space="preserve"> However, </w:t>
      </w:r>
      <w:r w:rsidR="00102D05">
        <w:t xml:space="preserve">ATF </w:t>
      </w:r>
      <w:r w:rsidRPr="00D26CED" w:rsidR="00C26FDA">
        <w:t>is</w:t>
      </w:r>
      <w:r w:rsidRPr="00D26CED" w:rsidR="00C26FDA">
        <w:t xml:space="preserve"> no longer </w:t>
      </w:r>
      <w:r w:rsidRPr="00D26CED" w:rsidR="00C26FDA">
        <w:t>including</w:t>
      </w:r>
      <w:r w:rsidRPr="00D26CED" w:rsidR="00C26FDA">
        <w:t xml:space="preserve"> the cost of mailing the form because it can now be</w:t>
      </w:r>
      <w:r w:rsidRPr="00D26CED" w:rsidR="00813D56">
        <w:t xml:space="preserve"> filled, signed, and submitted electronically</w:t>
      </w:r>
      <w:r>
        <w:t>, which has reduced that cost from</w:t>
      </w:r>
      <w:r w:rsidRPr="00D26CED" w:rsidR="008004A8">
        <w:t xml:space="preserve"> $2,000 to $0.</w:t>
      </w:r>
      <w:r w:rsidRPr="00D26CED" w:rsidR="005E52B5">
        <w:t xml:space="preserve"> </w:t>
      </w:r>
    </w:p>
    <w:p w:rsidR="006823A0" w:rsidRPr="00D26CED" w:rsidP="005E52B5" w14:paraId="153431D0" w14:textId="77777777"/>
    <w:p w:rsidR="006823A0" w:rsidRPr="00D26CED" w:rsidP="005E52B5" w14:paraId="0E67A539" w14:textId="08F15E11">
      <w:r w:rsidRPr="00D26CED">
        <w:rPr>
          <w:b/>
          <w:bCs/>
        </w:rPr>
        <w:t>16.</w:t>
      </w:r>
      <w:r w:rsidRPr="00D26CED" w:rsidR="005E52B5">
        <w:rPr>
          <w:b/>
          <w:bCs/>
        </w:rPr>
        <w:t xml:space="preserve"> </w:t>
      </w:r>
      <w:r w:rsidRPr="00D26CED" w:rsidR="008F46B4">
        <w:rPr>
          <w:b/>
          <w:bCs/>
        </w:rPr>
        <w:t>For information collections whose results will be published, outline plans for tabulations, and publication</w:t>
      </w:r>
      <w:r w:rsidRPr="00D26CED" w:rsidR="008F46B4">
        <w:t>.</w:t>
      </w:r>
    </w:p>
    <w:p w:rsidR="006823A0" w:rsidRPr="00D26CED" w:rsidP="005E52B5" w14:paraId="393A3913" w14:textId="77777777"/>
    <w:p w:rsidR="006823A0" w:rsidRPr="00D26CED" w:rsidP="005E52B5" w14:paraId="09AC5EAE" w14:textId="2EB271F1">
      <w:r w:rsidRPr="00D26CED">
        <w:t xml:space="preserve">ATF will not </w:t>
      </w:r>
      <w:r w:rsidRPr="00D26CED" w:rsidR="00383AA9">
        <w:t>publish the results of this</w:t>
      </w:r>
      <w:r w:rsidRPr="00D26CED">
        <w:t xml:space="preserve"> </w:t>
      </w:r>
      <w:r w:rsidRPr="00D26CED" w:rsidR="00795F76">
        <w:t>collection</w:t>
      </w:r>
      <w:r w:rsidRPr="00D26CED">
        <w:t>.</w:t>
      </w:r>
    </w:p>
    <w:p w:rsidR="006823A0" w:rsidRPr="00D26CED" w:rsidP="005E52B5" w14:paraId="34B8E558" w14:textId="77777777"/>
    <w:p w:rsidR="006823A0" w:rsidRPr="00D26CED" w:rsidP="005E52B5" w14:paraId="34433A49" w14:textId="1400D890">
      <w:r w:rsidRPr="00D26CED">
        <w:rPr>
          <w:b/>
          <w:bCs/>
        </w:rPr>
        <w:t>17.</w:t>
      </w:r>
      <w:r w:rsidRPr="00D26CED" w:rsidR="005E52B5">
        <w:t xml:space="preserve"> </w:t>
      </w:r>
      <w:r w:rsidRPr="00D26CED" w:rsidR="002E0CBF">
        <w:rPr>
          <w:b/>
          <w:bCs/>
        </w:rPr>
        <w:t>If seeking approval to not display the expiration date for OMB approval of the information collection, explain the reasons that display would be inappropriate.</w:t>
      </w:r>
    </w:p>
    <w:p w:rsidR="006823A0" w:rsidRPr="00D26CED" w:rsidP="005E52B5" w14:paraId="121FC9C8" w14:textId="77777777"/>
    <w:p w:rsidR="006823A0" w:rsidRPr="00D26CED" w:rsidP="005E52B5" w14:paraId="688CA72A" w14:textId="73A76B18">
      <w:r w:rsidRPr="00D26CED">
        <w:t xml:space="preserve">ATF </w:t>
      </w:r>
      <w:r w:rsidRPr="00D26CED" w:rsidR="00753624">
        <w:t xml:space="preserve">intends </w:t>
      </w:r>
      <w:r w:rsidRPr="00D26CED" w:rsidR="004126D5">
        <w:t>to display the OMB expiration date for this information collection</w:t>
      </w:r>
      <w:r w:rsidRPr="00D26CED" w:rsidR="00781E79">
        <w:t>.</w:t>
      </w:r>
    </w:p>
    <w:p w:rsidR="006823A0" w:rsidRPr="00D26CED" w:rsidP="005E52B5" w14:paraId="76F5E839" w14:textId="77777777"/>
    <w:p w:rsidR="006823A0" w:rsidRPr="00D26CED" w:rsidP="005E52B5" w14:paraId="52DAB71C" w14:textId="41B39EFC">
      <w:r w:rsidRPr="00D26CED">
        <w:rPr>
          <w:b/>
          <w:bCs/>
        </w:rPr>
        <w:t>18.</w:t>
      </w:r>
      <w:r w:rsidRPr="00D26CED" w:rsidR="005E52B5">
        <w:t xml:space="preserve"> </w:t>
      </w:r>
      <w:r w:rsidRPr="00D26CED" w:rsidR="001B0E77">
        <w:rPr>
          <w:b/>
        </w:rPr>
        <w:t>Explain each exception to the certification statement.</w:t>
      </w:r>
    </w:p>
    <w:p w:rsidR="006823A0" w:rsidRPr="00D26CED" w:rsidP="005E52B5" w14:paraId="2BAF964C" w14:textId="77777777"/>
    <w:p w:rsidR="006823A0" w:rsidRPr="00D26CED" w:rsidP="005E52B5" w14:paraId="0A25B562" w14:textId="7A86FE87">
      <w:r w:rsidRPr="00D26CED">
        <w:t>This info</w:t>
      </w:r>
      <w:r w:rsidRPr="00D26CED" w:rsidR="00075E96">
        <w:t>rmation collection does</w:t>
      </w:r>
      <w:r w:rsidRPr="00D26CED" w:rsidR="00383AA9">
        <w:t xml:space="preserve"> </w:t>
      </w:r>
      <w:r w:rsidRPr="00D26CED" w:rsidR="00075E96">
        <w:t>not include any exceptions to the certification statement</w:t>
      </w:r>
      <w:r w:rsidRPr="00D26CED">
        <w:t>.</w:t>
      </w:r>
    </w:p>
    <w:p w:rsidR="006823A0" w:rsidRPr="00D26CED" w:rsidP="005E52B5" w14:paraId="63AC26EC" w14:textId="77777777"/>
    <w:p w:rsidR="00F62427" w:rsidRPr="00D26CED" w:rsidP="005E52B5" w14:paraId="51060C1A" w14:textId="0C2ECD4F">
      <w:pPr>
        <w:rPr>
          <w:b/>
        </w:rPr>
      </w:pPr>
      <w:r w:rsidRPr="00D26CED">
        <w:rPr>
          <w:b/>
        </w:rPr>
        <w:t>B.</w:t>
      </w:r>
      <w:r w:rsidRPr="00D26CED" w:rsidR="005C5EF2">
        <w:rPr>
          <w:b/>
        </w:rPr>
        <w:t xml:space="preserve"> </w:t>
      </w:r>
      <w:r w:rsidRPr="00D26CED">
        <w:rPr>
          <w:b/>
          <w:bCs/>
        </w:rPr>
        <w:t>COLLECTIONS OF INFORMATON EMPLOYING STATISTICAL METHODS.</w:t>
      </w:r>
    </w:p>
    <w:p w:rsidR="00F62427" w:rsidRPr="00D26CED" w:rsidP="005E52B5" w14:paraId="2876C7A5" w14:textId="77777777">
      <w:pPr>
        <w:rPr>
          <w:b/>
        </w:rPr>
      </w:pPr>
    </w:p>
    <w:p w:rsidR="00D30DD3" w:rsidRPr="00D26CED" w:rsidP="005E52B5" w14:paraId="5F18EE74" w14:textId="086EDF69">
      <w:pPr>
        <w:spacing w:after="100" w:afterAutospacing="1"/>
      </w:pPr>
      <w:r w:rsidRPr="00D26CED">
        <w:t>This collection does not employ statistical methods.</w:t>
      </w:r>
    </w:p>
    <w:p w:rsidR="006823A0" w:rsidRPr="00D26CED" w:rsidP="00D30DD3" w14:paraId="6E8977B2" w14:textId="1169544D">
      <w:pPr>
        <w:ind w:hanging="720"/>
        <w:rPr>
          <w:b/>
        </w:rPr>
      </w:pPr>
    </w:p>
    <w:sectPr w:rsidSect="00A03B7C">
      <w:headerReference w:type="default" r:id="rId5"/>
      <w:footerReference w:type="default" r:id="rId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B7C" w:rsidRPr="00AC04FC" w14:paraId="0040BEAE" w14:textId="77777777">
    <w:pPr>
      <w:pStyle w:val="Footer"/>
      <w:tabs>
        <w:tab w:val="clear" w:pos="4680"/>
        <w:tab w:val="clear" w:pos="9360"/>
      </w:tabs>
      <w:jc w:val="center"/>
      <w:rPr>
        <w:caps/>
        <w:noProof/>
        <w:color w:val="000000" w:themeColor="text1"/>
      </w:rPr>
    </w:pPr>
    <w:r w:rsidRPr="00AC04FC">
      <w:rPr>
        <w:caps/>
        <w:color w:val="000000" w:themeColor="text1"/>
      </w:rPr>
      <w:fldChar w:fldCharType="begin"/>
    </w:r>
    <w:r w:rsidRPr="00AC04FC">
      <w:rPr>
        <w:caps/>
        <w:color w:val="000000" w:themeColor="text1"/>
      </w:rPr>
      <w:instrText xml:space="preserve"> PAGE   \* MERGEFORMAT </w:instrText>
    </w:r>
    <w:r w:rsidRPr="00AC04FC">
      <w:rPr>
        <w:caps/>
        <w:color w:val="000000" w:themeColor="text1"/>
      </w:rPr>
      <w:fldChar w:fldCharType="separate"/>
    </w:r>
    <w:r w:rsidRPr="00AC04FC">
      <w:rPr>
        <w:caps/>
        <w:noProof/>
        <w:color w:val="000000" w:themeColor="text1"/>
      </w:rPr>
      <w:t>2</w:t>
    </w:r>
    <w:r w:rsidRPr="00AC04FC">
      <w:rPr>
        <w:caps/>
        <w:noProof/>
        <w:color w:val="000000" w:themeColor="text1"/>
      </w:rPr>
      <w:fldChar w:fldCharType="end"/>
    </w:r>
  </w:p>
  <w:p w:rsidR="00A03B7C" w14:paraId="25DB95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8D6" w:rsidRPr="006626FF" w:rsidP="006A28D6" w14:paraId="4DBD15C2" w14:textId="78384F46">
    <w:pPr>
      <w:pStyle w:val="Header"/>
      <w:rPr>
        <w:bCs/>
        <w:sz w:val="20"/>
        <w:szCs w:val="20"/>
      </w:rPr>
    </w:pPr>
    <w:r>
      <w:rPr>
        <w:bCs/>
        <w:sz w:val="20"/>
        <w:szCs w:val="20"/>
      </w:rPr>
      <w:t>Request for Temporary Eligibility to Hold a Sensitive Position</w:t>
    </w:r>
  </w:p>
  <w:p w:rsidR="006A28D6" w:rsidP="006A28D6" w14:paraId="69F8963B" w14:textId="720D1AF1">
    <w:pPr>
      <w:pStyle w:val="Header"/>
      <w:rPr>
        <w:sz w:val="20"/>
        <w:szCs w:val="20"/>
      </w:rPr>
    </w:pPr>
    <w:r>
      <w:rPr>
        <w:sz w:val="20"/>
        <w:szCs w:val="20"/>
      </w:rPr>
      <w:t>OMB Control Number 1140-0122</w:t>
    </w:r>
  </w:p>
  <w:p w:rsidR="006A28D6" w:rsidP="006A28D6" w14:paraId="00A83EB6" w14:textId="39DF09EA">
    <w:pPr>
      <w:pStyle w:val="Header"/>
      <w:rPr>
        <w:sz w:val="20"/>
        <w:szCs w:val="20"/>
      </w:rPr>
    </w:pPr>
    <w:r>
      <w:rPr>
        <w:sz w:val="20"/>
        <w:szCs w:val="20"/>
      </w:rPr>
      <w:t>OMB Expiration Date: 7/31/2025</w:t>
    </w:r>
  </w:p>
  <w:p w:rsidR="006A28D6" w14:paraId="20AE83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A55775D"/>
    <w:multiLevelType w:val="hybridMultilevel"/>
    <w:tmpl w:val="DB8637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DB241E"/>
    <w:multiLevelType w:val="hybridMultilevel"/>
    <w:tmpl w:val="3956E6E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3842AF"/>
    <w:multiLevelType w:val="hybridMultilevel"/>
    <w:tmpl w:val="B02AE1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AE66B71"/>
    <w:multiLevelType w:val="hybridMultilevel"/>
    <w:tmpl w:val="4EC42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68E083B"/>
    <w:multiLevelType w:val="hybridMultilevel"/>
    <w:tmpl w:val="AE266FA6"/>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3733407">
    <w:abstractNumId w:val="4"/>
  </w:num>
  <w:num w:numId="2" w16cid:durableId="1321890817">
    <w:abstractNumId w:val="3"/>
  </w:num>
  <w:num w:numId="3" w16cid:durableId="926841327">
    <w:abstractNumId w:val="5"/>
  </w:num>
  <w:num w:numId="4" w16cid:durableId="858743286">
    <w:abstractNumId w:val="1"/>
  </w:num>
  <w:num w:numId="5" w16cid:durableId="164515770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6" w16cid:durableId="672102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02C6A"/>
    <w:rsid w:val="00005508"/>
    <w:rsid w:val="000118CC"/>
    <w:rsid w:val="00012C26"/>
    <w:rsid w:val="00015FF6"/>
    <w:rsid w:val="000203B3"/>
    <w:rsid w:val="00026F5D"/>
    <w:rsid w:val="00030366"/>
    <w:rsid w:val="00041779"/>
    <w:rsid w:val="00046382"/>
    <w:rsid w:val="000474B2"/>
    <w:rsid w:val="00055190"/>
    <w:rsid w:val="000600CE"/>
    <w:rsid w:val="00061612"/>
    <w:rsid w:val="000669B9"/>
    <w:rsid w:val="00075E96"/>
    <w:rsid w:val="00080172"/>
    <w:rsid w:val="00092A11"/>
    <w:rsid w:val="00093419"/>
    <w:rsid w:val="00097C11"/>
    <w:rsid w:val="000B1375"/>
    <w:rsid w:val="000B72DB"/>
    <w:rsid w:val="000C16C4"/>
    <w:rsid w:val="000C178F"/>
    <w:rsid w:val="000C286C"/>
    <w:rsid w:val="000D0B41"/>
    <w:rsid w:val="000F6FB4"/>
    <w:rsid w:val="001016B1"/>
    <w:rsid w:val="00102BFC"/>
    <w:rsid w:val="00102D05"/>
    <w:rsid w:val="001105B0"/>
    <w:rsid w:val="00111C18"/>
    <w:rsid w:val="001306CD"/>
    <w:rsid w:val="0013071B"/>
    <w:rsid w:val="00131BA9"/>
    <w:rsid w:val="0014744F"/>
    <w:rsid w:val="0015523F"/>
    <w:rsid w:val="00160B33"/>
    <w:rsid w:val="00162294"/>
    <w:rsid w:val="00164B52"/>
    <w:rsid w:val="00173D60"/>
    <w:rsid w:val="001759BB"/>
    <w:rsid w:val="00181C41"/>
    <w:rsid w:val="0018494A"/>
    <w:rsid w:val="001903CE"/>
    <w:rsid w:val="001904C2"/>
    <w:rsid w:val="00196E4E"/>
    <w:rsid w:val="00197AA7"/>
    <w:rsid w:val="001A524A"/>
    <w:rsid w:val="001A6335"/>
    <w:rsid w:val="001B0E77"/>
    <w:rsid w:val="001B5667"/>
    <w:rsid w:val="001B73C9"/>
    <w:rsid w:val="001C4377"/>
    <w:rsid w:val="001E4EF6"/>
    <w:rsid w:val="001F155E"/>
    <w:rsid w:val="001F4BA4"/>
    <w:rsid w:val="001F5E5F"/>
    <w:rsid w:val="001F61AA"/>
    <w:rsid w:val="00200185"/>
    <w:rsid w:val="00202F6B"/>
    <w:rsid w:val="00205A1E"/>
    <w:rsid w:val="00210FBF"/>
    <w:rsid w:val="0021355C"/>
    <w:rsid w:val="00213677"/>
    <w:rsid w:val="002242D5"/>
    <w:rsid w:val="00224941"/>
    <w:rsid w:val="0022727F"/>
    <w:rsid w:val="002366B8"/>
    <w:rsid w:val="00237F26"/>
    <w:rsid w:val="0024162E"/>
    <w:rsid w:val="002432C2"/>
    <w:rsid w:val="0024693F"/>
    <w:rsid w:val="00250666"/>
    <w:rsid w:val="002516AB"/>
    <w:rsid w:val="002533DB"/>
    <w:rsid w:val="002540C7"/>
    <w:rsid w:val="0026636F"/>
    <w:rsid w:val="00267BE8"/>
    <w:rsid w:val="0027200E"/>
    <w:rsid w:val="00272F59"/>
    <w:rsid w:val="002762E3"/>
    <w:rsid w:val="002A3CE2"/>
    <w:rsid w:val="002A3D64"/>
    <w:rsid w:val="002A445F"/>
    <w:rsid w:val="002A60CE"/>
    <w:rsid w:val="002A6592"/>
    <w:rsid w:val="002B0B45"/>
    <w:rsid w:val="002B40E2"/>
    <w:rsid w:val="002C187D"/>
    <w:rsid w:val="002C279E"/>
    <w:rsid w:val="002D50C4"/>
    <w:rsid w:val="002E0CBF"/>
    <w:rsid w:val="002E3ED6"/>
    <w:rsid w:val="00302221"/>
    <w:rsid w:val="00312D8A"/>
    <w:rsid w:val="00316D67"/>
    <w:rsid w:val="003203C0"/>
    <w:rsid w:val="003279DD"/>
    <w:rsid w:val="0033369F"/>
    <w:rsid w:val="0033664F"/>
    <w:rsid w:val="00351059"/>
    <w:rsid w:val="0036527B"/>
    <w:rsid w:val="003704FF"/>
    <w:rsid w:val="003706AD"/>
    <w:rsid w:val="003737D6"/>
    <w:rsid w:val="003756BA"/>
    <w:rsid w:val="00383AA9"/>
    <w:rsid w:val="00397621"/>
    <w:rsid w:val="003A4311"/>
    <w:rsid w:val="003A5C47"/>
    <w:rsid w:val="003A657B"/>
    <w:rsid w:val="003C22D7"/>
    <w:rsid w:val="003D1DAC"/>
    <w:rsid w:val="003E227E"/>
    <w:rsid w:val="003E7781"/>
    <w:rsid w:val="004126D5"/>
    <w:rsid w:val="00415475"/>
    <w:rsid w:val="00417F10"/>
    <w:rsid w:val="00423476"/>
    <w:rsid w:val="00427FA1"/>
    <w:rsid w:val="004306A4"/>
    <w:rsid w:val="00442E75"/>
    <w:rsid w:val="004454CA"/>
    <w:rsid w:val="00450DE8"/>
    <w:rsid w:val="004519CC"/>
    <w:rsid w:val="0045343B"/>
    <w:rsid w:val="00461475"/>
    <w:rsid w:val="0047786A"/>
    <w:rsid w:val="0048311A"/>
    <w:rsid w:val="00483FB7"/>
    <w:rsid w:val="00486C79"/>
    <w:rsid w:val="00491DD7"/>
    <w:rsid w:val="00497282"/>
    <w:rsid w:val="004A5872"/>
    <w:rsid w:val="004A5C64"/>
    <w:rsid w:val="004C292A"/>
    <w:rsid w:val="004D002D"/>
    <w:rsid w:val="004D1FAA"/>
    <w:rsid w:val="004D361D"/>
    <w:rsid w:val="004E188C"/>
    <w:rsid w:val="004F14E7"/>
    <w:rsid w:val="004F3C03"/>
    <w:rsid w:val="004F3E74"/>
    <w:rsid w:val="004F6D7E"/>
    <w:rsid w:val="0050056E"/>
    <w:rsid w:val="005049E9"/>
    <w:rsid w:val="00514092"/>
    <w:rsid w:val="0052137F"/>
    <w:rsid w:val="00525A04"/>
    <w:rsid w:val="00535869"/>
    <w:rsid w:val="00540427"/>
    <w:rsid w:val="00552BE8"/>
    <w:rsid w:val="00554CB3"/>
    <w:rsid w:val="00556851"/>
    <w:rsid w:val="00556AE6"/>
    <w:rsid w:val="00561A2A"/>
    <w:rsid w:val="00580669"/>
    <w:rsid w:val="005853E8"/>
    <w:rsid w:val="00597589"/>
    <w:rsid w:val="005C0B53"/>
    <w:rsid w:val="005C0EBE"/>
    <w:rsid w:val="005C2C01"/>
    <w:rsid w:val="005C38F1"/>
    <w:rsid w:val="005C561A"/>
    <w:rsid w:val="005C5EF2"/>
    <w:rsid w:val="005E0B6A"/>
    <w:rsid w:val="005E3CBA"/>
    <w:rsid w:val="005E52B5"/>
    <w:rsid w:val="005F38FA"/>
    <w:rsid w:val="00601737"/>
    <w:rsid w:val="006047AB"/>
    <w:rsid w:val="006111B6"/>
    <w:rsid w:val="00612BB9"/>
    <w:rsid w:val="006178EB"/>
    <w:rsid w:val="00620E7F"/>
    <w:rsid w:val="0063001C"/>
    <w:rsid w:val="006362E2"/>
    <w:rsid w:val="0063745F"/>
    <w:rsid w:val="00645D90"/>
    <w:rsid w:val="006520FC"/>
    <w:rsid w:val="00656CA5"/>
    <w:rsid w:val="00656F4C"/>
    <w:rsid w:val="006626FF"/>
    <w:rsid w:val="00665BE0"/>
    <w:rsid w:val="00666D34"/>
    <w:rsid w:val="006722AF"/>
    <w:rsid w:val="006742D5"/>
    <w:rsid w:val="00681FAD"/>
    <w:rsid w:val="006823A0"/>
    <w:rsid w:val="00684B45"/>
    <w:rsid w:val="00686AAC"/>
    <w:rsid w:val="006A2165"/>
    <w:rsid w:val="006A28D6"/>
    <w:rsid w:val="006A3BD8"/>
    <w:rsid w:val="006A54D1"/>
    <w:rsid w:val="006B1E66"/>
    <w:rsid w:val="006B2A81"/>
    <w:rsid w:val="006B5237"/>
    <w:rsid w:val="006B71A2"/>
    <w:rsid w:val="006C00D1"/>
    <w:rsid w:val="006C2BC6"/>
    <w:rsid w:val="006C3EBD"/>
    <w:rsid w:val="006C41EF"/>
    <w:rsid w:val="006C5530"/>
    <w:rsid w:val="006D3E48"/>
    <w:rsid w:val="006F0C6B"/>
    <w:rsid w:val="006F45A2"/>
    <w:rsid w:val="00707302"/>
    <w:rsid w:val="00707622"/>
    <w:rsid w:val="00707CCD"/>
    <w:rsid w:val="0071226A"/>
    <w:rsid w:val="00716ED6"/>
    <w:rsid w:val="007254F7"/>
    <w:rsid w:val="007409C7"/>
    <w:rsid w:val="00743553"/>
    <w:rsid w:val="00747E6E"/>
    <w:rsid w:val="00751AE4"/>
    <w:rsid w:val="00753624"/>
    <w:rsid w:val="007569DE"/>
    <w:rsid w:val="0077611D"/>
    <w:rsid w:val="007774F0"/>
    <w:rsid w:val="00781E79"/>
    <w:rsid w:val="007827BD"/>
    <w:rsid w:val="00795F76"/>
    <w:rsid w:val="007976DC"/>
    <w:rsid w:val="007A696B"/>
    <w:rsid w:val="007B00CC"/>
    <w:rsid w:val="007B10DD"/>
    <w:rsid w:val="007B1722"/>
    <w:rsid w:val="007B79CF"/>
    <w:rsid w:val="007C14B1"/>
    <w:rsid w:val="007D477E"/>
    <w:rsid w:val="008004A8"/>
    <w:rsid w:val="00805990"/>
    <w:rsid w:val="008059DD"/>
    <w:rsid w:val="00806C43"/>
    <w:rsid w:val="00807671"/>
    <w:rsid w:val="00811303"/>
    <w:rsid w:val="00812F3B"/>
    <w:rsid w:val="00813D56"/>
    <w:rsid w:val="008200FF"/>
    <w:rsid w:val="00824EF9"/>
    <w:rsid w:val="008275EB"/>
    <w:rsid w:val="0083249A"/>
    <w:rsid w:val="00833A2C"/>
    <w:rsid w:val="00835055"/>
    <w:rsid w:val="00843B1C"/>
    <w:rsid w:val="0084523F"/>
    <w:rsid w:val="00852909"/>
    <w:rsid w:val="00852C52"/>
    <w:rsid w:val="00853844"/>
    <w:rsid w:val="008538DB"/>
    <w:rsid w:val="00855EE6"/>
    <w:rsid w:val="0085618F"/>
    <w:rsid w:val="0085629E"/>
    <w:rsid w:val="00864B0B"/>
    <w:rsid w:val="00871D41"/>
    <w:rsid w:val="008A325B"/>
    <w:rsid w:val="008A5048"/>
    <w:rsid w:val="008B4045"/>
    <w:rsid w:val="008B7C44"/>
    <w:rsid w:val="008B7EF1"/>
    <w:rsid w:val="008C050A"/>
    <w:rsid w:val="008C29D0"/>
    <w:rsid w:val="008C4C0B"/>
    <w:rsid w:val="008D65A1"/>
    <w:rsid w:val="008D7A48"/>
    <w:rsid w:val="008E036B"/>
    <w:rsid w:val="008E23E8"/>
    <w:rsid w:val="008E3175"/>
    <w:rsid w:val="008E72FC"/>
    <w:rsid w:val="008F46B4"/>
    <w:rsid w:val="008F7F8A"/>
    <w:rsid w:val="009006BF"/>
    <w:rsid w:val="00907C6A"/>
    <w:rsid w:val="009167E4"/>
    <w:rsid w:val="009254EF"/>
    <w:rsid w:val="009315BE"/>
    <w:rsid w:val="00956C61"/>
    <w:rsid w:val="00962217"/>
    <w:rsid w:val="00972012"/>
    <w:rsid w:val="009779DE"/>
    <w:rsid w:val="009819D3"/>
    <w:rsid w:val="00990E3D"/>
    <w:rsid w:val="00996585"/>
    <w:rsid w:val="009A2008"/>
    <w:rsid w:val="009A64AC"/>
    <w:rsid w:val="009B18E2"/>
    <w:rsid w:val="009E031B"/>
    <w:rsid w:val="009E3223"/>
    <w:rsid w:val="009E50A5"/>
    <w:rsid w:val="009F1869"/>
    <w:rsid w:val="009F278D"/>
    <w:rsid w:val="00A03B7C"/>
    <w:rsid w:val="00A17A05"/>
    <w:rsid w:val="00A21FAB"/>
    <w:rsid w:val="00A233CE"/>
    <w:rsid w:val="00A24008"/>
    <w:rsid w:val="00A37C94"/>
    <w:rsid w:val="00A42737"/>
    <w:rsid w:val="00A501C6"/>
    <w:rsid w:val="00A61289"/>
    <w:rsid w:val="00A6217F"/>
    <w:rsid w:val="00A77E9A"/>
    <w:rsid w:val="00A83C42"/>
    <w:rsid w:val="00A879FF"/>
    <w:rsid w:val="00A92972"/>
    <w:rsid w:val="00A96A6E"/>
    <w:rsid w:val="00AB11A7"/>
    <w:rsid w:val="00AB1EB8"/>
    <w:rsid w:val="00AB405D"/>
    <w:rsid w:val="00AC04FC"/>
    <w:rsid w:val="00AD0DA9"/>
    <w:rsid w:val="00AD2274"/>
    <w:rsid w:val="00AE28E8"/>
    <w:rsid w:val="00AE5CDC"/>
    <w:rsid w:val="00AF039B"/>
    <w:rsid w:val="00AF571C"/>
    <w:rsid w:val="00B10FF0"/>
    <w:rsid w:val="00B120D4"/>
    <w:rsid w:val="00B22A06"/>
    <w:rsid w:val="00B26108"/>
    <w:rsid w:val="00B264CA"/>
    <w:rsid w:val="00B3427C"/>
    <w:rsid w:val="00B350B5"/>
    <w:rsid w:val="00B36783"/>
    <w:rsid w:val="00B3737B"/>
    <w:rsid w:val="00B45588"/>
    <w:rsid w:val="00B45A6E"/>
    <w:rsid w:val="00B52739"/>
    <w:rsid w:val="00B62892"/>
    <w:rsid w:val="00B62E37"/>
    <w:rsid w:val="00B82AB0"/>
    <w:rsid w:val="00B875D0"/>
    <w:rsid w:val="00BA3D72"/>
    <w:rsid w:val="00BB109C"/>
    <w:rsid w:val="00BC09B2"/>
    <w:rsid w:val="00BC38B9"/>
    <w:rsid w:val="00BC5E9D"/>
    <w:rsid w:val="00BD3A1A"/>
    <w:rsid w:val="00BD52A6"/>
    <w:rsid w:val="00BF2DA8"/>
    <w:rsid w:val="00BF3764"/>
    <w:rsid w:val="00C01666"/>
    <w:rsid w:val="00C01A51"/>
    <w:rsid w:val="00C10680"/>
    <w:rsid w:val="00C14519"/>
    <w:rsid w:val="00C26FDA"/>
    <w:rsid w:val="00C31A45"/>
    <w:rsid w:val="00C33C08"/>
    <w:rsid w:val="00C47C33"/>
    <w:rsid w:val="00C53147"/>
    <w:rsid w:val="00C560DD"/>
    <w:rsid w:val="00C634A0"/>
    <w:rsid w:val="00C65E69"/>
    <w:rsid w:val="00C66E99"/>
    <w:rsid w:val="00C67345"/>
    <w:rsid w:val="00C775ED"/>
    <w:rsid w:val="00C77FE1"/>
    <w:rsid w:val="00C8141B"/>
    <w:rsid w:val="00C81F2E"/>
    <w:rsid w:val="00C824AA"/>
    <w:rsid w:val="00C824D4"/>
    <w:rsid w:val="00C829BF"/>
    <w:rsid w:val="00C83B31"/>
    <w:rsid w:val="00C92484"/>
    <w:rsid w:val="00C97C07"/>
    <w:rsid w:val="00C97D25"/>
    <w:rsid w:val="00CA08EA"/>
    <w:rsid w:val="00CA4848"/>
    <w:rsid w:val="00CA50FE"/>
    <w:rsid w:val="00CB3626"/>
    <w:rsid w:val="00CB3984"/>
    <w:rsid w:val="00CB41C5"/>
    <w:rsid w:val="00CB6B12"/>
    <w:rsid w:val="00CC085A"/>
    <w:rsid w:val="00CC214D"/>
    <w:rsid w:val="00CC2D9E"/>
    <w:rsid w:val="00CC390F"/>
    <w:rsid w:val="00CE1C7C"/>
    <w:rsid w:val="00CE2FF4"/>
    <w:rsid w:val="00CE5330"/>
    <w:rsid w:val="00CF66E9"/>
    <w:rsid w:val="00D11194"/>
    <w:rsid w:val="00D1145F"/>
    <w:rsid w:val="00D11744"/>
    <w:rsid w:val="00D12750"/>
    <w:rsid w:val="00D1513B"/>
    <w:rsid w:val="00D26CED"/>
    <w:rsid w:val="00D26D1F"/>
    <w:rsid w:val="00D30DD3"/>
    <w:rsid w:val="00D32D64"/>
    <w:rsid w:val="00D36FB4"/>
    <w:rsid w:val="00D376FF"/>
    <w:rsid w:val="00D456E2"/>
    <w:rsid w:val="00D567B5"/>
    <w:rsid w:val="00D56EE9"/>
    <w:rsid w:val="00D57B55"/>
    <w:rsid w:val="00D65343"/>
    <w:rsid w:val="00D844A5"/>
    <w:rsid w:val="00D84528"/>
    <w:rsid w:val="00D91651"/>
    <w:rsid w:val="00D92F43"/>
    <w:rsid w:val="00D939BB"/>
    <w:rsid w:val="00D9534F"/>
    <w:rsid w:val="00DA15B0"/>
    <w:rsid w:val="00DA1B21"/>
    <w:rsid w:val="00DB0BF9"/>
    <w:rsid w:val="00DB28A1"/>
    <w:rsid w:val="00DB4749"/>
    <w:rsid w:val="00DB6B2A"/>
    <w:rsid w:val="00DB7356"/>
    <w:rsid w:val="00DC06D3"/>
    <w:rsid w:val="00DC555C"/>
    <w:rsid w:val="00DD5678"/>
    <w:rsid w:val="00DD7C87"/>
    <w:rsid w:val="00DE7957"/>
    <w:rsid w:val="00DF1540"/>
    <w:rsid w:val="00DF50EE"/>
    <w:rsid w:val="00E05EE8"/>
    <w:rsid w:val="00E126C1"/>
    <w:rsid w:val="00E12D48"/>
    <w:rsid w:val="00E26A44"/>
    <w:rsid w:val="00E26D73"/>
    <w:rsid w:val="00E33792"/>
    <w:rsid w:val="00E36E0B"/>
    <w:rsid w:val="00E40328"/>
    <w:rsid w:val="00E40C76"/>
    <w:rsid w:val="00E426C6"/>
    <w:rsid w:val="00E42A9D"/>
    <w:rsid w:val="00E45D34"/>
    <w:rsid w:val="00E502B8"/>
    <w:rsid w:val="00E51A48"/>
    <w:rsid w:val="00E526EC"/>
    <w:rsid w:val="00E5434A"/>
    <w:rsid w:val="00E61BFD"/>
    <w:rsid w:val="00E72EE8"/>
    <w:rsid w:val="00E73EC8"/>
    <w:rsid w:val="00E764A9"/>
    <w:rsid w:val="00E8002B"/>
    <w:rsid w:val="00E86685"/>
    <w:rsid w:val="00E9271C"/>
    <w:rsid w:val="00E96992"/>
    <w:rsid w:val="00EA64CE"/>
    <w:rsid w:val="00EA797C"/>
    <w:rsid w:val="00EC3AFC"/>
    <w:rsid w:val="00EC74B4"/>
    <w:rsid w:val="00ED15F3"/>
    <w:rsid w:val="00ED1AEB"/>
    <w:rsid w:val="00ED1D9C"/>
    <w:rsid w:val="00ED352D"/>
    <w:rsid w:val="00ED46A2"/>
    <w:rsid w:val="00ED685F"/>
    <w:rsid w:val="00EE159E"/>
    <w:rsid w:val="00EE6903"/>
    <w:rsid w:val="00EF0715"/>
    <w:rsid w:val="00F064B5"/>
    <w:rsid w:val="00F16410"/>
    <w:rsid w:val="00F211C1"/>
    <w:rsid w:val="00F24D3E"/>
    <w:rsid w:val="00F32938"/>
    <w:rsid w:val="00F4138E"/>
    <w:rsid w:val="00F4293B"/>
    <w:rsid w:val="00F43A6A"/>
    <w:rsid w:val="00F471BD"/>
    <w:rsid w:val="00F62427"/>
    <w:rsid w:val="00F64A6C"/>
    <w:rsid w:val="00F64DDA"/>
    <w:rsid w:val="00F66127"/>
    <w:rsid w:val="00F71BD3"/>
    <w:rsid w:val="00F77752"/>
    <w:rsid w:val="00F81B2C"/>
    <w:rsid w:val="00FA6BBF"/>
    <w:rsid w:val="00FB2E85"/>
    <w:rsid w:val="00FB7FB6"/>
    <w:rsid w:val="00FC3891"/>
    <w:rsid w:val="00FD7DE0"/>
    <w:rsid w:val="00FE49BE"/>
    <w:rsid w:val="00FF5335"/>
    <w:rsid w:val="02E4C3F7"/>
    <w:rsid w:val="04F9CB71"/>
    <w:rsid w:val="08C1C807"/>
    <w:rsid w:val="0F8FF927"/>
    <w:rsid w:val="1C42384D"/>
    <w:rsid w:val="1C442EE9"/>
    <w:rsid w:val="1CA74FBD"/>
    <w:rsid w:val="2A24B801"/>
    <w:rsid w:val="2F31E73E"/>
    <w:rsid w:val="3DC056F2"/>
    <w:rsid w:val="4177AF0E"/>
    <w:rsid w:val="42C99FF2"/>
    <w:rsid w:val="4510AD93"/>
    <w:rsid w:val="47806EFA"/>
    <w:rsid w:val="49826EF8"/>
    <w:rsid w:val="511F003B"/>
    <w:rsid w:val="6881EB0D"/>
    <w:rsid w:val="71457F2E"/>
    <w:rsid w:val="7836F5F2"/>
    <w:rsid w:val="7994EBFF"/>
    <w:rsid w:val="7C8F64D8"/>
    <w:rsid w:val="7D97B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4BA19"/>
  <w15:chartTrackingRefBased/>
  <w15:docId w15:val="{16FD3D2A-0B03-40B1-84C9-8FAD9B51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paragraph" w:styleId="Heading2">
    <w:name w:val="heading 2"/>
    <w:basedOn w:val="Normal"/>
    <w:next w:val="Normal"/>
    <w:link w:val="Heading2Char"/>
    <w:qFormat/>
    <w:rsid w:val="00A77E9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aliases w:val=" Char, Char1,*Footnote Text,Char,Char1,ft"/>
    <w:basedOn w:val="Normal"/>
    <w:link w:val="FootnoteTextChar"/>
    <w:uiPriority w:val="99"/>
    <w:unhideWhenUsed/>
    <w:qFormat/>
    <w:rsid w:val="00E40328"/>
    <w:rPr>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E40328"/>
    <w:rPr>
      <w:rFonts w:ascii="Times New Roman" w:eastAsia="Times New Roman" w:hAnsi="Times New Roman" w:cs="Times New Roman"/>
      <w:sz w:val="20"/>
      <w:szCs w:val="20"/>
    </w:rPr>
  </w:style>
  <w:style w:type="character" w:styleId="FootnoteReference">
    <w:name w:val="footnote reference"/>
    <w:aliases w:val="*Footnote Reference,Number"/>
    <w:basedOn w:val="DefaultParagraphFont"/>
    <w:uiPriority w:val="99"/>
    <w:unhideWhenUsed/>
    <w:qFormat/>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 w:type="paragraph" w:styleId="Revision">
    <w:name w:val="Revision"/>
    <w:hidden/>
    <w:uiPriority w:val="99"/>
    <w:semiHidden/>
    <w:rsid w:val="0009341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6D34"/>
    <w:rPr>
      <w:sz w:val="16"/>
      <w:szCs w:val="16"/>
    </w:rPr>
  </w:style>
  <w:style w:type="paragraph" w:styleId="CommentText">
    <w:name w:val="annotation text"/>
    <w:basedOn w:val="Normal"/>
    <w:link w:val="CommentTextChar"/>
    <w:uiPriority w:val="99"/>
    <w:unhideWhenUsed/>
    <w:rsid w:val="00666D34"/>
    <w:rPr>
      <w:sz w:val="20"/>
      <w:szCs w:val="20"/>
    </w:rPr>
  </w:style>
  <w:style w:type="character" w:customStyle="1" w:styleId="CommentTextChar">
    <w:name w:val="Comment Text Char"/>
    <w:basedOn w:val="DefaultParagraphFont"/>
    <w:link w:val="CommentText"/>
    <w:uiPriority w:val="99"/>
    <w:rsid w:val="00666D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D34"/>
    <w:rPr>
      <w:b/>
      <w:bCs/>
    </w:rPr>
  </w:style>
  <w:style w:type="character" w:customStyle="1" w:styleId="CommentSubjectChar">
    <w:name w:val="Comment Subject Char"/>
    <w:basedOn w:val="CommentTextChar"/>
    <w:link w:val="CommentSubject"/>
    <w:uiPriority w:val="99"/>
    <w:semiHidden/>
    <w:rsid w:val="00666D34"/>
    <w:rPr>
      <w:rFonts w:ascii="Times New Roman" w:eastAsia="Times New Roman" w:hAnsi="Times New Roman" w:cs="Times New Roman"/>
      <w:b/>
      <w:bCs/>
      <w:sz w:val="20"/>
      <w:szCs w:val="20"/>
    </w:rPr>
  </w:style>
  <w:style w:type="table" w:styleId="TableGrid">
    <w:name w:val="Table Grid"/>
    <w:basedOn w:val="TableNormal"/>
    <w:uiPriority w:val="59"/>
    <w:rsid w:val="0059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45D34"/>
    <w:rPr>
      <w:color w:val="2B579A"/>
      <w:shd w:val="clear" w:color="auto" w:fill="E1DFDD"/>
    </w:rPr>
  </w:style>
  <w:style w:type="paragraph" w:customStyle="1" w:styleId="Level1">
    <w:name w:val="Level 1"/>
    <w:basedOn w:val="Normal"/>
    <w:rsid w:val="00864B0B"/>
    <w:pPr>
      <w:widowControl w:val="0"/>
      <w:autoSpaceDE w:val="0"/>
      <w:autoSpaceDN w:val="0"/>
      <w:adjustRightInd w:val="0"/>
      <w:ind w:left="360" w:hanging="360"/>
    </w:pPr>
  </w:style>
  <w:style w:type="character" w:customStyle="1" w:styleId="Heading2Char">
    <w:name w:val="Heading 2 Char"/>
    <w:basedOn w:val="DefaultParagraphFont"/>
    <w:link w:val="Heading2"/>
    <w:rsid w:val="00A77E9A"/>
    <w:rPr>
      <w:rFonts w:ascii="Arial" w:eastAsia="Times New Roman" w:hAnsi="Arial" w:cs="Arial"/>
      <w:b/>
      <w:bCs/>
      <w:i/>
      <w:iCs/>
      <w:sz w:val="28"/>
      <w:szCs w:val="28"/>
    </w:rPr>
  </w:style>
  <w:style w:type="character" w:styleId="Hyperlink">
    <w:name w:val="Hyperlink"/>
    <w:basedOn w:val="DefaultParagraphFont"/>
    <w:uiPriority w:val="99"/>
    <w:rsid w:val="001A6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31099-7A3A-4C47-A45E-63F9010A2286}">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Arceo, Darwin (JMD)</dc:creator>
  <cp:lastModifiedBy>Arceo, Darwin (JMD)</cp:lastModifiedBy>
  <cp:revision>2</cp:revision>
  <dcterms:created xsi:type="dcterms:W3CDTF">2025-08-14T19:00:00Z</dcterms:created>
  <dcterms:modified xsi:type="dcterms:W3CDTF">2025-08-14T19:00:00Z</dcterms:modified>
</cp:coreProperties>
</file>