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75D" w:rsidP="009E275D" w14:paraId="7E997F5A" w14:textId="639F38FC">
      <w:pPr>
        <w:pStyle w:val="Header"/>
        <w:jc w:val="center"/>
        <w:rPr>
          <w:bCs w:val="0"/>
          <w:sz w:val="24"/>
          <w:szCs w:val="24"/>
        </w:rPr>
      </w:pPr>
      <w:r w:rsidRPr="00AF030E">
        <w:rPr>
          <w:bCs w:val="0"/>
          <w:sz w:val="24"/>
          <w:szCs w:val="24"/>
        </w:rPr>
        <w:t>SUPPORTING STATEMENT FOR PAPERWORK REDUCTION ACT 1995</w:t>
      </w:r>
      <w:r w:rsidR="00976299">
        <w:rPr>
          <w:bCs w:val="0"/>
          <w:sz w:val="24"/>
          <w:szCs w:val="24"/>
        </w:rPr>
        <w:t>:</w:t>
      </w:r>
      <w:r w:rsidRPr="00AF030E">
        <w:rPr>
          <w:bCs w:val="0"/>
          <w:sz w:val="24"/>
          <w:szCs w:val="24"/>
        </w:rPr>
        <w:t xml:space="preserve"> </w:t>
      </w:r>
      <w:r w:rsidRPr="005D6B52" w:rsidR="005D6B52">
        <w:rPr>
          <w:bCs w:val="0"/>
          <w:iCs/>
          <w:sz w:val="24"/>
          <w:szCs w:val="24"/>
        </w:rPr>
        <w:t>PBM FEE DISCLOSURE REGULATION UNDER 408(B)(2)</w:t>
      </w:r>
    </w:p>
    <w:p w:rsidR="005B52AF" w:rsidP="00EF4861" w14:paraId="2E0D918C" w14:textId="05FCDFB6">
      <w:pPr>
        <w:pStyle w:val="Header"/>
        <w:tabs>
          <w:tab w:val="left" w:pos="3090"/>
        </w:tabs>
        <w:rPr>
          <w:bCs w:val="0"/>
          <w:sz w:val="24"/>
          <w:szCs w:val="24"/>
        </w:rPr>
      </w:pPr>
      <w:r>
        <w:rPr>
          <w:bCs w:val="0"/>
          <w:sz w:val="24"/>
          <w:szCs w:val="24"/>
        </w:rPr>
        <w:tab/>
      </w:r>
      <w:r>
        <w:rPr>
          <w:bCs w:val="0"/>
          <w:sz w:val="24"/>
          <w:szCs w:val="24"/>
        </w:rPr>
        <w:tab/>
      </w:r>
    </w:p>
    <w:p w:rsidR="00DF1552" w:rsidP="00DF1552" w14:paraId="72147476" w14:textId="55952F06">
      <w:pPr>
        <w:widowControl/>
        <w:autoSpaceDE/>
        <w:autoSpaceDN/>
        <w:adjustRightInd/>
        <w:ind w:left="720"/>
        <w:contextualSpacing/>
        <w:rPr>
          <w:rFonts w:eastAsiaTheme="minorHAnsi"/>
          <w:b w:val="0"/>
          <w:bCs w:val="0"/>
          <w:sz w:val="24"/>
          <w:szCs w:val="24"/>
        </w:rPr>
      </w:pPr>
      <w:r w:rsidRPr="00091346">
        <w:rPr>
          <w:sz w:val="24"/>
        </w:rPr>
        <w:t xml:space="preserve">This ICR seeks approval for </w:t>
      </w:r>
      <w:r w:rsidRPr="00091346" w:rsidR="00431DF5">
        <w:rPr>
          <w:sz w:val="24"/>
        </w:rPr>
        <w:t>a</w:t>
      </w:r>
      <w:r w:rsidRPr="00091346" w:rsidR="00F4250B">
        <w:rPr>
          <w:sz w:val="24"/>
        </w:rPr>
        <w:t xml:space="preserve"> </w:t>
      </w:r>
      <w:r w:rsidR="005D6B52">
        <w:rPr>
          <w:sz w:val="24"/>
        </w:rPr>
        <w:t xml:space="preserve">new control number. </w:t>
      </w:r>
    </w:p>
    <w:p w:rsidR="005B52AF" w:rsidRPr="00B172B1" w:rsidP="00B172B1" w14:paraId="542DE946" w14:textId="77777777"/>
    <w:p w:rsidR="00CE7EE9" w:rsidRPr="0045454F" w:rsidP="0005778D" w14:paraId="005AF6E1" w14:textId="7D9E7CDE">
      <w:pPr>
        <w:pStyle w:val="Heading1"/>
      </w:pPr>
      <w:r w:rsidRPr="0045454F">
        <w:t>A</w:t>
      </w:r>
      <w:r w:rsidRPr="0045454F">
        <w:t>.</w:t>
      </w:r>
      <w:r w:rsidR="00D309FC">
        <w:t xml:space="preserve"> </w:t>
      </w:r>
      <w:r w:rsidR="00F4250B">
        <w:tab/>
      </w:r>
      <w:r w:rsidRPr="0045454F">
        <w:t>JUSTIFICATION</w:t>
      </w:r>
    </w:p>
    <w:p w:rsidR="00CE7EE9" w:rsidRPr="0005778D" w:rsidP="0005778D" w14:paraId="3CBDBE0D" w14:textId="77777777"/>
    <w:p w:rsidR="00CE7EE9" w:rsidRPr="0057004B" w:rsidP="0057004B" w14:paraId="5630C7EC" w14:textId="27A63208">
      <w:pPr>
        <w:pStyle w:val="Heading1"/>
        <w:numPr>
          <w:ilvl w:val="0"/>
          <w:numId w:val="37"/>
        </w:numPr>
        <w:rPr>
          <w:rStyle w:val="Emphasis"/>
          <w:i w:val="0"/>
          <w:szCs w:val="24"/>
        </w:rPr>
      </w:pPr>
      <w:r w:rsidRPr="00C20D2D">
        <w:rPr>
          <w:iCs/>
          <w:szCs w:val="24"/>
        </w:rPr>
        <w:t>Explain the circumstances that make the collection of information necessary.</w:t>
      </w:r>
      <w:r w:rsidR="00D309FC">
        <w:rPr>
          <w:iCs/>
          <w:szCs w:val="24"/>
        </w:rPr>
        <w:t xml:space="preserve"> </w:t>
      </w:r>
      <w:r w:rsidRPr="0057004B">
        <w:rPr>
          <w:iCs/>
          <w:szCs w:val="24"/>
        </w:rPr>
        <w:t>Identify any legal or administrative requirements that necessitate the collection.</w:t>
      </w:r>
      <w:r w:rsidRPr="0057004B" w:rsidR="00D309FC">
        <w:rPr>
          <w:iCs/>
          <w:szCs w:val="24"/>
        </w:rPr>
        <w:t xml:space="preserve"> </w:t>
      </w:r>
      <w:r w:rsidRPr="0057004B">
        <w:rPr>
          <w:iCs/>
          <w:szCs w:val="24"/>
        </w:rPr>
        <w:t>Attach a copy of the appropriate section of each statute and regulation mandating or authorizing the collection of information.</w:t>
      </w:r>
    </w:p>
    <w:p w:rsidR="000F3328" w:rsidP="00AE57A2" w14:paraId="287290BD" w14:textId="77777777">
      <w:pPr>
        <w:pStyle w:val="Quick1"/>
        <w:widowControl/>
        <w:numPr>
          <w:ilvl w:val="0"/>
          <w:numId w:val="0"/>
        </w:numPr>
        <w:tabs>
          <w:tab w:val="left" w:pos="-1440"/>
        </w:tabs>
        <w:ind w:left="720" w:hanging="720"/>
        <w:rPr>
          <w:rStyle w:val="footnoteref"/>
          <w:b w:val="0"/>
          <w:sz w:val="24"/>
          <w:szCs w:val="24"/>
        </w:rPr>
      </w:pPr>
    </w:p>
    <w:p w:rsidR="008504E7" w:rsidRPr="008504E7" w:rsidP="008504E7" w14:paraId="24892C0C" w14:textId="5761CAFA">
      <w:pPr>
        <w:pStyle w:val="Quick1"/>
        <w:numPr>
          <w:ilvl w:val="0"/>
          <w:numId w:val="0"/>
        </w:numPr>
        <w:tabs>
          <w:tab w:val="left" w:pos="-1440"/>
        </w:tabs>
        <w:ind w:left="720" w:hanging="720"/>
        <w:rPr>
          <w:rFonts w:eastAsia="SimSun"/>
          <w:b w:val="0"/>
          <w:bCs w:val="0"/>
          <w:sz w:val="24"/>
          <w:szCs w:val="24"/>
          <w:lang w:eastAsia="zh-CN"/>
        </w:rPr>
      </w:pPr>
      <w:r>
        <w:rPr>
          <w:rFonts w:eastAsia="SimSun"/>
          <w:b w:val="0"/>
          <w:bCs w:val="0"/>
          <w:sz w:val="24"/>
          <w:szCs w:val="24"/>
          <w:lang w:eastAsia="zh-CN"/>
        </w:rPr>
        <w:tab/>
      </w:r>
      <w:r w:rsidRPr="008504E7">
        <w:rPr>
          <w:rFonts w:eastAsia="SimSun"/>
          <w:b w:val="0"/>
          <w:bCs w:val="0"/>
          <w:sz w:val="24"/>
          <w:szCs w:val="24"/>
          <w:lang w:eastAsia="zh-CN"/>
        </w:rPr>
        <w:t xml:space="preserve">In Executive Order 14273, </w:t>
      </w:r>
      <w:r w:rsidRPr="008504E7">
        <w:rPr>
          <w:rFonts w:eastAsia="SimSun"/>
          <w:b w:val="0"/>
          <w:bCs w:val="0"/>
          <w:i/>
          <w:iCs/>
          <w:sz w:val="24"/>
          <w:szCs w:val="24"/>
          <w:lang w:eastAsia="zh-CN"/>
        </w:rPr>
        <w:t>Lowering Drug Prices by Once Again Putting Americans First</w:t>
      </w:r>
      <w:r w:rsidRPr="008504E7">
        <w:rPr>
          <w:rFonts w:eastAsia="SimSun"/>
          <w:b w:val="0"/>
          <w:bCs w:val="0"/>
          <w:sz w:val="24"/>
          <w:szCs w:val="24"/>
          <w:lang w:eastAsia="zh-CN"/>
        </w:rPr>
        <w:t>, President Trump instructed the Department to propose regulations to improve employer health plan transparency into the direct and indirect compensation received by pharmacy benefit managers.</w:t>
      </w:r>
      <w:r>
        <w:rPr>
          <w:rFonts w:eastAsia="SimSun"/>
          <w:b w:val="0"/>
          <w:bCs w:val="0"/>
          <w:sz w:val="24"/>
          <w:szCs w:val="24"/>
          <w:vertAlign w:val="superscript"/>
          <w:lang w:eastAsia="zh-CN"/>
        </w:rPr>
        <w:footnoteReference w:id="3"/>
      </w:r>
      <w:r w:rsidRPr="008504E7">
        <w:rPr>
          <w:rFonts w:eastAsia="SimSun"/>
          <w:b w:val="0"/>
          <w:bCs w:val="0"/>
          <w:sz w:val="24"/>
          <w:szCs w:val="24"/>
          <w:lang w:eastAsia="zh-CN"/>
        </w:rPr>
        <w:t xml:space="preserve"> Businesses that provide pharmacy benefit management services (hereinafter “PBMs” unless otherwise specified) to ERISA-covered self-insured group health plans have acquired significant influence over prescription drug costs in recent years. By addressing the influence of PBMs and promoting transparent pricing, President Trump’s Executive Order aims to create a fairer and more competitive prescription drug market that lowers costs and ensures accountability across the health care system.</w:t>
      </w:r>
      <w:r>
        <w:rPr>
          <w:rFonts w:eastAsia="SimSun"/>
          <w:b w:val="0"/>
          <w:bCs w:val="0"/>
          <w:sz w:val="24"/>
          <w:szCs w:val="24"/>
          <w:vertAlign w:val="superscript"/>
          <w:lang w:eastAsia="zh-CN"/>
        </w:rPr>
        <w:footnoteReference w:id="4"/>
      </w:r>
      <w:r w:rsidRPr="008504E7">
        <w:rPr>
          <w:rFonts w:eastAsia="SimSun"/>
          <w:b w:val="0"/>
          <w:bCs w:val="0"/>
          <w:sz w:val="24"/>
          <w:szCs w:val="24"/>
          <w:lang w:eastAsia="zh-CN"/>
        </w:rPr>
        <w:t xml:space="preserve"> This proposed rule responding to those directives is only one component of the Trump Administration’s larger initiative to address rising health care costs.</w:t>
      </w:r>
      <w:r>
        <w:rPr>
          <w:rFonts w:eastAsia="SimSun"/>
          <w:b w:val="0"/>
          <w:bCs w:val="0"/>
          <w:sz w:val="24"/>
          <w:szCs w:val="24"/>
          <w:vertAlign w:val="superscript"/>
          <w:lang w:eastAsia="zh-CN"/>
        </w:rPr>
        <w:footnoteReference w:id="5"/>
      </w:r>
      <w:r w:rsidRPr="008504E7">
        <w:rPr>
          <w:rFonts w:eastAsia="SimSun"/>
          <w:b w:val="0"/>
          <w:bCs w:val="0"/>
          <w:sz w:val="24"/>
          <w:szCs w:val="24"/>
          <w:lang w:eastAsia="zh-CN"/>
        </w:rPr>
        <w:t xml:space="preserve"> </w:t>
      </w:r>
    </w:p>
    <w:p w:rsidR="008504E7" w:rsidP="008504E7" w14:paraId="796D4119" w14:textId="77777777">
      <w:pPr>
        <w:pStyle w:val="Quick1"/>
        <w:numPr>
          <w:ilvl w:val="0"/>
          <w:numId w:val="0"/>
        </w:numPr>
        <w:tabs>
          <w:tab w:val="left" w:pos="-1440"/>
        </w:tabs>
        <w:ind w:left="720"/>
        <w:rPr>
          <w:rFonts w:eastAsia="SimSun"/>
          <w:b w:val="0"/>
          <w:bCs w:val="0"/>
          <w:sz w:val="24"/>
          <w:szCs w:val="24"/>
          <w:lang w:eastAsia="zh-CN"/>
        </w:rPr>
      </w:pPr>
    </w:p>
    <w:p w:rsidR="008504E7" w:rsidRPr="008504E7" w:rsidP="008504E7" w14:paraId="3D6B81C1" w14:textId="5DB4BAC0">
      <w:pPr>
        <w:pStyle w:val="Quick1"/>
        <w:numPr>
          <w:ilvl w:val="0"/>
          <w:numId w:val="0"/>
        </w:numPr>
        <w:tabs>
          <w:tab w:val="left" w:pos="-1440"/>
        </w:tabs>
        <w:ind w:left="720"/>
        <w:rPr>
          <w:rFonts w:eastAsia="SimSun"/>
          <w:b w:val="0"/>
          <w:bCs w:val="0"/>
          <w:sz w:val="24"/>
          <w:szCs w:val="24"/>
          <w:lang w:eastAsia="zh-CN"/>
        </w:rPr>
      </w:pPr>
      <w:r w:rsidRPr="008504E7">
        <w:rPr>
          <w:rFonts w:eastAsia="SimSun"/>
          <w:b w:val="0"/>
          <w:bCs w:val="0"/>
          <w:sz w:val="24"/>
          <w:szCs w:val="24"/>
          <w:lang w:eastAsia="zh-CN"/>
        </w:rPr>
        <w:t>PBMs are described as the “middlemen” in the pharmaceutical supply chain.</w:t>
      </w:r>
      <w:r>
        <w:rPr>
          <w:rFonts w:eastAsia="SimSun"/>
          <w:b w:val="0"/>
          <w:bCs w:val="0"/>
          <w:sz w:val="24"/>
          <w:szCs w:val="24"/>
          <w:vertAlign w:val="superscript"/>
          <w:lang w:eastAsia="zh-CN"/>
        </w:rPr>
        <w:footnoteReference w:id="6"/>
      </w:r>
      <w:r w:rsidRPr="008504E7">
        <w:rPr>
          <w:rFonts w:eastAsia="SimSun"/>
          <w:b w:val="0"/>
          <w:bCs w:val="0"/>
          <w:sz w:val="24"/>
          <w:szCs w:val="24"/>
          <w:lang w:eastAsia="zh-CN"/>
        </w:rPr>
        <w:t xml:space="preserve"> For ERISA-covered self-insured group health plans, PBMs perform a wide range of services including, but not limited to, organizing pharmacy networks, negotiating pharmacy reimbursement amounts and drug rebates, establishing drug formularies,</w:t>
      </w:r>
      <w:r>
        <w:rPr>
          <w:rFonts w:eastAsia="SimSun"/>
          <w:b w:val="0"/>
          <w:bCs w:val="0"/>
          <w:sz w:val="24"/>
          <w:szCs w:val="24"/>
          <w:vertAlign w:val="superscript"/>
          <w:lang w:eastAsia="zh-CN"/>
        </w:rPr>
        <w:footnoteReference w:id="7"/>
      </w:r>
      <w:r w:rsidRPr="008504E7">
        <w:rPr>
          <w:rFonts w:eastAsia="SimSun"/>
          <w:b w:val="0"/>
          <w:bCs w:val="0"/>
          <w:sz w:val="24"/>
          <w:szCs w:val="24"/>
          <w:lang w:eastAsia="zh-CN"/>
        </w:rPr>
        <w:t xml:space="preserve"> and processing claims. In connection with these services, PBMs receive compensation from self-insured group health plans as well as other sources in the pharmaceutical supply chain. Self-insured group health plan sponsors and other fiduciaries who are responsible for </w:t>
      </w:r>
      <w:r w:rsidRPr="008504E7">
        <w:rPr>
          <w:rFonts w:eastAsia="SimSun"/>
          <w:b w:val="0"/>
          <w:bCs w:val="0"/>
          <w:sz w:val="24"/>
          <w:szCs w:val="24"/>
          <w:lang w:eastAsia="zh-CN"/>
        </w:rPr>
        <w:t>prudently selecting and monitoring service providers (referred to herein as “responsible plan fiduciaries”) also commonly rely on brokers or consultants to help them with advice, recommendations, and referrals regarding pharmacy benefit management services.</w:t>
      </w:r>
      <w:r>
        <w:rPr>
          <w:rFonts w:eastAsia="SimSun"/>
          <w:b w:val="0"/>
          <w:bCs w:val="0"/>
          <w:sz w:val="24"/>
          <w:szCs w:val="24"/>
          <w:vertAlign w:val="superscript"/>
          <w:lang w:eastAsia="zh-CN"/>
        </w:rPr>
        <w:footnoteReference w:id="8"/>
      </w:r>
      <w:r w:rsidRPr="008504E7">
        <w:rPr>
          <w:rFonts w:eastAsia="SimSun"/>
          <w:b w:val="0"/>
          <w:bCs w:val="0"/>
          <w:sz w:val="24"/>
          <w:szCs w:val="24"/>
          <w:lang w:eastAsia="zh-CN"/>
        </w:rPr>
        <w:t xml:space="preserve"> The brokers or consultants may, in some cases, be affiliated with a PBM, and they also may receive compensation from sources other than self-insured group health plans.</w:t>
      </w:r>
    </w:p>
    <w:p w:rsidR="008504E7" w:rsidP="008504E7" w14:paraId="7E73BAC2" w14:textId="77777777">
      <w:pPr>
        <w:pStyle w:val="Quick1"/>
        <w:numPr>
          <w:ilvl w:val="0"/>
          <w:numId w:val="0"/>
        </w:numPr>
        <w:tabs>
          <w:tab w:val="left" w:pos="-1440"/>
        </w:tabs>
        <w:ind w:left="720"/>
        <w:rPr>
          <w:rFonts w:eastAsia="SimSun"/>
          <w:b w:val="0"/>
          <w:bCs w:val="0"/>
          <w:sz w:val="24"/>
          <w:szCs w:val="24"/>
          <w:lang w:eastAsia="zh-CN"/>
        </w:rPr>
      </w:pPr>
    </w:p>
    <w:p w:rsidR="008504E7" w:rsidRPr="008504E7" w:rsidP="008504E7" w14:paraId="605DA832" w14:textId="0D011AF4">
      <w:pPr>
        <w:pStyle w:val="Quick1"/>
        <w:numPr>
          <w:ilvl w:val="0"/>
          <w:numId w:val="0"/>
        </w:numPr>
        <w:tabs>
          <w:tab w:val="left" w:pos="-1440"/>
        </w:tabs>
        <w:ind w:left="720"/>
        <w:rPr>
          <w:rFonts w:eastAsia="SimSun"/>
          <w:b w:val="0"/>
          <w:bCs w:val="0"/>
          <w:sz w:val="24"/>
          <w:szCs w:val="24"/>
          <w:lang w:eastAsia="zh-CN"/>
        </w:rPr>
      </w:pPr>
      <w:r w:rsidRPr="008504E7">
        <w:rPr>
          <w:rFonts w:eastAsia="SimSun"/>
          <w:b w:val="0"/>
          <w:bCs w:val="0"/>
          <w:sz w:val="24"/>
          <w:szCs w:val="24"/>
          <w:lang w:eastAsia="zh-CN"/>
        </w:rPr>
        <w:t>Concerns have existed for many years that PBMs, including in their capacities as brokers and consultants with respect to pharmacy benefit management services, are not fully disclosing their compensation to the responsible plan fiduciaries. These concerns prompted the ERISA Advisory Council to recommend that the Department consider extending its service provider disclosure regulation to require specific disclosures by PBMs.</w:t>
      </w:r>
      <w:r>
        <w:rPr>
          <w:rFonts w:eastAsia="SimSun"/>
          <w:b w:val="0"/>
          <w:bCs w:val="0"/>
          <w:sz w:val="24"/>
          <w:szCs w:val="24"/>
          <w:vertAlign w:val="superscript"/>
          <w:lang w:eastAsia="zh-CN"/>
        </w:rPr>
        <w:footnoteReference w:id="9"/>
      </w:r>
      <w:r w:rsidRPr="008504E7">
        <w:rPr>
          <w:rFonts w:eastAsia="SimSun"/>
          <w:b w:val="0"/>
          <w:bCs w:val="0"/>
          <w:sz w:val="24"/>
          <w:szCs w:val="24"/>
          <w:lang w:eastAsia="zh-CN"/>
        </w:rPr>
        <w:t xml:space="preserve"> In addition, in 2020, Congress amended ERISA’s statutory service provider exemption to add a provision addressing disclosure by brokers and consultants to group health plans’ responsible plan fiduciaries.</w:t>
      </w:r>
      <w:r>
        <w:rPr>
          <w:rFonts w:eastAsia="SimSun"/>
          <w:b w:val="0"/>
          <w:bCs w:val="0"/>
          <w:sz w:val="24"/>
          <w:szCs w:val="24"/>
          <w:vertAlign w:val="superscript"/>
          <w:lang w:eastAsia="zh-CN"/>
        </w:rPr>
        <w:footnoteReference w:id="10"/>
      </w:r>
      <w:r w:rsidRPr="008504E7">
        <w:rPr>
          <w:rFonts w:eastAsia="SimSun"/>
          <w:b w:val="0"/>
          <w:bCs w:val="0"/>
          <w:sz w:val="24"/>
          <w:szCs w:val="24"/>
          <w:lang w:eastAsia="zh-CN"/>
        </w:rPr>
        <w:t xml:space="preserve"> </w:t>
      </w:r>
    </w:p>
    <w:p w:rsidR="008504E7" w:rsidP="008504E7" w14:paraId="03ECA6C3" w14:textId="77777777">
      <w:pPr>
        <w:pStyle w:val="Quick1"/>
        <w:numPr>
          <w:ilvl w:val="0"/>
          <w:numId w:val="0"/>
        </w:numPr>
        <w:tabs>
          <w:tab w:val="left" w:pos="-1440"/>
        </w:tabs>
        <w:ind w:left="720" w:hanging="720"/>
        <w:rPr>
          <w:rFonts w:eastAsia="SimSun"/>
          <w:b w:val="0"/>
          <w:bCs w:val="0"/>
          <w:sz w:val="24"/>
          <w:szCs w:val="24"/>
          <w:lang w:eastAsia="zh-CN"/>
        </w:rPr>
      </w:pPr>
      <w:r>
        <w:rPr>
          <w:rFonts w:eastAsia="SimSun"/>
          <w:b w:val="0"/>
          <w:bCs w:val="0"/>
          <w:sz w:val="24"/>
          <w:szCs w:val="24"/>
          <w:lang w:eastAsia="zh-CN"/>
        </w:rPr>
        <w:tab/>
      </w:r>
    </w:p>
    <w:p w:rsidR="008504E7" w:rsidRPr="008504E7" w:rsidP="008504E7" w14:paraId="040A7343" w14:textId="28C63812">
      <w:pPr>
        <w:pStyle w:val="Quick1"/>
        <w:numPr>
          <w:ilvl w:val="0"/>
          <w:numId w:val="0"/>
        </w:numPr>
        <w:tabs>
          <w:tab w:val="left" w:pos="-1440"/>
        </w:tabs>
        <w:ind w:left="720" w:hanging="720"/>
        <w:rPr>
          <w:rFonts w:eastAsia="SimSun"/>
          <w:b w:val="0"/>
          <w:bCs w:val="0"/>
          <w:sz w:val="24"/>
          <w:szCs w:val="24"/>
          <w:lang w:eastAsia="zh-CN"/>
        </w:rPr>
      </w:pPr>
      <w:r>
        <w:rPr>
          <w:rFonts w:eastAsia="SimSun"/>
          <w:b w:val="0"/>
          <w:bCs w:val="0"/>
          <w:sz w:val="24"/>
          <w:szCs w:val="24"/>
          <w:lang w:eastAsia="zh-CN"/>
        </w:rPr>
        <w:tab/>
      </w:r>
      <w:r w:rsidRPr="008504E7">
        <w:rPr>
          <w:rFonts w:eastAsia="SimSun"/>
          <w:b w:val="0"/>
          <w:bCs w:val="0"/>
          <w:sz w:val="24"/>
          <w:szCs w:val="24"/>
          <w:lang w:eastAsia="zh-CN"/>
        </w:rPr>
        <w:t xml:space="preserve">The Department’s proposed regulation is intended to provide much needed transparency into contracts and arrangements with PBMs and affiliated brokers and consultants so that the responsible plan fiduciaries of ERISA-covered self-insured group health plans can better fulfill their statutorily mandated role to determine that the service contracts or arrangements are reasonable. Under the Department’s proposed </w:t>
      </w:r>
      <w:r w:rsidRPr="008504E7">
        <w:rPr>
          <w:rFonts w:eastAsia="SimSun"/>
          <w:b w:val="0"/>
          <w:bCs w:val="0"/>
          <w:sz w:val="24"/>
          <w:szCs w:val="24"/>
          <w:lang w:eastAsia="zh-CN"/>
        </w:rPr>
        <w:t>regulation</w:t>
      </w:r>
      <w:r w:rsidRPr="008504E7">
        <w:rPr>
          <w:rFonts w:eastAsia="SimSun"/>
          <w:b w:val="0"/>
          <w:bCs w:val="0"/>
          <w:sz w:val="24"/>
          <w:szCs w:val="24"/>
          <w:lang w:eastAsia="zh-CN"/>
        </w:rPr>
        <w:t xml:space="preserve">, these service providers would be required to provide robust disclosures to responsible plan fiduciaries of self-insured group health plans regarding their compensation for such services, including the advance disclosure of compensation they reasonably expect to receive. The proposed regulation also includes audit provisions designed to ensure that the </w:t>
      </w:r>
      <w:r w:rsidRPr="008504E7">
        <w:rPr>
          <w:rFonts w:eastAsia="SimSun"/>
          <w:b w:val="0"/>
          <w:bCs w:val="0"/>
          <w:sz w:val="24"/>
          <w:szCs w:val="24"/>
          <w:lang w:eastAsia="zh-CN"/>
        </w:rPr>
        <w:t>responsible plan fiduciaries</w:t>
      </w:r>
      <w:r w:rsidRPr="008504E7">
        <w:rPr>
          <w:rFonts w:eastAsia="SimSun"/>
          <w:b w:val="0"/>
          <w:bCs w:val="0"/>
          <w:sz w:val="24"/>
          <w:szCs w:val="24"/>
          <w:lang w:eastAsia="zh-CN"/>
        </w:rPr>
        <w:t xml:space="preserve"> </w:t>
      </w:r>
      <w:r w:rsidRPr="008504E7">
        <w:rPr>
          <w:rFonts w:eastAsia="SimSun"/>
          <w:b w:val="0"/>
          <w:bCs w:val="0"/>
          <w:sz w:val="24"/>
          <w:szCs w:val="24"/>
          <w:lang w:eastAsia="zh-CN"/>
        </w:rPr>
        <w:t>of</w:t>
      </w:r>
      <w:r w:rsidRPr="008504E7">
        <w:rPr>
          <w:rFonts w:eastAsia="SimSun"/>
          <w:b w:val="0"/>
          <w:bCs w:val="0"/>
          <w:sz w:val="24"/>
          <w:szCs w:val="24"/>
          <w:lang w:eastAsia="zh-CN"/>
        </w:rPr>
        <w:t xml:space="preserve"> self-insured group health plans can verify the accuracy of the disclosures. The responsible plan fiduciaries would be able to use the disclosures in their process of selecting a provider of pharmacy benefit management services, engaging an affiliated broker or consultant, monitoring these service providers’ operations and compliance with contractual obligations, </w:t>
      </w:r>
      <w:r w:rsidRPr="008504E7">
        <w:rPr>
          <w:rFonts w:eastAsia="SimSun"/>
          <w:b w:val="0"/>
          <w:bCs w:val="0"/>
          <w:sz w:val="24"/>
          <w:szCs w:val="24"/>
          <w:lang w:eastAsia="zh-CN"/>
        </w:rPr>
        <w:t>and also</w:t>
      </w:r>
      <w:r w:rsidRPr="008504E7">
        <w:rPr>
          <w:rFonts w:eastAsia="SimSun"/>
          <w:b w:val="0"/>
          <w:bCs w:val="0"/>
          <w:sz w:val="24"/>
          <w:szCs w:val="24"/>
          <w:lang w:eastAsia="zh-CN"/>
        </w:rPr>
        <w:t xml:space="preserve"> in analyzing the drivers of prescription drug costs. </w:t>
      </w:r>
    </w:p>
    <w:p w:rsidR="00662510" w:rsidRPr="00594B94" w:rsidP="003501DC" w14:paraId="6FC41366" w14:textId="49CB8B65">
      <w:pPr>
        <w:pStyle w:val="Quick1"/>
        <w:widowControl/>
        <w:numPr>
          <w:ilvl w:val="0"/>
          <w:numId w:val="0"/>
        </w:numPr>
        <w:tabs>
          <w:tab w:val="left" w:pos="-1440"/>
        </w:tabs>
        <w:rPr>
          <w:rStyle w:val="footnoteref"/>
          <w:b w:val="0"/>
          <w:sz w:val="24"/>
          <w:szCs w:val="24"/>
        </w:rPr>
      </w:pPr>
    </w:p>
    <w:p w:rsidR="00312DD7" w:rsidRPr="00C20D2D" w:rsidP="0057004B" w14:paraId="5333F6B5" w14:textId="5348BF6E">
      <w:pPr>
        <w:pStyle w:val="Heading1"/>
        <w:numPr>
          <w:ilvl w:val="0"/>
          <w:numId w:val="37"/>
        </w:numPr>
      </w:pPr>
      <w:r w:rsidRPr="00C20D2D">
        <w:t>Indicate how, by whom, and for what purpose the information is to be used.</w:t>
      </w:r>
      <w:r w:rsidR="00D309FC">
        <w:t xml:space="preserve"> </w:t>
      </w:r>
      <w:r w:rsidRPr="00C20D2D" w:rsidR="00540514">
        <w:t>Except for a new collection, indicate the actual use the agency has made of the information received from the current collection.</w:t>
      </w:r>
    </w:p>
    <w:p w:rsidR="00AA1E33" w:rsidP="00A513F6" w14:paraId="0B8C6442" w14:textId="77777777">
      <w:pPr>
        <w:pStyle w:val="Quick1"/>
        <w:widowControl/>
        <w:numPr>
          <w:ilvl w:val="0"/>
          <w:numId w:val="0"/>
        </w:numPr>
        <w:ind w:left="720" w:hanging="720"/>
        <w:rPr>
          <w:b w:val="0"/>
          <w:sz w:val="24"/>
          <w:szCs w:val="24"/>
        </w:rPr>
      </w:pPr>
    </w:p>
    <w:p w:rsidR="00D54D7C" w:rsidRPr="00D54D7C" w:rsidP="00D54D7C" w14:paraId="67DE2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D54D7C">
        <w:rPr>
          <w:b w:val="0"/>
          <w:bCs w:val="0"/>
          <w:sz w:val="24"/>
        </w:rPr>
        <w:t xml:space="preserve">The proposed regulation would require covered service providers to disclose information to responsible plan fiduciaries of group health plans regarding services and compensation in connection with the service contracts or arrangements with the plan. Covered service providers under the proposal are (i) providers of pharmacy benefit management services and (ii) </w:t>
      </w:r>
      <w:r w:rsidRPr="00D54D7C">
        <w:rPr>
          <w:b w:val="0"/>
          <w:sz w:val="24"/>
        </w:rPr>
        <w:t>providers of advice, recommendations, or referrals (</w:t>
      </w:r>
      <w:r w:rsidRPr="00D54D7C">
        <w:rPr>
          <w:b w:val="0"/>
          <w:i/>
          <w:iCs/>
          <w:sz w:val="24"/>
        </w:rPr>
        <w:t>e.g.,</w:t>
      </w:r>
      <w:r w:rsidRPr="00D54D7C">
        <w:rPr>
          <w:b w:val="0"/>
          <w:sz w:val="24"/>
        </w:rPr>
        <w:t xml:space="preserve"> brokers and consultants) regarding pharmacy benefit management services who are themselves providers of pharmacy benefit management services or their affiliates.</w:t>
      </w:r>
    </w:p>
    <w:p w:rsidR="00D54D7C" w:rsidRPr="00D54D7C" w:rsidP="00D54D7C" w14:paraId="4F90F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bCs w:val="0"/>
          <w:sz w:val="24"/>
        </w:rPr>
      </w:pPr>
    </w:p>
    <w:p w:rsidR="00D54D7C" w:rsidRPr="00D54D7C" w:rsidP="00D54D7C" w14:paraId="06D03B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b w:val="0"/>
          <w:bCs w:val="0"/>
          <w:sz w:val="24"/>
        </w:rPr>
      </w:pPr>
      <w:r w:rsidRPr="00D54D7C">
        <w:rPr>
          <w:b w:val="0"/>
          <w:bCs w:val="0"/>
          <w:sz w:val="24"/>
        </w:rPr>
        <w:t>The three main components of the proposed regulation are: (i) initial disclosure requirements; (ii) semiannual disclosure requirements; and (iii) requirements designed to preserve the group health plans’ abilities to audit such disclosures. Additionally, the proposal includes a proposed prohibited transaction class exemption for responsible plan fiduciaries acting in good faith in the event the covered service provider fail</w:t>
      </w:r>
      <w:r w:rsidRPr="00D54D7C">
        <w:rPr>
          <w:b w:val="0"/>
          <w:sz w:val="24"/>
        </w:rPr>
        <w:t>s</w:t>
      </w:r>
      <w:r w:rsidRPr="00D54D7C">
        <w:rPr>
          <w:b w:val="0"/>
          <w:bCs w:val="0"/>
          <w:sz w:val="24"/>
        </w:rPr>
        <w:t xml:space="preserve"> to comply with the regulation. </w:t>
      </w:r>
    </w:p>
    <w:p w:rsidR="00D54D7C" w:rsidRPr="00D54D7C" w:rsidP="00D54D7C" w14:paraId="7D953272" w14:textId="77777777">
      <w:pPr>
        <w:widowControl/>
        <w:autoSpaceDE/>
        <w:autoSpaceDN/>
        <w:adjustRightInd/>
        <w:ind w:left="720"/>
        <w:rPr>
          <w:b w:val="0"/>
          <w:bCs w:val="0"/>
          <w:sz w:val="24"/>
        </w:rPr>
      </w:pPr>
    </w:p>
    <w:p w:rsidR="00D54D7C" w:rsidRPr="00D54D7C" w:rsidP="00D54D7C" w14:paraId="5FBD4336" w14:textId="1B629B12">
      <w:pPr>
        <w:widowControl/>
        <w:autoSpaceDE/>
        <w:autoSpaceDN/>
        <w:adjustRightInd/>
        <w:ind w:left="720"/>
        <w:rPr>
          <w:b w:val="0"/>
          <w:sz w:val="24"/>
        </w:rPr>
      </w:pPr>
      <w:r w:rsidRPr="00D54D7C">
        <w:rPr>
          <w:b w:val="0"/>
          <w:bCs w:val="0"/>
          <w:sz w:val="24"/>
        </w:rPr>
        <w:t>The proposed regulation would require disclosures only to self-insured group health plans. The proposal reserves disclosure obligations with respect to fully insured group health plans for future action. This approach was taken based on t</w:t>
      </w:r>
      <w:r w:rsidRPr="00D54D7C">
        <w:rPr>
          <w:b w:val="0"/>
          <w:sz w:val="24"/>
        </w:rPr>
        <w:t xml:space="preserve">he preliminary view that responsible plan fiduciaries may focus on different considerations when contracting with an insurance company for health insurance coverage that integrates prescription drug coverage, as opposed to self-funding medical care and contracting on an unbundled basis for pharmacy benefit management services. </w:t>
      </w:r>
    </w:p>
    <w:p w:rsidR="00D54D7C" w:rsidRPr="00D54D7C" w:rsidP="00D54D7C" w14:paraId="7AC85BEF" w14:textId="77777777">
      <w:pPr>
        <w:widowControl/>
        <w:autoSpaceDE/>
        <w:autoSpaceDN/>
        <w:adjustRightInd/>
        <w:rPr>
          <w:b w:val="0"/>
          <w:sz w:val="24"/>
        </w:rPr>
      </w:pPr>
    </w:p>
    <w:p w:rsidR="00D54D7C" w:rsidRPr="00AD6FB0" w:rsidP="00AD6FB0" w14:paraId="737BE08C" w14:textId="137E0816">
      <w:pPr>
        <w:pStyle w:val="ListParagraph"/>
        <w:widowControl/>
        <w:numPr>
          <w:ilvl w:val="0"/>
          <w:numId w:val="46"/>
        </w:numPr>
        <w:autoSpaceDE/>
        <w:autoSpaceDN/>
        <w:adjustRightInd/>
        <w:rPr>
          <w:bCs w:val="0"/>
          <w:sz w:val="24"/>
          <w:u w:val="single"/>
        </w:rPr>
      </w:pPr>
      <w:r w:rsidRPr="00AD6FB0">
        <w:rPr>
          <w:bCs w:val="0"/>
          <w:sz w:val="24"/>
          <w:u w:val="single"/>
        </w:rPr>
        <w:t>Initial Disclosures</w:t>
      </w:r>
    </w:p>
    <w:p w:rsidR="00D54D7C" w:rsidRPr="00D54D7C" w:rsidP="00D54D7C" w14:paraId="72625D75" w14:textId="77777777">
      <w:pPr>
        <w:widowControl/>
        <w:autoSpaceDE/>
        <w:autoSpaceDN/>
        <w:adjustRightInd/>
        <w:ind w:left="1080"/>
        <w:contextualSpacing/>
        <w:rPr>
          <w:b w:val="0"/>
          <w:i/>
          <w:iCs/>
          <w:sz w:val="24"/>
        </w:rPr>
      </w:pPr>
    </w:p>
    <w:p w:rsidR="00D54D7C" w:rsidRPr="00D54D7C" w:rsidP="00D54D7C" w14:paraId="42A8426C" w14:textId="1C385591">
      <w:pPr>
        <w:widowControl/>
        <w:autoSpaceDE/>
        <w:autoSpaceDN/>
        <w:adjustRightInd/>
        <w:ind w:left="720"/>
        <w:rPr>
          <w:b w:val="0"/>
          <w:bCs w:val="0"/>
          <w:sz w:val="24"/>
        </w:rPr>
      </w:pPr>
      <w:r w:rsidRPr="00D54D7C">
        <w:rPr>
          <w:b w:val="0"/>
          <w:bCs w:val="0"/>
          <w:sz w:val="24"/>
        </w:rPr>
        <w:t>The proposal’s initial disclosure requirements, which would be provided reasonably in advance of the contract or arrangement, would include disclosures of the services to be provided as well as a description of compensation reasonably expected to be received on a quarterly basis in connection with the service contract or arrangement. The proposal specifies that the compensation to be disclosed includes: (i) direct compensation paid by the plan; (ii) payments from drug manufacturers (</w:t>
      </w:r>
      <w:r w:rsidRPr="00D54D7C">
        <w:rPr>
          <w:b w:val="0"/>
          <w:bCs w:val="0"/>
          <w:i/>
          <w:iCs/>
          <w:sz w:val="24"/>
        </w:rPr>
        <w:t>e.g.</w:t>
      </w:r>
      <w:r w:rsidRPr="00D54D7C">
        <w:rPr>
          <w:b w:val="0"/>
          <w:bCs w:val="0"/>
          <w:sz w:val="24"/>
        </w:rPr>
        <w:t xml:space="preserve">, rebates PBMs receive from manufacturers); (iii) spread compensation; (iv) co-pay clawbacks; </w:t>
      </w:r>
      <w:r w:rsidR="000C0C8C">
        <w:rPr>
          <w:b w:val="0"/>
          <w:bCs w:val="0"/>
          <w:sz w:val="24"/>
        </w:rPr>
        <w:t>(v) price protection agreements</w:t>
      </w:r>
      <w:r w:rsidR="00C14F47">
        <w:rPr>
          <w:b w:val="0"/>
          <w:bCs w:val="0"/>
          <w:sz w:val="24"/>
        </w:rPr>
        <w:t>; (vi)</w:t>
      </w:r>
      <w:r w:rsidRPr="00D54D7C">
        <w:rPr>
          <w:b w:val="0"/>
          <w:bCs w:val="0"/>
          <w:sz w:val="24"/>
        </w:rPr>
        <w:t xml:space="preserve"> </w:t>
      </w:r>
      <w:r w:rsidR="00AA63D7">
        <w:rPr>
          <w:b w:val="0"/>
          <w:bCs w:val="0"/>
          <w:sz w:val="24"/>
        </w:rPr>
        <w:t xml:space="preserve">compensation for termination of </w:t>
      </w:r>
      <w:r w:rsidR="008E24F1">
        <w:rPr>
          <w:b w:val="0"/>
          <w:bCs w:val="0"/>
          <w:sz w:val="24"/>
        </w:rPr>
        <w:t>the service contract or arrangement,</w:t>
      </w:r>
      <w:r w:rsidRPr="00D54D7C">
        <w:rPr>
          <w:b w:val="0"/>
          <w:bCs w:val="0"/>
          <w:sz w:val="24"/>
        </w:rPr>
        <w:t xml:space="preserve"> as well as other compensation not specifically enumerated by name in the proposal (this is to function as a “catchall” category). The initial disclosure would also include a description of incentives and arrangements with drug manufacturers related to the placement of their drugs on the plan’s formulary and of the drug pricing methodology that would be used to determine the drug prices paid by the plan.</w:t>
      </w:r>
      <w:r w:rsidR="003846E2">
        <w:rPr>
          <w:b w:val="0"/>
          <w:bCs w:val="0"/>
          <w:sz w:val="24"/>
        </w:rPr>
        <w:t xml:space="preserve"> Additionally, this disclosure would also include </w:t>
      </w:r>
      <w:r w:rsidR="00DC04C9">
        <w:rPr>
          <w:b w:val="0"/>
          <w:bCs w:val="0"/>
          <w:sz w:val="24"/>
        </w:rPr>
        <w:t>a statement</w:t>
      </w:r>
      <w:r w:rsidR="008D5C8D">
        <w:rPr>
          <w:b w:val="0"/>
          <w:bCs w:val="0"/>
          <w:sz w:val="24"/>
        </w:rPr>
        <w:t xml:space="preserve"> of</w:t>
      </w:r>
      <w:r w:rsidR="00B31CA0">
        <w:rPr>
          <w:b w:val="0"/>
          <w:bCs w:val="0"/>
          <w:sz w:val="24"/>
        </w:rPr>
        <w:t xml:space="preserve"> fiduciary</w:t>
      </w:r>
      <w:r w:rsidR="00DC04C9">
        <w:rPr>
          <w:b w:val="0"/>
          <w:bCs w:val="0"/>
          <w:sz w:val="24"/>
        </w:rPr>
        <w:t xml:space="preserve"> </w:t>
      </w:r>
      <w:r w:rsidR="008D5C8D">
        <w:rPr>
          <w:b w:val="0"/>
          <w:bCs w:val="0"/>
          <w:sz w:val="24"/>
        </w:rPr>
        <w:t>status if the</w:t>
      </w:r>
      <w:r w:rsidR="005D4F5F">
        <w:rPr>
          <w:b w:val="0"/>
          <w:bCs w:val="0"/>
          <w:sz w:val="24"/>
        </w:rPr>
        <w:t xml:space="preserve"> </w:t>
      </w:r>
      <w:r w:rsidRPr="005D4F5F" w:rsidR="005D4F5F">
        <w:rPr>
          <w:b w:val="0"/>
          <w:bCs w:val="0"/>
          <w:sz w:val="24"/>
        </w:rPr>
        <w:t xml:space="preserve">covered service </w:t>
      </w:r>
      <w:r w:rsidRPr="005D4F5F" w:rsidR="005D4F5F">
        <w:rPr>
          <w:b w:val="0"/>
          <w:bCs w:val="0"/>
          <w:sz w:val="24"/>
        </w:rPr>
        <w:t>provider, an affiliate, an agent, or a subcontractor will provide, or reasonably expects</w:t>
      </w:r>
      <w:r w:rsidR="005D4F5F">
        <w:rPr>
          <w:b w:val="0"/>
          <w:bCs w:val="0"/>
          <w:sz w:val="24"/>
        </w:rPr>
        <w:t xml:space="preserve"> to provide, </w:t>
      </w:r>
      <w:r w:rsidR="005972FC">
        <w:rPr>
          <w:b w:val="0"/>
          <w:bCs w:val="0"/>
          <w:sz w:val="24"/>
        </w:rPr>
        <w:t>services as a fiduciary</w:t>
      </w:r>
      <w:r w:rsidR="00E83878">
        <w:rPr>
          <w:b w:val="0"/>
          <w:bCs w:val="0"/>
          <w:sz w:val="24"/>
        </w:rPr>
        <w:t>;</w:t>
      </w:r>
      <w:r w:rsidR="005972FC">
        <w:rPr>
          <w:b w:val="0"/>
          <w:bCs w:val="0"/>
          <w:sz w:val="24"/>
        </w:rPr>
        <w:t xml:space="preserve"> and </w:t>
      </w:r>
      <w:r w:rsidR="00C51549">
        <w:rPr>
          <w:b w:val="0"/>
          <w:bCs w:val="0"/>
          <w:sz w:val="24"/>
        </w:rPr>
        <w:t xml:space="preserve">will also include a statement of audit right. </w:t>
      </w:r>
    </w:p>
    <w:p w:rsidR="00D54D7C" w:rsidRPr="00D54D7C" w:rsidP="00D54D7C" w14:paraId="4C08F8E2" w14:textId="77777777">
      <w:pPr>
        <w:widowControl/>
        <w:autoSpaceDE/>
        <w:autoSpaceDN/>
        <w:adjustRightInd/>
        <w:rPr>
          <w:b w:val="0"/>
          <w:bCs w:val="0"/>
          <w:sz w:val="24"/>
        </w:rPr>
      </w:pPr>
    </w:p>
    <w:p w:rsidR="00D54D7C" w:rsidRPr="00AD6FB0" w:rsidP="00AD6FB0" w14:paraId="0F40D32A" w14:textId="662607DF">
      <w:pPr>
        <w:pStyle w:val="ListParagraph"/>
        <w:widowControl/>
        <w:numPr>
          <w:ilvl w:val="0"/>
          <w:numId w:val="46"/>
        </w:numPr>
        <w:autoSpaceDE/>
        <w:autoSpaceDN/>
        <w:adjustRightInd/>
        <w:rPr>
          <w:sz w:val="24"/>
          <w:u w:val="single"/>
        </w:rPr>
      </w:pPr>
      <w:r w:rsidRPr="00AD6FB0">
        <w:rPr>
          <w:sz w:val="24"/>
          <w:u w:val="single"/>
        </w:rPr>
        <w:t>Semiannual Disclosures</w:t>
      </w:r>
    </w:p>
    <w:p w:rsidR="00D54D7C" w:rsidRPr="00D54D7C" w:rsidP="00D54D7C" w14:paraId="44F1BCA9" w14:textId="77777777">
      <w:pPr>
        <w:widowControl/>
        <w:autoSpaceDE/>
        <w:autoSpaceDN/>
        <w:adjustRightInd/>
        <w:ind w:left="2160"/>
        <w:contextualSpacing/>
        <w:rPr>
          <w:b w:val="0"/>
          <w:bCs w:val="0"/>
          <w:i/>
          <w:iCs/>
          <w:sz w:val="24"/>
        </w:rPr>
      </w:pPr>
    </w:p>
    <w:p w:rsidR="00D54D7C" w:rsidRPr="00D54D7C" w:rsidP="00BB08A8" w14:paraId="08DF8766" w14:textId="6DC3FBAB">
      <w:pPr>
        <w:widowControl/>
        <w:autoSpaceDE/>
        <w:autoSpaceDN/>
        <w:adjustRightInd/>
        <w:ind w:left="720"/>
        <w:rPr>
          <w:b w:val="0"/>
          <w:bCs w:val="0"/>
          <w:sz w:val="24"/>
        </w:rPr>
      </w:pPr>
      <w:r w:rsidRPr="00D54D7C">
        <w:rPr>
          <w:b w:val="0"/>
          <w:bCs w:val="0"/>
          <w:sz w:val="24"/>
        </w:rPr>
        <w:t>The proposal’s semiannual disclosures would describe compensation received in connection with the service contract or arrangement covering the preceding six-month period (</w:t>
      </w:r>
      <w:r w:rsidRPr="00D54D7C">
        <w:rPr>
          <w:b w:val="0"/>
          <w:bCs w:val="0"/>
          <w:sz w:val="24"/>
        </w:rPr>
        <w:t>actually received</w:t>
      </w:r>
      <w:r w:rsidRPr="00D54D7C">
        <w:rPr>
          <w:b w:val="0"/>
          <w:bCs w:val="0"/>
          <w:sz w:val="24"/>
        </w:rPr>
        <w:t xml:space="preserve"> rather than expected to be </w:t>
      </w:r>
      <w:r w:rsidRPr="00D54D7C">
        <w:rPr>
          <w:b w:val="0"/>
          <w:sz w:val="24"/>
        </w:rPr>
        <w:t>received</w:t>
      </w:r>
      <w:r w:rsidRPr="00D54D7C">
        <w:rPr>
          <w:b w:val="0"/>
          <w:bCs w:val="0"/>
          <w:sz w:val="24"/>
        </w:rPr>
        <w:t xml:space="preserve"> as in the initial disclosures). The compensation would be presented in the same categories of compensation as the initial disclosures</w:t>
      </w:r>
      <w:r w:rsidR="00863E52">
        <w:rPr>
          <w:b w:val="0"/>
          <w:bCs w:val="0"/>
          <w:sz w:val="24"/>
        </w:rPr>
        <w:t xml:space="preserve">, </w:t>
      </w:r>
      <w:r w:rsidR="00863E52">
        <w:rPr>
          <w:b w:val="0"/>
          <w:bCs w:val="0"/>
          <w:sz w:val="24"/>
        </w:rPr>
        <w:t>with the exception of</w:t>
      </w:r>
      <w:r w:rsidR="00863E52">
        <w:rPr>
          <w:b w:val="0"/>
          <w:bCs w:val="0"/>
          <w:sz w:val="24"/>
        </w:rPr>
        <w:t xml:space="preserve"> </w:t>
      </w:r>
      <w:r w:rsidR="00227D65">
        <w:rPr>
          <w:b w:val="0"/>
          <w:bCs w:val="0"/>
          <w:sz w:val="24"/>
        </w:rPr>
        <w:t>compensation for termination of the service contract or arrangement</w:t>
      </w:r>
      <w:r w:rsidRPr="00D54D7C">
        <w:rPr>
          <w:b w:val="0"/>
          <w:bCs w:val="0"/>
          <w:sz w:val="24"/>
        </w:rPr>
        <w:t xml:space="preserve"> (direct compensation, manufacturer payments, spread compensation, co-pay clawbacks, </w:t>
      </w:r>
      <w:r w:rsidR="00774856">
        <w:rPr>
          <w:b w:val="0"/>
          <w:bCs w:val="0"/>
          <w:sz w:val="24"/>
        </w:rPr>
        <w:t>price protection agreement</w:t>
      </w:r>
      <w:r w:rsidR="003C248E">
        <w:rPr>
          <w:b w:val="0"/>
          <w:bCs w:val="0"/>
          <w:sz w:val="24"/>
        </w:rPr>
        <w:t>s</w:t>
      </w:r>
      <w:r w:rsidR="00227D65">
        <w:rPr>
          <w:b w:val="0"/>
          <w:bCs w:val="0"/>
          <w:sz w:val="24"/>
        </w:rPr>
        <w:t>,</w:t>
      </w:r>
      <w:r w:rsidR="003C248E">
        <w:rPr>
          <w:b w:val="0"/>
          <w:bCs w:val="0"/>
          <w:sz w:val="24"/>
        </w:rPr>
        <w:t xml:space="preserve"> </w:t>
      </w:r>
      <w:r w:rsidRPr="00D54D7C">
        <w:rPr>
          <w:b w:val="0"/>
          <w:bCs w:val="0"/>
          <w:sz w:val="24"/>
        </w:rPr>
        <w:t>and other compensation not otherwise disclosed). The semiannual disclosures would provide transparency into the actual compensation received in connection with the service contract or arrangement and a means for the responsible plan fiduciary to assess the estimates used by the covered service provider in its initial disclosure. Where any category of compensation, in aggregate, exceeds specified conditions, the covered service provider would be required to identify the amount and reason for the overage.</w:t>
      </w:r>
      <w:r w:rsidR="00CF6FCD">
        <w:rPr>
          <w:b w:val="0"/>
          <w:bCs w:val="0"/>
          <w:sz w:val="24"/>
        </w:rPr>
        <w:t xml:space="preserve"> This disclosure would also include a statement of audit rights. </w:t>
      </w:r>
    </w:p>
    <w:p w:rsidR="00D54D7C" w:rsidRPr="00D54D7C" w:rsidP="00D54D7C" w14:paraId="025A0C08" w14:textId="77777777">
      <w:pPr>
        <w:widowControl/>
        <w:autoSpaceDE/>
        <w:autoSpaceDN/>
        <w:adjustRightInd/>
        <w:rPr>
          <w:b w:val="0"/>
          <w:bCs w:val="0"/>
          <w:sz w:val="24"/>
        </w:rPr>
      </w:pPr>
    </w:p>
    <w:p w:rsidR="00D54D7C" w:rsidRPr="00AD6FB0" w:rsidP="00AD6FB0" w14:paraId="538C3651" w14:textId="7CF08654">
      <w:pPr>
        <w:pStyle w:val="ListParagraph"/>
        <w:widowControl/>
        <w:numPr>
          <w:ilvl w:val="0"/>
          <w:numId w:val="46"/>
        </w:numPr>
        <w:autoSpaceDE/>
        <w:autoSpaceDN/>
        <w:adjustRightInd/>
        <w:rPr>
          <w:bCs w:val="0"/>
          <w:sz w:val="24"/>
          <w:u w:val="single"/>
        </w:rPr>
      </w:pPr>
      <w:r w:rsidRPr="00AD6FB0">
        <w:rPr>
          <w:bCs w:val="0"/>
          <w:sz w:val="24"/>
          <w:u w:val="single"/>
        </w:rPr>
        <w:t>Audit Rights</w:t>
      </w:r>
    </w:p>
    <w:p w:rsidR="00D54D7C" w:rsidRPr="00D54D7C" w:rsidP="00D54D7C" w14:paraId="450CB019" w14:textId="77777777">
      <w:pPr>
        <w:widowControl/>
        <w:autoSpaceDE/>
        <w:autoSpaceDN/>
        <w:adjustRightInd/>
        <w:ind w:left="2160"/>
        <w:contextualSpacing/>
        <w:rPr>
          <w:b w:val="0"/>
          <w:i/>
          <w:iCs/>
          <w:sz w:val="24"/>
        </w:rPr>
      </w:pPr>
    </w:p>
    <w:p w:rsidR="00D54D7C" w:rsidRPr="00D54D7C" w:rsidP="00BB08A8" w14:paraId="12CC846E" w14:textId="0F484EFB">
      <w:pPr>
        <w:widowControl/>
        <w:autoSpaceDE/>
        <w:autoSpaceDN/>
        <w:adjustRightInd/>
        <w:ind w:left="720"/>
        <w:rPr>
          <w:b w:val="0"/>
          <w:bCs w:val="0"/>
          <w:sz w:val="24"/>
        </w:rPr>
      </w:pPr>
      <w:r w:rsidRPr="00D54D7C">
        <w:rPr>
          <w:b w:val="0"/>
          <w:bCs w:val="0"/>
          <w:sz w:val="24"/>
        </w:rPr>
        <w:t xml:space="preserve">The regulation would also preserve the group health plans’ ability to conduct an audit of the disclosures made pursuant to the regulation not less than once per year. In this regard, the proposal provides that the plan fiduciary may select an auditor without limitations imposed by the covered service provider, and the covered service provider would be required to make available within a commercially reasonable period all records, data, and other information that is reasonably necessary to confirm the accuracy of the disclosures. While the plan would have responsibility for the expenses related to the selection and retention of the auditor, the covered service provider would bear the cost of providing </w:t>
      </w:r>
      <w:r w:rsidRPr="00D54D7C">
        <w:rPr>
          <w:b w:val="0"/>
          <w:sz w:val="24"/>
        </w:rPr>
        <w:t>the information, data, and other materials needed to perform the audit</w:t>
      </w:r>
      <w:r w:rsidRPr="00D54D7C">
        <w:rPr>
          <w:b w:val="0"/>
          <w:bCs w:val="0"/>
          <w:sz w:val="24"/>
        </w:rPr>
        <w:t>.</w:t>
      </w:r>
      <w:r w:rsidRPr="00F07EB2" w:rsidR="00F07EB2">
        <w:rPr>
          <w:b w:val="0"/>
          <w:bCs w:val="0"/>
          <w:sz w:val="24"/>
        </w:rPr>
        <w:t xml:space="preserve"> The covered service provider may not impose conditions that would restrict the covered plan’s right to conduct an audit, including restrictions on the period of the audit, the location of the audit, or the number of records to be provided, except that the scope of the audit may be limited to the period covered by the disclosures</w:t>
      </w:r>
      <w:r w:rsidR="004479C4">
        <w:rPr>
          <w:b w:val="0"/>
          <w:bCs w:val="0"/>
          <w:sz w:val="24"/>
        </w:rPr>
        <w:t xml:space="preserve"> made pursuant to the regulation</w:t>
      </w:r>
      <w:r w:rsidRPr="00F07EB2" w:rsidR="00F07EB2">
        <w:rPr>
          <w:b w:val="0"/>
          <w:bCs w:val="0"/>
          <w:sz w:val="24"/>
        </w:rPr>
        <w:t>.</w:t>
      </w:r>
    </w:p>
    <w:p w:rsidR="00D54D7C" w:rsidRPr="00D54D7C" w:rsidP="00D54D7C" w14:paraId="4B011F2A" w14:textId="77777777">
      <w:pPr>
        <w:widowControl/>
        <w:autoSpaceDE/>
        <w:autoSpaceDN/>
        <w:adjustRightInd/>
        <w:rPr>
          <w:b w:val="0"/>
          <w:bCs w:val="0"/>
          <w:sz w:val="24"/>
        </w:rPr>
      </w:pPr>
    </w:p>
    <w:p w:rsidR="00D54D7C" w:rsidRPr="00AD6FB0" w:rsidP="00AD6FB0" w14:paraId="051578BC" w14:textId="18878C87">
      <w:pPr>
        <w:pStyle w:val="ListParagraph"/>
        <w:widowControl/>
        <w:numPr>
          <w:ilvl w:val="0"/>
          <w:numId w:val="46"/>
        </w:numPr>
        <w:autoSpaceDE/>
        <w:autoSpaceDN/>
        <w:adjustRightInd/>
        <w:rPr>
          <w:bCs w:val="0"/>
          <w:sz w:val="24"/>
          <w:u w:val="single"/>
        </w:rPr>
      </w:pPr>
      <w:r w:rsidRPr="00AD6FB0">
        <w:rPr>
          <w:bCs w:val="0"/>
          <w:sz w:val="24"/>
          <w:u w:val="single"/>
        </w:rPr>
        <w:t>Innocent Fiduciary Exemption</w:t>
      </w:r>
    </w:p>
    <w:p w:rsidR="00D54D7C" w:rsidRPr="00D54D7C" w:rsidP="00D54D7C" w14:paraId="23C57C0C" w14:textId="77777777">
      <w:pPr>
        <w:widowControl/>
        <w:autoSpaceDE/>
        <w:autoSpaceDN/>
        <w:adjustRightInd/>
        <w:ind w:left="1080"/>
        <w:contextualSpacing/>
        <w:rPr>
          <w:b w:val="0"/>
          <w:i/>
          <w:iCs/>
          <w:sz w:val="24"/>
        </w:rPr>
      </w:pPr>
    </w:p>
    <w:p w:rsidR="00D54D7C" w:rsidRPr="00BB08A8" w:rsidP="00BB08A8" w14:paraId="2B8D2F5A" w14:textId="4ED6EEE3">
      <w:pPr>
        <w:widowControl/>
        <w:autoSpaceDE/>
        <w:autoSpaceDN/>
        <w:adjustRightInd/>
        <w:ind w:left="720"/>
        <w:rPr>
          <w:b w:val="0"/>
          <w:bCs w:val="0"/>
          <w:sz w:val="24"/>
        </w:rPr>
      </w:pPr>
      <w:r w:rsidRPr="00D54D7C">
        <w:rPr>
          <w:b w:val="0"/>
          <w:bCs w:val="0"/>
          <w:sz w:val="24"/>
        </w:rPr>
        <w:t xml:space="preserve">The proposal also includes special relief – in the form of a proposed prohibited transaction exemption from the restrictions of ERISA section 406(a)(1)(C) and (D) – for a responsible plan fiduciary where the covered service provider fails to meet disclosure requirements set forth in the proposed regulation, if certain conditions are met. Otherwise, the proposal could inadvertently work harm on the entity the proposal is </w:t>
      </w:r>
      <w:r w:rsidRPr="00D54D7C">
        <w:rPr>
          <w:b w:val="0"/>
          <w:bCs w:val="0"/>
          <w:sz w:val="24"/>
        </w:rPr>
        <w:t xml:space="preserve">intended to help. If the covered service provider does not correct disclosure failures as requested by the responsible plan fiduciary within specified time frames, the responsible plan fiduciary would notify the Secretary of the failure and further must assess whether to terminate or continue the contract or arrangement consistent with the duty of prudence under section 404 of ERISA. </w:t>
      </w:r>
    </w:p>
    <w:p w:rsidR="00D54D7C" w:rsidP="00A513F6" w14:paraId="56A270E1" w14:textId="77777777">
      <w:pPr>
        <w:pStyle w:val="Quick1"/>
        <w:widowControl/>
        <w:numPr>
          <w:ilvl w:val="0"/>
          <w:numId w:val="0"/>
        </w:numPr>
        <w:ind w:left="720" w:hanging="720"/>
        <w:rPr>
          <w:b w:val="0"/>
          <w:sz w:val="24"/>
          <w:szCs w:val="24"/>
        </w:rPr>
      </w:pPr>
    </w:p>
    <w:p w:rsidR="00CD45ED" w:rsidRPr="00C04CDD" w:rsidP="0057004B" w14:paraId="6BDA09A6" w14:textId="3DA8C6D2">
      <w:pPr>
        <w:pStyle w:val="Heading1"/>
        <w:numPr>
          <w:ilvl w:val="0"/>
          <w:numId w:val="37"/>
        </w:numPr>
      </w:pPr>
      <w:r w:rsidRPr="00CD45ED">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D45ED" w:rsidRPr="00CD45ED" w:rsidP="00CD45ED" w14:paraId="26B10E0E" w14:textId="77777777">
      <w:pPr>
        <w:widowControl/>
        <w:ind w:left="720"/>
        <w:rPr>
          <w:b w:val="0"/>
          <w:bCs w:val="0"/>
          <w:sz w:val="24"/>
          <w:szCs w:val="24"/>
        </w:rPr>
      </w:pPr>
    </w:p>
    <w:p w:rsidR="00CD45ED" w:rsidRPr="00CD45ED" w:rsidP="00CD45ED" w14:paraId="71750686" w14:textId="640AAF0D">
      <w:pPr>
        <w:widowControl/>
        <w:ind w:left="720"/>
        <w:rPr>
          <w:b w:val="0"/>
          <w:bCs w:val="0"/>
          <w:sz w:val="24"/>
          <w:szCs w:val="24"/>
        </w:rPr>
      </w:pPr>
      <w:r w:rsidRPr="00CD45ED">
        <w:rPr>
          <w:b w:val="0"/>
          <w:bCs w:val="0"/>
          <w:sz w:val="24"/>
          <w:szCs w:val="24"/>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w:t>
      </w:r>
      <w:r w:rsidR="00B101D9">
        <w:rPr>
          <w:b w:val="0"/>
          <w:bCs w:val="0"/>
          <w:sz w:val="24"/>
          <w:szCs w:val="24"/>
        </w:rPr>
        <w:t xml:space="preserve">sets </w:t>
      </w:r>
      <w:r w:rsidR="00B101D9">
        <w:rPr>
          <w:b w:val="0"/>
          <w:bCs w:val="0"/>
          <w:sz w:val="24"/>
          <w:szCs w:val="24"/>
        </w:rPr>
        <w:t>forth</w:t>
      </w:r>
      <w:r w:rsidR="00B101D9">
        <w:rPr>
          <w:b w:val="0"/>
          <w:bCs w:val="0"/>
          <w:sz w:val="24"/>
          <w:szCs w:val="24"/>
        </w:rPr>
        <w:t xml:space="preserve"> conditions under</w:t>
      </w:r>
      <w:r w:rsidRPr="00CD45ED">
        <w:rPr>
          <w:b w:val="0"/>
          <w:bCs w:val="0"/>
          <w:sz w:val="24"/>
          <w:szCs w:val="24"/>
        </w:rPr>
        <w:t xml:space="preserve">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CD45ED" w:rsidP="00CD45ED" w14:paraId="318841E9" w14:textId="77777777">
      <w:pPr>
        <w:widowControl/>
        <w:ind w:left="720"/>
      </w:pPr>
    </w:p>
    <w:p w:rsidR="00214214" w:rsidRPr="00B22B09" w:rsidP="002A5B00" w14:paraId="0B060967" w14:textId="05816FEF">
      <w:pPr>
        <w:widowControl/>
        <w:ind w:left="720"/>
        <w:rPr>
          <w:b w:val="0"/>
          <w:bCs w:val="0"/>
          <w:sz w:val="24"/>
          <w:szCs w:val="24"/>
        </w:rPr>
      </w:pPr>
      <w:r w:rsidRPr="00B22B09">
        <w:rPr>
          <w:b w:val="0"/>
          <w:bCs w:val="0"/>
          <w:sz w:val="24"/>
          <w:szCs w:val="24"/>
        </w:rPr>
        <w:t>The</w:t>
      </w:r>
      <w:r w:rsidR="00B575E1">
        <w:rPr>
          <w:b w:val="0"/>
          <w:bCs w:val="0"/>
          <w:sz w:val="24"/>
          <w:szCs w:val="24"/>
        </w:rPr>
        <w:t xml:space="preserve"> proposed rule</w:t>
      </w:r>
      <w:r w:rsidRPr="00B22B09">
        <w:rPr>
          <w:b w:val="0"/>
          <w:bCs w:val="0"/>
          <w:sz w:val="24"/>
          <w:szCs w:val="24"/>
        </w:rPr>
        <w:t xml:space="preserve"> and accompanying class exemption does not limit the ability of covered service providers to furnish information required by the regulation to responsible plan fiduciaries via electronic media. </w:t>
      </w:r>
      <w:r w:rsidR="00981B46">
        <w:rPr>
          <w:b w:val="0"/>
          <w:bCs w:val="0"/>
          <w:sz w:val="24"/>
          <w:szCs w:val="24"/>
        </w:rPr>
        <w:t>In addition</w:t>
      </w:r>
      <w:r w:rsidR="002A5B00">
        <w:rPr>
          <w:b w:val="0"/>
          <w:bCs w:val="0"/>
          <w:sz w:val="24"/>
          <w:szCs w:val="24"/>
        </w:rPr>
        <w:t>, t</w:t>
      </w:r>
      <w:r w:rsidRPr="002A5B00" w:rsidR="002A5B00">
        <w:rPr>
          <w:b w:val="0"/>
          <w:bCs w:val="0"/>
          <w:sz w:val="24"/>
          <w:szCs w:val="24"/>
        </w:rPr>
        <w:t>he proposed regulation provides that upon request of a responsible plan fiduciary of a self-insured group health plan, descriptions of compensation must also be provided, within a reasonable time after such request, in a machine-readable file. For this purpose, the proposal provides that “machine-readable file” means a digital representation of data or information in a file that can be imported or read by a computer system for further processing without human intervention, while ensuring no semantic meaning is lost. This requirement of the proposal is designed to ensure that a responsible plan fiduciary can obtain information in this format if the responsible plan fiduciary determines that this will aid in its evaluation of the reasonableness of the contract or arrangement.</w:t>
      </w:r>
    </w:p>
    <w:p w:rsidR="00214214" w:rsidP="002D6113" w14:paraId="774831AB" w14:textId="77777777">
      <w:pPr>
        <w:widowControl/>
        <w:tabs>
          <w:tab w:val="left" w:pos="-1440"/>
        </w:tabs>
        <w:ind w:left="720" w:hanging="720"/>
        <w:rPr>
          <w:bCs w:val="0"/>
          <w:sz w:val="24"/>
          <w:szCs w:val="24"/>
        </w:rPr>
      </w:pPr>
    </w:p>
    <w:p w:rsidR="00B34F3B" w:rsidP="0057004B" w14:paraId="6C82D398" w14:textId="4A8D74A3">
      <w:pPr>
        <w:pStyle w:val="Heading1"/>
        <w:numPr>
          <w:ilvl w:val="0"/>
          <w:numId w:val="37"/>
        </w:numPr>
      </w:pPr>
      <w:r w:rsidRPr="00C20D2D">
        <w:t>Describe efforts to identify duplication.</w:t>
      </w:r>
      <w:r w:rsidR="00D309FC">
        <w:t xml:space="preserve"> </w:t>
      </w:r>
      <w:r w:rsidRPr="00C20D2D" w:rsidR="00540514">
        <w:t>Show specifically why any similar information already available cannot be used or modified for use for the purposes described in Item 2 above.</w:t>
      </w:r>
    </w:p>
    <w:p w:rsidR="002D6113" w:rsidRPr="002D6113" w:rsidP="002D6113" w14:paraId="342EBA10" w14:textId="77777777">
      <w:pPr>
        <w:widowControl/>
        <w:ind w:left="720"/>
        <w:rPr>
          <w:b w:val="0"/>
          <w:bCs w:val="0"/>
          <w:sz w:val="24"/>
          <w:szCs w:val="24"/>
        </w:rPr>
      </w:pPr>
    </w:p>
    <w:p w:rsidR="00380D0F" w:rsidRPr="002D6113" w:rsidP="002D6113" w14:paraId="51135C4A" w14:textId="5CDB2E7E">
      <w:pPr>
        <w:widowControl/>
        <w:ind w:left="720"/>
        <w:rPr>
          <w:b w:val="0"/>
          <w:bCs w:val="0"/>
          <w:sz w:val="24"/>
          <w:szCs w:val="24"/>
        </w:rPr>
      </w:pPr>
      <w:r w:rsidRPr="002D6113">
        <w:rPr>
          <w:b w:val="0"/>
          <w:bCs w:val="0"/>
          <w:sz w:val="24"/>
          <w:szCs w:val="24"/>
        </w:rPr>
        <w:t xml:space="preserve">No duplication with other Federal statutes exists. In some circumstances, </w:t>
      </w:r>
      <w:r w:rsidRPr="006871C0" w:rsidR="006871C0">
        <w:rPr>
          <w:b w:val="0"/>
          <w:bCs w:val="0"/>
          <w:sz w:val="24"/>
          <w:szCs w:val="24"/>
        </w:rPr>
        <w:t xml:space="preserve">several states have adopted disclosures requirements for PBMs regarding elements included in this </w:t>
      </w:r>
      <w:r w:rsidRPr="006871C0" w:rsidR="006871C0">
        <w:rPr>
          <w:b w:val="0"/>
          <w:bCs w:val="0"/>
          <w:sz w:val="24"/>
          <w:szCs w:val="24"/>
        </w:rPr>
        <w:t>proposed rule, including rebate payments, spread pricing and drug prices.</w:t>
      </w:r>
      <w:r>
        <w:rPr>
          <w:b w:val="0"/>
          <w:bCs w:val="0"/>
          <w:sz w:val="24"/>
          <w:szCs w:val="24"/>
          <w:vertAlign w:val="superscript"/>
        </w:rPr>
        <w:footnoteReference w:id="11"/>
      </w:r>
      <w:r w:rsidRPr="002D6113">
        <w:rPr>
          <w:b w:val="0"/>
          <w:bCs w:val="0"/>
          <w:sz w:val="24"/>
          <w:szCs w:val="24"/>
        </w:rPr>
        <w:t xml:space="preserve"> However, no duplication occurs because the same information disclosure may be used to satisfy duplicative or overlapping requirements.</w:t>
      </w:r>
    </w:p>
    <w:p w:rsidR="002D6113" w:rsidRPr="002D6113" w:rsidP="002D6113" w14:paraId="406FD80E" w14:textId="77777777">
      <w:pPr>
        <w:widowControl/>
        <w:ind w:left="720"/>
      </w:pPr>
    </w:p>
    <w:p w:rsidR="008611BC" w:rsidP="0057004B" w14:paraId="2C5255B6" w14:textId="6A0B963A">
      <w:pPr>
        <w:pStyle w:val="Heading1"/>
        <w:numPr>
          <w:ilvl w:val="0"/>
          <w:numId w:val="37"/>
        </w:numPr>
      </w:pPr>
      <w:r w:rsidRPr="00C20D2D">
        <w:t>If the collection of information impacts small businesses or other small en</w:t>
      </w:r>
      <w:r>
        <w:t>tities</w:t>
      </w:r>
      <w:r w:rsidRPr="00C20D2D">
        <w:t>, describe any methods used to minimize burden.</w:t>
      </w:r>
    </w:p>
    <w:p w:rsidR="00AF6B8B" w:rsidP="006D5B1C" w14:paraId="418DC91B" w14:textId="77777777">
      <w:pPr>
        <w:pStyle w:val="Quick1"/>
        <w:widowControl/>
        <w:numPr>
          <w:ilvl w:val="0"/>
          <w:numId w:val="0"/>
        </w:numPr>
        <w:ind w:left="720"/>
        <w:rPr>
          <w:b w:val="0"/>
          <w:bCs w:val="0"/>
          <w:sz w:val="24"/>
          <w:szCs w:val="24"/>
        </w:rPr>
      </w:pPr>
    </w:p>
    <w:p w:rsidR="00467A7D" w:rsidRPr="00467A7D" w:rsidP="007F3AA3" w14:paraId="15088455" w14:textId="75837EC6">
      <w:pPr>
        <w:ind w:left="720"/>
        <w:rPr>
          <w:b w:val="0"/>
          <w:bCs w:val="0"/>
          <w:color w:val="000000"/>
          <w:sz w:val="24"/>
          <w:szCs w:val="24"/>
        </w:rPr>
      </w:pPr>
      <w:r w:rsidRPr="00687809">
        <w:rPr>
          <w:b w:val="0"/>
          <w:bCs w:val="0"/>
          <w:color w:val="000000"/>
          <w:sz w:val="24"/>
          <w:szCs w:val="24"/>
        </w:rPr>
        <w:t xml:space="preserve">The Department expects that the proposed rule would increase transparency in PBM compensation arrangements and enable </w:t>
      </w:r>
      <w:r w:rsidR="007F3AA3">
        <w:rPr>
          <w:b w:val="0"/>
          <w:bCs w:val="0"/>
          <w:color w:val="000000"/>
          <w:sz w:val="24"/>
          <w:szCs w:val="24"/>
        </w:rPr>
        <w:t xml:space="preserve">small, </w:t>
      </w:r>
      <w:r w:rsidRPr="00687809">
        <w:rPr>
          <w:b w:val="0"/>
          <w:bCs w:val="0"/>
          <w:color w:val="000000"/>
          <w:sz w:val="24"/>
          <w:szCs w:val="24"/>
        </w:rPr>
        <w:t xml:space="preserve">self-insured group health </w:t>
      </w:r>
      <w:r w:rsidRPr="00687809">
        <w:rPr>
          <w:b w:val="0"/>
          <w:bCs w:val="0"/>
          <w:color w:val="000000"/>
          <w:sz w:val="24"/>
          <w:szCs w:val="24"/>
        </w:rPr>
        <w:t>plans</w:t>
      </w:r>
      <w:r w:rsidRPr="00687809">
        <w:rPr>
          <w:b w:val="0"/>
          <w:bCs w:val="0"/>
          <w:color w:val="000000"/>
          <w:sz w:val="24"/>
          <w:szCs w:val="24"/>
        </w:rPr>
        <w:t xml:space="preserve"> </w:t>
      </w:r>
      <w:r w:rsidRPr="00687809">
        <w:rPr>
          <w:b w:val="0"/>
          <w:bCs w:val="0"/>
          <w:color w:val="000000"/>
          <w:sz w:val="24"/>
          <w:szCs w:val="24"/>
        </w:rPr>
        <w:t xml:space="preserve">to better understand these </w:t>
      </w:r>
      <w:r w:rsidRPr="00687809">
        <w:rPr>
          <w:b w:val="0"/>
          <w:bCs w:val="0"/>
          <w:color w:val="000000"/>
          <w:sz w:val="24"/>
          <w:szCs w:val="24"/>
        </w:rPr>
        <w:t xml:space="preserve">practices. This increased transparency would help responsible plan fiduciaries to compare offerings across PBMs more effectively, helping them </w:t>
      </w:r>
      <w:r w:rsidRPr="00687809">
        <w:rPr>
          <w:b w:val="0"/>
          <w:bCs w:val="0"/>
          <w:color w:val="000000"/>
          <w:sz w:val="24"/>
          <w:szCs w:val="24"/>
        </w:rPr>
        <w:t>enter into</w:t>
      </w:r>
      <w:r w:rsidRPr="00687809">
        <w:rPr>
          <w:b w:val="0"/>
          <w:bCs w:val="0"/>
          <w:color w:val="000000"/>
          <w:sz w:val="24"/>
          <w:szCs w:val="24"/>
        </w:rPr>
        <w:t xml:space="preserve"> the most appropriate PBM contracts for their needs. The proposal is intended to allow fiduciaries of level-funded and self-insured group health plans to fulfill their statutorily mandated role to determine that the service contracts or arrangements are reasonable under ERISA section 408(b)(2). </w:t>
      </w:r>
    </w:p>
    <w:p w:rsidR="00467A7D" w:rsidRPr="00A92375" w:rsidP="006D5B1C" w14:paraId="189130C4" w14:textId="77777777">
      <w:pPr>
        <w:pStyle w:val="Quick1"/>
        <w:widowControl/>
        <w:numPr>
          <w:ilvl w:val="0"/>
          <w:numId w:val="0"/>
        </w:numPr>
        <w:ind w:left="720"/>
        <w:rPr>
          <w:b w:val="0"/>
          <w:bCs w:val="0"/>
          <w:sz w:val="24"/>
          <w:szCs w:val="24"/>
        </w:rPr>
      </w:pPr>
    </w:p>
    <w:p w:rsidR="00D914C7" w:rsidP="0057004B" w14:paraId="273292D1" w14:textId="6B63C774">
      <w:pPr>
        <w:pStyle w:val="Heading1"/>
        <w:numPr>
          <w:ilvl w:val="0"/>
          <w:numId w:val="37"/>
        </w:numPr>
      </w:pPr>
      <w:r w:rsidRPr="00C20D2D">
        <w:t xml:space="preserve">Describe the </w:t>
      </w:r>
      <w:r w:rsidRPr="00C20D2D">
        <w:t>consequence</w:t>
      </w:r>
      <w:r w:rsidRPr="00C20D2D">
        <w:t xml:space="preserve"> </w:t>
      </w:r>
      <w:r w:rsidRPr="00C20D2D">
        <w:t>to</w:t>
      </w:r>
      <w:r w:rsidRPr="00C20D2D">
        <w:t xml:space="preserve"> Federal program or policy activities if the collection is not conducted or is conducted less frequently, as well as any technical or legal obstacles to reducing burden.</w:t>
      </w:r>
    </w:p>
    <w:p w:rsidR="00D914C7" w:rsidRPr="00D914C7" w:rsidP="00D914C7" w14:paraId="70B1B160" w14:textId="77777777">
      <w:pPr>
        <w:widowControl/>
        <w:tabs>
          <w:tab w:val="left" w:pos="-1440"/>
        </w:tabs>
        <w:ind w:left="1440" w:hanging="720"/>
        <w:rPr>
          <w:bCs w:val="0"/>
          <w:iCs/>
          <w:sz w:val="24"/>
          <w:szCs w:val="24"/>
        </w:rPr>
      </w:pPr>
    </w:p>
    <w:p w:rsidR="00D914C7" w:rsidRPr="00D914C7" w:rsidP="00D914C7" w14:paraId="5A3729C6" w14:textId="08253791">
      <w:pPr>
        <w:widowControl/>
        <w:tabs>
          <w:tab w:val="left" w:pos="-1440"/>
        </w:tabs>
        <w:ind w:left="720"/>
        <w:rPr>
          <w:b w:val="0"/>
          <w:bCs w:val="0"/>
          <w:sz w:val="24"/>
          <w:szCs w:val="24"/>
        </w:rPr>
      </w:pPr>
      <w:r w:rsidRPr="00D914C7">
        <w:rPr>
          <w:b w:val="0"/>
          <w:bCs w:val="0"/>
          <w:sz w:val="24"/>
          <w:szCs w:val="24"/>
        </w:rPr>
        <w:t>The purpose of the</w:t>
      </w:r>
      <w:r w:rsidR="006A7129">
        <w:rPr>
          <w:b w:val="0"/>
          <w:bCs w:val="0"/>
          <w:sz w:val="24"/>
          <w:szCs w:val="24"/>
        </w:rPr>
        <w:t xml:space="preserve"> proposed</w:t>
      </w:r>
      <w:r w:rsidRPr="00D914C7">
        <w:rPr>
          <w:b w:val="0"/>
          <w:bCs w:val="0"/>
          <w:sz w:val="24"/>
          <w:szCs w:val="24"/>
        </w:rPr>
        <w:t xml:space="preserve"> regulation is to ensure that </w:t>
      </w:r>
      <w:r w:rsidR="006A7129">
        <w:rPr>
          <w:b w:val="0"/>
          <w:bCs w:val="0"/>
          <w:sz w:val="24"/>
          <w:szCs w:val="24"/>
        </w:rPr>
        <w:t xml:space="preserve">responsible </w:t>
      </w:r>
      <w:r w:rsidRPr="00D914C7">
        <w:rPr>
          <w:b w:val="0"/>
          <w:bCs w:val="0"/>
          <w:sz w:val="24"/>
          <w:szCs w:val="24"/>
        </w:rPr>
        <w:t xml:space="preserve">plan fiduciaries have sufficient information to evaluate the quality and competitiveness of the fees received by their potential service providers. The enhanced disclosure will increase efficiency and competition in the service provider market, thereby generating benefits to </w:t>
      </w:r>
      <w:r w:rsidR="006A7129">
        <w:rPr>
          <w:b w:val="0"/>
          <w:bCs w:val="0"/>
          <w:sz w:val="24"/>
          <w:szCs w:val="24"/>
        </w:rPr>
        <w:t xml:space="preserve">self-insured group health </w:t>
      </w:r>
      <w:r w:rsidRPr="00D914C7">
        <w:rPr>
          <w:b w:val="0"/>
          <w:bCs w:val="0"/>
          <w:sz w:val="24"/>
          <w:szCs w:val="24"/>
        </w:rPr>
        <w:t>plans and plan participants. These benefits will not be realized if the information is not collected or is collected less frequently.</w:t>
      </w:r>
    </w:p>
    <w:p w:rsidR="004C1B75" w:rsidRPr="0057004B" w:rsidP="0057004B" w14:paraId="331C1339" w14:textId="77777777"/>
    <w:p w:rsidR="001B5409" w:rsidRPr="0057004B" w:rsidP="0057004B" w14:paraId="24C02354" w14:textId="7450666F">
      <w:pPr>
        <w:pStyle w:val="Heading1"/>
        <w:numPr>
          <w:ilvl w:val="0"/>
          <w:numId w:val="37"/>
        </w:numPr>
        <w:rPr>
          <w:iCs/>
        </w:rPr>
      </w:pPr>
      <w:r w:rsidRPr="00C20D2D">
        <w:rPr>
          <w:iCs/>
        </w:rPr>
        <w:t xml:space="preserve">Explain any special circumstances that would cause an information collection to be </w:t>
      </w:r>
      <w:r w:rsidRPr="0057004B">
        <w:rPr>
          <w:iCs/>
        </w:rPr>
        <w:t>conducted in a manner:</w:t>
      </w:r>
    </w:p>
    <w:p w:rsidR="001B5409" w:rsidRPr="00C20D2D" w:rsidP="001B5409" w14:paraId="7A181DE9"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report information to the agency more often than </w:t>
      </w:r>
      <w:r w:rsidRPr="00C20D2D">
        <w:rPr>
          <w:bCs w:val="0"/>
          <w:iCs/>
          <w:sz w:val="24"/>
          <w:szCs w:val="24"/>
        </w:rPr>
        <w:t>quarterly;</w:t>
      </w:r>
    </w:p>
    <w:p w:rsidR="001B5409" w:rsidRPr="00C20D2D" w:rsidP="001B5409" w14:paraId="0A407007"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prepare a written response to a collection of information in fewer than 30 days after receipt of </w:t>
      </w:r>
      <w:r w:rsidRPr="00C20D2D">
        <w:rPr>
          <w:bCs w:val="0"/>
          <w:iCs/>
          <w:sz w:val="24"/>
          <w:szCs w:val="24"/>
        </w:rPr>
        <w:t>it;</w:t>
      </w:r>
    </w:p>
    <w:p w:rsidR="001B5409" w:rsidRPr="00C20D2D" w:rsidP="001B5409" w14:paraId="65168419"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submit more than an original and two copies of any </w:t>
      </w:r>
      <w:r w:rsidRPr="00C20D2D">
        <w:rPr>
          <w:bCs w:val="0"/>
          <w:iCs/>
          <w:sz w:val="24"/>
          <w:szCs w:val="24"/>
        </w:rPr>
        <w:t>document;</w:t>
      </w:r>
    </w:p>
    <w:p w:rsidR="001B5409" w:rsidRPr="00C20D2D" w:rsidP="001B5409" w14:paraId="2BD69ED5"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retain records, other than health, medical, government contract, grant-in-aid, or tax records for more than three </w:t>
      </w:r>
      <w:r w:rsidRPr="00C20D2D">
        <w:rPr>
          <w:bCs w:val="0"/>
          <w:iCs/>
          <w:sz w:val="24"/>
          <w:szCs w:val="24"/>
        </w:rPr>
        <w:t>years;</w:t>
      </w:r>
    </w:p>
    <w:p w:rsidR="001B5409" w:rsidRPr="00C20D2D" w:rsidP="001B5409" w14:paraId="63980C7F" w14:textId="77777777">
      <w:pPr>
        <w:widowControl/>
        <w:numPr>
          <w:ilvl w:val="0"/>
          <w:numId w:val="11"/>
        </w:numPr>
        <w:tabs>
          <w:tab w:val="left" w:pos="-1440"/>
        </w:tabs>
        <w:rPr>
          <w:bCs w:val="0"/>
          <w:iCs/>
          <w:sz w:val="24"/>
          <w:szCs w:val="24"/>
        </w:rPr>
      </w:pPr>
      <w:r w:rsidRPr="00C20D2D">
        <w:rPr>
          <w:bCs w:val="0"/>
          <w:iCs/>
          <w:sz w:val="24"/>
          <w:szCs w:val="24"/>
        </w:rPr>
        <w:t xml:space="preserve">in connection with a statistical survey, that is not designed to produce valid and reliable results that can be generalized to the universe of </w:t>
      </w:r>
      <w:r w:rsidRPr="00C20D2D">
        <w:rPr>
          <w:bCs w:val="0"/>
          <w:iCs/>
          <w:sz w:val="24"/>
          <w:szCs w:val="24"/>
        </w:rPr>
        <w:t>study;</w:t>
      </w:r>
    </w:p>
    <w:p w:rsidR="001B5409" w:rsidRPr="00C20D2D" w:rsidP="001B5409" w14:paraId="5B244A0A" w14:textId="77777777">
      <w:pPr>
        <w:widowControl/>
        <w:numPr>
          <w:ilvl w:val="0"/>
          <w:numId w:val="11"/>
        </w:numPr>
        <w:tabs>
          <w:tab w:val="left" w:pos="-1440"/>
        </w:tabs>
        <w:rPr>
          <w:bCs w:val="0"/>
          <w:iCs/>
          <w:sz w:val="24"/>
          <w:szCs w:val="24"/>
        </w:rPr>
      </w:pPr>
      <w:r w:rsidRPr="00C20D2D">
        <w:rPr>
          <w:bCs w:val="0"/>
          <w:iCs/>
          <w:sz w:val="24"/>
          <w:szCs w:val="24"/>
        </w:rPr>
        <w:t xml:space="preserve">requiring the use of a statistical data classification that has not been reviewed and approved by </w:t>
      </w:r>
      <w:r w:rsidRPr="00C20D2D">
        <w:rPr>
          <w:bCs w:val="0"/>
          <w:iCs/>
          <w:sz w:val="24"/>
          <w:szCs w:val="24"/>
        </w:rPr>
        <w:t>OMB;</w:t>
      </w:r>
    </w:p>
    <w:p w:rsidR="001B5409" w:rsidP="001B5409" w14:paraId="1A393CAC" w14:textId="77777777">
      <w:pPr>
        <w:widowControl/>
        <w:numPr>
          <w:ilvl w:val="0"/>
          <w:numId w:val="11"/>
        </w:numPr>
        <w:tabs>
          <w:tab w:val="left" w:pos="-1440"/>
        </w:tabs>
        <w:rPr>
          <w:bCs w:val="0"/>
          <w:iCs/>
          <w:sz w:val="24"/>
          <w:szCs w:val="24"/>
        </w:rPr>
      </w:pPr>
      <w:r w:rsidRPr="00C20D2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5409" w:rsidP="001B5409" w14:paraId="20D96090"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submit proprietary trade </w:t>
      </w:r>
      <w:r w:rsidRPr="00C20D2D">
        <w:rPr>
          <w:bCs w:val="0"/>
          <w:iCs/>
          <w:sz w:val="24"/>
          <w:szCs w:val="24"/>
        </w:rPr>
        <w:t>secret</w:t>
      </w:r>
      <w:r w:rsidRPr="00C20D2D">
        <w:rPr>
          <w:bCs w:val="0"/>
          <w:iCs/>
          <w:sz w:val="24"/>
          <w:szCs w:val="24"/>
        </w:rPr>
        <w:t>, or other confidential information unless the agency can demonstrate that it has instituted procedures to protect the information's confidentiality to the extent permitted by law.</w:t>
      </w:r>
    </w:p>
    <w:p w:rsidR="00AA1E33" w:rsidRPr="00A92375" w:rsidP="00165DCD" w14:paraId="4E5A3221" w14:textId="77777777">
      <w:pPr>
        <w:widowControl/>
        <w:tabs>
          <w:tab w:val="left" w:pos="-1440"/>
        </w:tabs>
        <w:rPr>
          <w:b w:val="0"/>
          <w:bCs w:val="0"/>
          <w:i/>
          <w:iCs/>
          <w:sz w:val="24"/>
          <w:szCs w:val="24"/>
        </w:rPr>
      </w:pPr>
    </w:p>
    <w:p w:rsidR="00AA1E33" w:rsidRPr="00A92375" w:rsidP="00A61ACE" w14:paraId="7541F034" w14:textId="51C6B8B1">
      <w:pPr>
        <w:pStyle w:val="BodyTextIndent2"/>
        <w:widowControl/>
        <w:ind w:left="720" w:firstLine="0"/>
        <w:rPr>
          <w:b w:val="0"/>
          <w:bCs w:val="0"/>
          <w:szCs w:val="24"/>
        </w:rPr>
      </w:pPr>
      <w:r>
        <w:rPr>
          <w:b w:val="0"/>
          <w:bCs w:val="0"/>
          <w:szCs w:val="24"/>
        </w:rPr>
        <w:t>The proposal would require a covered service provider to confirm receipt of a request for an audit no later than 10 business days after the information is requested</w:t>
      </w:r>
      <w:r w:rsidR="00540514">
        <w:rPr>
          <w:b w:val="0"/>
          <w:bCs w:val="0"/>
          <w:szCs w:val="24"/>
        </w:rPr>
        <w:t>.</w:t>
      </w:r>
      <w:r>
        <w:rPr>
          <w:b w:val="0"/>
          <w:bCs w:val="0"/>
          <w:szCs w:val="24"/>
        </w:rPr>
        <w:t xml:space="preserve"> The 10-day deadline is limited to </w:t>
      </w:r>
      <w:r w:rsidR="00803AC8">
        <w:rPr>
          <w:b w:val="0"/>
          <w:bCs w:val="0"/>
          <w:szCs w:val="24"/>
        </w:rPr>
        <w:t>confirmation</w:t>
      </w:r>
      <w:r w:rsidR="00B10853">
        <w:rPr>
          <w:b w:val="0"/>
          <w:bCs w:val="0"/>
          <w:szCs w:val="24"/>
        </w:rPr>
        <w:t xml:space="preserve"> </w:t>
      </w:r>
      <w:r w:rsidR="001A7D35">
        <w:rPr>
          <w:b w:val="0"/>
          <w:bCs w:val="0"/>
          <w:szCs w:val="24"/>
        </w:rPr>
        <w:t xml:space="preserve">of </w:t>
      </w:r>
      <w:r>
        <w:rPr>
          <w:b w:val="0"/>
          <w:bCs w:val="0"/>
          <w:szCs w:val="24"/>
        </w:rPr>
        <w:t xml:space="preserve">receipt of the request for an audit; the </w:t>
      </w:r>
      <w:r w:rsidR="000F518B">
        <w:rPr>
          <w:b w:val="0"/>
          <w:bCs w:val="0"/>
          <w:szCs w:val="24"/>
        </w:rPr>
        <w:t>audit</w:t>
      </w:r>
      <w:r>
        <w:rPr>
          <w:b w:val="0"/>
          <w:bCs w:val="0"/>
          <w:szCs w:val="24"/>
        </w:rPr>
        <w:t xml:space="preserve"> information requested is required to be provided within a commercially reasonable period. </w:t>
      </w:r>
    </w:p>
    <w:p w:rsidR="00AA1E33" w:rsidRPr="00A92375" w:rsidP="00A61ACE" w14:paraId="7DA90162" w14:textId="77777777">
      <w:pPr>
        <w:widowControl/>
        <w:tabs>
          <w:tab w:val="left" w:pos="-1440"/>
        </w:tabs>
        <w:ind w:left="720"/>
        <w:rPr>
          <w:b w:val="0"/>
          <w:bCs w:val="0"/>
          <w:sz w:val="24"/>
          <w:szCs w:val="24"/>
        </w:rPr>
      </w:pPr>
    </w:p>
    <w:p w:rsidR="00267932" w:rsidRPr="0057004B" w:rsidP="0057004B" w14:paraId="57A70E9A" w14:textId="58708D9E">
      <w:pPr>
        <w:pStyle w:val="Heading1"/>
        <w:numPr>
          <w:ilvl w:val="0"/>
          <w:numId w:val="37"/>
        </w:numPr>
      </w:pPr>
      <w:r w:rsidRPr="008E3DFC">
        <w:t>If applicable, provide a copy and identify the date and page number of publication in the Federal Register of the agency's notice, required by 5 CFR 1320.8(d), soliciting comments on the information collection prior to submission to OMB.</w:t>
      </w:r>
      <w:r w:rsidR="00D309FC">
        <w:t xml:space="preserve"> </w:t>
      </w:r>
      <w:r w:rsidRPr="008E3DFC">
        <w:t>Summarize public comments received in response to that notice and describe actions taken by the agency in response to these comments.</w:t>
      </w:r>
      <w:r w:rsidR="00D309FC">
        <w:t xml:space="preserve"> </w:t>
      </w:r>
      <w:r w:rsidRPr="008E3DFC">
        <w:t>Specifically address comments received on cost and hour burden.</w:t>
      </w:r>
    </w:p>
    <w:p w:rsidR="00267932" w:rsidRPr="008E3DFC" w:rsidP="00267932" w14:paraId="3EE8097B" w14:textId="77777777">
      <w:pPr>
        <w:widowControl/>
        <w:rPr>
          <w:bCs w:val="0"/>
          <w:iCs/>
          <w:sz w:val="24"/>
          <w:szCs w:val="24"/>
        </w:rPr>
      </w:pPr>
    </w:p>
    <w:p w:rsidR="00267932" w:rsidRPr="008E3DFC" w:rsidP="00267932" w14:paraId="66C07DDC" w14:textId="77777777">
      <w:pPr>
        <w:pStyle w:val="BodyText3"/>
        <w:ind w:left="720"/>
        <w:rPr>
          <w:bCs w:val="0"/>
          <w:i w:val="0"/>
          <w:sz w:val="24"/>
          <w:szCs w:val="24"/>
        </w:rPr>
      </w:pPr>
      <w:r w:rsidRPr="008E3DFC">
        <w:rPr>
          <w:bCs w:val="0"/>
          <w:i w:val="0"/>
          <w:sz w:val="24"/>
          <w:szCs w:val="24"/>
        </w:rPr>
        <w:t xml:space="preserve">Describe efforts to consult with </w:t>
      </w:r>
      <w:r w:rsidRPr="008E3DFC">
        <w:rPr>
          <w:bCs w:val="0"/>
          <w:i w:val="0"/>
          <w:sz w:val="24"/>
          <w:szCs w:val="24"/>
        </w:rPr>
        <w:t>persons</w:t>
      </w:r>
      <w:r w:rsidRPr="008E3DFC">
        <w:rPr>
          <w:bCs w:val="0"/>
          <w:i w:val="0"/>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267932" w:rsidRPr="008E3DFC" w:rsidP="00267932" w14:paraId="01A95A62" w14:textId="77777777">
      <w:pPr>
        <w:widowControl/>
        <w:ind w:left="720"/>
        <w:rPr>
          <w:bCs w:val="0"/>
          <w:iCs/>
          <w:sz w:val="24"/>
          <w:szCs w:val="24"/>
        </w:rPr>
      </w:pPr>
    </w:p>
    <w:p w:rsidR="00267932" w:rsidP="00267932" w14:paraId="58FD25EF" w14:textId="0849F76C">
      <w:pPr>
        <w:pStyle w:val="BodyText3"/>
        <w:ind w:left="720"/>
        <w:rPr>
          <w:bCs w:val="0"/>
          <w:i w:val="0"/>
          <w:sz w:val="24"/>
          <w:szCs w:val="24"/>
        </w:rPr>
      </w:pPr>
      <w:r w:rsidRPr="008E3DFC">
        <w:rPr>
          <w:bCs w:val="0"/>
          <w:i w:val="0"/>
          <w:sz w:val="24"/>
          <w:szCs w:val="24"/>
        </w:rPr>
        <w:t>Consultation</w:t>
      </w:r>
      <w:r w:rsidRPr="008E3DFC">
        <w:rPr>
          <w:bCs w:val="0"/>
          <w:i w:val="0"/>
          <w:sz w:val="24"/>
          <w:szCs w:val="24"/>
        </w:rPr>
        <w:t xml:space="preserve"> with representatives of those from whom information is to be obtained or those who must compile records should occur at least once every 3 years -- even if the collection of information activity is the same as in prior periods.</w:t>
      </w:r>
      <w:r w:rsidR="00D309FC">
        <w:rPr>
          <w:bCs w:val="0"/>
          <w:i w:val="0"/>
          <w:sz w:val="24"/>
          <w:szCs w:val="24"/>
        </w:rPr>
        <w:t xml:space="preserve"> </w:t>
      </w:r>
      <w:r w:rsidRPr="008E3DFC">
        <w:rPr>
          <w:bCs w:val="0"/>
          <w:i w:val="0"/>
          <w:sz w:val="24"/>
          <w:szCs w:val="24"/>
        </w:rPr>
        <w:t>There may be circumstances that may preclude consultation in a specific situation.</w:t>
      </w:r>
      <w:r w:rsidR="00D309FC">
        <w:rPr>
          <w:bCs w:val="0"/>
          <w:i w:val="0"/>
          <w:sz w:val="24"/>
          <w:szCs w:val="24"/>
        </w:rPr>
        <w:t xml:space="preserve"> </w:t>
      </w:r>
      <w:r w:rsidRPr="008E3DFC">
        <w:rPr>
          <w:bCs w:val="0"/>
          <w:i w:val="0"/>
          <w:sz w:val="24"/>
          <w:szCs w:val="24"/>
        </w:rPr>
        <w:t>These circumstances should be explained.</w:t>
      </w:r>
    </w:p>
    <w:p w:rsidR="009D063E" w:rsidP="00267932" w14:paraId="277938E7" w14:textId="310804DB">
      <w:pPr>
        <w:pStyle w:val="BodyText3"/>
        <w:ind w:left="720"/>
        <w:rPr>
          <w:bCs w:val="0"/>
          <w:i w:val="0"/>
          <w:sz w:val="24"/>
          <w:szCs w:val="24"/>
        </w:rPr>
      </w:pPr>
    </w:p>
    <w:p w:rsidR="009D063E" w:rsidRPr="0051488E" w:rsidP="0051488E" w14:paraId="59B14AC1" w14:textId="577B8AA4">
      <w:pPr>
        <w:pStyle w:val="BodyText3"/>
        <w:ind w:left="720"/>
        <w:rPr>
          <w:b w:val="0"/>
          <w:i w:val="0"/>
          <w:iCs w:val="0"/>
          <w:sz w:val="24"/>
          <w:szCs w:val="24"/>
        </w:rPr>
      </w:pPr>
      <w:bookmarkStart w:id="0" w:name="OLE_LINK6"/>
      <w:r w:rsidRPr="0051488E">
        <w:rPr>
          <w:b w:val="0"/>
          <w:i w:val="0"/>
          <w:iCs w:val="0"/>
          <w:sz w:val="24"/>
          <w:szCs w:val="24"/>
        </w:rPr>
        <w:t>In addition to requesting public comment on the proposed regulation, the NPRM solicit</w:t>
      </w:r>
      <w:r w:rsidR="00941D53">
        <w:rPr>
          <w:b w:val="0"/>
          <w:i w:val="0"/>
          <w:iCs w:val="0"/>
          <w:sz w:val="24"/>
          <w:szCs w:val="24"/>
        </w:rPr>
        <w:t>ed</w:t>
      </w:r>
      <w:r w:rsidRPr="0051488E">
        <w:rPr>
          <w:b w:val="0"/>
          <w:i w:val="0"/>
          <w:iCs w:val="0"/>
          <w:sz w:val="24"/>
          <w:szCs w:val="24"/>
        </w:rPr>
        <w:t xml:space="preserve"> public comment on the paperwork burden of the proposed regulation. The Office of Management and Budget </w:t>
      </w:r>
      <w:r w:rsidRPr="0051488E">
        <w:rPr>
          <w:b w:val="0"/>
          <w:i w:val="0"/>
          <w:iCs w:val="0"/>
          <w:sz w:val="24"/>
          <w:szCs w:val="24"/>
        </w:rPr>
        <w:t>has</w:t>
      </w:r>
      <w:r w:rsidRPr="0051488E">
        <w:rPr>
          <w:b w:val="0"/>
          <w:i w:val="0"/>
          <w:iCs w:val="0"/>
          <w:sz w:val="24"/>
          <w:szCs w:val="24"/>
        </w:rPr>
        <w:t xml:space="preserve"> 60 days to review the </w:t>
      </w:r>
      <w:r w:rsidRPr="0051488E" w:rsidR="00836049">
        <w:rPr>
          <w:b w:val="0"/>
          <w:i w:val="0"/>
          <w:iCs w:val="0"/>
          <w:sz w:val="24"/>
          <w:szCs w:val="24"/>
        </w:rPr>
        <w:t>information</w:t>
      </w:r>
      <w:r w:rsidR="00AB4B22">
        <w:rPr>
          <w:b w:val="0"/>
          <w:i w:val="0"/>
          <w:iCs w:val="0"/>
          <w:sz w:val="24"/>
          <w:szCs w:val="24"/>
        </w:rPr>
        <w:t>,</w:t>
      </w:r>
      <w:r w:rsidRPr="0051488E" w:rsidR="00836049">
        <w:rPr>
          <w:b w:val="0"/>
          <w:i w:val="0"/>
          <w:iCs w:val="0"/>
          <w:sz w:val="24"/>
          <w:szCs w:val="24"/>
        </w:rPr>
        <w:t xml:space="preserve"> but</w:t>
      </w:r>
      <w:r w:rsidRPr="0051488E">
        <w:rPr>
          <w:b w:val="0"/>
          <w:i w:val="0"/>
          <w:iCs w:val="0"/>
          <w:sz w:val="24"/>
          <w:szCs w:val="24"/>
        </w:rPr>
        <w:t xml:space="preserve"> must allow at least 30 days for public comment.</w:t>
      </w:r>
      <w:r w:rsidR="00D309FC">
        <w:rPr>
          <w:b w:val="0"/>
          <w:i w:val="0"/>
          <w:iCs w:val="0"/>
          <w:sz w:val="24"/>
          <w:szCs w:val="24"/>
        </w:rPr>
        <w:t xml:space="preserve"> </w:t>
      </w:r>
      <w:r w:rsidRPr="0051488E">
        <w:rPr>
          <w:b w:val="0"/>
          <w:i w:val="0"/>
          <w:iCs w:val="0"/>
          <w:sz w:val="24"/>
          <w:szCs w:val="24"/>
        </w:rPr>
        <w:t>Therefore, the PRA section of the proposed rule request</w:t>
      </w:r>
      <w:r w:rsidR="00941D53">
        <w:rPr>
          <w:b w:val="0"/>
          <w:i w:val="0"/>
          <w:iCs w:val="0"/>
          <w:sz w:val="24"/>
          <w:szCs w:val="24"/>
        </w:rPr>
        <w:t xml:space="preserve">ed </w:t>
      </w:r>
      <w:r w:rsidRPr="0051488E">
        <w:rPr>
          <w:b w:val="0"/>
          <w:i w:val="0"/>
          <w:iCs w:val="0"/>
          <w:sz w:val="24"/>
          <w:szCs w:val="24"/>
        </w:rPr>
        <w:t>the public to send comments within 30 days to ensure their consideration.</w:t>
      </w:r>
      <w:r w:rsidR="00D309FC">
        <w:rPr>
          <w:b w:val="0"/>
          <w:i w:val="0"/>
          <w:iCs w:val="0"/>
          <w:sz w:val="24"/>
          <w:szCs w:val="24"/>
        </w:rPr>
        <w:t xml:space="preserve"> </w:t>
      </w:r>
      <w:r w:rsidRPr="0051488E">
        <w:rPr>
          <w:b w:val="0"/>
          <w:i w:val="0"/>
          <w:iCs w:val="0"/>
          <w:sz w:val="24"/>
          <w:szCs w:val="24"/>
        </w:rPr>
        <w:t xml:space="preserve">(5 CFR </w:t>
      </w:r>
      <w:r w:rsidRPr="0051488E">
        <w:rPr>
          <w:b w:val="0"/>
          <w:i w:val="0"/>
          <w:iCs w:val="0"/>
          <w:sz w:val="24"/>
          <w:szCs w:val="24"/>
        </w:rPr>
        <w:t xml:space="preserve">1320.11(c); 5 CFR 1320.11(e)). </w:t>
      </w:r>
      <w:r w:rsidRPr="001E5704" w:rsidR="001E5704">
        <w:rPr>
          <w:b w:val="0"/>
          <w:i w:val="0"/>
          <w:iCs w:val="0"/>
          <w:sz w:val="24"/>
          <w:szCs w:val="24"/>
        </w:rPr>
        <w:t>Th</w:t>
      </w:r>
      <w:r w:rsidR="00821097">
        <w:rPr>
          <w:b w:val="0"/>
          <w:i w:val="0"/>
          <w:iCs w:val="0"/>
          <w:sz w:val="24"/>
          <w:szCs w:val="24"/>
        </w:rPr>
        <w:t>e</w:t>
      </w:r>
      <w:r w:rsidRPr="001E5704" w:rsidR="001E5704">
        <w:rPr>
          <w:b w:val="0"/>
          <w:i w:val="0"/>
          <w:iCs w:val="0"/>
          <w:sz w:val="24"/>
          <w:szCs w:val="24"/>
        </w:rPr>
        <w:t xml:space="preserve"> ICR</w:t>
      </w:r>
      <w:r w:rsidR="006B4419">
        <w:rPr>
          <w:b w:val="0"/>
          <w:i w:val="0"/>
          <w:iCs w:val="0"/>
          <w:sz w:val="24"/>
          <w:szCs w:val="24"/>
        </w:rPr>
        <w:t xml:space="preserve"> will incorporate</w:t>
      </w:r>
      <w:r w:rsidR="006B4419">
        <w:rPr>
          <w:b w:val="0"/>
          <w:i w:val="0"/>
          <w:iCs w:val="0"/>
          <w:sz w:val="24"/>
          <w:szCs w:val="24"/>
        </w:rPr>
        <w:t xml:space="preserve"> </w:t>
      </w:r>
      <w:r w:rsidR="006B4419">
        <w:rPr>
          <w:b w:val="0"/>
          <w:i w:val="0"/>
          <w:iCs w:val="0"/>
          <w:sz w:val="24"/>
          <w:szCs w:val="24"/>
        </w:rPr>
        <w:t>public comments</w:t>
      </w:r>
      <w:r w:rsidR="00B30C3F">
        <w:rPr>
          <w:b w:val="0"/>
          <w:i w:val="0"/>
          <w:iCs w:val="0"/>
          <w:sz w:val="24"/>
          <w:szCs w:val="24"/>
        </w:rPr>
        <w:t xml:space="preserve"> received</w:t>
      </w:r>
      <w:r w:rsidR="0050488E">
        <w:rPr>
          <w:b w:val="0"/>
          <w:i w:val="0"/>
          <w:iCs w:val="0"/>
          <w:sz w:val="24"/>
          <w:szCs w:val="24"/>
        </w:rPr>
        <w:t xml:space="preserve"> on the proposal</w:t>
      </w:r>
      <w:r w:rsidR="006B4419">
        <w:rPr>
          <w:b w:val="0"/>
          <w:i w:val="0"/>
          <w:iCs w:val="0"/>
          <w:sz w:val="24"/>
          <w:szCs w:val="24"/>
        </w:rPr>
        <w:t xml:space="preserve"> </w:t>
      </w:r>
      <w:r w:rsidR="00971239">
        <w:rPr>
          <w:b w:val="0"/>
          <w:i w:val="0"/>
          <w:iCs w:val="0"/>
          <w:sz w:val="24"/>
          <w:szCs w:val="24"/>
        </w:rPr>
        <w:t>du</w:t>
      </w:r>
      <w:r w:rsidR="002C00E9">
        <w:rPr>
          <w:b w:val="0"/>
          <w:i w:val="0"/>
          <w:iCs w:val="0"/>
          <w:sz w:val="24"/>
          <w:szCs w:val="24"/>
        </w:rPr>
        <w:t xml:space="preserve">ring </w:t>
      </w:r>
      <w:r w:rsidR="000E3176">
        <w:rPr>
          <w:b w:val="0"/>
          <w:i w:val="0"/>
          <w:iCs w:val="0"/>
          <w:sz w:val="24"/>
          <w:szCs w:val="24"/>
        </w:rPr>
        <w:t>a submission associated with the final rule.</w:t>
      </w:r>
    </w:p>
    <w:p w:rsidR="00AA1E33" w:rsidRPr="00A92375" w:rsidP="00F0391B" w14:paraId="02A534D8" w14:textId="77777777">
      <w:pPr>
        <w:pStyle w:val="BodyText3"/>
      </w:pPr>
    </w:p>
    <w:bookmarkEnd w:id="0"/>
    <w:p w:rsidR="00D16BD2" w:rsidRPr="00C20D2D" w:rsidP="0057004B" w14:paraId="77BE3330" w14:textId="4B6B4B17">
      <w:pPr>
        <w:pStyle w:val="Heading1"/>
        <w:numPr>
          <w:ilvl w:val="0"/>
          <w:numId w:val="37"/>
        </w:numPr>
      </w:pPr>
      <w:r w:rsidRPr="00C20D2D">
        <w:t>Explain any decision to provide any payment or gift to respondents, other than remuneration of contractors or grantees.</w:t>
      </w:r>
    </w:p>
    <w:p w:rsidR="00AA1E33" w:rsidRPr="00524D76" w:rsidP="005E7C77" w14:paraId="56BEA409" w14:textId="77777777">
      <w:pPr>
        <w:widowControl/>
        <w:tabs>
          <w:tab w:val="left" w:pos="-1440"/>
        </w:tabs>
        <w:rPr>
          <w:b w:val="0"/>
          <w:i/>
          <w:sz w:val="24"/>
          <w:szCs w:val="24"/>
        </w:rPr>
      </w:pPr>
    </w:p>
    <w:p w:rsidR="00AA1E33" w:rsidRPr="00A92375" w:rsidP="009B2C70" w14:paraId="6AA7C0D0" w14:textId="4C8EE30E">
      <w:pPr>
        <w:pStyle w:val="BodyText"/>
        <w:ind w:left="720"/>
        <w:rPr>
          <w:szCs w:val="24"/>
        </w:rPr>
      </w:pPr>
      <w:r>
        <w:rPr>
          <w:szCs w:val="24"/>
        </w:rPr>
        <w:t>There are no payments or gifts</w:t>
      </w:r>
      <w:r w:rsidR="00F03755">
        <w:rPr>
          <w:szCs w:val="24"/>
        </w:rPr>
        <w:t xml:space="preserve"> in this information collection. </w:t>
      </w:r>
    </w:p>
    <w:p w:rsidR="00D16BD2" w:rsidRPr="00A92375" w:rsidP="009B2C70" w14:paraId="409CD9B5" w14:textId="77777777">
      <w:pPr>
        <w:pStyle w:val="BodyText"/>
        <w:ind w:left="720"/>
        <w:rPr>
          <w:szCs w:val="24"/>
        </w:rPr>
      </w:pPr>
    </w:p>
    <w:p w:rsidR="00D16BD2" w:rsidRPr="00C20D2D" w:rsidP="0057004B" w14:paraId="5C58CF0B" w14:textId="22A3F570">
      <w:pPr>
        <w:pStyle w:val="Heading1"/>
        <w:numPr>
          <w:ilvl w:val="0"/>
          <w:numId w:val="37"/>
        </w:numPr>
      </w:pPr>
      <w:r w:rsidRPr="00C20D2D">
        <w:t>Describe any assurance of confidentiality provided to respondents and the basis for the assurance in statute, regulation, or agency policy.</w:t>
      </w:r>
    </w:p>
    <w:p w:rsidR="00AA1E33" w:rsidRPr="00A92375" w:rsidP="005E7C77" w14:paraId="560BAE1D" w14:textId="77777777">
      <w:pPr>
        <w:widowControl/>
        <w:rPr>
          <w:b w:val="0"/>
          <w:bCs w:val="0"/>
          <w:sz w:val="24"/>
          <w:szCs w:val="24"/>
        </w:rPr>
      </w:pPr>
    </w:p>
    <w:p w:rsidR="003E1E53" w:rsidRPr="00A92375" w:rsidP="009B2C70" w14:paraId="19237590" w14:textId="309DB1F2">
      <w:pPr>
        <w:widowControl/>
        <w:ind w:left="720"/>
        <w:rPr>
          <w:b w:val="0"/>
          <w:bCs w:val="0"/>
          <w:sz w:val="24"/>
          <w:szCs w:val="24"/>
        </w:rPr>
      </w:pPr>
      <w:r w:rsidRPr="06A57FD9">
        <w:rPr>
          <w:b w:val="0"/>
          <w:bCs w:val="0"/>
          <w:sz w:val="24"/>
          <w:szCs w:val="24"/>
        </w:rPr>
        <w:t xml:space="preserve">Under the audit provision, </w:t>
      </w:r>
      <w:r w:rsidRPr="06A57FD9" w:rsidR="00CF311F">
        <w:rPr>
          <w:b w:val="0"/>
          <w:bCs w:val="0"/>
          <w:sz w:val="24"/>
          <w:szCs w:val="24"/>
        </w:rPr>
        <w:t xml:space="preserve">information necessary to confirm the accuracy of the disclosures must be provided to the </w:t>
      </w:r>
      <w:r w:rsidRPr="06A57FD9" w:rsidR="003A2AE9">
        <w:rPr>
          <w:b w:val="0"/>
          <w:bCs w:val="0"/>
          <w:sz w:val="24"/>
          <w:szCs w:val="24"/>
        </w:rPr>
        <w:t xml:space="preserve">self-insured group health plan.  If </w:t>
      </w:r>
      <w:r w:rsidRPr="06A57FD9" w:rsidR="00BC3A0A">
        <w:rPr>
          <w:b w:val="0"/>
          <w:bCs w:val="0"/>
          <w:sz w:val="24"/>
          <w:szCs w:val="24"/>
        </w:rPr>
        <w:t>requested</w:t>
      </w:r>
      <w:r w:rsidRPr="06A57FD9" w:rsidR="003A2AE9">
        <w:rPr>
          <w:b w:val="0"/>
          <w:bCs w:val="0"/>
          <w:sz w:val="24"/>
          <w:szCs w:val="24"/>
        </w:rPr>
        <w:t xml:space="preserve">, contracts with retail pharmacies and drug manufacturers </w:t>
      </w:r>
      <w:r w:rsidRPr="06A57FD9" w:rsidR="00BC3A0A">
        <w:rPr>
          <w:b w:val="0"/>
          <w:bCs w:val="0"/>
          <w:sz w:val="24"/>
          <w:szCs w:val="24"/>
        </w:rPr>
        <w:t>must</w:t>
      </w:r>
      <w:r w:rsidRPr="06A57FD9" w:rsidR="00FD0D77">
        <w:rPr>
          <w:b w:val="0"/>
          <w:bCs w:val="0"/>
          <w:sz w:val="24"/>
          <w:szCs w:val="24"/>
        </w:rPr>
        <w:t xml:space="preserve"> be provided subject to reasonable confidentiality agreements to prevent redisclosure of the information</w:t>
      </w:r>
      <w:r w:rsidRPr="06A57FD9" w:rsidR="00540514">
        <w:rPr>
          <w:b w:val="0"/>
          <w:bCs w:val="0"/>
          <w:sz w:val="24"/>
          <w:szCs w:val="24"/>
        </w:rPr>
        <w:t xml:space="preserve">. </w:t>
      </w:r>
      <w:r w:rsidRPr="06A57FD9" w:rsidR="00E93852">
        <w:rPr>
          <w:b w:val="0"/>
          <w:bCs w:val="0"/>
          <w:sz w:val="24"/>
          <w:szCs w:val="24"/>
        </w:rPr>
        <w:t xml:space="preserve">If redisclosure </w:t>
      </w:r>
      <w:r w:rsidRPr="06A57FD9" w:rsidR="00727C72">
        <w:rPr>
          <w:b w:val="0"/>
          <w:bCs w:val="0"/>
          <w:sz w:val="24"/>
          <w:szCs w:val="24"/>
        </w:rPr>
        <w:t>to a third</w:t>
      </w:r>
      <w:r w:rsidRPr="06A57FD9" w:rsidR="00816DB8">
        <w:rPr>
          <w:b w:val="0"/>
          <w:bCs w:val="0"/>
          <w:sz w:val="24"/>
          <w:szCs w:val="24"/>
        </w:rPr>
        <w:t xml:space="preserve"> </w:t>
      </w:r>
      <w:r w:rsidRPr="06A57FD9" w:rsidR="00727C72">
        <w:rPr>
          <w:b w:val="0"/>
          <w:bCs w:val="0"/>
          <w:sz w:val="24"/>
          <w:szCs w:val="24"/>
        </w:rPr>
        <w:t xml:space="preserve">party by the </w:t>
      </w:r>
      <w:r w:rsidRPr="06A57FD9" w:rsidR="00816DB8">
        <w:rPr>
          <w:b w:val="0"/>
          <w:bCs w:val="0"/>
          <w:sz w:val="24"/>
          <w:szCs w:val="24"/>
        </w:rPr>
        <w:t>self-insured</w:t>
      </w:r>
      <w:r w:rsidRPr="06A57FD9" w:rsidR="00727C72">
        <w:rPr>
          <w:b w:val="0"/>
          <w:bCs w:val="0"/>
          <w:sz w:val="24"/>
          <w:szCs w:val="24"/>
        </w:rPr>
        <w:t xml:space="preserve"> group health plan </w:t>
      </w:r>
      <w:r w:rsidRPr="06A57FD9" w:rsidR="00E93852">
        <w:rPr>
          <w:b w:val="0"/>
          <w:bCs w:val="0"/>
          <w:sz w:val="24"/>
          <w:szCs w:val="24"/>
        </w:rPr>
        <w:t>is necessary</w:t>
      </w:r>
      <w:r w:rsidRPr="06A57FD9" w:rsidR="00727C72">
        <w:rPr>
          <w:b w:val="0"/>
          <w:bCs w:val="0"/>
          <w:sz w:val="24"/>
          <w:szCs w:val="24"/>
        </w:rPr>
        <w:t>,</w:t>
      </w:r>
      <w:r w:rsidRPr="06A57FD9" w:rsidR="00E93852">
        <w:rPr>
          <w:b w:val="0"/>
          <w:bCs w:val="0"/>
          <w:sz w:val="24"/>
          <w:szCs w:val="24"/>
        </w:rPr>
        <w:t xml:space="preserve"> </w:t>
      </w:r>
      <w:r w:rsidRPr="06A57FD9" w:rsidR="00727C72">
        <w:rPr>
          <w:b w:val="0"/>
          <w:bCs w:val="0"/>
          <w:sz w:val="24"/>
          <w:szCs w:val="24"/>
        </w:rPr>
        <w:t xml:space="preserve">the covered </w:t>
      </w:r>
      <w:r w:rsidRPr="06A57FD9" w:rsidR="00315824">
        <w:rPr>
          <w:b w:val="0"/>
          <w:bCs w:val="0"/>
          <w:sz w:val="24"/>
          <w:szCs w:val="24"/>
        </w:rPr>
        <w:t xml:space="preserve">contract or arrangement </w:t>
      </w:r>
      <w:r w:rsidRPr="06A57FD9" w:rsidR="00133C7C">
        <w:rPr>
          <w:b w:val="0"/>
          <w:bCs w:val="0"/>
          <w:sz w:val="24"/>
          <w:szCs w:val="24"/>
        </w:rPr>
        <w:t xml:space="preserve">may also require the responsible plan fiduciary to </w:t>
      </w:r>
      <w:r w:rsidRPr="06A57FD9" w:rsidR="00816DB8">
        <w:rPr>
          <w:b w:val="0"/>
          <w:bCs w:val="0"/>
          <w:sz w:val="24"/>
          <w:szCs w:val="24"/>
        </w:rPr>
        <w:t>establish</w:t>
      </w:r>
      <w:r w:rsidRPr="06A57FD9" w:rsidR="00133C7C">
        <w:rPr>
          <w:b w:val="0"/>
          <w:bCs w:val="0"/>
          <w:sz w:val="24"/>
          <w:szCs w:val="24"/>
        </w:rPr>
        <w:t xml:space="preserve"> </w:t>
      </w:r>
      <w:r w:rsidRPr="06A57FD9" w:rsidR="003A7E73">
        <w:rPr>
          <w:b w:val="0"/>
          <w:bCs w:val="0"/>
          <w:sz w:val="24"/>
          <w:szCs w:val="24"/>
        </w:rPr>
        <w:t xml:space="preserve">reasonable </w:t>
      </w:r>
      <w:r w:rsidRPr="06A57FD9" w:rsidR="00EC1D06">
        <w:rPr>
          <w:b w:val="0"/>
          <w:bCs w:val="0"/>
          <w:sz w:val="24"/>
          <w:szCs w:val="24"/>
        </w:rPr>
        <w:t xml:space="preserve">confidentiality agreements </w:t>
      </w:r>
      <w:r w:rsidRPr="06A57FD9" w:rsidR="00AA5348">
        <w:rPr>
          <w:b w:val="0"/>
          <w:bCs w:val="0"/>
          <w:sz w:val="24"/>
          <w:szCs w:val="24"/>
        </w:rPr>
        <w:t>with</w:t>
      </w:r>
      <w:r w:rsidRPr="06A57FD9" w:rsidR="00816DB8">
        <w:rPr>
          <w:b w:val="0"/>
          <w:bCs w:val="0"/>
          <w:sz w:val="24"/>
          <w:szCs w:val="24"/>
        </w:rPr>
        <w:t xml:space="preserve"> such</w:t>
      </w:r>
      <w:r w:rsidRPr="06A57FD9" w:rsidR="00AA5348">
        <w:rPr>
          <w:b w:val="0"/>
          <w:bCs w:val="0"/>
          <w:sz w:val="24"/>
          <w:szCs w:val="24"/>
        </w:rPr>
        <w:t xml:space="preserve"> third parties</w:t>
      </w:r>
      <w:r w:rsidRPr="06A57FD9" w:rsidR="00816DB8">
        <w:rPr>
          <w:b w:val="0"/>
          <w:bCs w:val="0"/>
          <w:sz w:val="24"/>
          <w:szCs w:val="24"/>
        </w:rPr>
        <w:t>.</w:t>
      </w:r>
      <w:r w:rsidRPr="06A57FD9" w:rsidR="00AA5348">
        <w:rPr>
          <w:b w:val="0"/>
          <w:bCs w:val="0"/>
          <w:sz w:val="24"/>
          <w:szCs w:val="24"/>
        </w:rPr>
        <w:t xml:space="preserve"> </w:t>
      </w:r>
    </w:p>
    <w:p w:rsidR="00A73525" w:rsidRPr="00A92375" w:rsidP="009B2C70" w14:paraId="0061E5CA" w14:textId="77777777">
      <w:pPr>
        <w:widowControl/>
        <w:ind w:left="720"/>
        <w:rPr>
          <w:b w:val="0"/>
          <w:bCs w:val="0"/>
          <w:sz w:val="24"/>
          <w:szCs w:val="24"/>
        </w:rPr>
      </w:pPr>
    </w:p>
    <w:p w:rsidR="00C4178F" w:rsidRPr="0057004B" w:rsidP="0057004B" w14:paraId="46B92D01" w14:textId="7FBA0F8F">
      <w:pPr>
        <w:pStyle w:val="Heading1"/>
        <w:numPr>
          <w:ilvl w:val="0"/>
          <w:numId w:val="37"/>
        </w:numPr>
      </w:pPr>
      <w:r w:rsidRPr="00711BA1">
        <w:t>Provide additional justification for any questions of a sensitive nature, such as sexual behavior and attitudes, religious beliefs, and other matters that are commonly considered private.</w:t>
      </w:r>
      <w:r w:rsidR="00D309FC">
        <w:t xml:space="preserve"> </w:t>
      </w:r>
      <w:r w:rsidRPr="0057004B" w:rsidR="00540514">
        <w:rPr>
          <w:iCs/>
        </w:rPr>
        <w:t xml:space="preserve">This justification should include the reasons why the agency considers the questions necessary, the specific uses to be made of the information, the explanation to be given to </w:t>
      </w:r>
      <w:r w:rsidRPr="0057004B" w:rsidR="00540514">
        <w:rPr>
          <w:iCs/>
        </w:rPr>
        <w:t>persons</w:t>
      </w:r>
      <w:r w:rsidRPr="0057004B" w:rsidR="00540514">
        <w:rPr>
          <w:iCs/>
        </w:rPr>
        <w:t xml:space="preserve"> from whom the information is requested, and any steps to be taken to obtain their consent.</w:t>
      </w:r>
    </w:p>
    <w:p w:rsidR="00AA1E33" w:rsidRPr="00A92375" w:rsidP="005E7C77" w14:paraId="4900692A" w14:textId="77777777">
      <w:pPr>
        <w:widowControl/>
        <w:rPr>
          <w:b w:val="0"/>
          <w:bCs w:val="0"/>
          <w:i/>
          <w:iCs/>
          <w:sz w:val="24"/>
          <w:szCs w:val="24"/>
        </w:rPr>
      </w:pPr>
    </w:p>
    <w:p w:rsidR="003E1E53" w:rsidRPr="00A92375" w:rsidP="009B2C70" w14:paraId="2FCF4467" w14:textId="1FEC8847">
      <w:pPr>
        <w:pStyle w:val="BodyText"/>
        <w:ind w:left="720"/>
        <w:rPr>
          <w:szCs w:val="24"/>
        </w:rPr>
      </w:pPr>
      <w:r>
        <w:rPr>
          <w:szCs w:val="24"/>
        </w:rPr>
        <w:t xml:space="preserve">There are no questions of sensitive nature in this information collection. </w:t>
      </w:r>
    </w:p>
    <w:p w:rsidR="00A73525" w:rsidRPr="00A92375" w:rsidP="009B2C70" w14:paraId="3D7FFC95" w14:textId="77777777">
      <w:pPr>
        <w:pStyle w:val="BodyText"/>
        <w:ind w:left="720"/>
        <w:rPr>
          <w:szCs w:val="24"/>
        </w:rPr>
      </w:pPr>
    </w:p>
    <w:p w:rsidR="00001E1B" w:rsidP="0057004B" w14:paraId="0D6773EB" w14:textId="5E44E8E4">
      <w:pPr>
        <w:pStyle w:val="Heading1"/>
        <w:numPr>
          <w:ilvl w:val="0"/>
          <w:numId w:val="37"/>
        </w:numPr>
      </w:pPr>
      <w:r w:rsidRPr="00711BA1">
        <w:t>Provide estimates of the hour burden of the collection of information.</w:t>
      </w:r>
      <w:r w:rsidR="00D309FC">
        <w:t xml:space="preserve"> </w:t>
      </w:r>
      <w:r w:rsidRPr="00711BA1">
        <w:t>The statement should</w:t>
      </w:r>
      <w:r w:rsidR="00540514">
        <w:t>:</w:t>
      </w:r>
    </w:p>
    <w:p w:rsidR="00C4178F" w:rsidRPr="00001E1B" w:rsidP="00C4178F" w14:paraId="7B1066AD" w14:textId="57C8D3AA">
      <w:pPr>
        <w:pStyle w:val="ListParagraph"/>
        <w:widowControl/>
        <w:numPr>
          <w:ilvl w:val="0"/>
          <w:numId w:val="36"/>
        </w:numPr>
        <w:tabs>
          <w:tab w:val="left" w:pos="-1440"/>
        </w:tabs>
        <w:rPr>
          <w:bCs w:val="0"/>
          <w:iCs/>
          <w:sz w:val="24"/>
          <w:szCs w:val="24"/>
        </w:rPr>
      </w:pPr>
      <w:r>
        <w:rPr>
          <w:sz w:val="24"/>
          <w:szCs w:val="24"/>
        </w:rPr>
        <w:t>I</w:t>
      </w:r>
      <w:r w:rsidRPr="00001E1B" w:rsidR="00AA1E33">
        <w:rPr>
          <w:sz w:val="24"/>
          <w:szCs w:val="24"/>
        </w:rPr>
        <w:t>ndicate the number of respondents, frequency of response, annual hour burden, and an explanation of how the burden was estimated.</w:t>
      </w:r>
      <w:r w:rsidR="00D309FC">
        <w:rPr>
          <w:sz w:val="24"/>
          <w:szCs w:val="24"/>
        </w:rPr>
        <w:t xml:space="preserve"> </w:t>
      </w:r>
      <w:r w:rsidRPr="00001E1B" w:rsidR="00AA1E33">
        <w:rPr>
          <w:sz w:val="24"/>
          <w:szCs w:val="24"/>
        </w:rPr>
        <w:t>Unless directed to do so, agencies should not conduct special surveys to obtain information on which to base hour burden estimates.</w:t>
      </w:r>
      <w:r w:rsidR="00D309FC">
        <w:rPr>
          <w:sz w:val="24"/>
          <w:szCs w:val="24"/>
        </w:rPr>
        <w:t xml:space="preserve"> </w:t>
      </w:r>
      <w:r w:rsidRPr="00001E1B" w:rsidR="00AA1E33">
        <w:rPr>
          <w:sz w:val="24"/>
          <w:szCs w:val="24"/>
        </w:rPr>
        <w:t>Consultation with a sample (fewer than 10) of potential respondents is desirable.</w:t>
      </w:r>
      <w:r w:rsidR="00D309FC">
        <w:rPr>
          <w:sz w:val="24"/>
          <w:szCs w:val="24"/>
        </w:rPr>
        <w:t xml:space="preserve"> </w:t>
      </w:r>
      <w:r w:rsidRPr="00001E1B" w:rsidR="00AA1E33">
        <w:rPr>
          <w:sz w:val="24"/>
          <w:szCs w:val="24"/>
        </w:rPr>
        <w:t>If the hour burden on respondents is expected to vary widely because of differences in activity, size, or complexity, show the range of estimated hour burden, and explain the reasons for the variance.</w:t>
      </w:r>
      <w:r w:rsidR="00D309FC">
        <w:rPr>
          <w:sz w:val="24"/>
          <w:szCs w:val="24"/>
        </w:rPr>
        <w:t xml:space="preserve"> </w:t>
      </w:r>
      <w:r w:rsidRPr="00001E1B" w:rsidR="00AA1E33">
        <w:rPr>
          <w:sz w:val="24"/>
          <w:szCs w:val="24"/>
        </w:rPr>
        <w:t>Generally, estimates should not include burden hours for customary and usual business practices.</w:t>
      </w:r>
    </w:p>
    <w:p w:rsidR="00C4178F" w:rsidRPr="00111C13" w:rsidP="00111C13" w14:paraId="12500D56" w14:textId="1E1E34A5">
      <w:pPr>
        <w:widowControl/>
        <w:numPr>
          <w:ilvl w:val="0"/>
          <w:numId w:val="10"/>
        </w:numPr>
        <w:tabs>
          <w:tab w:val="left" w:pos="-1440"/>
          <w:tab w:val="clear" w:pos="720"/>
          <w:tab w:val="num" w:pos="1440"/>
        </w:tabs>
        <w:ind w:left="1440"/>
        <w:rPr>
          <w:bCs w:val="0"/>
          <w:iCs/>
          <w:sz w:val="24"/>
          <w:szCs w:val="24"/>
        </w:rPr>
      </w:pPr>
      <w:r w:rsidRPr="002142F2">
        <w:rPr>
          <w:bCs w:val="0"/>
          <w:iCs/>
          <w:sz w:val="24"/>
          <w:szCs w:val="24"/>
        </w:rPr>
        <w:t>If this request for approval covers more than one form, provide separate hour burden estimate</w:t>
      </w:r>
      <w:r>
        <w:rPr>
          <w:bCs w:val="0"/>
          <w:iCs/>
          <w:sz w:val="24"/>
          <w:szCs w:val="24"/>
        </w:rPr>
        <w:t xml:space="preserve">s for each form. </w:t>
      </w:r>
    </w:p>
    <w:p w:rsidR="00C4178F" w:rsidRPr="00111C13" w:rsidP="00111C13" w14:paraId="70EE0C30" w14:textId="22C405D8">
      <w:pPr>
        <w:widowControl/>
        <w:numPr>
          <w:ilvl w:val="0"/>
          <w:numId w:val="10"/>
        </w:numPr>
        <w:tabs>
          <w:tab w:val="left" w:pos="-1440"/>
          <w:tab w:val="clear" w:pos="720"/>
          <w:tab w:val="num" w:pos="1440"/>
        </w:tabs>
        <w:ind w:left="1440"/>
        <w:rPr>
          <w:bCs w:val="0"/>
          <w:iCs/>
          <w:sz w:val="24"/>
          <w:szCs w:val="24"/>
        </w:rPr>
      </w:pPr>
      <w:r w:rsidRPr="00711BA1">
        <w:rPr>
          <w:bCs w:val="0"/>
          <w:iCs/>
          <w:sz w:val="24"/>
          <w:szCs w:val="24"/>
        </w:rPr>
        <w:t xml:space="preserve">Provide estimates of annualized cost to respondents for the hour burdens for collections of information, identifying and using appropriate wage rate </w:t>
      </w:r>
      <w:r w:rsidRPr="00711BA1">
        <w:rPr>
          <w:bCs w:val="0"/>
          <w:iCs/>
          <w:sz w:val="24"/>
          <w:szCs w:val="24"/>
        </w:rPr>
        <w:t>categories.</w:t>
      </w:r>
      <w:r w:rsidR="00D309FC">
        <w:rPr>
          <w:bCs w:val="0"/>
          <w:iCs/>
          <w:sz w:val="24"/>
          <w:szCs w:val="24"/>
        </w:rPr>
        <w:t xml:space="preserve"> </w:t>
      </w:r>
      <w:r w:rsidRPr="00711BA1">
        <w:rPr>
          <w:bCs w:val="0"/>
          <w:iCs/>
          <w:sz w:val="24"/>
          <w:szCs w:val="24"/>
        </w:rPr>
        <w:t>The cost of contracting out or paying outside parties for information collection activities should not be included here.</w:t>
      </w:r>
      <w:r w:rsidR="00D309FC">
        <w:rPr>
          <w:bCs w:val="0"/>
          <w:iCs/>
          <w:sz w:val="24"/>
          <w:szCs w:val="24"/>
        </w:rPr>
        <w:t xml:space="preserve"> </w:t>
      </w:r>
      <w:r w:rsidRPr="00711BA1">
        <w:rPr>
          <w:bCs w:val="0"/>
          <w:iCs/>
          <w:sz w:val="24"/>
          <w:szCs w:val="24"/>
        </w:rPr>
        <w:t>Instead, this cost should be included in Item 14.</w:t>
      </w:r>
    </w:p>
    <w:p w:rsidR="00D158FE" w:rsidP="0057004B" w14:paraId="1B292B7C" w14:textId="78D78221">
      <w:pPr>
        <w:widowControl/>
        <w:numPr>
          <w:ilvl w:val="0"/>
          <w:numId w:val="10"/>
        </w:numPr>
        <w:tabs>
          <w:tab w:val="left" w:pos="-1440"/>
          <w:tab w:val="clear" w:pos="720"/>
          <w:tab w:val="num" w:pos="1440"/>
        </w:tabs>
        <w:ind w:left="1440"/>
        <w:rPr>
          <w:bCs w:val="0"/>
          <w:iCs/>
          <w:sz w:val="24"/>
          <w:szCs w:val="24"/>
        </w:rPr>
      </w:pPr>
      <w:r w:rsidRPr="00711BA1">
        <w:rPr>
          <w:bCs w:val="0"/>
          <w:iCs/>
          <w:sz w:val="24"/>
          <w:szCs w:val="24"/>
        </w:rPr>
        <w:t>The cost of contracting out or paying outside parties for information collection activities should not be included here.</w:t>
      </w:r>
      <w:r w:rsidR="00D309FC">
        <w:rPr>
          <w:bCs w:val="0"/>
          <w:iCs/>
          <w:sz w:val="24"/>
          <w:szCs w:val="24"/>
        </w:rPr>
        <w:t xml:space="preserve"> </w:t>
      </w:r>
      <w:r w:rsidRPr="00711BA1">
        <w:rPr>
          <w:bCs w:val="0"/>
          <w:iCs/>
          <w:sz w:val="24"/>
          <w:szCs w:val="24"/>
        </w:rPr>
        <w:t>Instead, this cost should be included in Item 14.</w:t>
      </w:r>
    </w:p>
    <w:p w:rsidR="0057004B" w:rsidRPr="0057004B" w:rsidP="0057004B" w14:paraId="3262C109" w14:textId="77777777">
      <w:pPr>
        <w:widowControl/>
        <w:tabs>
          <w:tab w:val="left" w:pos="-1440"/>
        </w:tabs>
        <w:ind w:left="1440"/>
        <w:rPr>
          <w:bCs w:val="0"/>
          <w:iCs/>
          <w:sz w:val="24"/>
          <w:szCs w:val="24"/>
        </w:rPr>
      </w:pPr>
    </w:p>
    <w:p w:rsidR="0057004B" w:rsidRPr="00BB08A8" w:rsidP="0057004B" w14:paraId="6F7EFB48" w14:textId="30E5087F">
      <w:pPr>
        <w:autoSpaceDE/>
        <w:autoSpaceDN/>
        <w:adjustRightInd/>
        <w:spacing w:line="480" w:lineRule="auto"/>
        <w:ind w:firstLine="720"/>
        <w:contextualSpacing/>
        <w:rPr>
          <w:rFonts w:eastAsia="Yu Gothic"/>
          <w:sz w:val="24"/>
          <w:szCs w:val="24"/>
          <w:u w:val="single"/>
        </w:rPr>
      </w:pPr>
      <w:r w:rsidRPr="00BB08A8">
        <w:rPr>
          <w:rFonts w:eastAsia="Yu Gothic"/>
          <w:sz w:val="24"/>
          <w:szCs w:val="24"/>
          <w:u w:val="single"/>
        </w:rPr>
        <w:t>Affected Entities</w:t>
      </w:r>
    </w:p>
    <w:p w:rsidR="00D158FE" w:rsidRPr="0057004B" w:rsidP="0057004B" w14:paraId="2E091FDE" w14:textId="711FE41C">
      <w:pPr>
        <w:autoSpaceDE/>
        <w:autoSpaceDN/>
        <w:adjustRightInd/>
        <w:spacing w:line="480" w:lineRule="auto"/>
        <w:ind w:firstLine="720"/>
        <w:contextualSpacing/>
        <w:rPr>
          <w:rFonts w:eastAsia="Yu Gothic"/>
          <w:b w:val="0"/>
          <w:bCs w:val="0"/>
          <w:i/>
          <w:iCs/>
          <w:sz w:val="24"/>
          <w:szCs w:val="24"/>
          <w:u w:val="single"/>
        </w:rPr>
      </w:pPr>
      <w:r w:rsidRPr="0057004B">
        <w:rPr>
          <w:rFonts w:eastAsia="Yu Gothic"/>
          <w:b w:val="0"/>
          <w:bCs w:val="0"/>
          <w:i/>
          <w:iCs/>
          <w:sz w:val="24"/>
          <w:szCs w:val="24"/>
          <w:u w:val="single"/>
        </w:rPr>
        <w:t>Group Health Plans</w:t>
      </w:r>
    </w:p>
    <w:p w:rsidR="00791A19" w:rsidRPr="00791A19" w:rsidP="00791A19" w14:paraId="3D871051" w14:textId="1A8DF323">
      <w:pPr>
        <w:ind w:left="720"/>
        <w:rPr>
          <w:rFonts w:eastAsia="Yu Gothic"/>
          <w:b w:val="0"/>
          <w:bCs w:val="0"/>
          <w:sz w:val="24"/>
          <w:szCs w:val="24"/>
        </w:rPr>
      </w:pPr>
      <w:r>
        <w:rPr>
          <w:rFonts w:eastAsia="Yu Gothic"/>
          <w:b w:val="0"/>
          <w:bCs w:val="0"/>
          <w:sz w:val="24"/>
          <w:szCs w:val="24"/>
        </w:rPr>
        <w:t>T</w:t>
      </w:r>
      <w:r w:rsidRPr="00791A19">
        <w:rPr>
          <w:rFonts w:eastAsia="Yu Gothic"/>
          <w:b w:val="0"/>
          <w:bCs w:val="0"/>
          <w:sz w:val="24"/>
          <w:szCs w:val="24"/>
        </w:rPr>
        <w:t xml:space="preserve">he proposed rule </w:t>
      </w:r>
      <w:r w:rsidRPr="00791A19">
        <w:rPr>
          <w:rFonts w:eastAsia="Yu Gothic"/>
          <w:b w:val="0"/>
          <w:bCs w:val="0"/>
          <w:sz w:val="24"/>
          <w:szCs w:val="24"/>
        </w:rPr>
        <w:t>apply</w:t>
      </w:r>
      <w:r w:rsidRPr="00791A19">
        <w:rPr>
          <w:rFonts w:eastAsia="Yu Gothic"/>
          <w:b w:val="0"/>
          <w:bCs w:val="0"/>
          <w:sz w:val="24"/>
          <w:szCs w:val="24"/>
        </w:rPr>
        <w:t xml:space="preserve"> only to a subset of ERISA-covered group health plans, which are self-insured group health plans. Fully insured ERISA plans are not subject to these requirements and are therefore excluded from the estimates.</w:t>
      </w:r>
    </w:p>
    <w:p w:rsidR="00791A19" w:rsidP="00791A19" w14:paraId="499D5296" w14:textId="77777777">
      <w:pPr>
        <w:ind w:left="720"/>
        <w:rPr>
          <w:rFonts w:eastAsia="Yu Gothic"/>
          <w:b w:val="0"/>
          <w:bCs w:val="0"/>
          <w:sz w:val="24"/>
          <w:szCs w:val="24"/>
        </w:rPr>
      </w:pPr>
    </w:p>
    <w:p w:rsidR="00791A19" w:rsidRPr="00791A19" w:rsidP="00791A19" w14:paraId="0189C181" w14:textId="7193AE94">
      <w:pPr>
        <w:ind w:left="720"/>
        <w:rPr>
          <w:rFonts w:eastAsia="Yu Gothic"/>
          <w:b w:val="0"/>
          <w:bCs w:val="0"/>
          <w:sz w:val="24"/>
          <w:szCs w:val="24"/>
        </w:rPr>
      </w:pPr>
      <w:r w:rsidRPr="00791A19">
        <w:rPr>
          <w:rFonts w:eastAsia="Yu Gothic"/>
          <w:b w:val="0"/>
          <w:bCs w:val="0"/>
          <w:sz w:val="24"/>
          <w:szCs w:val="24"/>
        </w:rPr>
        <w:t>According to the 2024 KFF Employer Health Benefits Survey, 42 percent of small firms offering health benefits provide a level-funded plan, which are self-funded plans packaged with extensive stoploss coverage that significantly reduces the risk retained by the plan sponsor.</w:t>
      </w:r>
      <w:r>
        <w:rPr>
          <w:rFonts w:eastAsia="Yu Gothic"/>
          <w:b w:val="0"/>
          <w:bCs w:val="0"/>
          <w:sz w:val="24"/>
          <w:szCs w:val="24"/>
          <w:vertAlign w:val="superscript"/>
        </w:rPr>
        <w:footnoteReference w:id="12"/>
      </w:r>
      <w:r w:rsidRPr="00791A19">
        <w:rPr>
          <w:rFonts w:eastAsia="Yu Gothic"/>
          <w:b w:val="0"/>
          <w:bCs w:val="0"/>
          <w:sz w:val="24"/>
          <w:szCs w:val="24"/>
        </w:rPr>
        <w:t xml:space="preserve"> Applying this percentage to the 2,454,996 small ERISA-covered group health plans,</w:t>
      </w:r>
      <w:r>
        <w:rPr>
          <w:rFonts w:eastAsia="Yu Gothic"/>
          <w:b w:val="0"/>
          <w:bCs w:val="0"/>
          <w:sz w:val="24"/>
          <w:szCs w:val="24"/>
          <w:vertAlign w:val="superscript"/>
        </w:rPr>
        <w:footnoteReference w:id="13"/>
      </w:r>
      <w:r w:rsidRPr="00791A19">
        <w:rPr>
          <w:rFonts w:eastAsia="Yu Gothic"/>
          <w:b w:val="0"/>
          <w:bCs w:val="0"/>
          <w:sz w:val="24"/>
          <w:szCs w:val="24"/>
        </w:rPr>
        <w:t xml:space="preserve"> the Department estimates there are approximately 1,031,098 level-funded plans.</w:t>
      </w:r>
      <w:r>
        <w:rPr>
          <w:rFonts w:eastAsia="Yu Gothic"/>
          <w:b w:val="0"/>
          <w:bCs w:val="0"/>
          <w:sz w:val="24"/>
          <w:szCs w:val="24"/>
          <w:vertAlign w:val="superscript"/>
        </w:rPr>
        <w:footnoteReference w:id="14"/>
      </w:r>
      <w:r w:rsidRPr="00791A19">
        <w:rPr>
          <w:rFonts w:eastAsia="Yu Gothic"/>
          <w:b w:val="0"/>
          <w:bCs w:val="0"/>
          <w:sz w:val="24"/>
          <w:szCs w:val="24"/>
        </w:rPr>
        <w:t xml:space="preserve"> The Department also estimates that there are 104,123 self-insured plans with 100 to 999 employees and 15,362 self-insured plans with 1,000 or more employees.</w:t>
      </w:r>
      <w:r>
        <w:rPr>
          <w:rFonts w:eastAsia="Yu Gothic"/>
          <w:b w:val="0"/>
          <w:bCs w:val="0"/>
          <w:sz w:val="24"/>
          <w:szCs w:val="24"/>
          <w:vertAlign w:val="superscript"/>
        </w:rPr>
        <w:footnoteReference w:id="15"/>
      </w:r>
      <w:r w:rsidRPr="00791A19">
        <w:rPr>
          <w:rFonts w:eastAsia="Yu Gothic"/>
          <w:b w:val="0"/>
          <w:bCs w:val="0"/>
          <w:sz w:val="24"/>
          <w:szCs w:val="24"/>
        </w:rPr>
        <w:t xml:space="preserve"> While all 1,150,583 of these plans are considered self-insured, the Department uses this distinction to categorize plans by size and other unique features. The 2024 KFF Employer Health Benefits Survey also found that nearly all covered workers (99 percent) are at firms that provide prescription drug benefits to enrollees in their health plans.</w:t>
      </w:r>
      <w:r>
        <w:rPr>
          <w:rFonts w:eastAsia="Yu Gothic"/>
          <w:b w:val="0"/>
          <w:bCs w:val="0"/>
          <w:sz w:val="24"/>
          <w:szCs w:val="24"/>
          <w:vertAlign w:val="superscript"/>
        </w:rPr>
        <w:footnoteReference w:id="16"/>
      </w:r>
      <w:r w:rsidRPr="00791A19">
        <w:rPr>
          <w:rFonts w:eastAsia="Yu Gothic"/>
          <w:b w:val="0"/>
          <w:bCs w:val="0"/>
          <w:sz w:val="24"/>
          <w:szCs w:val="24"/>
          <w:vertAlign w:val="superscript"/>
        </w:rPr>
        <w:t>,</w:t>
      </w:r>
      <w:r>
        <w:rPr>
          <w:rFonts w:eastAsia="Yu Gothic"/>
          <w:b w:val="0"/>
          <w:bCs w:val="0"/>
          <w:sz w:val="24"/>
          <w:szCs w:val="24"/>
          <w:vertAlign w:val="superscript"/>
        </w:rPr>
        <w:footnoteReference w:id="17"/>
      </w:r>
      <w:r w:rsidRPr="00791A19">
        <w:rPr>
          <w:rFonts w:eastAsia="Yu Gothic"/>
          <w:b w:val="0"/>
          <w:bCs w:val="0"/>
          <w:sz w:val="24"/>
          <w:szCs w:val="24"/>
        </w:rPr>
        <w:t xml:space="preserve"> As such, the Department assumes that </w:t>
      </w:r>
      <w:r w:rsidRPr="00791A19">
        <w:rPr>
          <w:rFonts w:eastAsia="Yu Gothic"/>
          <w:b w:val="0"/>
          <w:bCs w:val="0"/>
          <w:sz w:val="24"/>
          <w:szCs w:val="24"/>
        </w:rPr>
        <w:t>all of</w:t>
      </w:r>
      <w:r w:rsidRPr="00791A19">
        <w:rPr>
          <w:rFonts w:eastAsia="Yu Gothic"/>
          <w:b w:val="0"/>
          <w:bCs w:val="0"/>
          <w:sz w:val="24"/>
          <w:szCs w:val="24"/>
        </w:rPr>
        <w:t xml:space="preserve"> these self-insured and level-funded group health plans will be affected by the proposed rule.</w:t>
      </w:r>
    </w:p>
    <w:p w:rsidR="00A72A1B" w:rsidP="0057004B" w14:paraId="568F325F" w14:textId="77777777">
      <w:pPr>
        <w:ind w:firstLine="720"/>
        <w:rPr>
          <w:rFonts w:eastAsia="Yu Gothic Light"/>
          <w:b w:val="0"/>
          <w:bCs w:val="0"/>
          <w:i/>
          <w:iCs/>
          <w:color w:val="000000"/>
          <w:sz w:val="24"/>
          <w:szCs w:val="24"/>
          <w:u w:val="single"/>
        </w:rPr>
      </w:pPr>
    </w:p>
    <w:p w:rsidR="00D158FE" w:rsidRPr="0057004B" w:rsidP="0057004B" w14:paraId="2207D6EE" w14:textId="45688A51">
      <w:pPr>
        <w:ind w:firstLine="720"/>
        <w:rPr>
          <w:rFonts w:eastAsia="Yu Gothic Light"/>
          <w:b w:val="0"/>
          <w:bCs w:val="0"/>
          <w:i/>
          <w:iCs/>
          <w:color w:val="000000"/>
          <w:sz w:val="24"/>
          <w:szCs w:val="24"/>
          <w:u w:val="single"/>
        </w:rPr>
      </w:pPr>
      <w:r w:rsidRPr="00D158FE">
        <w:rPr>
          <w:rFonts w:eastAsia="Yu Gothic Light"/>
          <w:b w:val="0"/>
          <w:bCs w:val="0"/>
          <w:i/>
          <w:iCs/>
          <w:color w:val="000000"/>
          <w:sz w:val="24"/>
          <w:szCs w:val="24"/>
          <w:u w:val="single"/>
        </w:rPr>
        <w:t xml:space="preserve">TPAs and Issuers </w:t>
      </w:r>
    </w:p>
    <w:p w:rsidR="0057004B" w:rsidRPr="00D158FE" w:rsidP="0057004B" w14:paraId="431DC583" w14:textId="77777777"/>
    <w:p w:rsidR="00076BF3" w:rsidRPr="00076BF3" w:rsidP="00076BF3" w14:paraId="362E11F7" w14:textId="77777777">
      <w:pPr>
        <w:widowControl/>
        <w:tabs>
          <w:tab w:val="left" w:pos="-1440"/>
        </w:tabs>
        <w:ind w:left="720"/>
        <w:rPr>
          <w:rFonts w:eastAsia="Yu Gothic"/>
          <w:b w:val="0"/>
          <w:bCs w:val="0"/>
          <w:sz w:val="24"/>
          <w:szCs w:val="24"/>
        </w:rPr>
      </w:pPr>
      <w:r w:rsidRPr="00076BF3">
        <w:rPr>
          <w:rFonts w:eastAsia="Yu Gothic"/>
          <w:b w:val="0"/>
          <w:bCs w:val="0"/>
          <w:sz w:val="24"/>
          <w:szCs w:val="24"/>
        </w:rPr>
        <w:t>The Department also estimates that the proposed rule will affect 205 TPAs and 373 issuers (i.e. health insurance companies) in the group market with 809 issuers/State combinations</w:t>
      </w:r>
      <w:r>
        <w:rPr>
          <w:rFonts w:eastAsia="Yu Gothic"/>
          <w:b w:val="0"/>
          <w:bCs w:val="0"/>
          <w:sz w:val="24"/>
          <w:szCs w:val="24"/>
          <w:vertAlign w:val="superscript"/>
        </w:rPr>
        <w:footnoteReference w:id="18"/>
      </w:r>
      <w:r w:rsidRPr="00076BF3">
        <w:rPr>
          <w:rFonts w:eastAsia="Yu Gothic"/>
          <w:b w:val="0"/>
          <w:bCs w:val="0"/>
          <w:sz w:val="24"/>
          <w:szCs w:val="24"/>
        </w:rPr>
        <w:t xml:space="preserve"> that provide services such as plan management to group health plans. The Department assumes that these TPAs and issuers will provide their services to level-funded group health plans and self-insured group health plans with less than 1,000 employees. TPAs and issuers are typically hired by group health plans to perform key administrative and compliance functions, including claims processing, formulary design, and oversight of pharmacy benefits. These service providers offer economies of scale in regulatory compliance by leveraging their expertise and infrastructure to implement the proposed rule’s requirements on behalf of multiple plans. While plan fiduciaries remain ultimately responsible for ensuring compliance, they rely on TPAs and issuers to manage the day-to-day operations of the plan and fulfill the requirements of the proposed rule. Plans may contract with the TPAs or issuers, who in-turn sub-contract with PBMs. In that case, the TPAs or issuers would be covered service providers, though these sub-contracts are still covered by the requirements of these proposed regulations. </w:t>
      </w:r>
    </w:p>
    <w:p w:rsidR="00D309FC" w:rsidP="00714313" w14:paraId="2517C1F8" w14:textId="77777777">
      <w:pPr>
        <w:widowControl/>
        <w:tabs>
          <w:tab w:val="left" w:pos="-1440"/>
        </w:tabs>
        <w:ind w:left="720"/>
        <w:rPr>
          <w:b w:val="0"/>
          <w:bCs w:val="0"/>
          <w:iCs/>
          <w:sz w:val="24"/>
          <w:szCs w:val="24"/>
        </w:rPr>
      </w:pPr>
    </w:p>
    <w:p w:rsidR="00D158FE" w:rsidP="00D158FE" w14:paraId="7BAEC43B" w14:textId="3919E7BD">
      <w:pPr>
        <w:widowControl/>
        <w:tabs>
          <w:tab w:val="left" w:pos="-1440"/>
        </w:tabs>
        <w:ind w:left="720"/>
        <w:rPr>
          <w:b w:val="0"/>
          <w:bCs w:val="0"/>
          <w:iCs/>
          <w:sz w:val="24"/>
          <w:szCs w:val="24"/>
          <w:vertAlign w:val="superscript"/>
        </w:rPr>
      </w:pPr>
      <w:r w:rsidRPr="00545F04">
        <w:rPr>
          <w:b w:val="0"/>
          <w:bCs w:val="0"/>
          <w:iCs/>
          <w:sz w:val="24"/>
          <w:szCs w:val="24"/>
        </w:rPr>
        <w:t xml:space="preserve">The </w:t>
      </w:r>
      <w:r w:rsidRPr="00D04384">
        <w:rPr>
          <w:b w:val="0"/>
          <w:bCs w:val="0"/>
          <w:iCs/>
          <w:sz w:val="24"/>
          <w:szCs w:val="24"/>
        </w:rPr>
        <w:t>following wage rates were used in this analysis: $181.06 (legal professional), $171.89 (IT professional), $129.14 (benefit specialist)</w:t>
      </w:r>
      <w:r w:rsidRPr="00D04384" w:rsidR="00D04384">
        <w:rPr>
          <w:b w:val="0"/>
          <w:bCs w:val="0"/>
          <w:iCs/>
          <w:sz w:val="24"/>
          <w:szCs w:val="24"/>
        </w:rPr>
        <w:t xml:space="preserve">, $126.72 </w:t>
      </w:r>
      <w:r w:rsidR="00D04384">
        <w:rPr>
          <w:b w:val="0"/>
          <w:bCs w:val="0"/>
          <w:iCs/>
          <w:sz w:val="24"/>
          <w:szCs w:val="24"/>
        </w:rPr>
        <w:t>(</w:t>
      </w:r>
      <w:r w:rsidRPr="00D04384" w:rsidR="00D04384">
        <w:rPr>
          <w:b w:val="0"/>
          <w:bCs w:val="0"/>
          <w:color w:val="000000" w:themeColor="text1"/>
          <w:sz w:val="24"/>
          <w:szCs w:val="24"/>
        </w:rPr>
        <w:t>project management specialists</w:t>
      </w:r>
      <w:r w:rsidR="00D04384">
        <w:rPr>
          <w:b w:val="0"/>
          <w:bCs w:val="0"/>
          <w:color w:val="000000" w:themeColor="text1"/>
          <w:sz w:val="24"/>
          <w:szCs w:val="24"/>
        </w:rPr>
        <w:t>)</w:t>
      </w:r>
      <w:r w:rsidRPr="00D04384" w:rsidR="00D04384">
        <w:rPr>
          <w:b w:val="0"/>
          <w:bCs w:val="0"/>
          <w:color w:val="000000" w:themeColor="text1"/>
          <w:sz w:val="24"/>
          <w:szCs w:val="24"/>
        </w:rPr>
        <w:t xml:space="preserve">, $120.40 </w:t>
      </w:r>
      <w:r w:rsidR="00D04384">
        <w:rPr>
          <w:b w:val="0"/>
          <w:bCs w:val="0"/>
          <w:color w:val="000000" w:themeColor="text1"/>
          <w:sz w:val="24"/>
          <w:szCs w:val="24"/>
        </w:rPr>
        <w:t>(</w:t>
      </w:r>
      <w:r w:rsidRPr="00D04384" w:rsidR="00D04384">
        <w:rPr>
          <w:b w:val="0"/>
          <w:bCs w:val="0"/>
          <w:color w:val="000000" w:themeColor="text1"/>
          <w:sz w:val="24"/>
          <w:szCs w:val="24"/>
        </w:rPr>
        <w:t xml:space="preserve">business operations specialists), and $171.89 </w:t>
      </w:r>
      <w:r w:rsidR="00D04384">
        <w:rPr>
          <w:b w:val="0"/>
          <w:bCs w:val="0"/>
          <w:color w:val="000000" w:themeColor="text1"/>
          <w:sz w:val="24"/>
          <w:szCs w:val="24"/>
        </w:rPr>
        <w:t>(</w:t>
      </w:r>
      <w:r w:rsidRPr="00D04384" w:rsidR="00D04384">
        <w:rPr>
          <w:b w:val="0"/>
          <w:bCs w:val="0"/>
          <w:color w:val="000000" w:themeColor="text1"/>
          <w:sz w:val="24"/>
          <w:szCs w:val="24"/>
        </w:rPr>
        <w:t xml:space="preserve">software and web developers, programmers, and </w:t>
      </w:r>
      <w:r w:rsidR="00D04384">
        <w:rPr>
          <w:b w:val="0"/>
          <w:bCs w:val="0"/>
          <w:color w:val="000000" w:themeColor="text1"/>
          <w:sz w:val="24"/>
          <w:szCs w:val="24"/>
        </w:rPr>
        <w:t>testers)</w:t>
      </w:r>
      <w:r w:rsidRPr="00D04384">
        <w:rPr>
          <w:b w:val="0"/>
          <w:bCs w:val="0"/>
          <w:iCs/>
          <w:sz w:val="24"/>
          <w:szCs w:val="24"/>
        </w:rPr>
        <w:t>.</w:t>
      </w:r>
      <w:r>
        <w:rPr>
          <w:b w:val="0"/>
          <w:bCs w:val="0"/>
          <w:iCs/>
          <w:sz w:val="24"/>
          <w:szCs w:val="24"/>
          <w:vertAlign w:val="superscript"/>
        </w:rPr>
        <w:footnoteReference w:id="19"/>
      </w:r>
      <w:r w:rsidRPr="00545F04">
        <w:rPr>
          <w:b w:val="0"/>
          <w:bCs w:val="0"/>
          <w:iCs/>
          <w:sz w:val="24"/>
          <w:szCs w:val="24"/>
          <w:vertAlign w:val="superscript"/>
        </w:rPr>
        <w:t xml:space="preserve"> </w:t>
      </w:r>
    </w:p>
    <w:p w:rsidR="00956DD0" w:rsidP="00D158FE" w14:paraId="3C0141BA" w14:textId="77777777">
      <w:pPr>
        <w:widowControl/>
        <w:tabs>
          <w:tab w:val="left" w:pos="-1440"/>
        </w:tabs>
        <w:ind w:left="720"/>
        <w:rPr>
          <w:b w:val="0"/>
          <w:bCs w:val="0"/>
          <w:iCs/>
          <w:sz w:val="24"/>
          <w:szCs w:val="24"/>
          <w:vertAlign w:val="superscript"/>
        </w:rPr>
      </w:pPr>
    </w:p>
    <w:p w:rsidR="00956DD0" w:rsidRPr="00BB08A8" w:rsidP="00BB08A8" w14:paraId="0BCB6378" w14:textId="242CECEA">
      <w:pPr>
        <w:pStyle w:val="ListParagraph"/>
        <w:widowControl/>
        <w:numPr>
          <w:ilvl w:val="0"/>
          <w:numId w:val="44"/>
        </w:numPr>
        <w:tabs>
          <w:tab w:val="left" w:pos="-1440"/>
        </w:tabs>
        <w:rPr>
          <w:sz w:val="24"/>
          <w:szCs w:val="24"/>
          <w:u w:val="single"/>
        </w:rPr>
      </w:pPr>
      <w:r>
        <w:rPr>
          <w:sz w:val="24"/>
          <w:szCs w:val="24"/>
          <w:u w:val="single"/>
        </w:rPr>
        <w:t xml:space="preserve"> </w:t>
      </w:r>
      <w:r w:rsidRPr="00BB08A8">
        <w:rPr>
          <w:sz w:val="24"/>
          <w:szCs w:val="24"/>
          <w:u w:val="single"/>
        </w:rPr>
        <w:t>IT Infrastructure Costs</w:t>
      </w:r>
    </w:p>
    <w:p w:rsidR="00F95CF4" w:rsidRPr="00F95CF4" w:rsidP="008A2E3D" w14:paraId="63A87ED6" w14:textId="77777777">
      <w:pPr>
        <w:widowControl/>
        <w:tabs>
          <w:tab w:val="left" w:pos="-1440"/>
        </w:tabs>
        <w:rPr>
          <w:b w:val="0"/>
          <w:bCs w:val="0"/>
          <w:iCs/>
          <w:sz w:val="24"/>
          <w:szCs w:val="24"/>
        </w:rPr>
      </w:pPr>
    </w:p>
    <w:p w:rsidR="00A24BF4" w:rsidP="00A24BF4" w14:paraId="09AC7353" w14:textId="30E3D084">
      <w:pPr>
        <w:widowControl/>
        <w:tabs>
          <w:tab w:val="left" w:pos="-1440"/>
        </w:tabs>
        <w:ind w:left="720"/>
        <w:rPr>
          <w:b w:val="0"/>
          <w:bCs w:val="0"/>
          <w:iCs/>
          <w:sz w:val="24"/>
          <w:szCs w:val="24"/>
        </w:rPr>
      </w:pPr>
      <w:r>
        <w:rPr>
          <w:b w:val="0"/>
          <w:bCs w:val="0"/>
          <w:iCs/>
          <w:sz w:val="24"/>
          <w:szCs w:val="24"/>
        </w:rPr>
        <w:t>T</w:t>
      </w:r>
      <w:r w:rsidRPr="00A24BF4">
        <w:rPr>
          <w:b w:val="0"/>
          <w:bCs w:val="0"/>
          <w:iCs/>
          <w:sz w:val="24"/>
          <w:szCs w:val="24"/>
        </w:rPr>
        <w:t>he Department believes that most PBMs already have the required information needed to fulfill the disclosure requirements, as they manage complex healthcare operations and track the flow of pharmaceuticals and payments within the healthcare system as part of their regular business practices. Moreover, PBMs already provide this information, or elements of it, to self-insured group health plans and other entities, as required under the CAA and State laws.</w:t>
      </w:r>
      <w:r>
        <w:rPr>
          <w:b w:val="0"/>
          <w:bCs w:val="0"/>
          <w:iCs/>
          <w:sz w:val="24"/>
          <w:szCs w:val="24"/>
          <w:vertAlign w:val="superscript"/>
        </w:rPr>
        <w:footnoteReference w:id="20"/>
      </w:r>
      <w:r w:rsidRPr="00A24BF4">
        <w:rPr>
          <w:b w:val="0"/>
          <w:bCs w:val="0"/>
          <w:iCs/>
          <w:sz w:val="24"/>
          <w:szCs w:val="24"/>
        </w:rPr>
        <w:t xml:space="preserve"> Therefore, the Department does not expect that PBMs will need to devote significant resources to obtain or share information on the services provided under the agreement, direct and indirect compensation, rebates, drug prices and the pricing methodology, reimbursement rates, formulary placement incentives, and agreements with agents, affiliates and subcontractors. </w:t>
      </w:r>
    </w:p>
    <w:p w:rsidR="008778F3" w:rsidRPr="00A24BF4" w:rsidP="00A24BF4" w14:paraId="275E83D0" w14:textId="77777777">
      <w:pPr>
        <w:widowControl/>
        <w:tabs>
          <w:tab w:val="left" w:pos="-1440"/>
        </w:tabs>
        <w:ind w:left="720"/>
        <w:rPr>
          <w:b w:val="0"/>
          <w:bCs w:val="0"/>
          <w:iCs/>
          <w:sz w:val="24"/>
          <w:szCs w:val="24"/>
        </w:rPr>
      </w:pPr>
    </w:p>
    <w:p w:rsidR="00A24BF4" w:rsidP="00A24BF4" w14:paraId="37D0EED3" w14:textId="77777777">
      <w:pPr>
        <w:widowControl/>
        <w:tabs>
          <w:tab w:val="left" w:pos="-1440"/>
        </w:tabs>
        <w:ind w:left="720"/>
        <w:rPr>
          <w:b w:val="0"/>
          <w:bCs w:val="0"/>
          <w:iCs/>
          <w:sz w:val="24"/>
          <w:szCs w:val="24"/>
        </w:rPr>
      </w:pPr>
      <w:r w:rsidRPr="00A24BF4">
        <w:rPr>
          <w:b w:val="0"/>
          <w:bCs w:val="0"/>
          <w:iCs/>
          <w:sz w:val="24"/>
          <w:szCs w:val="24"/>
        </w:rPr>
        <w:t xml:space="preserve">Nonetheless, greater transparency could identify practices such as rebates and spread pricing that are often regarded as hidden revenue mechanisms. As a result, PBMs may explore alternative revenue strategies, including fee-based models, and renegotiate contracts with self-insured group health plans, manufacturers, and wholesalers. Moreover, the Department anticipates that PBMs will need to revise current disclosure documents to include: revised definitions of contract terms that are objectively determinable; a description of all arrangements and compensation received by the PBM and any agents, affiliates or subcontractors related to providing these benefits; pricing and reimbursement information for all drugs on the formulary by distribution channel; more detailed descriptions of the services provided including the development and ongoing management of the formulary; as well as projecting potential costs and extracting actual payments to the level stipulated in this proposed rule. The Department acknowledges that these updates and revisions may require substantial effort and coordination by PBMs and their agents, </w:t>
      </w:r>
      <w:r w:rsidRPr="00A24BF4">
        <w:rPr>
          <w:b w:val="0"/>
          <w:bCs w:val="0"/>
          <w:iCs/>
          <w:sz w:val="24"/>
          <w:szCs w:val="24"/>
        </w:rPr>
        <w:t>affiliates</w:t>
      </w:r>
      <w:r w:rsidRPr="00A24BF4">
        <w:rPr>
          <w:b w:val="0"/>
          <w:bCs w:val="0"/>
          <w:iCs/>
          <w:sz w:val="24"/>
          <w:szCs w:val="24"/>
        </w:rPr>
        <w:t xml:space="preserve"> and subcontractors. </w:t>
      </w:r>
    </w:p>
    <w:p w:rsidR="008778F3" w:rsidRPr="00A24BF4" w:rsidP="00A24BF4" w14:paraId="6F5991DF" w14:textId="77777777">
      <w:pPr>
        <w:widowControl/>
        <w:tabs>
          <w:tab w:val="left" w:pos="-1440"/>
        </w:tabs>
        <w:ind w:left="720"/>
        <w:rPr>
          <w:b w:val="0"/>
          <w:bCs w:val="0"/>
          <w:iCs/>
          <w:sz w:val="24"/>
          <w:szCs w:val="24"/>
        </w:rPr>
      </w:pPr>
    </w:p>
    <w:p w:rsidR="00A24BF4" w:rsidRPr="00A24BF4" w:rsidP="00A24BF4" w14:paraId="6566ECEA" w14:textId="5A3E16DD">
      <w:pPr>
        <w:widowControl/>
        <w:tabs>
          <w:tab w:val="left" w:pos="-1440"/>
        </w:tabs>
        <w:ind w:left="720"/>
        <w:rPr>
          <w:b w:val="0"/>
          <w:bCs w:val="0"/>
          <w:iCs/>
          <w:sz w:val="24"/>
          <w:szCs w:val="24"/>
        </w:rPr>
      </w:pPr>
      <w:r w:rsidRPr="00A24BF4">
        <w:rPr>
          <w:b w:val="0"/>
          <w:bCs w:val="0"/>
          <w:iCs/>
          <w:sz w:val="24"/>
          <w:szCs w:val="24"/>
        </w:rPr>
        <w:t>In Table 1, the Department estimates the costs associated with PBMs developing and maintaining the IT infrastructure system necessary to collect and report the required data. To develop these estimates, the Department reviewed IT infrastructure costs associated with reporting complex, sensitive, or high-frequency data for similar disclosure regulations, including Prescription Drug Data Collection,</w:t>
      </w:r>
      <w:r>
        <w:rPr>
          <w:b w:val="0"/>
          <w:bCs w:val="0"/>
          <w:iCs/>
          <w:sz w:val="24"/>
          <w:szCs w:val="24"/>
          <w:vertAlign w:val="superscript"/>
        </w:rPr>
        <w:footnoteReference w:id="21"/>
      </w:r>
      <w:r w:rsidRPr="00A24BF4">
        <w:rPr>
          <w:b w:val="0"/>
          <w:bCs w:val="0"/>
          <w:iCs/>
          <w:sz w:val="24"/>
          <w:szCs w:val="24"/>
        </w:rPr>
        <w:t xml:space="preserve"> ACA Medical Loss Ratio (MLR) Reporting,</w:t>
      </w:r>
      <w:r>
        <w:rPr>
          <w:b w:val="0"/>
          <w:bCs w:val="0"/>
          <w:iCs/>
          <w:sz w:val="24"/>
          <w:szCs w:val="24"/>
          <w:vertAlign w:val="superscript"/>
        </w:rPr>
        <w:footnoteReference w:id="22"/>
      </w:r>
      <w:r w:rsidRPr="00A24BF4">
        <w:rPr>
          <w:b w:val="0"/>
          <w:bCs w:val="0"/>
          <w:iCs/>
          <w:sz w:val="24"/>
          <w:szCs w:val="24"/>
        </w:rPr>
        <w:t xml:space="preserve"> Medicare Part D Reporting Requirements,</w:t>
      </w:r>
      <w:r>
        <w:rPr>
          <w:b w:val="0"/>
          <w:bCs w:val="0"/>
          <w:iCs/>
          <w:sz w:val="24"/>
          <w:szCs w:val="24"/>
          <w:vertAlign w:val="superscript"/>
        </w:rPr>
        <w:footnoteReference w:id="23"/>
      </w:r>
      <w:r w:rsidRPr="00A24BF4">
        <w:rPr>
          <w:b w:val="0"/>
          <w:bCs w:val="0"/>
          <w:iCs/>
          <w:sz w:val="24"/>
          <w:szCs w:val="24"/>
        </w:rPr>
        <w:t xml:space="preserve"> and the Hospital Price Transparency Requirements.</w:t>
      </w:r>
      <w:r>
        <w:rPr>
          <w:b w:val="0"/>
          <w:bCs w:val="0"/>
          <w:iCs/>
          <w:sz w:val="24"/>
          <w:szCs w:val="24"/>
          <w:vertAlign w:val="superscript"/>
        </w:rPr>
        <w:footnoteReference w:id="24"/>
      </w:r>
      <w:r w:rsidRPr="00A24BF4">
        <w:rPr>
          <w:b w:val="0"/>
          <w:bCs w:val="0"/>
          <w:iCs/>
          <w:sz w:val="24"/>
          <w:szCs w:val="24"/>
        </w:rPr>
        <w:t xml:space="preserve"> Of these rules, the IT costs associated with Prescription Drug Data Collection rule seemed most analogous to this proposed rule, as it specifically identified costs for PBMs to develop, implement, and maintain IT system changes to come into compliance with rulemaking related to prescription drug disclosures. </w:t>
      </w:r>
    </w:p>
    <w:p w:rsidR="00A24BF4" w:rsidP="00A24BF4" w14:paraId="389BCC29" w14:textId="77777777">
      <w:pPr>
        <w:widowControl/>
        <w:tabs>
          <w:tab w:val="left" w:pos="-1440"/>
        </w:tabs>
        <w:ind w:left="720"/>
        <w:rPr>
          <w:b w:val="0"/>
          <w:bCs w:val="0"/>
          <w:iCs/>
          <w:sz w:val="24"/>
          <w:szCs w:val="24"/>
        </w:rPr>
      </w:pPr>
      <w:r w:rsidRPr="00A24BF4">
        <w:rPr>
          <w:b w:val="0"/>
          <w:bCs w:val="0"/>
          <w:iCs/>
          <w:sz w:val="24"/>
          <w:szCs w:val="24"/>
        </w:rPr>
        <w:t>The Department used the Prescription Drug Data Collection rule as a benchmark but made a few notable adjustments. First, because the Department of Health and Human Services utilizes a different source for labor categories and wage rates than the Department, that information was mapped to the Department’s source. Additionally, the hour burdens from the Prescription Drug Data Collection</w:t>
      </w:r>
      <w:r w:rsidRPr="00A24BF4">
        <w:rPr>
          <w:b w:val="0"/>
          <w:bCs w:val="0"/>
          <w:iCs/>
          <w:sz w:val="24"/>
          <w:szCs w:val="24"/>
        </w:rPr>
        <w:t xml:space="preserve"> </w:t>
      </w:r>
      <w:r w:rsidRPr="00A24BF4">
        <w:rPr>
          <w:b w:val="0"/>
          <w:bCs w:val="0"/>
          <w:iCs/>
          <w:sz w:val="24"/>
          <w:szCs w:val="24"/>
        </w:rPr>
        <w:t>rule were adjusted downward by 50 percent to account for both the Prescription Drug Data Collection</w:t>
      </w:r>
      <w:r w:rsidRPr="00A24BF4">
        <w:rPr>
          <w:b w:val="0"/>
          <w:bCs w:val="0"/>
          <w:iCs/>
          <w:sz w:val="24"/>
          <w:szCs w:val="24"/>
        </w:rPr>
        <w:t xml:space="preserve"> </w:t>
      </w:r>
      <w:r w:rsidRPr="00A24BF4">
        <w:rPr>
          <w:b w:val="0"/>
          <w:bCs w:val="0"/>
          <w:iCs/>
          <w:sz w:val="24"/>
          <w:szCs w:val="24"/>
        </w:rPr>
        <w:t xml:space="preserve">rule requiring additional information and calculations not found in this proposed rule, and the fact that </w:t>
      </w:r>
      <w:r w:rsidRPr="00A24BF4">
        <w:rPr>
          <w:b w:val="0"/>
          <w:bCs w:val="0"/>
          <w:iCs/>
          <w:sz w:val="24"/>
          <w:szCs w:val="24"/>
        </w:rPr>
        <w:t>the proposed rule relies on contract and pricing data that PBMs already track for commercial and compliance purposes, which should mitigate the associated costs. Finally, while data submission began in the second year for Prescription Drug Data Collection disclosures, the proposed rule requires reporting in the first year, and so the Department reallocated hour burdens from Prescription Drug Data Collection’s second year into first and subsequent year categories for the proposed rule. Based on these considerations, the Department estimates the average, first-year per-PBM cost for designing, developing, and implementing the IT system to be $1,000,000.</w:t>
      </w:r>
      <w:r>
        <w:rPr>
          <w:b w:val="0"/>
          <w:bCs w:val="0"/>
          <w:iCs/>
          <w:sz w:val="24"/>
          <w:szCs w:val="24"/>
          <w:vertAlign w:val="superscript"/>
        </w:rPr>
        <w:footnoteReference w:id="25"/>
      </w:r>
      <w:r w:rsidRPr="00A24BF4">
        <w:rPr>
          <w:b w:val="0"/>
          <w:bCs w:val="0"/>
          <w:iCs/>
          <w:sz w:val="24"/>
          <w:szCs w:val="24"/>
        </w:rPr>
        <w:t xml:space="preserve"> In subsequent years, the estimated per-PBM average cost for maintaining and updating the IT system is $200,000.</w:t>
      </w:r>
      <w:r>
        <w:rPr>
          <w:b w:val="0"/>
          <w:bCs w:val="0"/>
          <w:iCs/>
          <w:sz w:val="24"/>
          <w:szCs w:val="24"/>
          <w:vertAlign w:val="superscript"/>
        </w:rPr>
        <w:footnoteReference w:id="26"/>
      </w:r>
      <w:r w:rsidRPr="00A24BF4">
        <w:rPr>
          <w:b w:val="0"/>
          <w:bCs w:val="0"/>
          <w:iCs/>
          <w:sz w:val="24"/>
          <w:szCs w:val="24"/>
        </w:rPr>
        <w:t xml:space="preserve"> This includes providing quality assurance, conducting maintenance and making updates, and updating any needed security measures. </w:t>
      </w:r>
    </w:p>
    <w:p w:rsidR="008778F3" w:rsidRPr="00A24BF4" w:rsidP="00A24BF4" w14:paraId="4C4C79CE" w14:textId="77777777">
      <w:pPr>
        <w:widowControl/>
        <w:tabs>
          <w:tab w:val="left" w:pos="-1440"/>
        </w:tabs>
        <w:ind w:left="720"/>
        <w:rPr>
          <w:b w:val="0"/>
          <w:bCs w:val="0"/>
          <w:iCs/>
          <w:sz w:val="24"/>
          <w:szCs w:val="24"/>
        </w:rPr>
      </w:pPr>
    </w:p>
    <w:p w:rsidR="00F531F4" w:rsidP="00A24BF4" w14:paraId="06D17DB0" w14:textId="4BF42419">
      <w:pPr>
        <w:widowControl/>
        <w:tabs>
          <w:tab w:val="left" w:pos="-1440"/>
        </w:tabs>
        <w:ind w:left="720"/>
        <w:rPr>
          <w:b w:val="0"/>
          <w:bCs w:val="0"/>
          <w:iCs/>
          <w:sz w:val="24"/>
          <w:szCs w:val="24"/>
        </w:rPr>
      </w:pPr>
      <w:r w:rsidRPr="00A24BF4">
        <w:rPr>
          <w:b w:val="0"/>
          <w:bCs w:val="0"/>
          <w:iCs/>
          <w:sz w:val="24"/>
          <w:szCs w:val="24"/>
        </w:rPr>
        <w:t>The Department acknowledges that these costs likely vary by the size of PBMs as well as their business model (i.e., fully pass-through PBMs and traditional PBMs may face very different costs to bring systems into compliance). Additionally, while the Department discounted the Prescription Drug Data Collection</w:t>
      </w:r>
      <w:r w:rsidRPr="00A24BF4">
        <w:rPr>
          <w:b w:val="0"/>
          <w:bCs w:val="0"/>
          <w:iCs/>
          <w:sz w:val="24"/>
          <w:szCs w:val="24"/>
        </w:rPr>
        <w:t xml:space="preserve"> </w:t>
      </w:r>
      <w:r w:rsidRPr="00A24BF4">
        <w:rPr>
          <w:b w:val="0"/>
          <w:bCs w:val="0"/>
          <w:iCs/>
          <w:sz w:val="24"/>
          <w:szCs w:val="24"/>
        </w:rPr>
        <w:t>costs to reflect its impact on more of the overall market and requiring additional calculations and standardized submissions, the chosen discount rate may not have been appropriate</w:t>
      </w:r>
    </w:p>
    <w:p w:rsidR="008778F3" w:rsidP="00CE4344" w14:paraId="04B55388" w14:textId="77777777">
      <w:pPr>
        <w:widowControl/>
        <w:tabs>
          <w:tab w:val="left" w:pos="-1440"/>
        </w:tabs>
        <w:ind w:left="720"/>
        <w:rPr>
          <w:b w:val="0"/>
          <w:bCs w:val="0"/>
          <w:iCs/>
          <w:sz w:val="24"/>
          <w:szCs w:val="24"/>
        </w:rPr>
      </w:pPr>
    </w:p>
    <w:p w:rsidR="00CE4344" w:rsidRPr="00CE4344" w:rsidP="00CE4344" w14:paraId="2A0F48B7" w14:textId="31CC4665">
      <w:pPr>
        <w:widowControl/>
        <w:tabs>
          <w:tab w:val="left" w:pos="-1440"/>
        </w:tabs>
        <w:ind w:left="720"/>
        <w:rPr>
          <w:b w:val="0"/>
          <w:bCs w:val="0"/>
          <w:iCs/>
          <w:sz w:val="24"/>
          <w:szCs w:val="24"/>
        </w:rPr>
      </w:pPr>
      <w:r>
        <w:rPr>
          <w:b w:val="0"/>
          <w:bCs w:val="0"/>
          <w:iCs/>
          <w:sz w:val="24"/>
          <w:szCs w:val="24"/>
        </w:rPr>
        <w:t xml:space="preserve">Please see Table </w:t>
      </w:r>
      <w:r w:rsidR="00BB2A07">
        <w:rPr>
          <w:b w:val="0"/>
          <w:bCs w:val="0"/>
          <w:iCs/>
          <w:sz w:val="24"/>
          <w:szCs w:val="24"/>
        </w:rPr>
        <w:t>1</w:t>
      </w:r>
      <w:r>
        <w:rPr>
          <w:b w:val="0"/>
          <w:bCs w:val="0"/>
          <w:iCs/>
          <w:sz w:val="24"/>
          <w:szCs w:val="24"/>
        </w:rPr>
        <w:t xml:space="preserve"> for calculations and burden. </w:t>
      </w:r>
    </w:p>
    <w:p w:rsidR="00DA318C" w:rsidP="00C17609" w14:paraId="40347EED" w14:textId="77777777">
      <w:pPr>
        <w:widowControl/>
        <w:tabs>
          <w:tab w:val="left" w:pos="-1440"/>
        </w:tabs>
        <w:ind w:left="720"/>
        <w:rPr>
          <w:b w:val="0"/>
          <w:bCs w:val="0"/>
          <w:iCs/>
          <w:sz w:val="24"/>
          <w:szCs w:val="24"/>
        </w:rPr>
      </w:pPr>
    </w:p>
    <w:p w:rsidR="00DA318C" w:rsidRPr="00A21E27" w:rsidP="00CA7375" w14:paraId="652F3A1F" w14:textId="755B35AD">
      <w:pPr>
        <w:pStyle w:val="Heading3"/>
      </w:pPr>
      <w:r w:rsidRPr="006E1899">
        <w:t xml:space="preserve">TABLE </w:t>
      </w:r>
      <w:r w:rsidR="00BB2A07">
        <w:t>1</w:t>
      </w:r>
      <w:r w:rsidRPr="006E1899">
        <w:t xml:space="preserve">. </w:t>
      </w:r>
      <w:r>
        <w:t>IT Infrastructure</w:t>
      </w:r>
      <w:r w:rsidRPr="006E1899">
        <w:t xml:space="preserve"> Costs</w:t>
      </w:r>
    </w:p>
    <w:p w:rsidR="00DA318C" w:rsidP="00DA318C" w14:paraId="5FD5B357" w14:textId="77777777">
      <w:pPr>
        <w:widowControl/>
        <w:tabs>
          <w:tab w:val="left" w:pos="-1440"/>
        </w:tabs>
        <w:ind w:left="720"/>
        <w:rPr>
          <w:b w:val="0"/>
          <w:bCs w:val="0"/>
          <w:iCs/>
          <w:sz w:val="24"/>
          <w:szCs w:val="24"/>
        </w:rPr>
      </w:pPr>
    </w:p>
    <w:tbl>
      <w:tblPr>
        <w:tblW w:w="10345" w:type="dxa"/>
        <w:tblLayout w:type="fixed"/>
        <w:tblLook w:val="04A0"/>
      </w:tblPr>
      <w:tblGrid>
        <w:gridCol w:w="3415"/>
        <w:gridCol w:w="1440"/>
        <w:gridCol w:w="1170"/>
        <w:gridCol w:w="1080"/>
        <w:gridCol w:w="1170"/>
        <w:gridCol w:w="2070"/>
      </w:tblGrid>
      <w:tr w14:paraId="5437CC65" w14:textId="77777777">
        <w:tblPrEx>
          <w:tblW w:w="10345" w:type="dxa"/>
          <w:tblLayout w:type="fixed"/>
          <w:tblLook w:val="04A0"/>
        </w:tblPrEx>
        <w:trPr>
          <w:trHeight w:val="1683"/>
        </w:trPr>
        <w:tc>
          <w:tcPr>
            <w:tcW w:w="3415" w:type="dxa"/>
            <w:tcBorders>
              <w:top w:val="single" w:sz="4" w:space="0" w:color="auto"/>
              <w:left w:val="single" w:sz="4" w:space="0" w:color="auto"/>
              <w:bottom w:val="single" w:sz="4" w:space="0" w:color="auto"/>
              <w:right w:val="single" w:sz="4" w:space="0" w:color="auto"/>
            </w:tcBorders>
            <w:noWrap/>
            <w:vAlign w:val="bottom"/>
            <w:hideMark/>
          </w:tcPr>
          <w:p w:rsidR="00DA318C" w:rsidRPr="00261797" w14:paraId="244E0904" w14:textId="77777777">
            <w:pPr>
              <w:widowControl/>
              <w:rPr>
                <w:bCs w:val="0"/>
                <w:sz w:val="22"/>
                <w:szCs w:val="22"/>
              </w:rPr>
            </w:pPr>
            <w:r w:rsidRPr="00261797">
              <w:rPr>
                <w:bCs w:val="0"/>
                <w:sz w:val="22"/>
                <w:szCs w:val="22"/>
              </w:rPr>
              <w:t> </w:t>
            </w:r>
          </w:p>
        </w:tc>
        <w:tc>
          <w:tcPr>
            <w:tcW w:w="1440" w:type="dxa"/>
            <w:tcBorders>
              <w:top w:val="single" w:sz="4" w:space="0" w:color="auto"/>
              <w:left w:val="nil"/>
              <w:bottom w:val="single" w:sz="4" w:space="0" w:color="auto"/>
              <w:right w:val="single" w:sz="4" w:space="0" w:color="auto"/>
            </w:tcBorders>
            <w:vAlign w:val="center"/>
            <w:hideMark/>
          </w:tcPr>
          <w:p w:rsidR="00DA318C" w:rsidRPr="00261797" w14:paraId="60BCB452" w14:textId="77777777">
            <w:pPr>
              <w:widowControl/>
              <w:jc w:val="center"/>
              <w:rPr>
                <w:bCs w:val="0"/>
                <w:sz w:val="22"/>
                <w:szCs w:val="22"/>
              </w:rPr>
            </w:pPr>
            <w:r w:rsidRPr="00261797">
              <w:rPr>
                <w:bCs w:val="0"/>
                <w:sz w:val="22"/>
                <w:szCs w:val="22"/>
              </w:rPr>
              <w:t xml:space="preserve">Number of Notices </w:t>
            </w:r>
          </w:p>
        </w:tc>
        <w:tc>
          <w:tcPr>
            <w:tcW w:w="1170" w:type="dxa"/>
            <w:tcBorders>
              <w:top w:val="single" w:sz="4" w:space="0" w:color="auto"/>
              <w:left w:val="nil"/>
              <w:bottom w:val="single" w:sz="4" w:space="0" w:color="auto"/>
              <w:right w:val="single" w:sz="4" w:space="0" w:color="auto"/>
            </w:tcBorders>
            <w:vAlign w:val="center"/>
            <w:hideMark/>
          </w:tcPr>
          <w:p w:rsidR="00DA318C" w:rsidRPr="00261797" w14:paraId="425E8DC6" w14:textId="77777777">
            <w:pPr>
              <w:widowControl/>
              <w:jc w:val="center"/>
              <w:rPr>
                <w:bCs w:val="0"/>
                <w:sz w:val="22"/>
                <w:szCs w:val="22"/>
              </w:rPr>
            </w:pPr>
            <w:r w:rsidRPr="00261797">
              <w:rPr>
                <w:bCs w:val="0"/>
                <w:sz w:val="22"/>
                <w:szCs w:val="22"/>
              </w:rPr>
              <w:t xml:space="preserve">Number of Hours Per Notice </w:t>
            </w:r>
          </w:p>
        </w:tc>
        <w:tc>
          <w:tcPr>
            <w:tcW w:w="1080" w:type="dxa"/>
            <w:tcBorders>
              <w:top w:val="single" w:sz="4" w:space="0" w:color="auto"/>
              <w:left w:val="nil"/>
              <w:bottom w:val="single" w:sz="4" w:space="0" w:color="auto"/>
              <w:right w:val="single" w:sz="4" w:space="0" w:color="auto"/>
            </w:tcBorders>
            <w:vAlign w:val="center"/>
            <w:hideMark/>
          </w:tcPr>
          <w:p w:rsidR="00DA318C" w:rsidRPr="00261797" w14:paraId="4071B28E" w14:textId="77777777">
            <w:pPr>
              <w:widowControl/>
              <w:jc w:val="center"/>
              <w:rPr>
                <w:bCs w:val="0"/>
                <w:sz w:val="22"/>
                <w:szCs w:val="22"/>
              </w:rPr>
            </w:pPr>
            <w:r w:rsidRPr="00261797">
              <w:rPr>
                <w:bCs w:val="0"/>
                <w:sz w:val="22"/>
                <w:szCs w:val="22"/>
              </w:rPr>
              <w:t>Total Hour Burden</w:t>
            </w:r>
          </w:p>
        </w:tc>
        <w:tc>
          <w:tcPr>
            <w:tcW w:w="1170" w:type="dxa"/>
            <w:tcBorders>
              <w:top w:val="single" w:sz="4" w:space="0" w:color="auto"/>
              <w:left w:val="nil"/>
              <w:bottom w:val="single" w:sz="4" w:space="0" w:color="auto"/>
              <w:right w:val="single" w:sz="4" w:space="0" w:color="auto"/>
            </w:tcBorders>
            <w:vAlign w:val="center"/>
            <w:hideMark/>
          </w:tcPr>
          <w:p w:rsidR="00DA318C" w:rsidRPr="00261797" w14:paraId="64DBD251" w14:textId="77777777">
            <w:pPr>
              <w:widowControl/>
              <w:jc w:val="center"/>
              <w:rPr>
                <w:bCs w:val="0"/>
                <w:sz w:val="22"/>
                <w:szCs w:val="22"/>
              </w:rPr>
            </w:pPr>
            <w:r w:rsidRPr="00261797">
              <w:rPr>
                <w:bCs w:val="0"/>
                <w:sz w:val="22"/>
                <w:szCs w:val="22"/>
              </w:rPr>
              <w:t>Hourly Wage</w:t>
            </w:r>
          </w:p>
        </w:tc>
        <w:tc>
          <w:tcPr>
            <w:tcW w:w="2070" w:type="dxa"/>
            <w:tcBorders>
              <w:top w:val="single" w:sz="4" w:space="0" w:color="auto"/>
              <w:left w:val="nil"/>
              <w:bottom w:val="single" w:sz="4" w:space="0" w:color="auto"/>
              <w:right w:val="single" w:sz="4" w:space="0" w:color="auto"/>
            </w:tcBorders>
            <w:vAlign w:val="center"/>
            <w:hideMark/>
          </w:tcPr>
          <w:p w:rsidR="00DA318C" w:rsidRPr="00261797" w14:paraId="60205A5F" w14:textId="77777777">
            <w:pPr>
              <w:widowControl/>
              <w:jc w:val="center"/>
              <w:rPr>
                <w:bCs w:val="0"/>
                <w:sz w:val="22"/>
                <w:szCs w:val="22"/>
              </w:rPr>
            </w:pPr>
            <w:r w:rsidRPr="00261797">
              <w:rPr>
                <w:bCs w:val="0"/>
                <w:sz w:val="22"/>
                <w:szCs w:val="22"/>
              </w:rPr>
              <w:t xml:space="preserve">Cost Equivalent of Hour Burden </w:t>
            </w:r>
          </w:p>
        </w:tc>
      </w:tr>
      <w:tr w14:paraId="6C46B401" w14:textId="77777777">
        <w:tblPrEx>
          <w:tblW w:w="10345" w:type="dxa"/>
          <w:tblLayout w:type="fixed"/>
          <w:tblLook w:val="04A0"/>
        </w:tblPrEx>
        <w:trPr>
          <w:trHeight w:val="489"/>
        </w:trPr>
        <w:tc>
          <w:tcPr>
            <w:tcW w:w="3415" w:type="dxa"/>
            <w:tcBorders>
              <w:top w:val="nil"/>
              <w:left w:val="single" w:sz="4" w:space="0" w:color="auto"/>
              <w:bottom w:val="single" w:sz="4" w:space="0" w:color="auto"/>
              <w:right w:val="single" w:sz="4" w:space="0" w:color="auto"/>
            </w:tcBorders>
            <w:noWrap/>
            <w:vAlign w:val="bottom"/>
            <w:hideMark/>
          </w:tcPr>
          <w:p w:rsidR="00DA318C" w:rsidRPr="00C91CF4" w14:paraId="7BA92F61" w14:textId="77777777">
            <w:pPr>
              <w:widowControl/>
              <w:rPr>
                <w:bCs w:val="0"/>
              </w:rPr>
            </w:pPr>
            <w:r w:rsidRPr="00C91CF4">
              <w:rPr>
                <w:bCs w:val="0"/>
              </w:rPr>
              <w:t> </w:t>
            </w:r>
          </w:p>
        </w:tc>
        <w:tc>
          <w:tcPr>
            <w:tcW w:w="1440" w:type="dxa"/>
            <w:tcBorders>
              <w:top w:val="nil"/>
              <w:left w:val="nil"/>
              <w:bottom w:val="single" w:sz="4" w:space="0" w:color="auto"/>
              <w:right w:val="single" w:sz="4" w:space="0" w:color="auto"/>
            </w:tcBorders>
            <w:vAlign w:val="center"/>
            <w:hideMark/>
          </w:tcPr>
          <w:p w:rsidR="00DA318C" w:rsidRPr="0005778D" w14:paraId="248BA3A3" w14:textId="77777777">
            <w:pPr>
              <w:widowControl/>
              <w:jc w:val="center"/>
              <w:rPr>
                <w:bCs w:val="0"/>
                <w:sz w:val="22"/>
                <w:szCs w:val="22"/>
              </w:rPr>
            </w:pPr>
            <w:r w:rsidRPr="0005778D">
              <w:rPr>
                <w:bCs w:val="0"/>
                <w:sz w:val="22"/>
                <w:szCs w:val="22"/>
              </w:rPr>
              <w:t>(A)</w:t>
            </w:r>
          </w:p>
        </w:tc>
        <w:tc>
          <w:tcPr>
            <w:tcW w:w="1170" w:type="dxa"/>
            <w:tcBorders>
              <w:top w:val="nil"/>
              <w:left w:val="nil"/>
              <w:bottom w:val="single" w:sz="4" w:space="0" w:color="auto"/>
              <w:right w:val="single" w:sz="4" w:space="0" w:color="auto"/>
            </w:tcBorders>
            <w:vAlign w:val="center"/>
            <w:hideMark/>
          </w:tcPr>
          <w:p w:rsidR="00DA318C" w:rsidRPr="0005778D" w14:paraId="1C116063" w14:textId="77777777">
            <w:pPr>
              <w:widowControl/>
              <w:jc w:val="center"/>
              <w:rPr>
                <w:bCs w:val="0"/>
                <w:sz w:val="22"/>
                <w:szCs w:val="22"/>
              </w:rPr>
            </w:pPr>
            <w:r w:rsidRPr="0005778D">
              <w:rPr>
                <w:bCs w:val="0"/>
                <w:sz w:val="22"/>
                <w:szCs w:val="22"/>
              </w:rPr>
              <w:t>(B)</w:t>
            </w:r>
          </w:p>
        </w:tc>
        <w:tc>
          <w:tcPr>
            <w:tcW w:w="1080" w:type="dxa"/>
            <w:tcBorders>
              <w:top w:val="nil"/>
              <w:left w:val="nil"/>
              <w:bottom w:val="single" w:sz="4" w:space="0" w:color="auto"/>
              <w:right w:val="single" w:sz="4" w:space="0" w:color="auto"/>
            </w:tcBorders>
            <w:vAlign w:val="center"/>
            <w:hideMark/>
          </w:tcPr>
          <w:p w:rsidR="00DA318C" w:rsidRPr="0005778D" w14:paraId="61AB63F8" w14:textId="77777777">
            <w:pPr>
              <w:widowControl/>
              <w:jc w:val="center"/>
              <w:rPr>
                <w:bCs w:val="0"/>
                <w:sz w:val="22"/>
                <w:szCs w:val="22"/>
              </w:rPr>
            </w:pPr>
            <w:r w:rsidRPr="0005778D">
              <w:rPr>
                <w:bCs w:val="0"/>
                <w:sz w:val="22"/>
                <w:szCs w:val="22"/>
              </w:rPr>
              <w:t>(C) = (A x B)</w:t>
            </w:r>
          </w:p>
        </w:tc>
        <w:tc>
          <w:tcPr>
            <w:tcW w:w="1170" w:type="dxa"/>
            <w:tcBorders>
              <w:top w:val="nil"/>
              <w:left w:val="nil"/>
              <w:bottom w:val="single" w:sz="4" w:space="0" w:color="auto"/>
              <w:right w:val="single" w:sz="4" w:space="0" w:color="auto"/>
            </w:tcBorders>
            <w:vAlign w:val="center"/>
            <w:hideMark/>
          </w:tcPr>
          <w:p w:rsidR="00DA318C" w:rsidRPr="0005778D" w14:paraId="07270F2B" w14:textId="77777777">
            <w:pPr>
              <w:widowControl/>
              <w:jc w:val="center"/>
              <w:rPr>
                <w:bCs w:val="0"/>
                <w:sz w:val="22"/>
                <w:szCs w:val="22"/>
              </w:rPr>
            </w:pPr>
            <w:r w:rsidRPr="0005778D">
              <w:rPr>
                <w:bCs w:val="0"/>
                <w:sz w:val="22"/>
                <w:szCs w:val="22"/>
              </w:rPr>
              <w:t>(D)</w:t>
            </w:r>
          </w:p>
        </w:tc>
        <w:tc>
          <w:tcPr>
            <w:tcW w:w="2070" w:type="dxa"/>
            <w:tcBorders>
              <w:top w:val="nil"/>
              <w:left w:val="nil"/>
              <w:bottom w:val="single" w:sz="4" w:space="0" w:color="auto"/>
              <w:right w:val="single" w:sz="4" w:space="0" w:color="auto"/>
            </w:tcBorders>
            <w:vAlign w:val="center"/>
            <w:hideMark/>
          </w:tcPr>
          <w:p w:rsidR="00DA318C" w:rsidRPr="0005778D" w14:paraId="007D9195" w14:textId="77777777">
            <w:pPr>
              <w:widowControl/>
              <w:jc w:val="center"/>
              <w:rPr>
                <w:bCs w:val="0"/>
                <w:sz w:val="22"/>
                <w:szCs w:val="22"/>
              </w:rPr>
            </w:pPr>
            <w:r w:rsidRPr="0005778D">
              <w:rPr>
                <w:bCs w:val="0"/>
                <w:sz w:val="22"/>
                <w:szCs w:val="22"/>
              </w:rPr>
              <w:t>(E) = (C x D)</w:t>
            </w:r>
          </w:p>
        </w:tc>
      </w:tr>
      <w:tr w14:paraId="69A099B3" w14:textId="77777777">
        <w:tblPrEx>
          <w:tblW w:w="10345" w:type="dxa"/>
          <w:tblLayout w:type="fixed"/>
          <w:tblLook w:val="04A0"/>
        </w:tblPrEx>
        <w:trPr>
          <w:trHeight w:val="259"/>
        </w:trPr>
        <w:tc>
          <w:tcPr>
            <w:tcW w:w="10345" w:type="dxa"/>
            <w:gridSpan w:val="6"/>
            <w:tcBorders>
              <w:top w:val="nil"/>
              <w:left w:val="single" w:sz="4" w:space="0" w:color="auto"/>
              <w:bottom w:val="single" w:sz="4" w:space="0" w:color="auto"/>
              <w:right w:val="single" w:sz="4" w:space="0" w:color="auto"/>
            </w:tcBorders>
            <w:noWrap/>
            <w:vAlign w:val="bottom"/>
            <w:hideMark/>
          </w:tcPr>
          <w:p w:rsidR="00EB7C6D" w:rsidRPr="002E1CD8" w:rsidP="00EB5F3D" w14:paraId="3167792E" w14:textId="6A65CDE1">
            <w:pPr>
              <w:widowControl/>
              <w:rPr>
                <w:b w:val="0"/>
                <w:i/>
                <w:iCs/>
                <w:sz w:val="22"/>
                <w:szCs w:val="22"/>
                <w:u w:val="single"/>
              </w:rPr>
            </w:pPr>
            <w:r w:rsidRPr="002E1CD8">
              <w:rPr>
                <w:i/>
                <w:iCs/>
                <w:u w:val="single"/>
              </w:rPr>
              <w:t>PBMs design, develop, and implement needed IT systems changes (first year)</w:t>
            </w:r>
          </w:p>
        </w:tc>
      </w:tr>
      <w:tr w14:paraId="1ECA2882" w14:textId="77777777" w:rsidTr="00207541">
        <w:tblPrEx>
          <w:tblW w:w="10345" w:type="dxa"/>
          <w:tblLayout w:type="fixed"/>
          <w:tblLook w:val="04A0"/>
        </w:tblPrEx>
        <w:trPr>
          <w:trHeight w:val="107"/>
        </w:trPr>
        <w:tc>
          <w:tcPr>
            <w:tcW w:w="3415" w:type="dxa"/>
            <w:tcBorders>
              <w:top w:val="single" w:sz="4" w:space="0" w:color="auto"/>
              <w:left w:val="single" w:sz="4" w:space="0" w:color="auto"/>
              <w:bottom w:val="single" w:sz="4" w:space="0" w:color="auto"/>
              <w:right w:val="single" w:sz="4" w:space="0" w:color="auto"/>
            </w:tcBorders>
            <w:vAlign w:val="bottom"/>
            <w:hideMark/>
          </w:tcPr>
          <w:p w:rsidR="00207541" w:rsidRPr="00D05E1F" w:rsidP="00207541" w14:paraId="19F5CF67" w14:textId="5B8B1CA7">
            <w:pPr>
              <w:widowControl/>
              <w:rPr>
                <w:b w:val="0"/>
                <w:bCs w:val="0"/>
                <w:sz w:val="22"/>
                <w:szCs w:val="22"/>
              </w:rPr>
            </w:pPr>
            <w:r w:rsidRPr="00235077">
              <w:rPr>
                <w:b w:val="0"/>
                <w:bCs w:val="0"/>
                <w:sz w:val="22"/>
                <w:szCs w:val="22"/>
              </w:rPr>
              <w:t>Project Management Specialists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06226183" w14:textId="5EF480CC">
            <w:pPr>
              <w:widowControl/>
              <w:jc w:val="right"/>
              <w:rPr>
                <w:b w:val="0"/>
                <w:bCs w:val="0"/>
                <w:sz w:val="22"/>
                <w:szCs w:val="22"/>
              </w:rPr>
            </w:pPr>
            <w:r w:rsidRPr="00207541">
              <w:rPr>
                <w:b w:val="0"/>
                <w:bCs w:val="0"/>
                <w:sz w:val="22"/>
                <w:szCs w:val="22"/>
              </w:rPr>
              <w:t>73</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70038FD1" w14:textId="0439D36C">
            <w:pPr>
              <w:widowControl/>
              <w:jc w:val="right"/>
              <w:rPr>
                <w:b w:val="0"/>
                <w:bCs w:val="0"/>
                <w:sz w:val="22"/>
                <w:szCs w:val="22"/>
              </w:rPr>
            </w:pPr>
            <w:r w:rsidRPr="00207541">
              <w:rPr>
                <w:b w:val="0"/>
                <w:bCs w:val="0"/>
                <w:color w:val="000000"/>
                <w:sz w:val="22"/>
                <w:szCs w:val="22"/>
              </w:rPr>
              <w:t>2,250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53B12BBA" w14:textId="290C0227">
            <w:pPr>
              <w:widowControl/>
              <w:jc w:val="right"/>
              <w:rPr>
                <w:b w:val="0"/>
                <w:bCs w:val="0"/>
                <w:sz w:val="22"/>
                <w:szCs w:val="22"/>
              </w:rPr>
            </w:pPr>
            <w:r w:rsidRPr="00207541">
              <w:rPr>
                <w:b w:val="0"/>
                <w:bCs w:val="0"/>
                <w:color w:val="000000"/>
                <w:sz w:val="22"/>
                <w:szCs w:val="22"/>
              </w:rPr>
              <w:t>164,250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4EE76080" w14:textId="6EE54E40">
            <w:pPr>
              <w:widowControl/>
              <w:jc w:val="right"/>
              <w:rPr>
                <w:b w:val="0"/>
                <w:bCs w:val="0"/>
                <w:sz w:val="22"/>
                <w:szCs w:val="22"/>
              </w:rPr>
            </w:pPr>
            <w:r w:rsidRPr="00207541">
              <w:rPr>
                <w:b w:val="0"/>
                <w:bCs w:val="0"/>
                <w:color w:val="000000"/>
                <w:sz w:val="22"/>
                <w:szCs w:val="22"/>
              </w:rPr>
              <w:t>$126.72</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1D6DF7DA" w14:textId="323E8D52">
            <w:pPr>
              <w:widowControl/>
              <w:jc w:val="right"/>
              <w:rPr>
                <w:b w:val="0"/>
                <w:bCs w:val="0"/>
                <w:sz w:val="22"/>
                <w:szCs w:val="22"/>
              </w:rPr>
            </w:pPr>
            <w:r w:rsidRPr="00207541">
              <w:rPr>
                <w:b w:val="0"/>
                <w:bCs w:val="0"/>
                <w:color w:val="000000"/>
                <w:sz w:val="22"/>
                <w:szCs w:val="22"/>
              </w:rPr>
              <w:t>$20,813,760</w:t>
            </w:r>
          </w:p>
        </w:tc>
      </w:tr>
      <w:tr w14:paraId="2E901B4B" w14:textId="77777777" w:rsidTr="00207541">
        <w:tblPrEx>
          <w:tblW w:w="10345" w:type="dxa"/>
          <w:tblLayout w:type="fixed"/>
          <w:tblLook w:val="04A0"/>
        </w:tblPrEx>
        <w:trPr>
          <w:trHeight w:val="107"/>
        </w:trPr>
        <w:tc>
          <w:tcPr>
            <w:tcW w:w="3415" w:type="dxa"/>
            <w:tcBorders>
              <w:top w:val="single" w:sz="4" w:space="0" w:color="auto"/>
              <w:left w:val="single" w:sz="4" w:space="0" w:color="auto"/>
              <w:bottom w:val="single" w:sz="4" w:space="0" w:color="auto"/>
              <w:right w:val="single" w:sz="4" w:space="0" w:color="auto"/>
            </w:tcBorders>
            <w:vAlign w:val="bottom"/>
          </w:tcPr>
          <w:p w:rsidR="00207541" w:rsidRPr="00D05E1F" w:rsidP="00207541" w14:paraId="4C80D38D" w14:textId="1EE06A17">
            <w:pPr>
              <w:widowControl/>
              <w:rPr>
                <w:b w:val="0"/>
                <w:bCs w:val="0"/>
                <w:sz w:val="22"/>
                <w:szCs w:val="22"/>
              </w:rPr>
            </w:pPr>
            <w:r w:rsidRPr="00466B25">
              <w:rPr>
                <w:b w:val="0"/>
                <w:bCs w:val="0"/>
                <w:sz w:val="22"/>
                <w:szCs w:val="22"/>
              </w:rPr>
              <w:t>Business Operations Specialist</w:t>
            </w:r>
          </w:p>
        </w:tc>
        <w:tc>
          <w:tcPr>
            <w:tcW w:w="144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05409747" w14:textId="7ED85DD9">
            <w:pPr>
              <w:widowControl/>
              <w:jc w:val="right"/>
              <w:rPr>
                <w:b w:val="0"/>
                <w:bCs w:val="0"/>
                <w:sz w:val="22"/>
                <w:szCs w:val="22"/>
              </w:rPr>
            </w:pPr>
            <w:r w:rsidRPr="00207541">
              <w:rPr>
                <w:b w:val="0"/>
                <w:bCs w:val="0"/>
                <w:sz w:val="22"/>
                <w:szCs w:val="22"/>
              </w:rPr>
              <w:t>73</w:t>
            </w:r>
          </w:p>
        </w:tc>
        <w:tc>
          <w:tcPr>
            <w:tcW w:w="11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19F8241C" w14:textId="2A889D83">
            <w:pPr>
              <w:widowControl/>
              <w:jc w:val="right"/>
              <w:rPr>
                <w:b w:val="0"/>
                <w:bCs w:val="0"/>
                <w:sz w:val="22"/>
                <w:szCs w:val="22"/>
              </w:rPr>
            </w:pPr>
            <w:r w:rsidRPr="00207541">
              <w:rPr>
                <w:b w:val="0"/>
                <w:bCs w:val="0"/>
                <w:color w:val="000000"/>
                <w:sz w:val="22"/>
                <w:szCs w:val="22"/>
              </w:rPr>
              <w:t>750</w:t>
            </w:r>
          </w:p>
        </w:tc>
        <w:tc>
          <w:tcPr>
            <w:tcW w:w="108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5F8E0B2E" w14:textId="4BA46BFD">
            <w:pPr>
              <w:widowControl/>
              <w:jc w:val="right"/>
              <w:rPr>
                <w:b w:val="0"/>
                <w:bCs w:val="0"/>
                <w:sz w:val="22"/>
                <w:szCs w:val="22"/>
              </w:rPr>
            </w:pPr>
            <w:r w:rsidRPr="00207541">
              <w:rPr>
                <w:b w:val="0"/>
                <w:bCs w:val="0"/>
                <w:color w:val="000000"/>
                <w:sz w:val="22"/>
                <w:szCs w:val="22"/>
              </w:rPr>
              <w:t>54,750</w:t>
            </w:r>
          </w:p>
        </w:tc>
        <w:tc>
          <w:tcPr>
            <w:tcW w:w="11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674FC8B6" w14:textId="57C2967A">
            <w:pPr>
              <w:widowControl/>
              <w:jc w:val="right"/>
              <w:rPr>
                <w:b w:val="0"/>
                <w:bCs w:val="0"/>
                <w:sz w:val="22"/>
                <w:szCs w:val="22"/>
              </w:rPr>
            </w:pPr>
            <w:r w:rsidRPr="00207541">
              <w:rPr>
                <w:b w:val="0"/>
                <w:bCs w:val="0"/>
                <w:color w:val="000000"/>
                <w:sz w:val="22"/>
                <w:szCs w:val="22"/>
              </w:rPr>
              <w:t>$120.40</w:t>
            </w:r>
          </w:p>
        </w:tc>
        <w:tc>
          <w:tcPr>
            <w:tcW w:w="20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7AD3E89F" w14:textId="02AB7E4B">
            <w:pPr>
              <w:widowControl/>
              <w:jc w:val="right"/>
              <w:rPr>
                <w:b w:val="0"/>
                <w:bCs w:val="0"/>
                <w:sz w:val="22"/>
                <w:szCs w:val="22"/>
              </w:rPr>
            </w:pPr>
            <w:r w:rsidRPr="00207541">
              <w:rPr>
                <w:b w:val="0"/>
                <w:bCs w:val="0"/>
                <w:color w:val="000000"/>
                <w:sz w:val="22"/>
                <w:szCs w:val="22"/>
              </w:rPr>
              <w:t>$6,591,900</w:t>
            </w:r>
          </w:p>
        </w:tc>
      </w:tr>
      <w:tr w14:paraId="07FAD12C" w14:textId="77777777" w:rsidTr="00207541">
        <w:tblPrEx>
          <w:tblW w:w="10345" w:type="dxa"/>
          <w:tblLayout w:type="fixed"/>
          <w:tblLook w:val="04A0"/>
        </w:tblPrEx>
        <w:trPr>
          <w:trHeight w:val="179"/>
        </w:trPr>
        <w:tc>
          <w:tcPr>
            <w:tcW w:w="3415" w:type="dxa"/>
            <w:tcBorders>
              <w:top w:val="single" w:sz="4" w:space="0" w:color="auto"/>
              <w:left w:val="single" w:sz="4" w:space="0" w:color="auto"/>
              <w:bottom w:val="single" w:sz="4" w:space="0" w:color="auto"/>
              <w:right w:val="single" w:sz="4" w:space="0" w:color="auto"/>
            </w:tcBorders>
            <w:vAlign w:val="bottom"/>
          </w:tcPr>
          <w:p w:rsidR="00207541" w:rsidRPr="00D05E1F" w:rsidP="00207541" w14:paraId="45DE0281" w14:textId="09003A63">
            <w:pPr>
              <w:widowControl/>
              <w:rPr>
                <w:b w:val="0"/>
                <w:bCs w:val="0"/>
                <w:sz w:val="22"/>
                <w:szCs w:val="22"/>
              </w:rPr>
            </w:pPr>
            <w:r w:rsidRPr="00466B25">
              <w:rPr>
                <w:b w:val="0"/>
                <w:bCs w:val="0"/>
                <w:sz w:val="22"/>
                <w:szCs w:val="22"/>
              </w:rPr>
              <w:t>Software and Web Developers, Programmers, and Testers</w:t>
            </w:r>
          </w:p>
        </w:tc>
        <w:tc>
          <w:tcPr>
            <w:tcW w:w="144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7112D9F0" w14:textId="4D954711">
            <w:pPr>
              <w:widowControl/>
              <w:jc w:val="right"/>
              <w:rPr>
                <w:b w:val="0"/>
                <w:bCs w:val="0"/>
                <w:sz w:val="22"/>
                <w:szCs w:val="22"/>
              </w:rPr>
            </w:pPr>
            <w:r w:rsidRPr="00207541">
              <w:rPr>
                <w:b w:val="0"/>
                <w:bCs w:val="0"/>
                <w:sz w:val="22"/>
                <w:szCs w:val="22"/>
              </w:rPr>
              <w:t>73</w:t>
            </w:r>
          </w:p>
        </w:tc>
        <w:tc>
          <w:tcPr>
            <w:tcW w:w="11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7B3FCC89" w14:textId="560F646F">
            <w:pPr>
              <w:widowControl/>
              <w:jc w:val="right"/>
              <w:rPr>
                <w:b w:val="0"/>
                <w:bCs w:val="0"/>
                <w:sz w:val="22"/>
                <w:szCs w:val="22"/>
              </w:rPr>
            </w:pPr>
            <w:r w:rsidRPr="00207541">
              <w:rPr>
                <w:b w:val="0"/>
                <w:bCs w:val="0"/>
                <w:color w:val="000000"/>
                <w:sz w:val="22"/>
                <w:szCs w:val="22"/>
              </w:rPr>
              <w:t>3,500</w:t>
            </w:r>
          </w:p>
        </w:tc>
        <w:tc>
          <w:tcPr>
            <w:tcW w:w="108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5996A9D1" w14:textId="7DCF934F">
            <w:pPr>
              <w:widowControl/>
              <w:jc w:val="right"/>
              <w:rPr>
                <w:b w:val="0"/>
                <w:bCs w:val="0"/>
                <w:sz w:val="22"/>
                <w:szCs w:val="22"/>
              </w:rPr>
            </w:pPr>
            <w:r w:rsidRPr="00207541">
              <w:rPr>
                <w:b w:val="0"/>
                <w:bCs w:val="0"/>
                <w:color w:val="000000"/>
                <w:sz w:val="22"/>
                <w:szCs w:val="22"/>
              </w:rPr>
              <w:t>255,500</w:t>
            </w:r>
          </w:p>
        </w:tc>
        <w:tc>
          <w:tcPr>
            <w:tcW w:w="11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03FD8F1F" w14:textId="5F1399DD">
            <w:pPr>
              <w:widowControl/>
              <w:jc w:val="right"/>
              <w:rPr>
                <w:b w:val="0"/>
                <w:bCs w:val="0"/>
                <w:sz w:val="22"/>
                <w:szCs w:val="22"/>
              </w:rPr>
            </w:pPr>
            <w:r w:rsidRPr="00207541">
              <w:rPr>
                <w:b w:val="0"/>
                <w:bCs w:val="0"/>
                <w:color w:val="000000"/>
                <w:sz w:val="22"/>
                <w:szCs w:val="22"/>
              </w:rPr>
              <w:t>$171.89</w:t>
            </w:r>
          </w:p>
        </w:tc>
        <w:tc>
          <w:tcPr>
            <w:tcW w:w="20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316843B9" w14:textId="0818BA66">
            <w:pPr>
              <w:widowControl/>
              <w:jc w:val="right"/>
              <w:rPr>
                <w:b w:val="0"/>
                <w:bCs w:val="0"/>
                <w:sz w:val="22"/>
                <w:szCs w:val="22"/>
              </w:rPr>
            </w:pPr>
            <w:r w:rsidRPr="00207541">
              <w:rPr>
                <w:b w:val="0"/>
                <w:bCs w:val="0"/>
                <w:color w:val="000000"/>
                <w:sz w:val="22"/>
                <w:szCs w:val="22"/>
              </w:rPr>
              <w:t>$43,917,895</w:t>
            </w:r>
          </w:p>
        </w:tc>
      </w:tr>
      <w:tr w14:paraId="1974E389" w14:textId="77777777">
        <w:tblPrEx>
          <w:tblW w:w="10345" w:type="dxa"/>
          <w:tblLayout w:type="fixed"/>
          <w:tblLook w:val="04A0"/>
        </w:tblPrEx>
        <w:trPr>
          <w:trHeight w:val="152"/>
        </w:trPr>
        <w:tc>
          <w:tcPr>
            <w:tcW w:w="10345" w:type="dxa"/>
            <w:gridSpan w:val="6"/>
            <w:tcBorders>
              <w:top w:val="single" w:sz="4" w:space="0" w:color="auto"/>
              <w:left w:val="single" w:sz="4" w:space="0" w:color="auto"/>
              <w:bottom w:val="single" w:sz="4" w:space="0" w:color="auto"/>
              <w:right w:val="single" w:sz="4" w:space="0" w:color="auto"/>
            </w:tcBorders>
            <w:noWrap/>
            <w:vAlign w:val="bottom"/>
            <w:hideMark/>
          </w:tcPr>
          <w:p w:rsidR="00EB5F3D" w:rsidRPr="00207541" w:rsidP="00EB5F3D" w14:paraId="6973C5B7" w14:textId="2F1E2F0E">
            <w:pPr>
              <w:widowControl/>
              <w:rPr>
                <w:i/>
                <w:sz w:val="22"/>
                <w:szCs w:val="22"/>
                <w:u w:val="single"/>
              </w:rPr>
            </w:pPr>
            <w:r w:rsidRPr="00207541">
              <w:rPr>
                <w:i/>
                <w:sz w:val="22"/>
                <w:szCs w:val="22"/>
                <w:u w:val="single"/>
              </w:rPr>
              <w:t>PBMs design, develop, and implement needed IT systems changes (subsequent years)</w:t>
            </w:r>
          </w:p>
        </w:tc>
      </w:tr>
      <w:tr w14:paraId="52B6955B" w14:textId="77777777" w:rsidTr="00207541">
        <w:tblPrEx>
          <w:tblW w:w="10345" w:type="dxa"/>
          <w:tblLayout w:type="fixed"/>
          <w:tblLook w:val="04A0"/>
        </w:tblPrEx>
        <w:trPr>
          <w:trHeight w:val="125"/>
        </w:trPr>
        <w:tc>
          <w:tcPr>
            <w:tcW w:w="3415" w:type="dxa"/>
            <w:tcBorders>
              <w:top w:val="single" w:sz="4" w:space="0" w:color="auto"/>
              <w:left w:val="single" w:sz="4" w:space="0" w:color="auto"/>
              <w:bottom w:val="single" w:sz="4" w:space="0" w:color="auto"/>
              <w:right w:val="single" w:sz="4" w:space="0" w:color="auto"/>
            </w:tcBorders>
            <w:vAlign w:val="bottom"/>
            <w:hideMark/>
          </w:tcPr>
          <w:p w:rsidR="00207541" w:rsidRPr="00261797" w:rsidP="00207541" w14:paraId="07DA9142" w14:textId="0363998B">
            <w:pPr>
              <w:widowControl/>
              <w:rPr>
                <w:b w:val="0"/>
                <w:bCs w:val="0"/>
                <w:sz w:val="22"/>
                <w:szCs w:val="22"/>
              </w:rPr>
            </w:pPr>
            <w:r w:rsidRPr="00235077">
              <w:rPr>
                <w:b w:val="0"/>
                <w:bCs w:val="0"/>
                <w:sz w:val="22"/>
                <w:szCs w:val="22"/>
              </w:rPr>
              <w:t>Project Management Specialists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670337CA" w14:textId="253C9B2D">
            <w:pPr>
              <w:widowControl/>
              <w:jc w:val="right"/>
              <w:rPr>
                <w:b w:val="0"/>
                <w:bCs w:val="0"/>
                <w:sz w:val="22"/>
                <w:szCs w:val="22"/>
              </w:rPr>
            </w:pPr>
            <w:r w:rsidRPr="00207541">
              <w:rPr>
                <w:b w:val="0"/>
                <w:bCs w:val="0"/>
                <w:sz w:val="22"/>
                <w:szCs w:val="22"/>
              </w:rPr>
              <w:t>73</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01801DAC" w14:textId="7C9CE310">
            <w:pPr>
              <w:widowControl/>
              <w:jc w:val="right"/>
              <w:rPr>
                <w:b w:val="0"/>
                <w:bCs w:val="0"/>
                <w:sz w:val="22"/>
                <w:szCs w:val="22"/>
              </w:rPr>
            </w:pPr>
            <w:r w:rsidRPr="00207541">
              <w:rPr>
                <w:b w:val="0"/>
                <w:bCs w:val="0"/>
                <w:color w:val="000000"/>
                <w:sz w:val="22"/>
                <w:szCs w:val="22"/>
              </w:rPr>
              <w:t>500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2AFF086E" w14:textId="0E23D2AD">
            <w:pPr>
              <w:widowControl/>
              <w:jc w:val="right"/>
              <w:rPr>
                <w:b w:val="0"/>
                <w:bCs w:val="0"/>
                <w:sz w:val="22"/>
                <w:szCs w:val="22"/>
              </w:rPr>
            </w:pPr>
            <w:r w:rsidRPr="00207541">
              <w:rPr>
                <w:b w:val="0"/>
                <w:bCs w:val="0"/>
                <w:color w:val="000000"/>
                <w:sz w:val="22"/>
                <w:szCs w:val="22"/>
              </w:rPr>
              <w:t>36,500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14F33F9A" w14:textId="0F2E5CD3">
            <w:pPr>
              <w:widowControl/>
              <w:jc w:val="right"/>
              <w:rPr>
                <w:b w:val="0"/>
                <w:bCs w:val="0"/>
                <w:sz w:val="22"/>
                <w:szCs w:val="22"/>
              </w:rPr>
            </w:pPr>
            <w:r w:rsidRPr="00207541">
              <w:rPr>
                <w:b w:val="0"/>
                <w:bCs w:val="0"/>
                <w:color w:val="000000"/>
                <w:sz w:val="22"/>
                <w:szCs w:val="22"/>
              </w:rPr>
              <w:t>$126.72</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207541" w:rsidRPr="00207541" w:rsidP="00207541" w14:paraId="52DBBB8B" w14:textId="7D2339FC">
            <w:pPr>
              <w:widowControl/>
              <w:jc w:val="right"/>
              <w:rPr>
                <w:b w:val="0"/>
                <w:bCs w:val="0"/>
                <w:sz w:val="22"/>
                <w:szCs w:val="22"/>
              </w:rPr>
            </w:pPr>
            <w:r w:rsidRPr="00207541">
              <w:rPr>
                <w:b w:val="0"/>
                <w:bCs w:val="0"/>
                <w:color w:val="000000"/>
                <w:sz w:val="22"/>
                <w:szCs w:val="22"/>
              </w:rPr>
              <w:t>$4,625,280</w:t>
            </w:r>
          </w:p>
        </w:tc>
      </w:tr>
      <w:tr w14:paraId="6198EF6D" w14:textId="77777777" w:rsidTr="00207541">
        <w:tblPrEx>
          <w:tblW w:w="10345" w:type="dxa"/>
          <w:tblLayout w:type="fixed"/>
          <w:tblLook w:val="04A0"/>
        </w:tblPrEx>
        <w:trPr>
          <w:trHeight w:val="143"/>
        </w:trPr>
        <w:tc>
          <w:tcPr>
            <w:tcW w:w="3415" w:type="dxa"/>
            <w:tcBorders>
              <w:top w:val="single" w:sz="4" w:space="0" w:color="auto"/>
              <w:left w:val="single" w:sz="4" w:space="0" w:color="auto"/>
              <w:bottom w:val="single" w:sz="4" w:space="0" w:color="auto"/>
              <w:right w:val="single" w:sz="4" w:space="0" w:color="auto"/>
            </w:tcBorders>
            <w:vAlign w:val="bottom"/>
          </w:tcPr>
          <w:p w:rsidR="00207541" w:rsidRPr="00261797" w:rsidP="00207541" w14:paraId="50F2374C" w14:textId="1F0616AE">
            <w:pPr>
              <w:widowControl/>
              <w:rPr>
                <w:b w:val="0"/>
                <w:bCs w:val="0"/>
                <w:sz w:val="22"/>
                <w:szCs w:val="22"/>
              </w:rPr>
            </w:pPr>
            <w:r w:rsidRPr="00466B25">
              <w:rPr>
                <w:b w:val="0"/>
                <w:bCs w:val="0"/>
                <w:sz w:val="22"/>
                <w:szCs w:val="22"/>
              </w:rPr>
              <w:t>Business Operations Specialist</w:t>
            </w:r>
          </w:p>
        </w:tc>
        <w:tc>
          <w:tcPr>
            <w:tcW w:w="144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77404722" w14:textId="775FC9C8">
            <w:pPr>
              <w:widowControl/>
              <w:jc w:val="right"/>
              <w:rPr>
                <w:b w:val="0"/>
                <w:bCs w:val="0"/>
                <w:sz w:val="22"/>
                <w:szCs w:val="22"/>
              </w:rPr>
            </w:pPr>
            <w:r w:rsidRPr="00207541">
              <w:rPr>
                <w:b w:val="0"/>
                <w:bCs w:val="0"/>
                <w:sz w:val="22"/>
                <w:szCs w:val="22"/>
              </w:rPr>
              <w:t>73</w:t>
            </w:r>
          </w:p>
        </w:tc>
        <w:tc>
          <w:tcPr>
            <w:tcW w:w="11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77F5CC19" w14:textId="29BFC830">
            <w:pPr>
              <w:widowControl/>
              <w:jc w:val="right"/>
              <w:rPr>
                <w:b w:val="0"/>
                <w:bCs w:val="0"/>
                <w:sz w:val="22"/>
                <w:szCs w:val="22"/>
              </w:rPr>
            </w:pPr>
            <w:r w:rsidRPr="00207541">
              <w:rPr>
                <w:b w:val="0"/>
                <w:bCs w:val="0"/>
                <w:color w:val="000000"/>
                <w:sz w:val="22"/>
                <w:szCs w:val="22"/>
              </w:rPr>
              <w:t>50</w:t>
            </w:r>
          </w:p>
        </w:tc>
        <w:tc>
          <w:tcPr>
            <w:tcW w:w="108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2BA3D8E3" w14:textId="0F55F1F8">
            <w:pPr>
              <w:widowControl/>
              <w:jc w:val="right"/>
              <w:rPr>
                <w:b w:val="0"/>
                <w:bCs w:val="0"/>
                <w:sz w:val="22"/>
                <w:szCs w:val="22"/>
              </w:rPr>
            </w:pPr>
            <w:r w:rsidRPr="00207541">
              <w:rPr>
                <w:b w:val="0"/>
                <w:bCs w:val="0"/>
                <w:color w:val="000000"/>
                <w:sz w:val="22"/>
                <w:szCs w:val="22"/>
              </w:rPr>
              <w:t>3,650</w:t>
            </w:r>
          </w:p>
        </w:tc>
        <w:tc>
          <w:tcPr>
            <w:tcW w:w="11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47C45568" w14:textId="00ABC70C">
            <w:pPr>
              <w:widowControl/>
              <w:jc w:val="right"/>
              <w:rPr>
                <w:b w:val="0"/>
                <w:bCs w:val="0"/>
                <w:sz w:val="22"/>
                <w:szCs w:val="22"/>
              </w:rPr>
            </w:pPr>
            <w:r w:rsidRPr="00207541">
              <w:rPr>
                <w:b w:val="0"/>
                <w:bCs w:val="0"/>
                <w:color w:val="000000"/>
                <w:sz w:val="22"/>
                <w:szCs w:val="22"/>
              </w:rPr>
              <w:t>$120.40</w:t>
            </w:r>
          </w:p>
        </w:tc>
        <w:tc>
          <w:tcPr>
            <w:tcW w:w="2070" w:type="dxa"/>
            <w:tcBorders>
              <w:top w:val="single" w:sz="4" w:space="0" w:color="auto"/>
              <w:left w:val="single" w:sz="4" w:space="0" w:color="auto"/>
              <w:bottom w:val="single" w:sz="4" w:space="0" w:color="auto"/>
              <w:right w:val="single" w:sz="4" w:space="0" w:color="auto"/>
            </w:tcBorders>
            <w:noWrap/>
            <w:vAlign w:val="bottom"/>
          </w:tcPr>
          <w:p w:rsidR="00207541" w:rsidRPr="00207541" w:rsidP="00207541" w14:paraId="520D418F" w14:textId="4B748257">
            <w:pPr>
              <w:widowControl/>
              <w:jc w:val="right"/>
              <w:rPr>
                <w:b w:val="0"/>
                <w:bCs w:val="0"/>
                <w:sz w:val="22"/>
                <w:szCs w:val="22"/>
              </w:rPr>
            </w:pPr>
            <w:r w:rsidRPr="00207541">
              <w:rPr>
                <w:b w:val="0"/>
                <w:bCs w:val="0"/>
                <w:color w:val="000000"/>
                <w:sz w:val="22"/>
                <w:szCs w:val="22"/>
              </w:rPr>
              <w:t>$439,460</w:t>
            </w:r>
          </w:p>
        </w:tc>
      </w:tr>
      <w:tr w14:paraId="34F5F84C" w14:textId="77777777" w:rsidTr="00794113">
        <w:tblPrEx>
          <w:tblW w:w="10345" w:type="dxa"/>
          <w:tblLayout w:type="fixed"/>
          <w:tblLook w:val="04A0"/>
        </w:tblPrEx>
        <w:trPr>
          <w:trHeight w:val="518"/>
        </w:trPr>
        <w:tc>
          <w:tcPr>
            <w:tcW w:w="3415" w:type="dxa"/>
            <w:tcBorders>
              <w:top w:val="single" w:sz="4" w:space="0" w:color="auto"/>
              <w:left w:val="single" w:sz="4" w:space="0" w:color="auto"/>
              <w:bottom w:val="double" w:sz="4" w:space="0" w:color="auto"/>
              <w:right w:val="single" w:sz="4" w:space="0" w:color="auto"/>
            </w:tcBorders>
            <w:vAlign w:val="bottom"/>
          </w:tcPr>
          <w:p w:rsidR="00207541" w:rsidRPr="00261797" w:rsidP="00207541" w14:paraId="6BC73321" w14:textId="47A0D8FE">
            <w:pPr>
              <w:widowControl/>
              <w:rPr>
                <w:b w:val="0"/>
                <w:bCs w:val="0"/>
                <w:sz w:val="22"/>
                <w:szCs w:val="22"/>
              </w:rPr>
            </w:pPr>
            <w:r w:rsidRPr="00466B25">
              <w:rPr>
                <w:b w:val="0"/>
                <w:bCs w:val="0"/>
                <w:sz w:val="22"/>
                <w:szCs w:val="22"/>
              </w:rPr>
              <w:t>Software and Web Developers, Programmers, and Testers</w:t>
            </w:r>
          </w:p>
        </w:tc>
        <w:tc>
          <w:tcPr>
            <w:tcW w:w="1440" w:type="dxa"/>
            <w:tcBorders>
              <w:top w:val="single" w:sz="4" w:space="0" w:color="auto"/>
              <w:left w:val="single" w:sz="4" w:space="0" w:color="auto"/>
              <w:bottom w:val="double" w:sz="4" w:space="0" w:color="auto"/>
              <w:right w:val="single" w:sz="4" w:space="0" w:color="auto"/>
            </w:tcBorders>
            <w:noWrap/>
            <w:vAlign w:val="bottom"/>
          </w:tcPr>
          <w:p w:rsidR="00207541" w:rsidRPr="00207541" w:rsidP="00207541" w14:paraId="54016EA0" w14:textId="3D736967">
            <w:pPr>
              <w:widowControl/>
              <w:jc w:val="right"/>
              <w:rPr>
                <w:b w:val="0"/>
                <w:bCs w:val="0"/>
                <w:sz w:val="22"/>
                <w:szCs w:val="22"/>
              </w:rPr>
            </w:pPr>
            <w:r w:rsidRPr="00207541">
              <w:rPr>
                <w:b w:val="0"/>
                <w:bCs w:val="0"/>
                <w:sz w:val="22"/>
                <w:szCs w:val="22"/>
              </w:rPr>
              <w:t>73</w:t>
            </w:r>
          </w:p>
        </w:tc>
        <w:tc>
          <w:tcPr>
            <w:tcW w:w="1170" w:type="dxa"/>
            <w:tcBorders>
              <w:top w:val="single" w:sz="4" w:space="0" w:color="auto"/>
              <w:left w:val="single" w:sz="4" w:space="0" w:color="auto"/>
              <w:bottom w:val="double" w:sz="4" w:space="0" w:color="auto"/>
              <w:right w:val="single" w:sz="4" w:space="0" w:color="auto"/>
            </w:tcBorders>
            <w:noWrap/>
            <w:vAlign w:val="bottom"/>
          </w:tcPr>
          <w:p w:rsidR="00207541" w:rsidRPr="00207541" w:rsidP="00207541" w14:paraId="55FDD0DB" w14:textId="3D6F9827">
            <w:pPr>
              <w:widowControl/>
              <w:jc w:val="right"/>
              <w:rPr>
                <w:b w:val="0"/>
                <w:bCs w:val="0"/>
                <w:sz w:val="22"/>
                <w:szCs w:val="22"/>
              </w:rPr>
            </w:pPr>
            <w:r w:rsidRPr="00207541">
              <w:rPr>
                <w:b w:val="0"/>
                <w:bCs w:val="0"/>
                <w:color w:val="000000"/>
                <w:sz w:val="22"/>
                <w:szCs w:val="22"/>
              </w:rPr>
              <w:t>750</w:t>
            </w:r>
          </w:p>
        </w:tc>
        <w:tc>
          <w:tcPr>
            <w:tcW w:w="1080" w:type="dxa"/>
            <w:tcBorders>
              <w:top w:val="single" w:sz="4" w:space="0" w:color="auto"/>
              <w:left w:val="single" w:sz="4" w:space="0" w:color="auto"/>
              <w:bottom w:val="double" w:sz="4" w:space="0" w:color="auto"/>
              <w:right w:val="single" w:sz="4" w:space="0" w:color="auto"/>
            </w:tcBorders>
            <w:noWrap/>
            <w:vAlign w:val="bottom"/>
          </w:tcPr>
          <w:p w:rsidR="00207541" w:rsidRPr="00207541" w:rsidP="00207541" w14:paraId="05424E82" w14:textId="6F3076A1">
            <w:pPr>
              <w:widowControl/>
              <w:jc w:val="right"/>
              <w:rPr>
                <w:b w:val="0"/>
                <w:bCs w:val="0"/>
                <w:sz w:val="22"/>
                <w:szCs w:val="22"/>
              </w:rPr>
            </w:pPr>
            <w:r w:rsidRPr="00207541">
              <w:rPr>
                <w:b w:val="0"/>
                <w:bCs w:val="0"/>
                <w:color w:val="000000"/>
                <w:sz w:val="22"/>
                <w:szCs w:val="22"/>
              </w:rPr>
              <w:t>54,750</w:t>
            </w:r>
          </w:p>
        </w:tc>
        <w:tc>
          <w:tcPr>
            <w:tcW w:w="1170" w:type="dxa"/>
            <w:tcBorders>
              <w:top w:val="single" w:sz="4" w:space="0" w:color="auto"/>
              <w:left w:val="single" w:sz="4" w:space="0" w:color="auto"/>
              <w:bottom w:val="double" w:sz="4" w:space="0" w:color="auto"/>
              <w:right w:val="single" w:sz="4" w:space="0" w:color="auto"/>
            </w:tcBorders>
            <w:noWrap/>
            <w:vAlign w:val="bottom"/>
          </w:tcPr>
          <w:p w:rsidR="00207541" w:rsidRPr="00207541" w:rsidP="00207541" w14:paraId="5BCA88BF" w14:textId="58FFDA45">
            <w:pPr>
              <w:widowControl/>
              <w:jc w:val="right"/>
              <w:rPr>
                <w:b w:val="0"/>
                <w:bCs w:val="0"/>
                <w:sz w:val="22"/>
                <w:szCs w:val="22"/>
              </w:rPr>
            </w:pPr>
            <w:r w:rsidRPr="00207541">
              <w:rPr>
                <w:b w:val="0"/>
                <w:bCs w:val="0"/>
                <w:color w:val="000000"/>
                <w:sz w:val="22"/>
                <w:szCs w:val="22"/>
              </w:rPr>
              <w:t>$171.89</w:t>
            </w:r>
          </w:p>
        </w:tc>
        <w:tc>
          <w:tcPr>
            <w:tcW w:w="2070" w:type="dxa"/>
            <w:tcBorders>
              <w:top w:val="single" w:sz="4" w:space="0" w:color="auto"/>
              <w:left w:val="single" w:sz="4" w:space="0" w:color="auto"/>
              <w:bottom w:val="double" w:sz="4" w:space="0" w:color="auto"/>
              <w:right w:val="single" w:sz="4" w:space="0" w:color="auto"/>
            </w:tcBorders>
            <w:noWrap/>
            <w:vAlign w:val="bottom"/>
          </w:tcPr>
          <w:p w:rsidR="00207541" w:rsidRPr="00207541" w:rsidP="00207541" w14:paraId="03ECF815" w14:textId="4FB91EF1">
            <w:pPr>
              <w:widowControl/>
              <w:jc w:val="right"/>
              <w:rPr>
                <w:b w:val="0"/>
                <w:bCs w:val="0"/>
                <w:sz w:val="22"/>
                <w:szCs w:val="22"/>
              </w:rPr>
            </w:pPr>
            <w:r w:rsidRPr="00207541">
              <w:rPr>
                <w:b w:val="0"/>
                <w:bCs w:val="0"/>
                <w:color w:val="000000"/>
                <w:sz w:val="22"/>
                <w:szCs w:val="22"/>
              </w:rPr>
              <w:t>$9,410,978</w:t>
            </w:r>
          </w:p>
        </w:tc>
      </w:tr>
      <w:tr w14:paraId="6CA982E3" w14:textId="77777777" w:rsidTr="00794113">
        <w:tblPrEx>
          <w:tblW w:w="10345" w:type="dxa"/>
          <w:tblLayout w:type="fixed"/>
          <w:tblLook w:val="04A0"/>
        </w:tblPrEx>
        <w:trPr>
          <w:trHeight w:val="302"/>
        </w:trPr>
        <w:tc>
          <w:tcPr>
            <w:tcW w:w="3415" w:type="dxa"/>
            <w:tcBorders>
              <w:top w:val="double" w:sz="4" w:space="0" w:color="auto"/>
              <w:left w:val="single" w:sz="4" w:space="0" w:color="auto"/>
              <w:bottom w:val="single" w:sz="4" w:space="0" w:color="auto"/>
              <w:right w:val="single" w:sz="4" w:space="0" w:color="auto"/>
            </w:tcBorders>
            <w:noWrap/>
            <w:vAlign w:val="bottom"/>
            <w:hideMark/>
          </w:tcPr>
          <w:p w:rsidR="00EB5F3D" w:rsidRPr="00261797" w:rsidP="00EB5F3D" w14:paraId="2196AD26" w14:textId="31655AA1">
            <w:pPr>
              <w:widowControl/>
              <w:rPr>
                <w:bCs w:val="0"/>
                <w:sz w:val="22"/>
                <w:szCs w:val="22"/>
              </w:rPr>
            </w:pPr>
            <w:r>
              <w:rPr>
                <w:bCs w:val="0"/>
                <w:sz w:val="22"/>
                <w:szCs w:val="22"/>
              </w:rPr>
              <w:t xml:space="preserve">First Year </w:t>
            </w:r>
            <w:r w:rsidRPr="00261797">
              <w:rPr>
                <w:bCs w:val="0"/>
                <w:sz w:val="22"/>
                <w:szCs w:val="22"/>
              </w:rPr>
              <w:t>Total</w:t>
            </w:r>
            <w:r>
              <w:rPr>
                <w:bCs w:val="0"/>
                <w:sz w:val="22"/>
                <w:szCs w:val="22"/>
              </w:rPr>
              <w:t xml:space="preserve"> </w:t>
            </w:r>
          </w:p>
        </w:tc>
        <w:tc>
          <w:tcPr>
            <w:tcW w:w="1440" w:type="dxa"/>
            <w:tcBorders>
              <w:top w:val="double" w:sz="4" w:space="0" w:color="auto"/>
              <w:left w:val="single" w:sz="4" w:space="0" w:color="auto"/>
              <w:bottom w:val="single" w:sz="4" w:space="0" w:color="auto"/>
              <w:right w:val="single" w:sz="4" w:space="0" w:color="auto"/>
            </w:tcBorders>
            <w:noWrap/>
            <w:vAlign w:val="bottom"/>
            <w:hideMark/>
          </w:tcPr>
          <w:p w:rsidR="00EB5F3D" w:rsidRPr="005A7777" w:rsidP="00EB5F3D" w14:paraId="2C7D4EEB" w14:textId="4A7B7ACA">
            <w:pPr>
              <w:widowControl/>
              <w:jc w:val="right"/>
              <w:rPr>
                <w:sz w:val="22"/>
                <w:szCs w:val="22"/>
              </w:rPr>
            </w:pPr>
            <w:r>
              <w:rPr>
                <w:sz w:val="22"/>
                <w:szCs w:val="22"/>
              </w:rPr>
              <w:t>73</w:t>
            </w:r>
          </w:p>
        </w:tc>
        <w:tc>
          <w:tcPr>
            <w:tcW w:w="1170" w:type="dxa"/>
            <w:tcBorders>
              <w:top w:val="double" w:sz="4" w:space="0" w:color="auto"/>
              <w:left w:val="nil"/>
              <w:bottom w:val="single" w:sz="4" w:space="0" w:color="auto"/>
              <w:right w:val="single" w:sz="4" w:space="0" w:color="auto"/>
            </w:tcBorders>
            <w:noWrap/>
            <w:vAlign w:val="bottom"/>
            <w:hideMark/>
          </w:tcPr>
          <w:p w:rsidR="00EB5F3D" w:rsidRPr="005A7777" w:rsidP="00EB5F3D" w14:paraId="5E49451E" w14:textId="77777777">
            <w:pPr>
              <w:widowControl/>
              <w:jc w:val="right"/>
              <w:rPr>
                <w:sz w:val="22"/>
                <w:szCs w:val="22"/>
              </w:rPr>
            </w:pPr>
            <w:r w:rsidRPr="005A7777">
              <w:rPr>
                <w:sz w:val="22"/>
                <w:szCs w:val="22"/>
              </w:rPr>
              <w:t>-</w:t>
            </w:r>
          </w:p>
        </w:tc>
        <w:tc>
          <w:tcPr>
            <w:tcW w:w="1080" w:type="dxa"/>
            <w:tcBorders>
              <w:top w:val="double" w:sz="4" w:space="0" w:color="auto"/>
              <w:left w:val="single" w:sz="4" w:space="0" w:color="auto"/>
              <w:bottom w:val="single" w:sz="4" w:space="0" w:color="auto"/>
              <w:right w:val="single" w:sz="4" w:space="0" w:color="auto"/>
            </w:tcBorders>
            <w:noWrap/>
            <w:vAlign w:val="bottom"/>
            <w:hideMark/>
          </w:tcPr>
          <w:p w:rsidR="00EB5F3D" w:rsidRPr="005A7777" w:rsidP="00EB5F3D" w14:paraId="3BED6F22" w14:textId="438B7193">
            <w:pPr>
              <w:widowControl/>
              <w:jc w:val="right"/>
              <w:rPr>
                <w:sz w:val="22"/>
                <w:szCs w:val="22"/>
              </w:rPr>
            </w:pPr>
            <w:r w:rsidRPr="009E5C46">
              <w:rPr>
                <w:sz w:val="22"/>
                <w:szCs w:val="22"/>
              </w:rPr>
              <w:t>474,500</w:t>
            </w:r>
          </w:p>
        </w:tc>
        <w:tc>
          <w:tcPr>
            <w:tcW w:w="1170" w:type="dxa"/>
            <w:tcBorders>
              <w:top w:val="double" w:sz="4" w:space="0" w:color="auto"/>
              <w:left w:val="nil"/>
              <w:bottom w:val="single" w:sz="4" w:space="0" w:color="auto"/>
              <w:right w:val="single" w:sz="4" w:space="0" w:color="auto"/>
            </w:tcBorders>
            <w:noWrap/>
            <w:vAlign w:val="bottom"/>
            <w:hideMark/>
          </w:tcPr>
          <w:p w:rsidR="00EB5F3D" w:rsidRPr="005A7777" w:rsidP="00EB5F3D" w14:paraId="1ECD4006" w14:textId="77777777">
            <w:pPr>
              <w:widowControl/>
              <w:jc w:val="right"/>
              <w:rPr>
                <w:sz w:val="22"/>
                <w:szCs w:val="22"/>
              </w:rPr>
            </w:pPr>
            <w:r w:rsidRPr="005A7777">
              <w:rPr>
                <w:sz w:val="22"/>
                <w:szCs w:val="22"/>
              </w:rPr>
              <w:t>-</w:t>
            </w:r>
          </w:p>
        </w:tc>
        <w:tc>
          <w:tcPr>
            <w:tcW w:w="2070" w:type="dxa"/>
            <w:tcBorders>
              <w:top w:val="double" w:sz="4" w:space="0" w:color="auto"/>
              <w:left w:val="nil"/>
              <w:bottom w:val="single" w:sz="4" w:space="0" w:color="auto"/>
              <w:right w:val="single" w:sz="4" w:space="0" w:color="auto"/>
            </w:tcBorders>
            <w:noWrap/>
            <w:vAlign w:val="bottom"/>
            <w:hideMark/>
          </w:tcPr>
          <w:p w:rsidR="00EB5F3D" w:rsidRPr="005A7777" w:rsidP="00EB5F3D" w14:paraId="431DE365" w14:textId="06F1308C">
            <w:pPr>
              <w:widowControl/>
              <w:jc w:val="right"/>
              <w:rPr>
                <w:sz w:val="22"/>
                <w:szCs w:val="22"/>
              </w:rPr>
            </w:pPr>
            <w:r w:rsidRPr="001974F2">
              <w:rPr>
                <w:sz w:val="22"/>
                <w:szCs w:val="22"/>
              </w:rPr>
              <w:t>$71,323,555</w:t>
            </w:r>
          </w:p>
        </w:tc>
      </w:tr>
      <w:tr w14:paraId="1385EBA6" w14:textId="77777777" w:rsidTr="00207541">
        <w:tblPrEx>
          <w:tblW w:w="10345" w:type="dxa"/>
          <w:tblLayout w:type="fixed"/>
          <w:tblLook w:val="04A0"/>
        </w:tblPrEx>
        <w:trPr>
          <w:trHeight w:val="302"/>
        </w:trPr>
        <w:tc>
          <w:tcPr>
            <w:tcW w:w="3415" w:type="dxa"/>
            <w:tcBorders>
              <w:top w:val="single" w:sz="4" w:space="0" w:color="auto"/>
              <w:left w:val="single" w:sz="4" w:space="0" w:color="auto"/>
              <w:bottom w:val="single" w:sz="4" w:space="0" w:color="auto"/>
              <w:right w:val="single" w:sz="4" w:space="0" w:color="auto"/>
            </w:tcBorders>
            <w:noWrap/>
            <w:vAlign w:val="bottom"/>
          </w:tcPr>
          <w:p w:rsidR="00207541" w:rsidP="00EB5F3D" w14:paraId="78F3EAE8" w14:textId="0180B846">
            <w:pPr>
              <w:widowControl/>
              <w:rPr>
                <w:bCs w:val="0"/>
                <w:sz w:val="22"/>
                <w:szCs w:val="22"/>
              </w:rPr>
            </w:pPr>
            <w:r>
              <w:rPr>
                <w:bCs w:val="0"/>
                <w:sz w:val="22"/>
                <w:szCs w:val="22"/>
              </w:rPr>
              <w:t>Subsequent Year Total</w:t>
            </w:r>
          </w:p>
        </w:tc>
        <w:tc>
          <w:tcPr>
            <w:tcW w:w="1440" w:type="dxa"/>
            <w:tcBorders>
              <w:top w:val="single" w:sz="4" w:space="0" w:color="auto"/>
              <w:left w:val="single" w:sz="4" w:space="0" w:color="auto"/>
              <w:bottom w:val="single" w:sz="4" w:space="0" w:color="auto"/>
              <w:right w:val="single" w:sz="4" w:space="0" w:color="auto"/>
            </w:tcBorders>
            <w:noWrap/>
            <w:vAlign w:val="bottom"/>
          </w:tcPr>
          <w:p w:rsidR="00207541" w:rsidRPr="005A7777" w:rsidP="00EB5F3D" w14:paraId="4087CB34" w14:textId="0BEDF768">
            <w:pPr>
              <w:widowControl/>
              <w:jc w:val="right"/>
              <w:rPr>
                <w:sz w:val="22"/>
                <w:szCs w:val="22"/>
              </w:rPr>
            </w:pPr>
            <w:r>
              <w:rPr>
                <w:sz w:val="22"/>
                <w:szCs w:val="22"/>
              </w:rPr>
              <w:t>73</w:t>
            </w:r>
          </w:p>
        </w:tc>
        <w:tc>
          <w:tcPr>
            <w:tcW w:w="1170" w:type="dxa"/>
            <w:tcBorders>
              <w:top w:val="single" w:sz="4" w:space="0" w:color="auto"/>
              <w:left w:val="nil"/>
              <w:bottom w:val="single" w:sz="4" w:space="0" w:color="auto"/>
              <w:right w:val="single" w:sz="4" w:space="0" w:color="auto"/>
            </w:tcBorders>
            <w:noWrap/>
            <w:vAlign w:val="bottom"/>
          </w:tcPr>
          <w:p w:rsidR="00207541" w:rsidRPr="005A7777" w:rsidP="00EB5F3D" w14:paraId="348B6CB9" w14:textId="77777777">
            <w:pPr>
              <w:widowControl/>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207541" w:rsidRPr="005A7777" w:rsidP="00EB5F3D" w14:paraId="63D6BF16" w14:textId="2E672C92">
            <w:pPr>
              <w:widowControl/>
              <w:jc w:val="right"/>
              <w:rPr>
                <w:sz w:val="22"/>
                <w:szCs w:val="22"/>
              </w:rPr>
            </w:pPr>
            <w:r w:rsidRPr="001974F2">
              <w:rPr>
                <w:sz w:val="22"/>
                <w:szCs w:val="22"/>
              </w:rPr>
              <w:t>94,900</w:t>
            </w:r>
          </w:p>
        </w:tc>
        <w:tc>
          <w:tcPr>
            <w:tcW w:w="1170" w:type="dxa"/>
            <w:tcBorders>
              <w:top w:val="single" w:sz="4" w:space="0" w:color="auto"/>
              <w:left w:val="nil"/>
              <w:bottom w:val="single" w:sz="4" w:space="0" w:color="auto"/>
              <w:right w:val="single" w:sz="4" w:space="0" w:color="auto"/>
            </w:tcBorders>
            <w:noWrap/>
            <w:vAlign w:val="bottom"/>
          </w:tcPr>
          <w:p w:rsidR="00207541" w:rsidRPr="005A7777" w:rsidP="00EB5F3D" w14:paraId="406D8C94" w14:textId="77777777">
            <w:pPr>
              <w:widowControl/>
              <w:jc w:val="right"/>
              <w:rPr>
                <w:sz w:val="22"/>
                <w:szCs w:val="22"/>
              </w:rPr>
            </w:pPr>
          </w:p>
        </w:tc>
        <w:tc>
          <w:tcPr>
            <w:tcW w:w="2070" w:type="dxa"/>
            <w:tcBorders>
              <w:top w:val="single" w:sz="4" w:space="0" w:color="auto"/>
              <w:left w:val="nil"/>
              <w:bottom w:val="single" w:sz="4" w:space="0" w:color="auto"/>
              <w:right w:val="single" w:sz="4" w:space="0" w:color="auto"/>
            </w:tcBorders>
            <w:noWrap/>
            <w:vAlign w:val="bottom"/>
          </w:tcPr>
          <w:p w:rsidR="00207541" w:rsidRPr="005A7777" w:rsidP="00EB5F3D" w14:paraId="45B6DE96" w14:textId="56F8A8CA">
            <w:pPr>
              <w:widowControl/>
              <w:jc w:val="right"/>
              <w:rPr>
                <w:sz w:val="22"/>
                <w:szCs w:val="22"/>
              </w:rPr>
            </w:pPr>
            <w:r w:rsidRPr="001974F2">
              <w:rPr>
                <w:sz w:val="22"/>
                <w:szCs w:val="22"/>
              </w:rPr>
              <w:t>$14,475,718</w:t>
            </w:r>
          </w:p>
        </w:tc>
      </w:tr>
      <w:tr w14:paraId="0985CF39" w14:textId="77777777" w:rsidTr="00207541">
        <w:tblPrEx>
          <w:tblW w:w="10345" w:type="dxa"/>
          <w:tblLayout w:type="fixed"/>
          <w:tblLook w:val="04A0"/>
        </w:tblPrEx>
        <w:trPr>
          <w:trHeight w:val="302"/>
        </w:trPr>
        <w:tc>
          <w:tcPr>
            <w:tcW w:w="3415" w:type="dxa"/>
            <w:tcBorders>
              <w:top w:val="single" w:sz="4" w:space="0" w:color="auto"/>
              <w:left w:val="single" w:sz="4" w:space="0" w:color="auto"/>
              <w:bottom w:val="single" w:sz="4" w:space="0" w:color="auto"/>
              <w:right w:val="single" w:sz="4" w:space="0" w:color="auto"/>
            </w:tcBorders>
            <w:noWrap/>
            <w:vAlign w:val="bottom"/>
          </w:tcPr>
          <w:p w:rsidR="00207541" w:rsidP="00EB5F3D" w14:paraId="264E4AFE" w14:textId="102EF3C4">
            <w:pPr>
              <w:widowControl/>
              <w:rPr>
                <w:bCs w:val="0"/>
                <w:sz w:val="22"/>
                <w:szCs w:val="22"/>
              </w:rPr>
            </w:pPr>
            <w:r>
              <w:rPr>
                <w:bCs w:val="0"/>
                <w:sz w:val="22"/>
                <w:szCs w:val="22"/>
              </w:rPr>
              <w:t xml:space="preserve">Three-Year Average </w:t>
            </w:r>
          </w:p>
        </w:tc>
        <w:tc>
          <w:tcPr>
            <w:tcW w:w="1440" w:type="dxa"/>
            <w:tcBorders>
              <w:top w:val="single" w:sz="4" w:space="0" w:color="auto"/>
              <w:left w:val="single" w:sz="4" w:space="0" w:color="auto"/>
              <w:bottom w:val="single" w:sz="4" w:space="0" w:color="auto"/>
              <w:right w:val="single" w:sz="4" w:space="0" w:color="auto"/>
            </w:tcBorders>
            <w:noWrap/>
            <w:vAlign w:val="bottom"/>
          </w:tcPr>
          <w:p w:rsidR="00207541" w:rsidP="00EB5F3D" w14:paraId="249FC96B" w14:textId="662539F0">
            <w:pPr>
              <w:widowControl/>
              <w:jc w:val="right"/>
              <w:rPr>
                <w:sz w:val="22"/>
                <w:szCs w:val="22"/>
              </w:rPr>
            </w:pPr>
            <w:r>
              <w:rPr>
                <w:sz w:val="22"/>
                <w:szCs w:val="22"/>
              </w:rPr>
              <w:t>73</w:t>
            </w:r>
          </w:p>
        </w:tc>
        <w:tc>
          <w:tcPr>
            <w:tcW w:w="1170" w:type="dxa"/>
            <w:tcBorders>
              <w:top w:val="single" w:sz="4" w:space="0" w:color="auto"/>
              <w:left w:val="nil"/>
              <w:bottom w:val="single" w:sz="4" w:space="0" w:color="auto"/>
              <w:right w:val="single" w:sz="4" w:space="0" w:color="auto"/>
            </w:tcBorders>
            <w:noWrap/>
            <w:vAlign w:val="bottom"/>
          </w:tcPr>
          <w:p w:rsidR="00207541" w:rsidRPr="005A7777" w:rsidP="00EB5F3D" w14:paraId="20FECADD" w14:textId="77777777">
            <w:pPr>
              <w:widowControl/>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207541" w:rsidRPr="005A7777" w:rsidP="00EB5F3D" w14:paraId="69B95494" w14:textId="60992F82">
            <w:pPr>
              <w:widowControl/>
              <w:jc w:val="right"/>
              <w:rPr>
                <w:sz w:val="22"/>
                <w:szCs w:val="22"/>
              </w:rPr>
            </w:pPr>
            <w:r w:rsidRPr="00E123C9">
              <w:rPr>
                <w:sz w:val="22"/>
                <w:szCs w:val="22"/>
              </w:rPr>
              <w:t>221,433</w:t>
            </w:r>
          </w:p>
        </w:tc>
        <w:tc>
          <w:tcPr>
            <w:tcW w:w="1170" w:type="dxa"/>
            <w:tcBorders>
              <w:top w:val="single" w:sz="4" w:space="0" w:color="auto"/>
              <w:left w:val="nil"/>
              <w:bottom w:val="single" w:sz="4" w:space="0" w:color="auto"/>
              <w:right w:val="single" w:sz="4" w:space="0" w:color="auto"/>
            </w:tcBorders>
            <w:noWrap/>
            <w:vAlign w:val="bottom"/>
          </w:tcPr>
          <w:p w:rsidR="00207541" w:rsidRPr="005A7777" w:rsidP="00EB5F3D" w14:paraId="05EE98DF" w14:textId="77777777">
            <w:pPr>
              <w:widowControl/>
              <w:jc w:val="right"/>
              <w:rPr>
                <w:sz w:val="22"/>
                <w:szCs w:val="22"/>
              </w:rPr>
            </w:pPr>
          </w:p>
        </w:tc>
        <w:tc>
          <w:tcPr>
            <w:tcW w:w="2070" w:type="dxa"/>
            <w:tcBorders>
              <w:top w:val="single" w:sz="4" w:space="0" w:color="auto"/>
              <w:left w:val="nil"/>
              <w:bottom w:val="single" w:sz="4" w:space="0" w:color="auto"/>
              <w:right w:val="single" w:sz="4" w:space="0" w:color="auto"/>
            </w:tcBorders>
            <w:noWrap/>
            <w:vAlign w:val="bottom"/>
          </w:tcPr>
          <w:p w:rsidR="00207541" w:rsidRPr="005A7777" w:rsidP="00EB5F3D" w14:paraId="2D6B5417" w14:textId="231FED25">
            <w:pPr>
              <w:widowControl/>
              <w:jc w:val="right"/>
              <w:rPr>
                <w:sz w:val="22"/>
                <w:szCs w:val="22"/>
              </w:rPr>
            </w:pPr>
            <w:r w:rsidRPr="00794113">
              <w:rPr>
                <w:sz w:val="22"/>
                <w:szCs w:val="22"/>
              </w:rPr>
              <w:t>$33,424,997</w:t>
            </w:r>
          </w:p>
        </w:tc>
      </w:tr>
    </w:tbl>
    <w:p w:rsidR="0057004B" w:rsidP="0057004B" w14:paraId="54BF1C0E" w14:textId="77777777">
      <w:pPr>
        <w:widowControl/>
        <w:tabs>
          <w:tab w:val="left" w:pos="-1440"/>
        </w:tabs>
        <w:rPr>
          <w:b w:val="0"/>
          <w:bCs w:val="0"/>
          <w:iCs/>
          <w:sz w:val="24"/>
          <w:szCs w:val="24"/>
        </w:rPr>
      </w:pPr>
    </w:p>
    <w:p w:rsidR="0057004B" w:rsidRPr="00CA0B11" w:rsidP="00CA0B11" w14:paraId="120732A6" w14:textId="7E061703">
      <w:pPr>
        <w:pStyle w:val="ListParagraph"/>
        <w:widowControl/>
        <w:numPr>
          <w:ilvl w:val="0"/>
          <w:numId w:val="45"/>
        </w:numPr>
        <w:tabs>
          <w:tab w:val="left" w:pos="-1440"/>
        </w:tabs>
        <w:rPr>
          <w:sz w:val="24"/>
          <w:szCs w:val="24"/>
          <w:u w:val="single"/>
        </w:rPr>
      </w:pPr>
      <w:r w:rsidRPr="00CA0B11">
        <w:rPr>
          <w:sz w:val="24"/>
          <w:szCs w:val="24"/>
          <w:u w:val="single"/>
        </w:rPr>
        <w:t>Number of Notices</w:t>
      </w:r>
      <w:r w:rsidRPr="00CA0B11" w:rsidR="00BB08A8">
        <w:rPr>
          <w:sz w:val="24"/>
          <w:szCs w:val="24"/>
          <w:u w:val="single"/>
        </w:rPr>
        <w:t xml:space="preserve"> from PBMs</w:t>
      </w:r>
    </w:p>
    <w:p w:rsidR="0057004B" w:rsidRPr="00BB08A8" w:rsidP="0057004B" w14:paraId="149CB072" w14:textId="77777777">
      <w:pPr>
        <w:widowControl/>
        <w:tabs>
          <w:tab w:val="left" w:pos="-1440"/>
        </w:tabs>
        <w:rPr>
          <w:b w:val="0"/>
          <w:bCs w:val="0"/>
          <w:sz w:val="24"/>
          <w:szCs w:val="24"/>
        </w:rPr>
      </w:pPr>
    </w:p>
    <w:p w:rsidR="00650C19" w:rsidRPr="00650C19" w:rsidP="00650C19" w14:paraId="0AFB843C" w14:textId="53A06BC3">
      <w:pPr>
        <w:widowControl/>
        <w:tabs>
          <w:tab w:val="left" w:pos="-1440"/>
        </w:tabs>
        <w:ind w:left="720"/>
        <w:rPr>
          <w:b w:val="0"/>
          <w:bCs w:val="0"/>
          <w:i/>
          <w:iCs/>
          <w:sz w:val="24"/>
          <w:szCs w:val="24"/>
          <w:u w:val="single"/>
        </w:rPr>
      </w:pPr>
      <w:r w:rsidRPr="00650C19">
        <w:rPr>
          <w:b w:val="0"/>
          <w:bCs w:val="0"/>
          <w:i/>
          <w:iCs/>
          <w:sz w:val="24"/>
          <w:szCs w:val="24"/>
          <w:u w:val="single"/>
        </w:rPr>
        <w:t xml:space="preserve">Number of </w:t>
      </w:r>
      <w:r>
        <w:rPr>
          <w:b w:val="0"/>
          <w:bCs w:val="0"/>
          <w:i/>
          <w:iCs/>
          <w:sz w:val="24"/>
          <w:szCs w:val="24"/>
          <w:u w:val="single"/>
        </w:rPr>
        <w:t>Initial</w:t>
      </w:r>
      <w:r w:rsidRPr="00650C19">
        <w:rPr>
          <w:b w:val="0"/>
          <w:bCs w:val="0"/>
          <w:i/>
          <w:iCs/>
          <w:sz w:val="24"/>
          <w:szCs w:val="24"/>
          <w:u w:val="single"/>
        </w:rPr>
        <w:t xml:space="preserve"> Notices from PBMs</w:t>
      </w:r>
    </w:p>
    <w:p w:rsidR="00882B50" w:rsidRPr="006E1899" w:rsidP="0031442D" w14:paraId="76821136" w14:textId="77777777">
      <w:pPr>
        <w:widowControl/>
        <w:tabs>
          <w:tab w:val="left" w:pos="-1440"/>
        </w:tabs>
        <w:ind w:left="720"/>
        <w:rPr>
          <w:b w:val="0"/>
          <w:bCs w:val="0"/>
          <w:iCs/>
          <w:sz w:val="24"/>
          <w:szCs w:val="24"/>
        </w:rPr>
      </w:pPr>
    </w:p>
    <w:p w:rsidR="00650C19" w:rsidRPr="00AF5F49" w:rsidP="00AF5F49" w14:paraId="57861F16" w14:textId="25C95869">
      <w:pPr>
        <w:widowControl/>
        <w:tabs>
          <w:tab w:val="left" w:pos="-1440"/>
        </w:tabs>
        <w:ind w:left="720"/>
        <w:rPr>
          <w:b w:val="0"/>
          <w:bCs w:val="0"/>
          <w:sz w:val="24"/>
          <w:szCs w:val="24"/>
        </w:rPr>
      </w:pPr>
      <w:r w:rsidRPr="00AF5F49">
        <w:rPr>
          <w:b w:val="0"/>
          <w:bCs w:val="0"/>
          <w:sz w:val="24"/>
          <w:szCs w:val="24"/>
        </w:rPr>
        <w:t xml:space="preserve">The proposed rule would require PBMs or other covered service providers to provide initial disclosures to responsible plan fiduciaries of self-insured group health plans, reasonably in advance of the date on which the contracts or arrangements are </w:t>
      </w:r>
      <w:r w:rsidRPr="00AF5F49">
        <w:rPr>
          <w:b w:val="0"/>
          <w:bCs w:val="0"/>
          <w:sz w:val="24"/>
          <w:szCs w:val="24"/>
        </w:rPr>
        <w:t>entered into</w:t>
      </w:r>
      <w:r w:rsidRPr="00AF5F49">
        <w:rPr>
          <w:b w:val="0"/>
          <w:bCs w:val="0"/>
          <w:sz w:val="24"/>
          <w:szCs w:val="24"/>
        </w:rPr>
        <w:t xml:space="preserve">, </w:t>
      </w:r>
      <w:r w:rsidRPr="00AF5F49">
        <w:rPr>
          <w:b w:val="0"/>
          <w:bCs w:val="0"/>
          <w:sz w:val="24"/>
          <w:szCs w:val="24"/>
        </w:rPr>
        <w:t>extended</w:t>
      </w:r>
      <w:r w:rsidRPr="00AF5F49">
        <w:rPr>
          <w:b w:val="0"/>
          <w:bCs w:val="0"/>
          <w:sz w:val="24"/>
          <w:szCs w:val="24"/>
        </w:rPr>
        <w:t xml:space="preserve"> or renewed. Standard industry contracts appear to be for three-year periods, though it is unclear </w:t>
      </w:r>
      <w:r w:rsidRPr="00AF5F49">
        <w:rPr>
          <w:b w:val="0"/>
          <w:bCs w:val="0"/>
          <w:sz w:val="24"/>
          <w:szCs w:val="24"/>
        </w:rPr>
        <w:t>if</w:t>
      </w:r>
      <w:r w:rsidRPr="00AF5F49">
        <w:rPr>
          <w:b w:val="0"/>
          <w:bCs w:val="0"/>
          <w:sz w:val="24"/>
          <w:szCs w:val="24"/>
        </w:rPr>
        <w:t xml:space="preserve"> the agreements themselves are extended or renewed during that time.</w:t>
      </w:r>
      <w:r>
        <w:rPr>
          <w:b w:val="0"/>
          <w:bCs w:val="0"/>
          <w:sz w:val="24"/>
          <w:szCs w:val="24"/>
          <w:vertAlign w:val="superscript"/>
        </w:rPr>
        <w:footnoteReference w:id="27"/>
      </w:r>
      <w:r w:rsidRPr="00AF5F49">
        <w:rPr>
          <w:b w:val="0"/>
          <w:bCs w:val="0"/>
          <w:sz w:val="24"/>
          <w:szCs w:val="24"/>
        </w:rPr>
        <w:t xml:space="preserve"> Currently, the Department anticipates that approximately one-third of the self-insured group health plans will annually initiate new contracts, extend existing contracts, or renew contracts. The Department requests comments on this assumption.</w:t>
      </w:r>
    </w:p>
    <w:p w:rsidR="00650C19" w:rsidP="006E1899" w14:paraId="3648E791" w14:textId="77777777">
      <w:pPr>
        <w:widowControl/>
        <w:tabs>
          <w:tab w:val="left" w:pos="-1440"/>
        </w:tabs>
        <w:ind w:left="720"/>
        <w:rPr>
          <w:b w:val="0"/>
          <w:bCs w:val="0"/>
          <w:i/>
          <w:iCs/>
          <w:sz w:val="24"/>
          <w:szCs w:val="24"/>
          <w:u w:val="single"/>
        </w:rPr>
      </w:pPr>
    </w:p>
    <w:p w:rsidR="006E1899" w:rsidRPr="0057004B" w:rsidP="006E1899" w14:paraId="04F8DA57" w14:textId="4F6379EA">
      <w:pPr>
        <w:widowControl/>
        <w:tabs>
          <w:tab w:val="left" w:pos="-1440"/>
        </w:tabs>
        <w:ind w:left="720"/>
        <w:rPr>
          <w:b w:val="0"/>
          <w:bCs w:val="0"/>
          <w:i/>
          <w:iCs/>
          <w:sz w:val="24"/>
          <w:szCs w:val="24"/>
          <w:u w:val="single"/>
        </w:rPr>
      </w:pPr>
      <w:bookmarkStart w:id="1" w:name="_Hlk218767870"/>
      <w:r w:rsidRPr="0057004B">
        <w:rPr>
          <w:b w:val="0"/>
          <w:bCs w:val="0"/>
          <w:i/>
          <w:iCs/>
          <w:sz w:val="24"/>
          <w:szCs w:val="24"/>
          <w:u w:val="single"/>
        </w:rPr>
        <w:t>Number of Semi-Annual Notices from PBMs</w:t>
      </w:r>
    </w:p>
    <w:bookmarkEnd w:id="1"/>
    <w:p w:rsidR="0039677F" w:rsidP="006E1899" w14:paraId="60C72DAE" w14:textId="77777777">
      <w:pPr>
        <w:widowControl/>
        <w:tabs>
          <w:tab w:val="left" w:pos="-1440"/>
        </w:tabs>
        <w:ind w:left="720"/>
        <w:rPr>
          <w:b w:val="0"/>
          <w:bCs w:val="0"/>
          <w:iCs/>
          <w:sz w:val="24"/>
          <w:szCs w:val="24"/>
        </w:rPr>
      </w:pPr>
    </w:p>
    <w:p w:rsidR="00936426" w:rsidP="006E1899" w14:paraId="226FFFAD" w14:textId="06E249A6">
      <w:pPr>
        <w:widowControl/>
        <w:tabs>
          <w:tab w:val="left" w:pos="-1440"/>
        </w:tabs>
        <w:ind w:left="720"/>
        <w:rPr>
          <w:b w:val="0"/>
          <w:bCs w:val="0"/>
          <w:iCs/>
          <w:sz w:val="24"/>
          <w:szCs w:val="24"/>
        </w:rPr>
      </w:pPr>
      <w:r w:rsidRPr="00613F6F">
        <w:rPr>
          <w:b w:val="0"/>
          <w:bCs w:val="0"/>
          <w:iCs/>
          <w:sz w:val="24"/>
          <w:szCs w:val="24"/>
        </w:rPr>
        <w:t xml:space="preserve">The proposed rule also requires that PBMs or other covered service providers furnish disclosures on a semiannual basis, within 30 calendar days following the conclusion of each six-month period starting from the contract or </w:t>
      </w:r>
      <w:r w:rsidRPr="00613F6F">
        <w:rPr>
          <w:b w:val="0"/>
          <w:bCs w:val="0"/>
          <w:iCs/>
          <w:sz w:val="24"/>
          <w:szCs w:val="24"/>
        </w:rPr>
        <w:t>arrangement initiation</w:t>
      </w:r>
      <w:r w:rsidRPr="00613F6F">
        <w:rPr>
          <w:b w:val="0"/>
          <w:bCs w:val="0"/>
          <w:iCs/>
          <w:sz w:val="24"/>
          <w:szCs w:val="24"/>
        </w:rPr>
        <w:t xml:space="preserve"> date. The </w:t>
      </w:r>
      <w:r w:rsidRPr="00613F6F">
        <w:rPr>
          <w:b w:val="0"/>
          <w:bCs w:val="0"/>
          <w:iCs/>
          <w:sz w:val="24"/>
          <w:szCs w:val="24"/>
        </w:rPr>
        <w:t>Department estimates that PBMs or other covered service providers would submit these disclosures to each self-insured group health plan twice each year.</w:t>
      </w:r>
    </w:p>
    <w:p w:rsidR="00613F6F" w:rsidP="006E1899" w14:paraId="20B2556C" w14:textId="77777777">
      <w:pPr>
        <w:widowControl/>
        <w:tabs>
          <w:tab w:val="left" w:pos="-1440"/>
        </w:tabs>
        <w:ind w:left="720"/>
        <w:rPr>
          <w:b w:val="0"/>
          <w:bCs w:val="0"/>
          <w:i/>
          <w:iCs/>
          <w:sz w:val="24"/>
          <w:szCs w:val="24"/>
        </w:rPr>
      </w:pPr>
    </w:p>
    <w:p w:rsidR="006E1899" w:rsidRPr="0057004B" w:rsidP="006E1899" w14:paraId="09CD2153" w14:textId="63CD5EC5">
      <w:pPr>
        <w:widowControl/>
        <w:tabs>
          <w:tab w:val="left" w:pos="-1440"/>
        </w:tabs>
        <w:ind w:left="720"/>
        <w:rPr>
          <w:b w:val="0"/>
          <w:bCs w:val="0"/>
          <w:i/>
          <w:iCs/>
          <w:sz w:val="24"/>
          <w:szCs w:val="24"/>
          <w:u w:val="single"/>
        </w:rPr>
      </w:pPr>
      <w:r w:rsidRPr="0057004B">
        <w:rPr>
          <w:b w:val="0"/>
          <w:bCs w:val="0"/>
          <w:i/>
          <w:iCs/>
          <w:sz w:val="24"/>
          <w:szCs w:val="24"/>
          <w:u w:val="single"/>
        </w:rPr>
        <w:t>Number of Notices Upon Requests from PBMs</w:t>
      </w:r>
    </w:p>
    <w:p w:rsidR="006E1899" w:rsidP="006E1899" w14:paraId="7D0FB3BC" w14:textId="77777777">
      <w:pPr>
        <w:widowControl/>
        <w:tabs>
          <w:tab w:val="left" w:pos="-1440"/>
        </w:tabs>
        <w:ind w:left="720"/>
        <w:rPr>
          <w:b w:val="0"/>
          <w:bCs w:val="0"/>
          <w:iCs/>
          <w:sz w:val="24"/>
          <w:szCs w:val="24"/>
        </w:rPr>
      </w:pPr>
    </w:p>
    <w:p w:rsidR="00AE0875" w:rsidP="006E1899" w14:paraId="102C5C0A" w14:textId="249AFBD0">
      <w:pPr>
        <w:widowControl/>
        <w:tabs>
          <w:tab w:val="left" w:pos="-1440"/>
        </w:tabs>
        <w:ind w:left="720"/>
        <w:rPr>
          <w:b w:val="0"/>
          <w:bCs w:val="0"/>
          <w:iCs/>
          <w:sz w:val="24"/>
          <w:szCs w:val="24"/>
        </w:rPr>
      </w:pPr>
      <w:r w:rsidRPr="00ED7AB8">
        <w:rPr>
          <w:b w:val="0"/>
          <w:bCs w:val="0"/>
          <w:iCs/>
          <w:sz w:val="24"/>
          <w:szCs w:val="24"/>
        </w:rPr>
        <w:t xml:space="preserve">The proposed rule also requires PBMs or other covered service providers to provide any other information related to the contract or arrangement that is required for the self-insured group health plan to comply with the reporting and disclosure requirements of Title I of ERISA and the regulations, forms, and schedules </w:t>
      </w:r>
      <w:r w:rsidRPr="00ED7AB8">
        <w:rPr>
          <w:b w:val="0"/>
          <w:bCs w:val="0"/>
          <w:iCs/>
          <w:sz w:val="24"/>
          <w:szCs w:val="24"/>
        </w:rPr>
        <w:t>issued,</w:t>
      </w:r>
      <w:r w:rsidRPr="00ED7AB8">
        <w:rPr>
          <w:b w:val="0"/>
          <w:bCs w:val="0"/>
          <w:iCs/>
          <w:sz w:val="24"/>
          <w:szCs w:val="24"/>
        </w:rPr>
        <w:t xml:space="preserve"> upon request of the responsible plan fiduciary. Without a strong data source for determining the number of expected requests, the Department assumes that approximately ten percent of responsible plan fiduciaries will request covered information annually. </w:t>
      </w:r>
    </w:p>
    <w:p w:rsidR="00ED7AB8" w:rsidP="006E1899" w14:paraId="6C63EF4E" w14:textId="77777777">
      <w:pPr>
        <w:widowControl/>
        <w:tabs>
          <w:tab w:val="left" w:pos="-1440"/>
        </w:tabs>
        <w:ind w:left="720"/>
        <w:rPr>
          <w:b w:val="0"/>
          <w:bCs w:val="0"/>
          <w:i/>
          <w:iCs/>
          <w:sz w:val="24"/>
          <w:szCs w:val="24"/>
        </w:rPr>
      </w:pPr>
    </w:p>
    <w:p w:rsidR="006E1899" w:rsidRPr="00CA0B11" w:rsidP="00CA0B11" w14:paraId="71858AEA" w14:textId="246F59E1">
      <w:pPr>
        <w:pStyle w:val="ListParagraph"/>
        <w:widowControl/>
        <w:numPr>
          <w:ilvl w:val="0"/>
          <w:numId w:val="45"/>
        </w:numPr>
        <w:tabs>
          <w:tab w:val="left" w:pos="-1440"/>
        </w:tabs>
        <w:rPr>
          <w:sz w:val="24"/>
          <w:szCs w:val="24"/>
          <w:u w:val="single"/>
        </w:rPr>
      </w:pPr>
      <w:r w:rsidRPr="00CA0B11">
        <w:rPr>
          <w:sz w:val="24"/>
          <w:szCs w:val="24"/>
          <w:u w:val="single"/>
        </w:rPr>
        <w:t>Number of Notices from Plans</w:t>
      </w:r>
    </w:p>
    <w:p w:rsidR="006E1899" w:rsidP="006E1899" w14:paraId="0709C74E" w14:textId="77777777">
      <w:pPr>
        <w:widowControl/>
        <w:tabs>
          <w:tab w:val="left" w:pos="-1440"/>
        </w:tabs>
        <w:ind w:left="720"/>
        <w:rPr>
          <w:b w:val="0"/>
          <w:bCs w:val="0"/>
          <w:i/>
          <w:iCs/>
          <w:sz w:val="24"/>
          <w:szCs w:val="24"/>
        </w:rPr>
      </w:pPr>
    </w:p>
    <w:p w:rsidR="00AD35E4" w:rsidRPr="00AD35E4" w:rsidP="00AD35E4" w14:paraId="4C609E5F" w14:textId="68F6A76B">
      <w:pPr>
        <w:ind w:firstLine="720"/>
        <w:rPr>
          <w:b w:val="0"/>
          <w:bCs w:val="0"/>
          <w:i/>
          <w:iCs/>
          <w:sz w:val="24"/>
          <w:szCs w:val="24"/>
          <w:u w:val="single"/>
        </w:rPr>
      </w:pPr>
      <w:r w:rsidRPr="00AD35E4">
        <w:rPr>
          <w:b w:val="0"/>
          <w:bCs w:val="0"/>
          <w:i/>
          <w:iCs/>
          <w:sz w:val="24"/>
          <w:szCs w:val="24"/>
          <w:u w:val="single"/>
        </w:rPr>
        <w:t>Exemption for Responsible Plan Fiduciaries</w:t>
      </w:r>
    </w:p>
    <w:p w:rsidR="00AD35E4" w:rsidP="000E211A" w14:paraId="023CF1E6" w14:textId="77777777">
      <w:pPr>
        <w:rPr>
          <w:b w:val="0"/>
          <w:bCs w:val="0"/>
          <w:sz w:val="24"/>
          <w:szCs w:val="24"/>
        </w:rPr>
      </w:pPr>
    </w:p>
    <w:p w:rsidR="000A4D64" w:rsidRPr="000A4D64" w:rsidP="000A4D64" w14:paraId="435AFD26" w14:textId="77777777">
      <w:pPr>
        <w:ind w:left="720"/>
        <w:rPr>
          <w:b w:val="0"/>
          <w:bCs w:val="0"/>
          <w:sz w:val="24"/>
          <w:szCs w:val="24"/>
        </w:rPr>
      </w:pPr>
      <w:r w:rsidRPr="000A4D64">
        <w:rPr>
          <w:b w:val="0"/>
          <w:bCs w:val="0"/>
          <w:sz w:val="24"/>
          <w:szCs w:val="24"/>
        </w:rPr>
        <w:t xml:space="preserve">The proposed rule also includes a proposed administrative class exemption that would provide relief from ERISA section 406(a)(1)(C) and (D) for responsible plan fiduciaries who </w:t>
      </w:r>
      <w:r w:rsidRPr="000A4D64">
        <w:rPr>
          <w:b w:val="0"/>
          <w:bCs w:val="0"/>
          <w:sz w:val="24"/>
          <w:szCs w:val="24"/>
        </w:rPr>
        <w:t>enter into</w:t>
      </w:r>
      <w:r w:rsidRPr="000A4D64">
        <w:rPr>
          <w:b w:val="0"/>
          <w:bCs w:val="0"/>
          <w:sz w:val="24"/>
          <w:szCs w:val="24"/>
        </w:rPr>
        <w:t xml:space="preserve"> a contract or arrangement, where the PBM or covered service provider fails to comply with its obligations under the regulation. To rely on the exemption, the responsible plan fiduciary must not have been </w:t>
      </w:r>
      <w:r w:rsidRPr="000A4D64">
        <w:rPr>
          <w:b w:val="0"/>
          <w:bCs w:val="0"/>
          <w:sz w:val="24"/>
          <w:szCs w:val="24"/>
        </w:rPr>
        <w:t>aware that</w:t>
      </w:r>
      <w:r w:rsidRPr="000A4D64">
        <w:rPr>
          <w:b w:val="0"/>
          <w:bCs w:val="0"/>
          <w:sz w:val="24"/>
          <w:szCs w:val="24"/>
        </w:rPr>
        <w:t xml:space="preserve"> that the PBM or covered service provider failed or would fail to meet these requirements and, upon discovering this omission, requests in writing that the PBM or other covered service provider furnish the required information or comply with the audit requirement. The Department does not have data on how often responsible plan fiduciaries do not receive </w:t>
      </w:r>
      <w:r w:rsidRPr="000A4D64">
        <w:rPr>
          <w:b w:val="0"/>
          <w:bCs w:val="0"/>
          <w:sz w:val="24"/>
          <w:szCs w:val="24"/>
        </w:rPr>
        <w:t>all of</w:t>
      </w:r>
      <w:r w:rsidRPr="000A4D64">
        <w:rPr>
          <w:b w:val="0"/>
          <w:bCs w:val="0"/>
          <w:sz w:val="24"/>
          <w:szCs w:val="24"/>
        </w:rPr>
        <w:t xml:space="preserve"> the required disclosures from a covered service provider. In this analysis, the Department assumes that 0.3 percent of arrangements may experience an omission or error that will require the responsible plan fiduciary to send the request to the PBM.</w:t>
      </w:r>
      <w:r>
        <w:rPr>
          <w:b w:val="0"/>
          <w:bCs w:val="0"/>
          <w:sz w:val="24"/>
          <w:szCs w:val="24"/>
          <w:vertAlign w:val="superscript"/>
        </w:rPr>
        <w:footnoteReference w:id="28"/>
      </w:r>
      <w:r w:rsidRPr="000A4D64">
        <w:rPr>
          <w:b w:val="0"/>
          <w:bCs w:val="0"/>
          <w:sz w:val="24"/>
          <w:szCs w:val="24"/>
        </w:rPr>
        <w:t xml:space="preserve"> This assumption is based on the Department’s experience that it is rare for pension plans to submit a notice under the requirement in 29 CFR section 2550.408b-2. </w:t>
      </w:r>
    </w:p>
    <w:p w:rsidR="000A4D64" w:rsidP="000A4D64" w14:paraId="3C99C9DD" w14:textId="77777777">
      <w:pPr>
        <w:ind w:left="720"/>
        <w:rPr>
          <w:b w:val="0"/>
          <w:bCs w:val="0"/>
          <w:sz w:val="24"/>
          <w:szCs w:val="24"/>
        </w:rPr>
      </w:pPr>
    </w:p>
    <w:p w:rsidR="000A4D64" w:rsidP="000A4D64" w14:paraId="43EEBD04" w14:textId="3EFE4B41">
      <w:pPr>
        <w:ind w:left="720"/>
        <w:rPr>
          <w:b w:val="0"/>
          <w:bCs w:val="0"/>
          <w:sz w:val="24"/>
          <w:szCs w:val="24"/>
        </w:rPr>
      </w:pPr>
      <w:r w:rsidRPr="000A4D64">
        <w:rPr>
          <w:b w:val="0"/>
          <w:bCs w:val="0"/>
          <w:sz w:val="24"/>
          <w:szCs w:val="24"/>
        </w:rPr>
        <w:t xml:space="preserve">If the PBM or other covered service provider does not respond within 90 calendar days, the </w:t>
      </w:r>
      <w:r w:rsidRPr="000A4D64">
        <w:rPr>
          <w:b w:val="0"/>
          <w:bCs w:val="0"/>
          <w:sz w:val="24"/>
          <w:szCs w:val="24"/>
        </w:rPr>
        <w:t>responsible plan fiduciary</w:t>
      </w:r>
      <w:r w:rsidRPr="000A4D64">
        <w:rPr>
          <w:b w:val="0"/>
          <w:bCs w:val="0"/>
          <w:sz w:val="24"/>
          <w:szCs w:val="24"/>
        </w:rPr>
        <w:t xml:space="preserve"> must notify the Department of the failure </w:t>
      </w:r>
      <w:r w:rsidRPr="000A4D64">
        <w:rPr>
          <w:b w:val="0"/>
          <w:bCs w:val="0"/>
          <w:sz w:val="24"/>
          <w:szCs w:val="24"/>
        </w:rPr>
        <w:t>and further</w:t>
      </w:r>
      <w:r w:rsidRPr="000A4D64">
        <w:rPr>
          <w:b w:val="0"/>
          <w:bCs w:val="0"/>
          <w:sz w:val="24"/>
          <w:szCs w:val="24"/>
        </w:rPr>
        <w:t xml:space="preserve"> must assess whether to terminate or continue the service contract or arrangement consistent with the duty of prudence under section 404 of ERISA. The Department assumes that approximately 10 notices will be submitted, based on the same experience that pension plans rarely submit these notices under the requirement in 29 CFR section 2550.408b-2</w:t>
      </w:r>
      <w:r>
        <w:rPr>
          <w:b w:val="0"/>
          <w:bCs w:val="0"/>
          <w:sz w:val="24"/>
          <w:szCs w:val="24"/>
        </w:rPr>
        <w:t>.</w:t>
      </w:r>
    </w:p>
    <w:p w:rsidR="000A4D64" w:rsidP="000A4D64" w14:paraId="0B022429" w14:textId="77777777">
      <w:pPr>
        <w:ind w:left="720"/>
        <w:rPr>
          <w:b w:val="0"/>
          <w:bCs w:val="0"/>
          <w:sz w:val="24"/>
          <w:szCs w:val="24"/>
        </w:rPr>
      </w:pPr>
    </w:p>
    <w:p w:rsidR="00AD35E4" w:rsidRPr="006923AC" w:rsidP="000A4D64" w14:paraId="25670E6F" w14:textId="6C31EF84">
      <w:pPr>
        <w:ind w:left="720"/>
        <w:rPr>
          <w:b w:val="0"/>
          <w:bCs w:val="0"/>
          <w:i/>
          <w:iCs/>
          <w:sz w:val="24"/>
          <w:szCs w:val="24"/>
          <w:u w:val="single"/>
        </w:rPr>
      </w:pPr>
      <w:r w:rsidRPr="000E211A">
        <w:rPr>
          <w:b w:val="0"/>
          <w:bCs w:val="0"/>
          <w:i/>
          <w:iCs/>
          <w:sz w:val="24"/>
          <w:szCs w:val="24"/>
          <w:u w:val="single"/>
        </w:rPr>
        <w:t xml:space="preserve">Number of Notices from </w:t>
      </w:r>
      <w:r w:rsidR="007607C3">
        <w:rPr>
          <w:b w:val="0"/>
          <w:bCs w:val="0"/>
          <w:i/>
          <w:iCs/>
          <w:sz w:val="24"/>
          <w:szCs w:val="24"/>
          <w:u w:val="single"/>
        </w:rPr>
        <w:t>Self-</w:t>
      </w:r>
      <w:r w:rsidR="00924E13">
        <w:rPr>
          <w:b w:val="0"/>
          <w:bCs w:val="0"/>
          <w:i/>
          <w:iCs/>
          <w:sz w:val="24"/>
          <w:szCs w:val="24"/>
          <w:u w:val="single"/>
        </w:rPr>
        <w:t>I</w:t>
      </w:r>
      <w:r w:rsidR="007607C3">
        <w:rPr>
          <w:b w:val="0"/>
          <w:bCs w:val="0"/>
          <w:i/>
          <w:iCs/>
          <w:sz w:val="24"/>
          <w:szCs w:val="24"/>
          <w:u w:val="single"/>
        </w:rPr>
        <w:t xml:space="preserve">nsured Group Health </w:t>
      </w:r>
      <w:r w:rsidRPr="000E211A">
        <w:rPr>
          <w:b w:val="0"/>
          <w:bCs w:val="0"/>
          <w:i/>
          <w:iCs/>
          <w:sz w:val="24"/>
          <w:szCs w:val="24"/>
          <w:u w:val="single"/>
        </w:rPr>
        <w:t>Plans Requesting Audits Information</w:t>
      </w:r>
    </w:p>
    <w:p w:rsidR="00D12B7F" w:rsidP="00D12B7F" w14:paraId="4702F1A5" w14:textId="77777777">
      <w:pPr>
        <w:ind w:left="720"/>
        <w:rPr>
          <w:b w:val="0"/>
          <w:bCs w:val="0"/>
          <w:sz w:val="24"/>
          <w:szCs w:val="24"/>
        </w:rPr>
      </w:pPr>
    </w:p>
    <w:p w:rsidR="00EB4A4A" w:rsidP="00EB4A4A" w14:paraId="22CFCCFB" w14:textId="77777777">
      <w:pPr>
        <w:ind w:left="720"/>
        <w:rPr>
          <w:b w:val="0"/>
          <w:bCs w:val="0"/>
          <w:sz w:val="24"/>
          <w:szCs w:val="24"/>
        </w:rPr>
      </w:pPr>
      <w:r w:rsidRPr="00EB4A4A">
        <w:rPr>
          <w:b w:val="0"/>
          <w:bCs w:val="0"/>
          <w:sz w:val="24"/>
          <w:szCs w:val="24"/>
        </w:rPr>
        <w:t>As part of their oversight responsibilities, responsible plan fiduciaries must assess the quality of the PBM or other covered service provider’s performance under the contract or arrangement (e.g., review and analyze claims data, network discounts, rebates, administrative fees), ensure that PBMs are meeting their contractual obligations, and ensure that self-insured group health plans are only paying reasonable and necessary costs. The proposal contains audit rights which are needed for fiduciaries to carry out these functions. While the cost of performing an audit of PBMs and other service providers is borne by the self-insured group health plan itself, service providers are required to provide the necessary information to the self-insured group health plan or its auditor. This proposed regulation provides a self-insured group health plan’s right to audit the PBM or other covered service provider not less than once per year. The PBM or other covered service provider must confirm receipt of the audit request within 10 business days and must provide the information within a commercially reasonable period.</w:t>
      </w:r>
    </w:p>
    <w:p w:rsidR="00EB4A4A" w:rsidRPr="00EB4A4A" w:rsidP="00EB4A4A" w14:paraId="5177132A" w14:textId="77777777">
      <w:pPr>
        <w:ind w:left="720"/>
        <w:rPr>
          <w:b w:val="0"/>
          <w:bCs w:val="0"/>
          <w:sz w:val="24"/>
          <w:szCs w:val="24"/>
        </w:rPr>
      </w:pPr>
    </w:p>
    <w:p w:rsidR="00924E13" w:rsidP="00EB4A4A" w14:paraId="2AB34C49" w14:textId="18F77069">
      <w:pPr>
        <w:ind w:left="720"/>
        <w:rPr>
          <w:b w:val="0"/>
          <w:bCs w:val="0"/>
          <w:sz w:val="24"/>
          <w:szCs w:val="24"/>
        </w:rPr>
      </w:pPr>
      <w:r w:rsidRPr="00EB4A4A">
        <w:rPr>
          <w:b w:val="0"/>
          <w:bCs w:val="0"/>
          <w:sz w:val="24"/>
          <w:szCs w:val="24"/>
        </w:rPr>
        <w:t>The Department estimates that one-third of self-insured group health plans will annually submit a request to their PBM or other covered service provider for all information necessary to perform an audit. The Department does not anticipate level-funded group health plans or smaller, self-insured group health plans to submit a request themselves, but expects all issuers or TPAs that market to those self-insured group health plans to request audit materials.</w:t>
      </w:r>
    </w:p>
    <w:p w:rsidR="00EB4A4A" w:rsidP="00EB4A4A" w14:paraId="51AEC768" w14:textId="77777777">
      <w:pPr>
        <w:ind w:left="720"/>
        <w:rPr>
          <w:b w:val="0"/>
          <w:bCs w:val="0"/>
          <w:sz w:val="24"/>
          <w:szCs w:val="24"/>
        </w:rPr>
      </w:pPr>
    </w:p>
    <w:p w:rsidR="006E1899" w:rsidP="00924E13" w14:paraId="49C1F6D4" w14:textId="49A3C46C">
      <w:pPr>
        <w:ind w:left="720"/>
        <w:rPr>
          <w:b w:val="0"/>
          <w:bCs w:val="0"/>
          <w:sz w:val="24"/>
          <w:szCs w:val="24"/>
        </w:rPr>
      </w:pPr>
      <w:r w:rsidRPr="006E1899">
        <w:rPr>
          <w:b w:val="0"/>
          <w:bCs w:val="0"/>
          <w:sz w:val="24"/>
          <w:szCs w:val="24"/>
        </w:rPr>
        <w:t xml:space="preserve">Please see Table </w:t>
      </w:r>
      <w:r w:rsidR="00CA7375">
        <w:rPr>
          <w:b w:val="0"/>
          <w:bCs w:val="0"/>
          <w:sz w:val="24"/>
          <w:szCs w:val="24"/>
        </w:rPr>
        <w:t>2</w:t>
      </w:r>
      <w:r w:rsidRPr="006E1899">
        <w:rPr>
          <w:b w:val="0"/>
          <w:bCs w:val="0"/>
          <w:sz w:val="24"/>
          <w:szCs w:val="24"/>
        </w:rPr>
        <w:t xml:space="preserve"> for calculations on the number of notices. </w:t>
      </w:r>
    </w:p>
    <w:p w:rsidR="00EB12AF" w:rsidRPr="00CA7375" w:rsidP="00CA7375" w14:paraId="2B88ED0E" w14:textId="77777777"/>
    <w:p w:rsidR="00EB12AF" w:rsidP="00CA7375" w14:paraId="5EC6ADF1" w14:textId="68039294">
      <w:pPr>
        <w:pStyle w:val="Heading3"/>
        <w:rPr>
          <w:iCs/>
        </w:rPr>
      </w:pPr>
      <w:r w:rsidRPr="006E1899">
        <w:rPr>
          <w:iCs/>
        </w:rPr>
        <w:t xml:space="preserve">TABLE </w:t>
      </w:r>
      <w:r w:rsidR="00CA7375">
        <w:rPr>
          <w:iCs/>
        </w:rPr>
        <w:t>2</w:t>
      </w:r>
      <w:r w:rsidRPr="006E1899">
        <w:rPr>
          <w:iCs/>
        </w:rPr>
        <w:t xml:space="preserve">. Number of Notices </w:t>
      </w:r>
    </w:p>
    <w:p w:rsidR="00EB12AF" w:rsidP="00EB12AF" w14:paraId="070BEF0A" w14:textId="77777777">
      <w:pPr>
        <w:widowControl/>
        <w:tabs>
          <w:tab w:val="left" w:pos="-1440"/>
        </w:tabs>
        <w:ind w:left="720"/>
        <w:rPr>
          <w:iCs/>
          <w:sz w:val="24"/>
          <w:szCs w:val="24"/>
        </w:rPr>
      </w:pPr>
    </w:p>
    <w:tbl>
      <w:tblPr>
        <w:tblW w:w="10662" w:type="dxa"/>
        <w:tblInd w:w="-455" w:type="dxa"/>
        <w:tblLook w:val="04A0"/>
      </w:tblPr>
      <w:tblGrid>
        <w:gridCol w:w="1842"/>
        <w:gridCol w:w="1793"/>
        <w:gridCol w:w="1624"/>
        <w:gridCol w:w="1244"/>
        <w:gridCol w:w="1186"/>
        <w:gridCol w:w="3011"/>
      </w:tblGrid>
      <w:tr w14:paraId="10687CB6" w14:textId="77777777" w:rsidTr="00FB5F22">
        <w:tblPrEx>
          <w:tblW w:w="10662" w:type="dxa"/>
          <w:tblInd w:w="-455" w:type="dxa"/>
          <w:tblLook w:val="04A0"/>
        </w:tblPrEx>
        <w:trPr>
          <w:trHeight w:val="1628"/>
        </w:trPr>
        <w:tc>
          <w:tcPr>
            <w:tcW w:w="0" w:type="auto"/>
            <w:tcBorders>
              <w:top w:val="single" w:sz="4" w:space="0" w:color="auto"/>
              <w:left w:val="single" w:sz="4" w:space="0" w:color="auto"/>
              <w:bottom w:val="single" w:sz="4" w:space="0" w:color="auto"/>
              <w:right w:val="single" w:sz="4" w:space="0" w:color="auto"/>
            </w:tcBorders>
            <w:noWrap/>
            <w:vAlign w:val="bottom"/>
            <w:hideMark/>
          </w:tcPr>
          <w:p w:rsidR="006528C0" w:rsidRPr="0026766E" w:rsidP="00FB5F22" w14:paraId="48A622FF" w14:textId="77777777">
            <w:pPr>
              <w:jc w:val="center"/>
              <w:rPr>
                <w:b w:val="0"/>
                <w:bCs w:val="0"/>
                <w:sz w:val="22"/>
                <w:szCs w:val="22"/>
              </w:rPr>
            </w:pPr>
            <w:r w:rsidRPr="0026766E">
              <w:rPr>
                <w:sz w:val="22"/>
                <w:szCs w:val="22"/>
              </w:rPr>
              <w:t>Notice</w:t>
            </w:r>
          </w:p>
        </w:tc>
        <w:tc>
          <w:tcPr>
            <w:tcW w:w="0" w:type="auto"/>
            <w:tcBorders>
              <w:top w:val="single" w:sz="4" w:space="0" w:color="auto"/>
              <w:left w:val="nil"/>
              <w:bottom w:val="single" w:sz="4" w:space="0" w:color="auto"/>
              <w:right w:val="single" w:sz="4" w:space="0" w:color="auto"/>
            </w:tcBorders>
            <w:noWrap/>
            <w:vAlign w:val="bottom"/>
            <w:hideMark/>
          </w:tcPr>
          <w:p w:rsidR="006528C0" w:rsidRPr="0026766E" w:rsidP="00FB5F22" w14:paraId="28997784" w14:textId="77777777">
            <w:pPr>
              <w:jc w:val="center"/>
              <w:rPr>
                <w:b w:val="0"/>
                <w:bCs w:val="0"/>
                <w:sz w:val="22"/>
                <w:szCs w:val="22"/>
              </w:rPr>
            </w:pPr>
            <w:r w:rsidRPr="0026766E">
              <w:rPr>
                <w:sz w:val="22"/>
                <w:szCs w:val="22"/>
              </w:rPr>
              <w:t>Number of plans</w:t>
            </w:r>
          </w:p>
        </w:tc>
        <w:tc>
          <w:tcPr>
            <w:tcW w:w="0" w:type="auto"/>
            <w:tcBorders>
              <w:top w:val="single" w:sz="4" w:space="0" w:color="auto"/>
              <w:left w:val="nil"/>
              <w:bottom w:val="single" w:sz="4" w:space="0" w:color="auto"/>
              <w:right w:val="single" w:sz="4" w:space="0" w:color="auto"/>
            </w:tcBorders>
            <w:vAlign w:val="bottom"/>
            <w:hideMark/>
          </w:tcPr>
          <w:p w:rsidR="006528C0" w:rsidRPr="0026766E" w:rsidP="00FB5F22" w14:paraId="228AC57E" w14:textId="77777777">
            <w:pPr>
              <w:jc w:val="center"/>
              <w:rPr>
                <w:b w:val="0"/>
                <w:bCs w:val="0"/>
                <w:sz w:val="22"/>
                <w:szCs w:val="22"/>
              </w:rPr>
            </w:pPr>
            <w:r w:rsidRPr="0026766E">
              <w:rPr>
                <w:sz w:val="22"/>
                <w:szCs w:val="22"/>
              </w:rPr>
              <w:t>Percent of plans that will initiate new contracts, extend existing contracts, or renew contracts</w:t>
            </w:r>
          </w:p>
        </w:tc>
        <w:tc>
          <w:tcPr>
            <w:tcW w:w="0" w:type="auto"/>
            <w:tcBorders>
              <w:top w:val="single" w:sz="4" w:space="0" w:color="auto"/>
              <w:left w:val="nil"/>
              <w:bottom w:val="single" w:sz="4" w:space="0" w:color="auto"/>
              <w:right w:val="single" w:sz="4" w:space="0" w:color="auto"/>
            </w:tcBorders>
            <w:vAlign w:val="bottom"/>
            <w:hideMark/>
          </w:tcPr>
          <w:p w:rsidR="006528C0" w:rsidRPr="0026766E" w:rsidP="00FB5F22" w14:paraId="40C731A3" w14:textId="77777777">
            <w:pPr>
              <w:jc w:val="center"/>
              <w:rPr>
                <w:b w:val="0"/>
                <w:bCs w:val="0"/>
                <w:sz w:val="22"/>
                <w:szCs w:val="22"/>
              </w:rPr>
            </w:pPr>
            <w:r w:rsidRPr="0026766E">
              <w:rPr>
                <w:sz w:val="22"/>
                <w:szCs w:val="22"/>
              </w:rPr>
              <w:t>Percent of plans receiving or sending notices</w:t>
            </w:r>
          </w:p>
        </w:tc>
        <w:tc>
          <w:tcPr>
            <w:tcW w:w="1914" w:type="dxa"/>
            <w:tcBorders>
              <w:top w:val="single" w:sz="4" w:space="0" w:color="auto"/>
              <w:left w:val="nil"/>
              <w:bottom w:val="single" w:sz="4" w:space="0" w:color="auto"/>
              <w:right w:val="single" w:sz="4" w:space="0" w:color="auto"/>
            </w:tcBorders>
          </w:tcPr>
          <w:p w:rsidR="006528C0" w:rsidP="00FB5F22" w14:paraId="34C82344" w14:textId="77777777">
            <w:pPr>
              <w:ind w:right="78"/>
              <w:jc w:val="center"/>
              <w:rPr>
                <w:b w:val="0"/>
                <w:bCs w:val="0"/>
                <w:sz w:val="22"/>
                <w:szCs w:val="22"/>
              </w:rPr>
            </w:pPr>
          </w:p>
          <w:p w:rsidR="006528C0" w:rsidP="00FB5F22" w14:paraId="7CFDB480" w14:textId="77777777">
            <w:pPr>
              <w:ind w:right="78"/>
              <w:jc w:val="center"/>
              <w:rPr>
                <w:b w:val="0"/>
                <w:bCs w:val="0"/>
                <w:sz w:val="22"/>
                <w:szCs w:val="22"/>
              </w:rPr>
            </w:pPr>
          </w:p>
          <w:p w:rsidR="006528C0" w:rsidP="00FB5F22" w14:paraId="2C0299AC" w14:textId="77777777">
            <w:pPr>
              <w:ind w:right="78"/>
              <w:jc w:val="center"/>
              <w:rPr>
                <w:b w:val="0"/>
                <w:bCs w:val="0"/>
                <w:sz w:val="22"/>
                <w:szCs w:val="22"/>
              </w:rPr>
            </w:pPr>
          </w:p>
          <w:p w:rsidR="006528C0" w:rsidP="00FB5F22" w14:paraId="7ACE2908" w14:textId="77777777">
            <w:pPr>
              <w:ind w:right="78"/>
              <w:jc w:val="center"/>
              <w:rPr>
                <w:b w:val="0"/>
                <w:bCs w:val="0"/>
                <w:sz w:val="22"/>
                <w:szCs w:val="22"/>
              </w:rPr>
            </w:pPr>
          </w:p>
          <w:p w:rsidR="006528C0" w:rsidRPr="0026766E" w:rsidP="00FB5F22" w14:paraId="52091808" w14:textId="77777777">
            <w:pPr>
              <w:ind w:right="78"/>
              <w:jc w:val="center"/>
              <w:rPr>
                <w:b w:val="0"/>
                <w:bCs w:val="0"/>
                <w:sz w:val="22"/>
                <w:szCs w:val="22"/>
              </w:rPr>
            </w:pPr>
            <w:r>
              <w:rPr>
                <w:sz w:val="22"/>
                <w:szCs w:val="22"/>
              </w:rPr>
              <w:t>Number of notices sent each year</w:t>
            </w:r>
          </w:p>
        </w:tc>
        <w:tc>
          <w:tcPr>
            <w:tcW w:w="3011" w:type="dxa"/>
            <w:tcBorders>
              <w:top w:val="single" w:sz="4" w:space="0" w:color="auto"/>
              <w:left w:val="single" w:sz="4" w:space="0" w:color="auto"/>
              <w:bottom w:val="single" w:sz="4" w:space="0" w:color="auto"/>
              <w:right w:val="single" w:sz="4" w:space="0" w:color="auto"/>
            </w:tcBorders>
            <w:vAlign w:val="bottom"/>
            <w:hideMark/>
          </w:tcPr>
          <w:p w:rsidR="006528C0" w:rsidRPr="0026766E" w:rsidP="00FB5F22" w14:paraId="41EBDC20" w14:textId="77777777">
            <w:pPr>
              <w:ind w:right="78"/>
              <w:jc w:val="center"/>
              <w:rPr>
                <w:b w:val="0"/>
                <w:bCs w:val="0"/>
                <w:sz w:val="22"/>
                <w:szCs w:val="22"/>
              </w:rPr>
            </w:pPr>
            <w:r w:rsidRPr="0026766E">
              <w:rPr>
                <w:sz w:val="22"/>
                <w:szCs w:val="22"/>
              </w:rPr>
              <w:t>Number of notices</w:t>
            </w:r>
          </w:p>
        </w:tc>
      </w:tr>
      <w:tr w14:paraId="2213A768" w14:textId="77777777" w:rsidTr="00FB5F22">
        <w:tblPrEx>
          <w:tblW w:w="10662" w:type="dxa"/>
          <w:tblInd w:w="-455" w:type="dxa"/>
          <w:tblLook w:val="04A0"/>
        </w:tblPrEx>
        <w:trPr>
          <w:trHeight w:val="287"/>
        </w:trPr>
        <w:tc>
          <w:tcPr>
            <w:tcW w:w="0" w:type="auto"/>
            <w:tcBorders>
              <w:top w:val="single" w:sz="4" w:space="0" w:color="auto"/>
              <w:left w:val="single" w:sz="4" w:space="0" w:color="auto"/>
              <w:bottom w:val="single" w:sz="4" w:space="0" w:color="auto"/>
              <w:right w:val="single" w:sz="4" w:space="0" w:color="auto"/>
            </w:tcBorders>
            <w:noWrap/>
            <w:vAlign w:val="bottom"/>
            <w:hideMark/>
          </w:tcPr>
          <w:p w:rsidR="006528C0" w:rsidRPr="0026766E" w:rsidP="00FB5F22" w14:paraId="138517BB" w14:textId="77777777">
            <w:pPr>
              <w:jc w:val="center"/>
              <w:rPr>
                <w:b w:val="0"/>
                <w:bCs w:val="0"/>
                <w:sz w:val="22"/>
                <w:szCs w:val="22"/>
              </w:rPr>
            </w:pPr>
            <w:r w:rsidRPr="0026766E">
              <w:rPr>
                <w:sz w:val="22"/>
                <w:szCs w:val="22"/>
              </w:rPr>
              <w:t> </w:t>
            </w:r>
          </w:p>
        </w:tc>
        <w:tc>
          <w:tcPr>
            <w:tcW w:w="0" w:type="auto"/>
            <w:tcBorders>
              <w:top w:val="single" w:sz="4" w:space="0" w:color="auto"/>
              <w:left w:val="nil"/>
              <w:bottom w:val="single" w:sz="4" w:space="0" w:color="auto"/>
              <w:right w:val="single" w:sz="4" w:space="0" w:color="auto"/>
            </w:tcBorders>
            <w:noWrap/>
            <w:vAlign w:val="bottom"/>
            <w:hideMark/>
          </w:tcPr>
          <w:p w:rsidR="006528C0" w:rsidRPr="0026766E" w:rsidP="00FB5F22" w14:paraId="73EC0A97" w14:textId="77777777">
            <w:pPr>
              <w:jc w:val="center"/>
              <w:rPr>
                <w:b w:val="0"/>
                <w:bCs w:val="0"/>
                <w:sz w:val="22"/>
                <w:szCs w:val="22"/>
              </w:rPr>
            </w:pPr>
            <w:r w:rsidRPr="0026766E">
              <w:rPr>
                <w:sz w:val="22"/>
                <w:szCs w:val="22"/>
              </w:rPr>
              <w:t>(A)</w:t>
            </w:r>
          </w:p>
        </w:tc>
        <w:tc>
          <w:tcPr>
            <w:tcW w:w="0" w:type="auto"/>
            <w:tcBorders>
              <w:top w:val="single" w:sz="4" w:space="0" w:color="auto"/>
              <w:left w:val="nil"/>
              <w:bottom w:val="single" w:sz="4" w:space="0" w:color="auto"/>
              <w:right w:val="single" w:sz="4" w:space="0" w:color="auto"/>
            </w:tcBorders>
            <w:vAlign w:val="bottom"/>
            <w:hideMark/>
          </w:tcPr>
          <w:p w:rsidR="006528C0" w:rsidRPr="0026766E" w:rsidP="00FB5F22" w14:paraId="415F42C2" w14:textId="77777777">
            <w:pPr>
              <w:jc w:val="center"/>
              <w:rPr>
                <w:b w:val="0"/>
                <w:bCs w:val="0"/>
                <w:sz w:val="22"/>
                <w:szCs w:val="22"/>
              </w:rPr>
            </w:pPr>
            <w:r w:rsidRPr="0026766E">
              <w:rPr>
                <w:sz w:val="22"/>
                <w:szCs w:val="22"/>
              </w:rPr>
              <w:t>(B)</w:t>
            </w:r>
          </w:p>
        </w:tc>
        <w:tc>
          <w:tcPr>
            <w:tcW w:w="0" w:type="auto"/>
            <w:tcBorders>
              <w:top w:val="single" w:sz="4" w:space="0" w:color="auto"/>
              <w:left w:val="nil"/>
              <w:bottom w:val="single" w:sz="4" w:space="0" w:color="auto"/>
              <w:right w:val="single" w:sz="4" w:space="0" w:color="auto"/>
            </w:tcBorders>
            <w:vAlign w:val="bottom"/>
            <w:hideMark/>
          </w:tcPr>
          <w:p w:rsidR="006528C0" w:rsidRPr="0026766E" w:rsidP="00FB5F22" w14:paraId="7E90E8B6" w14:textId="77777777">
            <w:pPr>
              <w:jc w:val="center"/>
              <w:rPr>
                <w:b w:val="0"/>
                <w:bCs w:val="0"/>
                <w:sz w:val="22"/>
                <w:szCs w:val="22"/>
              </w:rPr>
            </w:pPr>
            <w:r w:rsidRPr="0026766E">
              <w:rPr>
                <w:sz w:val="22"/>
                <w:szCs w:val="22"/>
              </w:rPr>
              <w:t>(C)</w:t>
            </w:r>
          </w:p>
        </w:tc>
        <w:tc>
          <w:tcPr>
            <w:tcW w:w="1914" w:type="dxa"/>
            <w:tcBorders>
              <w:top w:val="single" w:sz="4" w:space="0" w:color="auto"/>
              <w:left w:val="nil"/>
              <w:bottom w:val="single" w:sz="4" w:space="0" w:color="auto"/>
              <w:right w:val="single" w:sz="4" w:space="0" w:color="auto"/>
            </w:tcBorders>
          </w:tcPr>
          <w:p w:rsidR="006528C0" w:rsidP="00FB5F22" w14:paraId="183C7EF6" w14:textId="77777777">
            <w:pPr>
              <w:jc w:val="center"/>
              <w:rPr>
                <w:b w:val="0"/>
                <w:bCs w:val="0"/>
                <w:sz w:val="22"/>
                <w:szCs w:val="22"/>
              </w:rPr>
            </w:pPr>
          </w:p>
          <w:p w:rsidR="006528C0" w:rsidP="00FB5F22" w14:paraId="63DF6C1F" w14:textId="77777777">
            <w:pPr>
              <w:jc w:val="center"/>
              <w:rPr>
                <w:b w:val="0"/>
                <w:bCs w:val="0"/>
                <w:sz w:val="22"/>
                <w:szCs w:val="22"/>
              </w:rPr>
            </w:pPr>
          </w:p>
          <w:p w:rsidR="006528C0" w:rsidRPr="0026766E" w:rsidP="00FB5F22" w14:paraId="0D43C96A" w14:textId="77777777">
            <w:pPr>
              <w:jc w:val="center"/>
              <w:rPr>
                <w:b w:val="0"/>
                <w:bCs w:val="0"/>
                <w:sz w:val="22"/>
                <w:szCs w:val="22"/>
              </w:rPr>
            </w:pPr>
            <w:r>
              <w:rPr>
                <w:sz w:val="22"/>
                <w:szCs w:val="22"/>
              </w:rPr>
              <w:t>(D)</w:t>
            </w:r>
          </w:p>
        </w:tc>
        <w:tc>
          <w:tcPr>
            <w:tcW w:w="3011" w:type="dxa"/>
            <w:tcBorders>
              <w:top w:val="single" w:sz="4" w:space="0" w:color="auto"/>
              <w:left w:val="single" w:sz="4" w:space="0" w:color="auto"/>
              <w:bottom w:val="single" w:sz="4" w:space="0" w:color="auto"/>
              <w:right w:val="single" w:sz="4" w:space="0" w:color="auto"/>
            </w:tcBorders>
            <w:vAlign w:val="bottom"/>
            <w:hideMark/>
          </w:tcPr>
          <w:p w:rsidR="006528C0" w:rsidRPr="0026766E" w:rsidP="00FB5F22" w14:paraId="7C92AD6A" w14:textId="77777777">
            <w:pPr>
              <w:jc w:val="center"/>
              <w:rPr>
                <w:b w:val="0"/>
                <w:bCs w:val="0"/>
                <w:sz w:val="22"/>
                <w:szCs w:val="22"/>
              </w:rPr>
            </w:pPr>
            <w:r w:rsidRPr="0026766E">
              <w:rPr>
                <w:sz w:val="22"/>
                <w:szCs w:val="22"/>
              </w:rPr>
              <w:t>(</w:t>
            </w:r>
            <w:r>
              <w:rPr>
                <w:sz w:val="22"/>
                <w:szCs w:val="22"/>
              </w:rPr>
              <w:t>E</w:t>
            </w:r>
            <w:r w:rsidRPr="0026766E">
              <w:rPr>
                <w:sz w:val="22"/>
                <w:szCs w:val="22"/>
              </w:rPr>
              <w:t>) = (A x C</w:t>
            </w:r>
            <w:r>
              <w:rPr>
                <w:sz w:val="22"/>
                <w:szCs w:val="22"/>
              </w:rPr>
              <w:t xml:space="preserve"> x D</w:t>
            </w:r>
            <w:r w:rsidRPr="0026766E">
              <w:rPr>
                <w:sz w:val="22"/>
                <w:szCs w:val="22"/>
              </w:rPr>
              <w:t>) or (A x B x C</w:t>
            </w:r>
            <w:r>
              <w:rPr>
                <w:sz w:val="22"/>
                <w:szCs w:val="22"/>
              </w:rPr>
              <w:t xml:space="preserve"> x D</w:t>
            </w:r>
            <w:r w:rsidRPr="0026766E">
              <w:rPr>
                <w:sz w:val="22"/>
                <w:szCs w:val="22"/>
              </w:rPr>
              <w:t>)</w:t>
            </w:r>
          </w:p>
        </w:tc>
      </w:tr>
      <w:tr w14:paraId="2C6F2F35" w14:textId="77777777" w:rsidTr="00FB5F22">
        <w:tblPrEx>
          <w:tblW w:w="10662" w:type="dxa"/>
          <w:tblInd w:w="-455" w:type="dxa"/>
          <w:tblLook w:val="04A0"/>
        </w:tblPrEx>
        <w:trPr>
          <w:trHeight w:val="53"/>
        </w:trPr>
        <w:tc>
          <w:tcPr>
            <w:tcW w:w="0" w:type="auto"/>
            <w:tcBorders>
              <w:top w:val="nil"/>
              <w:left w:val="single" w:sz="4" w:space="0" w:color="auto"/>
              <w:bottom w:val="single" w:sz="4" w:space="0" w:color="auto"/>
              <w:right w:val="single" w:sz="4" w:space="0" w:color="auto"/>
            </w:tcBorders>
          </w:tcPr>
          <w:p w:rsidR="006528C0" w:rsidRPr="0026766E" w:rsidP="00FB5F22" w14:paraId="670A09D6" w14:textId="77777777">
            <w:pPr>
              <w:rPr>
                <w:b w:val="0"/>
                <w:bCs w:val="0"/>
                <w:i/>
                <w:iCs/>
                <w:sz w:val="22"/>
                <w:szCs w:val="22"/>
                <w:u w:val="single"/>
              </w:rPr>
            </w:pPr>
          </w:p>
        </w:tc>
        <w:tc>
          <w:tcPr>
            <w:tcW w:w="8856" w:type="dxa"/>
            <w:gridSpan w:val="5"/>
            <w:tcBorders>
              <w:top w:val="single" w:sz="4" w:space="0" w:color="auto"/>
              <w:left w:val="single" w:sz="4" w:space="0" w:color="auto"/>
              <w:bottom w:val="single" w:sz="4" w:space="0" w:color="auto"/>
              <w:right w:val="single" w:sz="4" w:space="0" w:color="auto"/>
            </w:tcBorders>
            <w:noWrap/>
            <w:vAlign w:val="bottom"/>
            <w:hideMark/>
          </w:tcPr>
          <w:p w:rsidR="006528C0" w:rsidRPr="0026766E" w:rsidP="00FB5F22" w14:paraId="07283468" w14:textId="77777777">
            <w:pPr>
              <w:rPr>
                <w:b w:val="0"/>
                <w:bCs w:val="0"/>
                <w:i/>
                <w:iCs/>
                <w:sz w:val="22"/>
                <w:szCs w:val="22"/>
                <w:u w:val="single"/>
              </w:rPr>
            </w:pPr>
            <w:r w:rsidRPr="0026766E">
              <w:rPr>
                <w:i/>
                <w:iCs/>
                <w:sz w:val="22"/>
                <w:szCs w:val="22"/>
                <w:u w:val="single"/>
              </w:rPr>
              <w:t xml:space="preserve">Disclosures from PBMs to Self-insured Group Health Plans </w:t>
            </w:r>
          </w:p>
        </w:tc>
      </w:tr>
      <w:tr w14:paraId="71BD2230" w14:textId="77777777" w:rsidTr="00FB5F22">
        <w:tblPrEx>
          <w:tblW w:w="10662" w:type="dxa"/>
          <w:tblInd w:w="-455" w:type="dxa"/>
          <w:tblLook w:val="04A0"/>
        </w:tblPrEx>
        <w:trPr>
          <w:trHeight w:val="530"/>
        </w:trPr>
        <w:tc>
          <w:tcPr>
            <w:tcW w:w="0" w:type="auto"/>
            <w:tcBorders>
              <w:top w:val="single" w:sz="4" w:space="0" w:color="auto"/>
              <w:left w:val="single" w:sz="4" w:space="0" w:color="auto"/>
              <w:bottom w:val="single" w:sz="4" w:space="0" w:color="auto"/>
              <w:right w:val="single" w:sz="4" w:space="0" w:color="auto"/>
            </w:tcBorders>
            <w:vAlign w:val="bottom"/>
            <w:hideMark/>
          </w:tcPr>
          <w:p w:rsidR="006528C0" w:rsidRPr="006528C0" w:rsidP="00FB5F22" w14:paraId="4072CB49" w14:textId="77777777">
            <w:pPr>
              <w:rPr>
                <w:b w:val="0"/>
                <w:bCs w:val="0"/>
                <w:sz w:val="22"/>
                <w:szCs w:val="22"/>
              </w:rPr>
            </w:pPr>
            <w:r w:rsidRPr="006528C0">
              <w:rPr>
                <w:b w:val="0"/>
                <w:bCs w:val="0"/>
                <w:sz w:val="22"/>
                <w:szCs w:val="22"/>
              </w:rPr>
              <w:t xml:space="preserve">PBMs provide initial disclosures to plans whose contract is </w:t>
            </w:r>
            <w:r w:rsidRPr="006528C0">
              <w:rPr>
                <w:b w:val="0"/>
                <w:bCs w:val="0"/>
                <w:sz w:val="22"/>
                <w:szCs w:val="22"/>
              </w:rPr>
              <w:t xml:space="preserve">entered, extended, or renewed </w:t>
            </w:r>
          </w:p>
        </w:tc>
        <w:tc>
          <w:tcPr>
            <w:tcW w:w="0" w:type="auto"/>
            <w:tcBorders>
              <w:top w:val="single" w:sz="4" w:space="0" w:color="auto"/>
              <w:left w:val="nil"/>
              <w:bottom w:val="single" w:sz="4" w:space="0" w:color="auto"/>
              <w:right w:val="single" w:sz="4" w:space="0" w:color="auto"/>
            </w:tcBorders>
            <w:noWrap/>
            <w:vAlign w:val="bottom"/>
            <w:hideMark/>
          </w:tcPr>
          <w:p w:rsidR="006528C0" w:rsidRPr="006528C0" w:rsidP="00FB5F22" w14:paraId="0EED90DB" w14:textId="77777777">
            <w:pPr>
              <w:jc w:val="center"/>
              <w:rPr>
                <w:b w:val="0"/>
                <w:bCs w:val="0"/>
                <w:sz w:val="22"/>
                <w:szCs w:val="22"/>
              </w:rPr>
            </w:pPr>
            <w:r w:rsidRPr="006528C0">
              <w:rPr>
                <w:b w:val="0"/>
                <w:bCs w:val="0"/>
                <w:sz w:val="22"/>
                <w:szCs w:val="22"/>
              </w:rPr>
              <w:t>1,150,583</w:t>
            </w:r>
          </w:p>
        </w:tc>
        <w:tc>
          <w:tcPr>
            <w:tcW w:w="0" w:type="auto"/>
            <w:tcBorders>
              <w:top w:val="single" w:sz="4" w:space="0" w:color="auto"/>
              <w:left w:val="nil"/>
              <w:bottom w:val="single" w:sz="4" w:space="0" w:color="auto"/>
              <w:right w:val="single" w:sz="4" w:space="0" w:color="auto"/>
            </w:tcBorders>
            <w:noWrap/>
            <w:vAlign w:val="bottom"/>
            <w:hideMark/>
          </w:tcPr>
          <w:p w:rsidR="006528C0" w:rsidRPr="006528C0" w:rsidP="00FB5F22" w14:paraId="4ADAD329" w14:textId="77777777">
            <w:pPr>
              <w:jc w:val="center"/>
              <w:rPr>
                <w:b w:val="0"/>
                <w:bCs w:val="0"/>
                <w:sz w:val="22"/>
                <w:szCs w:val="22"/>
              </w:rPr>
            </w:pPr>
            <w:r w:rsidRPr="006528C0">
              <w:rPr>
                <w:b w:val="0"/>
                <w:bCs w:val="0"/>
                <w:sz w:val="22"/>
                <w:szCs w:val="22"/>
              </w:rPr>
              <w:t>33%</w:t>
            </w:r>
          </w:p>
        </w:tc>
        <w:tc>
          <w:tcPr>
            <w:tcW w:w="0" w:type="auto"/>
            <w:tcBorders>
              <w:top w:val="single" w:sz="4" w:space="0" w:color="auto"/>
              <w:left w:val="nil"/>
              <w:bottom w:val="single" w:sz="4" w:space="0" w:color="auto"/>
              <w:right w:val="nil"/>
            </w:tcBorders>
            <w:noWrap/>
            <w:vAlign w:val="bottom"/>
            <w:hideMark/>
          </w:tcPr>
          <w:p w:rsidR="006528C0" w:rsidRPr="006528C0" w:rsidP="00FB5F22" w14:paraId="47E3AF2D" w14:textId="77777777">
            <w:pPr>
              <w:jc w:val="center"/>
              <w:rPr>
                <w:b w:val="0"/>
                <w:bCs w:val="0"/>
                <w:sz w:val="22"/>
                <w:szCs w:val="22"/>
              </w:rPr>
            </w:pPr>
            <w:r w:rsidRPr="006528C0">
              <w:rPr>
                <w:b w:val="0"/>
                <w:bCs w:val="0"/>
                <w:sz w:val="22"/>
                <w:szCs w:val="22"/>
              </w:rPr>
              <w:t>100%</w:t>
            </w:r>
          </w:p>
        </w:tc>
        <w:tc>
          <w:tcPr>
            <w:tcW w:w="1914" w:type="dxa"/>
            <w:tcBorders>
              <w:top w:val="single" w:sz="4" w:space="0" w:color="auto"/>
              <w:left w:val="single" w:sz="4" w:space="0" w:color="auto"/>
              <w:bottom w:val="single" w:sz="4" w:space="0" w:color="auto"/>
              <w:right w:val="single" w:sz="4" w:space="0" w:color="auto"/>
            </w:tcBorders>
          </w:tcPr>
          <w:p w:rsidR="006528C0" w:rsidRPr="006528C0" w:rsidP="00FB5F22" w14:paraId="04C41EAD" w14:textId="77777777">
            <w:pPr>
              <w:rPr>
                <w:b w:val="0"/>
                <w:bCs w:val="0"/>
                <w:sz w:val="22"/>
                <w:szCs w:val="22"/>
              </w:rPr>
            </w:pPr>
          </w:p>
          <w:p w:rsidR="006528C0" w:rsidRPr="006528C0" w:rsidP="00FB5F22" w14:paraId="72D997B4" w14:textId="77777777">
            <w:pPr>
              <w:rPr>
                <w:b w:val="0"/>
                <w:bCs w:val="0"/>
                <w:sz w:val="22"/>
                <w:szCs w:val="22"/>
              </w:rPr>
            </w:pPr>
          </w:p>
          <w:p w:rsidR="006528C0" w:rsidRPr="006528C0" w:rsidP="00FB5F22" w14:paraId="209DD1D3" w14:textId="77777777">
            <w:pPr>
              <w:rPr>
                <w:b w:val="0"/>
                <w:bCs w:val="0"/>
                <w:sz w:val="22"/>
                <w:szCs w:val="22"/>
              </w:rPr>
            </w:pPr>
          </w:p>
          <w:p w:rsidR="006528C0" w:rsidRPr="006528C0" w:rsidP="00FB5F22" w14:paraId="618741D3" w14:textId="77777777">
            <w:pPr>
              <w:rPr>
                <w:b w:val="0"/>
                <w:bCs w:val="0"/>
                <w:sz w:val="22"/>
                <w:szCs w:val="22"/>
              </w:rPr>
            </w:pPr>
          </w:p>
          <w:p w:rsidR="006528C0" w:rsidRPr="006528C0" w:rsidP="00FB5F22" w14:paraId="1CF52202" w14:textId="77777777">
            <w:pPr>
              <w:rPr>
                <w:b w:val="0"/>
                <w:bCs w:val="0"/>
                <w:sz w:val="22"/>
                <w:szCs w:val="22"/>
              </w:rPr>
            </w:pPr>
          </w:p>
          <w:p w:rsidR="006528C0" w:rsidRPr="006528C0" w:rsidP="00FB5F22" w14:paraId="03265EDA" w14:textId="77777777">
            <w:pPr>
              <w:rPr>
                <w:b w:val="0"/>
                <w:bCs w:val="0"/>
                <w:sz w:val="22"/>
                <w:szCs w:val="22"/>
              </w:rPr>
            </w:pPr>
          </w:p>
          <w:p w:rsidR="006528C0" w:rsidRPr="006528C0" w:rsidP="00FB5F22" w14:paraId="7211868B" w14:textId="77777777">
            <w:pPr>
              <w:rPr>
                <w:b w:val="0"/>
                <w:bCs w:val="0"/>
                <w:sz w:val="22"/>
                <w:szCs w:val="22"/>
              </w:rPr>
            </w:pPr>
            <w:r w:rsidRPr="006528C0">
              <w:rPr>
                <w:b w:val="0"/>
                <w:bCs w:val="0"/>
                <w:sz w:val="22"/>
                <w:szCs w:val="22"/>
              </w:rPr>
              <w:t xml:space="preserve">         1</w:t>
            </w:r>
          </w:p>
        </w:tc>
        <w:tc>
          <w:tcPr>
            <w:tcW w:w="3011" w:type="dxa"/>
            <w:tcBorders>
              <w:top w:val="single" w:sz="4" w:space="0" w:color="auto"/>
              <w:left w:val="single" w:sz="4" w:space="0" w:color="auto"/>
              <w:bottom w:val="single" w:sz="4" w:space="0" w:color="auto"/>
              <w:right w:val="single" w:sz="4" w:space="0" w:color="auto"/>
            </w:tcBorders>
            <w:noWrap/>
            <w:vAlign w:val="bottom"/>
            <w:hideMark/>
          </w:tcPr>
          <w:p w:rsidR="006528C0" w:rsidRPr="006528C0" w:rsidP="00FB5F22" w14:paraId="256368ED" w14:textId="77777777">
            <w:pPr>
              <w:jc w:val="center"/>
              <w:rPr>
                <w:b w:val="0"/>
                <w:bCs w:val="0"/>
                <w:sz w:val="22"/>
                <w:szCs w:val="22"/>
              </w:rPr>
            </w:pPr>
            <w:r w:rsidRPr="006528C0">
              <w:rPr>
                <w:b w:val="0"/>
                <w:bCs w:val="0"/>
                <w:sz w:val="22"/>
                <w:szCs w:val="22"/>
              </w:rPr>
              <w:t>383,528</w:t>
            </w:r>
          </w:p>
        </w:tc>
      </w:tr>
      <w:tr w14:paraId="5850EE37" w14:textId="77777777" w:rsidTr="00FB5F22">
        <w:tblPrEx>
          <w:tblW w:w="10662" w:type="dxa"/>
          <w:tblInd w:w="-455" w:type="dxa"/>
          <w:tblLook w:val="04A0"/>
        </w:tblPrEx>
        <w:trPr>
          <w:trHeight w:val="512"/>
        </w:trPr>
        <w:tc>
          <w:tcPr>
            <w:tcW w:w="0" w:type="auto"/>
            <w:tcBorders>
              <w:top w:val="single" w:sz="4" w:space="0" w:color="auto"/>
              <w:left w:val="single" w:sz="4" w:space="0" w:color="auto"/>
              <w:bottom w:val="single" w:sz="4" w:space="0" w:color="auto"/>
              <w:right w:val="single" w:sz="4" w:space="0" w:color="auto"/>
            </w:tcBorders>
            <w:vAlign w:val="bottom"/>
            <w:hideMark/>
          </w:tcPr>
          <w:p w:rsidR="006528C0" w:rsidRPr="006528C0" w:rsidP="00FB5F22" w14:paraId="7FD58052" w14:textId="77777777">
            <w:pPr>
              <w:rPr>
                <w:b w:val="0"/>
                <w:bCs w:val="0"/>
                <w:sz w:val="22"/>
                <w:szCs w:val="22"/>
              </w:rPr>
            </w:pPr>
            <w:r w:rsidRPr="006528C0">
              <w:rPr>
                <w:b w:val="0"/>
                <w:bCs w:val="0"/>
                <w:sz w:val="22"/>
                <w:szCs w:val="22"/>
              </w:rPr>
              <w:t xml:space="preserve">PBMs provide missing/additional information requested by plans </w:t>
            </w:r>
          </w:p>
        </w:tc>
        <w:tc>
          <w:tcPr>
            <w:tcW w:w="0" w:type="auto"/>
            <w:tcBorders>
              <w:top w:val="single" w:sz="4" w:space="0" w:color="auto"/>
              <w:left w:val="nil"/>
              <w:bottom w:val="single" w:sz="4" w:space="0" w:color="auto"/>
              <w:right w:val="single" w:sz="4" w:space="0" w:color="auto"/>
            </w:tcBorders>
            <w:noWrap/>
            <w:vAlign w:val="bottom"/>
            <w:hideMark/>
          </w:tcPr>
          <w:p w:rsidR="006528C0" w:rsidRPr="006528C0" w:rsidP="00FB5F22" w14:paraId="3CA8D7C7" w14:textId="77777777">
            <w:pPr>
              <w:jc w:val="center"/>
              <w:rPr>
                <w:b w:val="0"/>
                <w:bCs w:val="0"/>
                <w:sz w:val="22"/>
                <w:szCs w:val="22"/>
              </w:rPr>
            </w:pPr>
            <w:r w:rsidRPr="006528C0">
              <w:rPr>
                <w:b w:val="0"/>
                <w:bCs w:val="0"/>
                <w:sz w:val="22"/>
                <w:szCs w:val="22"/>
              </w:rPr>
              <w:t>1,150,583</w:t>
            </w:r>
          </w:p>
        </w:tc>
        <w:tc>
          <w:tcPr>
            <w:tcW w:w="0" w:type="auto"/>
            <w:tcBorders>
              <w:top w:val="single" w:sz="4" w:space="0" w:color="auto"/>
              <w:left w:val="nil"/>
              <w:bottom w:val="single" w:sz="4" w:space="0" w:color="auto"/>
              <w:right w:val="single" w:sz="4" w:space="0" w:color="auto"/>
            </w:tcBorders>
            <w:noWrap/>
            <w:vAlign w:val="bottom"/>
            <w:hideMark/>
          </w:tcPr>
          <w:p w:rsidR="006528C0" w:rsidRPr="006528C0" w:rsidP="00FB5F22" w14:paraId="346ACF3A" w14:textId="77777777">
            <w:pPr>
              <w:jc w:val="center"/>
              <w:rPr>
                <w:b w:val="0"/>
                <w:bCs w:val="0"/>
                <w:sz w:val="22"/>
                <w:szCs w:val="22"/>
              </w:rPr>
            </w:pPr>
            <w:r w:rsidRPr="006528C0">
              <w:rPr>
                <w:b w:val="0"/>
                <w:bCs w:val="0"/>
                <w:sz w:val="22"/>
                <w:szCs w:val="22"/>
              </w:rPr>
              <w:t>33%</w:t>
            </w:r>
          </w:p>
        </w:tc>
        <w:tc>
          <w:tcPr>
            <w:tcW w:w="0" w:type="auto"/>
            <w:tcBorders>
              <w:top w:val="single" w:sz="4" w:space="0" w:color="auto"/>
              <w:left w:val="nil"/>
              <w:bottom w:val="single" w:sz="4" w:space="0" w:color="auto"/>
              <w:right w:val="single" w:sz="4" w:space="0" w:color="auto"/>
            </w:tcBorders>
            <w:noWrap/>
            <w:vAlign w:val="bottom"/>
            <w:hideMark/>
          </w:tcPr>
          <w:p w:rsidR="006528C0" w:rsidRPr="006528C0" w:rsidP="00FB5F22" w14:paraId="009CA70F" w14:textId="77777777">
            <w:pPr>
              <w:jc w:val="center"/>
              <w:rPr>
                <w:b w:val="0"/>
                <w:bCs w:val="0"/>
                <w:sz w:val="22"/>
                <w:szCs w:val="22"/>
              </w:rPr>
            </w:pPr>
            <w:r w:rsidRPr="006528C0">
              <w:rPr>
                <w:b w:val="0"/>
                <w:bCs w:val="0"/>
                <w:sz w:val="22"/>
                <w:szCs w:val="22"/>
              </w:rPr>
              <w:t>10%</w:t>
            </w:r>
          </w:p>
        </w:tc>
        <w:tc>
          <w:tcPr>
            <w:tcW w:w="1914" w:type="dxa"/>
            <w:tcBorders>
              <w:top w:val="single" w:sz="4" w:space="0" w:color="auto"/>
              <w:left w:val="nil"/>
              <w:bottom w:val="single" w:sz="4" w:space="0" w:color="auto"/>
              <w:right w:val="single" w:sz="4" w:space="0" w:color="auto"/>
            </w:tcBorders>
          </w:tcPr>
          <w:p w:rsidR="006528C0" w:rsidRPr="006528C0" w:rsidP="00FB5F22" w14:paraId="14C1ACC4" w14:textId="77777777">
            <w:pPr>
              <w:rPr>
                <w:b w:val="0"/>
                <w:bCs w:val="0"/>
                <w:sz w:val="22"/>
                <w:szCs w:val="22"/>
              </w:rPr>
            </w:pPr>
          </w:p>
          <w:p w:rsidR="006528C0" w:rsidRPr="006528C0" w:rsidP="00FB5F22" w14:paraId="650D852A" w14:textId="77777777">
            <w:pPr>
              <w:rPr>
                <w:b w:val="0"/>
                <w:bCs w:val="0"/>
                <w:sz w:val="22"/>
                <w:szCs w:val="22"/>
              </w:rPr>
            </w:pPr>
          </w:p>
          <w:p w:rsidR="006528C0" w:rsidRPr="006528C0" w:rsidP="00FB5F22" w14:paraId="52BA76CF" w14:textId="77777777">
            <w:pPr>
              <w:rPr>
                <w:b w:val="0"/>
                <w:bCs w:val="0"/>
                <w:sz w:val="22"/>
                <w:szCs w:val="22"/>
              </w:rPr>
            </w:pPr>
          </w:p>
          <w:p w:rsidR="006528C0" w:rsidRPr="006528C0" w:rsidP="00FB5F22" w14:paraId="566CBD90" w14:textId="77777777">
            <w:pPr>
              <w:rPr>
                <w:b w:val="0"/>
                <w:bCs w:val="0"/>
                <w:sz w:val="22"/>
                <w:szCs w:val="22"/>
              </w:rPr>
            </w:pPr>
          </w:p>
          <w:p w:rsidR="006528C0" w:rsidRPr="006528C0" w:rsidP="00FB5F22" w14:paraId="24B11967" w14:textId="77777777">
            <w:pPr>
              <w:rPr>
                <w:b w:val="0"/>
                <w:bCs w:val="0"/>
                <w:sz w:val="22"/>
                <w:szCs w:val="22"/>
              </w:rPr>
            </w:pPr>
            <w:r w:rsidRPr="006528C0">
              <w:rPr>
                <w:b w:val="0"/>
                <w:bCs w:val="0"/>
                <w:sz w:val="22"/>
                <w:szCs w:val="22"/>
              </w:rPr>
              <w:t xml:space="preserve">         1</w:t>
            </w:r>
          </w:p>
        </w:tc>
        <w:tc>
          <w:tcPr>
            <w:tcW w:w="3011" w:type="dxa"/>
            <w:tcBorders>
              <w:top w:val="single" w:sz="4" w:space="0" w:color="auto"/>
              <w:left w:val="single" w:sz="4" w:space="0" w:color="auto"/>
              <w:bottom w:val="single" w:sz="4" w:space="0" w:color="auto"/>
              <w:right w:val="single" w:sz="4" w:space="0" w:color="auto"/>
            </w:tcBorders>
            <w:noWrap/>
            <w:vAlign w:val="bottom"/>
            <w:hideMark/>
          </w:tcPr>
          <w:p w:rsidR="006528C0" w:rsidRPr="006528C0" w:rsidP="00FB5F22" w14:paraId="392840F6" w14:textId="77777777">
            <w:pPr>
              <w:jc w:val="center"/>
              <w:rPr>
                <w:b w:val="0"/>
                <w:bCs w:val="0"/>
                <w:sz w:val="22"/>
                <w:szCs w:val="22"/>
              </w:rPr>
            </w:pPr>
            <w:r w:rsidRPr="006528C0">
              <w:rPr>
                <w:b w:val="0"/>
                <w:bCs w:val="0"/>
                <w:sz w:val="22"/>
                <w:szCs w:val="22"/>
              </w:rPr>
              <w:t>38,353</w:t>
            </w:r>
          </w:p>
        </w:tc>
      </w:tr>
      <w:tr w14:paraId="2DC897BC" w14:textId="77777777" w:rsidTr="00FB5F22">
        <w:tblPrEx>
          <w:tblW w:w="10662" w:type="dxa"/>
          <w:tblInd w:w="-455" w:type="dxa"/>
          <w:tblLook w:val="04A0"/>
        </w:tblPrEx>
        <w:trPr>
          <w:trHeight w:val="620"/>
        </w:trPr>
        <w:tc>
          <w:tcPr>
            <w:tcW w:w="0" w:type="auto"/>
            <w:tcBorders>
              <w:top w:val="single" w:sz="4" w:space="0" w:color="auto"/>
              <w:left w:val="single" w:sz="4" w:space="0" w:color="auto"/>
              <w:bottom w:val="single" w:sz="4" w:space="0" w:color="auto"/>
              <w:right w:val="single" w:sz="4" w:space="0" w:color="auto"/>
            </w:tcBorders>
            <w:vAlign w:val="bottom"/>
            <w:hideMark/>
          </w:tcPr>
          <w:p w:rsidR="006528C0" w:rsidRPr="006528C0" w:rsidP="00FB5F22" w14:paraId="33CF8D72" w14:textId="77777777">
            <w:pPr>
              <w:rPr>
                <w:b w:val="0"/>
                <w:bCs w:val="0"/>
                <w:sz w:val="22"/>
                <w:szCs w:val="22"/>
              </w:rPr>
            </w:pPr>
            <w:r w:rsidRPr="006528C0">
              <w:rPr>
                <w:b w:val="0"/>
                <w:bCs w:val="0"/>
                <w:sz w:val="22"/>
                <w:szCs w:val="22"/>
              </w:rPr>
              <w:t xml:space="preserve">PBM provides semiannual disclosures to plans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28C0" w:rsidRPr="006528C0" w:rsidP="00FB5F22" w14:paraId="3C72239C" w14:textId="77777777">
            <w:pPr>
              <w:jc w:val="center"/>
              <w:rPr>
                <w:b w:val="0"/>
                <w:bCs w:val="0"/>
                <w:sz w:val="22"/>
                <w:szCs w:val="22"/>
              </w:rPr>
            </w:pPr>
            <w:r w:rsidRPr="006528C0">
              <w:rPr>
                <w:b w:val="0"/>
                <w:bCs w:val="0"/>
                <w:sz w:val="22"/>
                <w:szCs w:val="22"/>
              </w:rPr>
              <w:t>1,150,583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28C0" w:rsidRPr="006528C0" w:rsidP="00FB5F22" w14:paraId="01CCDF4F" w14:textId="77777777">
            <w:pPr>
              <w:jc w:val="center"/>
              <w:rPr>
                <w:b w:val="0"/>
                <w:bCs w:val="0"/>
                <w:sz w:val="22"/>
                <w:szCs w:val="22"/>
              </w:rPr>
            </w:pPr>
            <w:r w:rsidRPr="006528C0">
              <w:rPr>
                <w:b w:val="0"/>
                <w:bCs w:val="0"/>
                <w:sz w:val="22"/>
                <w:szCs w:val="22"/>
              </w:rPr>
              <w:t>100%</w:t>
            </w:r>
          </w:p>
        </w:tc>
        <w:tc>
          <w:tcPr>
            <w:tcW w:w="0" w:type="auto"/>
            <w:tcBorders>
              <w:top w:val="single" w:sz="4" w:space="0" w:color="auto"/>
              <w:left w:val="single" w:sz="4" w:space="0" w:color="auto"/>
              <w:bottom w:val="single" w:sz="4" w:space="0" w:color="auto"/>
              <w:right w:val="nil"/>
            </w:tcBorders>
            <w:noWrap/>
            <w:vAlign w:val="bottom"/>
            <w:hideMark/>
          </w:tcPr>
          <w:p w:rsidR="006528C0" w:rsidRPr="006528C0" w:rsidP="00FB5F22" w14:paraId="2B9F7FB0" w14:textId="77777777">
            <w:pPr>
              <w:jc w:val="center"/>
              <w:rPr>
                <w:b w:val="0"/>
                <w:bCs w:val="0"/>
                <w:sz w:val="22"/>
                <w:szCs w:val="22"/>
              </w:rPr>
            </w:pPr>
            <w:r w:rsidRPr="006528C0">
              <w:rPr>
                <w:b w:val="0"/>
                <w:bCs w:val="0"/>
                <w:sz w:val="22"/>
                <w:szCs w:val="22"/>
              </w:rPr>
              <w:t>100%</w:t>
            </w:r>
          </w:p>
        </w:tc>
        <w:tc>
          <w:tcPr>
            <w:tcW w:w="1914" w:type="dxa"/>
            <w:tcBorders>
              <w:top w:val="single" w:sz="4" w:space="0" w:color="auto"/>
              <w:left w:val="single" w:sz="4" w:space="0" w:color="auto"/>
              <w:bottom w:val="single" w:sz="4" w:space="0" w:color="auto"/>
              <w:right w:val="single" w:sz="4" w:space="0" w:color="auto"/>
            </w:tcBorders>
          </w:tcPr>
          <w:p w:rsidR="006528C0" w:rsidRPr="006528C0" w:rsidP="00FB5F22" w14:paraId="20F2604D" w14:textId="77777777">
            <w:pPr>
              <w:rPr>
                <w:b w:val="0"/>
                <w:bCs w:val="0"/>
                <w:sz w:val="22"/>
                <w:szCs w:val="22"/>
              </w:rPr>
            </w:pPr>
          </w:p>
          <w:p w:rsidR="006528C0" w:rsidRPr="006528C0" w:rsidP="00FB5F22" w14:paraId="0D6540E5" w14:textId="77777777">
            <w:pPr>
              <w:rPr>
                <w:b w:val="0"/>
                <w:bCs w:val="0"/>
                <w:sz w:val="22"/>
                <w:szCs w:val="22"/>
              </w:rPr>
            </w:pPr>
          </w:p>
          <w:p w:rsidR="006528C0" w:rsidRPr="006528C0" w:rsidP="00FB5F22" w14:paraId="00773948" w14:textId="77777777">
            <w:pPr>
              <w:rPr>
                <w:b w:val="0"/>
                <w:bCs w:val="0"/>
                <w:sz w:val="22"/>
                <w:szCs w:val="22"/>
              </w:rPr>
            </w:pPr>
          </w:p>
          <w:p w:rsidR="006528C0" w:rsidRPr="006528C0" w:rsidP="00FB5F22" w14:paraId="78DD3973" w14:textId="77777777">
            <w:pPr>
              <w:rPr>
                <w:b w:val="0"/>
                <w:bCs w:val="0"/>
                <w:sz w:val="22"/>
                <w:szCs w:val="22"/>
              </w:rPr>
            </w:pPr>
            <w:r w:rsidRPr="006528C0">
              <w:rPr>
                <w:b w:val="0"/>
                <w:bCs w:val="0"/>
                <w:sz w:val="22"/>
                <w:szCs w:val="22"/>
              </w:rPr>
              <w:t xml:space="preserve">         2</w:t>
            </w:r>
          </w:p>
        </w:tc>
        <w:tc>
          <w:tcPr>
            <w:tcW w:w="3011" w:type="dxa"/>
            <w:tcBorders>
              <w:top w:val="single" w:sz="4" w:space="0" w:color="auto"/>
              <w:left w:val="single" w:sz="4" w:space="0" w:color="auto"/>
              <w:bottom w:val="single" w:sz="4" w:space="0" w:color="auto"/>
              <w:right w:val="single" w:sz="4" w:space="0" w:color="auto"/>
            </w:tcBorders>
            <w:noWrap/>
            <w:vAlign w:val="bottom"/>
            <w:hideMark/>
          </w:tcPr>
          <w:p w:rsidR="006528C0" w:rsidRPr="006528C0" w:rsidP="00FB5F22" w14:paraId="59F1D6C1" w14:textId="77777777">
            <w:pPr>
              <w:jc w:val="center"/>
              <w:rPr>
                <w:b w:val="0"/>
                <w:bCs w:val="0"/>
                <w:sz w:val="22"/>
                <w:szCs w:val="22"/>
              </w:rPr>
            </w:pPr>
            <w:r w:rsidRPr="006528C0">
              <w:rPr>
                <w:b w:val="0"/>
                <w:bCs w:val="0"/>
                <w:sz w:val="22"/>
                <w:szCs w:val="22"/>
              </w:rPr>
              <w:t>2,301,167</w:t>
            </w:r>
          </w:p>
        </w:tc>
      </w:tr>
      <w:tr w14:paraId="7AFD24E5" w14:textId="77777777" w:rsidTr="00FB5F22">
        <w:tblPrEx>
          <w:tblW w:w="10662" w:type="dxa"/>
          <w:tblInd w:w="-455" w:type="dxa"/>
          <w:tblLook w:val="04A0"/>
        </w:tblPrEx>
        <w:trPr>
          <w:trHeight w:val="310"/>
        </w:trPr>
        <w:tc>
          <w:tcPr>
            <w:tcW w:w="0" w:type="auto"/>
            <w:tcBorders>
              <w:top w:val="single" w:sz="4" w:space="0" w:color="auto"/>
              <w:left w:val="single" w:sz="4" w:space="0" w:color="auto"/>
              <w:bottom w:val="single" w:sz="4" w:space="0" w:color="auto"/>
              <w:right w:val="single" w:sz="4" w:space="0" w:color="auto"/>
            </w:tcBorders>
          </w:tcPr>
          <w:p w:rsidR="006528C0" w:rsidRPr="0026766E" w:rsidP="00FB5F22" w14:paraId="0371D72D" w14:textId="77777777">
            <w:pPr>
              <w:rPr>
                <w:b w:val="0"/>
                <w:bCs w:val="0"/>
                <w:i/>
                <w:iCs/>
                <w:sz w:val="22"/>
                <w:szCs w:val="22"/>
                <w:u w:val="single"/>
              </w:rPr>
            </w:pPr>
          </w:p>
        </w:tc>
        <w:tc>
          <w:tcPr>
            <w:tcW w:w="8856" w:type="dxa"/>
            <w:gridSpan w:val="5"/>
            <w:tcBorders>
              <w:top w:val="single" w:sz="4" w:space="0" w:color="auto"/>
              <w:left w:val="single" w:sz="4" w:space="0" w:color="auto"/>
              <w:bottom w:val="single" w:sz="4" w:space="0" w:color="auto"/>
              <w:right w:val="single" w:sz="4" w:space="0" w:color="auto"/>
            </w:tcBorders>
            <w:vAlign w:val="bottom"/>
            <w:hideMark/>
          </w:tcPr>
          <w:p w:rsidR="006528C0" w:rsidRPr="0026766E" w:rsidP="00FB5F22" w14:paraId="41587E96" w14:textId="77777777">
            <w:pPr>
              <w:jc w:val="center"/>
              <w:rPr>
                <w:b w:val="0"/>
                <w:bCs w:val="0"/>
                <w:i/>
                <w:iCs/>
                <w:sz w:val="22"/>
                <w:szCs w:val="22"/>
                <w:u w:val="single"/>
              </w:rPr>
            </w:pPr>
            <w:r w:rsidRPr="0026766E">
              <w:rPr>
                <w:i/>
                <w:iCs/>
                <w:sz w:val="22"/>
                <w:szCs w:val="22"/>
                <w:u w:val="single"/>
              </w:rPr>
              <w:t>Disclosures from Self-insured Group Health Plans</w:t>
            </w:r>
          </w:p>
        </w:tc>
      </w:tr>
      <w:tr w14:paraId="2F723700" w14:textId="77777777" w:rsidTr="00FB5F22">
        <w:tblPrEx>
          <w:tblW w:w="10662" w:type="dxa"/>
          <w:tblInd w:w="-455" w:type="dxa"/>
          <w:tblLook w:val="04A0"/>
        </w:tblPrEx>
        <w:trPr>
          <w:trHeight w:val="647"/>
        </w:trPr>
        <w:tc>
          <w:tcPr>
            <w:tcW w:w="0" w:type="auto"/>
            <w:tcBorders>
              <w:top w:val="nil"/>
              <w:left w:val="single" w:sz="4" w:space="0" w:color="auto"/>
              <w:bottom w:val="single" w:sz="4" w:space="0" w:color="auto"/>
              <w:right w:val="single" w:sz="4" w:space="0" w:color="auto"/>
            </w:tcBorders>
            <w:vAlign w:val="bottom"/>
            <w:hideMark/>
          </w:tcPr>
          <w:p w:rsidR="006528C0" w:rsidRPr="006528C0" w:rsidP="00FB5F22" w14:paraId="5C7D4E50" w14:textId="77777777">
            <w:pPr>
              <w:rPr>
                <w:b w:val="0"/>
                <w:bCs w:val="0"/>
                <w:sz w:val="22"/>
                <w:szCs w:val="22"/>
              </w:rPr>
            </w:pPr>
            <w:r w:rsidRPr="006528C0">
              <w:rPr>
                <w:b w:val="0"/>
                <w:bCs w:val="0"/>
                <w:sz w:val="22"/>
                <w:szCs w:val="22"/>
              </w:rPr>
              <w:t xml:space="preserve">Plans send request to PBMs to disclose other/missing information </w:t>
            </w:r>
          </w:p>
        </w:tc>
        <w:tc>
          <w:tcPr>
            <w:tcW w:w="0" w:type="auto"/>
            <w:tcBorders>
              <w:top w:val="nil"/>
              <w:left w:val="nil"/>
              <w:bottom w:val="single" w:sz="4" w:space="0" w:color="auto"/>
              <w:right w:val="single" w:sz="4" w:space="0" w:color="auto"/>
            </w:tcBorders>
            <w:noWrap/>
            <w:vAlign w:val="bottom"/>
            <w:hideMark/>
          </w:tcPr>
          <w:p w:rsidR="006528C0" w:rsidRPr="006528C0" w:rsidP="00FB5F22" w14:paraId="4E324D45" w14:textId="77777777">
            <w:pPr>
              <w:jc w:val="center"/>
              <w:rPr>
                <w:b w:val="0"/>
                <w:bCs w:val="0"/>
                <w:sz w:val="22"/>
                <w:szCs w:val="22"/>
              </w:rPr>
            </w:pPr>
            <w:r w:rsidRPr="006528C0">
              <w:rPr>
                <w:b w:val="0"/>
                <w:bCs w:val="0"/>
                <w:sz w:val="22"/>
                <w:szCs w:val="22"/>
              </w:rPr>
              <w:t>1,150,583</w:t>
            </w:r>
          </w:p>
        </w:tc>
        <w:tc>
          <w:tcPr>
            <w:tcW w:w="0" w:type="auto"/>
            <w:tcBorders>
              <w:top w:val="nil"/>
              <w:left w:val="nil"/>
              <w:bottom w:val="single" w:sz="4" w:space="0" w:color="auto"/>
              <w:right w:val="single" w:sz="4" w:space="0" w:color="auto"/>
            </w:tcBorders>
            <w:noWrap/>
            <w:vAlign w:val="bottom"/>
            <w:hideMark/>
          </w:tcPr>
          <w:p w:rsidR="006528C0" w:rsidRPr="006528C0" w:rsidP="00FB5F22" w14:paraId="7ACB33B8" w14:textId="77777777">
            <w:pPr>
              <w:jc w:val="center"/>
              <w:rPr>
                <w:b w:val="0"/>
                <w:bCs w:val="0"/>
                <w:sz w:val="22"/>
                <w:szCs w:val="22"/>
              </w:rPr>
            </w:pPr>
            <w:r w:rsidRPr="006528C0">
              <w:rPr>
                <w:b w:val="0"/>
                <w:bCs w:val="0"/>
                <w:sz w:val="22"/>
                <w:szCs w:val="22"/>
              </w:rPr>
              <w:t>33%</w:t>
            </w:r>
          </w:p>
        </w:tc>
        <w:tc>
          <w:tcPr>
            <w:tcW w:w="0" w:type="auto"/>
            <w:tcBorders>
              <w:top w:val="nil"/>
              <w:left w:val="nil"/>
              <w:bottom w:val="single" w:sz="4" w:space="0" w:color="auto"/>
              <w:right w:val="single" w:sz="4" w:space="0" w:color="auto"/>
            </w:tcBorders>
            <w:noWrap/>
            <w:vAlign w:val="bottom"/>
            <w:hideMark/>
          </w:tcPr>
          <w:p w:rsidR="006528C0" w:rsidRPr="006528C0" w:rsidP="00FB5F22" w14:paraId="608C0A02" w14:textId="77777777">
            <w:pPr>
              <w:jc w:val="center"/>
              <w:rPr>
                <w:b w:val="0"/>
                <w:bCs w:val="0"/>
                <w:sz w:val="22"/>
                <w:szCs w:val="22"/>
              </w:rPr>
            </w:pPr>
            <w:r w:rsidRPr="006528C0">
              <w:rPr>
                <w:b w:val="0"/>
                <w:bCs w:val="0"/>
                <w:sz w:val="22"/>
                <w:szCs w:val="22"/>
              </w:rPr>
              <w:t>0.3%</w:t>
            </w:r>
          </w:p>
        </w:tc>
        <w:tc>
          <w:tcPr>
            <w:tcW w:w="1914" w:type="dxa"/>
            <w:tcBorders>
              <w:top w:val="single" w:sz="4" w:space="0" w:color="auto"/>
              <w:left w:val="nil"/>
              <w:bottom w:val="single" w:sz="4" w:space="0" w:color="auto"/>
              <w:right w:val="single" w:sz="4" w:space="0" w:color="auto"/>
            </w:tcBorders>
          </w:tcPr>
          <w:p w:rsidR="006528C0" w:rsidRPr="006528C0" w:rsidP="00FB5F22" w14:paraId="7768EBC7" w14:textId="77777777">
            <w:pPr>
              <w:jc w:val="center"/>
              <w:rPr>
                <w:b w:val="0"/>
                <w:bCs w:val="0"/>
                <w:sz w:val="22"/>
                <w:szCs w:val="22"/>
              </w:rPr>
            </w:pPr>
          </w:p>
          <w:p w:rsidR="006528C0" w:rsidRPr="006528C0" w:rsidP="00FB5F22" w14:paraId="0F2A3791" w14:textId="77777777">
            <w:pPr>
              <w:jc w:val="center"/>
              <w:rPr>
                <w:b w:val="0"/>
                <w:bCs w:val="0"/>
                <w:sz w:val="22"/>
                <w:szCs w:val="22"/>
              </w:rPr>
            </w:pPr>
          </w:p>
          <w:p w:rsidR="006528C0" w:rsidRPr="006528C0" w:rsidP="00FB5F22" w14:paraId="61A27C55" w14:textId="77777777">
            <w:pPr>
              <w:jc w:val="center"/>
              <w:rPr>
                <w:b w:val="0"/>
                <w:bCs w:val="0"/>
                <w:sz w:val="22"/>
                <w:szCs w:val="22"/>
              </w:rPr>
            </w:pPr>
          </w:p>
          <w:p w:rsidR="006528C0" w:rsidRPr="006528C0" w:rsidP="00FB5F22" w14:paraId="3188ADBC" w14:textId="77777777">
            <w:pPr>
              <w:rPr>
                <w:b w:val="0"/>
                <w:bCs w:val="0"/>
                <w:sz w:val="22"/>
                <w:szCs w:val="22"/>
              </w:rPr>
            </w:pPr>
            <w:r w:rsidRPr="006528C0">
              <w:rPr>
                <w:b w:val="0"/>
                <w:bCs w:val="0"/>
                <w:sz w:val="22"/>
                <w:szCs w:val="22"/>
              </w:rPr>
              <w:t xml:space="preserve"> </w:t>
            </w:r>
          </w:p>
          <w:p w:rsidR="006528C0" w:rsidRPr="006528C0" w:rsidP="00FB5F22" w14:paraId="637DCB81" w14:textId="77777777">
            <w:pPr>
              <w:rPr>
                <w:b w:val="0"/>
                <w:bCs w:val="0"/>
                <w:sz w:val="22"/>
                <w:szCs w:val="22"/>
              </w:rPr>
            </w:pPr>
            <w:r w:rsidRPr="006528C0">
              <w:rPr>
                <w:b w:val="0"/>
                <w:bCs w:val="0"/>
                <w:sz w:val="22"/>
                <w:szCs w:val="22"/>
              </w:rPr>
              <w:t xml:space="preserve">         1</w:t>
            </w:r>
          </w:p>
        </w:tc>
        <w:tc>
          <w:tcPr>
            <w:tcW w:w="3011" w:type="dxa"/>
            <w:tcBorders>
              <w:top w:val="nil"/>
              <w:left w:val="single" w:sz="4" w:space="0" w:color="auto"/>
              <w:bottom w:val="single" w:sz="4" w:space="0" w:color="auto"/>
              <w:right w:val="single" w:sz="4" w:space="0" w:color="auto"/>
            </w:tcBorders>
            <w:noWrap/>
            <w:vAlign w:val="bottom"/>
            <w:hideMark/>
          </w:tcPr>
          <w:p w:rsidR="006528C0" w:rsidRPr="006528C0" w:rsidP="00FB5F22" w14:paraId="6BF4F545" w14:textId="77777777">
            <w:pPr>
              <w:jc w:val="center"/>
              <w:rPr>
                <w:b w:val="0"/>
                <w:bCs w:val="0"/>
                <w:sz w:val="22"/>
                <w:szCs w:val="22"/>
              </w:rPr>
            </w:pPr>
            <w:r w:rsidRPr="006528C0">
              <w:rPr>
                <w:b w:val="0"/>
                <w:bCs w:val="0"/>
                <w:sz w:val="22"/>
                <w:szCs w:val="22"/>
              </w:rPr>
              <w:t>1,151</w:t>
            </w:r>
          </w:p>
        </w:tc>
      </w:tr>
      <w:tr w14:paraId="71FF6162" w14:textId="77777777" w:rsidTr="00FB5F22">
        <w:tblPrEx>
          <w:tblW w:w="10662" w:type="dxa"/>
          <w:tblInd w:w="-455" w:type="dxa"/>
          <w:tblLook w:val="04A0"/>
        </w:tblPrEx>
        <w:trPr>
          <w:trHeight w:val="602"/>
        </w:trPr>
        <w:tc>
          <w:tcPr>
            <w:tcW w:w="0" w:type="auto"/>
            <w:tcBorders>
              <w:top w:val="nil"/>
              <w:left w:val="single" w:sz="4" w:space="0" w:color="auto"/>
              <w:bottom w:val="single" w:sz="4" w:space="0" w:color="auto"/>
              <w:right w:val="single" w:sz="4" w:space="0" w:color="auto"/>
            </w:tcBorders>
            <w:vAlign w:val="bottom"/>
            <w:hideMark/>
          </w:tcPr>
          <w:p w:rsidR="006528C0" w:rsidRPr="006528C0" w:rsidP="00FB5F22" w14:paraId="4BB4DA3C" w14:textId="77777777">
            <w:pPr>
              <w:rPr>
                <w:b w:val="0"/>
                <w:bCs w:val="0"/>
                <w:sz w:val="22"/>
                <w:szCs w:val="22"/>
              </w:rPr>
            </w:pPr>
            <w:r w:rsidRPr="006528C0">
              <w:rPr>
                <w:b w:val="0"/>
                <w:bCs w:val="0"/>
                <w:sz w:val="22"/>
                <w:szCs w:val="22"/>
              </w:rPr>
              <w:t xml:space="preserve">Plan send notice to DOL after PBMs has not responded in 90 days </w:t>
            </w:r>
          </w:p>
        </w:tc>
        <w:tc>
          <w:tcPr>
            <w:tcW w:w="0" w:type="auto"/>
            <w:tcBorders>
              <w:top w:val="nil"/>
              <w:left w:val="nil"/>
              <w:bottom w:val="single" w:sz="4" w:space="0" w:color="auto"/>
              <w:right w:val="single" w:sz="4" w:space="0" w:color="auto"/>
            </w:tcBorders>
            <w:noWrap/>
            <w:vAlign w:val="bottom"/>
            <w:hideMark/>
          </w:tcPr>
          <w:p w:rsidR="006528C0" w:rsidRPr="006528C0" w:rsidP="00FB5F22" w14:paraId="74250477" w14:textId="77777777">
            <w:pPr>
              <w:jc w:val="center"/>
              <w:rPr>
                <w:b w:val="0"/>
                <w:bCs w:val="0"/>
                <w:sz w:val="22"/>
                <w:szCs w:val="22"/>
              </w:rPr>
            </w:pPr>
            <w:r w:rsidRPr="006528C0">
              <w:rPr>
                <w:b w:val="0"/>
                <w:bCs w:val="0"/>
                <w:sz w:val="22"/>
                <w:szCs w:val="22"/>
              </w:rPr>
              <w:t>10</w:t>
            </w:r>
          </w:p>
        </w:tc>
        <w:tc>
          <w:tcPr>
            <w:tcW w:w="0" w:type="auto"/>
            <w:tcBorders>
              <w:top w:val="nil"/>
              <w:left w:val="nil"/>
              <w:bottom w:val="single" w:sz="4" w:space="0" w:color="auto"/>
              <w:right w:val="single" w:sz="4" w:space="0" w:color="auto"/>
            </w:tcBorders>
            <w:noWrap/>
            <w:vAlign w:val="bottom"/>
            <w:hideMark/>
          </w:tcPr>
          <w:p w:rsidR="006528C0" w:rsidRPr="006528C0" w:rsidP="00FB5F22" w14:paraId="4B292CCF" w14:textId="77777777">
            <w:pPr>
              <w:jc w:val="center"/>
              <w:rPr>
                <w:b w:val="0"/>
                <w:bCs w:val="0"/>
                <w:sz w:val="22"/>
                <w:szCs w:val="22"/>
              </w:rPr>
            </w:pPr>
            <w:r w:rsidRPr="006528C0">
              <w:rPr>
                <w:b w:val="0"/>
                <w:bCs w:val="0"/>
                <w:sz w:val="22"/>
                <w:szCs w:val="22"/>
              </w:rPr>
              <w:t>-</w:t>
            </w:r>
          </w:p>
        </w:tc>
        <w:tc>
          <w:tcPr>
            <w:tcW w:w="0" w:type="auto"/>
            <w:tcBorders>
              <w:top w:val="nil"/>
              <w:left w:val="nil"/>
              <w:bottom w:val="single" w:sz="4" w:space="0" w:color="auto"/>
              <w:right w:val="single" w:sz="4" w:space="0" w:color="auto"/>
            </w:tcBorders>
            <w:noWrap/>
            <w:vAlign w:val="bottom"/>
            <w:hideMark/>
          </w:tcPr>
          <w:p w:rsidR="006528C0" w:rsidRPr="006528C0" w:rsidP="00FB5F22" w14:paraId="05A8EA7A" w14:textId="77777777">
            <w:pPr>
              <w:jc w:val="center"/>
              <w:rPr>
                <w:b w:val="0"/>
                <w:bCs w:val="0"/>
                <w:sz w:val="22"/>
                <w:szCs w:val="22"/>
              </w:rPr>
            </w:pPr>
            <w:r w:rsidRPr="006528C0">
              <w:rPr>
                <w:b w:val="0"/>
                <w:bCs w:val="0"/>
                <w:sz w:val="22"/>
                <w:szCs w:val="22"/>
              </w:rPr>
              <w:t>100%</w:t>
            </w:r>
          </w:p>
        </w:tc>
        <w:tc>
          <w:tcPr>
            <w:tcW w:w="1914" w:type="dxa"/>
            <w:tcBorders>
              <w:top w:val="single" w:sz="4" w:space="0" w:color="auto"/>
              <w:left w:val="nil"/>
              <w:bottom w:val="single" w:sz="4" w:space="0" w:color="auto"/>
              <w:right w:val="single" w:sz="4" w:space="0" w:color="auto"/>
            </w:tcBorders>
          </w:tcPr>
          <w:p w:rsidR="006528C0" w:rsidRPr="006528C0" w:rsidP="00FB5F22" w14:paraId="3C3805AA" w14:textId="77777777">
            <w:pPr>
              <w:rPr>
                <w:b w:val="0"/>
                <w:bCs w:val="0"/>
                <w:sz w:val="22"/>
                <w:szCs w:val="22"/>
              </w:rPr>
            </w:pPr>
          </w:p>
          <w:p w:rsidR="006528C0" w:rsidRPr="006528C0" w:rsidP="00FB5F22" w14:paraId="4C3E1F34" w14:textId="77777777">
            <w:pPr>
              <w:rPr>
                <w:b w:val="0"/>
                <w:bCs w:val="0"/>
                <w:sz w:val="22"/>
                <w:szCs w:val="22"/>
              </w:rPr>
            </w:pPr>
            <w:r w:rsidRPr="006528C0">
              <w:rPr>
                <w:b w:val="0"/>
                <w:bCs w:val="0"/>
                <w:sz w:val="22"/>
                <w:szCs w:val="22"/>
              </w:rPr>
              <w:t xml:space="preserve"> </w:t>
            </w:r>
          </w:p>
          <w:p w:rsidR="006528C0" w:rsidRPr="006528C0" w:rsidP="00FB5F22" w14:paraId="063FDC92" w14:textId="77777777">
            <w:pPr>
              <w:rPr>
                <w:b w:val="0"/>
                <w:bCs w:val="0"/>
                <w:sz w:val="22"/>
                <w:szCs w:val="22"/>
              </w:rPr>
            </w:pPr>
          </w:p>
          <w:p w:rsidR="006528C0" w:rsidRPr="006528C0" w:rsidP="00FB5F22" w14:paraId="5AFD75E0" w14:textId="77777777">
            <w:pPr>
              <w:rPr>
                <w:b w:val="0"/>
                <w:bCs w:val="0"/>
                <w:sz w:val="22"/>
                <w:szCs w:val="22"/>
              </w:rPr>
            </w:pPr>
          </w:p>
          <w:p w:rsidR="006528C0" w:rsidRPr="006528C0" w:rsidP="00FB5F22" w14:paraId="489FEBFD" w14:textId="77777777">
            <w:pPr>
              <w:rPr>
                <w:b w:val="0"/>
                <w:bCs w:val="0"/>
                <w:sz w:val="22"/>
                <w:szCs w:val="22"/>
              </w:rPr>
            </w:pPr>
            <w:r w:rsidRPr="006528C0">
              <w:rPr>
                <w:b w:val="0"/>
                <w:bCs w:val="0"/>
                <w:sz w:val="22"/>
                <w:szCs w:val="22"/>
              </w:rPr>
              <w:t xml:space="preserve">        1</w:t>
            </w:r>
          </w:p>
        </w:tc>
        <w:tc>
          <w:tcPr>
            <w:tcW w:w="3011" w:type="dxa"/>
            <w:tcBorders>
              <w:top w:val="nil"/>
              <w:left w:val="single" w:sz="4" w:space="0" w:color="auto"/>
              <w:bottom w:val="single" w:sz="4" w:space="0" w:color="auto"/>
              <w:right w:val="single" w:sz="4" w:space="0" w:color="auto"/>
            </w:tcBorders>
            <w:noWrap/>
            <w:vAlign w:val="bottom"/>
            <w:hideMark/>
          </w:tcPr>
          <w:p w:rsidR="006528C0" w:rsidRPr="006528C0" w:rsidP="00FB5F22" w14:paraId="3A2D2C0A" w14:textId="77777777">
            <w:pPr>
              <w:jc w:val="center"/>
              <w:rPr>
                <w:b w:val="0"/>
                <w:bCs w:val="0"/>
                <w:sz w:val="22"/>
                <w:szCs w:val="22"/>
              </w:rPr>
            </w:pPr>
            <w:r w:rsidRPr="006528C0">
              <w:rPr>
                <w:b w:val="0"/>
                <w:bCs w:val="0"/>
                <w:sz w:val="22"/>
                <w:szCs w:val="22"/>
              </w:rPr>
              <w:t>10</w:t>
            </w:r>
          </w:p>
        </w:tc>
      </w:tr>
      <w:tr w14:paraId="36141F26" w14:textId="77777777" w:rsidTr="00FB5F22">
        <w:tblPrEx>
          <w:tblW w:w="10662" w:type="dxa"/>
          <w:tblInd w:w="-455"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tcPr>
          <w:p w:rsidR="006528C0" w:rsidRPr="0026766E" w:rsidP="00FB5F22" w14:paraId="6D47E010" w14:textId="77777777">
            <w:pPr>
              <w:rPr>
                <w:b w:val="0"/>
                <w:bCs w:val="0"/>
                <w:i/>
                <w:iCs/>
                <w:sz w:val="22"/>
                <w:szCs w:val="22"/>
                <w:u w:val="single"/>
              </w:rPr>
            </w:pPr>
          </w:p>
        </w:tc>
        <w:tc>
          <w:tcPr>
            <w:tcW w:w="8856" w:type="dxa"/>
            <w:gridSpan w:val="5"/>
            <w:tcBorders>
              <w:top w:val="single" w:sz="4" w:space="0" w:color="auto"/>
              <w:left w:val="single" w:sz="4" w:space="0" w:color="auto"/>
              <w:bottom w:val="single" w:sz="4" w:space="0" w:color="auto"/>
              <w:right w:val="single" w:sz="4" w:space="0" w:color="auto"/>
            </w:tcBorders>
            <w:vAlign w:val="bottom"/>
            <w:hideMark/>
          </w:tcPr>
          <w:p w:rsidR="006528C0" w:rsidRPr="0026766E" w:rsidP="00FB5F22" w14:paraId="796BC291" w14:textId="77777777">
            <w:pPr>
              <w:jc w:val="center"/>
              <w:rPr>
                <w:b w:val="0"/>
                <w:bCs w:val="0"/>
                <w:i/>
                <w:iCs/>
                <w:sz w:val="22"/>
                <w:szCs w:val="22"/>
                <w:u w:val="single"/>
              </w:rPr>
            </w:pPr>
            <w:r w:rsidRPr="0026766E">
              <w:rPr>
                <w:i/>
                <w:iCs/>
                <w:sz w:val="22"/>
                <w:szCs w:val="22"/>
                <w:u w:val="single"/>
              </w:rPr>
              <w:t>Self-insured Group Health Plans send audit requests to PBM</w:t>
            </w:r>
          </w:p>
        </w:tc>
      </w:tr>
      <w:tr w14:paraId="61CB0BAF" w14:textId="77777777" w:rsidTr="00FB5F22">
        <w:tblPrEx>
          <w:tblW w:w="10662" w:type="dxa"/>
          <w:tblInd w:w="-455" w:type="dxa"/>
          <w:tblLook w:val="04A0"/>
        </w:tblPrEx>
        <w:trPr>
          <w:trHeight w:val="260"/>
        </w:trPr>
        <w:tc>
          <w:tcPr>
            <w:tcW w:w="0" w:type="auto"/>
            <w:tcBorders>
              <w:top w:val="single" w:sz="4" w:space="0" w:color="auto"/>
              <w:left w:val="single" w:sz="4" w:space="0" w:color="auto"/>
              <w:bottom w:val="single" w:sz="4" w:space="0" w:color="auto"/>
              <w:right w:val="single" w:sz="4" w:space="0" w:color="auto"/>
            </w:tcBorders>
            <w:vAlign w:val="bottom"/>
            <w:hideMark/>
          </w:tcPr>
          <w:p w:rsidR="006528C0" w:rsidRPr="006528C0" w:rsidP="00FB5F22" w14:paraId="3CFBD2FD" w14:textId="77777777">
            <w:pPr>
              <w:rPr>
                <w:b w:val="0"/>
                <w:bCs w:val="0"/>
                <w:sz w:val="22"/>
                <w:szCs w:val="22"/>
              </w:rPr>
            </w:pPr>
            <w:r w:rsidRPr="006528C0">
              <w:rPr>
                <w:b w:val="0"/>
                <w:bCs w:val="0"/>
                <w:sz w:val="22"/>
                <w:szCs w:val="22"/>
              </w:rPr>
              <w:t>Self-insured plans with 1,000 or more employees send requests for audits to PBMs</w:t>
            </w:r>
          </w:p>
        </w:tc>
        <w:tc>
          <w:tcPr>
            <w:tcW w:w="0" w:type="auto"/>
            <w:tcBorders>
              <w:top w:val="single" w:sz="4" w:space="0" w:color="auto"/>
              <w:left w:val="nil"/>
              <w:bottom w:val="single" w:sz="4" w:space="0" w:color="auto"/>
              <w:right w:val="single" w:sz="4" w:space="0" w:color="auto"/>
            </w:tcBorders>
            <w:vAlign w:val="bottom"/>
            <w:hideMark/>
          </w:tcPr>
          <w:p w:rsidR="006528C0" w:rsidRPr="006528C0" w:rsidP="00FB5F22" w14:paraId="23DA1A1D" w14:textId="77777777">
            <w:pPr>
              <w:jc w:val="center"/>
              <w:rPr>
                <w:b w:val="0"/>
                <w:bCs w:val="0"/>
                <w:sz w:val="22"/>
                <w:szCs w:val="22"/>
              </w:rPr>
            </w:pPr>
            <w:r w:rsidRPr="006528C0">
              <w:rPr>
                <w:b w:val="0"/>
                <w:bCs w:val="0"/>
                <w:sz w:val="22"/>
                <w:szCs w:val="22"/>
              </w:rPr>
              <w:t>15,362</w:t>
            </w:r>
          </w:p>
        </w:tc>
        <w:tc>
          <w:tcPr>
            <w:tcW w:w="0" w:type="auto"/>
            <w:tcBorders>
              <w:top w:val="single" w:sz="4" w:space="0" w:color="auto"/>
              <w:left w:val="nil"/>
              <w:bottom w:val="single" w:sz="4" w:space="0" w:color="auto"/>
              <w:right w:val="single" w:sz="4" w:space="0" w:color="auto"/>
            </w:tcBorders>
            <w:vAlign w:val="bottom"/>
            <w:hideMark/>
          </w:tcPr>
          <w:p w:rsidR="006528C0" w:rsidRPr="006528C0" w:rsidP="00FB5F22" w14:paraId="01289B16" w14:textId="77777777">
            <w:pPr>
              <w:jc w:val="center"/>
              <w:rPr>
                <w:b w:val="0"/>
                <w:bCs w:val="0"/>
                <w:sz w:val="22"/>
                <w:szCs w:val="22"/>
              </w:rPr>
            </w:pPr>
            <w:r w:rsidRPr="006528C0">
              <w:rPr>
                <w:b w:val="0"/>
                <w:bCs w:val="0"/>
                <w:sz w:val="22"/>
                <w:szCs w:val="22"/>
              </w:rPr>
              <w:t>33%</w:t>
            </w:r>
          </w:p>
        </w:tc>
        <w:tc>
          <w:tcPr>
            <w:tcW w:w="0" w:type="auto"/>
            <w:tcBorders>
              <w:top w:val="single" w:sz="4" w:space="0" w:color="auto"/>
              <w:left w:val="nil"/>
              <w:bottom w:val="single" w:sz="4" w:space="0" w:color="auto"/>
              <w:right w:val="single" w:sz="4" w:space="0" w:color="auto"/>
            </w:tcBorders>
            <w:noWrap/>
            <w:vAlign w:val="bottom"/>
            <w:hideMark/>
          </w:tcPr>
          <w:p w:rsidR="006528C0" w:rsidRPr="006528C0" w:rsidP="00FB5F22" w14:paraId="0DD25896" w14:textId="77777777">
            <w:pPr>
              <w:jc w:val="center"/>
              <w:rPr>
                <w:b w:val="0"/>
                <w:bCs w:val="0"/>
                <w:sz w:val="22"/>
                <w:szCs w:val="22"/>
              </w:rPr>
            </w:pPr>
            <w:r w:rsidRPr="006528C0">
              <w:rPr>
                <w:b w:val="0"/>
                <w:bCs w:val="0"/>
                <w:sz w:val="22"/>
                <w:szCs w:val="22"/>
              </w:rPr>
              <w:t>100%</w:t>
            </w:r>
          </w:p>
        </w:tc>
        <w:tc>
          <w:tcPr>
            <w:tcW w:w="1914" w:type="dxa"/>
            <w:tcBorders>
              <w:top w:val="single" w:sz="4" w:space="0" w:color="auto"/>
              <w:left w:val="nil"/>
              <w:bottom w:val="single" w:sz="4" w:space="0" w:color="auto"/>
              <w:right w:val="single" w:sz="4" w:space="0" w:color="auto"/>
            </w:tcBorders>
          </w:tcPr>
          <w:p w:rsidR="006528C0" w:rsidRPr="006528C0" w:rsidP="00FB5F22" w14:paraId="599D31CE" w14:textId="77777777">
            <w:pPr>
              <w:jc w:val="center"/>
              <w:rPr>
                <w:b w:val="0"/>
                <w:bCs w:val="0"/>
                <w:sz w:val="22"/>
                <w:szCs w:val="22"/>
              </w:rPr>
            </w:pPr>
          </w:p>
          <w:p w:rsidR="006528C0" w:rsidRPr="006528C0" w:rsidP="00FB5F22" w14:paraId="7E8CA3D5" w14:textId="77777777">
            <w:pPr>
              <w:jc w:val="center"/>
              <w:rPr>
                <w:b w:val="0"/>
                <w:bCs w:val="0"/>
                <w:sz w:val="22"/>
                <w:szCs w:val="22"/>
              </w:rPr>
            </w:pPr>
          </w:p>
          <w:p w:rsidR="006528C0" w:rsidRPr="006528C0" w:rsidP="00FB5F22" w14:paraId="74760B6D" w14:textId="77777777">
            <w:pPr>
              <w:jc w:val="center"/>
              <w:rPr>
                <w:b w:val="0"/>
                <w:bCs w:val="0"/>
                <w:sz w:val="22"/>
                <w:szCs w:val="22"/>
              </w:rPr>
            </w:pPr>
          </w:p>
          <w:p w:rsidR="006528C0" w:rsidRPr="006528C0" w:rsidP="00FB5F22" w14:paraId="6FA147E9" w14:textId="77777777">
            <w:pPr>
              <w:jc w:val="center"/>
              <w:rPr>
                <w:b w:val="0"/>
                <w:bCs w:val="0"/>
                <w:sz w:val="22"/>
                <w:szCs w:val="22"/>
              </w:rPr>
            </w:pPr>
          </w:p>
          <w:p w:rsidR="006528C0" w:rsidRPr="006528C0" w:rsidP="00FB5F22" w14:paraId="1950A477" w14:textId="77777777">
            <w:pPr>
              <w:jc w:val="center"/>
              <w:rPr>
                <w:b w:val="0"/>
                <w:bCs w:val="0"/>
                <w:sz w:val="22"/>
                <w:szCs w:val="22"/>
              </w:rPr>
            </w:pPr>
          </w:p>
          <w:p w:rsidR="006528C0" w:rsidRPr="006528C0" w:rsidP="00FB5F22" w14:paraId="45C23595" w14:textId="77777777">
            <w:pPr>
              <w:rPr>
                <w:b w:val="0"/>
                <w:bCs w:val="0"/>
                <w:sz w:val="22"/>
                <w:szCs w:val="22"/>
              </w:rPr>
            </w:pPr>
            <w:r w:rsidRPr="006528C0">
              <w:rPr>
                <w:b w:val="0"/>
                <w:bCs w:val="0"/>
                <w:sz w:val="22"/>
                <w:szCs w:val="22"/>
              </w:rPr>
              <w:t xml:space="preserve">        1</w:t>
            </w:r>
          </w:p>
        </w:tc>
        <w:tc>
          <w:tcPr>
            <w:tcW w:w="3011" w:type="dxa"/>
            <w:tcBorders>
              <w:top w:val="single" w:sz="4" w:space="0" w:color="auto"/>
              <w:left w:val="single" w:sz="4" w:space="0" w:color="auto"/>
              <w:bottom w:val="single" w:sz="4" w:space="0" w:color="auto"/>
              <w:right w:val="single" w:sz="4" w:space="0" w:color="auto"/>
            </w:tcBorders>
            <w:noWrap/>
            <w:vAlign w:val="bottom"/>
            <w:hideMark/>
          </w:tcPr>
          <w:p w:rsidR="006528C0" w:rsidRPr="006528C0" w:rsidP="00FB5F22" w14:paraId="468E727D" w14:textId="77777777">
            <w:pPr>
              <w:jc w:val="center"/>
              <w:rPr>
                <w:b w:val="0"/>
                <w:bCs w:val="0"/>
                <w:sz w:val="22"/>
                <w:szCs w:val="22"/>
              </w:rPr>
            </w:pPr>
            <w:r w:rsidRPr="006528C0">
              <w:rPr>
                <w:b w:val="0"/>
                <w:bCs w:val="0"/>
                <w:sz w:val="22"/>
                <w:szCs w:val="22"/>
              </w:rPr>
              <w:t>5,121</w:t>
            </w:r>
          </w:p>
        </w:tc>
      </w:tr>
      <w:tr w14:paraId="0A26CA0E" w14:textId="77777777" w:rsidTr="00FB5F22">
        <w:tblPrEx>
          <w:tblW w:w="10662" w:type="dxa"/>
          <w:tblInd w:w="-455" w:type="dxa"/>
          <w:tblLook w:val="04A0"/>
        </w:tblPrEx>
        <w:trPr>
          <w:trHeight w:val="440"/>
        </w:trPr>
        <w:tc>
          <w:tcPr>
            <w:tcW w:w="0" w:type="auto"/>
            <w:tcBorders>
              <w:top w:val="single" w:sz="4" w:space="0" w:color="auto"/>
              <w:left w:val="single" w:sz="4" w:space="0" w:color="auto"/>
              <w:bottom w:val="single" w:sz="4" w:space="0" w:color="auto"/>
              <w:right w:val="single" w:sz="4" w:space="0" w:color="auto"/>
            </w:tcBorders>
            <w:vAlign w:val="bottom"/>
            <w:hideMark/>
          </w:tcPr>
          <w:p w:rsidR="006528C0" w:rsidRPr="006528C0" w:rsidP="00FB5F22" w14:paraId="458C3674" w14:textId="77777777">
            <w:pPr>
              <w:rPr>
                <w:b w:val="0"/>
                <w:bCs w:val="0"/>
                <w:sz w:val="22"/>
                <w:szCs w:val="22"/>
              </w:rPr>
            </w:pPr>
            <w:r w:rsidRPr="006528C0">
              <w:rPr>
                <w:b w:val="0"/>
                <w:bCs w:val="0"/>
                <w:sz w:val="22"/>
                <w:szCs w:val="22"/>
              </w:rPr>
              <w:t>Issuers, on behalf of client level-funded plans and self-insured plans with less than 1,000 employees, send audit requests to PBMs</w:t>
            </w:r>
          </w:p>
        </w:tc>
        <w:tc>
          <w:tcPr>
            <w:tcW w:w="0" w:type="auto"/>
            <w:tcBorders>
              <w:top w:val="single" w:sz="4" w:space="0" w:color="auto"/>
              <w:left w:val="nil"/>
              <w:bottom w:val="double" w:sz="4" w:space="0" w:color="auto"/>
              <w:right w:val="single" w:sz="4" w:space="0" w:color="auto"/>
            </w:tcBorders>
            <w:vAlign w:val="bottom"/>
            <w:hideMark/>
          </w:tcPr>
          <w:p w:rsidR="006528C0" w:rsidRPr="006528C0" w:rsidP="00FB5F22" w14:paraId="2F11DFFA" w14:textId="77777777">
            <w:pPr>
              <w:jc w:val="center"/>
              <w:rPr>
                <w:b w:val="0"/>
                <w:bCs w:val="0"/>
                <w:sz w:val="22"/>
                <w:szCs w:val="22"/>
              </w:rPr>
            </w:pPr>
            <w:r w:rsidRPr="006528C0">
              <w:rPr>
                <w:b w:val="0"/>
                <w:bCs w:val="0"/>
                <w:sz w:val="22"/>
                <w:szCs w:val="22"/>
              </w:rPr>
              <w:t>809</w:t>
            </w:r>
          </w:p>
        </w:tc>
        <w:tc>
          <w:tcPr>
            <w:tcW w:w="0" w:type="auto"/>
            <w:tcBorders>
              <w:top w:val="single" w:sz="4" w:space="0" w:color="auto"/>
              <w:left w:val="nil"/>
              <w:bottom w:val="double" w:sz="4" w:space="0" w:color="auto"/>
              <w:right w:val="single" w:sz="4" w:space="0" w:color="auto"/>
            </w:tcBorders>
            <w:vAlign w:val="bottom"/>
            <w:hideMark/>
          </w:tcPr>
          <w:p w:rsidR="006528C0" w:rsidRPr="006528C0" w:rsidP="00FB5F22" w14:paraId="5BCA3982" w14:textId="77777777">
            <w:pPr>
              <w:jc w:val="center"/>
              <w:rPr>
                <w:b w:val="0"/>
                <w:bCs w:val="0"/>
                <w:sz w:val="22"/>
                <w:szCs w:val="22"/>
              </w:rPr>
            </w:pPr>
            <w:r w:rsidRPr="006528C0">
              <w:rPr>
                <w:b w:val="0"/>
                <w:bCs w:val="0"/>
                <w:sz w:val="22"/>
                <w:szCs w:val="22"/>
              </w:rPr>
              <w:t>100%</w:t>
            </w:r>
          </w:p>
        </w:tc>
        <w:tc>
          <w:tcPr>
            <w:tcW w:w="0" w:type="auto"/>
            <w:tcBorders>
              <w:top w:val="single" w:sz="4" w:space="0" w:color="auto"/>
              <w:left w:val="nil"/>
              <w:bottom w:val="double" w:sz="4" w:space="0" w:color="auto"/>
              <w:right w:val="single" w:sz="4" w:space="0" w:color="auto"/>
            </w:tcBorders>
            <w:noWrap/>
            <w:vAlign w:val="bottom"/>
            <w:hideMark/>
          </w:tcPr>
          <w:p w:rsidR="006528C0" w:rsidRPr="006528C0" w:rsidP="00FB5F22" w14:paraId="780D1933" w14:textId="77777777">
            <w:pPr>
              <w:jc w:val="center"/>
              <w:rPr>
                <w:b w:val="0"/>
                <w:bCs w:val="0"/>
                <w:sz w:val="22"/>
                <w:szCs w:val="22"/>
              </w:rPr>
            </w:pPr>
            <w:r w:rsidRPr="006528C0">
              <w:rPr>
                <w:b w:val="0"/>
                <w:bCs w:val="0"/>
                <w:sz w:val="22"/>
                <w:szCs w:val="22"/>
              </w:rPr>
              <w:t>100%</w:t>
            </w:r>
          </w:p>
        </w:tc>
        <w:tc>
          <w:tcPr>
            <w:tcW w:w="1914" w:type="dxa"/>
            <w:tcBorders>
              <w:top w:val="single" w:sz="4" w:space="0" w:color="auto"/>
              <w:left w:val="nil"/>
              <w:bottom w:val="double" w:sz="4" w:space="0" w:color="auto"/>
              <w:right w:val="single" w:sz="4" w:space="0" w:color="auto"/>
            </w:tcBorders>
          </w:tcPr>
          <w:p w:rsidR="006528C0" w:rsidRPr="006528C0" w:rsidP="00FB5F22" w14:paraId="298CA5BA" w14:textId="77777777">
            <w:pPr>
              <w:jc w:val="center"/>
              <w:rPr>
                <w:b w:val="0"/>
                <w:bCs w:val="0"/>
                <w:sz w:val="22"/>
                <w:szCs w:val="22"/>
              </w:rPr>
            </w:pPr>
          </w:p>
          <w:p w:rsidR="006528C0" w:rsidRPr="006528C0" w:rsidP="00FB5F22" w14:paraId="13BE8F23" w14:textId="77777777">
            <w:pPr>
              <w:jc w:val="center"/>
              <w:rPr>
                <w:b w:val="0"/>
                <w:bCs w:val="0"/>
                <w:sz w:val="22"/>
                <w:szCs w:val="22"/>
              </w:rPr>
            </w:pPr>
          </w:p>
          <w:p w:rsidR="006528C0" w:rsidRPr="006528C0" w:rsidP="00FB5F22" w14:paraId="1085FEE5" w14:textId="77777777">
            <w:pPr>
              <w:jc w:val="center"/>
              <w:rPr>
                <w:b w:val="0"/>
                <w:bCs w:val="0"/>
                <w:sz w:val="22"/>
                <w:szCs w:val="22"/>
              </w:rPr>
            </w:pPr>
          </w:p>
          <w:p w:rsidR="006528C0" w:rsidRPr="006528C0" w:rsidP="00FB5F22" w14:paraId="7F904E1C" w14:textId="77777777">
            <w:pPr>
              <w:jc w:val="center"/>
              <w:rPr>
                <w:b w:val="0"/>
                <w:bCs w:val="0"/>
                <w:sz w:val="22"/>
                <w:szCs w:val="22"/>
              </w:rPr>
            </w:pPr>
          </w:p>
          <w:p w:rsidR="006528C0" w:rsidRPr="006528C0" w:rsidP="00FB5F22" w14:paraId="5E118DD8" w14:textId="77777777">
            <w:pPr>
              <w:jc w:val="center"/>
              <w:rPr>
                <w:b w:val="0"/>
                <w:bCs w:val="0"/>
                <w:sz w:val="22"/>
                <w:szCs w:val="22"/>
              </w:rPr>
            </w:pPr>
          </w:p>
          <w:p w:rsidR="006528C0" w:rsidRPr="006528C0" w:rsidP="00FB5F22" w14:paraId="627B731B" w14:textId="77777777">
            <w:pPr>
              <w:jc w:val="center"/>
              <w:rPr>
                <w:b w:val="0"/>
                <w:bCs w:val="0"/>
                <w:sz w:val="22"/>
                <w:szCs w:val="22"/>
              </w:rPr>
            </w:pPr>
          </w:p>
          <w:p w:rsidR="006528C0" w:rsidRPr="006528C0" w:rsidP="00FB5F22" w14:paraId="34FBB245" w14:textId="77777777">
            <w:pPr>
              <w:jc w:val="center"/>
              <w:rPr>
                <w:b w:val="0"/>
                <w:bCs w:val="0"/>
                <w:sz w:val="22"/>
                <w:szCs w:val="22"/>
              </w:rPr>
            </w:pPr>
          </w:p>
          <w:p w:rsidR="006528C0" w:rsidRPr="006528C0" w:rsidP="00FB5F22" w14:paraId="36F2C447" w14:textId="77777777">
            <w:pPr>
              <w:rPr>
                <w:b w:val="0"/>
                <w:bCs w:val="0"/>
                <w:sz w:val="22"/>
                <w:szCs w:val="22"/>
              </w:rPr>
            </w:pPr>
            <w:r w:rsidRPr="006528C0">
              <w:rPr>
                <w:b w:val="0"/>
                <w:bCs w:val="0"/>
                <w:sz w:val="22"/>
                <w:szCs w:val="22"/>
              </w:rPr>
              <w:t xml:space="preserve">         1</w:t>
            </w:r>
          </w:p>
        </w:tc>
        <w:tc>
          <w:tcPr>
            <w:tcW w:w="3011" w:type="dxa"/>
            <w:tcBorders>
              <w:top w:val="single" w:sz="4" w:space="0" w:color="auto"/>
              <w:left w:val="single" w:sz="4" w:space="0" w:color="auto"/>
              <w:bottom w:val="double" w:sz="4" w:space="0" w:color="auto"/>
              <w:right w:val="single" w:sz="4" w:space="0" w:color="auto"/>
            </w:tcBorders>
            <w:noWrap/>
            <w:vAlign w:val="bottom"/>
            <w:hideMark/>
          </w:tcPr>
          <w:p w:rsidR="006528C0" w:rsidRPr="006528C0" w:rsidP="00FB5F22" w14:paraId="1A60AF03" w14:textId="77777777">
            <w:pPr>
              <w:jc w:val="center"/>
              <w:rPr>
                <w:b w:val="0"/>
                <w:bCs w:val="0"/>
                <w:sz w:val="22"/>
                <w:szCs w:val="22"/>
              </w:rPr>
            </w:pPr>
            <w:r w:rsidRPr="006528C0">
              <w:rPr>
                <w:b w:val="0"/>
                <w:bCs w:val="0"/>
                <w:sz w:val="22"/>
                <w:szCs w:val="22"/>
              </w:rPr>
              <w:t>809</w:t>
            </w:r>
          </w:p>
        </w:tc>
      </w:tr>
      <w:tr w14:paraId="2559C063" w14:textId="77777777" w:rsidTr="00FB5F22">
        <w:tblPrEx>
          <w:tblW w:w="10662" w:type="dxa"/>
          <w:tblInd w:w="-455" w:type="dxa"/>
          <w:tblLook w:val="04A0"/>
        </w:tblPrEx>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rsidR="006528C0" w:rsidRPr="0026766E" w:rsidP="00FB5F22" w14:paraId="0D2224E6" w14:textId="77777777">
            <w:pPr>
              <w:jc w:val="both"/>
              <w:rPr>
                <w:b w:val="0"/>
                <w:bCs w:val="0"/>
                <w:sz w:val="22"/>
                <w:szCs w:val="22"/>
              </w:rPr>
            </w:pPr>
            <w:r w:rsidRPr="0026766E">
              <w:rPr>
                <w:sz w:val="22"/>
                <w:szCs w:val="22"/>
              </w:rPr>
              <w:t>Total</w:t>
            </w:r>
          </w:p>
        </w:tc>
        <w:tc>
          <w:tcPr>
            <w:tcW w:w="0" w:type="auto"/>
            <w:tcBorders>
              <w:top w:val="double" w:sz="4" w:space="0" w:color="auto"/>
              <w:left w:val="nil"/>
              <w:bottom w:val="single" w:sz="4" w:space="0" w:color="auto"/>
              <w:right w:val="single" w:sz="4" w:space="0" w:color="auto"/>
            </w:tcBorders>
            <w:noWrap/>
            <w:vAlign w:val="bottom"/>
            <w:hideMark/>
          </w:tcPr>
          <w:p w:rsidR="006528C0" w:rsidRPr="0026766E" w:rsidP="00FB5F22" w14:paraId="71EE4CAA" w14:textId="77777777">
            <w:pPr>
              <w:jc w:val="center"/>
              <w:rPr>
                <w:b w:val="0"/>
                <w:bCs w:val="0"/>
                <w:sz w:val="22"/>
                <w:szCs w:val="22"/>
              </w:rPr>
            </w:pPr>
            <w:r w:rsidRPr="0026766E">
              <w:rPr>
                <w:sz w:val="22"/>
                <w:szCs w:val="22"/>
              </w:rPr>
              <w:t>1,151,392</w:t>
            </w:r>
          </w:p>
        </w:tc>
        <w:tc>
          <w:tcPr>
            <w:tcW w:w="0" w:type="auto"/>
            <w:tcBorders>
              <w:top w:val="double" w:sz="4" w:space="0" w:color="auto"/>
              <w:left w:val="nil"/>
              <w:bottom w:val="single" w:sz="4" w:space="0" w:color="auto"/>
              <w:right w:val="single" w:sz="4" w:space="0" w:color="auto"/>
            </w:tcBorders>
            <w:noWrap/>
            <w:vAlign w:val="bottom"/>
            <w:hideMark/>
          </w:tcPr>
          <w:p w:rsidR="006528C0" w:rsidRPr="0026766E" w:rsidP="00FB5F22" w14:paraId="5E00100A" w14:textId="77777777">
            <w:pPr>
              <w:jc w:val="center"/>
              <w:rPr>
                <w:b w:val="0"/>
                <w:bCs w:val="0"/>
                <w:sz w:val="22"/>
                <w:szCs w:val="22"/>
              </w:rPr>
            </w:pPr>
            <w:r w:rsidRPr="0026766E">
              <w:rPr>
                <w:sz w:val="22"/>
                <w:szCs w:val="22"/>
              </w:rPr>
              <w:t>-</w:t>
            </w:r>
          </w:p>
        </w:tc>
        <w:tc>
          <w:tcPr>
            <w:tcW w:w="0" w:type="auto"/>
            <w:tcBorders>
              <w:top w:val="double" w:sz="4" w:space="0" w:color="auto"/>
              <w:left w:val="nil"/>
              <w:bottom w:val="single" w:sz="4" w:space="0" w:color="auto"/>
              <w:right w:val="single" w:sz="4" w:space="0" w:color="auto"/>
            </w:tcBorders>
            <w:noWrap/>
            <w:vAlign w:val="bottom"/>
            <w:hideMark/>
          </w:tcPr>
          <w:p w:rsidR="006528C0" w:rsidRPr="0026766E" w:rsidP="00FB5F22" w14:paraId="43743A42" w14:textId="77777777">
            <w:pPr>
              <w:jc w:val="center"/>
              <w:rPr>
                <w:b w:val="0"/>
                <w:bCs w:val="0"/>
                <w:sz w:val="22"/>
                <w:szCs w:val="22"/>
              </w:rPr>
            </w:pPr>
            <w:r w:rsidRPr="0026766E">
              <w:rPr>
                <w:sz w:val="22"/>
                <w:szCs w:val="22"/>
              </w:rPr>
              <w:t>-</w:t>
            </w:r>
          </w:p>
        </w:tc>
        <w:tc>
          <w:tcPr>
            <w:tcW w:w="1914" w:type="dxa"/>
            <w:tcBorders>
              <w:top w:val="double" w:sz="4" w:space="0" w:color="auto"/>
              <w:left w:val="nil"/>
              <w:bottom w:val="single" w:sz="4" w:space="0" w:color="auto"/>
              <w:right w:val="single" w:sz="4" w:space="0" w:color="auto"/>
            </w:tcBorders>
          </w:tcPr>
          <w:p w:rsidR="006528C0" w:rsidRPr="0026766E" w:rsidP="00FB5F22" w14:paraId="5CEBBBA9" w14:textId="77777777">
            <w:pPr>
              <w:jc w:val="center"/>
              <w:rPr>
                <w:b w:val="0"/>
                <w:bCs w:val="0"/>
                <w:sz w:val="22"/>
                <w:szCs w:val="22"/>
              </w:rPr>
            </w:pPr>
          </w:p>
        </w:tc>
        <w:tc>
          <w:tcPr>
            <w:tcW w:w="3011" w:type="dxa"/>
            <w:tcBorders>
              <w:top w:val="double" w:sz="4" w:space="0" w:color="auto"/>
              <w:left w:val="single" w:sz="4" w:space="0" w:color="auto"/>
              <w:bottom w:val="single" w:sz="4" w:space="0" w:color="auto"/>
              <w:right w:val="single" w:sz="4" w:space="0" w:color="auto"/>
            </w:tcBorders>
            <w:noWrap/>
            <w:vAlign w:val="bottom"/>
            <w:hideMark/>
          </w:tcPr>
          <w:p w:rsidR="006528C0" w:rsidRPr="0026766E" w:rsidP="00FB5F22" w14:paraId="5A8B1963" w14:textId="77777777">
            <w:pPr>
              <w:jc w:val="center"/>
              <w:rPr>
                <w:b w:val="0"/>
                <w:bCs w:val="0"/>
                <w:sz w:val="22"/>
                <w:szCs w:val="22"/>
              </w:rPr>
            </w:pPr>
            <w:r w:rsidRPr="0026766E">
              <w:rPr>
                <w:sz w:val="22"/>
                <w:szCs w:val="22"/>
              </w:rPr>
              <w:t>2,730,139</w:t>
            </w:r>
          </w:p>
        </w:tc>
      </w:tr>
    </w:tbl>
    <w:p w:rsidR="006E1899" w:rsidP="001D7974" w14:paraId="53665196" w14:textId="77777777">
      <w:pPr>
        <w:widowControl/>
        <w:tabs>
          <w:tab w:val="left" w:pos="-1440"/>
        </w:tabs>
        <w:rPr>
          <w:iCs/>
          <w:sz w:val="24"/>
          <w:szCs w:val="24"/>
        </w:rPr>
      </w:pPr>
    </w:p>
    <w:p w:rsidR="006E1899" w:rsidRPr="00CA0B11" w:rsidP="00CA0B11" w14:paraId="1E2E6FD5" w14:textId="746C08F1">
      <w:pPr>
        <w:pStyle w:val="ListParagraph"/>
        <w:widowControl/>
        <w:numPr>
          <w:ilvl w:val="0"/>
          <w:numId w:val="45"/>
        </w:numPr>
        <w:tabs>
          <w:tab w:val="left" w:pos="-1440"/>
        </w:tabs>
        <w:rPr>
          <w:sz w:val="24"/>
          <w:szCs w:val="24"/>
          <w:u w:val="single"/>
        </w:rPr>
      </w:pPr>
      <w:r w:rsidRPr="00CA0B11">
        <w:rPr>
          <w:sz w:val="24"/>
          <w:szCs w:val="24"/>
          <w:u w:val="single"/>
        </w:rPr>
        <w:t>Disclosure</w:t>
      </w:r>
      <w:r w:rsidRPr="00CA0B11" w:rsidR="00CA0B11">
        <w:rPr>
          <w:sz w:val="24"/>
          <w:szCs w:val="24"/>
          <w:u w:val="single"/>
        </w:rPr>
        <w:t xml:space="preserve"> Costs</w:t>
      </w:r>
    </w:p>
    <w:p w:rsidR="001F3B31" w:rsidP="006E1899" w14:paraId="1CDB6C26" w14:textId="77777777">
      <w:pPr>
        <w:widowControl/>
        <w:tabs>
          <w:tab w:val="left" w:pos="-1440"/>
        </w:tabs>
        <w:ind w:left="720"/>
        <w:rPr>
          <w:b w:val="0"/>
          <w:bCs w:val="0"/>
          <w:i/>
          <w:iCs/>
          <w:sz w:val="24"/>
          <w:szCs w:val="24"/>
        </w:rPr>
      </w:pPr>
    </w:p>
    <w:p w:rsidR="006E1899" w:rsidRPr="0057004B" w:rsidP="006E1899" w14:paraId="7684F73F" w14:textId="24E268CE">
      <w:pPr>
        <w:widowControl/>
        <w:tabs>
          <w:tab w:val="left" w:pos="-1440"/>
        </w:tabs>
        <w:ind w:left="720"/>
        <w:rPr>
          <w:b w:val="0"/>
          <w:bCs w:val="0"/>
          <w:i/>
          <w:iCs/>
          <w:sz w:val="24"/>
          <w:szCs w:val="24"/>
          <w:u w:val="single"/>
        </w:rPr>
      </w:pPr>
      <w:r w:rsidRPr="0057004B">
        <w:rPr>
          <w:b w:val="0"/>
          <w:bCs w:val="0"/>
          <w:i/>
          <w:iCs/>
          <w:sz w:val="24"/>
          <w:szCs w:val="24"/>
          <w:u w:val="single"/>
        </w:rPr>
        <w:t>Initial Disclosures</w:t>
      </w:r>
    </w:p>
    <w:p w:rsidR="006E1899" w:rsidP="006E1899" w14:paraId="27633EE4" w14:textId="77777777">
      <w:pPr>
        <w:widowControl/>
        <w:tabs>
          <w:tab w:val="left" w:pos="-1440"/>
        </w:tabs>
        <w:ind w:left="720"/>
        <w:rPr>
          <w:b w:val="0"/>
          <w:bCs w:val="0"/>
          <w:iCs/>
          <w:sz w:val="24"/>
          <w:szCs w:val="24"/>
        </w:rPr>
      </w:pPr>
    </w:p>
    <w:p w:rsidR="001921FA" w:rsidP="001921FA" w14:paraId="31D43517" w14:textId="77777777">
      <w:pPr>
        <w:widowControl/>
        <w:tabs>
          <w:tab w:val="left" w:pos="-1440"/>
        </w:tabs>
        <w:ind w:left="720"/>
        <w:rPr>
          <w:iCs/>
          <w:sz w:val="24"/>
          <w:szCs w:val="24"/>
        </w:rPr>
      </w:pPr>
      <w:r w:rsidRPr="001921FA">
        <w:rPr>
          <w:b w:val="0"/>
          <w:bCs w:val="0"/>
          <w:iCs/>
          <w:sz w:val="24"/>
          <w:szCs w:val="24"/>
        </w:rPr>
        <w:t xml:space="preserve">The Department acknowledges that the proposed rule will impose costs associated with producing initial disclosures before a service contract or arrangement is </w:t>
      </w:r>
      <w:r w:rsidRPr="001921FA">
        <w:rPr>
          <w:b w:val="0"/>
          <w:bCs w:val="0"/>
          <w:iCs/>
          <w:sz w:val="24"/>
          <w:szCs w:val="24"/>
        </w:rPr>
        <w:t>entered into</w:t>
      </w:r>
      <w:r w:rsidRPr="001921FA">
        <w:rPr>
          <w:b w:val="0"/>
          <w:bCs w:val="0"/>
          <w:iCs/>
          <w:sz w:val="24"/>
          <w:szCs w:val="24"/>
        </w:rPr>
        <w:t xml:space="preserve">, </w:t>
      </w:r>
      <w:r w:rsidRPr="001921FA">
        <w:rPr>
          <w:b w:val="0"/>
          <w:bCs w:val="0"/>
          <w:iCs/>
          <w:sz w:val="24"/>
          <w:szCs w:val="24"/>
        </w:rPr>
        <w:t>extended</w:t>
      </w:r>
      <w:r w:rsidRPr="001921FA">
        <w:rPr>
          <w:b w:val="0"/>
          <w:bCs w:val="0"/>
          <w:iCs/>
          <w:sz w:val="24"/>
          <w:szCs w:val="24"/>
        </w:rPr>
        <w:t xml:space="preserve"> or renewed. While the Department expects that much of this information will have already been provided to the self-insured group health plan under the solicitation process and in response to a Request for Proposal, it acknowledges that the rule requires additional elements to be included or expanded upon in the required disclosures. Moreover, while it is expected that PBMs have the necessary underlying information readily available, PBMs will need to prepare plan-specific disclosures such as detailed descriptions of projected compensation, payments, formulary placement incentives, and drug pricing.</w:t>
      </w:r>
      <w:r w:rsidRPr="001921FA">
        <w:rPr>
          <w:iCs/>
          <w:sz w:val="24"/>
          <w:szCs w:val="24"/>
        </w:rPr>
        <w:t xml:space="preserve"> </w:t>
      </w:r>
    </w:p>
    <w:p w:rsidR="001921FA" w:rsidRPr="001921FA" w:rsidP="001921FA" w14:paraId="4E8FD900" w14:textId="77777777">
      <w:pPr>
        <w:widowControl/>
        <w:tabs>
          <w:tab w:val="left" w:pos="-1440"/>
        </w:tabs>
        <w:ind w:left="720"/>
        <w:rPr>
          <w:iCs/>
          <w:sz w:val="24"/>
          <w:szCs w:val="24"/>
        </w:rPr>
      </w:pPr>
    </w:p>
    <w:p w:rsidR="001921FA" w:rsidP="001921FA" w14:paraId="350577D7" w14:textId="126F8BFF">
      <w:pPr>
        <w:widowControl/>
        <w:tabs>
          <w:tab w:val="left" w:pos="-1440"/>
        </w:tabs>
        <w:ind w:left="720"/>
        <w:rPr>
          <w:b w:val="0"/>
          <w:bCs w:val="0"/>
          <w:iCs/>
          <w:sz w:val="24"/>
          <w:szCs w:val="24"/>
        </w:rPr>
      </w:pPr>
      <w:r w:rsidRPr="001921FA">
        <w:rPr>
          <w:b w:val="0"/>
          <w:bCs w:val="0"/>
          <w:iCs/>
          <w:sz w:val="24"/>
          <w:szCs w:val="24"/>
        </w:rPr>
        <w:t>The Department assumes that disclosures for large, self-</w:t>
      </w:r>
      <w:r w:rsidRPr="001921FA">
        <w:rPr>
          <w:b w:val="0"/>
          <w:bCs w:val="0"/>
          <w:iCs/>
          <w:sz w:val="24"/>
          <w:szCs w:val="24"/>
        </w:rPr>
        <w:t>insured group</w:t>
      </w:r>
      <w:r w:rsidRPr="001921FA">
        <w:rPr>
          <w:b w:val="0"/>
          <w:bCs w:val="0"/>
          <w:iCs/>
          <w:sz w:val="24"/>
          <w:szCs w:val="24"/>
        </w:rPr>
        <w:t xml:space="preserve"> health plans with 1,000 or more employees will generally require more time as these disclosures will need to be customized. In contrast, the Department assumes that disclosures for small plans, including level-funded group health plans and self-insured group health plans with less than 1,000 employees, will require less time as PBMs managing hundreds of small, self-insured group health plans often rely on standardized templates and batch processing. Therefore, for those small, self-insured group health plans whose contracts are initiated, extended, or renewed </w:t>
      </w:r>
      <w:r w:rsidRPr="001921FA">
        <w:rPr>
          <w:b w:val="0"/>
          <w:bCs w:val="0"/>
          <w:iCs/>
          <w:sz w:val="24"/>
          <w:szCs w:val="24"/>
        </w:rPr>
        <w:t>in a given year</w:t>
      </w:r>
      <w:r w:rsidRPr="001921FA">
        <w:rPr>
          <w:b w:val="0"/>
          <w:bCs w:val="0"/>
          <w:iCs/>
          <w:sz w:val="24"/>
          <w:szCs w:val="24"/>
        </w:rPr>
        <w:t>, the Department estimates it will take 15 minutes for a legal professional and a benefit specialist, at a composite wage rate of $155.10,</w:t>
      </w:r>
      <w:r>
        <w:rPr>
          <w:b w:val="0"/>
          <w:bCs w:val="0"/>
          <w:iCs/>
          <w:sz w:val="24"/>
          <w:szCs w:val="24"/>
          <w:vertAlign w:val="superscript"/>
        </w:rPr>
        <w:footnoteReference w:id="29"/>
      </w:r>
      <w:r w:rsidRPr="001921FA">
        <w:rPr>
          <w:b w:val="0"/>
          <w:bCs w:val="0"/>
          <w:iCs/>
          <w:sz w:val="24"/>
          <w:szCs w:val="24"/>
        </w:rPr>
        <w:t xml:space="preserve"> to prepare and send the disclosures. For large, self-insured group health plans, the Department estimates that it will take 30 minutes, due to the greater customization and review required. Please see Table 3 for calculations and burden.</w:t>
      </w:r>
    </w:p>
    <w:p w:rsidR="001921FA" w:rsidRPr="001921FA" w:rsidP="001921FA" w14:paraId="20FD76BA" w14:textId="77777777">
      <w:pPr>
        <w:widowControl/>
        <w:tabs>
          <w:tab w:val="left" w:pos="-1440"/>
        </w:tabs>
        <w:ind w:left="720"/>
        <w:rPr>
          <w:b w:val="0"/>
          <w:bCs w:val="0"/>
          <w:iCs/>
          <w:sz w:val="24"/>
          <w:szCs w:val="24"/>
        </w:rPr>
      </w:pPr>
    </w:p>
    <w:p w:rsidR="00731A50" w:rsidP="001921FA" w14:paraId="11999ACC" w14:textId="5C5A710E">
      <w:pPr>
        <w:widowControl/>
        <w:tabs>
          <w:tab w:val="left" w:pos="-1440"/>
        </w:tabs>
        <w:ind w:left="720"/>
        <w:rPr>
          <w:b w:val="0"/>
          <w:bCs w:val="0"/>
          <w:iCs/>
          <w:sz w:val="24"/>
          <w:szCs w:val="24"/>
        </w:rPr>
      </w:pPr>
      <w:r w:rsidRPr="001921FA">
        <w:rPr>
          <w:b w:val="0"/>
          <w:bCs w:val="0"/>
          <w:iCs/>
          <w:sz w:val="24"/>
          <w:szCs w:val="24"/>
        </w:rPr>
        <w:t>Finally, paragraph (e)(9) of the proposal requires that the initial disclosure must provide that the responsible plan fiduciary will be notified in advance of any modifications to the formulary that, individually or in the aggregate, are reasonably expected to have a material impact on the reasonableness of compensation under the contract or arrangement. The Department considers that this is a regular business activity and PBMs are providing this information prior to the proposed regulation.</w:t>
      </w:r>
      <w:r w:rsidR="00F86618">
        <w:rPr>
          <w:b w:val="0"/>
          <w:bCs w:val="0"/>
          <w:iCs/>
          <w:sz w:val="24"/>
          <w:szCs w:val="24"/>
        </w:rPr>
        <w:t xml:space="preserve"> </w:t>
      </w:r>
    </w:p>
    <w:p w:rsidR="00731A50" w:rsidRPr="00731A50" w:rsidP="00731A50" w14:paraId="564ABF33" w14:textId="77777777">
      <w:pPr>
        <w:widowControl/>
        <w:tabs>
          <w:tab w:val="left" w:pos="-1440"/>
        </w:tabs>
        <w:ind w:left="720"/>
        <w:rPr>
          <w:b w:val="0"/>
          <w:bCs w:val="0"/>
          <w:iCs/>
          <w:sz w:val="24"/>
          <w:szCs w:val="24"/>
        </w:rPr>
      </w:pPr>
    </w:p>
    <w:p w:rsidR="006E1899" w:rsidRPr="0057004B" w:rsidP="006E1899" w14:paraId="472FC1A6" w14:textId="3FE1B92F">
      <w:pPr>
        <w:widowControl/>
        <w:tabs>
          <w:tab w:val="left" w:pos="-1440"/>
        </w:tabs>
        <w:ind w:left="720"/>
        <w:rPr>
          <w:b w:val="0"/>
          <w:bCs w:val="0"/>
          <w:i/>
          <w:iCs/>
          <w:sz w:val="24"/>
          <w:szCs w:val="24"/>
          <w:u w:val="single"/>
        </w:rPr>
      </w:pPr>
      <w:r w:rsidRPr="00004420">
        <w:rPr>
          <w:b w:val="0"/>
          <w:bCs w:val="0"/>
          <w:i/>
          <w:iCs/>
          <w:sz w:val="24"/>
          <w:szCs w:val="24"/>
          <w:u w:val="single"/>
        </w:rPr>
        <w:t>Semiannual Disclosures from PBMs</w:t>
      </w:r>
    </w:p>
    <w:p w:rsidR="006E1899" w:rsidRPr="00BD40E9" w:rsidP="006E1899" w14:paraId="51400200" w14:textId="77777777">
      <w:pPr>
        <w:widowControl/>
        <w:tabs>
          <w:tab w:val="left" w:pos="-1440"/>
        </w:tabs>
        <w:ind w:left="720"/>
        <w:rPr>
          <w:b w:val="0"/>
          <w:bCs w:val="0"/>
          <w:iCs/>
          <w:sz w:val="24"/>
          <w:szCs w:val="24"/>
        </w:rPr>
      </w:pPr>
    </w:p>
    <w:p w:rsidR="004A71E1" w:rsidP="004A71E1" w14:paraId="09DADCEC" w14:textId="77777777">
      <w:pPr>
        <w:widowControl/>
        <w:tabs>
          <w:tab w:val="left" w:pos="-1440"/>
        </w:tabs>
        <w:ind w:left="720"/>
        <w:rPr>
          <w:b w:val="0"/>
          <w:bCs w:val="0"/>
          <w:sz w:val="24"/>
          <w:szCs w:val="24"/>
        </w:rPr>
      </w:pPr>
      <w:r w:rsidRPr="004A71E1">
        <w:rPr>
          <w:b w:val="0"/>
          <w:bCs w:val="0"/>
          <w:sz w:val="24"/>
          <w:szCs w:val="24"/>
        </w:rPr>
        <w:t xml:space="preserve">The proposed rule requires that PBMs or covered service providers furnish disclosures on a semiannual basis, within 30 calendar days following the conclusion of each six-month period starting from the contract or arrangement initiation date, disclosing the actual compensation that the PBM or other covered service provider received, under the specific categories that were estimated in the initial disclosures, as discussed earlier. This includes all direct compensation, rebate payments, spread compensation, copay claw-backs recouped from a pharmacy by the PBM or other covered service provider, price </w:t>
      </w:r>
      <w:r w:rsidRPr="004A71E1">
        <w:rPr>
          <w:b w:val="0"/>
          <w:bCs w:val="0"/>
          <w:sz w:val="24"/>
          <w:szCs w:val="24"/>
        </w:rPr>
        <w:t>protection payments, and other compensation. If any category of compensation, in the aggregate, materially exceeds the corresponding estimate described in the initial disclosure, the PBM or other covered service provider must provide an identification of the amount and a reason for the overage. For this purpose, “materially” means 5 percent or more, or a lower dollar amount or percentage agreed to by the responsible plan fiduciary and set forth in writing in the contract or arrangement.</w:t>
      </w:r>
    </w:p>
    <w:p w:rsidR="004A71E1" w:rsidRPr="004A71E1" w:rsidP="004A71E1" w14:paraId="70940118" w14:textId="77777777">
      <w:pPr>
        <w:widowControl/>
        <w:tabs>
          <w:tab w:val="left" w:pos="-1440"/>
        </w:tabs>
        <w:ind w:left="720"/>
        <w:rPr>
          <w:b w:val="0"/>
          <w:bCs w:val="0"/>
          <w:sz w:val="24"/>
          <w:szCs w:val="24"/>
        </w:rPr>
      </w:pPr>
    </w:p>
    <w:p w:rsidR="004A71E1" w:rsidRPr="004A71E1" w:rsidP="004A71E1" w14:paraId="2C59FBDD" w14:textId="78FAFA6A">
      <w:pPr>
        <w:widowControl/>
        <w:tabs>
          <w:tab w:val="left" w:pos="-1440"/>
        </w:tabs>
        <w:ind w:left="720"/>
        <w:rPr>
          <w:b w:val="0"/>
          <w:bCs w:val="0"/>
          <w:sz w:val="24"/>
          <w:szCs w:val="24"/>
        </w:rPr>
      </w:pPr>
      <w:r w:rsidRPr="004A71E1">
        <w:rPr>
          <w:b w:val="0"/>
          <w:bCs w:val="0"/>
          <w:sz w:val="24"/>
          <w:szCs w:val="24"/>
        </w:rPr>
        <w:t xml:space="preserve">It is anticipated that the PBM or other covered service provider will already possess the necessary information to fulfil this requirement, as these breakouts are already required in the initial disclosure and standard practice in PBM contracts is to regularly provide self-insured group health plans with invoices or statements that include claims payments, rebates, and administrative fees. The Department assumes these semiannual disclosures will require less time, as they often involve system-generated data, draw on similar information from initial disclosures, and rely on standardized templates. The Department assumes PBMs will rely on standardized templates and batch processing to prepare the notice. Therefore, the Department estimates that requiring PBMs to compile and disclose this information will require 15 minutes of work from a benefits specialist for compilation and distribution of the information semiannually, resulting in 30 minutes of benefit specialist time each year. </w:t>
      </w:r>
    </w:p>
    <w:p w:rsidR="005B7A6E" w:rsidP="005B7A6E" w14:paraId="315D0B50" w14:textId="77777777">
      <w:pPr>
        <w:widowControl/>
        <w:tabs>
          <w:tab w:val="left" w:pos="-1440"/>
        </w:tabs>
        <w:ind w:left="720"/>
        <w:rPr>
          <w:b w:val="0"/>
          <w:bCs w:val="0"/>
          <w:sz w:val="24"/>
          <w:szCs w:val="24"/>
        </w:rPr>
      </w:pPr>
    </w:p>
    <w:p w:rsidR="00A03CBB" w:rsidRPr="00A03CBB" w:rsidP="005B7A6E" w14:paraId="04A61CC7" w14:textId="2CFAECD9">
      <w:pPr>
        <w:widowControl/>
        <w:tabs>
          <w:tab w:val="left" w:pos="-1440"/>
        </w:tabs>
        <w:ind w:left="720"/>
        <w:rPr>
          <w:b w:val="0"/>
          <w:bCs w:val="0"/>
          <w:iCs/>
          <w:sz w:val="24"/>
          <w:szCs w:val="24"/>
        </w:rPr>
      </w:pPr>
      <w:r w:rsidRPr="00A03CBB">
        <w:rPr>
          <w:b w:val="0"/>
          <w:bCs w:val="0"/>
          <w:iCs/>
          <w:sz w:val="24"/>
          <w:szCs w:val="24"/>
        </w:rPr>
        <w:t>Please see Table 3 for the estimated costs of disclosures.</w:t>
      </w:r>
    </w:p>
    <w:p w:rsidR="00BD40E9" w:rsidP="005F0A7C" w14:paraId="591612D1" w14:textId="77777777">
      <w:pPr>
        <w:widowControl/>
        <w:tabs>
          <w:tab w:val="left" w:pos="-1440"/>
        </w:tabs>
        <w:rPr>
          <w:b w:val="0"/>
          <w:bCs w:val="0"/>
          <w:iCs/>
          <w:sz w:val="24"/>
          <w:szCs w:val="24"/>
        </w:rPr>
      </w:pPr>
    </w:p>
    <w:p w:rsidR="004D6B71" w:rsidRPr="004D6B71" w:rsidP="004D6B71" w14:paraId="35B2AD28" w14:textId="77777777">
      <w:pPr>
        <w:widowControl/>
        <w:tabs>
          <w:tab w:val="left" w:pos="-1440"/>
        </w:tabs>
        <w:ind w:left="720"/>
        <w:rPr>
          <w:b w:val="0"/>
          <w:bCs w:val="0"/>
          <w:i/>
          <w:iCs/>
          <w:sz w:val="24"/>
          <w:szCs w:val="24"/>
          <w:u w:val="single"/>
        </w:rPr>
      </w:pPr>
      <w:r w:rsidRPr="004D6B71">
        <w:rPr>
          <w:b w:val="0"/>
          <w:bCs w:val="0"/>
          <w:i/>
          <w:iCs/>
          <w:sz w:val="24"/>
          <w:szCs w:val="24"/>
          <w:u w:val="single"/>
        </w:rPr>
        <w:t>Information Upon Request</w:t>
      </w:r>
    </w:p>
    <w:p w:rsidR="005944CD" w:rsidP="00A9373D" w14:paraId="6B023C30" w14:textId="77777777">
      <w:pPr>
        <w:widowControl/>
        <w:tabs>
          <w:tab w:val="left" w:pos="-1440"/>
        </w:tabs>
        <w:ind w:left="720"/>
        <w:rPr>
          <w:b w:val="0"/>
          <w:bCs w:val="0"/>
          <w:iCs/>
          <w:sz w:val="24"/>
          <w:szCs w:val="24"/>
        </w:rPr>
      </w:pPr>
    </w:p>
    <w:p w:rsidR="00265507" w:rsidP="00A9373D" w14:paraId="7AF74614" w14:textId="77777777">
      <w:pPr>
        <w:widowControl/>
        <w:tabs>
          <w:tab w:val="left" w:pos="-1440"/>
        </w:tabs>
        <w:ind w:left="720"/>
        <w:rPr>
          <w:b w:val="0"/>
          <w:bCs w:val="0"/>
          <w:iCs/>
          <w:sz w:val="24"/>
          <w:szCs w:val="24"/>
        </w:rPr>
      </w:pPr>
      <w:r w:rsidRPr="00265507">
        <w:rPr>
          <w:b w:val="0"/>
          <w:bCs w:val="0"/>
          <w:iCs/>
          <w:sz w:val="24"/>
          <w:szCs w:val="24"/>
        </w:rPr>
        <w:t>Paragraph (i) of the proposal provides that, upon the written request of the responsible plan fiduciary, the covered service provider must furnish any other information relating to the contract or arrangement that is required for the self-insured group health plan to comply with the reporting and disclosure requirements of Title I of the Act and the regulations, forms and schedules issued thereunder. Paragraph (i) of the proposal would require the covered service provider to disclose the information requested reasonably in advance of the date upon which such responsible plan fiduciary states that it must comply with the applicable reporting or disclosure requirement, unless such disclosure is precluded due to extraordinary circumstances beyond the covered service provider's control, in which case the information must be disclosed as soon as practicable. The Department assumes that PBMs will rely on automated IT systems to prepare the information. Therefore, the Department estimates that it would only require 15 minutes of a benefit specialist’s time to prepare and distribute the covered information for each plan annually.</w:t>
      </w:r>
    </w:p>
    <w:p w:rsidR="00265507" w:rsidP="00A9373D" w14:paraId="217A6A5A" w14:textId="77777777">
      <w:pPr>
        <w:widowControl/>
        <w:tabs>
          <w:tab w:val="left" w:pos="-1440"/>
        </w:tabs>
        <w:ind w:left="720"/>
        <w:rPr>
          <w:b w:val="0"/>
          <w:bCs w:val="0"/>
          <w:iCs/>
          <w:sz w:val="24"/>
          <w:szCs w:val="24"/>
        </w:rPr>
      </w:pPr>
    </w:p>
    <w:p w:rsidR="00A9373D" w:rsidRPr="00A9373D" w:rsidP="00A9373D" w14:paraId="30E2FF21" w14:textId="7B48588F">
      <w:pPr>
        <w:widowControl/>
        <w:tabs>
          <w:tab w:val="left" w:pos="-1440"/>
        </w:tabs>
        <w:ind w:left="720"/>
        <w:rPr>
          <w:b w:val="0"/>
          <w:bCs w:val="0"/>
          <w:iCs/>
          <w:sz w:val="24"/>
          <w:szCs w:val="24"/>
        </w:rPr>
      </w:pPr>
      <w:r w:rsidRPr="00A03CBB">
        <w:rPr>
          <w:b w:val="0"/>
          <w:bCs w:val="0"/>
          <w:iCs/>
          <w:sz w:val="24"/>
          <w:szCs w:val="24"/>
        </w:rPr>
        <w:t xml:space="preserve">Please see Table </w:t>
      </w:r>
      <w:r>
        <w:rPr>
          <w:b w:val="0"/>
          <w:bCs w:val="0"/>
          <w:iCs/>
          <w:sz w:val="24"/>
          <w:szCs w:val="24"/>
        </w:rPr>
        <w:t>3</w:t>
      </w:r>
      <w:r w:rsidRPr="00A03CBB">
        <w:rPr>
          <w:b w:val="0"/>
          <w:bCs w:val="0"/>
          <w:iCs/>
          <w:sz w:val="24"/>
          <w:szCs w:val="24"/>
        </w:rPr>
        <w:t xml:space="preserve"> for the estimated costs of disclosures.</w:t>
      </w:r>
    </w:p>
    <w:p w:rsidR="006E1899" w:rsidP="006E1899" w14:paraId="401EE6AC" w14:textId="77777777">
      <w:pPr>
        <w:widowControl/>
        <w:tabs>
          <w:tab w:val="left" w:pos="-1440"/>
        </w:tabs>
        <w:ind w:left="720"/>
        <w:rPr>
          <w:iCs/>
          <w:sz w:val="24"/>
          <w:szCs w:val="24"/>
        </w:rPr>
      </w:pPr>
    </w:p>
    <w:p w:rsidR="00F62BB4" w:rsidRPr="00F62BB4" w:rsidP="00F62BB4" w14:paraId="63AF5460" w14:textId="77777777">
      <w:pPr>
        <w:widowControl/>
        <w:tabs>
          <w:tab w:val="left" w:pos="-1440"/>
        </w:tabs>
        <w:ind w:left="720"/>
        <w:rPr>
          <w:b w:val="0"/>
          <w:bCs w:val="0"/>
          <w:i/>
          <w:iCs/>
          <w:sz w:val="24"/>
          <w:szCs w:val="24"/>
          <w:u w:val="single"/>
        </w:rPr>
      </w:pPr>
      <w:r w:rsidRPr="00F62BB4">
        <w:rPr>
          <w:b w:val="0"/>
          <w:bCs w:val="0"/>
          <w:i/>
          <w:iCs/>
          <w:sz w:val="24"/>
          <w:szCs w:val="24"/>
          <w:u w:val="single"/>
        </w:rPr>
        <w:t>Notice to PBMs and DOL</w:t>
      </w:r>
    </w:p>
    <w:p w:rsidR="00A9373D" w:rsidP="006E1899" w14:paraId="6079B98B" w14:textId="77777777">
      <w:pPr>
        <w:widowControl/>
        <w:tabs>
          <w:tab w:val="left" w:pos="-1440"/>
        </w:tabs>
        <w:ind w:left="720"/>
        <w:rPr>
          <w:iCs/>
          <w:sz w:val="24"/>
          <w:szCs w:val="24"/>
        </w:rPr>
      </w:pPr>
    </w:p>
    <w:p w:rsidR="00AE2CE9" w:rsidP="00AE2CE9" w14:paraId="025BA73F" w14:textId="77777777">
      <w:pPr>
        <w:ind w:left="720"/>
        <w:rPr>
          <w:rFonts w:eastAsia="Yu Gothic"/>
          <w:b w:val="0"/>
          <w:bCs w:val="0"/>
          <w:sz w:val="24"/>
          <w:szCs w:val="24"/>
        </w:rPr>
      </w:pPr>
      <w:r w:rsidRPr="00AE2CE9">
        <w:rPr>
          <w:rFonts w:eastAsia="Yu Gothic"/>
          <w:b w:val="0"/>
          <w:bCs w:val="0"/>
          <w:sz w:val="24"/>
          <w:szCs w:val="24"/>
        </w:rPr>
        <w:t xml:space="preserve">The exemption contained in paragraph (n) of the proposed rule provides relief from the restrictions of ERISA section 406(a)(1)(C) and (D) for plan fiduciaries who </w:t>
      </w:r>
      <w:r w:rsidRPr="00AE2CE9">
        <w:rPr>
          <w:rFonts w:eastAsia="Yu Gothic"/>
          <w:b w:val="0"/>
          <w:bCs w:val="0"/>
          <w:sz w:val="24"/>
          <w:szCs w:val="24"/>
        </w:rPr>
        <w:t>enter into</w:t>
      </w:r>
      <w:r w:rsidRPr="00AE2CE9">
        <w:rPr>
          <w:rFonts w:eastAsia="Yu Gothic"/>
          <w:b w:val="0"/>
          <w:bCs w:val="0"/>
          <w:sz w:val="24"/>
          <w:szCs w:val="24"/>
        </w:rPr>
        <w:t xml:space="preserve"> a contract or arrangement, where the PBM or other covered service provider fails to comply with its obligations under the regulation. Upon discovering that a PBM or other covered service provider failed to comply, the responsible plan fiduciary must request in writing that the PBM or other covered service provider furnish the information or comply with the audit requirement. As discussed earlier, the Department assumes that 0.3 percent of arrangements may experience an omission or error that will require the responsible plan fiduciary to send the request to the PBM or other covered service provider.</w:t>
      </w:r>
      <w:r>
        <w:rPr>
          <w:rFonts w:eastAsia="Yu Gothic"/>
          <w:b w:val="0"/>
          <w:bCs w:val="0"/>
          <w:sz w:val="24"/>
          <w:szCs w:val="24"/>
          <w:vertAlign w:val="superscript"/>
        </w:rPr>
        <w:footnoteReference w:id="30"/>
      </w:r>
      <w:r w:rsidRPr="00AE2CE9">
        <w:rPr>
          <w:rFonts w:eastAsia="Yu Gothic"/>
          <w:b w:val="0"/>
          <w:bCs w:val="0"/>
          <w:sz w:val="24"/>
          <w:szCs w:val="24"/>
        </w:rPr>
        <w:t xml:space="preserve"> This assumption is based on the Department’s experience that it is rare for pension plans to submit a notice under the requirement in 29 CFR 2550.408b-2. The Department also assumes that PBMs will rely on standardized templates and batch processing to prepare the notice. Therefore, the Department estimates that it will take 15 minutes of a benefit specialist’s time to prepare and send the notice.</w:t>
      </w:r>
    </w:p>
    <w:p w:rsidR="00AE2CE9" w:rsidRPr="00AE2CE9" w:rsidP="00AE2CE9" w14:paraId="1526C272" w14:textId="77777777">
      <w:pPr>
        <w:ind w:left="720"/>
        <w:rPr>
          <w:rFonts w:eastAsia="Yu Gothic"/>
          <w:b w:val="0"/>
          <w:bCs w:val="0"/>
          <w:sz w:val="24"/>
          <w:szCs w:val="24"/>
        </w:rPr>
      </w:pPr>
    </w:p>
    <w:p w:rsidR="00AE2CE9" w:rsidRPr="00AE2CE9" w:rsidP="00AE2CE9" w14:paraId="112BD4B0" w14:textId="3BFAB567">
      <w:pPr>
        <w:ind w:left="720"/>
        <w:rPr>
          <w:rFonts w:eastAsia="Yu Gothic"/>
          <w:b w:val="0"/>
          <w:bCs w:val="0"/>
          <w:sz w:val="24"/>
          <w:szCs w:val="24"/>
        </w:rPr>
      </w:pPr>
      <w:r w:rsidRPr="00AE2CE9">
        <w:rPr>
          <w:rFonts w:eastAsia="Yu Gothic"/>
          <w:b w:val="0"/>
          <w:bCs w:val="0"/>
          <w:sz w:val="24"/>
          <w:szCs w:val="24"/>
        </w:rPr>
        <w:t xml:space="preserve">If the PBM or other covered service provider does not respond within 90 calendar days, the responsible plan fiduciary must notify the Department and further must assess whether to terminate or continue the service contract or arrangement consistent with the duty of prudence under section 404 of ERISA. As discussed earlier, the Department assumes that approximately 10 notices will be submitted. </w:t>
      </w:r>
      <w:r w:rsidRPr="00AE2CE9">
        <w:rPr>
          <w:rFonts w:eastAsia="Yu Gothic"/>
          <w:b w:val="0"/>
          <w:bCs w:val="0"/>
          <w:sz w:val="24"/>
          <w:szCs w:val="24"/>
        </w:rPr>
        <w:t>Similar to</w:t>
      </w:r>
      <w:r w:rsidRPr="00AE2CE9">
        <w:rPr>
          <w:rFonts w:eastAsia="Yu Gothic"/>
          <w:b w:val="0"/>
          <w:bCs w:val="0"/>
          <w:sz w:val="24"/>
          <w:szCs w:val="24"/>
        </w:rPr>
        <w:t xml:space="preserve"> other notices, the Department assumes that PBMs will rely on standardized templates and batch processing to prepare the notice. Therefore, the Department estimates that it will take 15 minutes of a benefit specialist’s time to prepare and send the notice. </w:t>
      </w:r>
    </w:p>
    <w:p w:rsidR="00AE2CE9" w:rsidP="00D738ED" w14:paraId="7AD93BAC" w14:textId="77777777">
      <w:pPr>
        <w:ind w:left="720"/>
        <w:rPr>
          <w:rFonts w:eastAsia="Yu Gothic"/>
          <w:b w:val="0"/>
          <w:bCs w:val="0"/>
          <w:sz w:val="24"/>
          <w:szCs w:val="24"/>
        </w:rPr>
      </w:pPr>
    </w:p>
    <w:p w:rsidR="00A03CBB" w:rsidRPr="00875070" w:rsidP="00D738ED" w14:paraId="7876C538" w14:textId="227B9A40">
      <w:pPr>
        <w:ind w:left="720"/>
        <w:rPr>
          <w:rFonts w:eastAsia="Yu Gothic"/>
          <w:b w:val="0"/>
          <w:bCs w:val="0"/>
          <w:iCs/>
          <w:sz w:val="24"/>
          <w:szCs w:val="24"/>
        </w:rPr>
      </w:pPr>
      <w:r w:rsidRPr="00D738ED">
        <w:rPr>
          <w:rFonts w:eastAsia="Yu Gothic"/>
          <w:b w:val="0"/>
          <w:bCs w:val="0"/>
          <w:sz w:val="24"/>
          <w:szCs w:val="24"/>
        </w:rPr>
        <w:t xml:space="preserve"> </w:t>
      </w:r>
      <w:r w:rsidRPr="00875070">
        <w:rPr>
          <w:rFonts w:eastAsia="Yu Gothic"/>
          <w:b w:val="0"/>
          <w:bCs w:val="0"/>
          <w:iCs/>
          <w:sz w:val="24"/>
          <w:szCs w:val="24"/>
        </w:rPr>
        <w:t>Please see Table 3 for the estimated costs of disclosures.</w:t>
      </w:r>
    </w:p>
    <w:p w:rsidR="00616FD4" w:rsidRPr="0019585A" w:rsidP="00616FD4" w14:paraId="694A622A" w14:textId="77777777">
      <w:pPr>
        <w:rPr>
          <w:sz w:val="24"/>
          <w:szCs w:val="24"/>
        </w:rPr>
      </w:pPr>
    </w:p>
    <w:p w:rsidR="00D05E1F" w:rsidRPr="00875070" w:rsidP="00CA7375" w14:paraId="1B06B73A" w14:textId="2D959FCB">
      <w:pPr>
        <w:pStyle w:val="Heading3"/>
        <w:rPr>
          <w:szCs w:val="24"/>
        </w:rPr>
      </w:pPr>
      <w:r w:rsidRPr="00875070">
        <w:rPr>
          <w:szCs w:val="24"/>
        </w:rPr>
        <w:t xml:space="preserve">TABLE </w:t>
      </w:r>
      <w:r w:rsidRPr="00875070" w:rsidR="00CA7375">
        <w:rPr>
          <w:szCs w:val="24"/>
        </w:rPr>
        <w:t>3</w:t>
      </w:r>
      <w:r w:rsidRPr="00875070">
        <w:rPr>
          <w:szCs w:val="24"/>
        </w:rPr>
        <w:t>. Annual Disclosure Costs</w:t>
      </w:r>
    </w:p>
    <w:p w:rsidR="00D05E1F" w:rsidP="006E1899" w14:paraId="54791708" w14:textId="77777777">
      <w:pPr>
        <w:widowControl/>
        <w:tabs>
          <w:tab w:val="left" w:pos="-1440"/>
        </w:tabs>
        <w:ind w:left="720"/>
        <w:rPr>
          <w:b w:val="0"/>
          <w:bCs w:val="0"/>
          <w:iCs/>
          <w:sz w:val="24"/>
          <w:szCs w:val="24"/>
        </w:rPr>
      </w:pPr>
    </w:p>
    <w:tbl>
      <w:tblPr>
        <w:tblW w:w="9895" w:type="dxa"/>
        <w:tblLayout w:type="fixed"/>
        <w:tblLook w:val="04A0"/>
      </w:tblPr>
      <w:tblGrid>
        <w:gridCol w:w="3325"/>
        <w:gridCol w:w="1350"/>
        <w:gridCol w:w="1080"/>
        <w:gridCol w:w="1440"/>
        <w:gridCol w:w="1080"/>
        <w:gridCol w:w="1620"/>
      </w:tblGrid>
      <w:tr w14:paraId="047299D9" w14:textId="77777777" w:rsidTr="00FB5F22">
        <w:tblPrEx>
          <w:tblW w:w="9895" w:type="dxa"/>
          <w:tblLayout w:type="fixed"/>
          <w:tblLook w:val="04A0"/>
        </w:tblPrEx>
        <w:trPr>
          <w:trHeight w:val="1755"/>
        </w:trPr>
        <w:tc>
          <w:tcPr>
            <w:tcW w:w="3325" w:type="dxa"/>
            <w:tcBorders>
              <w:top w:val="single" w:sz="4" w:space="0" w:color="auto"/>
              <w:left w:val="single" w:sz="4" w:space="0" w:color="auto"/>
              <w:bottom w:val="single" w:sz="4" w:space="0" w:color="auto"/>
              <w:right w:val="single" w:sz="4" w:space="0" w:color="auto"/>
            </w:tcBorders>
            <w:noWrap/>
            <w:vAlign w:val="bottom"/>
            <w:hideMark/>
          </w:tcPr>
          <w:p w:rsidR="001C047C" w:rsidRPr="001C047C" w:rsidP="001C047C" w14:paraId="47F893FD" w14:textId="77777777">
            <w:pPr>
              <w:widowControl/>
              <w:autoSpaceDE/>
              <w:autoSpaceDN/>
              <w:adjustRightInd/>
              <w:ind w:firstLine="720"/>
              <w:jc w:val="center"/>
              <w:rPr>
                <w:b w:val="0"/>
                <w:bCs w:val="0"/>
                <w:sz w:val="22"/>
                <w:szCs w:val="22"/>
              </w:rPr>
            </w:pPr>
          </w:p>
        </w:tc>
        <w:tc>
          <w:tcPr>
            <w:tcW w:w="1350" w:type="dxa"/>
            <w:tcBorders>
              <w:top w:val="single" w:sz="4" w:space="0" w:color="auto"/>
              <w:left w:val="nil"/>
              <w:bottom w:val="single" w:sz="4" w:space="0" w:color="auto"/>
              <w:right w:val="single" w:sz="4" w:space="0" w:color="auto"/>
            </w:tcBorders>
            <w:vAlign w:val="center"/>
            <w:hideMark/>
          </w:tcPr>
          <w:p w:rsidR="001C047C" w:rsidRPr="001C047C" w:rsidP="001C047C" w14:paraId="26523517" w14:textId="77777777">
            <w:pPr>
              <w:widowControl/>
              <w:autoSpaceDE/>
              <w:autoSpaceDN/>
              <w:adjustRightInd/>
              <w:jc w:val="center"/>
              <w:rPr>
                <w:sz w:val="22"/>
                <w:szCs w:val="22"/>
              </w:rPr>
            </w:pPr>
            <w:r w:rsidRPr="001C047C">
              <w:rPr>
                <w:sz w:val="22"/>
                <w:szCs w:val="22"/>
              </w:rPr>
              <w:t>Number of Notices (first year)</w:t>
            </w:r>
          </w:p>
        </w:tc>
        <w:tc>
          <w:tcPr>
            <w:tcW w:w="1080" w:type="dxa"/>
            <w:tcBorders>
              <w:top w:val="single" w:sz="4" w:space="0" w:color="auto"/>
              <w:left w:val="nil"/>
              <w:bottom w:val="single" w:sz="4" w:space="0" w:color="auto"/>
              <w:right w:val="single" w:sz="4" w:space="0" w:color="auto"/>
            </w:tcBorders>
            <w:vAlign w:val="center"/>
            <w:hideMark/>
          </w:tcPr>
          <w:p w:rsidR="001C047C" w:rsidRPr="001C047C" w:rsidP="001C047C" w14:paraId="3ACB8793" w14:textId="77777777">
            <w:pPr>
              <w:widowControl/>
              <w:autoSpaceDE/>
              <w:autoSpaceDN/>
              <w:adjustRightInd/>
              <w:jc w:val="center"/>
              <w:rPr>
                <w:sz w:val="22"/>
                <w:szCs w:val="22"/>
              </w:rPr>
            </w:pPr>
            <w:r w:rsidRPr="001C047C">
              <w:rPr>
                <w:sz w:val="22"/>
                <w:szCs w:val="22"/>
              </w:rPr>
              <w:t>Number of Hours Per Notice</w:t>
            </w:r>
          </w:p>
        </w:tc>
        <w:tc>
          <w:tcPr>
            <w:tcW w:w="1440" w:type="dxa"/>
            <w:tcBorders>
              <w:top w:val="single" w:sz="4" w:space="0" w:color="auto"/>
              <w:left w:val="nil"/>
              <w:bottom w:val="single" w:sz="4" w:space="0" w:color="auto"/>
              <w:right w:val="single" w:sz="4" w:space="0" w:color="auto"/>
            </w:tcBorders>
            <w:vAlign w:val="center"/>
            <w:hideMark/>
          </w:tcPr>
          <w:p w:rsidR="001C047C" w:rsidRPr="001C047C" w:rsidP="001C047C" w14:paraId="2D1CF289" w14:textId="77777777">
            <w:pPr>
              <w:widowControl/>
              <w:autoSpaceDE/>
              <w:autoSpaceDN/>
              <w:adjustRightInd/>
              <w:jc w:val="center"/>
              <w:rPr>
                <w:sz w:val="22"/>
                <w:szCs w:val="22"/>
              </w:rPr>
            </w:pPr>
            <w:r w:rsidRPr="001C047C">
              <w:rPr>
                <w:sz w:val="22"/>
                <w:szCs w:val="22"/>
              </w:rPr>
              <w:t>Total Hour Burden</w:t>
            </w:r>
          </w:p>
        </w:tc>
        <w:tc>
          <w:tcPr>
            <w:tcW w:w="1080" w:type="dxa"/>
            <w:tcBorders>
              <w:top w:val="single" w:sz="4" w:space="0" w:color="auto"/>
              <w:left w:val="nil"/>
              <w:bottom w:val="single" w:sz="4" w:space="0" w:color="auto"/>
              <w:right w:val="single" w:sz="4" w:space="0" w:color="auto"/>
            </w:tcBorders>
            <w:vAlign w:val="center"/>
            <w:hideMark/>
          </w:tcPr>
          <w:p w:rsidR="001C047C" w:rsidRPr="001C047C" w:rsidP="001C047C" w14:paraId="4A914D55" w14:textId="77777777">
            <w:pPr>
              <w:widowControl/>
              <w:autoSpaceDE/>
              <w:autoSpaceDN/>
              <w:adjustRightInd/>
              <w:jc w:val="center"/>
              <w:rPr>
                <w:sz w:val="22"/>
                <w:szCs w:val="22"/>
              </w:rPr>
            </w:pPr>
            <w:r w:rsidRPr="001C047C">
              <w:rPr>
                <w:sz w:val="22"/>
                <w:szCs w:val="22"/>
              </w:rPr>
              <w:t>Hourly Wage Rate</w:t>
            </w:r>
          </w:p>
        </w:tc>
        <w:tc>
          <w:tcPr>
            <w:tcW w:w="1620" w:type="dxa"/>
            <w:tcBorders>
              <w:top w:val="single" w:sz="4" w:space="0" w:color="auto"/>
              <w:left w:val="nil"/>
              <w:bottom w:val="single" w:sz="4" w:space="0" w:color="auto"/>
              <w:right w:val="single" w:sz="4" w:space="0" w:color="auto"/>
            </w:tcBorders>
            <w:vAlign w:val="center"/>
            <w:hideMark/>
          </w:tcPr>
          <w:p w:rsidR="001C047C" w:rsidRPr="001C047C" w:rsidP="001C047C" w14:paraId="43508E5F" w14:textId="77777777">
            <w:pPr>
              <w:widowControl/>
              <w:autoSpaceDE/>
              <w:autoSpaceDN/>
              <w:adjustRightInd/>
              <w:jc w:val="center"/>
              <w:rPr>
                <w:sz w:val="22"/>
                <w:szCs w:val="22"/>
              </w:rPr>
            </w:pPr>
            <w:r w:rsidRPr="001C047C">
              <w:rPr>
                <w:sz w:val="22"/>
                <w:szCs w:val="22"/>
              </w:rPr>
              <w:t>Cost Equivalent of Hour Burden</w:t>
            </w:r>
          </w:p>
        </w:tc>
      </w:tr>
      <w:tr w14:paraId="48B48EFC" w14:textId="77777777" w:rsidTr="00FB5F22">
        <w:tblPrEx>
          <w:tblW w:w="9895" w:type="dxa"/>
          <w:tblLayout w:type="fixed"/>
          <w:tblLook w:val="04A0"/>
        </w:tblPrEx>
        <w:trPr>
          <w:trHeight w:val="134"/>
        </w:trPr>
        <w:tc>
          <w:tcPr>
            <w:tcW w:w="3325" w:type="dxa"/>
            <w:tcBorders>
              <w:top w:val="nil"/>
              <w:left w:val="single" w:sz="4" w:space="0" w:color="auto"/>
              <w:bottom w:val="single" w:sz="4" w:space="0" w:color="auto"/>
              <w:right w:val="single" w:sz="4" w:space="0" w:color="auto"/>
            </w:tcBorders>
            <w:noWrap/>
            <w:vAlign w:val="bottom"/>
            <w:hideMark/>
          </w:tcPr>
          <w:p w:rsidR="001C047C" w:rsidRPr="001C047C" w:rsidP="001C047C" w14:paraId="3B84CA50" w14:textId="77777777">
            <w:pPr>
              <w:widowControl/>
              <w:autoSpaceDE/>
              <w:autoSpaceDN/>
              <w:adjustRightInd/>
              <w:ind w:firstLine="720"/>
              <w:jc w:val="center"/>
              <w:rPr>
                <w:b w:val="0"/>
                <w:bCs w:val="0"/>
                <w:sz w:val="22"/>
                <w:szCs w:val="22"/>
              </w:rPr>
            </w:pPr>
          </w:p>
        </w:tc>
        <w:tc>
          <w:tcPr>
            <w:tcW w:w="1350" w:type="dxa"/>
            <w:tcBorders>
              <w:top w:val="nil"/>
              <w:left w:val="nil"/>
              <w:bottom w:val="single" w:sz="4" w:space="0" w:color="auto"/>
              <w:right w:val="single" w:sz="4" w:space="0" w:color="auto"/>
            </w:tcBorders>
            <w:vAlign w:val="center"/>
            <w:hideMark/>
          </w:tcPr>
          <w:p w:rsidR="001C047C" w:rsidRPr="001C047C" w:rsidP="001C047C" w14:paraId="7052268B" w14:textId="77777777">
            <w:pPr>
              <w:widowControl/>
              <w:autoSpaceDE/>
              <w:autoSpaceDN/>
              <w:adjustRightInd/>
              <w:jc w:val="center"/>
              <w:rPr>
                <w:sz w:val="22"/>
                <w:szCs w:val="22"/>
              </w:rPr>
            </w:pPr>
            <w:r w:rsidRPr="001C047C">
              <w:rPr>
                <w:sz w:val="22"/>
                <w:szCs w:val="22"/>
              </w:rPr>
              <w:t>(A)</w:t>
            </w:r>
          </w:p>
        </w:tc>
        <w:tc>
          <w:tcPr>
            <w:tcW w:w="1080" w:type="dxa"/>
            <w:tcBorders>
              <w:top w:val="nil"/>
              <w:left w:val="nil"/>
              <w:bottom w:val="single" w:sz="4" w:space="0" w:color="auto"/>
              <w:right w:val="single" w:sz="4" w:space="0" w:color="auto"/>
            </w:tcBorders>
            <w:vAlign w:val="center"/>
            <w:hideMark/>
          </w:tcPr>
          <w:p w:rsidR="001C047C" w:rsidRPr="001C047C" w:rsidP="001C047C" w14:paraId="1A9D8747" w14:textId="77777777">
            <w:pPr>
              <w:widowControl/>
              <w:autoSpaceDE/>
              <w:autoSpaceDN/>
              <w:adjustRightInd/>
              <w:jc w:val="center"/>
              <w:rPr>
                <w:sz w:val="22"/>
                <w:szCs w:val="22"/>
              </w:rPr>
            </w:pPr>
            <w:r w:rsidRPr="001C047C">
              <w:rPr>
                <w:sz w:val="22"/>
                <w:szCs w:val="22"/>
              </w:rPr>
              <w:t>(B)</w:t>
            </w:r>
          </w:p>
        </w:tc>
        <w:tc>
          <w:tcPr>
            <w:tcW w:w="1440" w:type="dxa"/>
            <w:tcBorders>
              <w:top w:val="nil"/>
              <w:left w:val="nil"/>
              <w:bottom w:val="single" w:sz="4" w:space="0" w:color="auto"/>
              <w:right w:val="single" w:sz="4" w:space="0" w:color="auto"/>
            </w:tcBorders>
            <w:vAlign w:val="center"/>
            <w:hideMark/>
          </w:tcPr>
          <w:p w:rsidR="001C047C" w:rsidRPr="001C047C" w:rsidP="001C047C" w14:paraId="285B6E1C" w14:textId="77777777">
            <w:pPr>
              <w:widowControl/>
              <w:autoSpaceDE/>
              <w:autoSpaceDN/>
              <w:adjustRightInd/>
              <w:jc w:val="center"/>
              <w:rPr>
                <w:sz w:val="22"/>
                <w:szCs w:val="22"/>
              </w:rPr>
            </w:pPr>
            <w:r w:rsidRPr="001C047C">
              <w:rPr>
                <w:sz w:val="22"/>
                <w:szCs w:val="22"/>
              </w:rPr>
              <w:t>(C) = (A x B)</w:t>
            </w:r>
          </w:p>
        </w:tc>
        <w:tc>
          <w:tcPr>
            <w:tcW w:w="1080" w:type="dxa"/>
            <w:tcBorders>
              <w:top w:val="nil"/>
              <w:left w:val="nil"/>
              <w:bottom w:val="single" w:sz="4" w:space="0" w:color="auto"/>
              <w:right w:val="single" w:sz="4" w:space="0" w:color="auto"/>
            </w:tcBorders>
            <w:vAlign w:val="center"/>
            <w:hideMark/>
          </w:tcPr>
          <w:p w:rsidR="001C047C" w:rsidRPr="001C047C" w:rsidP="001C047C" w14:paraId="569BEE4E" w14:textId="77777777">
            <w:pPr>
              <w:widowControl/>
              <w:autoSpaceDE/>
              <w:autoSpaceDN/>
              <w:adjustRightInd/>
              <w:jc w:val="center"/>
              <w:rPr>
                <w:sz w:val="22"/>
                <w:szCs w:val="22"/>
              </w:rPr>
            </w:pPr>
            <w:r w:rsidRPr="001C047C">
              <w:rPr>
                <w:sz w:val="22"/>
                <w:szCs w:val="22"/>
              </w:rPr>
              <w:t>(D)</w:t>
            </w:r>
          </w:p>
        </w:tc>
        <w:tc>
          <w:tcPr>
            <w:tcW w:w="1620" w:type="dxa"/>
            <w:tcBorders>
              <w:top w:val="nil"/>
              <w:left w:val="nil"/>
              <w:bottom w:val="single" w:sz="4" w:space="0" w:color="auto"/>
              <w:right w:val="single" w:sz="4" w:space="0" w:color="auto"/>
            </w:tcBorders>
            <w:vAlign w:val="center"/>
            <w:hideMark/>
          </w:tcPr>
          <w:p w:rsidR="001C047C" w:rsidRPr="001C047C" w:rsidP="001C047C" w14:paraId="371200C6" w14:textId="77777777">
            <w:pPr>
              <w:widowControl/>
              <w:autoSpaceDE/>
              <w:autoSpaceDN/>
              <w:adjustRightInd/>
              <w:jc w:val="center"/>
              <w:rPr>
                <w:sz w:val="22"/>
                <w:szCs w:val="22"/>
              </w:rPr>
            </w:pPr>
            <w:r w:rsidRPr="001C047C">
              <w:rPr>
                <w:sz w:val="22"/>
                <w:szCs w:val="22"/>
              </w:rPr>
              <w:t>(E) = (C x D)</w:t>
            </w:r>
          </w:p>
        </w:tc>
      </w:tr>
      <w:tr w14:paraId="5523E61A" w14:textId="77777777" w:rsidTr="00FB5F22">
        <w:tblPrEx>
          <w:tblW w:w="9895" w:type="dxa"/>
          <w:tblLayout w:type="fixed"/>
          <w:tblLook w:val="04A0"/>
        </w:tblPrEx>
        <w:trPr>
          <w:trHeight w:val="270"/>
        </w:trPr>
        <w:tc>
          <w:tcPr>
            <w:tcW w:w="9895" w:type="dxa"/>
            <w:gridSpan w:val="6"/>
            <w:tcBorders>
              <w:top w:val="nil"/>
              <w:left w:val="single" w:sz="4" w:space="0" w:color="auto"/>
              <w:bottom w:val="single" w:sz="4" w:space="0" w:color="auto"/>
              <w:right w:val="single" w:sz="4" w:space="0" w:color="auto"/>
            </w:tcBorders>
            <w:noWrap/>
            <w:vAlign w:val="bottom"/>
            <w:hideMark/>
          </w:tcPr>
          <w:p w:rsidR="001C047C" w:rsidRPr="001C047C" w:rsidP="001C047C" w14:paraId="51DE3855" w14:textId="77777777">
            <w:pPr>
              <w:widowControl/>
              <w:autoSpaceDE/>
              <w:autoSpaceDN/>
              <w:adjustRightInd/>
              <w:jc w:val="both"/>
              <w:rPr>
                <w:sz w:val="22"/>
                <w:szCs w:val="22"/>
                <w:u w:val="single"/>
              </w:rPr>
            </w:pPr>
            <w:r w:rsidRPr="001C047C">
              <w:rPr>
                <w:sz w:val="22"/>
                <w:szCs w:val="22"/>
                <w:u w:val="single"/>
              </w:rPr>
              <w:t>PBMs send disclosures to self-insured group health plans</w:t>
            </w:r>
          </w:p>
        </w:tc>
      </w:tr>
      <w:tr w14:paraId="5FEF41EA" w14:textId="77777777" w:rsidTr="00FB5F22">
        <w:tblPrEx>
          <w:tblW w:w="9895" w:type="dxa"/>
          <w:tblLayout w:type="fixed"/>
          <w:tblLook w:val="04A0"/>
        </w:tblPrEx>
        <w:trPr>
          <w:trHeight w:val="310"/>
        </w:trPr>
        <w:tc>
          <w:tcPr>
            <w:tcW w:w="9895" w:type="dxa"/>
            <w:gridSpan w:val="6"/>
            <w:tcBorders>
              <w:top w:val="nil"/>
              <w:left w:val="single" w:sz="4" w:space="0" w:color="auto"/>
              <w:bottom w:val="single" w:sz="4" w:space="0" w:color="auto"/>
              <w:right w:val="single" w:sz="4" w:space="0" w:color="auto"/>
            </w:tcBorders>
            <w:noWrap/>
            <w:vAlign w:val="bottom"/>
            <w:hideMark/>
          </w:tcPr>
          <w:p w:rsidR="001C047C" w:rsidRPr="001C047C" w:rsidP="001C047C" w14:paraId="5D3F4963" w14:textId="77777777">
            <w:pPr>
              <w:widowControl/>
              <w:autoSpaceDE/>
              <w:autoSpaceDN/>
              <w:adjustRightInd/>
              <w:jc w:val="both"/>
              <w:rPr>
                <w:i/>
                <w:iCs/>
                <w:sz w:val="22"/>
                <w:szCs w:val="22"/>
                <w:u w:val="single"/>
              </w:rPr>
            </w:pPr>
            <w:r w:rsidRPr="001C047C">
              <w:rPr>
                <w:i/>
                <w:iCs/>
                <w:sz w:val="22"/>
                <w:szCs w:val="22"/>
                <w:u w:val="single"/>
              </w:rPr>
              <w:t>PBMs provide initial disclosures to self-insured group health plans</w:t>
            </w:r>
          </w:p>
        </w:tc>
      </w:tr>
      <w:tr w14:paraId="3E9249D9" w14:textId="77777777" w:rsidTr="00FB5F22">
        <w:tblPrEx>
          <w:tblW w:w="9895" w:type="dxa"/>
          <w:tblLayout w:type="fixed"/>
          <w:tblLook w:val="04A0"/>
        </w:tblPrEx>
        <w:trPr>
          <w:trHeight w:val="476"/>
        </w:trPr>
        <w:tc>
          <w:tcPr>
            <w:tcW w:w="3325" w:type="dxa"/>
            <w:tcBorders>
              <w:top w:val="single" w:sz="4" w:space="0" w:color="auto"/>
              <w:left w:val="single" w:sz="4" w:space="0" w:color="auto"/>
              <w:bottom w:val="single" w:sz="4" w:space="0" w:color="auto"/>
              <w:right w:val="single" w:sz="4" w:space="0" w:color="auto"/>
            </w:tcBorders>
            <w:vAlign w:val="bottom"/>
            <w:hideMark/>
          </w:tcPr>
          <w:p w:rsidR="001C047C" w:rsidRPr="001C047C" w:rsidP="001C047C" w14:paraId="78C09DDF" w14:textId="77777777">
            <w:pPr>
              <w:widowControl/>
              <w:autoSpaceDE/>
              <w:autoSpaceDN/>
              <w:adjustRightInd/>
              <w:rPr>
                <w:b w:val="0"/>
                <w:bCs w:val="0"/>
                <w:sz w:val="22"/>
                <w:szCs w:val="22"/>
              </w:rPr>
            </w:pPr>
            <w:r w:rsidRPr="001C047C">
              <w:rPr>
                <w:b w:val="0"/>
                <w:bCs w:val="0"/>
                <w:sz w:val="22"/>
                <w:szCs w:val="22"/>
              </w:rPr>
              <w:t>Legal professionals and benefit specialists prepare disclosures for level-funded group health plans and self-insured group health plans with less than 1,000 employees</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1C047C" w:rsidRPr="001C047C" w:rsidP="001C047C" w14:paraId="10757B7C" w14:textId="77777777">
            <w:pPr>
              <w:widowControl/>
              <w:autoSpaceDE/>
              <w:autoSpaceDN/>
              <w:adjustRightInd/>
              <w:jc w:val="right"/>
              <w:rPr>
                <w:b w:val="0"/>
                <w:bCs w:val="0"/>
                <w:sz w:val="22"/>
                <w:szCs w:val="22"/>
              </w:rPr>
            </w:pPr>
            <w:r w:rsidRPr="001C047C">
              <w:rPr>
                <w:b w:val="0"/>
                <w:bCs w:val="0"/>
                <w:sz w:val="22"/>
                <w:szCs w:val="22"/>
              </w:rPr>
              <w:t>378,407</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C047C" w:rsidRPr="001C047C" w:rsidP="001C047C" w14:paraId="060F071D" w14:textId="77777777">
            <w:pPr>
              <w:widowControl/>
              <w:autoSpaceDE/>
              <w:autoSpaceDN/>
              <w:adjustRightInd/>
              <w:jc w:val="right"/>
              <w:rPr>
                <w:b w:val="0"/>
                <w:bCs w:val="0"/>
                <w:sz w:val="22"/>
                <w:szCs w:val="22"/>
              </w:rPr>
            </w:pPr>
            <w:r w:rsidRPr="001C047C">
              <w:rPr>
                <w:b w:val="0"/>
                <w:bCs w:val="0"/>
                <w:sz w:val="22"/>
                <w:szCs w:val="22"/>
              </w:rPr>
              <w:t>0.25</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1C047C" w:rsidRPr="001C047C" w:rsidP="001C047C" w14:paraId="09908675" w14:textId="77777777">
            <w:pPr>
              <w:widowControl/>
              <w:autoSpaceDE/>
              <w:autoSpaceDN/>
              <w:adjustRightInd/>
              <w:jc w:val="right"/>
              <w:rPr>
                <w:b w:val="0"/>
                <w:bCs w:val="0"/>
                <w:sz w:val="22"/>
                <w:szCs w:val="22"/>
              </w:rPr>
            </w:pPr>
            <w:r w:rsidRPr="001C047C">
              <w:rPr>
                <w:rFonts w:eastAsia="Calibri"/>
                <w:b w:val="0"/>
                <w:bCs w:val="0"/>
                <w:sz w:val="22"/>
                <w:szCs w:val="22"/>
              </w:rPr>
              <w:t>94,602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C047C" w:rsidRPr="001C047C" w:rsidP="001C047C" w14:paraId="0882DC59" w14:textId="77777777">
            <w:pPr>
              <w:widowControl/>
              <w:autoSpaceDE/>
              <w:autoSpaceDN/>
              <w:adjustRightInd/>
              <w:jc w:val="right"/>
              <w:rPr>
                <w:b w:val="0"/>
                <w:bCs w:val="0"/>
                <w:sz w:val="22"/>
                <w:szCs w:val="22"/>
              </w:rPr>
            </w:pPr>
            <w:r w:rsidRPr="001C047C">
              <w:rPr>
                <w:rFonts w:eastAsia="Calibri"/>
                <w:b w:val="0"/>
                <w:bCs w:val="0"/>
                <w:sz w:val="22"/>
                <w:szCs w:val="22"/>
              </w:rPr>
              <w:t>$155.10</w:t>
            </w:r>
          </w:p>
        </w:tc>
        <w:tc>
          <w:tcPr>
            <w:tcW w:w="1620" w:type="dxa"/>
            <w:tcBorders>
              <w:top w:val="single" w:sz="4" w:space="0" w:color="auto"/>
              <w:left w:val="nil"/>
              <w:bottom w:val="single" w:sz="4" w:space="0" w:color="auto"/>
              <w:right w:val="single" w:sz="4" w:space="0" w:color="auto"/>
            </w:tcBorders>
            <w:noWrap/>
            <w:vAlign w:val="bottom"/>
            <w:hideMark/>
          </w:tcPr>
          <w:p w:rsidR="001C047C" w:rsidRPr="001C047C" w:rsidP="001C047C" w14:paraId="1F4BEB65" w14:textId="77777777">
            <w:pPr>
              <w:widowControl/>
              <w:autoSpaceDE/>
              <w:autoSpaceDN/>
              <w:adjustRightInd/>
              <w:jc w:val="right"/>
              <w:rPr>
                <w:b w:val="0"/>
                <w:bCs w:val="0"/>
                <w:sz w:val="22"/>
                <w:szCs w:val="22"/>
              </w:rPr>
            </w:pPr>
            <w:r w:rsidRPr="001C047C">
              <w:rPr>
                <w:rFonts w:eastAsia="Calibri"/>
                <w:b w:val="0"/>
                <w:bCs w:val="0"/>
                <w:sz w:val="22"/>
                <w:szCs w:val="22"/>
              </w:rPr>
              <w:t>$14,672,731</w:t>
            </w:r>
          </w:p>
        </w:tc>
      </w:tr>
      <w:tr w14:paraId="7FC2FD73" w14:textId="77777777" w:rsidTr="00FB5F22">
        <w:tblPrEx>
          <w:tblW w:w="9895" w:type="dxa"/>
          <w:tblLayout w:type="fixed"/>
          <w:tblLook w:val="04A0"/>
        </w:tblPrEx>
        <w:trPr>
          <w:trHeight w:val="476"/>
        </w:trPr>
        <w:tc>
          <w:tcPr>
            <w:tcW w:w="3325" w:type="dxa"/>
            <w:tcBorders>
              <w:top w:val="single" w:sz="4" w:space="0" w:color="auto"/>
              <w:left w:val="single" w:sz="4" w:space="0" w:color="auto"/>
              <w:bottom w:val="single" w:sz="4" w:space="0" w:color="auto"/>
              <w:right w:val="single" w:sz="4" w:space="0" w:color="auto"/>
            </w:tcBorders>
            <w:vAlign w:val="bottom"/>
          </w:tcPr>
          <w:p w:rsidR="001C047C" w:rsidRPr="001C047C" w:rsidP="001C047C" w14:paraId="0D27E09A" w14:textId="77777777">
            <w:pPr>
              <w:widowControl/>
              <w:autoSpaceDE/>
              <w:autoSpaceDN/>
              <w:adjustRightInd/>
              <w:rPr>
                <w:b w:val="0"/>
                <w:bCs w:val="0"/>
                <w:sz w:val="22"/>
                <w:szCs w:val="22"/>
              </w:rPr>
            </w:pPr>
            <w:r w:rsidRPr="001C047C">
              <w:rPr>
                <w:b w:val="0"/>
                <w:bCs w:val="0"/>
                <w:sz w:val="22"/>
                <w:szCs w:val="22"/>
              </w:rPr>
              <w:t>Legal professionals and benefit specialists prepare disclosures for level-funded group health plans and self-insured group health plans with 1,000 or more employees</w:t>
            </w:r>
          </w:p>
        </w:tc>
        <w:tc>
          <w:tcPr>
            <w:tcW w:w="1350" w:type="dxa"/>
            <w:tcBorders>
              <w:top w:val="single" w:sz="4" w:space="0" w:color="auto"/>
              <w:left w:val="single" w:sz="4" w:space="0" w:color="auto"/>
              <w:bottom w:val="single" w:sz="4" w:space="0" w:color="auto"/>
              <w:right w:val="single" w:sz="4" w:space="0" w:color="auto"/>
            </w:tcBorders>
            <w:noWrap/>
            <w:vAlign w:val="bottom"/>
          </w:tcPr>
          <w:p w:rsidR="001C047C" w:rsidRPr="001C047C" w:rsidP="001C047C" w14:paraId="4DE03475" w14:textId="77777777">
            <w:pPr>
              <w:widowControl/>
              <w:autoSpaceDE/>
              <w:autoSpaceDN/>
              <w:adjustRightInd/>
              <w:jc w:val="right"/>
              <w:rPr>
                <w:b w:val="0"/>
                <w:bCs w:val="0"/>
                <w:sz w:val="22"/>
                <w:szCs w:val="22"/>
              </w:rPr>
            </w:pPr>
            <w:r w:rsidRPr="001C047C">
              <w:rPr>
                <w:rFonts w:eastAsia="Calibri"/>
                <w:b w:val="0"/>
                <w:bCs w:val="0"/>
                <w:sz w:val="22"/>
                <w:szCs w:val="22"/>
              </w:rPr>
              <w:t>5,121</w:t>
            </w:r>
          </w:p>
        </w:tc>
        <w:tc>
          <w:tcPr>
            <w:tcW w:w="1080" w:type="dxa"/>
            <w:tcBorders>
              <w:top w:val="single" w:sz="4" w:space="0" w:color="auto"/>
              <w:left w:val="single" w:sz="4" w:space="0" w:color="auto"/>
              <w:bottom w:val="single" w:sz="4" w:space="0" w:color="auto"/>
              <w:right w:val="single" w:sz="4" w:space="0" w:color="auto"/>
            </w:tcBorders>
            <w:noWrap/>
            <w:vAlign w:val="bottom"/>
          </w:tcPr>
          <w:p w:rsidR="001C047C" w:rsidRPr="001C047C" w:rsidP="001C047C" w14:paraId="2D495568" w14:textId="77777777">
            <w:pPr>
              <w:widowControl/>
              <w:autoSpaceDE/>
              <w:autoSpaceDN/>
              <w:adjustRightInd/>
              <w:jc w:val="right"/>
              <w:rPr>
                <w:b w:val="0"/>
                <w:bCs w:val="0"/>
                <w:sz w:val="22"/>
                <w:szCs w:val="22"/>
              </w:rPr>
            </w:pPr>
            <w:r w:rsidRPr="001C047C">
              <w:rPr>
                <w:rFonts w:eastAsia="Calibri"/>
                <w:b w:val="0"/>
                <w:bCs w:val="0"/>
                <w:sz w:val="22"/>
                <w:szCs w:val="22"/>
              </w:rPr>
              <w:t>0.50</w:t>
            </w:r>
          </w:p>
        </w:tc>
        <w:tc>
          <w:tcPr>
            <w:tcW w:w="1440" w:type="dxa"/>
            <w:tcBorders>
              <w:top w:val="single" w:sz="4" w:space="0" w:color="auto"/>
              <w:left w:val="single" w:sz="4" w:space="0" w:color="auto"/>
              <w:bottom w:val="single" w:sz="4" w:space="0" w:color="auto"/>
              <w:right w:val="single" w:sz="4" w:space="0" w:color="auto"/>
            </w:tcBorders>
            <w:noWrap/>
            <w:vAlign w:val="bottom"/>
          </w:tcPr>
          <w:p w:rsidR="001C047C" w:rsidRPr="001C047C" w:rsidP="001C047C" w14:paraId="715E35A5" w14:textId="77777777">
            <w:pPr>
              <w:widowControl/>
              <w:autoSpaceDE/>
              <w:autoSpaceDN/>
              <w:adjustRightInd/>
              <w:jc w:val="right"/>
              <w:rPr>
                <w:b w:val="0"/>
                <w:bCs w:val="0"/>
                <w:sz w:val="22"/>
                <w:szCs w:val="22"/>
              </w:rPr>
            </w:pPr>
            <w:r w:rsidRPr="001C047C">
              <w:rPr>
                <w:rFonts w:eastAsia="Calibri"/>
                <w:b w:val="0"/>
                <w:bCs w:val="0"/>
                <w:sz w:val="22"/>
                <w:szCs w:val="22"/>
              </w:rPr>
              <w:t>2,561</w:t>
            </w:r>
          </w:p>
        </w:tc>
        <w:tc>
          <w:tcPr>
            <w:tcW w:w="1080" w:type="dxa"/>
            <w:tcBorders>
              <w:top w:val="single" w:sz="4" w:space="0" w:color="auto"/>
              <w:left w:val="single" w:sz="4" w:space="0" w:color="auto"/>
              <w:bottom w:val="single" w:sz="4" w:space="0" w:color="auto"/>
              <w:right w:val="single" w:sz="4" w:space="0" w:color="auto"/>
            </w:tcBorders>
            <w:noWrap/>
            <w:vAlign w:val="bottom"/>
          </w:tcPr>
          <w:p w:rsidR="001C047C" w:rsidRPr="001C047C" w:rsidP="001C047C" w14:paraId="463CE3FE" w14:textId="77777777">
            <w:pPr>
              <w:widowControl/>
              <w:autoSpaceDE/>
              <w:autoSpaceDN/>
              <w:adjustRightInd/>
              <w:jc w:val="right"/>
              <w:rPr>
                <w:b w:val="0"/>
                <w:bCs w:val="0"/>
                <w:sz w:val="22"/>
                <w:szCs w:val="22"/>
              </w:rPr>
            </w:pPr>
            <w:r w:rsidRPr="001C047C">
              <w:rPr>
                <w:rFonts w:eastAsia="Calibri"/>
                <w:b w:val="0"/>
                <w:bCs w:val="0"/>
                <w:sz w:val="22"/>
                <w:szCs w:val="22"/>
              </w:rPr>
              <w:t>$155.10</w:t>
            </w:r>
          </w:p>
        </w:tc>
        <w:tc>
          <w:tcPr>
            <w:tcW w:w="1620" w:type="dxa"/>
            <w:tcBorders>
              <w:top w:val="single" w:sz="4" w:space="0" w:color="auto"/>
              <w:left w:val="nil"/>
              <w:bottom w:val="single" w:sz="4" w:space="0" w:color="auto"/>
              <w:right w:val="single" w:sz="4" w:space="0" w:color="auto"/>
            </w:tcBorders>
            <w:noWrap/>
            <w:vAlign w:val="bottom"/>
          </w:tcPr>
          <w:p w:rsidR="001C047C" w:rsidRPr="001C047C" w:rsidP="001C047C" w14:paraId="2903543A" w14:textId="77777777">
            <w:pPr>
              <w:widowControl/>
              <w:autoSpaceDE/>
              <w:autoSpaceDN/>
              <w:adjustRightInd/>
              <w:jc w:val="right"/>
              <w:rPr>
                <w:b w:val="0"/>
                <w:bCs w:val="0"/>
                <w:sz w:val="22"/>
                <w:szCs w:val="22"/>
              </w:rPr>
            </w:pPr>
            <w:r w:rsidRPr="001C047C">
              <w:rPr>
                <w:rFonts w:eastAsia="Calibri"/>
                <w:b w:val="0"/>
                <w:bCs w:val="0"/>
                <w:sz w:val="22"/>
                <w:szCs w:val="22"/>
              </w:rPr>
              <w:t>$397,134</w:t>
            </w:r>
          </w:p>
        </w:tc>
      </w:tr>
      <w:tr w14:paraId="76BDE65D" w14:textId="77777777" w:rsidTr="00FB5F22">
        <w:tblPrEx>
          <w:tblW w:w="9895" w:type="dxa"/>
          <w:tblLayout w:type="fixed"/>
          <w:tblLook w:val="04A0"/>
        </w:tblPrEx>
        <w:trPr>
          <w:trHeight w:val="233"/>
        </w:trPr>
        <w:tc>
          <w:tcPr>
            <w:tcW w:w="9895" w:type="dxa"/>
            <w:gridSpan w:val="6"/>
            <w:tcBorders>
              <w:top w:val="single" w:sz="4" w:space="0" w:color="auto"/>
              <w:left w:val="single" w:sz="4" w:space="0" w:color="auto"/>
              <w:bottom w:val="single" w:sz="4" w:space="0" w:color="auto"/>
              <w:right w:val="single" w:sz="4" w:space="0" w:color="000000"/>
            </w:tcBorders>
            <w:noWrap/>
            <w:vAlign w:val="bottom"/>
            <w:hideMark/>
          </w:tcPr>
          <w:p w:rsidR="001C047C" w:rsidRPr="001C047C" w:rsidP="001C047C" w14:paraId="76821072" w14:textId="77777777">
            <w:pPr>
              <w:widowControl/>
              <w:autoSpaceDE/>
              <w:autoSpaceDN/>
              <w:adjustRightInd/>
              <w:rPr>
                <w:i/>
                <w:iCs/>
                <w:sz w:val="22"/>
                <w:szCs w:val="22"/>
                <w:u w:val="single"/>
              </w:rPr>
            </w:pPr>
            <w:r w:rsidRPr="001C047C">
              <w:rPr>
                <w:i/>
                <w:iCs/>
                <w:sz w:val="22"/>
                <w:szCs w:val="22"/>
                <w:u w:val="single"/>
              </w:rPr>
              <w:t xml:space="preserve">PBMs provide missing/other information requested by self-insured group health plans </w:t>
            </w:r>
          </w:p>
        </w:tc>
      </w:tr>
      <w:tr w14:paraId="0A64B13C" w14:textId="77777777" w:rsidTr="00FB5F22">
        <w:tblPrEx>
          <w:tblW w:w="9895" w:type="dxa"/>
          <w:tblLayout w:type="fixed"/>
          <w:tblLook w:val="04A0"/>
        </w:tblPrEx>
        <w:trPr>
          <w:trHeight w:val="350"/>
        </w:trPr>
        <w:tc>
          <w:tcPr>
            <w:tcW w:w="3325" w:type="dxa"/>
            <w:tcBorders>
              <w:top w:val="single" w:sz="4" w:space="0" w:color="auto"/>
              <w:left w:val="single" w:sz="4" w:space="0" w:color="auto"/>
              <w:bottom w:val="single" w:sz="4" w:space="0" w:color="auto"/>
              <w:right w:val="single" w:sz="4" w:space="0" w:color="auto"/>
            </w:tcBorders>
            <w:vAlign w:val="bottom"/>
            <w:hideMark/>
          </w:tcPr>
          <w:p w:rsidR="001C047C" w:rsidRPr="001C047C" w:rsidP="001C047C" w14:paraId="6E3B6ED9" w14:textId="77777777">
            <w:pPr>
              <w:widowControl/>
              <w:autoSpaceDE/>
              <w:autoSpaceDN/>
              <w:adjustRightInd/>
              <w:rPr>
                <w:b w:val="0"/>
                <w:bCs w:val="0"/>
                <w:sz w:val="22"/>
                <w:szCs w:val="22"/>
              </w:rPr>
            </w:pPr>
            <w:r w:rsidRPr="001C047C">
              <w:rPr>
                <w:b w:val="0"/>
                <w:bCs w:val="0"/>
                <w:sz w:val="22"/>
                <w:szCs w:val="22"/>
              </w:rPr>
              <w:t>Benefit specialists prepare and send information</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1C047C" w:rsidRPr="001C047C" w:rsidP="001C047C" w14:paraId="79187EC7" w14:textId="77777777">
            <w:pPr>
              <w:widowControl/>
              <w:autoSpaceDE/>
              <w:autoSpaceDN/>
              <w:adjustRightInd/>
              <w:jc w:val="right"/>
              <w:rPr>
                <w:b w:val="0"/>
                <w:bCs w:val="0"/>
                <w:sz w:val="22"/>
                <w:szCs w:val="22"/>
              </w:rPr>
            </w:pPr>
            <w:r w:rsidRPr="001C047C">
              <w:rPr>
                <w:b w:val="0"/>
                <w:bCs w:val="0"/>
                <w:sz w:val="22"/>
                <w:szCs w:val="22"/>
              </w:rPr>
              <w:t>38,353</w:t>
            </w:r>
          </w:p>
        </w:tc>
        <w:tc>
          <w:tcPr>
            <w:tcW w:w="1080" w:type="dxa"/>
            <w:tcBorders>
              <w:top w:val="single" w:sz="4" w:space="0" w:color="auto"/>
              <w:left w:val="nil"/>
              <w:bottom w:val="single" w:sz="4" w:space="0" w:color="auto"/>
              <w:right w:val="single" w:sz="4" w:space="0" w:color="auto"/>
            </w:tcBorders>
            <w:noWrap/>
            <w:vAlign w:val="bottom"/>
            <w:hideMark/>
          </w:tcPr>
          <w:p w:rsidR="001C047C" w:rsidRPr="001C047C" w:rsidP="001C047C" w14:paraId="3BC4938D" w14:textId="77777777">
            <w:pPr>
              <w:widowControl/>
              <w:autoSpaceDE/>
              <w:autoSpaceDN/>
              <w:adjustRightInd/>
              <w:jc w:val="right"/>
              <w:rPr>
                <w:b w:val="0"/>
                <w:bCs w:val="0"/>
                <w:sz w:val="22"/>
                <w:szCs w:val="22"/>
              </w:rPr>
            </w:pPr>
            <w:r w:rsidRPr="001C047C">
              <w:rPr>
                <w:b w:val="0"/>
                <w:bCs w:val="0"/>
                <w:sz w:val="22"/>
                <w:szCs w:val="22"/>
              </w:rPr>
              <w:t>0.25</w:t>
            </w:r>
          </w:p>
        </w:tc>
        <w:tc>
          <w:tcPr>
            <w:tcW w:w="1440" w:type="dxa"/>
            <w:tcBorders>
              <w:top w:val="single" w:sz="4" w:space="0" w:color="auto"/>
              <w:left w:val="nil"/>
              <w:bottom w:val="single" w:sz="4" w:space="0" w:color="auto"/>
              <w:right w:val="single" w:sz="4" w:space="0" w:color="auto"/>
            </w:tcBorders>
            <w:noWrap/>
            <w:vAlign w:val="bottom"/>
            <w:hideMark/>
          </w:tcPr>
          <w:p w:rsidR="001C047C" w:rsidRPr="001C047C" w:rsidP="001C047C" w14:paraId="7F5D5A6A" w14:textId="77777777">
            <w:pPr>
              <w:widowControl/>
              <w:autoSpaceDE/>
              <w:autoSpaceDN/>
              <w:adjustRightInd/>
              <w:jc w:val="right"/>
              <w:rPr>
                <w:b w:val="0"/>
                <w:bCs w:val="0"/>
                <w:sz w:val="22"/>
                <w:szCs w:val="22"/>
              </w:rPr>
            </w:pPr>
            <w:r w:rsidRPr="001C047C">
              <w:rPr>
                <w:b w:val="0"/>
                <w:bCs w:val="0"/>
                <w:sz w:val="22"/>
                <w:szCs w:val="22"/>
              </w:rPr>
              <w:t>9,588</w:t>
            </w:r>
          </w:p>
        </w:tc>
        <w:tc>
          <w:tcPr>
            <w:tcW w:w="1080" w:type="dxa"/>
            <w:tcBorders>
              <w:top w:val="single" w:sz="4" w:space="0" w:color="auto"/>
              <w:left w:val="nil"/>
              <w:bottom w:val="single" w:sz="4" w:space="0" w:color="auto"/>
              <w:right w:val="single" w:sz="4" w:space="0" w:color="auto"/>
            </w:tcBorders>
            <w:noWrap/>
            <w:vAlign w:val="bottom"/>
            <w:hideMark/>
          </w:tcPr>
          <w:p w:rsidR="001C047C" w:rsidRPr="001C047C" w:rsidP="001C047C" w14:paraId="3B629EAD" w14:textId="77777777">
            <w:pPr>
              <w:widowControl/>
              <w:autoSpaceDE/>
              <w:autoSpaceDN/>
              <w:adjustRightInd/>
              <w:jc w:val="right"/>
              <w:rPr>
                <w:b w:val="0"/>
                <w:bCs w:val="0"/>
                <w:sz w:val="22"/>
                <w:szCs w:val="22"/>
              </w:rPr>
            </w:pPr>
            <w:r w:rsidRPr="001C047C">
              <w:rPr>
                <w:b w:val="0"/>
                <w:bCs w:val="0"/>
                <w:sz w:val="22"/>
                <w:szCs w:val="22"/>
              </w:rPr>
              <w:t>$129.14</w:t>
            </w:r>
          </w:p>
        </w:tc>
        <w:tc>
          <w:tcPr>
            <w:tcW w:w="1620" w:type="dxa"/>
            <w:tcBorders>
              <w:top w:val="single" w:sz="4" w:space="0" w:color="auto"/>
              <w:left w:val="nil"/>
              <w:bottom w:val="single" w:sz="4" w:space="0" w:color="auto"/>
              <w:right w:val="single" w:sz="4" w:space="0" w:color="auto"/>
            </w:tcBorders>
            <w:noWrap/>
            <w:vAlign w:val="bottom"/>
            <w:hideMark/>
          </w:tcPr>
          <w:p w:rsidR="001C047C" w:rsidRPr="001C047C" w:rsidP="001C047C" w14:paraId="516E2A97" w14:textId="77777777">
            <w:pPr>
              <w:widowControl/>
              <w:autoSpaceDE/>
              <w:autoSpaceDN/>
              <w:adjustRightInd/>
              <w:jc w:val="right"/>
              <w:rPr>
                <w:b w:val="0"/>
                <w:bCs w:val="0"/>
                <w:sz w:val="22"/>
                <w:szCs w:val="22"/>
              </w:rPr>
            </w:pPr>
            <w:r w:rsidRPr="001C047C">
              <w:rPr>
                <w:b w:val="0"/>
                <w:bCs w:val="0"/>
                <w:sz w:val="22"/>
                <w:szCs w:val="22"/>
              </w:rPr>
              <w:t>$1,238,227</w:t>
            </w:r>
          </w:p>
        </w:tc>
      </w:tr>
      <w:tr w14:paraId="38F4D55C" w14:textId="77777777" w:rsidTr="00FB5F22">
        <w:tblPrEx>
          <w:tblW w:w="9895" w:type="dxa"/>
          <w:tblLayout w:type="fixed"/>
          <w:tblLook w:val="04A0"/>
        </w:tblPrEx>
        <w:trPr>
          <w:trHeight w:val="310"/>
        </w:trPr>
        <w:tc>
          <w:tcPr>
            <w:tcW w:w="9895" w:type="dxa"/>
            <w:gridSpan w:val="6"/>
            <w:tcBorders>
              <w:top w:val="nil"/>
              <w:left w:val="single" w:sz="4" w:space="0" w:color="auto"/>
              <w:bottom w:val="single" w:sz="4" w:space="0" w:color="auto"/>
              <w:right w:val="single" w:sz="4" w:space="0" w:color="auto"/>
            </w:tcBorders>
            <w:noWrap/>
            <w:vAlign w:val="bottom"/>
            <w:hideMark/>
          </w:tcPr>
          <w:p w:rsidR="001C047C" w:rsidRPr="001C047C" w:rsidP="001C047C" w14:paraId="53EFFE1F" w14:textId="77777777">
            <w:pPr>
              <w:widowControl/>
              <w:autoSpaceDE/>
              <w:autoSpaceDN/>
              <w:adjustRightInd/>
              <w:rPr>
                <w:i/>
                <w:iCs/>
                <w:sz w:val="22"/>
                <w:szCs w:val="22"/>
                <w:u w:val="single"/>
              </w:rPr>
            </w:pPr>
            <w:r w:rsidRPr="001C047C">
              <w:rPr>
                <w:i/>
                <w:iCs/>
                <w:sz w:val="22"/>
                <w:szCs w:val="22"/>
                <w:u w:val="single"/>
              </w:rPr>
              <w:t>PBMs provide semiannual disclosures to self-insured group health plans</w:t>
            </w:r>
          </w:p>
        </w:tc>
      </w:tr>
      <w:tr w14:paraId="6620F2DA" w14:textId="77777777" w:rsidTr="00FB5F22">
        <w:tblPrEx>
          <w:tblW w:w="9895" w:type="dxa"/>
          <w:tblLayout w:type="fixed"/>
          <w:tblLook w:val="04A0"/>
        </w:tblPrEx>
        <w:trPr>
          <w:trHeight w:val="413"/>
        </w:trPr>
        <w:tc>
          <w:tcPr>
            <w:tcW w:w="3325" w:type="dxa"/>
            <w:tcBorders>
              <w:top w:val="nil"/>
              <w:left w:val="single" w:sz="4" w:space="0" w:color="auto"/>
              <w:bottom w:val="single" w:sz="4" w:space="0" w:color="auto"/>
              <w:right w:val="single" w:sz="4" w:space="0" w:color="auto"/>
            </w:tcBorders>
            <w:vAlign w:val="bottom"/>
            <w:hideMark/>
          </w:tcPr>
          <w:p w:rsidR="001C047C" w:rsidRPr="001C047C" w:rsidP="001C047C" w14:paraId="23AA0C0E" w14:textId="77777777">
            <w:pPr>
              <w:widowControl/>
              <w:autoSpaceDE/>
              <w:autoSpaceDN/>
              <w:adjustRightInd/>
              <w:rPr>
                <w:b w:val="0"/>
                <w:bCs w:val="0"/>
                <w:sz w:val="22"/>
                <w:szCs w:val="22"/>
              </w:rPr>
            </w:pPr>
            <w:r w:rsidRPr="001C047C">
              <w:rPr>
                <w:b w:val="0"/>
                <w:bCs w:val="0"/>
                <w:sz w:val="22"/>
                <w:szCs w:val="22"/>
              </w:rPr>
              <w:t>Benefit specialists prepare and send disclosures</w:t>
            </w:r>
          </w:p>
        </w:tc>
        <w:tc>
          <w:tcPr>
            <w:tcW w:w="1350" w:type="dxa"/>
            <w:tcBorders>
              <w:top w:val="nil"/>
              <w:left w:val="nil"/>
              <w:bottom w:val="single" w:sz="4" w:space="0" w:color="auto"/>
              <w:right w:val="single" w:sz="4" w:space="0" w:color="auto"/>
            </w:tcBorders>
            <w:noWrap/>
            <w:vAlign w:val="bottom"/>
            <w:hideMark/>
          </w:tcPr>
          <w:p w:rsidR="001C047C" w:rsidRPr="001C047C" w:rsidP="001C047C" w14:paraId="4D9D4290" w14:textId="77777777">
            <w:pPr>
              <w:widowControl/>
              <w:autoSpaceDE/>
              <w:autoSpaceDN/>
              <w:adjustRightInd/>
              <w:jc w:val="right"/>
              <w:rPr>
                <w:b w:val="0"/>
                <w:bCs w:val="0"/>
                <w:sz w:val="22"/>
                <w:szCs w:val="22"/>
              </w:rPr>
            </w:pPr>
            <w:r w:rsidRPr="001C047C">
              <w:rPr>
                <w:b w:val="0"/>
                <w:bCs w:val="0"/>
                <w:sz w:val="22"/>
                <w:szCs w:val="22"/>
              </w:rPr>
              <w:t>2,301,167</w:t>
            </w:r>
          </w:p>
        </w:tc>
        <w:tc>
          <w:tcPr>
            <w:tcW w:w="1080" w:type="dxa"/>
            <w:tcBorders>
              <w:top w:val="nil"/>
              <w:left w:val="nil"/>
              <w:bottom w:val="single" w:sz="4" w:space="0" w:color="auto"/>
              <w:right w:val="single" w:sz="4" w:space="0" w:color="auto"/>
            </w:tcBorders>
            <w:noWrap/>
            <w:vAlign w:val="bottom"/>
            <w:hideMark/>
          </w:tcPr>
          <w:p w:rsidR="001C047C" w:rsidRPr="001C047C" w:rsidP="001C047C" w14:paraId="250F611C" w14:textId="77777777">
            <w:pPr>
              <w:widowControl/>
              <w:autoSpaceDE/>
              <w:autoSpaceDN/>
              <w:adjustRightInd/>
              <w:jc w:val="right"/>
              <w:rPr>
                <w:b w:val="0"/>
                <w:bCs w:val="0"/>
                <w:sz w:val="22"/>
                <w:szCs w:val="22"/>
              </w:rPr>
            </w:pPr>
            <w:r w:rsidRPr="001C047C">
              <w:rPr>
                <w:b w:val="0"/>
                <w:bCs w:val="0"/>
                <w:sz w:val="22"/>
                <w:szCs w:val="22"/>
              </w:rPr>
              <w:t>0.25</w:t>
            </w:r>
          </w:p>
        </w:tc>
        <w:tc>
          <w:tcPr>
            <w:tcW w:w="1440" w:type="dxa"/>
            <w:tcBorders>
              <w:top w:val="nil"/>
              <w:left w:val="nil"/>
              <w:bottom w:val="single" w:sz="4" w:space="0" w:color="auto"/>
              <w:right w:val="single" w:sz="4" w:space="0" w:color="auto"/>
            </w:tcBorders>
            <w:noWrap/>
            <w:vAlign w:val="bottom"/>
            <w:hideMark/>
          </w:tcPr>
          <w:p w:rsidR="001C047C" w:rsidRPr="001C047C" w:rsidP="001C047C" w14:paraId="5A0D3DFF" w14:textId="77777777">
            <w:pPr>
              <w:widowControl/>
              <w:autoSpaceDE/>
              <w:autoSpaceDN/>
              <w:adjustRightInd/>
              <w:jc w:val="right"/>
              <w:rPr>
                <w:b w:val="0"/>
                <w:bCs w:val="0"/>
                <w:sz w:val="22"/>
                <w:szCs w:val="22"/>
              </w:rPr>
            </w:pPr>
            <w:r w:rsidRPr="001C047C">
              <w:rPr>
                <w:b w:val="0"/>
                <w:bCs w:val="0"/>
                <w:sz w:val="22"/>
                <w:szCs w:val="22"/>
              </w:rPr>
              <w:t>575,292</w:t>
            </w:r>
          </w:p>
        </w:tc>
        <w:tc>
          <w:tcPr>
            <w:tcW w:w="1080" w:type="dxa"/>
            <w:tcBorders>
              <w:top w:val="nil"/>
              <w:left w:val="nil"/>
              <w:bottom w:val="single" w:sz="4" w:space="0" w:color="auto"/>
              <w:right w:val="single" w:sz="4" w:space="0" w:color="auto"/>
            </w:tcBorders>
            <w:noWrap/>
            <w:vAlign w:val="bottom"/>
            <w:hideMark/>
          </w:tcPr>
          <w:p w:rsidR="001C047C" w:rsidRPr="001C047C" w:rsidP="001C047C" w14:paraId="49103CC6" w14:textId="77777777">
            <w:pPr>
              <w:widowControl/>
              <w:autoSpaceDE/>
              <w:autoSpaceDN/>
              <w:adjustRightInd/>
              <w:jc w:val="right"/>
              <w:rPr>
                <w:b w:val="0"/>
                <w:bCs w:val="0"/>
                <w:sz w:val="22"/>
                <w:szCs w:val="22"/>
              </w:rPr>
            </w:pPr>
            <w:r w:rsidRPr="001C047C">
              <w:rPr>
                <w:b w:val="0"/>
                <w:bCs w:val="0"/>
                <w:sz w:val="22"/>
                <w:szCs w:val="22"/>
              </w:rPr>
              <w:t>$129.14</w:t>
            </w:r>
          </w:p>
        </w:tc>
        <w:tc>
          <w:tcPr>
            <w:tcW w:w="1620" w:type="dxa"/>
            <w:tcBorders>
              <w:top w:val="nil"/>
              <w:left w:val="nil"/>
              <w:bottom w:val="single" w:sz="4" w:space="0" w:color="auto"/>
              <w:right w:val="single" w:sz="4" w:space="0" w:color="auto"/>
            </w:tcBorders>
            <w:noWrap/>
            <w:vAlign w:val="bottom"/>
            <w:hideMark/>
          </w:tcPr>
          <w:p w:rsidR="001C047C" w:rsidRPr="001C047C" w:rsidP="001C047C" w14:paraId="0EF8494E" w14:textId="77777777">
            <w:pPr>
              <w:widowControl/>
              <w:autoSpaceDE/>
              <w:autoSpaceDN/>
              <w:adjustRightInd/>
              <w:jc w:val="right"/>
              <w:rPr>
                <w:b w:val="0"/>
                <w:bCs w:val="0"/>
                <w:sz w:val="22"/>
                <w:szCs w:val="22"/>
              </w:rPr>
            </w:pPr>
            <w:r w:rsidRPr="001C047C">
              <w:rPr>
                <w:b w:val="0"/>
                <w:bCs w:val="0"/>
                <w:sz w:val="22"/>
                <w:szCs w:val="22"/>
              </w:rPr>
              <w:t>$74,293,177</w:t>
            </w:r>
          </w:p>
        </w:tc>
      </w:tr>
      <w:tr w14:paraId="4D985589" w14:textId="77777777" w:rsidTr="00FB5F22">
        <w:tblPrEx>
          <w:tblW w:w="9895" w:type="dxa"/>
          <w:tblLayout w:type="fixed"/>
          <w:tblLook w:val="04A0"/>
        </w:tblPrEx>
        <w:trPr>
          <w:trHeight w:val="188"/>
        </w:trPr>
        <w:tc>
          <w:tcPr>
            <w:tcW w:w="9895" w:type="dxa"/>
            <w:gridSpan w:val="6"/>
            <w:tcBorders>
              <w:top w:val="single" w:sz="4" w:space="0" w:color="auto"/>
              <w:left w:val="single" w:sz="4" w:space="0" w:color="auto"/>
              <w:bottom w:val="single" w:sz="4" w:space="0" w:color="auto"/>
              <w:right w:val="single" w:sz="4" w:space="0" w:color="auto"/>
            </w:tcBorders>
            <w:noWrap/>
            <w:vAlign w:val="bottom"/>
            <w:hideMark/>
          </w:tcPr>
          <w:p w:rsidR="001C047C" w:rsidRPr="001C047C" w:rsidP="001C047C" w14:paraId="191173E8" w14:textId="77777777">
            <w:pPr>
              <w:widowControl/>
              <w:autoSpaceDE/>
              <w:autoSpaceDN/>
              <w:adjustRightInd/>
              <w:rPr>
                <w:sz w:val="22"/>
                <w:szCs w:val="22"/>
                <w:u w:val="single"/>
              </w:rPr>
            </w:pPr>
            <w:r w:rsidRPr="001C047C">
              <w:rPr>
                <w:sz w:val="22"/>
                <w:szCs w:val="22"/>
                <w:u w:val="single"/>
              </w:rPr>
              <w:t>Self-insured group health plans send notice to PBMs and DOL</w:t>
            </w:r>
          </w:p>
        </w:tc>
      </w:tr>
      <w:tr w14:paraId="390ECBF5" w14:textId="77777777" w:rsidTr="00FB5F22">
        <w:tblPrEx>
          <w:tblW w:w="9895" w:type="dxa"/>
          <w:tblLayout w:type="fixed"/>
          <w:tblLook w:val="04A0"/>
        </w:tblPrEx>
        <w:trPr>
          <w:trHeight w:val="310"/>
        </w:trPr>
        <w:tc>
          <w:tcPr>
            <w:tcW w:w="9895" w:type="dxa"/>
            <w:gridSpan w:val="6"/>
            <w:tcBorders>
              <w:top w:val="single" w:sz="4" w:space="0" w:color="auto"/>
              <w:left w:val="single" w:sz="4" w:space="0" w:color="auto"/>
              <w:bottom w:val="single" w:sz="4" w:space="0" w:color="auto"/>
              <w:right w:val="single" w:sz="4" w:space="0" w:color="auto"/>
            </w:tcBorders>
            <w:noWrap/>
            <w:vAlign w:val="bottom"/>
            <w:hideMark/>
          </w:tcPr>
          <w:p w:rsidR="001C047C" w:rsidRPr="001C047C" w:rsidP="001C047C" w14:paraId="681642D5" w14:textId="77777777">
            <w:pPr>
              <w:widowControl/>
              <w:autoSpaceDE/>
              <w:autoSpaceDN/>
              <w:adjustRightInd/>
              <w:rPr>
                <w:i/>
                <w:iCs/>
                <w:sz w:val="22"/>
                <w:szCs w:val="22"/>
                <w:u w:val="single"/>
              </w:rPr>
            </w:pPr>
            <w:r w:rsidRPr="001C047C">
              <w:rPr>
                <w:i/>
                <w:iCs/>
                <w:sz w:val="22"/>
                <w:szCs w:val="22"/>
                <w:u w:val="single"/>
              </w:rPr>
              <w:t xml:space="preserve">Self-insured group health plans send </w:t>
            </w:r>
            <w:r w:rsidRPr="001C047C">
              <w:rPr>
                <w:i/>
                <w:iCs/>
                <w:sz w:val="22"/>
                <w:szCs w:val="22"/>
                <w:u w:val="single"/>
              </w:rPr>
              <w:t>request</w:t>
            </w:r>
            <w:r w:rsidRPr="001C047C">
              <w:rPr>
                <w:i/>
                <w:iCs/>
                <w:sz w:val="22"/>
                <w:szCs w:val="22"/>
                <w:u w:val="single"/>
              </w:rPr>
              <w:t xml:space="preserve"> to PBMs to disclose missing/other information</w:t>
            </w:r>
          </w:p>
        </w:tc>
      </w:tr>
      <w:tr w14:paraId="4001F65C" w14:textId="77777777" w:rsidTr="00FB5F22">
        <w:tblPrEx>
          <w:tblW w:w="9895" w:type="dxa"/>
          <w:tblLayout w:type="fixed"/>
          <w:tblLook w:val="04A0"/>
        </w:tblPrEx>
        <w:trPr>
          <w:trHeight w:val="377"/>
        </w:trPr>
        <w:tc>
          <w:tcPr>
            <w:tcW w:w="3325" w:type="dxa"/>
            <w:tcBorders>
              <w:top w:val="nil"/>
              <w:left w:val="single" w:sz="4" w:space="0" w:color="auto"/>
              <w:bottom w:val="single" w:sz="4" w:space="0" w:color="auto"/>
              <w:right w:val="single" w:sz="4" w:space="0" w:color="auto"/>
            </w:tcBorders>
            <w:vAlign w:val="bottom"/>
            <w:hideMark/>
          </w:tcPr>
          <w:p w:rsidR="001C047C" w:rsidRPr="001C047C" w:rsidP="001C047C" w14:paraId="07B34309" w14:textId="77777777">
            <w:pPr>
              <w:widowControl/>
              <w:autoSpaceDE/>
              <w:autoSpaceDN/>
              <w:adjustRightInd/>
              <w:rPr>
                <w:b w:val="0"/>
                <w:bCs w:val="0"/>
                <w:sz w:val="22"/>
                <w:szCs w:val="22"/>
              </w:rPr>
            </w:pPr>
            <w:r w:rsidRPr="001C047C">
              <w:rPr>
                <w:b w:val="0"/>
                <w:bCs w:val="0"/>
                <w:sz w:val="22"/>
                <w:szCs w:val="22"/>
              </w:rPr>
              <w:t>Benefits specialists prepare and send request</w:t>
            </w:r>
          </w:p>
        </w:tc>
        <w:tc>
          <w:tcPr>
            <w:tcW w:w="1350" w:type="dxa"/>
            <w:tcBorders>
              <w:top w:val="nil"/>
              <w:left w:val="nil"/>
              <w:bottom w:val="single" w:sz="4" w:space="0" w:color="auto"/>
              <w:right w:val="single" w:sz="4" w:space="0" w:color="auto"/>
            </w:tcBorders>
            <w:noWrap/>
            <w:vAlign w:val="bottom"/>
            <w:hideMark/>
          </w:tcPr>
          <w:p w:rsidR="001C047C" w:rsidRPr="001C047C" w:rsidP="001C047C" w14:paraId="031F5942" w14:textId="77777777">
            <w:pPr>
              <w:widowControl/>
              <w:autoSpaceDE/>
              <w:autoSpaceDN/>
              <w:adjustRightInd/>
              <w:jc w:val="right"/>
              <w:rPr>
                <w:b w:val="0"/>
                <w:bCs w:val="0"/>
                <w:sz w:val="22"/>
                <w:szCs w:val="22"/>
              </w:rPr>
            </w:pPr>
            <w:r w:rsidRPr="001C047C">
              <w:rPr>
                <w:b w:val="0"/>
                <w:bCs w:val="0"/>
                <w:sz w:val="22"/>
                <w:szCs w:val="22"/>
              </w:rPr>
              <w:t>1,151</w:t>
            </w:r>
          </w:p>
        </w:tc>
        <w:tc>
          <w:tcPr>
            <w:tcW w:w="1080" w:type="dxa"/>
            <w:tcBorders>
              <w:top w:val="nil"/>
              <w:left w:val="nil"/>
              <w:bottom w:val="single" w:sz="4" w:space="0" w:color="auto"/>
              <w:right w:val="single" w:sz="4" w:space="0" w:color="auto"/>
            </w:tcBorders>
            <w:noWrap/>
            <w:vAlign w:val="bottom"/>
            <w:hideMark/>
          </w:tcPr>
          <w:p w:rsidR="001C047C" w:rsidRPr="001C047C" w:rsidP="001C047C" w14:paraId="64AFFA2A" w14:textId="77777777">
            <w:pPr>
              <w:widowControl/>
              <w:autoSpaceDE/>
              <w:autoSpaceDN/>
              <w:adjustRightInd/>
              <w:jc w:val="right"/>
              <w:rPr>
                <w:b w:val="0"/>
                <w:bCs w:val="0"/>
                <w:sz w:val="22"/>
                <w:szCs w:val="22"/>
              </w:rPr>
            </w:pPr>
            <w:r w:rsidRPr="001C047C">
              <w:rPr>
                <w:b w:val="0"/>
                <w:bCs w:val="0"/>
                <w:sz w:val="22"/>
                <w:szCs w:val="22"/>
              </w:rPr>
              <w:t>0.25</w:t>
            </w:r>
          </w:p>
        </w:tc>
        <w:tc>
          <w:tcPr>
            <w:tcW w:w="1440" w:type="dxa"/>
            <w:tcBorders>
              <w:top w:val="nil"/>
              <w:left w:val="nil"/>
              <w:bottom w:val="single" w:sz="4" w:space="0" w:color="auto"/>
              <w:right w:val="single" w:sz="4" w:space="0" w:color="auto"/>
            </w:tcBorders>
            <w:noWrap/>
            <w:vAlign w:val="bottom"/>
            <w:hideMark/>
          </w:tcPr>
          <w:p w:rsidR="001C047C" w:rsidRPr="001C047C" w:rsidP="001C047C" w14:paraId="4E1CF826" w14:textId="77777777">
            <w:pPr>
              <w:widowControl/>
              <w:autoSpaceDE/>
              <w:autoSpaceDN/>
              <w:adjustRightInd/>
              <w:jc w:val="right"/>
              <w:rPr>
                <w:b w:val="0"/>
                <w:bCs w:val="0"/>
                <w:sz w:val="22"/>
                <w:szCs w:val="22"/>
              </w:rPr>
            </w:pPr>
            <w:r w:rsidRPr="001C047C">
              <w:rPr>
                <w:b w:val="0"/>
                <w:bCs w:val="0"/>
                <w:sz w:val="22"/>
                <w:szCs w:val="22"/>
              </w:rPr>
              <w:t>288</w:t>
            </w:r>
          </w:p>
        </w:tc>
        <w:tc>
          <w:tcPr>
            <w:tcW w:w="1080" w:type="dxa"/>
            <w:tcBorders>
              <w:top w:val="nil"/>
              <w:left w:val="nil"/>
              <w:bottom w:val="single" w:sz="4" w:space="0" w:color="auto"/>
              <w:right w:val="single" w:sz="4" w:space="0" w:color="auto"/>
            </w:tcBorders>
            <w:noWrap/>
            <w:vAlign w:val="bottom"/>
            <w:hideMark/>
          </w:tcPr>
          <w:p w:rsidR="001C047C" w:rsidRPr="001C047C" w:rsidP="001C047C" w14:paraId="4868A0F2" w14:textId="77777777">
            <w:pPr>
              <w:widowControl/>
              <w:autoSpaceDE/>
              <w:autoSpaceDN/>
              <w:adjustRightInd/>
              <w:jc w:val="right"/>
              <w:rPr>
                <w:b w:val="0"/>
                <w:bCs w:val="0"/>
                <w:sz w:val="22"/>
                <w:szCs w:val="22"/>
              </w:rPr>
            </w:pPr>
            <w:r w:rsidRPr="001C047C">
              <w:rPr>
                <w:b w:val="0"/>
                <w:bCs w:val="0"/>
                <w:sz w:val="22"/>
                <w:szCs w:val="22"/>
              </w:rPr>
              <w:t>$129.14</w:t>
            </w:r>
          </w:p>
        </w:tc>
        <w:tc>
          <w:tcPr>
            <w:tcW w:w="1620" w:type="dxa"/>
            <w:tcBorders>
              <w:top w:val="nil"/>
              <w:left w:val="nil"/>
              <w:bottom w:val="single" w:sz="4" w:space="0" w:color="auto"/>
              <w:right w:val="single" w:sz="4" w:space="0" w:color="auto"/>
            </w:tcBorders>
            <w:noWrap/>
            <w:vAlign w:val="bottom"/>
            <w:hideMark/>
          </w:tcPr>
          <w:p w:rsidR="001C047C" w:rsidRPr="001C047C" w:rsidP="001C047C" w14:paraId="70F34744" w14:textId="77777777">
            <w:pPr>
              <w:widowControl/>
              <w:autoSpaceDE/>
              <w:autoSpaceDN/>
              <w:adjustRightInd/>
              <w:jc w:val="right"/>
              <w:rPr>
                <w:b w:val="0"/>
                <w:bCs w:val="0"/>
                <w:sz w:val="22"/>
                <w:szCs w:val="22"/>
              </w:rPr>
            </w:pPr>
            <w:r w:rsidRPr="001C047C">
              <w:rPr>
                <w:b w:val="0"/>
                <w:bCs w:val="0"/>
                <w:sz w:val="22"/>
                <w:szCs w:val="22"/>
              </w:rPr>
              <w:t>$37,160</w:t>
            </w:r>
          </w:p>
        </w:tc>
      </w:tr>
      <w:tr w14:paraId="281DE1FE" w14:textId="77777777" w:rsidTr="00FB5F22">
        <w:tblPrEx>
          <w:tblW w:w="9895" w:type="dxa"/>
          <w:tblLayout w:type="fixed"/>
          <w:tblLook w:val="04A0"/>
        </w:tblPrEx>
        <w:trPr>
          <w:trHeight w:val="179"/>
        </w:trPr>
        <w:tc>
          <w:tcPr>
            <w:tcW w:w="9895" w:type="dxa"/>
            <w:gridSpan w:val="6"/>
            <w:tcBorders>
              <w:top w:val="nil"/>
              <w:left w:val="single" w:sz="4" w:space="0" w:color="auto"/>
              <w:bottom w:val="single" w:sz="4" w:space="0" w:color="auto"/>
              <w:right w:val="single" w:sz="4" w:space="0" w:color="auto"/>
            </w:tcBorders>
            <w:noWrap/>
            <w:vAlign w:val="bottom"/>
            <w:hideMark/>
          </w:tcPr>
          <w:p w:rsidR="001C047C" w:rsidRPr="001C047C" w:rsidP="001C047C" w14:paraId="26550E9A" w14:textId="77777777">
            <w:pPr>
              <w:widowControl/>
              <w:autoSpaceDE/>
              <w:autoSpaceDN/>
              <w:adjustRightInd/>
              <w:rPr>
                <w:i/>
                <w:iCs/>
                <w:sz w:val="22"/>
                <w:szCs w:val="22"/>
                <w:u w:val="single"/>
              </w:rPr>
            </w:pPr>
            <w:r w:rsidRPr="001C047C">
              <w:rPr>
                <w:i/>
                <w:iCs/>
                <w:sz w:val="22"/>
                <w:szCs w:val="22"/>
                <w:u w:val="single"/>
              </w:rPr>
              <w:t xml:space="preserve">Self-insured group health plans send notice to DOL after the PBM has not </w:t>
            </w:r>
            <w:r w:rsidRPr="001C047C">
              <w:rPr>
                <w:i/>
                <w:iCs/>
                <w:sz w:val="22"/>
                <w:szCs w:val="22"/>
                <w:u w:val="single"/>
              </w:rPr>
              <w:t>responded</w:t>
            </w:r>
            <w:r w:rsidRPr="001C047C">
              <w:rPr>
                <w:i/>
                <w:iCs/>
                <w:sz w:val="22"/>
                <w:szCs w:val="22"/>
                <w:u w:val="single"/>
              </w:rPr>
              <w:t xml:space="preserve"> within 90 days</w:t>
            </w:r>
          </w:p>
        </w:tc>
      </w:tr>
      <w:tr w14:paraId="43C02FC7" w14:textId="77777777" w:rsidTr="00FB5F22">
        <w:tblPrEx>
          <w:tblW w:w="9895" w:type="dxa"/>
          <w:tblLayout w:type="fixed"/>
          <w:tblLook w:val="04A0"/>
        </w:tblPrEx>
        <w:trPr>
          <w:trHeight w:val="555"/>
        </w:trPr>
        <w:tc>
          <w:tcPr>
            <w:tcW w:w="3325" w:type="dxa"/>
            <w:tcBorders>
              <w:top w:val="nil"/>
              <w:left w:val="single" w:sz="4" w:space="0" w:color="auto"/>
              <w:bottom w:val="single" w:sz="4" w:space="0" w:color="auto"/>
              <w:right w:val="single" w:sz="4" w:space="0" w:color="auto"/>
            </w:tcBorders>
            <w:vAlign w:val="bottom"/>
            <w:hideMark/>
          </w:tcPr>
          <w:p w:rsidR="001C047C" w:rsidRPr="001C047C" w:rsidP="001C047C" w14:paraId="1D73A205" w14:textId="77777777">
            <w:pPr>
              <w:widowControl/>
              <w:autoSpaceDE/>
              <w:autoSpaceDN/>
              <w:adjustRightInd/>
              <w:rPr>
                <w:b w:val="0"/>
                <w:bCs w:val="0"/>
                <w:sz w:val="22"/>
                <w:szCs w:val="22"/>
              </w:rPr>
            </w:pPr>
            <w:r w:rsidRPr="001C047C">
              <w:rPr>
                <w:b w:val="0"/>
                <w:bCs w:val="0"/>
                <w:sz w:val="22"/>
                <w:szCs w:val="22"/>
              </w:rPr>
              <w:t>Benefits specialists prepare and send notice</w:t>
            </w:r>
          </w:p>
        </w:tc>
        <w:tc>
          <w:tcPr>
            <w:tcW w:w="1350" w:type="dxa"/>
            <w:tcBorders>
              <w:top w:val="nil"/>
              <w:left w:val="nil"/>
              <w:bottom w:val="double" w:sz="4" w:space="0" w:color="auto"/>
              <w:right w:val="single" w:sz="4" w:space="0" w:color="auto"/>
            </w:tcBorders>
            <w:noWrap/>
            <w:vAlign w:val="bottom"/>
            <w:hideMark/>
          </w:tcPr>
          <w:p w:rsidR="001C047C" w:rsidRPr="001C047C" w:rsidP="001C047C" w14:paraId="781B5E00" w14:textId="77777777">
            <w:pPr>
              <w:widowControl/>
              <w:autoSpaceDE/>
              <w:autoSpaceDN/>
              <w:adjustRightInd/>
              <w:jc w:val="right"/>
              <w:rPr>
                <w:b w:val="0"/>
                <w:bCs w:val="0"/>
                <w:sz w:val="22"/>
                <w:szCs w:val="22"/>
              </w:rPr>
            </w:pPr>
            <w:r w:rsidRPr="001C047C">
              <w:rPr>
                <w:b w:val="0"/>
                <w:bCs w:val="0"/>
                <w:sz w:val="22"/>
                <w:szCs w:val="22"/>
              </w:rPr>
              <w:t>10</w:t>
            </w:r>
          </w:p>
        </w:tc>
        <w:tc>
          <w:tcPr>
            <w:tcW w:w="1080" w:type="dxa"/>
            <w:tcBorders>
              <w:top w:val="nil"/>
              <w:left w:val="nil"/>
              <w:bottom w:val="double" w:sz="4" w:space="0" w:color="auto"/>
              <w:right w:val="single" w:sz="4" w:space="0" w:color="auto"/>
            </w:tcBorders>
            <w:noWrap/>
            <w:vAlign w:val="bottom"/>
            <w:hideMark/>
          </w:tcPr>
          <w:p w:rsidR="001C047C" w:rsidRPr="001C047C" w:rsidP="001C047C" w14:paraId="4CF20B14" w14:textId="77777777">
            <w:pPr>
              <w:widowControl/>
              <w:autoSpaceDE/>
              <w:autoSpaceDN/>
              <w:adjustRightInd/>
              <w:jc w:val="right"/>
              <w:rPr>
                <w:b w:val="0"/>
                <w:bCs w:val="0"/>
                <w:sz w:val="22"/>
                <w:szCs w:val="22"/>
              </w:rPr>
            </w:pPr>
            <w:r w:rsidRPr="001C047C">
              <w:rPr>
                <w:b w:val="0"/>
                <w:bCs w:val="0"/>
                <w:sz w:val="22"/>
                <w:szCs w:val="22"/>
              </w:rPr>
              <w:t>0.25</w:t>
            </w:r>
          </w:p>
        </w:tc>
        <w:tc>
          <w:tcPr>
            <w:tcW w:w="1440" w:type="dxa"/>
            <w:tcBorders>
              <w:top w:val="nil"/>
              <w:left w:val="nil"/>
              <w:bottom w:val="double" w:sz="4" w:space="0" w:color="auto"/>
              <w:right w:val="single" w:sz="4" w:space="0" w:color="auto"/>
            </w:tcBorders>
            <w:noWrap/>
            <w:vAlign w:val="bottom"/>
            <w:hideMark/>
          </w:tcPr>
          <w:p w:rsidR="001C047C" w:rsidRPr="001C047C" w:rsidP="001C047C" w14:paraId="7C9FD973" w14:textId="77777777">
            <w:pPr>
              <w:widowControl/>
              <w:autoSpaceDE/>
              <w:autoSpaceDN/>
              <w:adjustRightInd/>
              <w:jc w:val="right"/>
              <w:rPr>
                <w:b w:val="0"/>
                <w:bCs w:val="0"/>
                <w:sz w:val="22"/>
                <w:szCs w:val="22"/>
              </w:rPr>
            </w:pPr>
            <w:r w:rsidRPr="001C047C">
              <w:rPr>
                <w:b w:val="0"/>
                <w:bCs w:val="0"/>
                <w:sz w:val="22"/>
                <w:szCs w:val="22"/>
              </w:rPr>
              <w:t>3</w:t>
            </w:r>
          </w:p>
        </w:tc>
        <w:tc>
          <w:tcPr>
            <w:tcW w:w="1080" w:type="dxa"/>
            <w:tcBorders>
              <w:top w:val="nil"/>
              <w:left w:val="nil"/>
              <w:bottom w:val="double" w:sz="4" w:space="0" w:color="auto"/>
              <w:right w:val="single" w:sz="4" w:space="0" w:color="auto"/>
            </w:tcBorders>
            <w:noWrap/>
            <w:vAlign w:val="bottom"/>
            <w:hideMark/>
          </w:tcPr>
          <w:p w:rsidR="001C047C" w:rsidRPr="001C047C" w:rsidP="001C047C" w14:paraId="1B661328" w14:textId="77777777">
            <w:pPr>
              <w:widowControl/>
              <w:autoSpaceDE/>
              <w:autoSpaceDN/>
              <w:adjustRightInd/>
              <w:jc w:val="right"/>
              <w:rPr>
                <w:b w:val="0"/>
                <w:bCs w:val="0"/>
                <w:sz w:val="22"/>
                <w:szCs w:val="22"/>
              </w:rPr>
            </w:pPr>
            <w:r w:rsidRPr="001C047C">
              <w:rPr>
                <w:b w:val="0"/>
                <w:bCs w:val="0"/>
                <w:sz w:val="22"/>
                <w:szCs w:val="22"/>
              </w:rPr>
              <w:t>$129.14</w:t>
            </w:r>
          </w:p>
        </w:tc>
        <w:tc>
          <w:tcPr>
            <w:tcW w:w="1620" w:type="dxa"/>
            <w:tcBorders>
              <w:top w:val="nil"/>
              <w:left w:val="nil"/>
              <w:bottom w:val="double" w:sz="4" w:space="0" w:color="auto"/>
              <w:right w:val="single" w:sz="4" w:space="0" w:color="auto"/>
            </w:tcBorders>
            <w:noWrap/>
            <w:vAlign w:val="bottom"/>
            <w:hideMark/>
          </w:tcPr>
          <w:p w:rsidR="001C047C" w:rsidRPr="001C047C" w:rsidP="001C047C" w14:paraId="35F99B1B" w14:textId="77777777">
            <w:pPr>
              <w:widowControl/>
              <w:autoSpaceDE/>
              <w:autoSpaceDN/>
              <w:adjustRightInd/>
              <w:jc w:val="right"/>
              <w:rPr>
                <w:b w:val="0"/>
                <w:bCs w:val="0"/>
                <w:sz w:val="22"/>
                <w:szCs w:val="22"/>
              </w:rPr>
            </w:pPr>
            <w:r w:rsidRPr="001C047C">
              <w:rPr>
                <w:b w:val="0"/>
                <w:bCs w:val="0"/>
                <w:sz w:val="22"/>
                <w:szCs w:val="22"/>
              </w:rPr>
              <w:t>$323</w:t>
            </w:r>
          </w:p>
        </w:tc>
      </w:tr>
      <w:tr w14:paraId="1645213A" w14:textId="77777777" w:rsidTr="00FB5F22">
        <w:tblPrEx>
          <w:tblW w:w="9895" w:type="dxa"/>
          <w:tblLayout w:type="fixed"/>
          <w:tblLook w:val="04A0"/>
        </w:tblPrEx>
        <w:trPr>
          <w:trHeight w:val="310"/>
        </w:trPr>
        <w:tc>
          <w:tcPr>
            <w:tcW w:w="3325" w:type="dxa"/>
            <w:tcBorders>
              <w:top w:val="nil"/>
              <w:left w:val="single" w:sz="4" w:space="0" w:color="auto"/>
              <w:bottom w:val="single" w:sz="4" w:space="0" w:color="auto"/>
              <w:right w:val="single" w:sz="4" w:space="0" w:color="auto"/>
            </w:tcBorders>
            <w:noWrap/>
            <w:vAlign w:val="bottom"/>
            <w:hideMark/>
          </w:tcPr>
          <w:p w:rsidR="001C047C" w:rsidRPr="001C047C" w:rsidP="001C047C" w14:paraId="3EF5BE62" w14:textId="77777777">
            <w:pPr>
              <w:widowControl/>
              <w:autoSpaceDE/>
              <w:autoSpaceDN/>
              <w:adjustRightInd/>
              <w:rPr>
                <w:sz w:val="22"/>
                <w:szCs w:val="22"/>
              </w:rPr>
            </w:pPr>
            <w:r w:rsidRPr="001C047C">
              <w:rPr>
                <w:sz w:val="22"/>
                <w:szCs w:val="22"/>
              </w:rPr>
              <w:t>Total</w:t>
            </w:r>
          </w:p>
        </w:tc>
        <w:tc>
          <w:tcPr>
            <w:tcW w:w="1350" w:type="dxa"/>
            <w:tcBorders>
              <w:top w:val="double" w:sz="4" w:space="0" w:color="auto"/>
              <w:left w:val="single" w:sz="4" w:space="0" w:color="auto"/>
              <w:bottom w:val="single" w:sz="4" w:space="0" w:color="auto"/>
              <w:right w:val="single" w:sz="4" w:space="0" w:color="auto"/>
            </w:tcBorders>
            <w:noWrap/>
            <w:vAlign w:val="bottom"/>
            <w:hideMark/>
          </w:tcPr>
          <w:p w:rsidR="001C047C" w:rsidRPr="001C047C" w:rsidP="001C047C" w14:paraId="74958E50" w14:textId="77777777">
            <w:pPr>
              <w:widowControl/>
              <w:autoSpaceDE/>
              <w:autoSpaceDN/>
              <w:adjustRightInd/>
              <w:jc w:val="right"/>
              <w:rPr>
                <w:sz w:val="22"/>
                <w:szCs w:val="22"/>
              </w:rPr>
            </w:pPr>
            <w:r w:rsidRPr="001C047C">
              <w:rPr>
                <w:sz w:val="22"/>
                <w:szCs w:val="22"/>
              </w:rPr>
              <w:t>2,724,209</w:t>
            </w:r>
          </w:p>
        </w:tc>
        <w:tc>
          <w:tcPr>
            <w:tcW w:w="1080" w:type="dxa"/>
            <w:tcBorders>
              <w:top w:val="double" w:sz="4" w:space="0" w:color="auto"/>
              <w:left w:val="nil"/>
              <w:bottom w:val="single" w:sz="4" w:space="0" w:color="auto"/>
              <w:right w:val="single" w:sz="4" w:space="0" w:color="auto"/>
            </w:tcBorders>
            <w:noWrap/>
            <w:vAlign w:val="bottom"/>
            <w:hideMark/>
          </w:tcPr>
          <w:p w:rsidR="001C047C" w:rsidRPr="001C047C" w:rsidP="001C047C" w14:paraId="288195AA" w14:textId="77777777">
            <w:pPr>
              <w:widowControl/>
              <w:autoSpaceDE/>
              <w:autoSpaceDN/>
              <w:adjustRightInd/>
              <w:jc w:val="right"/>
              <w:rPr>
                <w:sz w:val="22"/>
                <w:szCs w:val="22"/>
              </w:rPr>
            </w:pPr>
            <w:r w:rsidRPr="001C047C">
              <w:rPr>
                <w:sz w:val="22"/>
                <w:szCs w:val="22"/>
              </w:rPr>
              <w:t>-</w:t>
            </w:r>
          </w:p>
        </w:tc>
        <w:tc>
          <w:tcPr>
            <w:tcW w:w="1440" w:type="dxa"/>
            <w:tcBorders>
              <w:top w:val="nil"/>
              <w:left w:val="single" w:sz="4" w:space="0" w:color="auto"/>
              <w:bottom w:val="single" w:sz="4" w:space="0" w:color="auto"/>
              <w:right w:val="single" w:sz="4" w:space="0" w:color="auto"/>
            </w:tcBorders>
            <w:noWrap/>
            <w:vAlign w:val="bottom"/>
            <w:hideMark/>
          </w:tcPr>
          <w:p w:rsidR="001C047C" w:rsidRPr="001C047C" w:rsidP="001C047C" w14:paraId="0E576551" w14:textId="77777777">
            <w:pPr>
              <w:widowControl/>
              <w:autoSpaceDE/>
              <w:autoSpaceDN/>
              <w:adjustRightInd/>
              <w:jc w:val="right"/>
              <w:rPr>
                <w:sz w:val="22"/>
                <w:szCs w:val="22"/>
              </w:rPr>
            </w:pPr>
            <w:r w:rsidRPr="001C047C">
              <w:rPr>
                <w:rFonts w:eastAsia="Calibri"/>
                <w:sz w:val="22"/>
                <w:szCs w:val="22"/>
              </w:rPr>
              <w:t>682,333</w:t>
            </w:r>
          </w:p>
        </w:tc>
        <w:tc>
          <w:tcPr>
            <w:tcW w:w="1080" w:type="dxa"/>
            <w:tcBorders>
              <w:top w:val="nil"/>
              <w:left w:val="nil"/>
              <w:bottom w:val="single" w:sz="4" w:space="0" w:color="auto"/>
              <w:right w:val="single" w:sz="4" w:space="0" w:color="auto"/>
            </w:tcBorders>
            <w:noWrap/>
            <w:vAlign w:val="bottom"/>
            <w:hideMark/>
          </w:tcPr>
          <w:p w:rsidR="001C047C" w:rsidRPr="001C047C" w:rsidP="001C047C" w14:paraId="49D67DA3" w14:textId="77777777">
            <w:pPr>
              <w:widowControl/>
              <w:autoSpaceDE/>
              <w:autoSpaceDN/>
              <w:adjustRightInd/>
              <w:jc w:val="right"/>
              <w:rPr>
                <w:sz w:val="22"/>
                <w:szCs w:val="22"/>
              </w:rPr>
            </w:pPr>
            <w:r w:rsidRPr="001C047C">
              <w:rPr>
                <w:rFonts w:eastAsia="Calibri"/>
                <w:bCs w:val="0"/>
                <w:sz w:val="22"/>
                <w:szCs w:val="22"/>
              </w:rPr>
              <w:t>-</w:t>
            </w:r>
          </w:p>
        </w:tc>
        <w:tc>
          <w:tcPr>
            <w:tcW w:w="1620" w:type="dxa"/>
            <w:tcBorders>
              <w:top w:val="nil"/>
              <w:left w:val="nil"/>
              <w:bottom w:val="single" w:sz="4" w:space="0" w:color="auto"/>
              <w:right w:val="single" w:sz="4" w:space="0" w:color="auto"/>
            </w:tcBorders>
            <w:noWrap/>
            <w:vAlign w:val="bottom"/>
            <w:hideMark/>
          </w:tcPr>
          <w:p w:rsidR="001C047C" w:rsidRPr="001C047C" w:rsidP="001C047C" w14:paraId="449EAC4F" w14:textId="77777777">
            <w:pPr>
              <w:widowControl/>
              <w:autoSpaceDE/>
              <w:autoSpaceDN/>
              <w:adjustRightInd/>
              <w:jc w:val="right"/>
              <w:rPr>
                <w:sz w:val="22"/>
                <w:szCs w:val="22"/>
              </w:rPr>
            </w:pPr>
            <w:r w:rsidRPr="001C047C">
              <w:rPr>
                <w:rFonts w:eastAsia="Calibri"/>
                <w:sz w:val="22"/>
                <w:szCs w:val="22"/>
              </w:rPr>
              <w:t>$90,638,751</w:t>
            </w:r>
          </w:p>
        </w:tc>
      </w:tr>
    </w:tbl>
    <w:p w:rsidR="00BE5CB9" w:rsidRPr="006E1899" w:rsidP="00860F17" w14:paraId="4E611DDE" w14:textId="77777777">
      <w:pPr>
        <w:widowControl/>
        <w:tabs>
          <w:tab w:val="left" w:pos="-1440"/>
        </w:tabs>
        <w:rPr>
          <w:b w:val="0"/>
          <w:bCs w:val="0"/>
          <w:iCs/>
          <w:sz w:val="24"/>
          <w:szCs w:val="24"/>
        </w:rPr>
      </w:pPr>
    </w:p>
    <w:p w:rsidR="006E1899" w:rsidRPr="00CA0B11" w:rsidP="00CA0B11" w14:paraId="3E8FDEAE" w14:textId="1A5B6124">
      <w:pPr>
        <w:pStyle w:val="ListParagraph"/>
        <w:widowControl/>
        <w:numPr>
          <w:ilvl w:val="0"/>
          <w:numId w:val="45"/>
        </w:numPr>
        <w:tabs>
          <w:tab w:val="left" w:pos="-1440"/>
        </w:tabs>
        <w:rPr>
          <w:sz w:val="24"/>
          <w:szCs w:val="24"/>
          <w:u w:val="single"/>
        </w:rPr>
      </w:pPr>
      <w:r w:rsidRPr="00CA0B11">
        <w:rPr>
          <w:sz w:val="24"/>
          <w:szCs w:val="24"/>
          <w:u w:val="single"/>
        </w:rPr>
        <w:t>Audit Right Costs</w:t>
      </w:r>
    </w:p>
    <w:p w:rsidR="006E1899" w:rsidP="006E1899" w14:paraId="35B0FB6C" w14:textId="77777777">
      <w:pPr>
        <w:widowControl/>
        <w:tabs>
          <w:tab w:val="left" w:pos="-1440"/>
        </w:tabs>
        <w:ind w:left="720"/>
        <w:rPr>
          <w:b w:val="0"/>
          <w:bCs w:val="0"/>
          <w:iCs/>
          <w:sz w:val="24"/>
          <w:szCs w:val="24"/>
        </w:rPr>
      </w:pPr>
    </w:p>
    <w:p w:rsidR="00EB0870" w:rsidP="00EB0870" w14:paraId="4F5A7372" w14:textId="77777777">
      <w:pPr>
        <w:widowControl/>
        <w:tabs>
          <w:tab w:val="left" w:pos="-1440"/>
        </w:tabs>
        <w:ind w:left="720"/>
        <w:rPr>
          <w:b w:val="0"/>
          <w:bCs w:val="0"/>
          <w:iCs/>
          <w:sz w:val="24"/>
          <w:szCs w:val="24"/>
        </w:rPr>
      </w:pPr>
      <w:r w:rsidRPr="00EB0870">
        <w:rPr>
          <w:b w:val="0"/>
          <w:bCs w:val="0"/>
          <w:iCs/>
          <w:sz w:val="24"/>
          <w:szCs w:val="24"/>
        </w:rPr>
        <w:t xml:space="preserve">A right to audit the veracity of any and all disclosures made by the PBM or other covered service provider to a responsible plan fiduciary under the terms of the contract or arrangement as required by this regulation, including the responsibility of the PBM or other covered service provider to deliver all necessary information to conduct such an audit, is an essential part of the proposal’s framework for establishing transparency in the marketplace for pharmacy benefit management services. The proposed regulation requires that the PBM or other covered service provider allow, not </w:t>
      </w:r>
      <w:r w:rsidRPr="00EB0870">
        <w:rPr>
          <w:b w:val="0"/>
          <w:bCs w:val="0"/>
          <w:iCs/>
          <w:sz w:val="24"/>
          <w:szCs w:val="24"/>
        </w:rPr>
        <w:t>less</w:t>
      </w:r>
      <w:r w:rsidRPr="00EB0870">
        <w:rPr>
          <w:b w:val="0"/>
          <w:bCs w:val="0"/>
          <w:iCs/>
          <w:sz w:val="24"/>
          <w:szCs w:val="24"/>
        </w:rPr>
        <w:t xml:space="preserve"> than once per year, for the self-insured group health plan to request such an audit for accuracy of any disclosures made to comply with the regulation. </w:t>
      </w:r>
    </w:p>
    <w:p w:rsidR="00EB0870" w:rsidRPr="00EB0870" w:rsidP="00EB0870" w14:paraId="03A6C831" w14:textId="77777777">
      <w:pPr>
        <w:widowControl/>
        <w:tabs>
          <w:tab w:val="left" w:pos="-1440"/>
        </w:tabs>
        <w:ind w:left="720"/>
        <w:rPr>
          <w:b w:val="0"/>
          <w:bCs w:val="0"/>
          <w:iCs/>
          <w:sz w:val="24"/>
          <w:szCs w:val="24"/>
        </w:rPr>
      </w:pPr>
    </w:p>
    <w:p w:rsidR="00EB0870" w:rsidP="00EB0870" w14:paraId="5C0BCB4E" w14:textId="77777777">
      <w:pPr>
        <w:widowControl/>
        <w:tabs>
          <w:tab w:val="left" w:pos="-1440"/>
        </w:tabs>
        <w:ind w:left="720"/>
        <w:rPr>
          <w:b w:val="0"/>
          <w:bCs w:val="0"/>
          <w:iCs/>
          <w:sz w:val="24"/>
          <w:szCs w:val="24"/>
        </w:rPr>
      </w:pPr>
      <w:r w:rsidRPr="00EB0870">
        <w:rPr>
          <w:b w:val="0"/>
          <w:bCs w:val="0"/>
          <w:iCs/>
          <w:sz w:val="24"/>
          <w:szCs w:val="24"/>
        </w:rPr>
        <w:t xml:space="preserve">While the cost of selecting an auditor and performing an audit of PBMs and other service providers is borne by the plan itself, service providers are required to provide the necessary information to the self-insured group health plan or its auditor without conditions that would restrict the self-insured group health plan’s right to conduct the audit. The PBM or other covered service provider must confirm receipt of the audit </w:t>
      </w:r>
      <w:r w:rsidRPr="00EB0870">
        <w:rPr>
          <w:b w:val="0"/>
          <w:bCs w:val="0"/>
          <w:iCs/>
          <w:sz w:val="24"/>
          <w:szCs w:val="24"/>
        </w:rPr>
        <w:t>request within 10 business days and must provide the information within a commercially reasonable period.</w:t>
      </w:r>
    </w:p>
    <w:p w:rsidR="00EB0870" w:rsidRPr="00EB0870" w:rsidP="00EB0870" w14:paraId="729CAA4A" w14:textId="77777777">
      <w:pPr>
        <w:widowControl/>
        <w:tabs>
          <w:tab w:val="left" w:pos="-1440"/>
        </w:tabs>
        <w:ind w:left="720"/>
        <w:rPr>
          <w:b w:val="0"/>
          <w:bCs w:val="0"/>
          <w:iCs/>
          <w:sz w:val="24"/>
          <w:szCs w:val="24"/>
        </w:rPr>
      </w:pPr>
    </w:p>
    <w:p w:rsidR="00EB0870" w:rsidRPr="00EB0870" w:rsidP="00EB0870" w14:paraId="4B8368F2" w14:textId="77777777">
      <w:pPr>
        <w:widowControl/>
        <w:tabs>
          <w:tab w:val="left" w:pos="-1440"/>
        </w:tabs>
        <w:ind w:left="720"/>
        <w:rPr>
          <w:b w:val="0"/>
          <w:bCs w:val="0"/>
          <w:iCs/>
          <w:sz w:val="24"/>
          <w:szCs w:val="24"/>
        </w:rPr>
      </w:pPr>
      <w:r w:rsidRPr="00EB0870">
        <w:rPr>
          <w:b w:val="0"/>
          <w:bCs w:val="0"/>
          <w:iCs/>
          <w:sz w:val="24"/>
          <w:szCs w:val="24"/>
        </w:rPr>
        <w:t>The Department estimates that only one-third of self-insured group health plans will annually submit a request to their PBM or other covered service provider for all information necessary to perform an audit. This assumption is based on PBM contracts being structured around a three-year master agreement and audits typically taking six to nine months to complete, making it challenging to conduct more than one audit in a given contract period.</w:t>
      </w:r>
      <w:r>
        <w:rPr>
          <w:b w:val="0"/>
          <w:bCs w:val="0"/>
          <w:iCs/>
          <w:sz w:val="24"/>
          <w:szCs w:val="24"/>
          <w:vertAlign w:val="superscript"/>
        </w:rPr>
        <w:footnoteReference w:id="31"/>
      </w:r>
      <w:r w:rsidRPr="00EB0870">
        <w:rPr>
          <w:b w:val="0"/>
          <w:bCs w:val="0"/>
          <w:iCs/>
          <w:sz w:val="24"/>
          <w:szCs w:val="24"/>
        </w:rPr>
        <w:t xml:space="preserve"> The Department does not anticipate level-funded group health plans submitting a request themselves but expects all issuers or TPAs that market to those plans to request audit materials. The Department requests comments on these assumptions.</w:t>
      </w:r>
    </w:p>
    <w:p w:rsidR="00EB0870" w:rsidP="00EB0870" w14:paraId="0B5DDE30" w14:textId="77777777">
      <w:pPr>
        <w:widowControl/>
        <w:tabs>
          <w:tab w:val="left" w:pos="-1440"/>
        </w:tabs>
        <w:ind w:left="720"/>
        <w:rPr>
          <w:b w:val="0"/>
          <w:bCs w:val="0"/>
          <w:iCs/>
          <w:sz w:val="24"/>
          <w:szCs w:val="24"/>
        </w:rPr>
      </w:pPr>
      <w:r w:rsidRPr="00EB0870">
        <w:rPr>
          <w:b w:val="0"/>
          <w:bCs w:val="0"/>
          <w:iCs/>
          <w:sz w:val="24"/>
          <w:szCs w:val="24"/>
        </w:rPr>
        <w:t>Given that self-insured group health plans are requesting the data required to assess the services provided and fees charged for their prescription drug benefits, the Department assumes that PBMs already have or have access to all information and data readily available, but may require time to compile the records, data and other necessary information, including contracts with retail pharmacies and drug manufacturers for each self-insured group health plan. Additionally, because this disclosure will also include contracts with agents, affiliates and service providers such as retail pharmacies and drug manufacturers, the PBM may also require additional legal assistance to put in place confidentiality agreements to prevent sharing of the disclosed information.</w:t>
      </w:r>
    </w:p>
    <w:p w:rsidR="00EB0870" w:rsidRPr="00EB0870" w:rsidP="00EB0870" w14:paraId="2024B5A3" w14:textId="77777777">
      <w:pPr>
        <w:widowControl/>
        <w:tabs>
          <w:tab w:val="left" w:pos="-1440"/>
        </w:tabs>
        <w:ind w:left="720"/>
        <w:rPr>
          <w:b w:val="0"/>
          <w:bCs w:val="0"/>
          <w:iCs/>
          <w:sz w:val="24"/>
          <w:szCs w:val="24"/>
        </w:rPr>
      </w:pPr>
    </w:p>
    <w:p w:rsidR="00EB0870" w:rsidRPr="00EB0870" w:rsidP="00EB0870" w14:paraId="2B219BD9" w14:textId="3B58F493">
      <w:pPr>
        <w:widowControl/>
        <w:tabs>
          <w:tab w:val="left" w:pos="-1440"/>
        </w:tabs>
        <w:ind w:left="720"/>
        <w:rPr>
          <w:b w:val="0"/>
          <w:bCs w:val="0"/>
          <w:iCs/>
          <w:sz w:val="24"/>
          <w:szCs w:val="24"/>
        </w:rPr>
      </w:pPr>
      <w:r w:rsidRPr="00EB0870">
        <w:rPr>
          <w:b w:val="0"/>
          <w:bCs w:val="0"/>
          <w:iCs/>
          <w:sz w:val="24"/>
          <w:szCs w:val="24"/>
        </w:rPr>
        <w:t xml:space="preserve">The Department assumes that most PBMs maintain the underlying data needed for invoices, rebate reconciliation, and contractual compliance. Audit responses are often generated through standardized templates or automated reports, though custom data pulls may be required in some cases. The Department also assumes that PBMs will rely on standardized templates and batch processing to prepare the audit request. Therefore, the Department estimates it will take 15 minutes for a benefit specialist at a TPA or issuer to prepare and send the audit request on </w:t>
      </w:r>
      <w:r w:rsidRPr="00EB0870">
        <w:rPr>
          <w:b w:val="0"/>
          <w:bCs w:val="0"/>
          <w:iCs/>
          <w:sz w:val="24"/>
          <w:szCs w:val="24"/>
        </w:rPr>
        <w:t>the behalf</w:t>
      </w:r>
      <w:r w:rsidRPr="00EB0870">
        <w:rPr>
          <w:b w:val="0"/>
          <w:bCs w:val="0"/>
          <w:iCs/>
          <w:sz w:val="24"/>
          <w:szCs w:val="24"/>
        </w:rPr>
        <w:t xml:space="preserve"> of level-funded group health plans and self-insured group health plans with less than 1,000 employees. The Department also assumes it will take 2 hours of a PBM’s benefit specialist and IT staff’s time to prepare and disclose information needed for each requested audit, at a composite wage rate of $150.52.</w:t>
      </w:r>
      <w:r>
        <w:rPr>
          <w:b w:val="0"/>
          <w:bCs w:val="0"/>
          <w:iCs/>
          <w:sz w:val="24"/>
          <w:szCs w:val="24"/>
          <w:vertAlign w:val="superscript"/>
        </w:rPr>
        <w:footnoteReference w:id="32"/>
      </w:r>
      <w:r w:rsidRPr="00EB0870">
        <w:rPr>
          <w:b w:val="0"/>
          <w:bCs w:val="0"/>
          <w:iCs/>
          <w:sz w:val="24"/>
          <w:szCs w:val="24"/>
        </w:rPr>
        <w:t xml:space="preserve"> This includes the time to retrieve documents, gather data and put in place any necessary confidentiality agreements. </w:t>
      </w:r>
    </w:p>
    <w:p w:rsidR="0072311A" w:rsidP="0072311A" w14:paraId="1BAE13AF" w14:textId="77777777">
      <w:pPr>
        <w:widowControl/>
        <w:tabs>
          <w:tab w:val="left" w:pos="-1440"/>
        </w:tabs>
        <w:ind w:left="720"/>
        <w:rPr>
          <w:b w:val="0"/>
          <w:bCs w:val="0"/>
          <w:iCs/>
          <w:sz w:val="24"/>
          <w:szCs w:val="24"/>
        </w:rPr>
      </w:pPr>
    </w:p>
    <w:p w:rsidR="00BD3FBB" w:rsidRPr="00BD3FBB" w:rsidP="0072311A" w14:paraId="22A597C2" w14:textId="5C6B4E77">
      <w:pPr>
        <w:widowControl/>
        <w:tabs>
          <w:tab w:val="left" w:pos="-1440"/>
        </w:tabs>
        <w:ind w:left="720"/>
        <w:rPr>
          <w:b w:val="0"/>
          <w:bCs w:val="0"/>
          <w:iCs/>
          <w:sz w:val="24"/>
          <w:szCs w:val="24"/>
        </w:rPr>
      </w:pPr>
      <w:r w:rsidRPr="00BD3FBB">
        <w:rPr>
          <w:b w:val="0"/>
          <w:bCs w:val="0"/>
          <w:iCs/>
          <w:sz w:val="24"/>
          <w:szCs w:val="24"/>
        </w:rPr>
        <w:t xml:space="preserve">Please see Table </w:t>
      </w:r>
      <w:r w:rsidR="00875070">
        <w:rPr>
          <w:b w:val="0"/>
          <w:bCs w:val="0"/>
          <w:iCs/>
          <w:sz w:val="24"/>
          <w:szCs w:val="24"/>
        </w:rPr>
        <w:t>4</w:t>
      </w:r>
      <w:r w:rsidRPr="00BD3FBB">
        <w:rPr>
          <w:b w:val="0"/>
          <w:bCs w:val="0"/>
          <w:iCs/>
          <w:sz w:val="24"/>
          <w:szCs w:val="24"/>
        </w:rPr>
        <w:t xml:space="preserve"> for calculations and burden. </w:t>
      </w:r>
    </w:p>
    <w:p w:rsidR="003A3C25" w:rsidRPr="003A3C25" w:rsidP="00CA7375" w14:paraId="601452D2" w14:textId="7773A042">
      <w:pPr>
        <w:widowControl/>
        <w:tabs>
          <w:tab w:val="left" w:pos="-1440"/>
        </w:tabs>
        <w:rPr>
          <w:b w:val="0"/>
          <w:bCs w:val="0"/>
          <w:iCs/>
          <w:sz w:val="24"/>
          <w:szCs w:val="24"/>
        </w:rPr>
      </w:pPr>
    </w:p>
    <w:p w:rsidR="006E1899" w:rsidRPr="006E1899" w:rsidP="00CA7375" w14:paraId="5D35ED1C" w14:textId="60729B74">
      <w:pPr>
        <w:pStyle w:val="Heading3"/>
      </w:pPr>
      <w:r w:rsidRPr="006E1899">
        <w:t xml:space="preserve">TABLE </w:t>
      </w:r>
      <w:r w:rsidR="00CA7375">
        <w:t>4</w:t>
      </w:r>
      <w:r w:rsidRPr="006E1899">
        <w:t>. Annual Audit Cost</w:t>
      </w:r>
    </w:p>
    <w:p w:rsidR="006E1899" w:rsidP="006E1899" w14:paraId="0DCA0C1D" w14:textId="77777777">
      <w:pPr>
        <w:widowControl/>
        <w:tabs>
          <w:tab w:val="left" w:pos="-1440"/>
        </w:tabs>
        <w:ind w:left="720"/>
        <w:rPr>
          <w:b w:val="0"/>
          <w:bCs w:val="0"/>
          <w:iCs/>
          <w:sz w:val="24"/>
          <w:szCs w:val="24"/>
        </w:rPr>
      </w:pPr>
    </w:p>
    <w:tbl>
      <w:tblPr>
        <w:tblW w:w="9985" w:type="dxa"/>
        <w:tblLayout w:type="fixed"/>
        <w:tblLook w:val="04A0"/>
      </w:tblPr>
      <w:tblGrid>
        <w:gridCol w:w="2332"/>
        <w:gridCol w:w="1540"/>
        <w:gridCol w:w="1433"/>
        <w:gridCol w:w="1710"/>
        <w:gridCol w:w="1138"/>
        <w:gridCol w:w="1832"/>
      </w:tblGrid>
      <w:tr w14:paraId="5E2E2850" w14:textId="77777777" w:rsidTr="00FB5F22">
        <w:tblPrEx>
          <w:tblW w:w="9985" w:type="dxa"/>
          <w:tblLayout w:type="fixed"/>
          <w:tblLook w:val="04A0"/>
        </w:tblPrEx>
        <w:trPr>
          <w:trHeight w:val="647"/>
        </w:trPr>
        <w:tc>
          <w:tcPr>
            <w:tcW w:w="2332" w:type="dxa"/>
            <w:tcBorders>
              <w:top w:val="single" w:sz="4" w:space="0" w:color="auto"/>
              <w:left w:val="single" w:sz="4" w:space="0" w:color="auto"/>
              <w:bottom w:val="single" w:sz="4" w:space="0" w:color="auto"/>
              <w:right w:val="nil"/>
            </w:tcBorders>
            <w:noWrap/>
            <w:vAlign w:val="bottom"/>
            <w:hideMark/>
          </w:tcPr>
          <w:p w:rsidR="00374188" w:rsidRPr="00374188" w:rsidP="00374188" w14:paraId="1E7EA008" w14:textId="77777777">
            <w:pPr>
              <w:widowControl/>
              <w:autoSpaceDE/>
              <w:autoSpaceDN/>
              <w:adjustRightInd/>
              <w:ind w:firstLine="720"/>
              <w:rPr>
                <w:b w:val="0"/>
                <w:bCs w:val="0"/>
                <w:sz w:val="22"/>
                <w:szCs w:val="22"/>
              </w:rPr>
            </w:pPr>
            <w:r w:rsidRPr="00374188">
              <w:rPr>
                <w:b w:val="0"/>
                <w:bCs w:val="0"/>
                <w:sz w:val="22"/>
                <w:szCs w:val="22"/>
              </w:rPr>
              <w:t> </w:t>
            </w:r>
          </w:p>
        </w:tc>
        <w:tc>
          <w:tcPr>
            <w:tcW w:w="1540" w:type="dxa"/>
            <w:tcBorders>
              <w:top w:val="single" w:sz="4" w:space="0" w:color="auto"/>
              <w:left w:val="single" w:sz="4" w:space="0" w:color="auto"/>
              <w:bottom w:val="single" w:sz="4" w:space="0" w:color="auto"/>
              <w:right w:val="single" w:sz="4" w:space="0" w:color="auto"/>
            </w:tcBorders>
            <w:vAlign w:val="center"/>
            <w:hideMark/>
          </w:tcPr>
          <w:p w:rsidR="00374188" w:rsidRPr="00374188" w:rsidP="00374188" w14:paraId="7ACE154A" w14:textId="77777777">
            <w:pPr>
              <w:widowControl/>
              <w:autoSpaceDE/>
              <w:autoSpaceDN/>
              <w:adjustRightInd/>
              <w:jc w:val="center"/>
              <w:rPr>
                <w:sz w:val="22"/>
                <w:szCs w:val="22"/>
              </w:rPr>
            </w:pPr>
            <w:r w:rsidRPr="00374188">
              <w:rPr>
                <w:sz w:val="22"/>
                <w:szCs w:val="22"/>
              </w:rPr>
              <w:t>Number of Notices (first year)</w:t>
            </w:r>
          </w:p>
        </w:tc>
        <w:tc>
          <w:tcPr>
            <w:tcW w:w="1433" w:type="dxa"/>
            <w:tcBorders>
              <w:top w:val="single" w:sz="4" w:space="0" w:color="auto"/>
              <w:left w:val="nil"/>
              <w:bottom w:val="single" w:sz="4" w:space="0" w:color="auto"/>
              <w:right w:val="single" w:sz="4" w:space="0" w:color="auto"/>
            </w:tcBorders>
            <w:vAlign w:val="center"/>
            <w:hideMark/>
          </w:tcPr>
          <w:p w:rsidR="00374188" w:rsidRPr="00374188" w:rsidP="00374188" w14:paraId="4F13B589" w14:textId="77777777">
            <w:pPr>
              <w:widowControl/>
              <w:autoSpaceDE/>
              <w:autoSpaceDN/>
              <w:adjustRightInd/>
              <w:jc w:val="center"/>
              <w:rPr>
                <w:sz w:val="22"/>
                <w:szCs w:val="22"/>
              </w:rPr>
            </w:pPr>
            <w:r w:rsidRPr="00374188">
              <w:rPr>
                <w:sz w:val="22"/>
                <w:szCs w:val="22"/>
              </w:rPr>
              <w:t>Number of Hours Per Notice</w:t>
            </w:r>
          </w:p>
        </w:tc>
        <w:tc>
          <w:tcPr>
            <w:tcW w:w="1710" w:type="dxa"/>
            <w:tcBorders>
              <w:top w:val="single" w:sz="4" w:space="0" w:color="auto"/>
              <w:left w:val="nil"/>
              <w:bottom w:val="single" w:sz="4" w:space="0" w:color="auto"/>
              <w:right w:val="single" w:sz="4" w:space="0" w:color="auto"/>
            </w:tcBorders>
            <w:vAlign w:val="center"/>
            <w:hideMark/>
          </w:tcPr>
          <w:p w:rsidR="00374188" w:rsidRPr="00374188" w:rsidP="00374188" w14:paraId="42283A23" w14:textId="77777777">
            <w:pPr>
              <w:widowControl/>
              <w:autoSpaceDE/>
              <w:autoSpaceDN/>
              <w:adjustRightInd/>
              <w:jc w:val="center"/>
              <w:rPr>
                <w:sz w:val="22"/>
                <w:szCs w:val="22"/>
              </w:rPr>
            </w:pPr>
            <w:r w:rsidRPr="00374188">
              <w:rPr>
                <w:sz w:val="22"/>
                <w:szCs w:val="22"/>
              </w:rPr>
              <w:t>Total Hour Burden</w:t>
            </w:r>
          </w:p>
        </w:tc>
        <w:tc>
          <w:tcPr>
            <w:tcW w:w="1138" w:type="dxa"/>
            <w:tcBorders>
              <w:top w:val="single" w:sz="4" w:space="0" w:color="auto"/>
              <w:left w:val="nil"/>
              <w:bottom w:val="single" w:sz="4" w:space="0" w:color="auto"/>
              <w:right w:val="single" w:sz="4" w:space="0" w:color="auto"/>
            </w:tcBorders>
            <w:vAlign w:val="center"/>
            <w:hideMark/>
          </w:tcPr>
          <w:p w:rsidR="00374188" w:rsidRPr="00374188" w:rsidP="00374188" w14:paraId="1C4B23BD" w14:textId="77777777">
            <w:pPr>
              <w:widowControl/>
              <w:autoSpaceDE/>
              <w:autoSpaceDN/>
              <w:adjustRightInd/>
              <w:jc w:val="center"/>
              <w:rPr>
                <w:sz w:val="22"/>
                <w:szCs w:val="22"/>
              </w:rPr>
            </w:pPr>
            <w:r w:rsidRPr="00374188">
              <w:rPr>
                <w:sz w:val="22"/>
                <w:szCs w:val="22"/>
              </w:rPr>
              <w:t>Hourly Wage</w:t>
            </w:r>
          </w:p>
        </w:tc>
        <w:tc>
          <w:tcPr>
            <w:tcW w:w="1832" w:type="dxa"/>
            <w:tcBorders>
              <w:top w:val="single" w:sz="4" w:space="0" w:color="auto"/>
              <w:left w:val="nil"/>
              <w:bottom w:val="single" w:sz="4" w:space="0" w:color="auto"/>
              <w:right w:val="single" w:sz="4" w:space="0" w:color="auto"/>
            </w:tcBorders>
            <w:vAlign w:val="center"/>
            <w:hideMark/>
          </w:tcPr>
          <w:p w:rsidR="00374188" w:rsidRPr="00374188" w:rsidP="00374188" w14:paraId="09A6C708" w14:textId="77777777">
            <w:pPr>
              <w:widowControl/>
              <w:autoSpaceDE/>
              <w:autoSpaceDN/>
              <w:adjustRightInd/>
              <w:jc w:val="center"/>
              <w:rPr>
                <w:sz w:val="22"/>
                <w:szCs w:val="22"/>
              </w:rPr>
            </w:pPr>
            <w:r w:rsidRPr="00374188">
              <w:rPr>
                <w:sz w:val="22"/>
                <w:szCs w:val="22"/>
              </w:rPr>
              <w:t>Cost Equivalent of Hour Burden</w:t>
            </w:r>
          </w:p>
        </w:tc>
      </w:tr>
      <w:tr w14:paraId="3FB619F0" w14:textId="77777777" w:rsidTr="00FB5F22">
        <w:tblPrEx>
          <w:tblW w:w="9985" w:type="dxa"/>
          <w:tblLayout w:type="fixed"/>
          <w:tblLook w:val="04A0"/>
        </w:tblPrEx>
        <w:trPr>
          <w:trHeight w:val="480"/>
        </w:trPr>
        <w:tc>
          <w:tcPr>
            <w:tcW w:w="2332" w:type="dxa"/>
            <w:tcBorders>
              <w:top w:val="nil"/>
              <w:left w:val="single" w:sz="4" w:space="0" w:color="auto"/>
              <w:bottom w:val="nil"/>
              <w:right w:val="single" w:sz="4" w:space="0" w:color="auto"/>
            </w:tcBorders>
            <w:noWrap/>
            <w:vAlign w:val="bottom"/>
            <w:hideMark/>
          </w:tcPr>
          <w:p w:rsidR="00374188" w:rsidRPr="00374188" w:rsidP="00374188" w14:paraId="2BCD7DEC" w14:textId="77777777">
            <w:pPr>
              <w:widowControl/>
              <w:autoSpaceDE/>
              <w:autoSpaceDN/>
              <w:adjustRightInd/>
              <w:ind w:firstLine="720"/>
              <w:jc w:val="center"/>
              <w:rPr>
                <w:b w:val="0"/>
                <w:bCs w:val="0"/>
                <w:sz w:val="22"/>
                <w:szCs w:val="22"/>
              </w:rPr>
            </w:pPr>
          </w:p>
        </w:tc>
        <w:tc>
          <w:tcPr>
            <w:tcW w:w="1540" w:type="dxa"/>
            <w:tcBorders>
              <w:top w:val="nil"/>
              <w:left w:val="nil"/>
              <w:bottom w:val="nil"/>
              <w:right w:val="single" w:sz="4" w:space="0" w:color="auto"/>
            </w:tcBorders>
            <w:vAlign w:val="center"/>
            <w:hideMark/>
          </w:tcPr>
          <w:p w:rsidR="00374188" w:rsidRPr="00374188" w:rsidP="00374188" w14:paraId="0564A00E" w14:textId="77777777">
            <w:pPr>
              <w:widowControl/>
              <w:autoSpaceDE/>
              <w:autoSpaceDN/>
              <w:adjustRightInd/>
              <w:jc w:val="center"/>
              <w:rPr>
                <w:sz w:val="22"/>
                <w:szCs w:val="22"/>
              </w:rPr>
            </w:pPr>
            <w:r w:rsidRPr="00374188">
              <w:rPr>
                <w:sz w:val="22"/>
                <w:szCs w:val="22"/>
              </w:rPr>
              <w:t>(A)</w:t>
            </w:r>
          </w:p>
        </w:tc>
        <w:tc>
          <w:tcPr>
            <w:tcW w:w="1433" w:type="dxa"/>
            <w:tcBorders>
              <w:top w:val="nil"/>
              <w:left w:val="nil"/>
              <w:bottom w:val="nil"/>
              <w:right w:val="single" w:sz="4" w:space="0" w:color="auto"/>
            </w:tcBorders>
            <w:vAlign w:val="center"/>
            <w:hideMark/>
          </w:tcPr>
          <w:p w:rsidR="00374188" w:rsidRPr="00374188" w:rsidP="00374188" w14:paraId="005CD9FC" w14:textId="77777777">
            <w:pPr>
              <w:widowControl/>
              <w:autoSpaceDE/>
              <w:autoSpaceDN/>
              <w:adjustRightInd/>
              <w:jc w:val="center"/>
              <w:rPr>
                <w:sz w:val="22"/>
                <w:szCs w:val="22"/>
              </w:rPr>
            </w:pPr>
            <w:r w:rsidRPr="00374188">
              <w:rPr>
                <w:sz w:val="22"/>
                <w:szCs w:val="22"/>
              </w:rPr>
              <w:t>(B)</w:t>
            </w:r>
          </w:p>
        </w:tc>
        <w:tc>
          <w:tcPr>
            <w:tcW w:w="1710" w:type="dxa"/>
            <w:tcBorders>
              <w:top w:val="nil"/>
              <w:left w:val="nil"/>
              <w:bottom w:val="nil"/>
              <w:right w:val="single" w:sz="4" w:space="0" w:color="auto"/>
            </w:tcBorders>
            <w:vAlign w:val="center"/>
            <w:hideMark/>
          </w:tcPr>
          <w:p w:rsidR="00374188" w:rsidRPr="00374188" w:rsidP="00374188" w14:paraId="05234210" w14:textId="77777777">
            <w:pPr>
              <w:widowControl/>
              <w:autoSpaceDE/>
              <w:autoSpaceDN/>
              <w:adjustRightInd/>
              <w:jc w:val="center"/>
              <w:rPr>
                <w:sz w:val="22"/>
                <w:szCs w:val="22"/>
              </w:rPr>
            </w:pPr>
            <w:r w:rsidRPr="00374188">
              <w:rPr>
                <w:sz w:val="22"/>
                <w:szCs w:val="22"/>
              </w:rPr>
              <w:t>(C) = (A x B)</w:t>
            </w:r>
          </w:p>
        </w:tc>
        <w:tc>
          <w:tcPr>
            <w:tcW w:w="1138" w:type="dxa"/>
            <w:tcBorders>
              <w:top w:val="nil"/>
              <w:left w:val="nil"/>
              <w:bottom w:val="nil"/>
              <w:right w:val="single" w:sz="4" w:space="0" w:color="auto"/>
            </w:tcBorders>
            <w:vAlign w:val="center"/>
            <w:hideMark/>
          </w:tcPr>
          <w:p w:rsidR="00374188" w:rsidRPr="00374188" w:rsidP="00374188" w14:paraId="34AA050E" w14:textId="77777777">
            <w:pPr>
              <w:widowControl/>
              <w:autoSpaceDE/>
              <w:autoSpaceDN/>
              <w:adjustRightInd/>
              <w:jc w:val="center"/>
              <w:rPr>
                <w:sz w:val="22"/>
                <w:szCs w:val="22"/>
              </w:rPr>
            </w:pPr>
            <w:r w:rsidRPr="00374188">
              <w:rPr>
                <w:sz w:val="22"/>
                <w:szCs w:val="22"/>
              </w:rPr>
              <w:t>(D)</w:t>
            </w:r>
          </w:p>
        </w:tc>
        <w:tc>
          <w:tcPr>
            <w:tcW w:w="1832" w:type="dxa"/>
            <w:tcBorders>
              <w:top w:val="nil"/>
              <w:left w:val="nil"/>
              <w:bottom w:val="nil"/>
              <w:right w:val="single" w:sz="4" w:space="0" w:color="auto"/>
            </w:tcBorders>
            <w:vAlign w:val="center"/>
            <w:hideMark/>
          </w:tcPr>
          <w:p w:rsidR="00374188" w:rsidRPr="00374188" w:rsidP="00374188" w14:paraId="7990B67F" w14:textId="77777777">
            <w:pPr>
              <w:widowControl/>
              <w:autoSpaceDE/>
              <w:autoSpaceDN/>
              <w:adjustRightInd/>
              <w:jc w:val="center"/>
              <w:rPr>
                <w:sz w:val="22"/>
                <w:szCs w:val="22"/>
              </w:rPr>
            </w:pPr>
            <w:r w:rsidRPr="00374188">
              <w:rPr>
                <w:sz w:val="22"/>
                <w:szCs w:val="22"/>
              </w:rPr>
              <w:t>(E) = (C x D)</w:t>
            </w:r>
          </w:p>
        </w:tc>
      </w:tr>
      <w:tr w14:paraId="598BDD36" w14:textId="77777777" w:rsidTr="00FB5F22">
        <w:tblPrEx>
          <w:tblW w:w="9985" w:type="dxa"/>
          <w:tblLayout w:type="fixed"/>
          <w:tblLook w:val="04A0"/>
        </w:tblPrEx>
        <w:trPr>
          <w:trHeight w:val="98"/>
        </w:trPr>
        <w:tc>
          <w:tcPr>
            <w:tcW w:w="9985" w:type="dxa"/>
            <w:gridSpan w:val="6"/>
            <w:tcBorders>
              <w:top w:val="single" w:sz="4" w:space="0" w:color="auto"/>
              <w:left w:val="single" w:sz="4" w:space="0" w:color="auto"/>
              <w:bottom w:val="single" w:sz="4" w:space="0" w:color="auto"/>
              <w:right w:val="single" w:sz="4" w:space="0" w:color="000000"/>
            </w:tcBorders>
            <w:noWrap/>
            <w:vAlign w:val="bottom"/>
            <w:hideMark/>
          </w:tcPr>
          <w:p w:rsidR="00374188" w:rsidRPr="00374188" w:rsidP="00374188" w14:paraId="480DEEB8" w14:textId="77777777">
            <w:pPr>
              <w:widowControl/>
              <w:autoSpaceDE/>
              <w:autoSpaceDN/>
              <w:adjustRightInd/>
              <w:rPr>
                <w:i/>
                <w:iCs/>
                <w:sz w:val="22"/>
                <w:szCs w:val="22"/>
                <w:u w:val="single"/>
              </w:rPr>
            </w:pPr>
            <w:r w:rsidRPr="00374188">
              <w:rPr>
                <w:i/>
                <w:iCs/>
                <w:sz w:val="22"/>
                <w:szCs w:val="22"/>
                <w:u w:val="single"/>
              </w:rPr>
              <w:t>Self-insured group health plans with 1,000 or more employees send audit request</w:t>
            </w:r>
          </w:p>
        </w:tc>
      </w:tr>
      <w:tr w14:paraId="30F24B28" w14:textId="77777777" w:rsidTr="00FB5F22">
        <w:tblPrEx>
          <w:tblW w:w="9985" w:type="dxa"/>
          <w:tblLayout w:type="fixed"/>
          <w:tblLook w:val="04A0"/>
        </w:tblPrEx>
        <w:trPr>
          <w:trHeight w:val="750"/>
        </w:trPr>
        <w:tc>
          <w:tcPr>
            <w:tcW w:w="2332" w:type="dxa"/>
            <w:tcBorders>
              <w:top w:val="nil"/>
              <w:left w:val="single" w:sz="4" w:space="0" w:color="auto"/>
              <w:bottom w:val="single" w:sz="4" w:space="0" w:color="auto"/>
              <w:right w:val="single" w:sz="4" w:space="0" w:color="auto"/>
            </w:tcBorders>
            <w:vAlign w:val="bottom"/>
            <w:hideMark/>
          </w:tcPr>
          <w:p w:rsidR="00374188" w:rsidRPr="00374188" w:rsidP="00374188" w14:paraId="65B24EAF" w14:textId="77777777">
            <w:pPr>
              <w:widowControl/>
              <w:autoSpaceDE/>
              <w:autoSpaceDN/>
              <w:adjustRightInd/>
              <w:rPr>
                <w:b w:val="0"/>
                <w:bCs w:val="0"/>
                <w:sz w:val="22"/>
                <w:szCs w:val="22"/>
              </w:rPr>
            </w:pPr>
            <w:r w:rsidRPr="00374188">
              <w:rPr>
                <w:b w:val="0"/>
                <w:bCs w:val="0"/>
                <w:sz w:val="22"/>
                <w:szCs w:val="22"/>
              </w:rPr>
              <w:t>Benefit specialists prepare and send audit request</w:t>
            </w:r>
          </w:p>
        </w:tc>
        <w:tc>
          <w:tcPr>
            <w:tcW w:w="1540" w:type="dxa"/>
            <w:tcBorders>
              <w:top w:val="nil"/>
              <w:left w:val="nil"/>
              <w:bottom w:val="single" w:sz="4" w:space="0" w:color="auto"/>
              <w:right w:val="single" w:sz="4" w:space="0" w:color="auto"/>
            </w:tcBorders>
            <w:vAlign w:val="bottom"/>
            <w:hideMark/>
          </w:tcPr>
          <w:p w:rsidR="00374188" w:rsidRPr="00374188" w:rsidP="00374188" w14:paraId="04818943" w14:textId="77777777">
            <w:pPr>
              <w:widowControl/>
              <w:autoSpaceDE/>
              <w:autoSpaceDN/>
              <w:adjustRightInd/>
              <w:ind w:firstLine="720"/>
              <w:jc w:val="right"/>
              <w:rPr>
                <w:b w:val="0"/>
                <w:bCs w:val="0"/>
                <w:sz w:val="22"/>
                <w:szCs w:val="22"/>
              </w:rPr>
            </w:pPr>
            <w:r w:rsidRPr="00374188">
              <w:rPr>
                <w:b w:val="0"/>
                <w:bCs w:val="0"/>
                <w:sz w:val="22"/>
                <w:szCs w:val="22"/>
              </w:rPr>
              <w:t>5,121</w:t>
            </w:r>
          </w:p>
        </w:tc>
        <w:tc>
          <w:tcPr>
            <w:tcW w:w="1433" w:type="dxa"/>
            <w:tcBorders>
              <w:top w:val="nil"/>
              <w:left w:val="nil"/>
              <w:bottom w:val="single" w:sz="4" w:space="0" w:color="auto"/>
              <w:right w:val="single" w:sz="4" w:space="0" w:color="auto"/>
            </w:tcBorders>
            <w:vAlign w:val="bottom"/>
            <w:hideMark/>
          </w:tcPr>
          <w:p w:rsidR="00374188" w:rsidRPr="00374188" w:rsidP="00374188" w14:paraId="787B8237" w14:textId="77777777">
            <w:pPr>
              <w:widowControl/>
              <w:autoSpaceDE/>
              <w:autoSpaceDN/>
              <w:adjustRightInd/>
              <w:ind w:firstLine="720"/>
              <w:jc w:val="right"/>
              <w:rPr>
                <w:b w:val="0"/>
                <w:bCs w:val="0"/>
                <w:sz w:val="22"/>
                <w:szCs w:val="22"/>
              </w:rPr>
            </w:pPr>
            <w:r w:rsidRPr="00374188">
              <w:rPr>
                <w:b w:val="0"/>
                <w:bCs w:val="0"/>
                <w:sz w:val="22"/>
                <w:szCs w:val="22"/>
              </w:rPr>
              <w:t>0.5</w:t>
            </w:r>
          </w:p>
        </w:tc>
        <w:tc>
          <w:tcPr>
            <w:tcW w:w="1710" w:type="dxa"/>
            <w:tcBorders>
              <w:top w:val="nil"/>
              <w:left w:val="nil"/>
              <w:bottom w:val="single" w:sz="4" w:space="0" w:color="auto"/>
              <w:right w:val="single" w:sz="4" w:space="0" w:color="auto"/>
            </w:tcBorders>
            <w:vAlign w:val="bottom"/>
            <w:hideMark/>
          </w:tcPr>
          <w:p w:rsidR="00374188" w:rsidRPr="00374188" w:rsidP="00374188" w14:paraId="353F5EA2" w14:textId="77777777">
            <w:pPr>
              <w:widowControl/>
              <w:autoSpaceDE/>
              <w:autoSpaceDN/>
              <w:adjustRightInd/>
              <w:jc w:val="right"/>
              <w:rPr>
                <w:b w:val="0"/>
                <w:bCs w:val="0"/>
                <w:sz w:val="22"/>
                <w:szCs w:val="22"/>
              </w:rPr>
            </w:pPr>
            <w:r w:rsidRPr="00374188">
              <w:rPr>
                <w:b w:val="0"/>
                <w:bCs w:val="0"/>
                <w:sz w:val="22"/>
                <w:szCs w:val="22"/>
              </w:rPr>
              <w:t>2,561</w:t>
            </w:r>
          </w:p>
        </w:tc>
        <w:tc>
          <w:tcPr>
            <w:tcW w:w="1138" w:type="dxa"/>
            <w:tcBorders>
              <w:top w:val="nil"/>
              <w:left w:val="nil"/>
              <w:bottom w:val="single" w:sz="4" w:space="0" w:color="auto"/>
              <w:right w:val="single" w:sz="4" w:space="0" w:color="auto"/>
            </w:tcBorders>
            <w:vAlign w:val="bottom"/>
            <w:hideMark/>
          </w:tcPr>
          <w:p w:rsidR="00374188" w:rsidRPr="00374188" w:rsidP="00374188" w14:paraId="5B1E40FF" w14:textId="77777777">
            <w:pPr>
              <w:widowControl/>
              <w:autoSpaceDE/>
              <w:autoSpaceDN/>
              <w:adjustRightInd/>
              <w:jc w:val="right"/>
              <w:rPr>
                <w:b w:val="0"/>
                <w:bCs w:val="0"/>
                <w:sz w:val="22"/>
                <w:szCs w:val="22"/>
              </w:rPr>
            </w:pPr>
            <w:r w:rsidRPr="00374188">
              <w:rPr>
                <w:b w:val="0"/>
                <w:bCs w:val="0"/>
                <w:sz w:val="22"/>
                <w:szCs w:val="22"/>
              </w:rPr>
              <w:t>$129.14</w:t>
            </w:r>
          </w:p>
        </w:tc>
        <w:tc>
          <w:tcPr>
            <w:tcW w:w="1832" w:type="dxa"/>
            <w:tcBorders>
              <w:top w:val="nil"/>
              <w:left w:val="nil"/>
              <w:bottom w:val="single" w:sz="4" w:space="0" w:color="auto"/>
              <w:right w:val="single" w:sz="4" w:space="0" w:color="auto"/>
            </w:tcBorders>
            <w:vAlign w:val="bottom"/>
            <w:hideMark/>
          </w:tcPr>
          <w:p w:rsidR="00374188" w:rsidRPr="00374188" w:rsidP="00374188" w14:paraId="32B04FCD" w14:textId="77777777">
            <w:pPr>
              <w:widowControl/>
              <w:autoSpaceDE/>
              <w:autoSpaceDN/>
              <w:adjustRightInd/>
              <w:jc w:val="right"/>
              <w:rPr>
                <w:b w:val="0"/>
                <w:bCs w:val="0"/>
                <w:sz w:val="22"/>
                <w:szCs w:val="22"/>
              </w:rPr>
            </w:pPr>
            <w:r w:rsidRPr="00374188">
              <w:rPr>
                <w:b w:val="0"/>
                <w:bCs w:val="0"/>
                <w:sz w:val="22"/>
                <w:szCs w:val="22"/>
              </w:rPr>
              <w:t>$330,663</w:t>
            </w:r>
          </w:p>
        </w:tc>
      </w:tr>
      <w:tr w14:paraId="015D4C2A" w14:textId="77777777" w:rsidTr="00FB5F22">
        <w:tblPrEx>
          <w:tblW w:w="9985" w:type="dxa"/>
          <w:tblLayout w:type="fixed"/>
          <w:tblLook w:val="04A0"/>
        </w:tblPrEx>
        <w:trPr>
          <w:trHeight w:val="98"/>
        </w:trPr>
        <w:tc>
          <w:tcPr>
            <w:tcW w:w="9985" w:type="dxa"/>
            <w:gridSpan w:val="6"/>
            <w:tcBorders>
              <w:top w:val="single" w:sz="4" w:space="0" w:color="auto"/>
              <w:left w:val="single" w:sz="4" w:space="0" w:color="auto"/>
              <w:bottom w:val="single" w:sz="4" w:space="0" w:color="auto"/>
              <w:right w:val="single" w:sz="4" w:space="0" w:color="000000"/>
            </w:tcBorders>
            <w:noWrap/>
            <w:vAlign w:val="bottom"/>
            <w:hideMark/>
          </w:tcPr>
          <w:p w:rsidR="00374188" w:rsidRPr="00374188" w:rsidP="00374188" w14:paraId="5A3A15A5" w14:textId="77777777">
            <w:pPr>
              <w:widowControl/>
              <w:autoSpaceDE/>
              <w:autoSpaceDN/>
              <w:adjustRightInd/>
              <w:rPr>
                <w:i/>
                <w:iCs/>
                <w:sz w:val="22"/>
                <w:szCs w:val="22"/>
                <w:u w:val="single"/>
              </w:rPr>
            </w:pPr>
            <w:r w:rsidRPr="00374188">
              <w:rPr>
                <w:i/>
                <w:iCs/>
                <w:sz w:val="22"/>
                <w:szCs w:val="22"/>
                <w:u w:val="single"/>
              </w:rPr>
              <w:t>Issuers send audit request on behalf of level-funded group health plans and self-insured group health plans with less than 1,000 employees</w:t>
            </w:r>
          </w:p>
        </w:tc>
      </w:tr>
      <w:tr w14:paraId="245C6004" w14:textId="77777777" w:rsidTr="00FB5F22">
        <w:tblPrEx>
          <w:tblW w:w="9985" w:type="dxa"/>
          <w:tblLayout w:type="fixed"/>
          <w:tblLook w:val="04A0"/>
        </w:tblPrEx>
        <w:trPr>
          <w:trHeight w:val="548"/>
        </w:trPr>
        <w:tc>
          <w:tcPr>
            <w:tcW w:w="2332" w:type="dxa"/>
            <w:tcBorders>
              <w:top w:val="nil"/>
              <w:left w:val="single" w:sz="4" w:space="0" w:color="auto"/>
              <w:bottom w:val="single" w:sz="4" w:space="0" w:color="auto"/>
              <w:right w:val="single" w:sz="4" w:space="0" w:color="auto"/>
            </w:tcBorders>
            <w:vAlign w:val="bottom"/>
            <w:hideMark/>
          </w:tcPr>
          <w:p w:rsidR="00374188" w:rsidRPr="00374188" w:rsidP="00374188" w14:paraId="733F85FA" w14:textId="77777777">
            <w:pPr>
              <w:widowControl/>
              <w:autoSpaceDE/>
              <w:autoSpaceDN/>
              <w:adjustRightInd/>
              <w:rPr>
                <w:b w:val="0"/>
                <w:bCs w:val="0"/>
                <w:sz w:val="22"/>
                <w:szCs w:val="22"/>
              </w:rPr>
            </w:pPr>
            <w:r w:rsidRPr="00374188">
              <w:rPr>
                <w:b w:val="0"/>
                <w:bCs w:val="0"/>
                <w:sz w:val="22"/>
                <w:szCs w:val="22"/>
              </w:rPr>
              <w:t xml:space="preserve">Benefit specialists prepare and send audits request </w:t>
            </w:r>
          </w:p>
        </w:tc>
        <w:tc>
          <w:tcPr>
            <w:tcW w:w="1540" w:type="dxa"/>
            <w:tcBorders>
              <w:top w:val="nil"/>
              <w:left w:val="nil"/>
              <w:bottom w:val="single" w:sz="4" w:space="0" w:color="auto"/>
              <w:right w:val="single" w:sz="4" w:space="0" w:color="auto"/>
            </w:tcBorders>
            <w:vAlign w:val="bottom"/>
            <w:hideMark/>
          </w:tcPr>
          <w:p w:rsidR="00374188" w:rsidRPr="00374188" w:rsidP="00374188" w14:paraId="6703B3CB" w14:textId="77777777">
            <w:pPr>
              <w:widowControl/>
              <w:autoSpaceDE/>
              <w:autoSpaceDN/>
              <w:adjustRightInd/>
              <w:ind w:firstLine="720"/>
              <w:rPr>
                <w:b w:val="0"/>
                <w:bCs w:val="0"/>
                <w:sz w:val="22"/>
                <w:szCs w:val="22"/>
              </w:rPr>
            </w:pPr>
            <w:r w:rsidRPr="00374188">
              <w:rPr>
                <w:b w:val="0"/>
                <w:bCs w:val="0"/>
                <w:sz w:val="22"/>
                <w:szCs w:val="22"/>
              </w:rPr>
              <w:t>1,403</w:t>
            </w:r>
          </w:p>
        </w:tc>
        <w:tc>
          <w:tcPr>
            <w:tcW w:w="1433" w:type="dxa"/>
            <w:tcBorders>
              <w:top w:val="nil"/>
              <w:left w:val="nil"/>
              <w:bottom w:val="single" w:sz="4" w:space="0" w:color="auto"/>
              <w:right w:val="single" w:sz="4" w:space="0" w:color="auto"/>
            </w:tcBorders>
            <w:vAlign w:val="bottom"/>
            <w:hideMark/>
          </w:tcPr>
          <w:p w:rsidR="00374188" w:rsidRPr="00374188" w:rsidP="00374188" w14:paraId="14154E63" w14:textId="77777777">
            <w:pPr>
              <w:widowControl/>
              <w:autoSpaceDE/>
              <w:autoSpaceDN/>
              <w:adjustRightInd/>
              <w:ind w:firstLine="720"/>
              <w:jc w:val="right"/>
              <w:rPr>
                <w:b w:val="0"/>
                <w:bCs w:val="0"/>
                <w:sz w:val="22"/>
                <w:szCs w:val="22"/>
              </w:rPr>
            </w:pPr>
            <w:r w:rsidRPr="00374188">
              <w:rPr>
                <w:b w:val="0"/>
                <w:bCs w:val="0"/>
                <w:sz w:val="22"/>
                <w:szCs w:val="22"/>
              </w:rPr>
              <w:t>0.25</w:t>
            </w:r>
          </w:p>
        </w:tc>
        <w:tc>
          <w:tcPr>
            <w:tcW w:w="1710" w:type="dxa"/>
            <w:tcBorders>
              <w:top w:val="nil"/>
              <w:left w:val="nil"/>
              <w:bottom w:val="single" w:sz="4" w:space="0" w:color="auto"/>
              <w:right w:val="single" w:sz="4" w:space="0" w:color="auto"/>
            </w:tcBorders>
            <w:vAlign w:val="bottom"/>
            <w:hideMark/>
          </w:tcPr>
          <w:p w:rsidR="00374188" w:rsidRPr="00374188" w:rsidP="00374188" w14:paraId="106CE510" w14:textId="77777777">
            <w:pPr>
              <w:widowControl/>
              <w:autoSpaceDE/>
              <w:autoSpaceDN/>
              <w:adjustRightInd/>
              <w:ind w:firstLine="720"/>
              <w:jc w:val="right"/>
              <w:rPr>
                <w:b w:val="0"/>
                <w:bCs w:val="0"/>
                <w:sz w:val="22"/>
                <w:szCs w:val="22"/>
              </w:rPr>
            </w:pPr>
            <w:r w:rsidRPr="00374188">
              <w:rPr>
                <w:b w:val="0"/>
                <w:bCs w:val="0"/>
                <w:sz w:val="22"/>
                <w:szCs w:val="22"/>
              </w:rPr>
              <w:t>351</w:t>
            </w:r>
          </w:p>
        </w:tc>
        <w:tc>
          <w:tcPr>
            <w:tcW w:w="1138" w:type="dxa"/>
            <w:tcBorders>
              <w:top w:val="nil"/>
              <w:left w:val="nil"/>
              <w:bottom w:val="single" w:sz="4" w:space="0" w:color="auto"/>
              <w:right w:val="single" w:sz="4" w:space="0" w:color="auto"/>
            </w:tcBorders>
            <w:vAlign w:val="bottom"/>
            <w:hideMark/>
          </w:tcPr>
          <w:p w:rsidR="00374188" w:rsidRPr="00374188" w:rsidP="00374188" w14:paraId="3C9C5A06" w14:textId="77777777">
            <w:pPr>
              <w:widowControl/>
              <w:autoSpaceDE/>
              <w:autoSpaceDN/>
              <w:adjustRightInd/>
              <w:jc w:val="right"/>
              <w:rPr>
                <w:b w:val="0"/>
                <w:bCs w:val="0"/>
                <w:sz w:val="22"/>
                <w:szCs w:val="22"/>
              </w:rPr>
            </w:pPr>
            <w:r w:rsidRPr="00374188">
              <w:rPr>
                <w:b w:val="0"/>
                <w:bCs w:val="0"/>
                <w:sz w:val="22"/>
                <w:szCs w:val="22"/>
              </w:rPr>
              <w:t>$129.14</w:t>
            </w:r>
          </w:p>
        </w:tc>
        <w:tc>
          <w:tcPr>
            <w:tcW w:w="1832" w:type="dxa"/>
            <w:tcBorders>
              <w:top w:val="nil"/>
              <w:left w:val="nil"/>
              <w:bottom w:val="single" w:sz="4" w:space="0" w:color="auto"/>
              <w:right w:val="single" w:sz="4" w:space="0" w:color="auto"/>
            </w:tcBorders>
            <w:vAlign w:val="bottom"/>
            <w:hideMark/>
          </w:tcPr>
          <w:p w:rsidR="00374188" w:rsidRPr="00374188" w:rsidP="00374188" w14:paraId="55366F65" w14:textId="77777777">
            <w:pPr>
              <w:widowControl/>
              <w:autoSpaceDE/>
              <w:autoSpaceDN/>
              <w:adjustRightInd/>
              <w:jc w:val="right"/>
              <w:rPr>
                <w:b w:val="0"/>
                <w:bCs w:val="0"/>
                <w:sz w:val="22"/>
                <w:szCs w:val="22"/>
              </w:rPr>
            </w:pPr>
            <w:r w:rsidRPr="00374188">
              <w:rPr>
                <w:b w:val="0"/>
                <w:bCs w:val="0"/>
                <w:sz w:val="22"/>
                <w:szCs w:val="22"/>
              </w:rPr>
              <w:t>$45,296</w:t>
            </w:r>
          </w:p>
        </w:tc>
      </w:tr>
      <w:tr w14:paraId="4C01669A" w14:textId="77777777" w:rsidTr="00FB5F22">
        <w:tblPrEx>
          <w:tblW w:w="9985" w:type="dxa"/>
          <w:tblLayout w:type="fixed"/>
          <w:tblLook w:val="04A0"/>
        </w:tblPrEx>
        <w:trPr>
          <w:trHeight w:val="313"/>
        </w:trPr>
        <w:tc>
          <w:tcPr>
            <w:tcW w:w="9985" w:type="dxa"/>
            <w:gridSpan w:val="6"/>
            <w:tcBorders>
              <w:top w:val="nil"/>
              <w:left w:val="single" w:sz="4" w:space="0" w:color="auto"/>
              <w:bottom w:val="single" w:sz="4" w:space="0" w:color="auto"/>
              <w:right w:val="single" w:sz="4" w:space="0" w:color="auto"/>
            </w:tcBorders>
            <w:noWrap/>
            <w:vAlign w:val="bottom"/>
            <w:hideMark/>
          </w:tcPr>
          <w:p w:rsidR="00374188" w:rsidRPr="00374188" w:rsidP="00374188" w14:paraId="06DC49A1" w14:textId="77777777">
            <w:pPr>
              <w:widowControl/>
              <w:autoSpaceDE/>
              <w:autoSpaceDN/>
              <w:adjustRightInd/>
              <w:rPr>
                <w:i/>
                <w:iCs/>
                <w:sz w:val="22"/>
                <w:szCs w:val="22"/>
                <w:u w:val="single"/>
              </w:rPr>
            </w:pPr>
            <w:r w:rsidRPr="00374188">
              <w:rPr>
                <w:i/>
                <w:iCs/>
                <w:sz w:val="22"/>
                <w:szCs w:val="22"/>
                <w:u w:val="single"/>
              </w:rPr>
              <w:t>PBMs prepare and disclose the needed info for the audit</w:t>
            </w:r>
          </w:p>
        </w:tc>
      </w:tr>
      <w:tr w14:paraId="6EC67A0A" w14:textId="77777777" w:rsidTr="00FB5F22">
        <w:tblPrEx>
          <w:tblW w:w="9985" w:type="dxa"/>
          <w:tblLayout w:type="fixed"/>
          <w:tblLook w:val="04A0"/>
        </w:tblPrEx>
        <w:trPr>
          <w:trHeight w:val="600"/>
        </w:trPr>
        <w:tc>
          <w:tcPr>
            <w:tcW w:w="2332" w:type="dxa"/>
            <w:tcBorders>
              <w:top w:val="single" w:sz="4" w:space="0" w:color="auto"/>
              <w:left w:val="single" w:sz="4" w:space="0" w:color="auto"/>
              <w:bottom w:val="single" w:sz="4" w:space="0" w:color="auto"/>
              <w:right w:val="single" w:sz="4" w:space="0" w:color="auto"/>
            </w:tcBorders>
            <w:vAlign w:val="bottom"/>
            <w:hideMark/>
          </w:tcPr>
          <w:p w:rsidR="00374188" w:rsidRPr="00374188" w:rsidP="00374188" w14:paraId="6CC9F5DD" w14:textId="77777777">
            <w:pPr>
              <w:widowControl/>
              <w:autoSpaceDE/>
              <w:autoSpaceDN/>
              <w:adjustRightInd/>
              <w:rPr>
                <w:b w:val="0"/>
                <w:bCs w:val="0"/>
                <w:sz w:val="22"/>
                <w:szCs w:val="22"/>
              </w:rPr>
            </w:pPr>
            <w:r w:rsidRPr="00374188">
              <w:rPr>
                <w:b w:val="0"/>
                <w:bCs w:val="0"/>
                <w:sz w:val="22"/>
                <w:szCs w:val="22"/>
              </w:rPr>
              <w:t>Benefit specialists and IT staff prepare for requested audit</w:t>
            </w:r>
          </w:p>
        </w:tc>
        <w:tc>
          <w:tcPr>
            <w:tcW w:w="1540" w:type="dxa"/>
            <w:tcBorders>
              <w:top w:val="single" w:sz="4" w:space="0" w:color="auto"/>
              <w:left w:val="nil"/>
              <w:bottom w:val="double" w:sz="4" w:space="0" w:color="auto"/>
              <w:right w:val="single" w:sz="4" w:space="0" w:color="auto"/>
            </w:tcBorders>
            <w:vAlign w:val="bottom"/>
            <w:hideMark/>
          </w:tcPr>
          <w:p w:rsidR="00374188" w:rsidRPr="00374188" w:rsidP="00374188" w14:paraId="1AEA09E9" w14:textId="77777777">
            <w:pPr>
              <w:widowControl/>
              <w:autoSpaceDE/>
              <w:autoSpaceDN/>
              <w:adjustRightInd/>
              <w:ind w:firstLine="720"/>
              <w:jc w:val="right"/>
              <w:rPr>
                <w:b w:val="0"/>
                <w:bCs w:val="0"/>
                <w:sz w:val="22"/>
                <w:szCs w:val="22"/>
              </w:rPr>
            </w:pPr>
            <w:r w:rsidRPr="00374188">
              <w:rPr>
                <w:b w:val="0"/>
                <w:bCs w:val="0"/>
                <w:sz w:val="22"/>
                <w:szCs w:val="22"/>
              </w:rPr>
              <w:t xml:space="preserve"> 6,524 </w:t>
            </w:r>
          </w:p>
        </w:tc>
        <w:tc>
          <w:tcPr>
            <w:tcW w:w="1433" w:type="dxa"/>
            <w:tcBorders>
              <w:top w:val="single" w:sz="4" w:space="0" w:color="auto"/>
              <w:left w:val="single" w:sz="4" w:space="0" w:color="auto"/>
              <w:bottom w:val="double" w:sz="4" w:space="0" w:color="auto"/>
              <w:right w:val="single" w:sz="4" w:space="0" w:color="auto"/>
            </w:tcBorders>
            <w:vAlign w:val="bottom"/>
            <w:hideMark/>
          </w:tcPr>
          <w:p w:rsidR="00374188" w:rsidRPr="00374188" w:rsidP="00374188" w14:paraId="1F8AF568" w14:textId="77777777">
            <w:pPr>
              <w:widowControl/>
              <w:autoSpaceDE/>
              <w:autoSpaceDN/>
              <w:adjustRightInd/>
              <w:ind w:firstLine="720"/>
              <w:jc w:val="right"/>
              <w:rPr>
                <w:b w:val="0"/>
                <w:bCs w:val="0"/>
                <w:sz w:val="22"/>
                <w:szCs w:val="22"/>
              </w:rPr>
            </w:pPr>
            <w:r w:rsidRPr="00374188">
              <w:rPr>
                <w:rFonts w:eastAsia="Calibri"/>
                <w:b w:val="0"/>
                <w:bCs w:val="0"/>
                <w:sz w:val="22"/>
                <w:szCs w:val="22"/>
              </w:rPr>
              <w:t xml:space="preserve"> 2 </w:t>
            </w:r>
          </w:p>
        </w:tc>
        <w:tc>
          <w:tcPr>
            <w:tcW w:w="1710" w:type="dxa"/>
            <w:tcBorders>
              <w:top w:val="single" w:sz="4" w:space="0" w:color="auto"/>
              <w:left w:val="nil"/>
              <w:bottom w:val="double" w:sz="4" w:space="0" w:color="auto"/>
              <w:right w:val="single" w:sz="4" w:space="0" w:color="auto"/>
            </w:tcBorders>
            <w:vAlign w:val="bottom"/>
            <w:hideMark/>
          </w:tcPr>
          <w:p w:rsidR="00374188" w:rsidRPr="00374188" w:rsidP="00374188" w14:paraId="30F54E61" w14:textId="77777777">
            <w:pPr>
              <w:widowControl/>
              <w:autoSpaceDE/>
              <w:autoSpaceDN/>
              <w:adjustRightInd/>
              <w:ind w:firstLine="720"/>
              <w:jc w:val="right"/>
              <w:rPr>
                <w:b w:val="0"/>
                <w:bCs w:val="0"/>
                <w:sz w:val="22"/>
                <w:szCs w:val="22"/>
              </w:rPr>
            </w:pPr>
            <w:r w:rsidRPr="00374188">
              <w:rPr>
                <w:rFonts w:eastAsia="Calibri"/>
                <w:b w:val="0"/>
                <w:bCs w:val="0"/>
                <w:sz w:val="22"/>
                <w:szCs w:val="22"/>
              </w:rPr>
              <w:t xml:space="preserve"> 13,048 </w:t>
            </w:r>
          </w:p>
        </w:tc>
        <w:tc>
          <w:tcPr>
            <w:tcW w:w="1138" w:type="dxa"/>
            <w:tcBorders>
              <w:top w:val="single" w:sz="4" w:space="0" w:color="auto"/>
              <w:left w:val="nil"/>
              <w:bottom w:val="double" w:sz="4" w:space="0" w:color="auto"/>
              <w:right w:val="nil"/>
            </w:tcBorders>
            <w:vAlign w:val="bottom"/>
            <w:hideMark/>
          </w:tcPr>
          <w:p w:rsidR="00374188" w:rsidRPr="00374188" w:rsidP="00374188" w14:paraId="4DCCB089" w14:textId="77777777">
            <w:pPr>
              <w:widowControl/>
              <w:autoSpaceDE/>
              <w:autoSpaceDN/>
              <w:adjustRightInd/>
              <w:jc w:val="right"/>
              <w:rPr>
                <w:b w:val="0"/>
                <w:bCs w:val="0"/>
                <w:sz w:val="22"/>
                <w:szCs w:val="22"/>
              </w:rPr>
            </w:pPr>
            <w:r w:rsidRPr="00374188">
              <w:rPr>
                <w:rFonts w:eastAsia="Calibri"/>
                <w:b w:val="0"/>
                <w:bCs w:val="0"/>
                <w:sz w:val="22"/>
                <w:szCs w:val="22"/>
              </w:rPr>
              <w:t>$150.52</w:t>
            </w:r>
          </w:p>
        </w:tc>
        <w:tc>
          <w:tcPr>
            <w:tcW w:w="1832" w:type="dxa"/>
            <w:tcBorders>
              <w:top w:val="single" w:sz="4" w:space="0" w:color="auto"/>
              <w:left w:val="single" w:sz="4" w:space="0" w:color="auto"/>
              <w:bottom w:val="double" w:sz="4" w:space="0" w:color="auto"/>
              <w:right w:val="single" w:sz="4" w:space="0" w:color="auto"/>
            </w:tcBorders>
            <w:vAlign w:val="bottom"/>
            <w:hideMark/>
          </w:tcPr>
          <w:p w:rsidR="00374188" w:rsidRPr="00374188" w:rsidP="00374188" w14:paraId="409D54AE" w14:textId="77777777">
            <w:pPr>
              <w:widowControl/>
              <w:autoSpaceDE/>
              <w:autoSpaceDN/>
              <w:adjustRightInd/>
              <w:jc w:val="right"/>
              <w:rPr>
                <w:b w:val="0"/>
                <w:bCs w:val="0"/>
                <w:sz w:val="22"/>
                <w:szCs w:val="22"/>
              </w:rPr>
            </w:pPr>
            <w:r w:rsidRPr="00374188">
              <w:rPr>
                <w:rFonts w:eastAsia="Calibri"/>
                <w:b w:val="0"/>
                <w:bCs w:val="0"/>
                <w:sz w:val="22"/>
                <w:szCs w:val="22"/>
              </w:rPr>
              <w:t>$1,963,985</w:t>
            </w:r>
          </w:p>
        </w:tc>
      </w:tr>
      <w:tr w14:paraId="08C00B10" w14:textId="77777777" w:rsidTr="00FB5F22">
        <w:tblPrEx>
          <w:tblW w:w="9985" w:type="dxa"/>
          <w:tblLayout w:type="fixed"/>
          <w:tblLook w:val="04A0"/>
        </w:tblPrEx>
        <w:trPr>
          <w:trHeight w:val="141"/>
        </w:trPr>
        <w:tc>
          <w:tcPr>
            <w:tcW w:w="2332" w:type="dxa"/>
            <w:tcBorders>
              <w:top w:val="single" w:sz="4" w:space="0" w:color="auto"/>
              <w:left w:val="single" w:sz="4" w:space="0" w:color="auto"/>
              <w:bottom w:val="single" w:sz="4" w:space="0" w:color="auto"/>
              <w:right w:val="single" w:sz="4" w:space="0" w:color="auto"/>
            </w:tcBorders>
            <w:noWrap/>
            <w:vAlign w:val="bottom"/>
            <w:hideMark/>
          </w:tcPr>
          <w:p w:rsidR="00374188" w:rsidRPr="00374188" w:rsidP="00374188" w14:paraId="4F44C1E0" w14:textId="77777777">
            <w:pPr>
              <w:widowControl/>
              <w:autoSpaceDE/>
              <w:autoSpaceDN/>
              <w:adjustRightInd/>
              <w:rPr>
                <w:sz w:val="22"/>
                <w:szCs w:val="22"/>
              </w:rPr>
            </w:pPr>
            <w:r w:rsidRPr="00374188">
              <w:rPr>
                <w:sz w:val="22"/>
                <w:szCs w:val="22"/>
              </w:rPr>
              <w:t xml:space="preserve">Total </w:t>
            </w:r>
          </w:p>
        </w:tc>
        <w:tc>
          <w:tcPr>
            <w:tcW w:w="1540" w:type="dxa"/>
            <w:tcBorders>
              <w:top w:val="double" w:sz="4" w:space="0" w:color="auto"/>
              <w:left w:val="single" w:sz="4" w:space="0" w:color="auto"/>
              <w:bottom w:val="single" w:sz="4" w:space="0" w:color="auto"/>
              <w:right w:val="single" w:sz="4" w:space="0" w:color="auto"/>
            </w:tcBorders>
            <w:noWrap/>
            <w:vAlign w:val="bottom"/>
            <w:hideMark/>
          </w:tcPr>
          <w:p w:rsidR="00374188" w:rsidRPr="00374188" w:rsidP="00374188" w14:paraId="1BCE8C1D" w14:textId="77777777">
            <w:pPr>
              <w:widowControl/>
              <w:autoSpaceDE/>
              <w:autoSpaceDN/>
              <w:adjustRightInd/>
              <w:ind w:firstLine="720"/>
              <w:jc w:val="right"/>
              <w:rPr>
                <w:sz w:val="22"/>
                <w:szCs w:val="22"/>
              </w:rPr>
            </w:pPr>
            <w:r w:rsidRPr="00374188">
              <w:rPr>
                <w:sz w:val="22"/>
                <w:szCs w:val="22"/>
              </w:rPr>
              <w:t>6,524</w:t>
            </w:r>
          </w:p>
        </w:tc>
        <w:tc>
          <w:tcPr>
            <w:tcW w:w="1433" w:type="dxa"/>
            <w:tcBorders>
              <w:top w:val="double" w:sz="4" w:space="0" w:color="auto"/>
              <w:left w:val="single" w:sz="4" w:space="0" w:color="auto"/>
              <w:bottom w:val="single" w:sz="4" w:space="0" w:color="auto"/>
              <w:right w:val="single" w:sz="4" w:space="0" w:color="auto"/>
            </w:tcBorders>
            <w:noWrap/>
            <w:vAlign w:val="bottom"/>
            <w:hideMark/>
          </w:tcPr>
          <w:p w:rsidR="00374188" w:rsidRPr="00374188" w:rsidP="00374188" w14:paraId="5DE1F0ED" w14:textId="77777777">
            <w:pPr>
              <w:widowControl/>
              <w:autoSpaceDE/>
              <w:autoSpaceDN/>
              <w:adjustRightInd/>
              <w:ind w:firstLine="720"/>
              <w:jc w:val="right"/>
              <w:rPr>
                <w:sz w:val="22"/>
                <w:szCs w:val="22"/>
              </w:rPr>
            </w:pPr>
            <w:r w:rsidRPr="00374188">
              <w:rPr>
                <w:rFonts w:eastAsia="Calibri"/>
                <w:sz w:val="22"/>
                <w:szCs w:val="22"/>
              </w:rPr>
              <w:t> </w:t>
            </w:r>
          </w:p>
        </w:tc>
        <w:tc>
          <w:tcPr>
            <w:tcW w:w="1710" w:type="dxa"/>
            <w:tcBorders>
              <w:top w:val="double" w:sz="4" w:space="0" w:color="auto"/>
              <w:left w:val="nil"/>
              <w:bottom w:val="single" w:sz="4" w:space="0" w:color="auto"/>
              <w:right w:val="single" w:sz="4" w:space="0" w:color="auto"/>
            </w:tcBorders>
            <w:noWrap/>
            <w:vAlign w:val="bottom"/>
            <w:hideMark/>
          </w:tcPr>
          <w:p w:rsidR="00374188" w:rsidRPr="00374188" w:rsidP="00374188" w14:paraId="3FE49D5F" w14:textId="77777777">
            <w:pPr>
              <w:widowControl/>
              <w:autoSpaceDE/>
              <w:autoSpaceDN/>
              <w:adjustRightInd/>
              <w:ind w:firstLine="720"/>
              <w:jc w:val="right"/>
              <w:rPr>
                <w:sz w:val="22"/>
                <w:szCs w:val="22"/>
              </w:rPr>
            </w:pPr>
            <w:r w:rsidRPr="00374188">
              <w:rPr>
                <w:rFonts w:eastAsia="Calibri"/>
                <w:sz w:val="22"/>
                <w:szCs w:val="22"/>
              </w:rPr>
              <w:t xml:space="preserve"> 15,959 </w:t>
            </w:r>
          </w:p>
        </w:tc>
        <w:tc>
          <w:tcPr>
            <w:tcW w:w="1138" w:type="dxa"/>
            <w:tcBorders>
              <w:top w:val="double" w:sz="4" w:space="0" w:color="auto"/>
              <w:left w:val="nil"/>
              <w:bottom w:val="single" w:sz="4" w:space="0" w:color="auto"/>
              <w:right w:val="single" w:sz="4" w:space="0" w:color="auto"/>
            </w:tcBorders>
            <w:noWrap/>
            <w:vAlign w:val="bottom"/>
            <w:hideMark/>
          </w:tcPr>
          <w:p w:rsidR="00374188" w:rsidRPr="00374188" w:rsidP="00374188" w14:paraId="40762738" w14:textId="77777777">
            <w:pPr>
              <w:widowControl/>
              <w:autoSpaceDE/>
              <w:autoSpaceDN/>
              <w:adjustRightInd/>
              <w:ind w:firstLine="720"/>
              <w:jc w:val="center"/>
              <w:rPr>
                <w:sz w:val="22"/>
                <w:szCs w:val="22"/>
              </w:rPr>
            </w:pPr>
            <w:r w:rsidRPr="00374188">
              <w:rPr>
                <w:rFonts w:eastAsia="Calibri"/>
                <w:sz w:val="22"/>
                <w:szCs w:val="22"/>
              </w:rPr>
              <w:t>-</w:t>
            </w:r>
          </w:p>
        </w:tc>
        <w:tc>
          <w:tcPr>
            <w:tcW w:w="1832" w:type="dxa"/>
            <w:tcBorders>
              <w:top w:val="double" w:sz="4" w:space="0" w:color="auto"/>
              <w:left w:val="nil"/>
              <w:bottom w:val="single" w:sz="4" w:space="0" w:color="auto"/>
              <w:right w:val="single" w:sz="4" w:space="0" w:color="auto"/>
            </w:tcBorders>
            <w:noWrap/>
            <w:vAlign w:val="bottom"/>
            <w:hideMark/>
          </w:tcPr>
          <w:p w:rsidR="00374188" w:rsidRPr="00374188" w:rsidP="00374188" w14:paraId="0FCB63CB" w14:textId="77777777">
            <w:pPr>
              <w:widowControl/>
              <w:autoSpaceDE/>
              <w:autoSpaceDN/>
              <w:adjustRightInd/>
              <w:jc w:val="right"/>
              <w:rPr>
                <w:sz w:val="22"/>
                <w:szCs w:val="22"/>
              </w:rPr>
            </w:pPr>
            <w:r w:rsidRPr="00374188">
              <w:rPr>
                <w:rFonts w:eastAsia="Calibri"/>
                <w:sz w:val="22"/>
                <w:szCs w:val="22"/>
              </w:rPr>
              <w:t>$2,339,944</w:t>
            </w:r>
          </w:p>
        </w:tc>
      </w:tr>
    </w:tbl>
    <w:p w:rsidR="001D12F0" w:rsidRPr="00860F17" w:rsidP="006E1899" w14:paraId="3288D78E" w14:textId="77777777">
      <w:pPr>
        <w:widowControl/>
        <w:tabs>
          <w:tab w:val="left" w:pos="-1440"/>
        </w:tabs>
        <w:ind w:left="720"/>
        <w:rPr>
          <w:b w:val="0"/>
          <w:bCs w:val="0"/>
          <w:i/>
          <w:sz w:val="24"/>
          <w:szCs w:val="24"/>
        </w:rPr>
      </w:pPr>
    </w:p>
    <w:p w:rsidR="00D309FC" w:rsidRPr="00CA0B11" w:rsidP="00CA0B11" w14:paraId="7CF25680" w14:textId="1ED29734">
      <w:pPr>
        <w:pStyle w:val="ListParagraph"/>
        <w:widowControl/>
        <w:numPr>
          <w:ilvl w:val="0"/>
          <w:numId w:val="45"/>
        </w:numPr>
        <w:tabs>
          <w:tab w:val="left" w:pos="-1440"/>
          <w:tab w:val="left" w:pos="990"/>
        </w:tabs>
        <w:rPr>
          <w:iCs/>
          <w:sz w:val="24"/>
          <w:szCs w:val="24"/>
          <w:u w:val="single"/>
        </w:rPr>
      </w:pPr>
      <w:r w:rsidRPr="00CA0B11">
        <w:rPr>
          <w:iCs/>
          <w:sz w:val="24"/>
          <w:szCs w:val="24"/>
          <w:u w:val="single"/>
        </w:rPr>
        <w:t>Summary</w:t>
      </w:r>
      <w:r w:rsidRPr="00CA0B11" w:rsidR="0057004B">
        <w:rPr>
          <w:iCs/>
          <w:sz w:val="24"/>
          <w:szCs w:val="24"/>
          <w:u w:val="single"/>
        </w:rPr>
        <w:t xml:space="preserve"> of Hour Burden</w:t>
      </w:r>
    </w:p>
    <w:p w:rsidR="00860F17" w:rsidP="00860F17" w14:paraId="72E8A4B4" w14:textId="77777777">
      <w:pPr>
        <w:widowControl/>
        <w:tabs>
          <w:tab w:val="left" w:pos="-1440"/>
        </w:tabs>
        <w:ind w:left="720"/>
        <w:rPr>
          <w:b w:val="0"/>
          <w:bCs w:val="0"/>
          <w:iCs/>
          <w:sz w:val="24"/>
          <w:szCs w:val="24"/>
        </w:rPr>
      </w:pPr>
    </w:p>
    <w:p w:rsidR="00860F17" w:rsidRPr="00860F17" w:rsidP="00860F17" w14:paraId="2E7A7AB1" w14:textId="716E01E8">
      <w:pPr>
        <w:widowControl/>
        <w:tabs>
          <w:tab w:val="left" w:pos="-1440"/>
        </w:tabs>
        <w:ind w:left="720"/>
        <w:rPr>
          <w:b w:val="0"/>
          <w:bCs w:val="0"/>
          <w:iCs/>
          <w:sz w:val="24"/>
          <w:szCs w:val="24"/>
        </w:rPr>
      </w:pPr>
      <w:r w:rsidRPr="00860F17">
        <w:rPr>
          <w:b w:val="0"/>
          <w:bCs w:val="0"/>
          <w:iCs/>
          <w:sz w:val="24"/>
          <w:szCs w:val="24"/>
        </w:rPr>
        <w:t xml:space="preserve">Table </w:t>
      </w:r>
      <w:r w:rsidR="00CA7375">
        <w:rPr>
          <w:b w:val="0"/>
          <w:bCs w:val="0"/>
          <w:iCs/>
          <w:sz w:val="24"/>
          <w:szCs w:val="24"/>
        </w:rPr>
        <w:t>5</w:t>
      </w:r>
      <w:r>
        <w:rPr>
          <w:b w:val="0"/>
          <w:bCs w:val="0"/>
          <w:iCs/>
          <w:sz w:val="24"/>
          <w:szCs w:val="24"/>
        </w:rPr>
        <w:t xml:space="preserve"> provides</w:t>
      </w:r>
      <w:r w:rsidRPr="00860F17">
        <w:rPr>
          <w:b w:val="0"/>
          <w:bCs w:val="0"/>
          <w:iCs/>
          <w:sz w:val="24"/>
          <w:szCs w:val="24"/>
        </w:rPr>
        <w:t xml:space="preserve"> a summary of the hour </w:t>
      </w:r>
      <w:r>
        <w:rPr>
          <w:b w:val="0"/>
          <w:bCs w:val="0"/>
          <w:iCs/>
          <w:sz w:val="24"/>
          <w:szCs w:val="24"/>
        </w:rPr>
        <w:t>burden</w:t>
      </w:r>
      <w:r w:rsidRPr="00860F17">
        <w:rPr>
          <w:b w:val="0"/>
          <w:bCs w:val="0"/>
          <w:iCs/>
          <w:sz w:val="24"/>
          <w:szCs w:val="24"/>
        </w:rPr>
        <w:t xml:space="preserve">. </w:t>
      </w:r>
    </w:p>
    <w:p w:rsidR="00860F17" w:rsidP="00860F17" w14:paraId="23B036FA" w14:textId="77777777">
      <w:pPr>
        <w:widowControl/>
        <w:tabs>
          <w:tab w:val="left" w:pos="-1440"/>
        </w:tabs>
        <w:ind w:left="720"/>
        <w:rPr>
          <w:iCs/>
          <w:sz w:val="24"/>
          <w:szCs w:val="24"/>
        </w:rPr>
      </w:pPr>
    </w:p>
    <w:p w:rsidR="00860F17" w:rsidP="00CA7375" w14:paraId="2BC19585" w14:textId="5724361D">
      <w:pPr>
        <w:pStyle w:val="Heading3"/>
      </w:pPr>
      <w:r w:rsidRPr="00860F17">
        <w:t xml:space="preserve">TABLE </w:t>
      </w:r>
      <w:r w:rsidR="00CA7375">
        <w:t>5</w:t>
      </w:r>
      <w:r w:rsidRPr="00860F17">
        <w:t>. Summary of Hour Burden</w:t>
      </w:r>
    </w:p>
    <w:p w:rsidR="00860F17" w:rsidRPr="00860F17" w:rsidP="00860F17" w14:paraId="1526C612" w14:textId="77777777">
      <w:pPr>
        <w:widowControl/>
        <w:tabs>
          <w:tab w:val="left" w:pos="-1440"/>
        </w:tabs>
        <w:ind w:left="720"/>
        <w:rPr>
          <w:iCs/>
          <w:sz w:val="24"/>
          <w:szCs w:val="24"/>
        </w:rPr>
      </w:pPr>
    </w:p>
    <w:tbl>
      <w:tblPr>
        <w:tblW w:w="0" w:type="auto"/>
        <w:tblInd w:w="648" w:type="dxa"/>
        <w:tblLook w:val="04A0"/>
      </w:tblPr>
      <w:tblGrid>
        <w:gridCol w:w="2875"/>
        <w:gridCol w:w="2070"/>
        <w:gridCol w:w="2160"/>
      </w:tblGrid>
      <w:tr w14:paraId="50832EAC" w14:textId="77777777" w:rsidTr="002643B8">
        <w:tblPrEx>
          <w:tblW w:w="0" w:type="auto"/>
          <w:tblInd w:w="648" w:type="dxa"/>
          <w:tblLook w:val="04A0"/>
        </w:tblPrEx>
        <w:trPr>
          <w:trHeight w:val="560"/>
        </w:trPr>
        <w:tc>
          <w:tcPr>
            <w:tcW w:w="2875" w:type="dxa"/>
            <w:tcBorders>
              <w:top w:val="single" w:sz="4" w:space="0" w:color="auto"/>
              <w:left w:val="single" w:sz="4" w:space="0" w:color="auto"/>
              <w:bottom w:val="single" w:sz="4" w:space="0" w:color="auto"/>
              <w:right w:val="single" w:sz="4" w:space="0" w:color="auto"/>
            </w:tcBorders>
            <w:noWrap/>
            <w:vAlign w:val="bottom"/>
            <w:hideMark/>
          </w:tcPr>
          <w:p w:rsidR="00CF2D3F" w:rsidRPr="00457D74" w14:paraId="13C51871" w14:textId="77777777">
            <w:pPr>
              <w:widowControl/>
            </w:pPr>
            <w:r w:rsidRPr="00457D74">
              <w:t> </w:t>
            </w:r>
          </w:p>
        </w:tc>
        <w:tc>
          <w:tcPr>
            <w:tcW w:w="2070" w:type="dxa"/>
            <w:tcBorders>
              <w:top w:val="single" w:sz="4" w:space="0" w:color="auto"/>
              <w:left w:val="nil"/>
              <w:bottom w:val="single" w:sz="4" w:space="0" w:color="auto"/>
              <w:right w:val="single" w:sz="4" w:space="0" w:color="auto"/>
            </w:tcBorders>
            <w:noWrap/>
            <w:vAlign w:val="center"/>
            <w:hideMark/>
          </w:tcPr>
          <w:p w:rsidR="00CF2D3F" w:rsidRPr="00F44988" w14:paraId="0B475D87" w14:textId="77777777">
            <w:pPr>
              <w:widowControl/>
              <w:jc w:val="center"/>
              <w:rPr>
                <w:bCs w:val="0"/>
              </w:rPr>
            </w:pPr>
            <w:r w:rsidRPr="00F44988">
              <w:rPr>
                <w:bCs w:val="0"/>
              </w:rPr>
              <w:t xml:space="preserve">Hour Burden </w:t>
            </w:r>
          </w:p>
        </w:tc>
        <w:tc>
          <w:tcPr>
            <w:tcW w:w="2160" w:type="dxa"/>
            <w:tcBorders>
              <w:top w:val="single" w:sz="4" w:space="0" w:color="auto"/>
              <w:left w:val="nil"/>
              <w:bottom w:val="single" w:sz="4" w:space="0" w:color="auto"/>
              <w:right w:val="single" w:sz="4" w:space="0" w:color="auto"/>
            </w:tcBorders>
            <w:vAlign w:val="center"/>
            <w:hideMark/>
          </w:tcPr>
          <w:p w:rsidR="00CF2D3F" w:rsidRPr="00F44988" w14:paraId="4BDBB98B" w14:textId="77777777">
            <w:pPr>
              <w:widowControl/>
              <w:jc w:val="center"/>
              <w:rPr>
                <w:bCs w:val="0"/>
              </w:rPr>
            </w:pPr>
            <w:r w:rsidRPr="00F44988">
              <w:rPr>
                <w:bCs w:val="0"/>
              </w:rPr>
              <w:t>Cost Equivalent of</w:t>
            </w:r>
          </w:p>
          <w:p w:rsidR="00CF2D3F" w:rsidRPr="00F44988" w14:paraId="4769D77F" w14:textId="77777777">
            <w:pPr>
              <w:widowControl/>
              <w:jc w:val="center"/>
              <w:rPr>
                <w:bCs w:val="0"/>
              </w:rPr>
            </w:pPr>
            <w:r w:rsidRPr="00F44988">
              <w:rPr>
                <w:bCs w:val="0"/>
              </w:rPr>
              <w:t xml:space="preserve"> Hour Burden</w:t>
            </w:r>
          </w:p>
        </w:tc>
      </w:tr>
      <w:tr w14:paraId="001AA39D" w14:textId="77777777" w:rsidTr="002643B8">
        <w:tblPrEx>
          <w:tblW w:w="0" w:type="auto"/>
          <w:tblInd w:w="648" w:type="dxa"/>
          <w:tblLook w:val="04A0"/>
        </w:tblPrEx>
        <w:trPr>
          <w:trHeight w:val="280"/>
        </w:trPr>
        <w:tc>
          <w:tcPr>
            <w:tcW w:w="2875" w:type="dxa"/>
            <w:tcBorders>
              <w:top w:val="single" w:sz="4" w:space="0" w:color="auto"/>
              <w:left w:val="single" w:sz="4" w:space="0" w:color="auto"/>
              <w:bottom w:val="single" w:sz="4" w:space="0" w:color="auto"/>
              <w:right w:val="single" w:sz="4" w:space="0" w:color="auto"/>
            </w:tcBorders>
            <w:vAlign w:val="bottom"/>
          </w:tcPr>
          <w:p w:rsidR="00CF2D3F" w:rsidRPr="00F44988" w14:paraId="53A25C3E" w14:textId="77777777">
            <w:pPr>
              <w:widowControl/>
              <w:rPr>
                <w:b w:val="0"/>
                <w:bCs w:val="0"/>
              </w:rPr>
            </w:pPr>
            <w:r w:rsidRPr="00F44988">
              <w:rPr>
                <w:b w:val="0"/>
                <w:bCs w:val="0"/>
              </w:rPr>
              <w:t>IT Infrastructure Costs (first year)</w:t>
            </w:r>
          </w:p>
        </w:tc>
        <w:tc>
          <w:tcPr>
            <w:tcW w:w="2070" w:type="dxa"/>
            <w:tcBorders>
              <w:top w:val="single" w:sz="4" w:space="0" w:color="auto"/>
              <w:left w:val="single" w:sz="4" w:space="0" w:color="auto"/>
              <w:bottom w:val="single" w:sz="4" w:space="0" w:color="auto"/>
              <w:right w:val="single" w:sz="4" w:space="0" w:color="auto"/>
            </w:tcBorders>
            <w:noWrap/>
            <w:vAlign w:val="bottom"/>
          </w:tcPr>
          <w:p w:rsidR="00CF2D3F" w:rsidRPr="00CF2D3F" w14:paraId="16B9959C" w14:textId="77777777">
            <w:pPr>
              <w:widowControl/>
              <w:jc w:val="right"/>
              <w:rPr>
                <w:b w:val="0"/>
                <w:bCs w:val="0"/>
              </w:rPr>
            </w:pPr>
            <w:r w:rsidRPr="00CF2D3F">
              <w:rPr>
                <w:b w:val="0"/>
                <w:bCs w:val="0"/>
              </w:rPr>
              <w:t>474,500</w:t>
            </w:r>
          </w:p>
        </w:tc>
        <w:tc>
          <w:tcPr>
            <w:tcW w:w="2160" w:type="dxa"/>
            <w:tcBorders>
              <w:top w:val="single" w:sz="4" w:space="0" w:color="auto"/>
              <w:left w:val="nil"/>
              <w:bottom w:val="single" w:sz="4" w:space="0" w:color="auto"/>
              <w:right w:val="single" w:sz="4" w:space="0" w:color="auto"/>
            </w:tcBorders>
            <w:noWrap/>
            <w:vAlign w:val="bottom"/>
          </w:tcPr>
          <w:p w:rsidR="00CF2D3F" w:rsidRPr="00CF2D3F" w14:paraId="68AD4867" w14:textId="77777777">
            <w:pPr>
              <w:widowControl/>
              <w:jc w:val="right"/>
              <w:rPr>
                <w:b w:val="0"/>
                <w:bCs w:val="0"/>
              </w:rPr>
            </w:pPr>
            <w:r w:rsidRPr="00CF2D3F">
              <w:rPr>
                <w:b w:val="0"/>
                <w:bCs w:val="0"/>
              </w:rPr>
              <w:t>$73,000,000</w:t>
            </w:r>
          </w:p>
        </w:tc>
      </w:tr>
      <w:tr w14:paraId="00876558" w14:textId="77777777" w:rsidTr="002643B8">
        <w:tblPrEx>
          <w:tblW w:w="0" w:type="auto"/>
          <w:tblInd w:w="648" w:type="dxa"/>
          <w:tblLook w:val="04A0"/>
        </w:tblPrEx>
        <w:trPr>
          <w:trHeight w:val="280"/>
        </w:trPr>
        <w:tc>
          <w:tcPr>
            <w:tcW w:w="2875" w:type="dxa"/>
            <w:tcBorders>
              <w:top w:val="single" w:sz="4" w:space="0" w:color="auto"/>
              <w:left w:val="single" w:sz="4" w:space="0" w:color="auto"/>
              <w:bottom w:val="single" w:sz="4" w:space="0" w:color="auto"/>
              <w:right w:val="single" w:sz="4" w:space="0" w:color="auto"/>
            </w:tcBorders>
            <w:vAlign w:val="bottom"/>
          </w:tcPr>
          <w:p w:rsidR="00CF2D3F" w:rsidRPr="00F44988" w14:paraId="19037975" w14:textId="77777777">
            <w:pPr>
              <w:widowControl/>
              <w:rPr>
                <w:b w:val="0"/>
                <w:bCs w:val="0"/>
              </w:rPr>
            </w:pPr>
            <w:r w:rsidRPr="00F44988">
              <w:rPr>
                <w:b w:val="0"/>
                <w:bCs w:val="0"/>
              </w:rPr>
              <w:t>IT Infrastructure Costs (subsequent years)</w:t>
            </w:r>
          </w:p>
        </w:tc>
        <w:tc>
          <w:tcPr>
            <w:tcW w:w="2070" w:type="dxa"/>
            <w:tcBorders>
              <w:top w:val="nil"/>
              <w:left w:val="single" w:sz="4" w:space="0" w:color="auto"/>
              <w:bottom w:val="single" w:sz="4" w:space="0" w:color="auto"/>
              <w:right w:val="single" w:sz="4" w:space="0" w:color="auto"/>
            </w:tcBorders>
            <w:noWrap/>
            <w:vAlign w:val="bottom"/>
          </w:tcPr>
          <w:p w:rsidR="00CF2D3F" w:rsidRPr="00CF2D3F" w14:paraId="3557328E" w14:textId="77777777">
            <w:pPr>
              <w:widowControl/>
              <w:jc w:val="right"/>
              <w:rPr>
                <w:b w:val="0"/>
                <w:bCs w:val="0"/>
              </w:rPr>
            </w:pPr>
            <w:r w:rsidRPr="00CF2D3F">
              <w:rPr>
                <w:b w:val="0"/>
                <w:bCs w:val="0"/>
              </w:rPr>
              <w:t>94,900</w:t>
            </w:r>
          </w:p>
        </w:tc>
        <w:tc>
          <w:tcPr>
            <w:tcW w:w="2160" w:type="dxa"/>
            <w:tcBorders>
              <w:top w:val="nil"/>
              <w:left w:val="nil"/>
              <w:bottom w:val="single" w:sz="4" w:space="0" w:color="auto"/>
              <w:right w:val="single" w:sz="4" w:space="0" w:color="auto"/>
            </w:tcBorders>
            <w:noWrap/>
            <w:vAlign w:val="bottom"/>
          </w:tcPr>
          <w:p w:rsidR="00CF2D3F" w:rsidRPr="00CF2D3F" w14:paraId="6D3B4A81" w14:textId="77777777">
            <w:pPr>
              <w:widowControl/>
              <w:jc w:val="right"/>
              <w:rPr>
                <w:b w:val="0"/>
                <w:bCs w:val="0"/>
              </w:rPr>
            </w:pPr>
            <w:r w:rsidRPr="00CF2D3F">
              <w:rPr>
                <w:b w:val="0"/>
                <w:bCs w:val="0"/>
              </w:rPr>
              <w:t>$14,600,000</w:t>
            </w:r>
          </w:p>
        </w:tc>
      </w:tr>
      <w:tr w14:paraId="1F54CD40" w14:textId="77777777" w:rsidTr="002643B8">
        <w:tblPrEx>
          <w:tblW w:w="0" w:type="auto"/>
          <w:tblInd w:w="648" w:type="dxa"/>
          <w:tblLook w:val="04A0"/>
        </w:tblPrEx>
        <w:trPr>
          <w:trHeight w:val="280"/>
        </w:trPr>
        <w:tc>
          <w:tcPr>
            <w:tcW w:w="2875" w:type="dxa"/>
            <w:tcBorders>
              <w:top w:val="single" w:sz="4" w:space="0" w:color="auto"/>
              <w:left w:val="single" w:sz="4" w:space="0" w:color="auto"/>
              <w:bottom w:val="single" w:sz="4" w:space="0" w:color="auto"/>
              <w:right w:val="single" w:sz="4" w:space="0" w:color="auto"/>
            </w:tcBorders>
            <w:vAlign w:val="bottom"/>
            <w:hideMark/>
          </w:tcPr>
          <w:p w:rsidR="00CF2D3F" w:rsidRPr="00F44988" w14:paraId="65478096" w14:textId="77777777">
            <w:pPr>
              <w:widowControl/>
              <w:rPr>
                <w:b w:val="0"/>
                <w:bCs w:val="0"/>
              </w:rPr>
            </w:pPr>
            <w:r w:rsidRPr="00F44988">
              <w:rPr>
                <w:b w:val="0"/>
                <w:bCs w:val="0"/>
              </w:rPr>
              <w:t>Disclosure Preparation Costs</w:t>
            </w:r>
          </w:p>
        </w:tc>
        <w:tc>
          <w:tcPr>
            <w:tcW w:w="2070" w:type="dxa"/>
            <w:tcBorders>
              <w:top w:val="nil"/>
              <w:left w:val="single" w:sz="4" w:space="0" w:color="auto"/>
              <w:bottom w:val="single" w:sz="4" w:space="0" w:color="auto"/>
              <w:right w:val="single" w:sz="4" w:space="0" w:color="auto"/>
            </w:tcBorders>
            <w:noWrap/>
            <w:vAlign w:val="bottom"/>
            <w:hideMark/>
          </w:tcPr>
          <w:p w:rsidR="00CF2D3F" w:rsidRPr="00CF2D3F" w14:paraId="031CED5D" w14:textId="77777777">
            <w:pPr>
              <w:widowControl/>
              <w:jc w:val="right"/>
              <w:rPr>
                <w:b w:val="0"/>
                <w:bCs w:val="0"/>
              </w:rPr>
            </w:pPr>
            <w:r w:rsidRPr="00CF2D3F">
              <w:rPr>
                <w:b w:val="0"/>
                <w:bCs w:val="0"/>
              </w:rPr>
              <w:t>682,333</w:t>
            </w:r>
          </w:p>
        </w:tc>
        <w:tc>
          <w:tcPr>
            <w:tcW w:w="2160" w:type="dxa"/>
            <w:tcBorders>
              <w:top w:val="nil"/>
              <w:left w:val="nil"/>
              <w:bottom w:val="single" w:sz="4" w:space="0" w:color="auto"/>
              <w:right w:val="single" w:sz="4" w:space="0" w:color="auto"/>
            </w:tcBorders>
            <w:noWrap/>
            <w:vAlign w:val="bottom"/>
            <w:hideMark/>
          </w:tcPr>
          <w:p w:rsidR="00CF2D3F" w:rsidRPr="00CF2D3F" w14:paraId="07CAB2D3" w14:textId="77777777">
            <w:pPr>
              <w:widowControl/>
              <w:jc w:val="right"/>
              <w:rPr>
                <w:b w:val="0"/>
                <w:bCs w:val="0"/>
              </w:rPr>
            </w:pPr>
            <w:r w:rsidRPr="00CF2D3F">
              <w:rPr>
                <w:b w:val="0"/>
                <w:bCs w:val="0"/>
              </w:rPr>
              <w:t>$90,638,751</w:t>
            </w:r>
          </w:p>
        </w:tc>
      </w:tr>
      <w:tr w14:paraId="7277ED58" w14:textId="77777777" w:rsidTr="002643B8">
        <w:tblPrEx>
          <w:tblW w:w="0" w:type="auto"/>
          <w:tblInd w:w="648" w:type="dxa"/>
          <w:tblLook w:val="04A0"/>
        </w:tblPrEx>
        <w:trPr>
          <w:trHeight w:val="188"/>
        </w:trPr>
        <w:tc>
          <w:tcPr>
            <w:tcW w:w="2875" w:type="dxa"/>
            <w:tcBorders>
              <w:top w:val="nil"/>
              <w:left w:val="single" w:sz="4" w:space="0" w:color="auto"/>
              <w:bottom w:val="double" w:sz="4" w:space="0" w:color="auto"/>
              <w:right w:val="single" w:sz="4" w:space="0" w:color="auto"/>
            </w:tcBorders>
            <w:noWrap/>
            <w:vAlign w:val="bottom"/>
            <w:hideMark/>
          </w:tcPr>
          <w:p w:rsidR="00CF2D3F" w:rsidRPr="00F44988" w14:paraId="1352E3AD" w14:textId="77777777">
            <w:pPr>
              <w:widowControl/>
              <w:rPr>
                <w:b w:val="0"/>
                <w:bCs w:val="0"/>
              </w:rPr>
            </w:pPr>
            <w:r w:rsidRPr="00F44988">
              <w:rPr>
                <w:b w:val="0"/>
                <w:bCs w:val="0"/>
              </w:rPr>
              <w:t>Audit Costs</w:t>
            </w:r>
          </w:p>
        </w:tc>
        <w:tc>
          <w:tcPr>
            <w:tcW w:w="2070" w:type="dxa"/>
            <w:tcBorders>
              <w:top w:val="nil"/>
              <w:left w:val="single" w:sz="4" w:space="0" w:color="auto"/>
              <w:bottom w:val="double" w:sz="6" w:space="0" w:color="auto"/>
              <w:right w:val="single" w:sz="4" w:space="0" w:color="auto"/>
            </w:tcBorders>
            <w:noWrap/>
            <w:vAlign w:val="bottom"/>
            <w:hideMark/>
          </w:tcPr>
          <w:p w:rsidR="00CF2D3F" w:rsidRPr="00CF2D3F" w14:paraId="6DF5251C" w14:textId="6D254977">
            <w:pPr>
              <w:widowControl/>
              <w:jc w:val="right"/>
              <w:rPr>
                <w:b w:val="0"/>
                <w:bCs w:val="0"/>
              </w:rPr>
            </w:pPr>
            <w:r>
              <w:rPr>
                <w:b w:val="0"/>
                <w:bCs w:val="0"/>
              </w:rPr>
              <w:t xml:space="preserve"> </w:t>
            </w:r>
            <w:r w:rsidRPr="00CF2D3F">
              <w:rPr>
                <w:b w:val="0"/>
                <w:bCs w:val="0"/>
              </w:rPr>
              <w:t xml:space="preserve">15,959 </w:t>
            </w:r>
          </w:p>
        </w:tc>
        <w:tc>
          <w:tcPr>
            <w:tcW w:w="2160" w:type="dxa"/>
            <w:tcBorders>
              <w:top w:val="nil"/>
              <w:left w:val="nil"/>
              <w:bottom w:val="double" w:sz="6" w:space="0" w:color="auto"/>
              <w:right w:val="single" w:sz="4" w:space="0" w:color="auto"/>
            </w:tcBorders>
            <w:noWrap/>
            <w:vAlign w:val="bottom"/>
            <w:hideMark/>
          </w:tcPr>
          <w:p w:rsidR="00CF2D3F" w:rsidRPr="00CF2D3F" w14:paraId="709D8507" w14:textId="77777777">
            <w:pPr>
              <w:widowControl/>
              <w:jc w:val="right"/>
              <w:rPr>
                <w:b w:val="0"/>
                <w:bCs w:val="0"/>
              </w:rPr>
            </w:pPr>
            <w:r w:rsidRPr="00CF2D3F">
              <w:rPr>
                <w:b w:val="0"/>
                <w:bCs w:val="0"/>
              </w:rPr>
              <w:t>$2,339,944</w:t>
            </w:r>
          </w:p>
        </w:tc>
      </w:tr>
      <w:tr w14:paraId="3FEB6FF0" w14:textId="77777777" w:rsidTr="002643B8">
        <w:tblPrEx>
          <w:tblW w:w="0" w:type="auto"/>
          <w:tblInd w:w="648" w:type="dxa"/>
          <w:tblLook w:val="04A0"/>
        </w:tblPrEx>
        <w:trPr>
          <w:trHeight w:val="360"/>
        </w:trPr>
        <w:tc>
          <w:tcPr>
            <w:tcW w:w="2875" w:type="dxa"/>
            <w:tcBorders>
              <w:top w:val="double" w:sz="4" w:space="0" w:color="auto"/>
              <w:left w:val="single" w:sz="4" w:space="0" w:color="auto"/>
              <w:bottom w:val="single" w:sz="4" w:space="0" w:color="auto"/>
              <w:right w:val="single" w:sz="4" w:space="0" w:color="auto"/>
            </w:tcBorders>
            <w:noWrap/>
            <w:vAlign w:val="bottom"/>
            <w:hideMark/>
          </w:tcPr>
          <w:p w:rsidR="00CF2D3F" w:rsidRPr="00F44988" w14:paraId="7DD93E01" w14:textId="77777777">
            <w:pPr>
              <w:widowControl/>
            </w:pPr>
            <w:r w:rsidRPr="00F44988">
              <w:t>First Year Total</w:t>
            </w:r>
          </w:p>
        </w:tc>
        <w:tc>
          <w:tcPr>
            <w:tcW w:w="2070" w:type="dxa"/>
            <w:tcBorders>
              <w:top w:val="nil"/>
              <w:left w:val="single" w:sz="4" w:space="0" w:color="auto"/>
              <w:bottom w:val="nil"/>
              <w:right w:val="single" w:sz="4" w:space="0" w:color="auto"/>
            </w:tcBorders>
            <w:noWrap/>
            <w:vAlign w:val="bottom"/>
            <w:hideMark/>
          </w:tcPr>
          <w:p w:rsidR="00CF2D3F" w:rsidRPr="00F44988" w14:paraId="122CA214" w14:textId="358AEF25">
            <w:pPr>
              <w:widowControl/>
              <w:jc w:val="right"/>
            </w:pPr>
            <w:r>
              <w:t xml:space="preserve"> </w:t>
            </w:r>
            <w:r w:rsidRPr="00F44988">
              <w:t xml:space="preserve">1,172,792 </w:t>
            </w:r>
          </w:p>
        </w:tc>
        <w:tc>
          <w:tcPr>
            <w:tcW w:w="2160" w:type="dxa"/>
            <w:tcBorders>
              <w:top w:val="nil"/>
              <w:left w:val="nil"/>
              <w:bottom w:val="nil"/>
              <w:right w:val="single" w:sz="4" w:space="0" w:color="auto"/>
            </w:tcBorders>
            <w:noWrap/>
            <w:vAlign w:val="bottom"/>
            <w:hideMark/>
          </w:tcPr>
          <w:p w:rsidR="00CF2D3F" w:rsidRPr="00F44988" w14:paraId="55529A87" w14:textId="77777777">
            <w:pPr>
              <w:widowControl/>
              <w:jc w:val="right"/>
            </w:pPr>
            <w:r w:rsidRPr="00F44988">
              <w:t>$165,978,695</w:t>
            </w:r>
          </w:p>
        </w:tc>
      </w:tr>
      <w:tr w14:paraId="1368A4EC" w14:textId="77777777" w:rsidTr="002643B8">
        <w:tblPrEx>
          <w:tblW w:w="0" w:type="auto"/>
          <w:tblInd w:w="648" w:type="dxa"/>
          <w:tblLook w:val="04A0"/>
        </w:tblPrEx>
        <w:trPr>
          <w:trHeight w:val="70"/>
        </w:trPr>
        <w:tc>
          <w:tcPr>
            <w:tcW w:w="2875" w:type="dxa"/>
            <w:tcBorders>
              <w:top w:val="nil"/>
              <w:left w:val="single" w:sz="4" w:space="0" w:color="auto"/>
              <w:bottom w:val="single" w:sz="4" w:space="0" w:color="auto"/>
              <w:right w:val="single" w:sz="4" w:space="0" w:color="auto"/>
            </w:tcBorders>
            <w:noWrap/>
            <w:vAlign w:val="bottom"/>
          </w:tcPr>
          <w:p w:rsidR="00CF2D3F" w:rsidRPr="00F44988" w14:paraId="4632109F" w14:textId="77777777">
            <w:pPr>
              <w:widowControl/>
            </w:pPr>
            <w:r w:rsidRPr="00F44988">
              <w:t xml:space="preserve">Subsequent Year Total </w:t>
            </w:r>
          </w:p>
        </w:tc>
        <w:tc>
          <w:tcPr>
            <w:tcW w:w="2070" w:type="dxa"/>
            <w:tcBorders>
              <w:top w:val="single" w:sz="4" w:space="0" w:color="auto"/>
              <w:left w:val="single" w:sz="4" w:space="0" w:color="auto"/>
              <w:bottom w:val="single" w:sz="4" w:space="0" w:color="auto"/>
              <w:right w:val="single" w:sz="4" w:space="0" w:color="auto"/>
            </w:tcBorders>
            <w:noWrap/>
            <w:vAlign w:val="bottom"/>
          </w:tcPr>
          <w:p w:rsidR="00CF2D3F" w:rsidRPr="00F44988" w14:paraId="09B473B7" w14:textId="15E03B46">
            <w:pPr>
              <w:widowControl/>
              <w:jc w:val="right"/>
            </w:pPr>
            <w:r>
              <w:t xml:space="preserve"> </w:t>
            </w:r>
            <w:r w:rsidRPr="00F44988">
              <w:t xml:space="preserve">793,192 </w:t>
            </w:r>
          </w:p>
        </w:tc>
        <w:tc>
          <w:tcPr>
            <w:tcW w:w="2160" w:type="dxa"/>
            <w:tcBorders>
              <w:top w:val="single" w:sz="4" w:space="0" w:color="auto"/>
              <w:left w:val="nil"/>
              <w:bottom w:val="single" w:sz="4" w:space="0" w:color="auto"/>
              <w:right w:val="single" w:sz="4" w:space="0" w:color="auto"/>
            </w:tcBorders>
            <w:noWrap/>
            <w:vAlign w:val="bottom"/>
          </w:tcPr>
          <w:p w:rsidR="00CF2D3F" w:rsidRPr="00F44988" w14:paraId="6AC7DFB0" w14:textId="77777777">
            <w:pPr>
              <w:widowControl/>
              <w:jc w:val="right"/>
            </w:pPr>
            <w:r w:rsidRPr="00F44988">
              <w:t>$107,578,695</w:t>
            </w:r>
          </w:p>
        </w:tc>
      </w:tr>
      <w:tr w14:paraId="5B97379C" w14:textId="77777777" w:rsidTr="002643B8">
        <w:tblPrEx>
          <w:tblW w:w="0" w:type="auto"/>
          <w:tblInd w:w="648" w:type="dxa"/>
          <w:tblLook w:val="04A0"/>
        </w:tblPrEx>
        <w:trPr>
          <w:trHeight w:val="280"/>
        </w:trPr>
        <w:tc>
          <w:tcPr>
            <w:tcW w:w="2875" w:type="dxa"/>
            <w:tcBorders>
              <w:top w:val="nil"/>
              <w:left w:val="single" w:sz="4" w:space="0" w:color="auto"/>
              <w:bottom w:val="single" w:sz="4" w:space="0" w:color="auto"/>
              <w:right w:val="single" w:sz="4" w:space="0" w:color="auto"/>
            </w:tcBorders>
            <w:noWrap/>
            <w:vAlign w:val="bottom"/>
          </w:tcPr>
          <w:p w:rsidR="00CF2D3F" w:rsidRPr="00F44988" w14:paraId="308BA297" w14:textId="77777777">
            <w:pPr>
              <w:widowControl/>
            </w:pPr>
            <w:r w:rsidRPr="00F44988">
              <w:t>Three-Year Average Total</w:t>
            </w:r>
          </w:p>
        </w:tc>
        <w:tc>
          <w:tcPr>
            <w:tcW w:w="2070" w:type="dxa"/>
            <w:tcBorders>
              <w:top w:val="nil"/>
              <w:left w:val="single" w:sz="4" w:space="0" w:color="auto"/>
              <w:bottom w:val="single" w:sz="4" w:space="0" w:color="auto"/>
              <w:right w:val="single" w:sz="4" w:space="0" w:color="auto"/>
            </w:tcBorders>
            <w:noWrap/>
            <w:vAlign w:val="bottom"/>
          </w:tcPr>
          <w:p w:rsidR="00CF2D3F" w:rsidRPr="00F44988" w14:paraId="77E93ED0" w14:textId="25AC072A">
            <w:pPr>
              <w:widowControl/>
              <w:jc w:val="right"/>
            </w:pPr>
            <w:r>
              <w:t xml:space="preserve"> </w:t>
            </w:r>
            <w:r w:rsidRPr="00F44988">
              <w:t xml:space="preserve">919,725 </w:t>
            </w:r>
          </w:p>
        </w:tc>
        <w:tc>
          <w:tcPr>
            <w:tcW w:w="2160" w:type="dxa"/>
            <w:tcBorders>
              <w:top w:val="nil"/>
              <w:left w:val="nil"/>
              <w:bottom w:val="single" w:sz="4" w:space="0" w:color="auto"/>
              <w:right w:val="single" w:sz="4" w:space="0" w:color="auto"/>
            </w:tcBorders>
            <w:noWrap/>
            <w:vAlign w:val="bottom"/>
          </w:tcPr>
          <w:p w:rsidR="00CF2D3F" w:rsidRPr="00F44988" w14:paraId="4A1BA819" w14:textId="77777777">
            <w:pPr>
              <w:widowControl/>
              <w:jc w:val="right"/>
            </w:pPr>
            <w:r w:rsidRPr="00F44988">
              <w:t>$127,045,362</w:t>
            </w:r>
          </w:p>
        </w:tc>
      </w:tr>
    </w:tbl>
    <w:p w:rsidR="00860F17" w:rsidP="00860F17" w14:paraId="49A733C9" w14:textId="77777777">
      <w:pPr>
        <w:widowControl/>
        <w:tabs>
          <w:tab w:val="left" w:pos="-1440"/>
        </w:tabs>
        <w:rPr>
          <w:b w:val="0"/>
          <w:bCs w:val="0"/>
          <w:iCs/>
          <w:sz w:val="24"/>
          <w:szCs w:val="24"/>
        </w:rPr>
      </w:pPr>
    </w:p>
    <w:p w:rsidR="00860F17" w:rsidP="00714313" w14:paraId="00C09BA4" w14:textId="77777777">
      <w:pPr>
        <w:widowControl/>
        <w:tabs>
          <w:tab w:val="left" w:pos="-1440"/>
        </w:tabs>
        <w:ind w:left="720"/>
        <w:rPr>
          <w:b w:val="0"/>
          <w:bCs w:val="0"/>
          <w:iCs/>
          <w:sz w:val="24"/>
          <w:szCs w:val="24"/>
        </w:rPr>
      </w:pPr>
    </w:p>
    <w:p w:rsidR="00E56974" w:rsidP="00CA7375" w14:paraId="510DFBE6" w14:textId="13ABAFAE">
      <w:pPr>
        <w:pStyle w:val="Heading3"/>
      </w:pPr>
      <w:r>
        <w:t xml:space="preserve">TABLE 6. </w:t>
      </w:r>
      <w:r w:rsidRPr="00D309FC" w:rsidR="00540514">
        <w:t>Estimated Annualized Respondent Cost and Hour Burden</w:t>
      </w:r>
    </w:p>
    <w:p w:rsidR="00546A83" w:rsidRPr="006E1899" w:rsidP="006E1899" w14:paraId="1281159C" w14:textId="77777777">
      <w:pPr>
        <w:ind w:left="1440" w:firstLine="720"/>
        <w:rPr>
          <w:b w:val="0"/>
          <w:bCs w:val="0"/>
          <w:iCs/>
          <w:sz w:val="24"/>
          <w:szCs w:val="24"/>
        </w:rPr>
      </w:pPr>
    </w:p>
    <w:tbl>
      <w:tblPr>
        <w:tblW w:w="11506" w:type="dxa"/>
        <w:tblInd w:w="-995" w:type="dxa"/>
        <w:tblLook w:val="04A0"/>
      </w:tblPr>
      <w:tblGrid>
        <w:gridCol w:w="1582"/>
        <w:gridCol w:w="1306"/>
        <w:gridCol w:w="1695"/>
        <w:gridCol w:w="1349"/>
        <w:gridCol w:w="933"/>
        <w:gridCol w:w="1514"/>
        <w:gridCol w:w="1533"/>
        <w:gridCol w:w="1358"/>
        <w:gridCol w:w="236"/>
      </w:tblGrid>
      <w:tr w14:paraId="7D2BCCE6" w14:textId="77777777" w:rsidTr="00794113">
        <w:tblPrEx>
          <w:tblW w:w="11506" w:type="dxa"/>
          <w:tblInd w:w="-995" w:type="dxa"/>
          <w:tblLook w:val="04A0"/>
        </w:tblPrEx>
        <w:trPr>
          <w:gridAfter w:val="1"/>
          <w:wAfter w:w="236" w:type="dxa"/>
          <w:trHeight w:val="523"/>
        </w:trPr>
        <w:tc>
          <w:tcPr>
            <w:tcW w:w="1582"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546A83" w:rsidRPr="00546A83" w:rsidP="00546A83" w14:paraId="2EE3A79B" w14:textId="77777777">
            <w:pPr>
              <w:widowControl/>
              <w:autoSpaceDE/>
              <w:autoSpaceDN/>
              <w:adjustRightInd/>
              <w:jc w:val="center"/>
              <w:rPr>
                <w:color w:val="000000"/>
              </w:rPr>
            </w:pPr>
            <w:r w:rsidRPr="00546A83">
              <w:rPr>
                <w:color w:val="000000"/>
              </w:rPr>
              <w:t>Activity</w:t>
            </w:r>
            <w:r w:rsidRPr="00546A83">
              <w:rPr>
                <w:b w:val="0"/>
                <w:bCs w:val="0"/>
                <w:color w:val="000000"/>
              </w:rPr>
              <w:t> </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546A83" w:rsidRPr="00546A83" w:rsidP="00546A83" w14:paraId="6EA1AA51" w14:textId="77777777">
            <w:pPr>
              <w:widowControl/>
              <w:autoSpaceDE/>
              <w:autoSpaceDN/>
              <w:adjustRightInd/>
              <w:jc w:val="center"/>
              <w:rPr>
                <w:color w:val="000000"/>
              </w:rPr>
            </w:pPr>
            <w:r w:rsidRPr="00546A83">
              <w:rPr>
                <w:color w:val="000000"/>
              </w:rPr>
              <w:t>Number of Respondents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546A83" w:rsidRPr="00546A83" w:rsidP="00546A83" w14:paraId="4B0FCA6E" w14:textId="77777777">
            <w:pPr>
              <w:widowControl/>
              <w:autoSpaceDE/>
              <w:autoSpaceDN/>
              <w:adjustRightInd/>
              <w:jc w:val="center"/>
              <w:rPr>
                <w:color w:val="000000"/>
              </w:rPr>
            </w:pPr>
            <w:r w:rsidRPr="00546A83">
              <w:rPr>
                <w:color w:val="000000"/>
              </w:rPr>
              <w:t>Number of Responses</w:t>
            </w:r>
            <w:r w:rsidRPr="00546A83">
              <w:rPr>
                <w:b w:val="0"/>
                <w:bCs w:val="0"/>
                <w:color w:val="000000"/>
              </w:rPr>
              <w:t xml:space="preserve"> </w:t>
            </w:r>
            <w:r w:rsidRPr="00546A83">
              <w:rPr>
                <w:color w:val="000000"/>
              </w:rPr>
              <w:t>per Respondent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546A83" w:rsidRPr="00546A83" w:rsidP="00546A83" w14:paraId="37D5B21B" w14:textId="77777777">
            <w:pPr>
              <w:widowControl/>
              <w:autoSpaceDE/>
              <w:autoSpaceDN/>
              <w:adjustRightInd/>
              <w:jc w:val="center"/>
              <w:rPr>
                <w:color w:val="000000"/>
              </w:rPr>
            </w:pPr>
            <w:r w:rsidRPr="00546A83">
              <w:rPr>
                <w:color w:val="000000"/>
              </w:rPr>
              <w:t>Total Responses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546A83" w:rsidRPr="00546A83" w:rsidP="00546A83" w14:paraId="1C1E8EFA" w14:textId="77777777">
            <w:pPr>
              <w:widowControl/>
              <w:autoSpaceDE/>
              <w:autoSpaceDN/>
              <w:adjustRightInd/>
              <w:jc w:val="center"/>
              <w:rPr>
                <w:color w:val="000000"/>
              </w:rPr>
            </w:pPr>
            <w:r w:rsidRPr="00546A83">
              <w:rPr>
                <w:color w:val="000000"/>
              </w:rPr>
              <w:t>Average Burden (Hours)</w:t>
            </w:r>
            <w:r w:rsidRPr="00546A83">
              <w:rPr>
                <w:b w:val="0"/>
                <w:bCs w:val="0"/>
                <w:color w:val="000000"/>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546A83" w:rsidRPr="00546A83" w:rsidP="00546A83" w14:paraId="5B5FC624" w14:textId="77777777">
            <w:pPr>
              <w:widowControl/>
              <w:autoSpaceDE/>
              <w:autoSpaceDN/>
              <w:adjustRightInd/>
              <w:jc w:val="center"/>
              <w:rPr>
                <w:color w:val="000000"/>
              </w:rPr>
            </w:pPr>
            <w:r w:rsidRPr="00546A83">
              <w:rPr>
                <w:color w:val="000000"/>
              </w:rPr>
              <w:t>Total Burden (Hours)</w:t>
            </w:r>
            <w:r w:rsidRPr="00546A83">
              <w:rPr>
                <w:b w:val="0"/>
                <w:bCs w:val="0"/>
                <w:color w:val="000000"/>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546A83" w:rsidRPr="00546A83" w:rsidP="00546A83" w14:paraId="04412B33" w14:textId="77777777">
            <w:pPr>
              <w:widowControl/>
              <w:autoSpaceDE/>
              <w:autoSpaceDN/>
              <w:adjustRightInd/>
              <w:jc w:val="center"/>
              <w:rPr>
                <w:color w:val="000000"/>
              </w:rPr>
            </w:pPr>
            <w:r w:rsidRPr="00546A83">
              <w:rPr>
                <w:color w:val="000000"/>
              </w:rPr>
              <w:t>Hourly</w:t>
            </w:r>
            <w:r w:rsidRPr="00546A83">
              <w:rPr>
                <w:b w:val="0"/>
                <w:bCs w:val="0"/>
                <w:color w:val="000000"/>
              </w:rPr>
              <w:t> </w:t>
            </w:r>
            <w:r w:rsidRPr="00546A83">
              <w:rPr>
                <w:color w:val="000000"/>
              </w:rPr>
              <w:t>Wage Rate</w:t>
            </w:r>
          </w:p>
        </w:tc>
        <w:tc>
          <w:tcPr>
            <w:tcW w:w="1358"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546A83" w:rsidRPr="00546A83" w:rsidP="00546A83" w14:paraId="5322E804" w14:textId="77777777">
            <w:pPr>
              <w:widowControl/>
              <w:autoSpaceDE/>
              <w:autoSpaceDN/>
              <w:adjustRightInd/>
              <w:jc w:val="center"/>
              <w:rPr>
                <w:color w:val="000000"/>
              </w:rPr>
            </w:pPr>
            <w:r w:rsidRPr="00546A83">
              <w:rPr>
                <w:color w:val="000000"/>
              </w:rPr>
              <w:t>Equivalent Cost of Hour Burden</w:t>
            </w:r>
          </w:p>
        </w:tc>
      </w:tr>
      <w:tr w14:paraId="1FD56023" w14:textId="77777777" w:rsidTr="00794113">
        <w:tblPrEx>
          <w:tblW w:w="11506" w:type="dxa"/>
          <w:tblInd w:w="-995" w:type="dxa"/>
          <w:tblLook w:val="04A0"/>
        </w:tblPrEx>
        <w:trPr>
          <w:trHeight w:val="250"/>
        </w:trPr>
        <w:tc>
          <w:tcPr>
            <w:tcW w:w="1582"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14607F88" w14:textId="77777777">
            <w:pPr>
              <w:widowControl/>
              <w:autoSpaceDE/>
              <w:autoSpaceDN/>
              <w:adjustRightInd/>
              <w:rPr>
                <w:color w:val="00000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55092E24"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5C3BFB96"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042F8189"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2D8928A8"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01E97E3E"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759CAF64" w14:textId="77777777">
            <w:pPr>
              <w:widowControl/>
              <w:autoSpaceDE/>
              <w:autoSpaceDN/>
              <w:adjustRightInd/>
              <w:rPr>
                <w:color w:val="000000"/>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1701893E" w14:textId="77777777">
            <w:pPr>
              <w:widowControl/>
              <w:autoSpaceDE/>
              <w:autoSpaceDN/>
              <w:adjustRightInd/>
              <w:rPr>
                <w:color w:val="000000"/>
              </w:rPr>
            </w:pPr>
          </w:p>
        </w:tc>
        <w:tc>
          <w:tcPr>
            <w:tcW w:w="236" w:type="dxa"/>
            <w:tcBorders>
              <w:top w:val="nil"/>
              <w:left w:val="nil"/>
              <w:bottom w:val="nil"/>
              <w:right w:val="nil"/>
            </w:tcBorders>
            <w:noWrap/>
            <w:vAlign w:val="bottom"/>
            <w:hideMark/>
          </w:tcPr>
          <w:p w:rsidR="00546A83" w:rsidRPr="00546A83" w:rsidP="00546A83" w14:paraId="30FAC7F2" w14:textId="77777777">
            <w:pPr>
              <w:widowControl/>
              <w:autoSpaceDE/>
              <w:autoSpaceDN/>
              <w:adjustRightInd/>
              <w:jc w:val="center"/>
              <w:rPr>
                <w:color w:val="000000"/>
              </w:rPr>
            </w:pPr>
          </w:p>
        </w:tc>
      </w:tr>
      <w:tr w14:paraId="0B21794B" w14:textId="77777777" w:rsidTr="00794113">
        <w:tblPrEx>
          <w:tblW w:w="11506" w:type="dxa"/>
          <w:tblInd w:w="-995" w:type="dxa"/>
          <w:tblLook w:val="04A0"/>
        </w:tblPrEx>
        <w:trPr>
          <w:trHeight w:val="250"/>
        </w:trPr>
        <w:tc>
          <w:tcPr>
            <w:tcW w:w="1582"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57D5F4A8" w14:textId="77777777">
            <w:pPr>
              <w:widowControl/>
              <w:autoSpaceDE/>
              <w:autoSpaceDN/>
              <w:adjustRightInd/>
              <w:rPr>
                <w:color w:val="00000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4617B7FC"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16FA080E"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1113BBD5"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3D199D71"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1AB9C155"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633AA614" w14:textId="77777777">
            <w:pPr>
              <w:widowControl/>
              <w:autoSpaceDE/>
              <w:autoSpaceDN/>
              <w:adjustRightInd/>
              <w:rPr>
                <w:color w:val="000000"/>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5C02430D" w14:textId="77777777">
            <w:pPr>
              <w:widowControl/>
              <w:autoSpaceDE/>
              <w:autoSpaceDN/>
              <w:adjustRightInd/>
              <w:rPr>
                <w:color w:val="000000"/>
              </w:rPr>
            </w:pPr>
          </w:p>
        </w:tc>
        <w:tc>
          <w:tcPr>
            <w:tcW w:w="236" w:type="dxa"/>
            <w:tcBorders>
              <w:top w:val="nil"/>
              <w:left w:val="nil"/>
              <w:bottom w:val="nil"/>
              <w:right w:val="nil"/>
            </w:tcBorders>
            <w:noWrap/>
            <w:vAlign w:val="bottom"/>
            <w:hideMark/>
          </w:tcPr>
          <w:p w:rsidR="00546A83" w:rsidRPr="00546A83" w:rsidP="00546A83" w14:paraId="5DD3383E" w14:textId="77777777">
            <w:pPr>
              <w:widowControl/>
              <w:autoSpaceDE/>
              <w:autoSpaceDN/>
              <w:adjustRightInd/>
              <w:rPr>
                <w:b w:val="0"/>
                <w:bCs w:val="0"/>
              </w:rPr>
            </w:pPr>
          </w:p>
        </w:tc>
      </w:tr>
      <w:tr w14:paraId="2FB0BC9F" w14:textId="77777777" w:rsidTr="00794113">
        <w:tblPrEx>
          <w:tblW w:w="11506" w:type="dxa"/>
          <w:tblInd w:w="-995" w:type="dxa"/>
          <w:tblLook w:val="04A0"/>
        </w:tblPrEx>
        <w:trPr>
          <w:trHeight w:val="223"/>
        </w:trPr>
        <w:tc>
          <w:tcPr>
            <w:tcW w:w="1582"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1E36F2C3" w14:textId="77777777">
            <w:pPr>
              <w:widowControl/>
              <w:autoSpaceDE/>
              <w:autoSpaceDN/>
              <w:adjustRightInd/>
              <w:rPr>
                <w:color w:val="00000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3D0BE560"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0C6B791B"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1211C37F"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4E85ABF0"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7921F6FE" w14:textId="77777777">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270D6230" w14:textId="77777777">
            <w:pPr>
              <w:widowControl/>
              <w:autoSpaceDE/>
              <w:autoSpaceDN/>
              <w:adjustRightInd/>
              <w:rPr>
                <w:color w:val="000000"/>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rsidR="00546A83" w:rsidRPr="00546A83" w:rsidP="00546A83" w14:paraId="477CA547" w14:textId="77777777">
            <w:pPr>
              <w:widowControl/>
              <w:autoSpaceDE/>
              <w:autoSpaceDN/>
              <w:adjustRightInd/>
              <w:rPr>
                <w:color w:val="000000"/>
              </w:rPr>
            </w:pPr>
          </w:p>
        </w:tc>
        <w:tc>
          <w:tcPr>
            <w:tcW w:w="236" w:type="dxa"/>
            <w:tcBorders>
              <w:top w:val="nil"/>
              <w:left w:val="nil"/>
              <w:bottom w:val="nil"/>
              <w:right w:val="nil"/>
            </w:tcBorders>
            <w:noWrap/>
            <w:vAlign w:val="bottom"/>
            <w:hideMark/>
          </w:tcPr>
          <w:p w:rsidR="00546A83" w:rsidRPr="00546A83" w:rsidP="00546A83" w14:paraId="13DD6678" w14:textId="77777777">
            <w:pPr>
              <w:widowControl/>
              <w:autoSpaceDE/>
              <w:autoSpaceDN/>
              <w:adjustRightInd/>
              <w:rPr>
                <w:b w:val="0"/>
                <w:bCs w:val="0"/>
              </w:rPr>
            </w:pPr>
          </w:p>
        </w:tc>
      </w:tr>
      <w:tr w14:paraId="74EDCA95" w14:textId="77777777">
        <w:tblPrEx>
          <w:tblW w:w="11506" w:type="dxa"/>
          <w:tblInd w:w="-995" w:type="dxa"/>
          <w:tblLook w:val="04A0"/>
        </w:tblPrEx>
        <w:trPr>
          <w:trHeight w:val="60"/>
        </w:trPr>
        <w:tc>
          <w:tcPr>
            <w:tcW w:w="11270" w:type="dxa"/>
            <w:gridSpan w:val="8"/>
            <w:vMerge w:val="restart"/>
            <w:tcBorders>
              <w:top w:val="single" w:sz="4" w:space="0" w:color="auto"/>
              <w:left w:val="single" w:sz="4" w:space="0" w:color="auto"/>
              <w:right w:val="single" w:sz="4" w:space="0" w:color="000000"/>
            </w:tcBorders>
            <w:vAlign w:val="center"/>
          </w:tcPr>
          <w:p w:rsidR="00794113" w:rsidRPr="00546A83" w:rsidP="00E45B60" w14:paraId="4E86E5C9" w14:textId="4812551B">
            <w:pPr>
              <w:pStyle w:val="ListParagraph"/>
              <w:widowControl/>
              <w:numPr>
                <w:ilvl w:val="0"/>
                <w:numId w:val="42"/>
              </w:numPr>
              <w:autoSpaceDE/>
              <w:autoSpaceDN/>
              <w:adjustRightInd/>
              <w:ind w:left="339"/>
              <w:rPr>
                <w:color w:val="000000"/>
                <w:u w:val="single"/>
              </w:rPr>
            </w:pPr>
            <w:r>
              <w:rPr>
                <w:color w:val="000000"/>
                <w:u w:val="single"/>
              </w:rPr>
              <w:t xml:space="preserve">IT Infrastructure </w:t>
            </w:r>
          </w:p>
        </w:tc>
        <w:tc>
          <w:tcPr>
            <w:tcW w:w="236" w:type="dxa"/>
            <w:vAlign w:val="center"/>
          </w:tcPr>
          <w:p w:rsidR="00794113" w:rsidRPr="00546A83" w:rsidP="00546A83" w14:paraId="282A2C2F" w14:textId="77777777">
            <w:pPr>
              <w:widowControl/>
              <w:autoSpaceDE/>
              <w:autoSpaceDN/>
              <w:adjustRightInd/>
              <w:rPr>
                <w:b w:val="0"/>
                <w:bCs w:val="0"/>
              </w:rPr>
            </w:pPr>
          </w:p>
        </w:tc>
      </w:tr>
      <w:tr w14:paraId="5ABE6550" w14:textId="77777777" w:rsidTr="00261328">
        <w:tblPrEx>
          <w:tblW w:w="11506" w:type="dxa"/>
          <w:tblInd w:w="-995" w:type="dxa"/>
          <w:tblLook w:val="04A0"/>
        </w:tblPrEx>
        <w:trPr>
          <w:trHeight w:val="90"/>
        </w:trPr>
        <w:tc>
          <w:tcPr>
            <w:tcW w:w="11270" w:type="dxa"/>
            <w:gridSpan w:val="8"/>
            <w:vMerge/>
            <w:tcBorders>
              <w:left w:val="single" w:sz="4" w:space="0" w:color="auto"/>
              <w:bottom w:val="single" w:sz="4" w:space="0" w:color="auto"/>
              <w:right w:val="single" w:sz="4" w:space="0" w:color="000000"/>
            </w:tcBorders>
            <w:vAlign w:val="center"/>
          </w:tcPr>
          <w:p w:rsidR="00794113" w:rsidRPr="00546A83" w:rsidP="00546A83" w14:paraId="43D0ED4C" w14:textId="5F5EAA56">
            <w:pPr>
              <w:widowControl/>
              <w:autoSpaceDE/>
              <w:autoSpaceDN/>
              <w:adjustRightInd/>
              <w:rPr>
                <w:color w:val="000000"/>
                <w:u w:val="single"/>
              </w:rPr>
            </w:pPr>
          </w:p>
        </w:tc>
        <w:tc>
          <w:tcPr>
            <w:tcW w:w="236" w:type="dxa"/>
            <w:vAlign w:val="center"/>
          </w:tcPr>
          <w:p w:rsidR="00794113" w:rsidRPr="00546A83" w:rsidP="00546A83" w14:paraId="412C4777" w14:textId="77777777">
            <w:pPr>
              <w:widowControl/>
              <w:autoSpaceDE/>
              <w:autoSpaceDN/>
              <w:adjustRightInd/>
              <w:rPr>
                <w:b w:val="0"/>
                <w:bCs w:val="0"/>
              </w:rPr>
            </w:pPr>
          </w:p>
        </w:tc>
      </w:tr>
      <w:tr w14:paraId="5BC3DD1C" w14:textId="77777777">
        <w:tblPrEx>
          <w:tblW w:w="11506" w:type="dxa"/>
          <w:tblInd w:w="-995" w:type="dxa"/>
          <w:tblLook w:val="04A0"/>
        </w:tblPrEx>
        <w:trPr>
          <w:trHeight w:val="240"/>
        </w:trPr>
        <w:tc>
          <w:tcPr>
            <w:tcW w:w="11270" w:type="dxa"/>
            <w:gridSpan w:val="8"/>
            <w:tcBorders>
              <w:left w:val="single" w:sz="4" w:space="0" w:color="auto"/>
              <w:bottom w:val="single" w:sz="4" w:space="0" w:color="auto"/>
              <w:right w:val="single" w:sz="4" w:space="0" w:color="000000"/>
            </w:tcBorders>
            <w:vAlign w:val="center"/>
          </w:tcPr>
          <w:p w:rsidR="00794113" w:rsidRPr="00546A83" w:rsidP="00546A83" w14:paraId="788F020C" w14:textId="18F285C0">
            <w:pPr>
              <w:widowControl/>
              <w:autoSpaceDE/>
              <w:autoSpaceDN/>
              <w:adjustRightInd/>
              <w:rPr>
                <w:color w:val="000000"/>
                <w:u w:val="single"/>
              </w:rPr>
            </w:pPr>
            <w:r w:rsidRPr="00794113">
              <w:rPr>
                <w:color w:val="000000"/>
                <w:u w:val="single"/>
              </w:rPr>
              <w:t>PBMs design, develop, and implement needed IT systems changes (first year)</w:t>
            </w:r>
          </w:p>
        </w:tc>
        <w:tc>
          <w:tcPr>
            <w:tcW w:w="236" w:type="dxa"/>
            <w:vAlign w:val="center"/>
          </w:tcPr>
          <w:p w:rsidR="00794113" w:rsidRPr="00546A83" w:rsidP="00546A83" w14:paraId="214E8152" w14:textId="77777777">
            <w:pPr>
              <w:widowControl/>
              <w:autoSpaceDE/>
              <w:autoSpaceDN/>
              <w:adjustRightInd/>
              <w:rPr>
                <w:b w:val="0"/>
                <w:bCs w:val="0"/>
              </w:rPr>
            </w:pPr>
          </w:p>
        </w:tc>
      </w:tr>
      <w:tr w14:paraId="6E2872D4" w14:textId="77777777">
        <w:tblPrEx>
          <w:tblW w:w="11506" w:type="dxa"/>
          <w:tblInd w:w="-995" w:type="dxa"/>
          <w:tblLook w:val="04A0"/>
        </w:tblPrEx>
        <w:trPr>
          <w:trHeight w:val="240"/>
        </w:trPr>
        <w:tc>
          <w:tcPr>
            <w:tcW w:w="1582" w:type="dxa"/>
            <w:tcBorders>
              <w:top w:val="single" w:sz="4" w:space="0" w:color="auto"/>
              <w:left w:val="single" w:sz="4" w:space="0" w:color="auto"/>
              <w:bottom w:val="single" w:sz="4" w:space="0" w:color="auto"/>
              <w:right w:val="single" w:sz="4" w:space="0" w:color="auto"/>
            </w:tcBorders>
            <w:vAlign w:val="bottom"/>
          </w:tcPr>
          <w:p w:rsidR="00794113" w:rsidRPr="00794113" w:rsidP="00794113" w14:paraId="04066F77" w14:textId="401AF323">
            <w:pPr>
              <w:widowControl/>
              <w:autoSpaceDE/>
              <w:autoSpaceDN/>
              <w:adjustRightInd/>
              <w:rPr>
                <w:color w:val="000000"/>
                <w:u w:val="single"/>
              </w:rPr>
            </w:pPr>
            <w:r w:rsidRPr="00794113">
              <w:rPr>
                <w:b w:val="0"/>
                <w:bCs w:val="0"/>
              </w:rPr>
              <w:t>Project Management Specialists</w:t>
            </w:r>
          </w:p>
        </w:tc>
        <w:tc>
          <w:tcPr>
            <w:tcW w:w="1306"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05EED81D" w14:textId="64EE6971">
            <w:pPr>
              <w:widowControl/>
              <w:autoSpaceDE/>
              <w:autoSpaceDN/>
              <w:adjustRightInd/>
              <w:jc w:val="center"/>
              <w:rPr>
                <w:b w:val="0"/>
                <w:bCs w:val="0"/>
                <w:color w:val="000000"/>
                <w:u w:val="single"/>
              </w:rPr>
            </w:pPr>
            <w:r w:rsidRPr="00794113">
              <w:rPr>
                <w:b w:val="0"/>
                <w:bCs w:val="0"/>
              </w:rPr>
              <w:t>73</w:t>
            </w:r>
          </w:p>
        </w:tc>
        <w:tc>
          <w:tcPr>
            <w:tcW w:w="1695"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36E586A2" w14:textId="713312B7">
            <w:pPr>
              <w:widowControl/>
              <w:autoSpaceDE/>
              <w:autoSpaceDN/>
              <w:adjustRightInd/>
              <w:jc w:val="center"/>
              <w:rPr>
                <w:b w:val="0"/>
                <w:bCs w:val="0"/>
                <w:color w:val="000000"/>
              </w:rPr>
            </w:pPr>
            <w:r w:rsidRPr="00794113">
              <w:rPr>
                <w:b w:val="0"/>
                <w:bCs w:val="0"/>
                <w:color w:val="000000"/>
              </w:rPr>
              <w:t>1</w:t>
            </w:r>
          </w:p>
        </w:tc>
        <w:tc>
          <w:tcPr>
            <w:tcW w:w="1349"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1E6AD43D" w14:textId="321CAD16">
            <w:pPr>
              <w:widowControl/>
              <w:autoSpaceDE/>
              <w:autoSpaceDN/>
              <w:adjustRightInd/>
              <w:jc w:val="center"/>
              <w:rPr>
                <w:b w:val="0"/>
                <w:bCs w:val="0"/>
                <w:color w:val="000000"/>
              </w:rPr>
            </w:pPr>
            <w:r w:rsidRPr="00794113">
              <w:rPr>
                <w:b w:val="0"/>
                <w:bCs w:val="0"/>
                <w:color w:val="000000"/>
              </w:rPr>
              <w:t>73</w:t>
            </w:r>
          </w:p>
        </w:tc>
        <w:tc>
          <w:tcPr>
            <w:tcW w:w="9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035CE468" w14:textId="1115E34F">
            <w:pPr>
              <w:widowControl/>
              <w:autoSpaceDE/>
              <w:autoSpaceDN/>
              <w:adjustRightInd/>
              <w:jc w:val="center"/>
              <w:rPr>
                <w:b w:val="0"/>
                <w:bCs w:val="0"/>
                <w:color w:val="000000"/>
                <w:u w:val="single"/>
              </w:rPr>
            </w:pPr>
            <w:r w:rsidRPr="00794113">
              <w:rPr>
                <w:b w:val="0"/>
                <w:bCs w:val="0"/>
                <w:color w:val="000000"/>
              </w:rPr>
              <w:t>2,250</w:t>
            </w:r>
          </w:p>
        </w:tc>
        <w:tc>
          <w:tcPr>
            <w:tcW w:w="1514"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1DB31EC2" w14:textId="5C86F453">
            <w:pPr>
              <w:widowControl/>
              <w:autoSpaceDE/>
              <w:autoSpaceDN/>
              <w:adjustRightInd/>
              <w:jc w:val="center"/>
              <w:rPr>
                <w:b w:val="0"/>
                <w:bCs w:val="0"/>
                <w:color w:val="000000"/>
                <w:u w:val="single"/>
              </w:rPr>
            </w:pPr>
            <w:r w:rsidRPr="00794113">
              <w:rPr>
                <w:b w:val="0"/>
                <w:bCs w:val="0"/>
                <w:color w:val="000000"/>
              </w:rPr>
              <w:t>164,250</w:t>
            </w:r>
          </w:p>
        </w:tc>
        <w:tc>
          <w:tcPr>
            <w:tcW w:w="1533" w:type="dxa"/>
            <w:tcBorders>
              <w:left w:val="single" w:sz="4" w:space="0" w:color="auto"/>
              <w:bottom w:val="single" w:sz="4" w:space="0" w:color="auto"/>
              <w:right w:val="single" w:sz="4" w:space="0" w:color="000000"/>
            </w:tcBorders>
            <w:vAlign w:val="bottom"/>
          </w:tcPr>
          <w:p w:rsidR="00794113" w:rsidRPr="00794113" w:rsidP="006A7129" w14:paraId="7BAFBC0F" w14:textId="5A6F0EE7">
            <w:pPr>
              <w:widowControl/>
              <w:autoSpaceDE/>
              <w:autoSpaceDN/>
              <w:adjustRightInd/>
              <w:jc w:val="center"/>
              <w:rPr>
                <w:b w:val="0"/>
                <w:bCs w:val="0"/>
                <w:color w:val="000000"/>
                <w:u w:val="single"/>
              </w:rPr>
            </w:pPr>
            <w:r w:rsidRPr="00794113">
              <w:rPr>
                <w:b w:val="0"/>
                <w:bCs w:val="0"/>
                <w:color w:val="000000"/>
              </w:rPr>
              <w:t>$126.72</w:t>
            </w:r>
          </w:p>
        </w:tc>
        <w:tc>
          <w:tcPr>
            <w:tcW w:w="1358" w:type="dxa"/>
            <w:tcBorders>
              <w:left w:val="single" w:sz="4" w:space="0" w:color="auto"/>
              <w:bottom w:val="single" w:sz="4" w:space="0" w:color="auto"/>
              <w:right w:val="single" w:sz="4" w:space="0" w:color="000000"/>
            </w:tcBorders>
            <w:vAlign w:val="bottom"/>
          </w:tcPr>
          <w:p w:rsidR="00794113" w:rsidRPr="00794113" w:rsidP="006A7129" w14:paraId="1FCE8582" w14:textId="406FB2D8">
            <w:pPr>
              <w:widowControl/>
              <w:autoSpaceDE/>
              <w:autoSpaceDN/>
              <w:adjustRightInd/>
              <w:jc w:val="center"/>
              <w:rPr>
                <w:b w:val="0"/>
                <w:bCs w:val="0"/>
                <w:color w:val="000000"/>
                <w:u w:val="single"/>
              </w:rPr>
            </w:pPr>
            <w:r w:rsidRPr="00794113">
              <w:rPr>
                <w:b w:val="0"/>
                <w:bCs w:val="0"/>
                <w:color w:val="000000"/>
              </w:rPr>
              <w:t>$20,813,760</w:t>
            </w:r>
          </w:p>
        </w:tc>
        <w:tc>
          <w:tcPr>
            <w:tcW w:w="236" w:type="dxa"/>
            <w:vAlign w:val="center"/>
          </w:tcPr>
          <w:p w:rsidR="00794113" w:rsidRPr="00546A83" w:rsidP="00794113" w14:paraId="50E4A205" w14:textId="77777777">
            <w:pPr>
              <w:widowControl/>
              <w:autoSpaceDE/>
              <w:autoSpaceDN/>
              <w:adjustRightInd/>
              <w:rPr>
                <w:b w:val="0"/>
                <w:bCs w:val="0"/>
              </w:rPr>
            </w:pPr>
          </w:p>
        </w:tc>
      </w:tr>
      <w:tr w14:paraId="63A4554A" w14:textId="77777777">
        <w:tblPrEx>
          <w:tblW w:w="11506" w:type="dxa"/>
          <w:tblInd w:w="-995" w:type="dxa"/>
          <w:tblLook w:val="04A0"/>
        </w:tblPrEx>
        <w:trPr>
          <w:trHeight w:val="240"/>
        </w:trPr>
        <w:tc>
          <w:tcPr>
            <w:tcW w:w="1582" w:type="dxa"/>
            <w:tcBorders>
              <w:top w:val="single" w:sz="4" w:space="0" w:color="auto"/>
              <w:left w:val="single" w:sz="4" w:space="0" w:color="auto"/>
              <w:bottom w:val="single" w:sz="4" w:space="0" w:color="auto"/>
              <w:right w:val="single" w:sz="4" w:space="0" w:color="auto"/>
            </w:tcBorders>
            <w:vAlign w:val="bottom"/>
          </w:tcPr>
          <w:p w:rsidR="00794113" w:rsidRPr="00794113" w:rsidP="00794113" w14:paraId="7A781940" w14:textId="3175331E">
            <w:pPr>
              <w:widowControl/>
              <w:autoSpaceDE/>
              <w:autoSpaceDN/>
              <w:adjustRightInd/>
              <w:rPr>
                <w:color w:val="000000"/>
                <w:u w:val="single"/>
              </w:rPr>
            </w:pPr>
            <w:r w:rsidRPr="00794113">
              <w:rPr>
                <w:b w:val="0"/>
                <w:bCs w:val="0"/>
              </w:rPr>
              <w:t>Business Operations Specialist</w:t>
            </w:r>
          </w:p>
        </w:tc>
        <w:tc>
          <w:tcPr>
            <w:tcW w:w="1306"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6C6DB105" w14:textId="7836D17F">
            <w:pPr>
              <w:widowControl/>
              <w:autoSpaceDE/>
              <w:autoSpaceDN/>
              <w:adjustRightInd/>
              <w:jc w:val="center"/>
              <w:rPr>
                <w:b w:val="0"/>
                <w:bCs w:val="0"/>
                <w:color w:val="000000"/>
                <w:u w:val="single"/>
              </w:rPr>
            </w:pPr>
            <w:r w:rsidRPr="00794113">
              <w:rPr>
                <w:b w:val="0"/>
                <w:bCs w:val="0"/>
              </w:rPr>
              <w:t>73</w:t>
            </w:r>
          </w:p>
        </w:tc>
        <w:tc>
          <w:tcPr>
            <w:tcW w:w="1695"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472D07EC" w14:textId="4F61F615">
            <w:pPr>
              <w:widowControl/>
              <w:autoSpaceDE/>
              <w:autoSpaceDN/>
              <w:adjustRightInd/>
              <w:jc w:val="center"/>
              <w:rPr>
                <w:b w:val="0"/>
                <w:bCs w:val="0"/>
                <w:color w:val="000000"/>
              </w:rPr>
            </w:pPr>
            <w:r w:rsidRPr="00794113">
              <w:rPr>
                <w:b w:val="0"/>
                <w:bCs w:val="0"/>
                <w:color w:val="000000"/>
              </w:rPr>
              <w:t>1</w:t>
            </w:r>
          </w:p>
        </w:tc>
        <w:tc>
          <w:tcPr>
            <w:tcW w:w="1349"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2595D35C" w14:textId="41FBBA9E">
            <w:pPr>
              <w:widowControl/>
              <w:autoSpaceDE/>
              <w:autoSpaceDN/>
              <w:adjustRightInd/>
              <w:jc w:val="center"/>
              <w:rPr>
                <w:b w:val="0"/>
                <w:bCs w:val="0"/>
                <w:color w:val="000000"/>
              </w:rPr>
            </w:pPr>
            <w:r w:rsidRPr="00794113">
              <w:rPr>
                <w:b w:val="0"/>
                <w:bCs w:val="0"/>
                <w:color w:val="000000"/>
              </w:rPr>
              <w:t>73</w:t>
            </w:r>
          </w:p>
        </w:tc>
        <w:tc>
          <w:tcPr>
            <w:tcW w:w="9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7FDA361A" w14:textId="0FBDF736">
            <w:pPr>
              <w:widowControl/>
              <w:autoSpaceDE/>
              <w:autoSpaceDN/>
              <w:adjustRightInd/>
              <w:jc w:val="center"/>
              <w:rPr>
                <w:b w:val="0"/>
                <w:bCs w:val="0"/>
                <w:color w:val="000000"/>
                <w:u w:val="single"/>
              </w:rPr>
            </w:pPr>
            <w:r w:rsidRPr="00794113">
              <w:rPr>
                <w:b w:val="0"/>
                <w:bCs w:val="0"/>
                <w:color w:val="000000"/>
              </w:rPr>
              <w:t>750</w:t>
            </w:r>
          </w:p>
        </w:tc>
        <w:tc>
          <w:tcPr>
            <w:tcW w:w="1514"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715A80CC" w14:textId="4057F602">
            <w:pPr>
              <w:widowControl/>
              <w:autoSpaceDE/>
              <w:autoSpaceDN/>
              <w:adjustRightInd/>
              <w:jc w:val="center"/>
              <w:rPr>
                <w:b w:val="0"/>
                <w:bCs w:val="0"/>
                <w:color w:val="000000"/>
                <w:u w:val="single"/>
              </w:rPr>
            </w:pPr>
            <w:r w:rsidRPr="00794113">
              <w:rPr>
                <w:b w:val="0"/>
                <w:bCs w:val="0"/>
                <w:color w:val="000000"/>
              </w:rPr>
              <w:t>54,750</w:t>
            </w:r>
          </w:p>
        </w:tc>
        <w:tc>
          <w:tcPr>
            <w:tcW w:w="1533" w:type="dxa"/>
            <w:tcBorders>
              <w:left w:val="single" w:sz="4" w:space="0" w:color="auto"/>
              <w:bottom w:val="single" w:sz="4" w:space="0" w:color="auto"/>
              <w:right w:val="single" w:sz="4" w:space="0" w:color="000000"/>
            </w:tcBorders>
            <w:vAlign w:val="bottom"/>
          </w:tcPr>
          <w:p w:rsidR="00794113" w:rsidRPr="00794113" w:rsidP="006A7129" w14:paraId="380C0DF7" w14:textId="719B8E5B">
            <w:pPr>
              <w:widowControl/>
              <w:autoSpaceDE/>
              <w:autoSpaceDN/>
              <w:adjustRightInd/>
              <w:jc w:val="center"/>
              <w:rPr>
                <w:b w:val="0"/>
                <w:bCs w:val="0"/>
                <w:color w:val="000000"/>
                <w:u w:val="single"/>
              </w:rPr>
            </w:pPr>
            <w:r w:rsidRPr="00794113">
              <w:rPr>
                <w:b w:val="0"/>
                <w:bCs w:val="0"/>
                <w:color w:val="000000"/>
              </w:rPr>
              <w:t>$120.40</w:t>
            </w:r>
          </w:p>
        </w:tc>
        <w:tc>
          <w:tcPr>
            <w:tcW w:w="1358" w:type="dxa"/>
            <w:tcBorders>
              <w:left w:val="single" w:sz="4" w:space="0" w:color="auto"/>
              <w:bottom w:val="single" w:sz="4" w:space="0" w:color="auto"/>
              <w:right w:val="single" w:sz="4" w:space="0" w:color="000000"/>
            </w:tcBorders>
            <w:vAlign w:val="bottom"/>
          </w:tcPr>
          <w:p w:rsidR="00794113" w:rsidRPr="00794113" w:rsidP="006A7129" w14:paraId="4180A04F" w14:textId="182CE35C">
            <w:pPr>
              <w:widowControl/>
              <w:autoSpaceDE/>
              <w:autoSpaceDN/>
              <w:adjustRightInd/>
              <w:jc w:val="center"/>
              <w:rPr>
                <w:b w:val="0"/>
                <w:bCs w:val="0"/>
                <w:color w:val="000000"/>
                <w:u w:val="single"/>
              </w:rPr>
            </w:pPr>
            <w:r w:rsidRPr="00794113">
              <w:rPr>
                <w:b w:val="0"/>
                <w:bCs w:val="0"/>
                <w:color w:val="000000"/>
              </w:rPr>
              <w:t>$6,591,900</w:t>
            </w:r>
          </w:p>
        </w:tc>
        <w:tc>
          <w:tcPr>
            <w:tcW w:w="236" w:type="dxa"/>
            <w:vAlign w:val="center"/>
          </w:tcPr>
          <w:p w:rsidR="00794113" w:rsidRPr="00546A83" w:rsidP="00794113" w14:paraId="7E92DFE5" w14:textId="77777777">
            <w:pPr>
              <w:widowControl/>
              <w:autoSpaceDE/>
              <w:autoSpaceDN/>
              <w:adjustRightInd/>
              <w:rPr>
                <w:b w:val="0"/>
                <w:bCs w:val="0"/>
              </w:rPr>
            </w:pPr>
          </w:p>
        </w:tc>
      </w:tr>
      <w:tr w14:paraId="7B767FF6" w14:textId="77777777">
        <w:tblPrEx>
          <w:tblW w:w="11506" w:type="dxa"/>
          <w:tblInd w:w="-995" w:type="dxa"/>
          <w:tblLook w:val="04A0"/>
        </w:tblPrEx>
        <w:trPr>
          <w:trHeight w:val="240"/>
        </w:trPr>
        <w:tc>
          <w:tcPr>
            <w:tcW w:w="1582" w:type="dxa"/>
            <w:tcBorders>
              <w:top w:val="single" w:sz="4" w:space="0" w:color="auto"/>
              <w:left w:val="single" w:sz="4" w:space="0" w:color="auto"/>
              <w:bottom w:val="single" w:sz="4" w:space="0" w:color="auto"/>
              <w:right w:val="single" w:sz="4" w:space="0" w:color="auto"/>
            </w:tcBorders>
            <w:vAlign w:val="bottom"/>
          </w:tcPr>
          <w:p w:rsidR="00794113" w:rsidRPr="00794113" w:rsidP="00794113" w14:paraId="3268F6E3" w14:textId="480851C2">
            <w:pPr>
              <w:widowControl/>
              <w:autoSpaceDE/>
              <w:autoSpaceDN/>
              <w:adjustRightInd/>
              <w:rPr>
                <w:color w:val="000000"/>
                <w:u w:val="single"/>
              </w:rPr>
            </w:pPr>
            <w:r w:rsidRPr="00794113">
              <w:rPr>
                <w:b w:val="0"/>
                <w:bCs w:val="0"/>
              </w:rPr>
              <w:t>Software and Web Developers, Programmers, and Testers</w:t>
            </w:r>
          </w:p>
        </w:tc>
        <w:tc>
          <w:tcPr>
            <w:tcW w:w="1306"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7FD437BB" w14:textId="02354CBB">
            <w:pPr>
              <w:widowControl/>
              <w:autoSpaceDE/>
              <w:autoSpaceDN/>
              <w:adjustRightInd/>
              <w:jc w:val="center"/>
              <w:rPr>
                <w:b w:val="0"/>
                <w:bCs w:val="0"/>
                <w:color w:val="000000"/>
                <w:u w:val="single"/>
              </w:rPr>
            </w:pPr>
            <w:r w:rsidRPr="00794113">
              <w:rPr>
                <w:b w:val="0"/>
                <w:bCs w:val="0"/>
              </w:rPr>
              <w:t>73</w:t>
            </w:r>
          </w:p>
        </w:tc>
        <w:tc>
          <w:tcPr>
            <w:tcW w:w="1695"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0B6AF5E6" w14:textId="7C2A6A5A">
            <w:pPr>
              <w:widowControl/>
              <w:autoSpaceDE/>
              <w:autoSpaceDN/>
              <w:adjustRightInd/>
              <w:jc w:val="center"/>
              <w:rPr>
                <w:b w:val="0"/>
                <w:bCs w:val="0"/>
                <w:color w:val="000000"/>
              </w:rPr>
            </w:pPr>
            <w:r w:rsidRPr="00794113">
              <w:rPr>
                <w:b w:val="0"/>
                <w:bCs w:val="0"/>
                <w:color w:val="000000"/>
              </w:rPr>
              <w:t>1</w:t>
            </w:r>
          </w:p>
        </w:tc>
        <w:tc>
          <w:tcPr>
            <w:tcW w:w="1349"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216840DD" w14:textId="342E3210">
            <w:pPr>
              <w:widowControl/>
              <w:autoSpaceDE/>
              <w:autoSpaceDN/>
              <w:adjustRightInd/>
              <w:jc w:val="center"/>
              <w:rPr>
                <w:b w:val="0"/>
                <w:bCs w:val="0"/>
                <w:color w:val="000000"/>
              </w:rPr>
            </w:pPr>
            <w:r w:rsidRPr="00794113">
              <w:rPr>
                <w:b w:val="0"/>
                <w:bCs w:val="0"/>
                <w:color w:val="000000"/>
              </w:rPr>
              <w:t>73</w:t>
            </w:r>
          </w:p>
        </w:tc>
        <w:tc>
          <w:tcPr>
            <w:tcW w:w="9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378D1CA0" w14:textId="05C19E39">
            <w:pPr>
              <w:widowControl/>
              <w:autoSpaceDE/>
              <w:autoSpaceDN/>
              <w:adjustRightInd/>
              <w:jc w:val="center"/>
              <w:rPr>
                <w:b w:val="0"/>
                <w:bCs w:val="0"/>
                <w:color w:val="000000"/>
                <w:u w:val="single"/>
              </w:rPr>
            </w:pPr>
            <w:r w:rsidRPr="00794113">
              <w:rPr>
                <w:b w:val="0"/>
                <w:bCs w:val="0"/>
                <w:color w:val="000000"/>
              </w:rPr>
              <w:t>3,500</w:t>
            </w:r>
          </w:p>
        </w:tc>
        <w:tc>
          <w:tcPr>
            <w:tcW w:w="1514"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3B9004C3" w14:textId="09858D1C">
            <w:pPr>
              <w:widowControl/>
              <w:autoSpaceDE/>
              <w:autoSpaceDN/>
              <w:adjustRightInd/>
              <w:jc w:val="center"/>
              <w:rPr>
                <w:b w:val="0"/>
                <w:bCs w:val="0"/>
                <w:color w:val="000000"/>
                <w:u w:val="single"/>
              </w:rPr>
            </w:pPr>
            <w:r w:rsidRPr="00794113">
              <w:rPr>
                <w:b w:val="0"/>
                <w:bCs w:val="0"/>
                <w:color w:val="000000"/>
              </w:rPr>
              <w:t>255,500</w:t>
            </w:r>
          </w:p>
        </w:tc>
        <w:tc>
          <w:tcPr>
            <w:tcW w:w="1533" w:type="dxa"/>
            <w:tcBorders>
              <w:left w:val="single" w:sz="4" w:space="0" w:color="auto"/>
              <w:bottom w:val="single" w:sz="4" w:space="0" w:color="auto"/>
              <w:right w:val="single" w:sz="4" w:space="0" w:color="000000"/>
            </w:tcBorders>
            <w:vAlign w:val="bottom"/>
          </w:tcPr>
          <w:p w:rsidR="00794113" w:rsidRPr="00794113" w:rsidP="006A7129" w14:paraId="1F137021" w14:textId="77B11C1C">
            <w:pPr>
              <w:widowControl/>
              <w:autoSpaceDE/>
              <w:autoSpaceDN/>
              <w:adjustRightInd/>
              <w:jc w:val="center"/>
              <w:rPr>
                <w:b w:val="0"/>
                <w:bCs w:val="0"/>
                <w:color w:val="000000"/>
                <w:u w:val="single"/>
              </w:rPr>
            </w:pPr>
            <w:r w:rsidRPr="00794113">
              <w:rPr>
                <w:b w:val="0"/>
                <w:bCs w:val="0"/>
                <w:color w:val="000000"/>
              </w:rPr>
              <w:t>$171.89</w:t>
            </w:r>
          </w:p>
        </w:tc>
        <w:tc>
          <w:tcPr>
            <w:tcW w:w="1358" w:type="dxa"/>
            <w:tcBorders>
              <w:left w:val="single" w:sz="4" w:space="0" w:color="auto"/>
              <w:bottom w:val="single" w:sz="4" w:space="0" w:color="auto"/>
              <w:right w:val="single" w:sz="4" w:space="0" w:color="000000"/>
            </w:tcBorders>
            <w:vAlign w:val="bottom"/>
          </w:tcPr>
          <w:p w:rsidR="00794113" w:rsidRPr="00794113" w:rsidP="006A7129" w14:paraId="47C159CF" w14:textId="0D1B0090">
            <w:pPr>
              <w:widowControl/>
              <w:autoSpaceDE/>
              <w:autoSpaceDN/>
              <w:adjustRightInd/>
              <w:jc w:val="center"/>
              <w:rPr>
                <w:b w:val="0"/>
                <w:bCs w:val="0"/>
                <w:color w:val="000000"/>
                <w:u w:val="single"/>
              </w:rPr>
            </w:pPr>
            <w:r w:rsidRPr="00794113">
              <w:rPr>
                <w:b w:val="0"/>
                <w:bCs w:val="0"/>
                <w:color w:val="000000"/>
              </w:rPr>
              <w:t>$43,917,895</w:t>
            </w:r>
          </w:p>
        </w:tc>
        <w:tc>
          <w:tcPr>
            <w:tcW w:w="236" w:type="dxa"/>
            <w:vAlign w:val="center"/>
          </w:tcPr>
          <w:p w:rsidR="00794113" w:rsidRPr="00546A83" w:rsidP="00794113" w14:paraId="5F9F4066" w14:textId="77777777">
            <w:pPr>
              <w:widowControl/>
              <w:autoSpaceDE/>
              <w:autoSpaceDN/>
              <w:adjustRightInd/>
              <w:rPr>
                <w:b w:val="0"/>
                <w:bCs w:val="0"/>
              </w:rPr>
            </w:pPr>
          </w:p>
        </w:tc>
      </w:tr>
      <w:tr w14:paraId="42B4EA1D" w14:textId="77777777" w:rsidTr="00E45B60">
        <w:tblPrEx>
          <w:tblW w:w="11506" w:type="dxa"/>
          <w:tblInd w:w="-995" w:type="dxa"/>
          <w:tblLook w:val="04A0"/>
        </w:tblPrEx>
        <w:trPr>
          <w:trHeight w:val="278"/>
        </w:trPr>
        <w:tc>
          <w:tcPr>
            <w:tcW w:w="11270" w:type="dxa"/>
            <w:gridSpan w:val="8"/>
            <w:tcBorders>
              <w:left w:val="single" w:sz="4" w:space="0" w:color="auto"/>
              <w:bottom w:val="single" w:sz="4" w:space="0" w:color="auto"/>
              <w:right w:val="single" w:sz="4" w:space="0" w:color="000000"/>
            </w:tcBorders>
            <w:vAlign w:val="center"/>
          </w:tcPr>
          <w:p w:rsidR="00E45B60" w:rsidRPr="00E45B60" w:rsidP="00E45B60" w14:paraId="17A3C5DE" w14:textId="66C06AA8">
            <w:pPr>
              <w:pStyle w:val="ListParagraph"/>
              <w:widowControl/>
              <w:numPr>
                <w:ilvl w:val="0"/>
                <w:numId w:val="42"/>
              </w:numPr>
              <w:autoSpaceDE/>
              <w:autoSpaceDN/>
              <w:adjustRightInd/>
              <w:ind w:left="339" w:hanging="339"/>
              <w:rPr>
                <w:color w:val="000000"/>
                <w:u w:val="single"/>
              </w:rPr>
            </w:pPr>
            <w:r>
              <w:rPr>
                <w:color w:val="000000"/>
                <w:u w:val="single"/>
              </w:rPr>
              <w:t>Disclosures</w:t>
            </w:r>
          </w:p>
        </w:tc>
        <w:tc>
          <w:tcPr>
            <w:tcW w:w="236" w:type="dxa"/>
            <w:vAlign w:val="center"/>
          </w:tcPr>
          <w:p w:rsidR="00E45B60" w:rsidRPr="00546A83" w:rsidP="00794113" w14:paraId="00EA9724" w14:textId="77777777">
            <w:pPr>
              <w:widowControl/>
              <w:autoSpaceDE/>
              <w:autoSpaceDN/>
              <w:adjustRightInd/>
              <w:rPr>
                <w:b w:val="0"/>
                <w:bCs w:val="0"/>
              </w:rPr>
            </w:pPr>
          </w:p>
        </w:tc>
      </w:tr>
      <w:tr w14:paraId="70780E5C" w14:textId="77777777">
        <w:tblPrEx>
          <w:tblW w:w="11506" w:type="dxa"/>
          <w:tblInd w:w="-995" w:type="dxa"/>
          <w:tblLook w:val="04A0"/>
        </w:tblPrEx>
        <w:trPr>
          <w:trHeight w:val="240"/>
        </w:trPr>
        <w:tc>
          <w:tcPr>
            <w:tcW w:w="11270" w:type="dxa"/>
            <w:gridSpan w:val="8"/>
            <w:tcBorders>
              <w:left w:val="single" w:sz="4" w:space="0" w:color="auto"/>
              <w:bottom w:val="single" w:sz="4" w:space="0" w:color="auto"/>
              <w:right w:val="single" w:sz="4" w:space="0" w:color="000000"/>
            </w:tcBorders>
            <w:vAlign w:val="center"/>
          </w:tcPr>
          <w:p w:rsidR="00794113" w:rsidRPr="00546A83" w:rsidP="00794113" w14:paraId="3E91A33C" w14:textId="411614BB">
            <w:pPr>
              <w:widowControl/>
              <w:autoSpaceDE/>
              <w:autoSpaceDN/>
              <w:adjustRightInd/>
              <w:rPr>
                <w:color w:val="000000"/>
                <w:u w:val="single"/>
              </w:rPr>
            </w:pPr>
            <w:r w:rsidRPr="00794113">
              <w:rPr>
                <w:color w:val="000000"/>
                <w:u w:val="single"/>
              </w:rPr>
              <w:t xml:space="preserve">PBMs design, develop, and implement needed IT systems changes </w:t>
            </w:r>
            <w:r>
              <w:rPr>
                <w:color w:val="000000"/>
                <w:u w:val="single"/>
              </w:rPr>
              <w:t>(subsequent</w:t>
            </w:r>
            <w:r w:rsidRPr="00794113">
              <w:rPr>
                <w:color w:val="000000"/>
                <w:u w:val="single"/>
              </w:rPr>
              <w:t xml:space="preserve"> year)</w:t>
            </w:r>
          </w:p>
        </w:tc>
        <w:tc>
          <w:tcPr>
            <w:tcW w:w="236" w:type="dxa"/>
            <w:vAlign w:val="center"/>
          </w:tcPr>
          <w:p w:rsidR="00794113" w:rsidRPr="00546A83" w:rsidP="00794113" w14:paraId="742FFFDF" w14:textId="77777777">
            <w:pPr>
              <w:widowControl/>
              <w:autoSpaceDE/>
              <w:autoSpaceDN/>
              <w:adjustRightInd/>
              <w:rPr>
                <w:b w:val="0"/>
                <w:bCs w:val="0"/>
              </w:rPr>
            </w:pPr>
          </w:p>
        </w:tc>
      </w:tr>
      <w:tr w14:paraId="3FA6B8AE" w14:textId="77777777" w:rsidTr="00794113">
        <w:tblPrEx>
          <w:tblW w:w="11506" w:type="dxa"/>
          <w:tblInd w:w="-995" w:type="dxa"/>
          <w:tblLook w:val="04A0"/>
        </w:tblPrEx>
        <w:trPr>
          <w:trHeight w:val="240"/>
        </w:trPr>
        <w:tc>
          <w:tcPr>
            <w:tcW w:w="1582" w:type="dxa"/>
            <w:tcBorders>
              <w:top w:val="single" w:sz="4" w:space="0" w:color="auto"/>
              <w:left w:val="single" w:sz="4" w:space="0" w:color="auto"/>
              <w:bottom w:val="single" w:sz="4" w:space="0" w:color="auto"/>
              <w:right w:val="single" w:sz="4" w:space="0" w:color="auto"/>
            </w:tcBorders>
            <w:vAlign w:val="bottom"/>
          </w:tcPr>
          <w:p w:rsidR="00794113" w:rsidRPr="00794113" w:rsidP="00794113" w14:paraId="48CBE578" w14:textId="7DD0D2A8">
            <w:pPr>
              <w:widowControl/>
              <w:autoSpaceDE/>
              <w:autoSpaceDN/>
              <w:adjustRightInd/>
              <w:rPr>
                <w:color w:val="000000"/>
                <w:u w:val="single"/>
              </w:rPr>
            </w:pPr>
            <w:r w:rsidRPr="00794113">
              <w:rPr>
                <w:b w:val="0"/>
                <w:bCs w:val="0"/>
              </w:rPr>
              <w:t>Project Management Specialists</w:t>
            </w:r>
          </w:p>
        </w:tc>
        <w:tc>
          <w:tcPr>
            <w:tcW w:w="1306"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512F04C9" w14:textId="4F2E84A5">
            <w:pPr>
              <w:widowControl/>
              <w:autoSpaceDE/>
              <w:autoSpaceDN/>
              <w:adjustRightInd/>
              <w:jc w:val="center"/>
              <w:rPr>
                <w:color w:val="000000"/>
                <w:u w:val="single"/>
              </w:rPr>
            </w:pPr>
            <w:r w:rsidRPr="00794113">
              <w:rPr>
                <w:b w:val="0"/>
                <w:bCs w:val="0"/>
              </w:rPr>
              <w:t>73</w:t>
            </w:r>
          </w:p>
        </w:tc>
        <w:tc>
          <w:tcPr>
            <w:tcW w:w="1695"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13D764D8" w14:textId="46A39378">
            <w:pPr>
              <w:widowControl/>
              <w:autoSpaceDE/>
              <w:autoSpaceDN/>
              <w:adjustRightInd/>
              <w:jc w:val="center"/>
              <w:rPr>
                <w:color w:val="000000"/>
              </w:rPr>
            </w:pPr>
            <w:r w:rsidRPr="00794113">
              <w:rPr>
                <w:b w:val="0"/>
                <w:bCs w:val="0"/>
                <w:color w:val="000000"/>
              </w:rPr>
              <w:t>1</w:t>
            </w:r>
          </w:p>
        </w:tc>
        <w:tc>
          <w:tcPr>
            <w:tcW w:w="1349"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4944736E" w14:textId="0C5D4128">
            <w:pPr>
              <w:widowControl/>
              <w:autoSpaceDE/>
              <w:autoSpaceDN/>
              <w:adjustRightInd/>
              <w:jc w:val="center"/>
              <w:rPr>
                <w:color w:val="000000"/>
              </w:rPr>
            </w:pPr>
            <w:r w:rsidRPr="00794113">
              <w:rPr>
                <w:b w:val="0"/>
                <w:bCs w:val="0"/>
                <w:color w:val="000000"/>
              </w:rPr>
              <w:t>73</w:t>
            </w:r>
          </w:p>
        </w:tc>
        <w:tc>
          <w:tcPr>
            <w:tcW w:w="9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620D2F4E" w14:textId="1F69E2F2">
            <w:pPr>
              <w:widowControl/>
              <w:autoSpaceDE/>
              <w:autoSpaceDN/>
              <w:adjustRightInd/>
              <w:jc w:val="center"/>
              <w:rPr>
                <w:color w:val="000000"/>
                <w:u w:val="single"/>
              </w:rPr>
            </w:pPr>
            <w:r w:rsidRPr="00794113">
              <w:rPr>
                <w:b w:val="0"/>
                <w:bCs w:val="0"/>
                <w:color w:val="000000"/>
              </w:rPr>
              <w:t>500</w:t>
            </w:r>
          </w:p>
        </w:tc>
        <w:tc>
          <w:tcPr>
            <w:tcW w:w="1514"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2EDCB634" w14:textId="3588EF9F">
            <w:pPr>
              <w:widowControl/>
              <w:autoSpaceDE/>
              <w:autoSpaceDN/>
              <w:adjustRightInd/>
              <w:jc w:val="center"/>
              <w:rPr>
                <w:color w:val="000000"/>
                <w:u w:val="single"/>
              </w:rPr>
            </w:pPr>
            <w:r w:rsidRPr="00794113">
              <w:rPr>
                <w:b w:val="0"/>
                <w:bCs w:val="0"/>
                <w:color w:val="000000"/>
              </w:rPr>
              <w:t>36,500</w:t>
            </w:r>
          </w:p>
        </w:tc>
        <w:tc>
          <w:tcPr>
            <w:tcW w:w="15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6446ADD3" w14:textId="586F4465">
            <w:pPr>
              <w:widowControl/>
              <w:autoSpaceDE/>
              <w:autoSpaceDN/>
              <w:adjustRightInd/>
              <w:jc w:val="center"/>
              <w:rPr>
                <w:color w:val="000000"/>
                <w:u w:val="single"/>
              </w:rPr>
            </w:pPr>
            <w:r w:rsidRPr="00794113">
              <w:rPr>
                <w:b w:val="0"/>
                <w:bCs w:val="0"/>
                <w:color w:val="000000"/>
              </w:rPr>
              <w:t>$126.72</w:t>
            </w:r>
          </w:p>
        </w:tc>
        <w:tc>
          <w:tcPr>
            <w:tcW w:w="1358"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068755B1" w14:textId="6F747E59">
            <w:pPr>
              <w:widowControl/>
              <w:autoSpaceDE/>
              <w:autoSpaceDN/>
              <w:adjustRightInd/>
              <w:jc w:val="center"/>
              <w:rPr>
                <w:color w:val="000000"/>
                <w:u w:val="single"/>
              </w:rPr>
            </w:pPr>
            <w:r w:rsidRPr="00794113">
              <w:rPr>
                <w:b w:val="0"/>
                <w:bCs w:val="0"/>
                <w:color w:val="000000"/>
              </w:rPr>
              <w:t>$4,625,280</w:t>
            </w:r>
          </w:p>
        </w:tc>
        <w:tc>
          <w:tcPr>
            <w:tcW w:w="236" w:type="dxa"/>
            <w:vAlign w:val="center"/>
          </w:tcPr>
          <w:p w:rsidR="00794113" w:rsidRPr="00546A83" w:rsidP="00794113" w14:paraId="10EF1935" w14:textId="77777777">
            <w:pPr>
              <w:widowControl/>
              <w:autoSpaceDE/>
              <w:autoSpaceDN/>
              <w:adjustRightInd/>
              <w:rPr>
                <w:b w:val="0"/>
                <w:bCs w:val="0"/>
              </w:rPr>
            </w:pPr>
          </w:p>
        </w:tc>
      </w:tr>
      <w:tr w14:paraId="7B5D4F81" w14:textId="77777777" w:rsidTr="00794113">
        <w:tblPrEx>
          <w:tblW w:w="11506" w:type="dxa"/>
          <w:tblInd w:w="-995" w:type="dxa"/>
          <w:tblLook w:val="04A0"/>
        </w:tblPrEx>
        <w:trPr>
          <w:trHeight w:val="240"/>
        </w:trPr>
        <w:tc>
          <w:tcPr>
            <w:tcW w:w="1582" w:type="dxa"/>
            <w:tcBorders>
              <w:top w:val="single" w:sz="4" w:space="0" w:color="auto"/>
              <w:left w:val="single" w:sz="4" w:space="0" w:color="auto"/>
              <w:bottom w:val="single" w:sz="4" w:space="0" w:color="auto"/>
              <w:right w:val="single" w:sz="4" w:space="0" w:color="auto"/>
            </w:tcBorders>
            <w:vAlign w:val="bottom"/>
          </w:tcPr>
          <w:p w:rsidR="00794113" w:rsidRPr="00794113" w:rsidP="00794113" w14:paraId="5B497EC5" w14:textId="5BAAE2DF">
            <w:pPr>
              <w:widowControl/>
              <w:autoSpaceDE/>
              <w:autoSpaceDN/>
              <w:adjustRightInd/>
              <w:rPr>
                <w:color w:val="000000"/>
                <w:u w:val="single"/>
              </w:rPr>
            </w:pPr>
            <w:r w:rsidRPr="00794113">
              <w:rPr>
                <w:b w:val="0"/>
                <w:bCs w:val="0"/>
              </w:rPr>
              <w:t>Business Operations Specialist</w:t>
            </w:r>
          </w:p>
        </w:tc>
        <w:tc>
          <w:tcPr>
            <w:tcW w:w="1306"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2D91299A" w14:textId="45CE68D1">
            <w:pPr>
              <w:widowControl/>
              <w:autoSpaceDE/>
              <w:autoSpaceDN/>
              <w:adjustRightInd/>
              <w:jc w:val="center"/>
              <w:rPr>
                <w:color w:val="000000"/>
                <w:u w:val="single"/>
              </w:rPr>
            </w:pPr>
            <w:r w:rsidRPr="00794113">
              <w:rPr>
                <w:b w:val="0"/>
                <w:bCs w:val="0"/>
              </w:rPr>
              <w:t>73</w:t>
            </w:r>
          </w:p>
        </w:tc>
        <w:tc>
          <w:tcPr>
            <w:tcW w:w="1695"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34F5D136" w14:textId="1A97F1AB">
            <w:pPr>
              <w:widowControl/>
              <w:autoSpaceDE/>
              <w:autoSpaceDN/>
              <w:adjustRightInd/>
              <w:jc w:val="center"/>
              <w:rPr>
                <w:color w:val="000000"/>
              </w:rPr>
            </w:pPr>
            <w:r w:rsidRPr="00794113">
              <w:rPr>
                <w:b w:val="0"/>
                <w:bCs w:val="0"/>
                <w:color w:val="000000"/>
              </w:rPr>
              <w:t>1</w:t>
            </w:r>
          </w:p>
        </w:tc>
        <w:tc>
          <w:tcPr>
            <w:tcW w:w="1349"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5567DD68" w14:textId="521EFB7F">
            <w:pPr>
              <w:widowControl/>
              <w:autoSpaceDE/>
              <w:autoSpaceDN/>
              <w:adjustRightInd/>
              <w:jc w:val="center"/>
              <w:rPr>
                <w:color w:val="000000"/>
              </w:rPr>
            </w:pPr>
            <w:r w:rsidRPr="00794113">
              <w:rPr>
                <w:b w:val="0"/>
                <w:bCs w:val="0"/>
                <w:color w:val="000000"/>
              </w:rPr>
              <w:t>73</w:t>
            </w:r>
          </w:p>
        </w:tc>
        <w:tc>
          <w:tcPr>
            <w:tcW w:w="9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0CA5C1FD" w14:textId="5EF6E7EA">
            <w:pPr>
              <w:widowControl/>
              <w:autoSpaceDE/>
              <w:autoSpaceDN/>
              <w:adjustRightInd/>
              <w:jc w:val="center"/>
              <w:rPr>
                <w:color w:val="000000"/>
                <w:u w:val="single"/>
              </w:rPr>
            </w:pPr>
            <w:r w:rsidRPr="00794113">
              <w:rPr>
                <w:b w:val="0"/>
                <w:bCs w:val="0"/>
                <w:color w:val="000000"/>
              </w:rPr>
              <w:t>50</w:t>
            </w:r>
          </w:p>
        </w:tc>
        <w:tc>
          <w:tcPr>
            <w:tcW w:w="1514"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4E0FCD44" w14:textId="4DFEE63B">
            <w:pPr>
              <w:widowControl/>
              <w:autoSpaceDE/>
              <w:autoSpaceDN/>
              <w:adjustRightInd/>
              <w:jc w:val="center"/>
              <w:rPr>
                <w:color w:val="000000"/>
                <w:u w:val="single"/>
              </w:rPr>
            </w:pPr>
            <w:r w:rsidRPr="00794113">
              <w:rPr>
                <w:b w:val="0"/>
                <w:bCs w:val="0"/>
                <w:color w:val="000000"/>
              </w:rPr>
              <w:t>3,650</w:t>
            </w:r>
          </w:p>
        </w:tc>
        <w:tc>
          <w:tcPr>
            <w:tcW w:w="15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4F42990C" w14:textId="31884E18">
            <w:pPr>
              <w:widowControl/>
              <w:autoSpaceDE/>
              <w:autoSpaceDN/>
              <w:adjustRightInd/>
              <w:jc w:val="center"/>
              <w:rPr>
                <w:color w:val="000000"/>
                <w:u w:val="single"/>
              </w:rPr>
            </w:pPr>
            <w:r w:rsidRPr="00794113">
              <w:rPr>
                <w:b w:val="0"/>
                <w:bCs w:val="0"/>
                <w:color w:val="000000"/>
              </w:rPr>
              <w:t>$120.40</w:t>
            </w:r>
          </w:p>
        </w:tc>
        <w:tc>
          <w:tcPr>
            <w:tcW w:w="1358"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48F6380D" w14:textId="16ABDE42">
            <w:pPr>
              <w:widowControl/>
              <w:autoSpaceDE/>
              <w:autoSpaceDN/>
              <w:adjustRightInd/>
              <w:jc w:val="center"/>
              <w:rPr>
                <w:color w:val="000000"/>
                <w:u w:val="single"/>
              </w:rPr>
            </w:pPr>
            <w:r w:rsidRPr="00794113">
              <w:rPr>
                <w:b w:val="0"/>
                <w:bCs w:val="0"/>
                <w:color w:val="000000"/>
              </w:rPr>
              <w:t>$439,460</w:t>
            </w:r>
          </w:p>
        </w:tc>
        <w:tc>
          <w:tcPr>
            <w:tcW w:w="236" w:type="dxa"/>
            <w:vAlign w:val="center"/>
          </w:tcPr>
          <w:p w:rsidR="00794113" w:rsidRPr="00546A83" w:rsidP="00794113" w14:paraId="28D12AA2" w14:textId="77777777">
            <w:pPr>
              <w:widowControl/>
              <w:autoSpaceDE/>
              <w:autoSpaceDN/>
              <w:adjustRightInd/>
              <w:rPr>
                <w:b w:val="0"/>
                <w:bCs w:val="0"/>
              </w:rPr>
            </w:pPr>
          </w:p>
        </w:tc>
      </w:tr>
      <w:tr w14:paraId="3B82D882" w14:textId="77777777" w:rsidTr="00794113">
        <w:tblPrEx>
          <w:tblW w:w="11506" w:type="dxa"/>
          <w:tblInd w:w="-995" w:type="dxa"/>
          <w:tblLook w:val="04A0"/>
        </w:tblPrEx>
        <w:trPr>
          <w:trHeight w:val="240"/>
        </w:trPr>
        <w:tc>
          <w:tcPr>
            <w:tcW w:w="1582" w:type="dxa"/>
            <w:tcBorders>
              <w:top w:val="single" w:sz="4" w:space="0" w:color="auto"/>
              <w:left w:val="single" w:sz="4" w:space="0" w:color="auto"/>
              <w:bottom w:val="single" w:sz="4" w:space="0" w:color="auto"/>
              <w:right w:val="single" w:sz="4" w:space="0" w:color="auto"/>
            </w:tcBorders>
            <w:vAlign w:val="bottom"/>
          </w:tcPr>
          <w:p w:rsidR="00794113" w:rsidRPr="00794113" w:rsidP="00794113" w14:paraId="45C01314" w14:textId="19481237">
            <w:pPr>
              <w:widowControl/>
              <w:autoSpaceDE/>
              <w:autoSpaceDN/>
              <w:adjustRightInd/>
              <w:rPr>
                <w:color w:val="000000"/>
                <w:u w:val="single"/>
              </w:rPr>
            </w:pPr>
            <w:r w:rsidRPr="00794113">
              <w:rPr>
                <w:b w:val="0"/>
                <w:bCs w:val="0"/>
              </w:rPr>
              <w:t>Software and Web Developers, Programmers, and Testers</w:t>
            </w:r>
          </w:p>
        </w:tc>
        <w:tc>
          <w:tcPr>
            <w:tcW w:w="1306"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74A8D2FC" w14:textId="7CEF7E60">
            <w:pPr>
              <w:widowControl/>
              <w:autoSpaceDE/>
              <w:autoSpaceDN/>
              <w:adjustRightInd/>
              <w:jc w:val="center"/>
              <w:rPr>
                <w:color w:val="000000"/>
                <w:u w:val="single"/>
              </w:rPr>
            </w:pPr>
            <w:r w:rsidRPr="00794113">
              <w:rPr>
                <w:b w:val="0"/>
                <w:bCs w:val="0"/>
              </w:rPr>
              <w:t>73</w:t>
            </w:r>
          </w:p>
        </w:tc>
        <w:tc>
          <w:tcPr>
            <w:tcW w:w="1695"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0BB2FCE5" w14:textId="0AD02423">
            <w:pPr>
              <w:widowControl/>
              <w:autoSpaceDE/>
              <w:autoSpaceDN/>
              <w:adjustRightInd/>
              <w:jc w:val="center"/>
              <w:rPr>
                <w:color w:val="000000"/>
              </w:rPr>
            </w:pPr>
            <w:r w:rsidRPr="00794113">
              <w:rPr>
                <w:b w:val="0"/>
                <w:bCs w:val="0"/>
                <w:color w:val="000000"/>
              </w:rPr>
              <w:t>1</w:t>
            </w:r>
          </w:p>
        </w:tc>
        <w:tc>
          <w:tcPr>
            <w:tcW w:w="1349"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6C9C8DAB" w14:textId="6E06FE8C">
            <w:pPr>
              <w:widowControl/>
              <w:autoSpaceDE/>
              <w:autoSpaceDN/>
              <w:adjustRightInd/>
              <w:jc w:val="center"/>
              <w:rPr>
                <w:color w:val="000000"/>
              </w:rPr>
            </w:pPr>
            <w:r w:rsidRPr="00794113">
              <w:rPr>
                <w:b w:val="0"/>
                <w:bCs w:val="0"/>
                <w:color w:val="000000"/>
              </w:rPr>
              <w:t>73</w:t>
            </w:r>
          </w:p>
        </w:tc>
        <w:tc>
          <w:tcPr>
            <w:tcW w:w="9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4CF3C6F7" w14:textId="1D5B0AE9">
            <w:pPr>
              <w:widowControl/>
              <w:autoSpaceDE/>
              <w:autoSpaceDN/>
              <w:adjustRightInd/>
              <w:jc w:val="center"/>
              <w:rPr>
                <w:color w:val="000000"/>
                <w:u w:val="single"/>
              </w:rPr>
            </w:pPr>
            <w:r w:rsidRPr="00794113">
              <w:rPr>
                <w:b w:val="0"/>
                <w:bCs w:val="0"/>
                <w:color w:val="000000"/>
              </w:rPr>
              <w:t>750</w:t>
            </w:r>
          </w:p>
        </w:tc>
        <w:tc>
          <w:tcPr>
            <w:tcW w:w="1514"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3F24D6A9" w14:textId="49B0E8C4">
            <w:pPr>
              <w:widowControl/>
              <w:autoSpaceDE/>
              <w:autoSpaceDN/>
              <w:adjustRightInd/>
              <w:jc w:val="center"/>
              <w:rPr>
                <w:color w:val="000000"/>
                <w:u w:val="single"/>
              </w:rPr>
            </w:pPr>
            <w:r w:rsidRPr="00794113">
              <w:rPr>
                <w:b w:val="0"/>
                <w:bCs w:val="0"/>
                <w:color w:val="000000"/>
              </w:rPr>
              <w:t>54,750</w:t>
            </w:r>
          </w:p>
        </w:tc>
        <w:tc>
          <w:tcPr>
            <w:tcW w:w="1533"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034BDE93" w14:textId="4AF58C98">
            <w:pPr>
              <w:widowControl/>
              <w:autoSpaceDE/>
              <w:autoSpaceDN/>
              <w:adjustRightInd/>
              <w:jc w:val="center"/>
              <w:rPr>
                <w:color w:val="000000"/>
                <w:u w:val="single"/>
              </w:rPr>
            </w:pPr>
            <w:r w:rsidRPr="00794113">
              <w:rPr>
                <w:b w:val="0"/>
                <w:bCs w:val="0"/>
                <w:color w:val="000000"/>
              </w:rPr>
              <w:t>$171.89</w:t>
            </w:r>
          </w:p>
        </w:tc>
        <w:tc>
          <w:tcPr>
            <w:tcW w:w="1358" w:type="dxa"/>
            <w:tcBorders>
              <w:top w:val="single" w:sz="4" w:space="0" w:color="auto"/>
              <w:left w:val="single" w:sz="4" w:space="0" w:color="auto"/>
              <w:bottom w:val="single" w:sz="4" w:space="0" w:color="auto"/>
              <w:right w:val="single" w:sz="4" w:space="0" w:color="auto"/>
            </w:tcBorders>
            <w:vAlign w:val="bottom"/>
          </w:tcPr>
          <w:p w:rsidR="00794113" w:rsidRPr="00794113" w:rsidP="006A7129" w14:paraId="10A66454" w14:textId="5741634D">
            <w:pPr>
              <w:widowControl/>
              <w:autoSpaceDE/>
              <w:autoSpaceDN/>
              <w:adjustRightInd/>
              <w:jc w:val="center"/>
              <w:rPr>
                <w:color w:val="000000"/>
                <w:u w:val="single"/>
              </w:rPr>
            </w:pPr>
            <w:r w:rsidRPr="00794113">
              <w:rPr>
                <w:b w:val="0"/>
                <w:bCs w:val="0"/>
                <w:color w:val="000000"/>
              </w:rPr>
              <w:t>$9,410,978</w:t>
            </w:r>
          </w:p>
        </w:tc>
        <w:tc>
          <w:tcPr>
            <w:tcW w:w="236" w:type="dxa"/>
            <w:tcBorders>
              <w:left w:val="single" w:sz="4" w:space="0" w:color="auto"/>
            </w:tcBorders>
            <w:vAlign w:val="center"/>
          </w:tcPr>
          <w:p w:rsidR="00794113" w:rsidRPr="00546A83" w:rsidP="00794113" w14:paraId="5A63A376" w14:textId="77777777">
            <w:pPr>
              <w:widowControl/>
              <w:autoSpaceDE/>
              <w:autoSpaceDN/>
              <w:adjustRightInd/>
              <w:rPr>
                <w:b w:val="0"/>
                <w:bCs w:val="0"/>
              </w:rPr>
            </w:pPr>
          </w:p>
        </w:tc>
      </w:tr>
      <w:tr w14:paraId="1D947DF3" w14:textId="77777777" w:rsidTr="00794113">
        <w:tblPrEx>
          <w:tblW w:w="11506" w:type="dxa"/>
          <w:tblInd w:w="-995" w:type="dxa"/>
          <w:tblLook w:val="04A0"/>
        </w:tblPrEx>
        <w:trPr>
          <w:trHeight w:val="240"/>
        </w:trPr>
        <w:tc>
          <w:tcPr>
            <w:tcW w:w="11270" w:type="dxa"/>
            <w:gridSpan w:val="8"/>
            <w:tcBorders>
              <w:top w:val="single" w:sz="4" w:space="0" w:color="auto"/>
              <w:left w:val="single" w:sz="4" w:space="0" w:color="auto"/>
              <w:bottom w:val="single" w:sz="4" w:space="0" w:color="auto"/>
              <w:right w:val="single" w:sz="4" w:space="0" w:color="000000"/>
            </w:tcBorders>
            <w:vAlign w:val="center"/>
            <w:hideMark/>
          </w:tcPr>
          <w:p w:rsidR="00794113" w:rsidRPr="00546A83" w:rsidP="00794113" w14:paraId="5F2BDC2D" w14:textId="21A06C90">
            <w:pPr>
              <w:widowControl/>
              <w:autoSpaceDE/>
              <w:autoSpaceDN/>
              <w:adjustRightInd/>
              <w:rPr>
                <w:color w:val="000000"/>
                <w:u w:val="single"/>
              </w:rPr>
            </w:pPr>
            <w:r w:rsidRPr="00546A83">
              <w:rPr>
                <w:color w:val="000000"/>
                <w:u w:val="single"/>
              </w:rPr>
              <w:t>(</w:t>
            </w:r>
            <w:r w:rsidR="00E45B60">
              <w:rPr>
                <w:color w:val="000000"/>
                <w:u w:val="single"/>
              </w:rPr>
              <w:t>A</w:t>
            </w:r>
            <w:r w:rsidRPr="00546A83">
              <w:rPr>
                <w:color w:val="000000"/>
                <w:u w:val="single"/>
              </w:rPr>
              <w:t>) PBMs send disclosures to</w:t>
            </w:r>
            <w:r w:rsidR="00206390">
              <w:t xml:space="preserve"> </w:t>
            </w:r>
            <w:r w:rsidRPr="00206390" w:rsidR="00206390">
              <w:rPr>
                <w:color w:val="000000"/>
                <w:u w:val="single"/>
              </w:rPr>
              <w:t>self-insured group health plans</w:t>
            </w:r>
          </w:p>
        </w:tc>
        <w:tc>
          <w:tcPr>
            <w:tcW w:w="236" w:type="dxa"/>
            <w:vAlign w:val="center"/>
            <w:hideMark/>
          </w:tcPr>
          <w:p w:rsidR="00794113" w:rsidRPr="00546A83" w:rsidP="00794113" w14:paraId="30AAA54E" w14:textId="77777777">
            <w:pPr>
              <w:widowControl/>
              <w:autoSpaceDE/>
              <w:autoSpaceDN/>
              <w:adjustRightInd/>
              <w:rPr>
                <w:b w:val="0"/>
                <w:bCs w:val="0"/>
              </w:rPr>
            </w:pPr>
          </w:p>
        </w:tc>
      </w:tr>
      <w:tr w14:paraId="066D62FC" w14:textId="77777777" w:rsidTr="00794113">
        <w:tblPrEx>
          <w:tblW w:w="11506" w:type="dxa"/>
          <w:tblInd w:w="-995" w:type="dxa"/>
          <w:tblLook w:val="04A0"/>
        </w:tblPrEx>
        <w:trPr>
          <w:trHeight w:val="260"/>
        </w:trPr>
        <w:tc>
          <w:tcPr>
            <w:tcW w:w="11270" w:type="dxa"/>
            <w:gridSpan w:val="8"/>
            <w:tcBorders>
              <w:top w:val="single" w:sz="4" w:space="0" w:color="auto"/>
              <w:left w:val="single" w:sz="4" w:space="0" w:color="auto"/>
              <w:bottom w:val="single" w:sz="4" w:space="0" w:color="auto"/>
              <w:right w:val="single" w:sz="4" w:space="0" w:color="000000"/>
            </w:tcBorders>
            <w:vAlign w:val="center"/>
            <w:hideMark/>
          </w:tcPr>
          <w:p w:rsidR="00794113" w:rsidRPr="00546A83" w:rsidP="00794113" w14:paraId="64B09A3C" w14:textId="1DE353E0">
            <w:pPr>
              <w:widowControl/>
              <w:autoSpaceDE/>
              <w:autoSpaceDN/>
              <w:adjustRightInd/>
              <w:rPr>
                <w:i/>
                <w:iCs/>
                <w:color w:val="000000"/>
                <w:u w:val="single"/>
              </w:rPr>
            </w:pPr>
            <w:r w:rsidRPr="00546A83">
              <w:rPr>
                <w:i/>
                <w:iCs/>
                <w:color w:val="000000"/>
                <w:u w:val="single"/>
              </w:rPr>
              <w:t xml:space="preserve">PBMs provide initial disclosures to </w:t>
            </w:r>
            <w:r w:rsidR="006C325B">
              <w:rPr>
                <w:i/>
                <w:iCs/>
                <w:color w:val="000000"/>
                <w:u w:val="single"/>
              </w:rPr>
              <w:t xml:space="preserve">self-insured group health </w:t>
            </w:r>
            <w:r w:rsidRPr="00546A83">
              <w:rPr>
                <w:i/>
                <w:iCs/>
                <w:color w:val="000000"/>
                <w:u w:val="single"/>
              </w:rPr>
              <w:t>plans</w:t>
            </w:r>
          </w:p>
        </w:tc>
        <w:tc>
          <w:tcPr>
            <w:tcW w:w="236" w:type="dxa"/>
            <w:vAlign w:val="center"/>
            <w:hideMark/>
          </w:tcPr>
          <w:p w:rsidR="00794113" w:rsidRPr="00546A83" w:rsidP="00794113" w14:paraId="6619CA29" w14:textId="77777777">
            <w:pPr>
              <w:widowControl/>
              <w:autoSpaceDE/>
              <w:autoSpaceDN/>
              <w:adjustRightInd/>
              <w:rPr>
                <w:b w:val="0"/>
                <w:bCs w:val="0"/>
              </w:rPr>
            </w:pPr>
          </w:p>
        </w:tc>
      </w:tr>
      <w:tr w14:paraId="3DF6DA22" w14:textId="77777777" w:rsidTr="00794113">
        <w:tblPrEx>
          <w:tblW w:w="11506" w:type="dxa"/>
          <w:tblInd w:w="-995" w:type="dxa"/>
          <w:tblLook w:val="04A0"/>
        </w:tblPrEx>
        <w:trPr>
          <w:trHeight w:val="1500"/>
        </w:trPr>
        <w:tc>
          <w:tcPr>
            <w:tcW w:w="1582" w:type="dxa"/>
            <w:tcBorders>
              <w:top w:val="nil"/>
              <w:left w:val="single" w:sz="4" w:space="0" w:color="auto"/>
              <w:bottom w:val="single" w:sz="4" w:space="0" w:color="auto"/>
              <w:right w:val="single" w:sz="4" w:space="0" w:color="auto"/>
            </w:tcBorders>
            <w:vAlign w:val="bottom"/>
            <w:hideMark/>
          </w:tcPr>
          <w:p w:rsidR="00794113" w:rsidRPr="00546A83" w:rsidP="00794113" w14:paraId="2D7B1A17" w14:textId="77777777">
            <w:pPr>
              <w:widowControl/>
              <w:autoSpaceDE/>
              <w:autoSpaceDN/>
              <w:adjustRightInd/>
              <w:rPr>
                <w:b w:val="0"/>
                <w:bCs w:val="0"/>
              </w:rPr>
            </w:pPr>
            <w:r w:rsidRPr="00546A83">
              <w:rPr>
                <w:b w:val="0"/>
                <w:bCs w:val="0"/>
              </w:rPr>
              <w:t>Legal professionals and benefit specialists prepare disclosures for level-funded group health plans and self-insured group health plans with less than 1,000 employees</w:t>
            </w:r>
          </w:p>
        </w:tc>
        <w:tc>
          <w:tcPr>
            <w:tcW w:w="1306" w:type="dxa"/>
            <w:tcBorders>
              <w:top w:val="nil"/>
              <w:left w:val="nil"/>
              <w:bottom w:val="single" w:sz="4" w:space="0" w:color="auto"/>
              <w:right w:val="single" w:sz="4" w:space="0" w:color="auto"/>
            </w:tcBorders>
            <w:vAlign w:val="center"/>
            <w:hideMark/>
          </w:tcPr>
          <w:p w:rsidR="00794113" w:rsidRPr="00546A83" w:rsidP="00794113" w14:paraId="66A4B533" w14:textId="77777777">
            <w:pPr>
              <w:widowControl/>
              <w:autoSpaceDE/>
              <w:autoSpaceDN/>
              <w:adjustRightInd/>
              <w:jc w:val="center"/>
              <w:rPr>
                <w:b w:val="0"/>
                <w:bCs w:val="0"/>
                <w:color w:val="000000"/>
              </w:rPr>
            </w:pPr>
            <w:r w:rsidRPr="00546A83">
              <w:rPr>
                <w:b w:val="0"/>
                <w:bCs w:val="0"/>
                <w:color w:val="000000"/>
              </w:rPr>
              <w:t>73</w:t>
            </w:r>
          </w:p>
        </w:tc>
        <w:tc>
          <w:tcPr>
            <w:tcW w:w="0" w:type="auto"/>
            <w:tcBorders>
              <w:top w:val="nil"/>
              <w:left w:val="nil"/>
              <w:bottom w:val="single" w:sz="4" w:space="0" w:color="auto"/>
              <w:right w:val="single" w:sz="4" w:space="0" w:color="auto"/>
            </w:tcBorders>
            <w:vAlign w:val="center"/>
            <w:hideMark/>
          </w:tcPr>
          <w:p w:rsidR="00794113" w:rsidRPr="00546A83" w:rsidP="00794113" w14:paraId="57C8655B" w14:textId="77777777">
            <w:pPr>
              <w:widowControl/>
              <w:autoSpaceDE/>
              <w:autoSpaceDN/>
              <w:adjustRightInd/>
              <w:jc w:val="center"/>
              <w:rPr>
                <w:b w:val="0"/>
                <w:bCs w:val="0"/>
                <w:color w:val="000000"/>
              </w:rPr>
            </w:pPr>
            <w:r w:rsidRPr="00546A83">
              <w:rPr>
                <w:b w:val="0"/>
                <w:bCs w:val="0"/>
                <w:color w:val="000000"/>
              </w:rPr>
              <w:t>70.15</w:t>
            </w:r>
          </w:p>
        </w:tc>
        <w:tc>
          <w:tcPr>
            <w:tcW w:w="0" w:type="auto"/>
            <w:tcBorders>
              <w:top w:val="nil"/>
              <w:left w:val="nil"/>
              <w:bottom w:val="single" w:sz="4" w:space="0" w:color="auto"/>
              <w:right w:val="single" w:sz="4" w:space="0" w:color="auto"/>
            </w:tcBorders>
            <w:vAlign w:val="center"/>
            <w:hideMark/>
          </w:tcPr>
          <w:p w:rsidR="00794113" w:rsidRPr="00546A83" w:rsidP="00794113" w14:paraId="3DE52941" w14:textId="77777777">
            <w:pPr>
              <w:widowControl/>
              <w:autoSpaceDE/>
              <w:autoSpaceDN/>
              <w:adjustRightInd/>
              <w:jc w:val="center"/>
              <w:rPr>
                <w:b w:val="0"/>
                <w:bCs w:val="0"/>
                <w:color w:val="000000"/>
              </w:rPr>
            </w:pPr>
            <w:r w:rsidRPr="00546A83">
              <w:rPr>
                <w:b w:val="0"/>
                <w:bCs w:val="0"/>
                <w:color w:val="000000"/>
              </w:rPr>
              <w:t>5,121</w:t>
            </w:r>
          </w:p>
        </w:tc>
        <w:tc>
          <w:tcPr>
            <w:tcW w:w="0" w:type="auto"/>
            <w:tcBorders>
              <w:top w:val="nil"/>
              <w:left w:val="nil"/>
              <w:bottom w:val="single" w:sz="4" w:space="0" w:color="auto"/>
              <w:right w:val="single" w:sz="4" w:space="0" w:color="auto"/>
            </w:tcBorders>
            <w:vAlign w:val="center"/>
            <w:hideMark/>
          </w:tcPr>
          <w:p w:rsidR="00794113" w:rsidRPr="00546A83" w:rsidP="00794113" w14:paraId="1B6C6A3F" w14:textId="77777777">
            <w:pPr>
              <w:widowControl/>
              <w:autoSpaceDE/>
              <w:autoSpaceDN/>
              <w:adjustRightInd/>
              <w:jc w:val="center"/>
              <w:rPr>
                <w:b w:val="0"/>
                <w:bCs w:val="0"/>
                <w:color w:val="000000"/>
              </w:rPr>
            </w:pPr>
            <w:r w:rsidRPr="00546A83">
              <w:rPr>
                <w:b w:val="0"/>
                <w:bCs w:val="0"/>
                <w:color w:val="000000"/>
              </w:rPr>
              <w:t>1</w:t>
            </w:r>
          </w:p>
        </w:tc>
        <w:tc>
          <w:tcPr>
            <w:tcW w:w="0" w:type="auto"/>
            <w:tcBorders>
              <w:top w:val="nil"/>
              <w:left w:val="nil"/>
              <w:bottom w:val="single" w:sz="4" w:space="0" w:color="auto"/>
              <w:right w:val="single" w:sz="4" w:space="0" w:color="auto"/>
            </w:tcBorders>
            <w:vAlign w:val="center"/>
            <w:hideMark/>
          </w:tcPr>
          <w:p w:rsidR="00794113" w:rsidRPr="00546A83" w:rsidP="00794113" w14:paraId="2934BF3E" w14:textId="77777777">
            <w:pPr>
              <w:widowControl/>
              <w:autoSpaceDE/>
              <w:autoSpaceDN/>
              <w:adjustRightInd/>
              <w:jc w:val="center"/>
              <w:rPr>
                <w:b w:val="0"/>
                <w:bCs w:val="0"/>
                <w:color w:val="000000"/>
              </w:rPr>
            </w:pPr>
            <w:r w:rsidRPr="00546A83">
              <w:rPr>
                <w:b w:val="0"/>
                <w:bCs w:val="0"/>
                <w:color w:val="000000"/>
              </w:rPr>
              <w:t>2,561</w:t>
            </w:r>
          </w:p>
        </w:tc>
        <w:tc>
          <w:tcPr>
            <w:tcW w:w="0" w:type="auto"/>
            <w:tcBorders>
              <w:top w:val="nil"/>
              <w:left w:val="nil"/>
              <w:bottom w:val="single" w:sz="4" w:space="0" w:color="auto"/>
              <w:right w:val="single" w:sz="4" w:space="0" w:color="auto"/>
            </w:tcBorders>
            <w:vAlign w:val="center"/>
            <w:hideMark/>
          </w:tcPr>
          <w:p w:rsidR="00794113" w:rsidRPr="00546A83" w:rsidP="00794113" w14:paraId="67996485" w14:textId="77777777">
            <w:pPr>
              <w:widowControl/>
              <w:autoSpaceDE/>
              <w:autoSpaceDN/>
              <w:adjustRightInd/>
              <w:jc w:val="center"/>
              <w:rPr>
                <w:b w:val="0"/>
                <w:bCs w:val="0"/>
                <w:color w:val="000000"/>
              </w:rPr>
            </w:pPr>
            <w:r w:rsidRPr="00546A83">
              <w:rPr>
                <w:b w:val="0"/>
                <w:bCs w:val="0"/>
                <w:color w:val="000000"/>
              </w:rPr>
              <w:t>$155.10</w:t>
            </w:r>
          </w:p>
        </w:tc>
        <w:tc>
          <w:tcPr>
            <w:tcW w:w="1358" w:type="dxa"/>
            <w:tcBorders>
              <w:top w:val="nil"/>
              <w:left w:val="nil"/>
              <w:bottom w:val="single" w:sz="4" w:space="0" w:color="auto"/>
              <w:right w:val="single" w:sz="4" w:space="0" w:color="auto"/>
            </w:tcBorders>
            <w:vAlign w:val="center"/>
            <w:hideMark/>
          </w:tcPr>
          <w:p w:rsidR="00794113" w:rsidRPr="00546A83" w:rsidP="00794113" w14:paraId="02B22899" w14:textId="77777777">
            <w:pPr>
              <w:widowControl/>
              <w:autoSpaceDE/>
              <w:autoSpaceDN/>
              <w:adjustRightInd/>
              <w:jc w:val="center"/>
              <w:rPr>
                <w:b w:val="0"/>
                <w:bCs w:val="0"/>
                <w:color w:val="000000"/>
              </w:rPr>
            </w:pPr>
            <w:r w:rsidRPr="00546A83">
              <w:rPr>
                <w:b w:val="0"/>
                <w:bCs w:val="0"/>
                <w:color w:val="000000"/>
              </w:rPr>
              <w:t>$397,134</w:t>
            </w:r>
          </w:p>
        </w:tc>
        <w:tc>
          <w:tcPr>
            <w:tcW w:w="236" w:type="dxa"/>
            <w:vAlign w:val="center"/>
            <w:hideMark/>
          </w:tcPr>
          <w:p w:rsidR="00794113" w:rsidRPr="00546A83" w:rsidP="00794113" w14:paraId="07CC26BD" w14:textId="77777777">
            <w:pPr>
              <w:widowControl/>
              <w:autoSpaceDE/>
              <w:autoSpaceDN/>
              <w:adjustRightInd/>
              <w:rPr>
                <w:b w:val="0"/>
                <w:bCs w:val="0"/>
              </w:rPr>
            </w:pPr>
          </w:p>
        </w:tc>
      </w:tr>
      <w:tr w14:paraId="75AA1444" w14:textId="77777777" w:rsidTr="00794113">
        <w:tblPrEx>
          <w:tblW w:w="11506" w:type="dxa"/>
          <w:tblInd w:w="-995" w:type="dxa"/>
          <w:tblLook w:val="04A0"/>
        </w:tblPrEx>
        <w:trPr>
          <w:trHeight w:val="512"/>
        </w:trPr>
        <w:tc>
          <w:tcPr>
            <w:tcW w:w="1582" w:type="dxa"/>
            <w:tcBorders>
              <w:top w:val="nil"/>
              <w:left w:val="single" w:sz="4" w:space="0" w:color="auto"/>
              <w:bottom w:val="single" w:sz="4" w:space="0" w:color="auto"/>
              <w:right w:val="single" w:sz="4" w:space="0" w:color="auto"/>
            </w:tcBorders>
            <w:vAlign w:val="bottom"/>
            <w:hideMark/>
          </w:tcPr>
          <w:p w:rsidR="00794113" w:rsidRPr="00546A83" w:rsidP="00794113" w14:paraId="421B2109" w14:textId="77777777">
            <w:pPr>
              <w:widowControl/>
              <w:autoSpaceDE/>
              <w:autoSpaceDN/>
              <w:adjustRightInd/>
              <w:rPr>
                <w:b w:val="0"/>
                <w:bCs w:val="0"/>
              </w:rPr>
            </w:pPr>
            <w:r w:rsidRPr="00546A83">
              <w:rPr>
                <w:b w:val="0"/>
                <w:bCs w:val="0"/>
              </w:rPr>
              <w:t xml:space="preserve">Legal professionals and benefit specialists prepare disclosures for </w:t>
            </w:r>
            <w:r w:rsidRPr="00546A83">
              <w:rPr>
                <w:b w:val="0"/>
                <w:bCs w:val="0"/>
              </w:rPr>
              <w:t>level-funded group health plans and self-insured group health plans with 1,000 or more employees</w:t>
            </w:r>
          </w:p>
        </w:tc>
        <w:tc>
          <w:tcPr>
            <w:tcW w:w="1306" w:type="dxa"/>
            <w:tcBorders>
              <w:top w:val="nil"/>
              <w:left w:val="nil"/>
              <w:bottom w:val="single" w:sz="4" w:space="0" w:color="auto"/>
              <w:right w:val="single" w:sz="4" w:space="0" w:color="auto"/>
            </w:tcBorders>
            <w:vAlign w:val="center"/>
            <w:hideMark/>
          </w:tcPr>
          <w:p w:rsidR="00794113" w:rsidRPr="00546A83" w:rsidP="00794113" w14:paraId="25CF26E5" w14:textId="77777777">
            <w:pPr>
              <w:widowControl/>
              <w:autoSpaceDE/>
              <w:autoSpaceDN/>
              <w:adjustRightInd/>
              <w:jc w:val="center"/>
              <w:rPr>
                <w:b w:val="0"/>
                <w:bCs w:val="0"/>
                <w:color w:val="000000"/>
              </w:rPr>
            </w:pPr>
            <w:r w:rsidRPr="00546A83">
              <w:rPr>
                <w:b w:val="0"/>
                <w:bCs w:val="0"/>
                <w:color w:val="000000"/>
              </w:rPr>
              <w:t>73</w:t>
            </w:r>
          </w:p>
        </w:tc>
        <w:tc>
          <w:tcPr>
            <w:tcW w:w="0" w:type="auto"/>
            <w:tcBorders>
              <w:top w:val="nil"/>
              <w:left w:val="nil"/>
              <w:bottom w:val="single" w:sz="4" w:space="0" w:color="auto"/>
              <w:right w:val="single" w:sz="4" w:space="0" w:color="auto"/>
            </w:tcBorders>
            <w:vAlign w:val="center"/>
            <w:hideMark/>
          </w:tcPr>
          <w:p w:rsidR="00794113" w:rsidRPr="00546A83" w:rsidP="00794113" w14:paraId="1713E3C1" w14:textId="77777777">
            <w:pPr>
              <w:widowControl/>
              <w:autoSpaceDE/>
              <w:autoSpaceDN/>
              <w:adjustRightInd/>
              <w:jc w:val="center"/>
              <w:rPr>
                <w:b w:val="0"/>
                <w:bCs w:val="0"/>
                <w:color w:val="000000"/>
              </w:rPr>
            </w:pPr>
            <w:r w:rsidRPr="00546A83">
              <w:rPr>
                <w:b w:val="0"/>
                <w:bCs w:val="0"/>
                <w:color w:val="000000"/>
              </w:rPr>
              <w:t>70.15</w:t>
            </w:r>
          </w:p>
        </w:tc>
        <w:tc>
          <w:tcPr>
            <w:tcW w:w="0" w:type="auto"/>
            <w:tcBorders>
              <w:top w:val="nil"/>
              <w:left w:val="nil"/>
              <w:bottom w:val="single" w:sz="4" w:space="0" w:color="auto"/>
              <w:right w:val="single" w:sz="4" w:space="0" w:color="auto"/>
            </w:tcBorders>
            <w:vAlign w:val="center"/>
            <w:hideMark/>
          </w:tcPr>
          <w:p w:rsidR="00794113" w:rsidRPr="00546A83" w:rsidP="00794113" w14:paraId="71151E4E" w14:textId="77777777">
            <w:pPr>
              <w:widowControl/>
              <w:autoSpaceDE/>
              <w:autoSpaceDN/>
              <w:adjustRightInd/>
              <w:jc w:val="center"/>
              <w:rPr>
                <w:b w:val="0"/>
                <w:bCs w:val="0"/>
                <w:color w:val="000000"/>
              </w:rPr>
            </w:pPr>
            <w:r w:rsidRPr="00546A83">
              <w:rPr>
                <w:b w:val="0"/>
                <w:bCs w:val="0"/>
                <w:color w:val="000000"/>
              </w:rPr>
              <w:t>5,121</w:t>
            </w:r>
          </w:p>
        </w:tc>
        <w:tc>
          <w:tcPr>
            <w:tcW w:w="0" w:type="auto"/>
            <w:tcBorders>
              <w:top w:val="nil"/>
              <w:left w:val="nil"/>
              <w:bottom w:val="single" w:sz="4" w:space="0" w:color="auto"/>
              <w:right w:val="single" w:sz="4" w:space="0" w:color="auto"/>
            </w:tcBorders>
            <w:vAlign w:val="center"/>
            <w:hideMark/>
          </w:tcPr>
          <w:p w:rsidR="00794113" w:rsidRPr="00546A83" w:rsidP="00794113" w14:paraId="52388335" w14:textId="77777777">
            <w:pPr>
              <w:widowControl/>
              <w:autoSpaceDE/>
              <w:autoSpaceDN/>
              <w:adjustRightInd/>
              <w:jc w:val="center"/>
              <w:rPr>
                <w:b w:val="0"/>
                <w:bCs w:val="0"/>
                <w:color w:val="000000"/>
              </w:rPr>
            </w:pPr>
            <w:r w:rsidRPr="00546A83">
              <w:rPr>
                <w:b w:val="0"/>
                <w:bCs w:val="0"/>
                <w:color w:val="000000"/>
              </w:rPr>
              <w:t>1</w:t>
            </w:r>
          </w:p>
        </w:tc>
        <w:tc>
          <w:tcPr>
            <w:tcW w:w="0" w:type="auto"/>
            <w:tcBorders>
              <w:top w:val="nil"/>
              <w:left w:val="nil"/>
              <w:bottom w:val="single" w:sz="4" w:space="0" w:color="auto"/>
              <w:right w:val="single" w:sz="4" w:space="0" w:color="auto"/>
            </w:tcBorders>
            <w:vAlign w:val="center"/>
            <w:hideMark/>
          </w:tcPr>
          <w:p w:rsidR="00794113" w:rsidRPr="00546A83" w:rsidP="00794113" w14:paraId="5D0E5F3F" w14:textId="77777777">
            <w:pPr>
              <w:widowControl/>
              <w:autoSpaceDE/>
              <w:autoSpaceDN/>
              <w:adjustRightInd/>
              <w:jc w:val="center"/>
              <w:rPr>
                <w:b w:val="0"/>
                <w:bCs w:val="0"/>
                <w:color w:val="000000"/>
              </w:rPr>
            </w:pPr>
            <w:r w:rsidRPr="00546A83">
              <w:rPr>
                <w:b w:val="0"/>
                <w:bCs w:val="0"/>
                <w:color w:val="000000"/>
              </w:rPr>
              <w:t>2,561</w:t>
            </w:r>
          </w:p>
        </w:tc>
        <w:tc>
          <w:tcPr>
            <w:tcW w:w="0" w:type="auto"/>
            <w:tcBorders>
              <w:top w:val="nil"/>
              <w:left w:val="nil"/>
              <w:bottom w:val="single" w:sz="4" w:space="0" w:color="auto"/>
              <w:right w:val="single" w:sz="4" w:space="0" w:color="auto"/>
            </w:tcBorders>
            <w:vAlign w:val="center"/>
            <w:hideMark/>
          </w:tcPr>
          <w:p w:rsidR="00794113" w:rsidRPr="00546A83" w:rsidP="00794113" w14:paraId="0B68C94F" w14:textId="77777777">
            <w:pPr>
              <w:widowControl/>
              <w:autoSpaceDE/>
              <w:autoSpaceDN/>
              <w:adjustRightInd/>
              <w:jc w:val="center"/>
              <w:rPr>
                <w:b w:val="0"/>
                <w:bCs w:val="0"/>
                <w:color w:val="000000"/>
              </w:rPr>
            </w:pPr>
            <w:r w:rsidRPr="00546A83">
              <w:rPr>
                <w:b w:val="0"/>
                <w:bCs w:val="0"/>
                <w:color w:val="000000"/>
              </w:rPr>
              <w:t>$155.10</w:t>
            </w:r>
          </w:p>
        </w:tc>
        <w:tc>
          <w:tcPr>
            <w:tcW w:w="1358" w:type="dxa"/>
            <w:tcBorders>
              <w:top w:val="nil"/>
              <w:left w:val="nil"/>
              <w:bottom w:val="single" w:sz="4" w:space="0" w:color="auto"/>
              <w:right w:val="single" w:sz="4" w:space="0" w:color="auto"/>
            </w:tcBorders>
            <w:vAlign w:val="center"/>
            <w:hideMark/>
          </w:tcPr>
          <w:p w:rsidR="00794113" w:rsidRPr="00546A83" w:rsidP="00794113" w14:paraId="4DFF91DF" w14:textId="77777777">
            <w:pPr>
              <w:widowControl/>
              <w:autoSpaceDE/>
              <w:autoSpaceDN/>
              <w:adjustRightInd/>
              <w:jc w:val="center"/>
              <w:rPr>
                <w:b w:val="0"/>
                <w:bCs w:val="0"/>
                <w:color w:val="000000"/>
              </w:rPr>
            </w:pPr>
            <w:r w:rsidRPr="00546A83">
              <w:rPr>
                <w:b w:val="0"/>
                <w:bCs w:val="0"/>
                <w:color w:val="000000"/>
              </w:rPr>
              <w:t>$397,134</w:t>
            </w:r>
          </w:p>
        </w:tc>
        <w:tc>
          <w:tcPr>
            <w:tcW w:w="236" w:type="dxa"/>
            <w:vAlign w:val="center"/>
            <w:hideMark/>
          </w:tcPr>
          <w:p w:rsidR="00794113" w:rsidRPr="00546A83" w:rsidP="00794113" w14:paraId="608BFE5D" w14:textId="77777777">
            <w:pPr>
              <w:widowControl/>
              <w:autoSpaceDE/>
              <w:autoSpaceDN/>
              <w:adjustRightInd/>
              <w:rPr>
                <w:b w:val="0"/>
                <w:bCs w:val="0"/>
              </w:rPr>
            </w:pPr>
          </w:p>
        </w:tc>
      </w:tr>
      <w:tr w14:paraId="2C0FF64C" w14:textId="77777777" w:rsidTr="00794113">
        <w:tblPrEx>
          <w:tblW w:w="11506" w:type="dxa"/>
          <w:tblInd w:w="-995" w:type="dxa"/>
          <w:tblLook w:val="04A0"/>
        </w:tblPrEx>
        <w:trPr>
          <w:trHeight w:val="400"/>
        </w:trPr>
        <w:tc>
          <w:tcPr>
            <w:tcW w:w="11270" w:type="dxa"/>
            <w:gridSpan w:val="8"/>
            <w:tcBorders>
              <w:top w:val="single" w:sz="4" w:space="0" w:color="auto"/>
              <w:left w:val="single" w:sz="4" w:space="0" w:color="auto"/>
              <w:bottom w:val="single" w:sz="4" w:space="0" w:color="auto"/>
              <w:right w:val="single" w:sz="4" w:space="0" w:color="000000"/>
            </w:tcBorders>
            <w:vAlign w:val="center"/>
            <w:hideMark/>
          </w:tcPr>
          <w:p w:rsidR="00794113" w:rsidRPr="00546A83" w:rsidP="00794113" w14:paraId="18D876C8" w14:textId="5D26F7B9">
            <w:pPr>
              <w:widowControl/>
              <w:autoSpaceDE/>
              <w:autoSpaceDN/>
              <w:adjustRightInd/>
              <w:rPr>
                <w:i/>
                <w:iCs/>
                <w:u w:val="single"/>
              </w:rPr>
            </w:pPr>
            <w:r w:rsidRPr="00546A83">
              <w:rPr>
                <w:i/>
                <w:iCs/>
                <w:u w:val="single"/>
              </w:rPr>
              <w:t xml:space="preserve">PBMs provide missing/other information requested by </w:t>
            </w:r>
            <w:r w:rsidR="006C325B">
              <w:rPr>
                <w:i/>
                <w:iCs/>
                <w:u w:val="single"/>
              </w:rPr>
              <w:t xml:space="preserve">self-insured group health </w:t>
            </w:r>
            <w:r w:rsidRPr="00546A83">
              <w:rPr>
                <w:i/>
                <w:iCs/>
                <w:u w:val="single"/>
              </w:rPr>
              <w:t>plans</w:t>
            </w:r>
          </w:p>
        </w:tc>
        <w:tc>
          <w:tcPr>
            <w:tcW w:w="236" w:type="dxa"/>
            <w:vAlign w:val="center"/>
            <w:hideMark/>
          </w:tcPr>
          <w:p w:rsidR="00794113" w:rsidRPr="00546A83" w:rsidP="00794113" w14:paraId="435196B8" w14:textId="77777777">
            <w:pPr>
              <w:widowControl/>
              <w:autoSpaceDE/>
              <w:autoSpaceDN/>
              <w:adjustRightInd/>
              <w:rPr>
                <w:b w:val="0"/>
                <w:bCs w:val="0"/>
              </w:rPr>
            </w:pPr>
          </w:p>
        </w:tc>
      </w:tr>
      <w:tr w14:paraId="33024DB9" w14:textId="77777777" w:rsidTr="00794113">
        <w:tblPrEx>
          <w:tblW w:w="11506" w:type="dxa"/>
          <w:tblInd w:w="-995" w:type="dxa"/>
          <w:tblLook w:val="04A0"/>
        </w:tblPrEx>
        <w:trPr>
          <w:trHeight w:val="553"/>
        </w:trPr>
        <w:tc>
          <w:tcPr>
            <w:tcW w:w="1582" w:type="dxa"/>
            <w:tcBorders>
              <w:top w:val="nil"/>
              <w:left w:val="single" w:sz="4" w:space="0" w:color="auto"/>
              <w:bottom w:val="single" w:sz="4" w:space="0" w:color="auto"/>
              <w:right w:val="single" w:sz="4" w:space="0" w:color="auto"/>
            </w:tcBorders>
            <w:vAlign w:val="center"/>
            <w:hideMark/>
          </w:tcPr>
          <w:p w:rsidR="00794113" w:rsidRPr="00546A83" w:rsidP="00794113" w14:paraId="7B689932" w14:textId="77777777">
            <w:pPr>
              <w:widowControl/>
              <w:autoSpaceDE/>
              <w:autoSpaceDN/>
              <w:adjustRightInd/>
              <w:rPr>
                <w:b w:val="0"/>
                <w:bCs w:val="0"/>
              </w:rPr>
            </w:pPr>
            <w:r w:rsidRPr="00546A83">
              <w:rPr>
                <w:b w:val="0"/>
                <w:bCs w:val="0"/>
              </w:rPr>
              <w:t xml:space="preserve">Benefits specialists prepare information </w:t>
            </w:r>
          </w:p>
        </w:tc>
        <w:tc>
          <w:tcPr>
            <w:tcW w:w="1306" w:type="dxa"/>
            <w:tcBorders>
              <w:top w:val="nil"/>
              <w:left w:val="nil"/>
              <w:bottom w:val="single" w:sz="4" w:space="0" w:color="auto"/>
              <w:right w:val="single" w:sz="4" w:space="0" w:color="auto"/>
            </w:tcBorders>
            <w:vAlign w:val="center"/>
            <w:hideMark/>
          </w:tcPr>
          <w:p w:rsidR="00794113" w:rsidRPr="00546A83" w:rsidP="00794113" w14:paraId="76CA2053" w14:textId="77777777">
            <w:pPr>
              <w:widowControl/>
              <w:autoSpaceDE/>
              <w:autoSpaceDN/>
              <w:adjustRightInd/>
              <w:jc w:val="center"/>
              <w:rPr>
                <w:b w:val="0"/>
                <w:bCs w:val="0"/>
              </w:rPr>
            </w:pPr>
            <w:r w:rsidRPr="00546A83">
              <w:rPr>
                <w:b w:val="0"/>
                <w:bCs w:val="0"/>
              </w:rPr>
              <w:t>73</w:t>
            </w:r>
          </w:p>
        </w:tc>
        <w:tc>
          <w:tcPr>
            <w:tcW w:w="0" w:type="auto"/>
            <w:tcBorders>
              <w:top w:val="nil"/>
              <w:left w:val="nil"/>
              <w:bottom w:val="single" w:sz="4" w:space="0" w:color="auto"/>
              <w:right w:val="single" w:sz="4" w:space="0" w:color="auto"/>
            </w:tcBorders>
            <w:vAlign w:val="center"/>
            <w:hideMark/>
          </w:tcPr>
          <w:p w:rsidR="00794113" w:rsidRPr="00546A83" w:rsidP="00794113" w14:paraId="43471872" w14:textId="77777777">
            <w:pPr>
              <w:widowControl/>
              <w:autoSpaceDE/>
              <w:autoSpaceDN/>
              <w:adjustRightInd/>
              <w:jc w:val="center"/>
              <w:rPr>
                <w:b w:val="0"/>
                <w:bCs w:val="0"/>
                <w:color w:val="000000"/>
              </w:rPr>
            </w:pPr>
            <w:r w:rsidRPr="00546A83">
              <w:rPr>
                <w:b w:val="0"/>
                <w:bCs w:val="0"/>
                <w:color w:val="000000"/>
              </w:rPr>
              <w:t>525.38</w:t>
            </w:r>
          </w:p>
        </w:tc>
        <w:tc>
          <w:tcPr>
            <w:tcW w:w="0" w:type="auto"/>
            <w:tcBorders>
              <w:top w:val="nil"/>
              <w:left w:val="nil"/>
              <w:bottom w:val="single" w:sz="4" w:space="0" w:color="auto"/>
              <w:right w:val="single" w:sz="4" w:space="0" w:color="auto"/>
            </w:tcBorders>
            <w:vAlign w:val="center"/>
            <w:hideMark/>
          </w:tcPr>
          <w:p w:rsidR="00794113" w:rsidRPr="00546A83" w:rsidP="00794113" w14:paraId="1981B6D7" w14:textId="77777777">
            <w:pPr>
              <w:widowControl/>
              <w:autoSpaceDE/>
              <w:autoSpaceDN/>
              <w:adjustRightInd/>
              <w:jc w:val="center"/>
              <w:rPr>
                <w:b w:val="0"/>
                <w:bCs w:val="0"/>
              </w:rPr>
            </w:pPr>
            <w:r w:rsidRPr="00546A83">
              <w:rPr>
                <w:b w:val="0"/>
                <w:bCs w:val="0"/>
              </w:rPr>
              <w:t>38,353</w:t>
            </w:r>
          </w:p>
        </w:tc>
        <w:tc>
          <w:tcPr>
            <w:tcW w:w="0" w:type="auto"/>
            <w:tcBorders>
              <w:top w:val="nil"/>
              <w:left w:val="nil"/>
              <w:bottom w:val="single" w:sz="4" w:space="0" w:color="auto"/>
              <w:right w:val="single" w:sz="4" w:space="0" w:color="auto"/>
            </w:tcBorders>
            <w:vAlign w:val="center"/>
            <w:hideMark/>
          </w:tcPr>
          <w:p w:rsidR="00794113" w:rsidRPr="00546A83" w:rsidP="00794113" w14:paraId="20501F63" w14:textId="77777777">
            <w:pPr>
              <w:widowControl/>
              <w:autoSpaceDE/>
              <w:autoSpaceDN/>
              <w:adjustRightInd/>
              <w:jc w:val="center"/>
              <w:rPr>
                <w:b w:val="0"/>
                <w:bCs w:val="0"/>
                <w:color w:val="000000"/>
              </w:rPr>
            </w:pPr>
            <w:r w:rsidRPr="00546A83">
              <w:rPr>
                <w:b w:val="0"/>
                <w:bCs w:val="0"/>
                <w:color w:val="000000"/>
              </w:rPr>
              <w:t>0</w:t>
            </w:r>
          </w:p>
        </w:tc>
        <w:tc>
          <w:tcPr>
            <w:tcW w:w="0" w:type="auto"/>
            <w:tcBorders>
              <w:top w:val="nil"/>
              <w:left w:val="nil"/>
              <w:bottom w:val="single" w:sz="4" w:space="0" w:color="auto"/>
              <w:right w:val="single" w:sz="4" w:space="0" w:color="auto"/>
            </w:tcBorders>
            <w:vAlign w:val="center"/>
            <w:hideMark/>
          </w:tcPr>
          <w:p w:rsidR="00794113" w:rsidRPr="00546A83" w:rsidP="00794113" w14:paraId="3CD0E52B" w14:textId="77777777">
            <w:pPr>
              <w:widowControl/>
              <w:autoSpaceDE/>
              <w:autoSpaceDN/>
              <w:adjustRightInd/>
              <w:jc w:val="center"/>
              <w:rPr>
                <w:b w:val="0"/>
                <w:bCs w:val="0"/>
                <w:color w:val="000000"/>
              </w:rPr>
            </w:pPr>
            <w:r w:rsidRPr="00546A83">
              <w:rPr>
                <w:b w:val="0"/>
                <w:bCs w:val="0"/>
                <w:color w:val="000000"/>
              </w:rPr>
              <w:t>9,588</w:t>
            </w:r>
          </w:p>
        </w:tc>
        <w:tc>
          <w:tcPr>
            <w:tcW w:w="0" w:type="auto"/>
            <w:tcBorders>
              <w:top w:val="nil"/>
              <w:left w:val="nil"/>
              <w:bottom w:val="single" w:sz="4" w:space="0" w:color="auto"/>
              <w:right w:val="single" w:sz="4" w:space="0" w:color="auto"/>
            </w:tcBorders>
            <w:vAlign w:val="center"/>
            <w:hideMark/>
          </w:tcPr>
          <w:p w:rsidR="00794113" w:rsidRPr="00546A83" w:rsidP="00794113" w14:paraId="34F4720C" w14:textId="77777777">
            <w:pPr>
              <w:widowControl/>
              <w:autoSpaceDE/>
              <w:autoSpaceDN/>
              <w:adjustRightInd/>
              <w:jc w:val="center"/>
              <w:rPr>
                <w:b w:val="0"/>
                <w:bCs w:val="0"/>
                <w:color w:val="000000"/>
              </w:rPr>
            </w:pPr>
            <w:r w:rsidRPr="00546A83">
              <w:rPr>
                <w:b w:val="0"/>
                <w:bCs w:val="0"/>
                <w:color w:val="000000"/>
              </w:rPr>
              <w:t>$129.14</w:t>
            </w:r>
          </w:p>
        </w:tc>
        <w:tc>
          <w:tcPr>
            <w:tcW w:w="1358" w:type="dxa"/>
            <w:tcBorders>
              <w:top w:val="nil"/>
              <w:left w:val="nil"/>
              <w:bottom w:val="single" w:sz="4" w:space="0" w:color="auto"/>
              <w:right w:val="single" w:sz="4" w:space="0" w:color="auto"/>
            </w:tcBorders>
            <w:vAlign w:val="center"/>
            <w:hideMark/>
          </w:tcPr>
          <w:p w:rsidR="00794113" w:rsidRPr="00546A83" w:rsidP="00794113" w14:paraId="20C7FE84" w14:textId="77777777">
            <w:pPr>
              <w:widowControl/>
              <w:autoSpaceDE/>
              <w:autoSpaceDN/>
              <w:adjustRightInd/>
              <w:jc w:val="center"/>
              <w:rPr>
                <w:b w:val="0"/>
                <w:bCs w:val="0"/>
                <w:color w:val="000000"/>
              </w:rPr>
            </w:pPr>
            <w:r w:rsidRPr="00546A83">
              <w:rPr>
                <w:b w:val="0"/>
                <w:bCs w:val="0"/>
                <w:color w:val="000000"/>
              </w:rPr>
              <w:t>$1,238,227</w:t>
            </w:r>
          </w:p>
        </w:tc>
        <w:tc>
          <w:tcPr>
            <w:tcW w:w="236" w:type="dxa"/>
            <w:vAlign w:val="center"/>
            <w:hideMark/>
          </w:tcPr>
          <w:p w:rsidR="00794113" w:rsidRPr="00546A83" w:rsidP="00794113" w14:paraId="337BE4B9" w14:textId="77777777">
            <w:pPr>
              <w:widowControl/>
              <w:autoSpaceDE/>
              <w:autoSpaceDN/>
              <w:adjustRightInd/>
              <w:rPr>
                <w:b w:val="0"/>
                <w:bCs w:val="0"/>
              </w:rPr>
            </w:pPr>
          </w:p>
        </w:tc>
      </w:tr>
      <w:tr w14:paraId="59DCBA60" w14:textId="77777777" w:rsidTr="00794113">
        <w:tblPrEx>
          <w:tblW w:w="11506" w:type="dxa"/>
          <w:tblInd w:w="-995" w:type="dxa"/>
          <w:tblLook w:val="04A0"/>
        </w:tblPrEx>
        <w:trPr>
          <w:trHeight w:val="343"/>
        </w:trPr>
        <w:tc>
          <w:tcPr>
            <w:tcW w:w="11270" w:type="dxa"/>
            <w:gridSpan w:val="8"/>
            <w:tcBorders>
              <w:top w:val="single" w:sz="4" w:space="0" w:color="auto"/>
              <w:left w:val="single" w:sz="4" w:space="0" w:color="auto"/>
              <w:bottom w:val="single" w:sz="4" w:space="0" w:color="auto"/>
              <w:right w:val="single" w:sz="4" w:space="0" w:color="000000"/>
            </w:tcBorders>
            <w:vAlign w:val="center"/>
            <w:hideMark/>
          </w:tcPr>
          <w:p w:rsidR="00794113" w:rsidRPr="00546A83" w:rsidP="00794113" w14:paraId="7A6C74BD" w14:textId="7946091C">
            <w:pPr>
              <w:widowControl/>
              <w:autoSpaceDE/>
              <w:autoSpaceDN/>
              <w:adjustRightInd/>
              <w:rPr>
                <w:i/>
                <w:iCs/>
                <w:u w:val="single"/>
              </w:rPr>
            </w:pPr>
            <w:r w:rsidRPr="00546A83">
              <w:rPr>
                <w:i/>
                <w:iCs/>
                <w:u w:val="single"/>
              </w:rPr>
              <w:t xml:space="preserve">PBMs provide semiannual disclosures to </w:t>
            </w:r>
            <w:r w:rsidR="006C325B">
              <w:rPr>
                <w:i/>
                <w:iCs/>
                <w:u w:val="single"/>
              </w:rPr>
              <w:t xml:space="preserve">self-insured group health </w:t>
            </w:r>
            <w:r w:rsidRPr="00546A83">
              <w:rPr>
                <w:i/>
                <w:iCs/>
                <w:u w:val="single"/>
              </w:rPr>
              <w:t>plans</w:t>
            </w:r>
          </w:p>
        </w:tc>
        <w:tc>
          <w:tcPr>
            <w:tcW w:w="236" w:type="dxa"/>
            <w:vAlign w:val="center"/>
            <w:hideMark/>
          </w:tcPr>
          <w:p w:rsidR="00794113" w:rsidRPr="00546A83" w:rsidP="00794113" w14:paraId="2DC78241" w14:textId="77777777">
            <w:pPr>
              <w:widowControl/>
              <w:autoSpaceDE/>
              <w:autoSpaceDN/>
              <w:adjustRightInd/>
              <w:rPr>
                <w:b w:val="0"/>
                <w:bCs w:val="0"/>
              </w:rPr>
            </w:pPr>
          </w:p>
        </w:tc>
      </w:tr>
      <w:tr w14:paraId="756B89B9" w14:textId="77777777" w:rsidTr="00794113">
        <w:tblPrEx>
          <w:tblW w:w="11506" w:type="dxa"/>
          <w:tblInd w:w="-995" w:type="dxa"/>
          <w:tblLook w:val="04A0"/>
        </w:tblPrEx>
        <w:trPr>
          <w:trHeight w:val="540"/>
        </w:trPr>
        <w:tc>
          <w:tcPr>
            <w:tcW w:w="1582" w:type="dxa"/>
            <w:tcBorders>
              <w:top w:val="nil"/>
              <w:left w:val="single" w:sz="4" w:space="0" w:color="auto"/>
              <w:bottom w:val="single" w:sz="4" w:space="0" w:color="auto"/>
              <w:right w:val="single" w:sz="4" w:space="0" w:color="auto"/>
            </w:tcBorders>
            <w:vAlign w:val="bottom"/>
            <w:hideMark/>
          </w:tcPr>
          <w:p w:rsidR="00794113" w:rsidRPr="00546A83" w:rsidP="00794113" w14:paraId="03E6C8A6" w14:textId="77777777">
            <w:pPr>
              <w:widowControl/>
              <w:autoSpaceDE/>
              <w:autoSpaceDN/>
              <w:adjustRightInd/>
              <w:rPr>
                <w:b w:val="0"/>
                <w:bCs w:val="0"/>
              </w:rPr>
            </w:pPr>
            <w:r w:rsidRPr="00546A83">
              <w:rPr>
                <w:b w:val="0"/>
                <w:bCs w:val="0"/>
              </w:rPr>
              <w:t xml:space="preserve">Benefit specialists prepare disclosures </w:t>
            </w:r>
          </w:p>
        </w:tc>
        <w:tc>
          <w:tcPr>
            <w:tcW w:w="1306" w:type="dxa"/>
            <w:tcBorders>
              <w:top w:val="nil"/>
              <w:left w:val="nil"/>
              <w:bottom w:val="single" w:sz="4" w:space="0" w:color="auto"/>
              <w:right w:val="single" w:sz="4" w:space="0" w:color="auto"/>
            </w:tcBorders>
            <w:vAlign w:val="center"/>
            <w:hideMark/>
          </w:tcPr>
          <w:p w:rsidR="00794113" w:rsidRPr="00546A83" w:rsidP="00794113" w14:paraId="47AC3EA1" w14:textId="77777777">
            <w:pPr>
              <w:widowControl/>
              <w:autoSpaceDE/>
              <w:autoSpaceDN/>
              <w:adjustRightInd/>
              <w:jc w:val="center"/>
              <w:rPr>
                <w:b w:val="0"/>
                <w:bCs w:val="0"/>
              </w:rPr>
            </w:pPr>
            <w:r w:rsidRPr="00546A83">
              <w:rPr>
                <w:b w:val="0"/>
                <w:bCs w:val="0"/>
              </w:rPr>
              <w:t>73</w:t>
            </w:r>
          </w:p>
        </w:tc>
        <w:tc>
          <w:tcPr>
            <w:tcW w:w="0" w:type="auto"/>
            <w:tcBorders>
              <w:top w:val="nil"/>
              <w:left w:val="nil"/>
              <w:bottom w:val="single" w:sz="4" w:space="0" w:color="auto"/>
              <w:right w:val="single" w:sz="4" w:space="0" w:color="auto"/>
            </w:tcBorders>
            <w:vAlign w:val="center"/>
            <w:hideMark/>
          </w:tcPr>
          <w:p w:rsidR="00794113" w:rsidRPr="00546A83" w:rsidP="00794113" w14:paraId="35EB746A" w14:textId="77777777">
            <w:pPr>
              <w:widowControl/>
              <w:autoSpaceDE/>
              <w:autoSpaceDN/>
              <w:adjustRightInd/>
              <w:jc w:val="center"/>
              <w:rPr>
                <w:b w:val="0"/>
                <w:bCs w:val="0"/>
                <w:color w:val="000000"/>
              </w:rPr>
            </w:pPr>
            <w:r w:rsidRPr="00546A83">
              <w:rPr>
                <w:b w:val="0"/>
                <w:bCs w:val="0"/>
                <w:color w:val="000000"/>
              </w:rPr>
              <w:t>31,522.84</w:t>
            </w:r>
          </w:p>
        </w:tc>
        <w:tc>
          <w:tcPr>
            <w:tcW w:w="0" w:type="auto"/>
            <w:tcBorders>
              <w:top w:val="nil"/>
              <w:left w:val="nil"/>
              <w:bottom w:val="single" w:sz="4" w:space="0" w:color="auto"/>
              <w:right w:val="single" w:sz="4" w:space="0" w:color="auto"/>
            </w:tcBorders>
            <w:vAlign w:val="center"/>
            <w:hideMark/>
          </w:tcPr>
          <w:p w:rsidR="00794113" w:rsidRPr="00546A83" w:rsidP="00794113" w14:paraId="24DDDCC1" w14:textId="77777777">
            <w:pPr>
              <w:widowControl/>
              <w:autoSpaceDE/>
              <w:autoSpaceDN/>
              <w:adjustRightInd/>
              <w:jc w:val="center"/>
              <w:rPr>
                <w:b w:val="0"/>
                <w:bCs w:val="0"/>
              </w:rPr>
            </w:pPr>
            <w:r w:rsidRPr="00546A83">
              <w:rPr>
                <w:b w:val="0"/>
                <w:bCs w:val="0"/>
              </w:rPr>
              <w:t>2,301,167</w:t>
            </w:r>
          </w:p>
        </w:tc>
        <w:tc>
          <w:tcPr>
            <w:tcW w:w="0" w:type="auto"/>
            <w:tcBorders>
              <w:top w:val="nil"/>
              <w:left w:val="nil"/>
              <w:bottom w:val="single" w:sz="4" w:space="0" w:color="auto"/>
              <w:right w:val="single" w:sz="4" w:space="0" w:color="auto"/>
            </w:tcBorders>
            <w:vAlign w:val="center"/>
            <w:hideMark/>
          </w:tcPr>
          <w:p w:rsidR="00794113" w:rsidRPr="00546A83" w:rsidP="00794113" w14:paraId="6E6A8E36" w14:textId="77777777">
            <w:pPr>
              <w:widowControl/>
              <w:autoSpaceDE/>
              <w:autoSpaceDN/>
              <w:adjustRightInd/>
              <w:jc w:val="center"/>
              <w:rPr>
                <w:b w:val="0"/>
                <w:bCs w:val="0"/>
                <w:color w:val="000000"/>
              </w:rPr>
            </w:pPr>
            <w:r w:rsidRPr="00546A83">
              <w:rPr>
                <w:b w:val="0"/>
                <w:bCs w:val="0"/>
                <w:color w:val="000000"/>
              </w:rPr>
              <w:t>0</w:t>
            </w:r>
          </w:p>
        </w:tc>
        <w:tc>
          <w:tcPr>
            <w:tcW w:w="0" w:type="auto"/>
            <w:tcBorders>
              <w:top w:val="nil"/>
              <w:left w:val="nil"/>
              <w:bottom w:val="single" w:sz="4" w:space="0" w:color="auto"/>
              <w:right w:val="single" w:sz="4" w:space="0" w:color="auto"/>
            </w:tcBorders>
            <w:vAlign w:val="center"/>
            <w:hideMark/>
          </w:tcPr>
          <w:p w:rsidR="00794113" w:rsidRPr="00546A83" w:rsidP="00794113" w14:paraId="08DE8D01" w14:textId="77777777">
            <w:pPr>
              <w:widowControl/>
              <w:autoSpaceDE/>
              <w:autoSpaceDN/>
              <w:adjustRightInd/>
              <w:jc w:val="center"/>
              <w:rPr>
                <w:b w:val="0"/>
                <w:bCs w:val="0"/>
                <w:color w:val="000000"/>
              </w:rPr>
            </w:pPr>
            <w:r w:rsidRPr="00546A83">
              <w:rPr>
                <w:b w:val="0"/>
                <w:bCs w:val="0"/>
                <w:color w:val="000000"/>
              </w:rPr>
              <w:t>575,292</w:t>
            </w:r>
          </w:p>
        </w:tc>
        <w:tc>
          <w:tcPr>
            <w:tcW w:w="0" w:type="auto"/>
            <w:tcBorders>
              <w:top w:val="nil"/>
              <w:left w:val="nil"/>
              <w:bottom w:val="single" w:sz="4" w:space="0" w:color="auto"/>
              <w:right w:val="single" w:sz="4" w:space="0" w:color="auto"/>
            </w:tcBorders>
            <w:vAlign w:val="center"/>
            <w:hideMark/>
          </w:tcPr>
          <w:p w:rsidR="00794113" w:rsidRPr="00546A83" w:rsidP="00794113" w14:paraId="5CD41BAE" w14:textId="77777777">
            <w:pPr>
              <w:widowControl/>
              <w:autoSpaceDE/>
              <w:autoSpaceDN/>
              <w:adjustRightInd/>
              <w:jc w:val="center"/>
              <w:rPr>
                <w:b w:val="0"/>
                <w:bCs w:val="0"/>
                <w:color w:val="000000"/>
              </w:rPr>
            </w:pPr>
            <w:r w:rsidRPr="00546A83">
              <w:rPr>
                <w:b w:val="0"/>
                <w:bCs w:val="0"/>
                <w:color w:val="000000"/>
              </w:rPr>
              <w:t>$129.14</w:t>
            </w:r>
          </w:p>
        </w:tc>
        <w:tc>
          <w:tcPr>
            <w:tcW w:w="1358" w:type="dxa"/>
            <w:tcBorders>
              <w:top w:val="nil"/>
              <w:left w:val="nil"/>
              <w:bottom w:val="single" w:sz="4" w:space="0" w:color="auto"/>
              <w:right w:val="single" w:sz="4" w:space="0" w:color="auto"/>
            </w:tcBorders>
            <w:vAlign w:val="center"/>
            <w:hideMark/>
          </w:tcPr>
          <w:p w:rsidR="00794113" w:rsidRPr="00546A83" w:rsidP="00794113" w14:paraId="5036C484" w14:textId="77777777">
            <w:pPr>
              <w:widowControl/>
              <w:autoSpaceDE/>
              <w:autoSpaceDN/>
              <w:adjustRightInd/>
              <w:jc w:val="center"/>
              <w:rPr>
                <w:b w:val="0"/>
                <w:bCs w:val="0"/>
                <w:color w:val="000000"/>
              </w:rPr>
            </w:pPr>
            <w:r w:rsidRPr="00546A83">
              <w:rPr>
                <w:b w:val="0"/>
                <w:bCs w:val="0"/>
                <w:color w:val="000000"/>
              </w:rPr>
              <w:t>$74,293,177</w:t>
            </w:r>
          </w:p>
        </w:tc>
        <w:tc>
          <w:tcPr>
            <w:tcW w:w="236" w:type="dxa"/>
            <w:vAlign w:val="center"/>
            <w:hideMark/>
          </w:tcPr>
          <w:p w:rsidR="00794113" w:rsidRPr="00546A83" w:rsidP="00794113" w14:paraId="601DE1C7" w14:textId="77777777">
            <w:pPr>
              <w:widowControl/>
              <w:autoSpaceDE/>
              <w:autoSpaceDN/>
              <w:adjustRightInd/>
              <w:rPr>
                <w:b w:val="0"/>
                <w:bCs w:val="0"/>
              </w:rPr>
            </w:pPr>
          </w:p>
        </w:tc>
      </w:tr>
      <w:tr w14:paraId="651E0156" w14:textId="77777777" w:rsidTr="00794113">
        <w:tblPrEx>
          <w:tblW w:w="11506" w:type="dxa"/>
          <w:tblInd w:w="-995" w:type="dxa"/>
          <w:tblLook w:val="04A0"/>
        </w:tblPrEx>
        <w:trPr>
          <w:trHeight w:val="290"/>
        </w:trPr>
        <w:tc>
          <w:tcPr>
            <w:tcW w:w="11270" w:type="dxa"/>
            <w:gridSpan w:val="8"/>
            <w:tcBorders>
              <w:top w:val="single" w:sz="4" w:space="0" w:color="auto"/>
              <w:left w:val="single" w:sz="4" w:space="0" w:color="auto"/>
              <w:bottom w:val="single" w:sz="4" w:space="0" w:color="auto"/>
              <w:right w:val="single" w:sz="4" w:space="0" w:color="000000"/>
            </w:tcBorders>
            <w:vAlign w:val="bottom"/>
            <w:hideMark/>
          </w:tcPr>
          <w:p w:rsidR="00794113" w:rsidRPr="00546A83" w:rsidP="00794113" w14:paraId="398F76C4" w14:textId="64DCAA10">
            <w:pPr>
              <w:widowControl/>
              <w:autoSpaceDE/>
              <w:autoSpaceDN/>
              <w:adjustRightInd/>
              <w:rPr>
                <w:u w:val="single"/>
              </w:rPr>
            </w:pPr>
            <w:r w:rsidRPr="00546A83">
              <w:rPr>
                <w:u w:val="single"/>
              </w:rPr>
              <w:t>(</w:t>
            </w:r>
            <w:r w:rsidR="00E45B60">
              <w:rPr>
                <w:u w:val="single"/>
              </w:rPr>
              <w:t>B</w:t>
            </w:r>
            <w:r w:rsidRPr="00546A83">
              <w:rPr>
                <w:u w:val="single"/>
              </w:rPr>
              <w:t>) Plan sends notice to PBMs and DOL</w:t>
            </w:r>
          </w:p>
        </w:tc>
        <w:tc>
          <w:tcPr>
            <w:tcW w:w="236" w:type="dxa"/>
            <w:vAlign w:val="center"/>
            <w:hideMark/>
          </w:tcPr>
          <w:p w:rsidR="00794113" w:rsidRPr="00546A83" w:rsidP="00794113" w14:paraId="4FCC2115" w14:textId="77777777">
            <w:pPr>
              <w:widowControl/>
              <w:autoSpaceDE/>
              <w:autoSpaceDN/>
              <w:adjustRightInd/>
              <w:rPr>
                <w:b w:val="0"/>
                <w:bCs w:val="0"/>
              </w:rPr>
            </w:pPr>
          </w:p>
        </w:tc>
      </w:tr>
      <w:tr w14:paraId="4A494720" w14:textId="77777777" w:rsidTr="00794113">
        <w:tblPrEx>
          <w:tblW w:w="11506" w:type="dxa"/>
          <w:tblInd w:w="-995" w:type="dxa"/>
          <w:tblLook w:val="04A0"/>
        </w:tblPrEx>
        <w:trPr>
          <w:trHeight w:val="343"/>
        </w:trPr>
        <w:tc>
          <w:tcPr>
            <w:tcW w:w="11270" w:type="dxa"/>
            <w:gridSpan w:val="8"/>
            <w:tcBorders>
              <w:top w:val="single" w:sz="4" w:space="0" w:color="auto"/>
              <w:left w:val="single" w:sz="4" w:space="0" w:color="auto"/>
              <w:bottom w:val="single" w:sz="4" w:space="0" w:color="auto"/>
              <w:right w:val="single" w:sz="4" w:space="0" w:color="000000"/>
            </w:tcBorders>
            <w:vAlign w:val="bottom"/>
            <w:hideMark/>
          </w:tcPr>
          <w:p w:rsidR="00794113" w:rsidRPr="00546A83" w:rsidP="00794113" w14:paraId="4B2630DC" w14:textId="5135065E">
            <w:pPr>
              <w:widowControl/>
              <w:autoSpaceDE/>
              <w:autoSpaceDN/>
              <w:adjustRightInd/>
              <w:rPr>
                <w:i/>
                <w:iCs/>
                <w:u w:val="single"/>
              </w:rPr>
            </w:pPr>
            <w:r>
              <w:rPr>
                <w:i/>
                <w:iCs/>
                <w:u w:val="single"/>
              </w:rPr>
              <w:t>Self-inured group health p</w:t>
            </w:r>
            <w:r w:rsidRPr="00546A83">
              <w:rPr>
                <w:i/>
                <w:iCs/>
                <w:u w:val="single"/>
              </w:rPr>
              <w:t xml:space="preserve">lans send </w:t>
            </w:r>
            <w:r w:rsidRPr="00546A83">
              <w:rPr>
                <w:i/>
                <w:iCs/>
                <w:u w:val="single"/>
              </w:rPr>
              <w:t>request</w:t>
            </w:r>
            <w:r w:rsidRPr="00546A83">
              <w:rPr>
                <w:i/>
                <w:iCs/>
                <w:u w:val="single"/>
              </w:rPr>
              <w:t xml:space="preserve"> to PBMs to disclose missing information</w:t>
            </w:r>
          </w:p>
        </w:tc>
        <w:tc>
          <w:tcPr>
            <w:tcW w:w="236" w:type="dxa"/>
            <w:vAlign w:val="center"/>
            <w:hideMark/>
          </w:tcPr>
          <w:p w:rsidR="00794113" w:rsidRPr="00546A83" w:rsidP="00794113" w14:paraId="132D41FD" w14:textId="77777777">
            <w:pPr>
              <w:widowControl/>
              <w:autoSpaceDE/>
              <w:autoSpaceDN/>
              <w:adjustRightInd/>
              <w:rPr>
                <w:b w:val="0"/>
                <w:bCs w:val="0"/>
              </w:rPr>
            </w:pPr>
          </w:p>
        </w:tc>
      </w:tr>
      <w:tr w14:paraId="5D840178" w14:textId="77777777" w:rsidTr="00794113">
        <w:tblPrEx>
          <w:tblW w:w="11506" w:type="dxa"/>
          <w:tblInd w:w="-995" w:type="dxa"/>
          <w:tblLook w:val="04A0"/>
        </w:tblPrEx>
        <w:trPr>
          <w:trHeight w:val="523"/>
        </w:trPr>
        <w:tc>
          <w:tcPr>
            <w:tcW w:w="1582" w:type="dxa"/>
            <w:tcBorders>
              <w:top w:val="nil"/>
              <w:left w:val="single" w:sz="4" w:space="0" w:color="auto"/>
              <w:bottom w:val="single" w:sz="4" w:space="0" w:color="auto"/>
              <w:right w:val="single" w:sz="4" w:space="0" w:color="auto"/>
            </w:tcBorders>
            <w:vAlign w:val="bottom"/>
            <w:hideMark/>
          </w:tcPr>
          <w:p w:rsidR="00794113" w:rsidRPr="00546A83" w:rsidP="00794113" w14:paraId="783A63A6" w14:textId="77777777">
            <w:pPr>
              <w:widowControl/>
              <w:autoSpaceDE/>
              <w:autoSpaceDN/>
              <w:adjustRightInd/>
              <w:rPr>
                <w:b w:val="0"/>
                <w:bCs w:val="0"/>
              </w:rPr>
            </w:pPr>
            <w:r w:rsidRPr="00546A83">
              <w:rPr>
                <w:b w:val="0"/>
                <w:bCs w:val="0"/>
              </w:rPr>
              <w:t xml:space="preserve">Benefits specialist prepares request </w:t>
            </w:r>
          </w:p>
        </w:tc>
        <w:tc>
          <w:tcPr>
            <w:tcW w:w="1306" w:type="dxa"/>
            <w:tcBorders>
              <w:top w:val="nil"/>
              <w:left w:val="nil"/>
              <w:bottom w:val="single" w:sz="4" w:space="0" w:color="auto"/>
              <w:right w:val="single" w:sz="4" w:space="0" w:color="auto"/>
            </w:tcBorders>
            <w:vAlign w:val="center"/>
            <w:hideMark/>
          </w:tcPr>
          <w:p w:rsidR="00794113" w:rsidRPr="00546A83" w:rsidP="00794113" w14:paraId="730DCD04" w14:textId="77777777">
            <w:pPr>
              <w:widowControl/>
              <w:autoSpaceDE/>
              <w:autoSpaceDN/>
              <w:adjustRightInd/>
              <w:jc w:val="center"/>
              <w:rPr>
                <w:b w:val="0"/>
                <w:bCs w:val="0"/>
              </w:rPr>
            </w:pPr>
            <w:r w:rsidRPr="00546A83">
              <w:rPr>
                <w:b w:val="0"/>
                <w:bCs w:val="0"/>
              </w:rPr>
              <w:t>1,150,583</w:t>
            </w:r>
          </w:p>
        </w:tc>
        <w:tc>
          <w:tcPr>
            <w:tcW w:w="0" w:type="auto"/>
            <w:tcBorders>
              <w:top w:val="nil"/>
              <w:left w:val="nil"/>
              <w:bottom w:val="single" w:sz="4" w:space="0" w:color="auto"/>
              <w:right w:val="single" w:sz="4" w:space="0" w:color="auto"/>
            </w:tcBorders>
            <w:vAlign w:val="center"/>
            <w:hideMark/>
          </w:tcPr>
          <w:p w:rsidR="00794113" w:rsidRPr="00546A83" w:rsidP="00794113" w14:paraId="737EFA13" w14:textId="02C7A739">
            <w:pPr>
              <w:widowControl/>
              <w:autoSpaceDE/>
              <w:autoSpaceDN/>
              <w:adjustRightInd/>
              <w:jc w:val="center"/>
              <w:rPr>
                <w:b w:val="0"/>
                <w:bCs w:val="0"/>
                <w:color w:val="000000"/>
              </w:rPr>
            </w:pPr>
            <w:r w:rsidRPr="00546A83">
              <w:rPr>
                <w:b w:val="0"/>
                <w:bCs w:val="0"/>
                <w:color w:val="000000"/>
              </w:rPr>
              <w:t>0.001</w:t>
            </w:r>
          </w:p>
        </w:tc>
        <w:tc>
          <w:tcPr>
            <w:tcW w:w="0" w:type="auto"/>
            <w:tcBorders>
              <w:top w:val="nil"/>
              <w:left w:val="nil"/>
              <w:bottom w:val="single" w:sz="4" w:space="0" w:color="auto"/>
              <w:right w:val="single" w:sz="4" w:space="0" w:color="auto"/>
            </w:tcBorders>
            <w:vAlign w:val="center"/>
            <w:hideMark/>
          </w:tcPr>
          <w:p w:rsidR="00794113" w:rsidRPr="00546A83" w:rsidP="00794113" w14:paraId="694CB332" w14:textId="77777777">
            <w:pPr>
              <w:widowControl/>
              <w:autoSpaceDE/>
              <w:autoSpaceDN/>
              <w:adjustRightInd/>
              <w:jc w:val="center"/>
              <w:rPr>
                <w:b w:val="0"/>
                <w:bCs w:val="0"/>
              </w:rPr>
            </w:pPr>
            <w:r w:rsidRPr="00546A83">
              <w:rPr>
                <w:b w:val="0"/>
                <w:bCs w:val="0"/>
              </w:rPr>
              <w:t>1,151</w:t>
            </w:r>
          </w:p>
        </w:tc>
        <w:tc>
          <w:tcPr>
            <w:tcW w:w="0" w:type="auto"/>
            <w:tcBorders>
              <w:top w:val="nil"/>
              <w:left w:val="nil"/>
              <w:bottom w:val="single" w:sz="4" w:space="0" w:color="auto"/>
              <w:right w:val="single" w:sz="4" w:space="0" w:color="auto"/>
            </w:tcBorders>
            <w:vAlign w:val="center"/>
            <w:hideMark/>
          </w:tcPr>
          <w:p w:rsidR="00794113" w:rsidRPr="00546A83" w:rsidP="00794113" w14:paraId="3E836E97" w14:textId="77777777">
            <w:pPr>
              <w:widowControl/>
              <w:autoSpaceDE/>
              <w:autoSpaceDN/>
              <w:adjustRightInd/>
              <w:jc w:val="center"/>
              <w:rPr>
                <w:b w:val="0"/>
                <w:bCs w:val="0"/>
                <w:color w:val="000000"/>
              </w:rPr>
            </w:pPr>
            <w:r w:rsidRPr="00546A83">
              <w:rPr>
                <w:b w:val="0"/>
                <w:bCs w:val="0"/>
                <w:color w:val="000000"/>
              </w:rPr>
              <w:t>0</w:t>
            </w:r>
          </w:p>
        </w:tc>
        <w:tc>
          <w:tcPr>
            <w:tcW w:w="0" w:type="auto"/>
            <w:tcBorders>
              <w:top w:val="nil"/>
              <w:left w:val="nil"/>
              <w:bottom w:val="single" w:sz="4" w:space="0" w:color="auto"/>
              <w:right w:val="single" w:sz="4" w:space="0" w:color="auto"/>
            </w:tcBorders>
            <w:vAlign w:val="center"/>
            <w:hideMark/>
          </w:tcPr>
          <w:p w:rsidR="00794113" w:rsidRPr="00546A83" w:rsidP="00794113" w14:paraId="53366022" w14:textId="77777777">
            <w:pPr>
              <w:widowControl/>
              <w:autoSpaceDE/>
              <w:autoSpaceDN/>
              <w:adjustRightInd/>
              <w:jc w:val="center"/>
              <w:rPr>
                <w:b w:val="0"/>
                <w:bCs w:val="0"/>
                <w:color w:val="000000"/>
              </w:rPr>
            </w:pPr>
            <w:r w:rsidRPr="00546A83">
              <w:rPr>
                <w:b w:val="0"/>
                <w:bCs w:val="0"/>
                <w:color w:val="000000"/>
              </w:rPr>
              <w:t>288</w:t>
            </w:r>
          </w:p>
        </w:tc>
        <w:tc>
          <w:tcPr>
            <w:tcW w:w="0" w:type="auto"/>
            <w:tcBorders>
              <w:top w:val="nil"/>
              <w:left w:val="nil"/>
              <w:bottom w:val="single" w:sz="4" w:space="0" w:color="auto"/>
              <w:right w:val="single" w:sz="4" w:space="0" w:color="auto"/>
            </w:tcBorders>
            <w:vAlign w:val="center"/>
            <w:hideMark/>
          </w:tcPr>
          <w:p w:rsidR="00794113" w:rsidRPr="00546A83" w:rsidP="00794113" w14:paraId="6812EAEA" w14:textId="77777777">
            <w:pPr>
              <w:widowControl/>
              <w:autoSpaceDE/>
              <w:autoSpaceDN/>
              <w:adjustRightInd/>
              <w:jc w:val="center"/>
              <w:rPr>
                <w:b w:val="0"/>
                <w:bCs w:val="0"/>
                <w:color w:val="000000"/>
              </w:rPr>
            </w:pPr>
            <w:r w:rsidRPr="00546A83">
              <w:rPr>
                <w:b w:val="0"/>
                <w:bCs w:val="0"/>
                <w:color w:val="000000"/>
              </w:rPr>
              <w:t>$129.14</w:t>
            </w:r>
          </w:p>
        </w:tc>
        <w:tc>
          <w:tcPr>
            <w:tcW w:w="1358" w:type="dxa"/>
            <w:tcBorders>
              <w:top w:val="nil"/>
              <w:left w:val="nil"/>
              <w:bottom w:val="single" w:sz="4" w:space="0" w:color="auto"/>
              <w:right w:val="single" w:sz="4" w:space="0" w:color="auto"/>
            </w:tcBorders>
            <w:vAlign w:val="center"/>
            <w:hideMark/>
          </w:tcPr>
          <w:p w:rsidR="00794113" w:rsidRPr="00546A83" w:rsidP="00794113" w14:paraId="38CB08CC" w14:textId="77777777">
            <w:pPr>
              <w:widowControl/>
              <w:autoSpaceDE/>
              <w:autoSpaceDN/>
              <w:adjustRightInd/>
              <w:jc w:val="center"/>
              <w:rPr>
                <w:b w:val="0"/>
                <w:bCs w:val="0"/>
                <w:color w:val="000000"/>
              </w:rPr>
            </w:pPr>
            <w:r w:rsidRPr="00546A83">
              <w:rPr>
                <w:b w:val="0"/>
                <w:bCs w:val="0"/>
                <w:color w:val="000000"/>
              </w:rPr>
              <w:t>$37,160</w:t>
            </w:r>
          </w:p>
        </w:tc>
        <w:tc>
          <w:tcPr>
            <w:tcW w:w="236" w:type="dxa"/>
            <w:vAlign w:val="center"/>
            <w:hideMark/>
          </w:tcPr>
          <w:p w:rsidR="00794113" w:rsidRPr="00546A83" w:rsidP="00794113" w14:paraId="601D4244" w14:textId="77777777">
            <w:pPr>
              <w:widowControl/>
              <w:autoSpaceDE/>
              <w:autoSpaceDN/>
              <w:adjustRightInd/>
              <w:rPr>
                <w:b w:val="0"/>
                <w:bCs w:val="0"/>
              </w:rPr>
            </w:pPr>
          </w:p>
        </w:tc>
      </w:tr>
      <w:tr w14:paraId="08A61201" w14:textId="77777777" w:rsidTr="00141915">
        <w:tblPrEx>
          <w:tblW w:w="11506" w:type="dxa"/>
          <w:tblInd w:w="-995" w:type="dxa"/>
          <w:tblLook w:val="04A0"/>
        </w:tblPrEx>
        <w:trPr>
          <w:trHeight w:val="290"/>
        </w:trPr>
        <w:tc>
          <w:tcPr>
            <w:tcW w:w="11270" w:type="dxa"/>
            <w:gridSpan w:val="8"/>
            <w:tcBorders>
              <w:top w:val="single" w:sz="4" w:space="0" w:color="auto"/>
              <w:left w:val="single" w:sz="4" w:space="0" w:color="auto"/>
              <w:bottom w:val="single" w:sz="4" w:space="0" w:color="auto"/>
              <w:right w:val="single" w:sz="4" w:space="0" w:color="000000"/>
            </w:tcBorders>
            <w:noWrap/>
            <w:vAlign w:val="bottom"/>
            <w:hideMark/>
          </w:tcPr>
          <w:p w:rsidR="00794113" w:rsidRPr="00546A83" w:rsidP="00794113" w14:paraId="2C393F79" w14:textId="394618DF">
            <w:pPr>
              <w:widowControl/>
              <w:autoSpaceDE/>
              <w:autoSpaceDN/>
              <w:adjustRightInd/>
              <w:rPr>
                <w:i/>
                <w:iCs/>
                <w:u w:val="single"/>
              </w:rPr>
            </w:pPr>
            <w:r>
              <w:rPr>
                <w:i/>
                <w:iCs/>
                <w:u w:val="single"/>
              </w:rPr>
              <w:t>Self-insured group health p</w:t>
            </w:r>
            <w:r w:rsidRPr="00546A83">
              <w:rPr>
                <w:i/>
                <w:iCs/>
                <w:u w:val="single"/>
              </w:rPr>
              <w:t>lan</w:t>
            </w:r>
            <w:r>
              <w:rPr>
                <w:i/>
                <w:iCs/>
                <w:u w:val="single"/>
              </w:rPr>
              <w:t>s</w:t>
            </w:r>
            <w:r w:rsidRPr="00546A83">
              <w:rPr>
                <w:i/>
                <w:iCs/>
                <w:u w:val="single"/>
              </w:rPr>
              <w:t xml:space="preserve"> </w:t>
            </w:r>
            <w:r w:rsidRPr="00546A83">
              <w:rPr>
                <w:i/>
                <w:iCs/>
                <w:u w:val="single"/>
              </w:rPr>
              <w:t>sends</w:t>
            </w:r>
            <w:r w:rsidRPr="00546A83">
              <w:rPr>
                <w:i/>
                <w:iCs/>
                <w:u w:val="single"/>
              </w:rPr>
              <w:t xml:space="preserve"> notice to DOL after the PBM has not responded within 90 days</w:t>
            </w:r>
          </w:p>
        </w:tc>
        <w:tc>
          <w:tcPr>
            <w:tcW w:w="236" w:type="dxa"/>
            <w:vAlign w:val="center"/>
            <w:hideMark/>
          </w:tcPr>
          <w:p w:rsidR="00794113" w:rsidRPr="00546A83" w:rsidP="00794113" w14:paraId="2B44C77F" w14:textId="77777777">
            <w:pPr>
              <w:widowControl/>
              <w:autoSpaceDE/>
              <w:autoSpaceDN/>
              <w:adjustRightInd/>
              <w:rPr>
                <w:b w:val="0"/>
                <w:bCs w:val="0"/>
              </w:rPr>
            </w:pPr>
          </w:p>
        </w:tc>
      </w:tr>
      <w:tr w14:paraId="381E2412" w14:textId="77777777" w:rsidTr="00141915">
        <w:tblPrEx>
          <w:tblW w:w="11506" w:type="dxa"/>
          <w:tblInd w:w="-995" w:type="dxa"/>
          <w:tblLook w:val="04A0"/>
        </w:tblPrEx>
        <w:trPr>
          <w:trHeight w:val="583"/>
        </w:trPr>
        <w:tc>
          <w:tcPr>
            <w:tcW w:w="1582" w:type="dxa"/>
            <w:tcBorders>
              <w:top w:val="single" w:sz="4" w:space="0" w:color="auto"/>
              <w:left w:val="single" w:sz="4" w:space="0" w:color="auto"/>
              <w:bottom w:val="single" w:sz="4" w:space="0" w:color="auto"/>
              <w:right w:val="single" w:sz="4" w:space="0" w:color="auto"/>
            </w:tcBorders>
            <w:vAlign w:val="bottom"/>
            <w:hideMark/>
          </w:tcPr>
          <w:p w:rsidR="00794113" w:rsidRPr="00546A83" w:rsidP="00794113" w14:paraId="660D730C" w14:textId="77777777">
            <w:pPr>
              <w:widowControl/>
              <w:autoSpaceDE/>
              <w:autoSpaceDN/>
              <w:adjustRightInd/>
              <w:rPr>
                <w:b w:val="0"/>
                <w:bCs w:val="0"/>
              </w:rPr>
            </w:pPr>
            <w:r w:rsidRPr="00546A83">
              <w:rPr>
                <w:b w:val="0"/>
                <w:bCs w:val="0"/>
              </w:rPr>
              <w:t xml:space="preserve">Benefits specialist prepares notice </w:t>
            </w:r>
          </w:p>
        </w:tc>
        <w:tc>
          <w:tcPr>
            <w:tcW w:w="1306" w:type="dxa"/>
            <w:tcBorders>
              <w:top w:val="single" w:sz="4" w:space="0" w:color="auto"/>
              <w:left w:val="nil"/>
              <w:bottom w:val="single" w:sz="4" w:space="0" w:color="auto"/>
              <w:right w:val="single" w:sz="4" w:space="0" w:color="auto"/>
            </w:tcBorders>
            <w:vAlign w:val="center"/>
            <w:hideMark/>
          </w:tcPr>
          <w:p w:rsidR="00794113" w:rsidRPr="00546A83" w:rsidP="00794113" w14:paraId="2D038687" w14:textId="77777777">
            <w:pPr>
              <w:widowControl/>
              <w:autoSpaceDE/>
              <w:autoSpaceDN/>
              <w:adjustRightInd/>
              <w:jc w:val="center"/>
              <w:rPr>
                <w:b w:val="0"/>
                <w:bCs w:val="0"/>
              </w:rPr>
            </w:pPr>
            <w:r w:rsidRPr="00546A83">
              <w:rPr>
                <w:b w:val="0"/>
                <w:bCs w:val="0"/>
              </w:rPr>
              <w:t>10</w:t>
            </w:r>
          </w:p>
        </w:tc>
        <w:tc>
          <w:tcPr>
            <w:tcW w:w="0" w:type="auto"/>
            <w:tcBorders>
              <w:top w:val="single" w:sz="4" w:space="0" w:color="auto"/>
              <w:left w:val="nil"/>
              <w:bottom w:val="single" w:sz="4" w:space="0" w:color="auto"/>
              <w:right w:val="single" w:sz="4" w:space="0" w:color="auto"/>
            </w:tcBorders>
            <w:vAlign w:val="center"/>
            <w:hideMark/>
          </w:tcPr>
          <w:p w:rsidR="00794113" w:rsidRPr="00546A83" w:rsidP="00794113" w14:paraId="7B4CA37C" w14:textId="1C4D2D1B">
            <w:pPr>
              <w:widowControl/>
              <w:autoSpaceDE/>
              <w:autoSpaceDN/>
              <w:adjustRightInd/>
              <w:jc w:val="center"/>
              <w:rPr>
                <w:b w:val="0"/>
                <w:bCs w:val="0"/>
                <w:color w:val="000000"/>
              </w:rPr>
            </w:pPr>
            <w:r w:rsidRPr="00546A83">
              <w:rPr>
                <w:b w:val="0"/>
                <w:bCs w:val="0"/>
                <w:color w:val="000000"/>
              </w:rPr>
              <w:t>1</w:t>
            </w:r>
          </w:p>
        </w:tc>
        <w:tc>
          <w:tcPr>
            <w:tcW w:w="0" w:type="auto"/>
            <w:tcBorders>
              <w:top w:val="single" w:sz="4" w:space="0" w:color="auto"/>
              <w:left w:val="nil"/>
              <w:bottom w:val="single" w:sz="4" w:space="0" w:color="auto"/>
              <w:right w:val="single" w:sz="4" w:space="0" w:color="auto"/>
            </w:tcBorders>
            <w:vAlign w:val="center"/>
            <w:hideMark/>
          </w:tcPr>
          <w:p w:rsidR="00794113" w:rsidRPr="00546A83" w:rsidP="00794113" w14:paraId="4628BFF6" w14:textId="77777777">
            <w:pPr>
              <w:widowControl/>
              <w:autoSpaceDE/>
              <w:autoSpaceDN/>
              <w:adjustRightInd/>
              <w:jc w:val="center"/>
              <w:rPr>
                <w:b w:val="0"/>
                <w:bCs w:val="0"/>
              </w:rPr>
            </w:pPr>
            <w:r w:rsidRPr="00546A83">
              <w:rPr>
                <w:b w:val="0"/>
                <w:bCs w:val="0"/>
              </w:rPr>
              <w:t>10</w:t>
            </w:r>
          </w:p>
        </w:tc>
        <w:tc>
          <w:tcPr>
            <w:tcW w:w="0" w:type="auto"/>
            <w:tcBorders>
              <w:top w:val="single" w:sz="4" w:space="0" w:color="auto"/>
              <w:left w:val="nil"/>
              <w:bottom w:val="single" w:sz="4" w:space="0" w:color="auto"/>
              <w:right w:val="single" w:sz="4" w:space="0" w:color="auto"/>
            </w:tcBorders>
            <w:vAlign w:val="center"/>
            <w:hideMark/>
          </w:tcPr>
          <w:p w:rsidR="00794113" w:rsidRPr="00546A83" w:rsidP="00794113" w14:paraId="24591A35" w14:textId="77777777">
            <w:pPr>
              <w:widowControl/>
              <w:autoSpaceDE/>
              <w:autoSpaceDN/>
              <w:adjustRightInd/>
              <w:jc w:val="center"/>
              <w:rPr>
                <w:b w:val="0"/>
                <w:bCs w:val="0"/>
                <w:color w:val="000000"/>
              </w:rPr>
            </w:pPr>
            <w:r w:rsidRPr="00546A83">
              <w:rPr>
                <w:b w:val="0"/>
                <w:bCs w:val="0"/>
                <w:color w:val="000000"/>
              </w:rPr>
              <w:t>0</w:t>
            </w:r>
          </w:p>
        </w:tc>
        <w:tc>
          <w:tcPr>
            <w:tcW w:w="0" w:type="auto"/>
            <w:tcBorders>
              <w:top w:val="single" w:sz="4" w:space="0" w:color="auto"/>
              <w:left w:val="nil"/>
              <w:bottom w:val="single" w:sz="4" w:space="0" w:color="auto"/>
              <w:right w:val="single" w:sz="4" w:space="0" w:color="auto"/>
            </w:tcBorders>
            <w:vAlign w:val="center"/>
            <w:hideMark/>
          </w:tcPr>
          <w:p w:rsidR="00794113" w:rsidRPr="00546A83" w:rsidP="00794113" w14:paraId="094F34EE" w14:textId="77777777">
            <w:pPr>
              <w:widowControl/>
              <w:autoSpaceDE/>
              <w:autoSpaceDN/>
              <w:adjustRightInd/>
              <w:jc w:val="center"/>
              <w:rPr>
                <w:b w:val="0"/>
                <w:bCs w:val="0"/>
                <w:color w:val="000000"/>
              </w:rPr>
            </w:pPr>
            <w:r w:rsidRPr="00546A83">
              <w:rPr>
                <w:b w:val="0"/>
                <w:bCs w:val="0"/>
                <w:color w:val="000000"/>
              </w:rPr>
              <w:t>3</w:t>
            </w:r>
          </w:p>
        </w:tc>
        <w:tc>
          <w:tcPr>
            <w:tcW w:w="0" w:type="auto"/>
            <w:tcBorders>
              <w:top w:val="single" w:sz="4" w:space="0" w:color="auto"/>
              <w:left w:val="nil"/>
              <w:bottom w:val="single" w:sz="4" w:space="0" w:color="auto"/>
              <w:right w:val="single" w:sz="4" w:space="0" w:color="auto"/>
            </w:tcBorders>
            <w:vAlign w:val="center"/>
            <w:hideMark/>
          </w:tcPr>
          <w:p w:rsidR="00794113" w:rsidRPr="00546A83" w:rsidP="00794113" w14:paraId="3EAE417D" w14:textId="77777777">
            <w:pPr>
              <w:widowControl/>
              <w:autoSpaceDE/>
              <w:autoSpaceDN/>
              <w:adjustRightInd/>
              <w:jc w:val="center"/>
              <w:rPr>
                <w:b w:val="0"/>
                <w:bCs w:val="0"/>
                <w:color w:val="000000"/>
              </w:rPr>
            </w:pPr>
            <w:r w:rsidRPr="00546A83">
              <w:rPr>
                <w:b w:val="0"/>
                <w:bCs w:val="0"/>
                <w:color w:val="000000"/>
              </w:rPr>
              <w:t>$129.14</w:t>
            </w:r>
          </w:p>
        </w:tc>
        <w:tc>
          <w:tcPr>
            <w:tcW w:w="1358" w:type="dxa"/>
            <w:tcBorders>
              <w:top w:val="single" w:sz="4" w:space="0" w:color="auto"/>
              <w:left w:val="nil"/>
              <w:bottom w:val="single" w:sz="4" w:space="0" w:color="auto"/>
              <w:right w:val="single" w:sz="4" w:space="0" w:color="auto"/>
            </w:tcBorders>
            <w:vAlign w:val="center"/>
            <w:hideMark/>
          </w:tcPr>
          <w:p w:rsidR="00794113" w:rsidRPr="00546A83" w:rsidP="00794113" w14:paraId="3E1326A3" w14:textId="77777777">
            <w:pPr>
              <w:widowControl/>
              <w:autoSpaceDE/>
              <w:autoSpaceDN/>
              <w:adjustRightInd/>
              <w:jc w:val="center"/>
              <w:rPr>
                <w:b w:val="0"/>
                <w:bCs w:val="0"/>
                <w:color w:val="000000"/>
              </w:rPr>
            </w:pPr>
            <w:r w:rsidRPr="00546A83">
              <w:rPr>
                <w:b w:val="0"/>
                <w:bCs w:val="0"/>
                <w:color w:val="000000"/>
              </w:rPr>
              <w:t>$323</w:t>
            </w:r>
          </w:p>
        </w:tc>
        <w:tc>
          <w:tcPr>
            <w:tcW w:w="236" w:type="dxa"/>
            <w:vAlign w:val="center"/>
            <w:hideMark/>
          </w:tcPr>
          <w:p w:rsidR="00794113" w:rsidRPr="00546A83" w:rsidP="00794113" w14:paraId="7FBE06F7" w14:textId="77777777">
            <w:pPr>
              <w:widowControl/>
              <w:autoSpaceDE/>
              <w:autoSpaceDN/>
              <w:adjustRightInd/>
              <w:rPr>
                <w:b w:val="0"/>
                <w:bCs w:val="0"/>
              </w:rPr>
            </w:pPr>
          </w:p>
        </w:tc>
      </w:tr>
      <w:tr w14:paraId="5C2ACBB0" w14:textId="77777777" w:rsidTr="00794113">
        <w:tblPrEx>
          <w:tblW w:w="11506" w:type="dxa"/>
          <w:tblInd w:w="-995" w:type="dxa"/>
          <w:tblLook w:val="04A0"/>
        </w:tblPrEx>
        <w:trPr>
          <w:trHeight w:val="300"/>
        </w:trPr>
        <w:tc>
          <w:tcPr>
            <w:tcW w:w="11270" w:type="dxa"/>
            <w:gridSpan w:val="8"/>
            <w:tcBorders>
              <w:top w:val="single" w:sz="4" w:space="0" w:color="auto"/>
              <w:left w:val="single" w:sz="4" w:space="0" w:color="auto"/>
              <w:bottom w:val="single" w:sz="4" w:space="0" w:color="auto"/>
              <w:right w:val="single" w:sz="4" w:space="0" w:color="000000"/>
            </w:tcBorders>
            <w:vAlign w:val="bottom"/>
            <w:hideMark/>
          </w:tcPr>
          <w:p w:rsidR="00794113" w:rsidRPr="00546A83" w:rsidP="00794113" w14:paraId="775AA791" w14:textId="77777777">
            <w:pPr>
              <w:widowControl/>
              <w:autoSpaceDE/>
              <w:autoSpaceDN/>
              <w:adjustRightInd/>
              <w:rPr>
                <w:u w:val="single"/>
              </w:rPr>
            </w:pPr>
            <w:r w:rsidRPr="00546A83">
              <w:rPr>
                <w:u w:val="single"/>
              </w:rPr>
              <w:t>(3) Audit Costs</w:t>
            </w:r>
          </w:p>
        </w:tc>
        <w:tc>
          <w:tcPr>
            <w:tcW w:w="236" w:type="dxa"/>
            <w:vAlign w:val="center"/>
            <w:hideMark/>
          </w:tcPr>
          <w:p w:rsidR="00794113" w:rsidRPr="00546A83" w:rsidP="00794113" w14:paraId="6BDB6E7E" w14:textId="77777777">
            <w:pPr>
              <w:widowControl/>
              <w:autoSpaceDE/>
              <w:autoSpaceDN/>
              <w:adjustRightInd/>
              <w:rPr>
                <w:b w:val="0"/>
                <w:bCs w:val="0"/>
              </w:rPr>
            </w:pPr>
          </w:p>
        </w:tc>
      </w:tr>
      <w:tr w14:paraId="282FCC46" w14:textId="77777777" w:rsidTr="00794113">
        <w:tblPrEx>
          <w:tblW w:w="11506" w:type="dxa"/>
          <w:tblInd w:w="-995" w:type="dxa"/>
          <w:tblLook w:val="04A0"/>
        </w:tblPrEx>
        <w:trPr>
          <w:trHeight w:val="300"/>
        </w:trPr>
        <w:tc>
          <w:tcPr>
            <w:tcW w:w="11270" w:type="dxa"/>
            <w:gridSpan w:val="8"/>
            <w:tcBorders>
              <w:top w:val="single" w:sz="4" w:space="0" w:color="auto"/>
              <w:left w:val="single" w:sz="4" w:space="0" w:color="auto"/>
              <w:bottom w:val="single" w:sz="4" w:space="0" w:color="auto"/>
              <w:right w:val="single" w:sz="4" w:space="0" w:color="000000"/>
            </w:tcBorders>
            <w:vAlign w:val="bottom"/>
            <w:hideMark/>
          </w:tcPr>
          <w:p w:rsidR="00794113" w:rsidRPr="00546A83" w:rsidP="00794113" w14:paraId="70D4F8C6" w14:textId="6C4CBD90">
            <w:pPr>
              <w:widowControl/>
              <w:autoSpaceDE/>
              <w:autoSpaceDN/>
              <w:adjustRightInd/>
              <w:rPr>
                <w:i/>
                <w:iCs/>
                <w:u w:val="single"/>
              </w:rPr>
            </w:pPr>
            <w:r w:rsidRPr="005B106C">
              <w:rPr>
                <w:i/>
                <w:iCs/>
                <w:u w:val="single"/>
              </w:rPr>
              <w:t>Self-insured group health plans with 1,000 or more employees send audit request</w:t>
            </w:r>
          </w:p>
        </w:tc>
        <w:tc>
          <w:tcPr>
            <w:tcW w:w="236" w:type="dxa"/>
            <w:vAlign w:val="center"/>
            <w:hideMark/>
          </w:tcPr>
          <w:p w:rsidR="00794113" w:rsidRPr="00546A83" w:rsidP="00794113" w14:paraId="3558BBF7" w14:textId="77777777">
            <w:pPr>
              <w:widowControl/>
              <w:autoSpaceDE/>
              <w:autoSpaceDN/>
              <w:adjustRightInd/>
              <w:rPr>
                <w:b w:val="0"/>
                <w:bCs w:val="0"/>
              </w:rPr>
            </w:pPr>
          </w:p>
        </w:tc>
      </w:tr>
      <w:tr w14:paraId="6F4F64D8" w14:textId="77777777" w:rsidTr="00794113">
        <w:tblPrEx>
          <w:tblW w:w="11506" w:type="dxa"/>
          <w:tblInd w:w="-995" w:type="dxa"/>
          <w:tblLook w:val="04A0"/>
        </w:tblPrEx>
        <w:trPr>
          <w:trHeight w:val="583"/>
        </w:trPr>
        <w:tc>
          <w:tcPr>
            <w:tcW w:w="1582" w:type="dxa"/>
            <w:tcBorders>
              <w:top w:val="nil"/>
              <w:left w:val="single" w:sz="4" w:space="0" w:color="auto"/>
              <w:bottom w:val="single" w:sz="4" w:space="0" w:color="auto"/>
              <w:right w:val="single" w:sz="4" w:space="0" w:color="auto"/>
            </w:tcBorders>
            <w:vAlign w:val="bottom"/>
            <w:hideMark/>
          </w:tcPr>
          <w:p w:rsidR="00794113" w:rsidRPr="00546A83" w:rsidP="00794113" w14:paraId="4CBC4F3A" w14:textId="13AC0C87">
            <w:pPr>
              <w:widowControl/>
              <w:autoSpaceDE/>
              <w:autoSpaceDN/>
              <w:adjustRightInd/>
              <w:rPr>
                <w:b w:val="0"/>
                <w:bCs w:val="0"/>
              </w:rPr>
            </w:pPr>
            <w:r w:rsidRPr="00546A83">
              <w:rPr>
                <w:b w:val="0"/>
                <w:bCs w:val="0"/>
              </w:rPr>
              <w:t xml:space="preserve">Benefit </w:t>
            </w:r>
            <w:r>
              <w:rPr>
                <w:b w:val="0"/>
                <w:bCs w:val="0"/>
              </w:rPr>
              <w:t>s</w:t>
            </w:r>
            <w:r w:rsidRPr="00546A83">
              <w:rPr>
                <w:b w:val="0"/>
                <w:bCs w:val="0"/>
              </w:rPr>
              <w:t>pecialist</w:t>
            </w:r>
            <w:r>
              <w:rPr>
                <w:b w:val="0"/>
                <w:bCs w:val="0"/>
              </w:rPr>
              <w:t>s</w:t>
            </w:r>
            <w:r w:rsidRPr="00546A83">
              <w:rPr>
                <w:b w:val="0"/>
                <w:bCs w:val="0"/>
              </w:rPr>
              <w:t xml:space="preserve"> prepare and send request</w:t>
            </w:r>
          </w:p>
        </w:tc>
        <w:tc>
          <w:tcPr>
            <w:tcW w:w="1306" w:type="dxa"/>
            <w:tcBorders>
              <w:top w:val="nil"/>
              <w:left w:val="nil"/>
              <w:bottom w:val="single" w:sz="4" w:space="0" w:color="auto"/>
              <w:right w:val="single" w:sz="4" w:space="0" w:color="auto"/>
            </w:tcBorders>
            <w:vAlign w:val="center"/>
            <w:hideMark/>
          </w:tcPr>
          <w:p w:rsidR="00794113" w:rsidRPr="00546A83" w:rsidP="00794113" w14:paraId="6F384DF1" w14:textId="77777777">
            <w:pPr>
              <w:widowControl/>
              <w:autoSpaceDE/>
              <w:autoSpaceDN/>
              <w:adjustRightInd/>
              <w:jc w:val="center"/>
              <w:rPr>
                <w:b w:val="0"/>
                <w:bCs w:val="0"/>
              </w:rPr>
            </w:pPr>
            <w:r w:rsidRPr="00546A83">
              <w:rPr>
                <w:b w:val="0"/>
                <w:bCs w:val="0"/>
              </w:rPr>
              <w:t>10</w:t>
            </w:r>
          </w:p>
        </w:tc>
        <w:tc>
          <w:tcPr>
            <w:tcW w:w="0" w:type="auto"/>
            <w:tcBorders>
              <w:top w:val="nil"/>
              <w:left w:val="nil"/>
              <w:bottom w:val="single" w:sz="4" w:space="0" w:color="auto"/>
              <w:right w:val="single" w:sz="4" w:space="0" w:color="auto"/>
            </w:tcBorders>
            <w:vAlign w:val="center"/>
            <w:hideMark/>
          </w:tcPr>
          <w:p w:rsidR="00794113" w:rsidRPr="00546A83" w:rsidP="00794113" w14:paraId="5E1309A4" w14:textId="48B30EBD">
            <w:pPr>
              <w:widowControl/>
              <w:autoSpaceDE/>
              <w:autoSpaceDN/>
              <w:adjustRightInd/>
              <w:jc w:val="center"/>
              <w:rPr>
                <w:b w:val="0"/>
                <w:bCs w:val="0"/>
                <w:color w:val="000000"/>
              </w:rPr>
            </w:pPr>
            <w:r w:rsidRPr="00546A83">
              <w:rPr>
                <w:b w:val="0"/>
                <w:bCs w:val="0"/>
                <w:color w:val="000000"/>
              </w:rPr>
              <w:t>512.1</w:t>
            </w:r>
            <w:r w:rsidR="006A7129">
              <w:rPr>
                <w:b w:val="0"/>
                <w:bCs w:val="0"/>
                <w:color w:val="000000"/>
              </w:rPr>
              <w:t>0</w:t>
            </w:r>
          </w:p>
        </w:tc>
        <w:tc>
          <w:tcPr>
            <w:tcW w:w="0" w:type="auto"/>
            <w:tcBorders>
              <w:top w:val="nil"/>
              <w:left w:val="nil"/>
              <w:bottom w:val="single" w:sz="4" w:space="0" w:color="auto"/>
              <w:right w:val="single" w:sz="4" w:space="0" w:color="auto"/>
            </w:tcBorders>
            <w:vAlign w:val="center"/>
            <w:hideMark/>
          </w:tcPr>
          <w:p w:rsidR="00794113" w:rsidRPr="00546A83" w:rsidP="00794113" w14:paraId="1B65B26B" w14:textId="77777777">
            <w:pPr>
              <w:widowControl/>
              <w:autoSpaceDE/>
              <w:autoSpaceDN/>
              <w:adjustRightInd/>
              <w:jc w:val="center"/>
              <w:rPr>
                <w:b w:val="0"/>
                <w:bCs w:val="0"/>
              </w:rPr>
            </w:pPr>
            <w:r w:rsidRPr="00546A83">
              <w:rPr>
                <w:b w:val="0"/>
                <w:bCs w:val="0"/>
              </w:rPr>
              <w:t>5,121</w:t>
            </w:r>
          </w:p>
        </w:tc>
        <w:tc>
          <w:tcPr>
            <w:tcW w:w="0" w:type="auto"/>
            <w:tcBorders>
              <w:top w:val="nil"/>
              <w:left w:val="nil"/>
              <w:bottom w:val="single" w:sz="4" w:space="0" w:color="auto"/>
              <w:right w:val="single" w:sz="4" w:space="0" w:color="auto"/>
            </w:tcBorders>
            <w:vAlign w:val="center"/>
            <w:hideMark/>
          </w:tcPr>
          <w:p w:rsidR="00794113" w:rsidRPr="00546A83" w:rsidP="00794113" w14:paraId="277A848B" w14:textId="77777777">
            <w:pPr>
              <w:widowControl/>
              <w:autoSpaceDE/>
              <w:autoSpaceDN/>
              <w:adjustRightInd/>
              <w:jc w:val="center"/>
              <w:rPr>
                <w:b w:val="0"/>
                <w:bCs w:val="0"/>
                <w:color w:val="000000"/>
              </w:rPr>
            </w:pPr>
            <w:r w:rsidRPr="00546A83">
              <w:rPr>
                <w:b w:val="0"/>
                <w:bCs w:val="0"/>
                <w:color w:val="000000"/>
              </w:rPr>
              <w:t>0.50</w:t>
            </w:r>
          </w:p>
        </w:tc>
        <w:tc>
          <w:tcPr>
            <w:tcW w:w="0" w:type="auto"/>
            <w:tcBorders>
              <w:top w:val="nil"/>
              <w:left w:val="nil"/>
              <w:bottom w:val="single" w:sz="4" w:space="0" w:color="auto"/>
              <w:right w:val="single" w:sz="4" w:space="0" w:color="auto"/>
            </w:tcBorders>
            <w:vAlign w:val="center"/>
            <w:hideMark/>
          </w:tcPr>
          <w:p w:rsidR="00794113" w:rsidRPr="00546A83" w:rsidP="00794113" w14:paraId="223BA1E3" w14:textId="77777777">
            <w:pPr>
              <w:widowControl/>
              <w:autoSpaceDE/>
              <w:autoSpaceDN/>
              <w:adjustRightInd/>
              <w:jc w:val="center"/>
              <w:rPr>
                <w:b w:val="0"/>
                <w:bCs w:val="0"/>
                <w:color w:val="000000"/>
              </w:rPr>
            </w:pPr>
            <w:r w:rsidRPr="00546A83">
              <w:rPr>
                <w:b w:val="0"/>
                <w:bCs w:val="0"/>
                <w:color w:val="000000"/>
              </w:rPr>
              <w:t>2,561</w:t>
            </w:r>
          </w:p>
        </w:tc>
        <w:tc>
          <w:tcPr>
            <w:tcW w:w="0" w:type="auto"/>
            <w:tcBorders>
              <w:top w:val="nil"/>
              <w:left w:val="nil"/>
              <w:bottom w:val="single" w:sz="4" w:space="0" w:color="auto"/>
              <w:right w:val="single" w:sz="4" w:space="0" w:color="auto"/>
            </w:tcBorders>
            <w:vAlign w:val="center"/>
            <w:hideMark/>
          </w:tcPr>
          <w:p w:rsidR="00794113" w:rsidRPr="00546A83" w:rsidP="00794113" w14:paraId="64BE4FB0" w14:textId="77777777">
            <w:pPr>
              <w:widowControl/>
              <w:autoSpaceDE/>
              <w:autoSpaceDN/>
              <w:adjustRightInd/>
              <w:jc w:val="center"/>
              <w:rPr>
                <w:b w:val="0"/>
                <w:bCs w:val="0"/>
                <w:color w:val="000000"/>
              </w:rPr>
            </w:pPr>
            <w:r w:rsidRPr="00546A83">
              <w:rPr>
                <w:b w:val="0"/>
                <w:bCs w:val="0"/>
                <w:color w:val="000000"/>
              </w:rPr>
              <w:t>$129.14</w:t>
            </w:r>
          </w:p>
        </w:tc>
        <w:tc>
          <w:tcPr>
            <w:tcW w:w="1358" w:type="dxa"/>
            <w:tcBorders>
              <w:top w:val="nil"/>
              <w:left w:val="nil"/>
              <w:bottom w:val="single" w:sz="4" w:space="0" w:color="auto"/>
              <w:right w:val="single" w:sz="4" w:space="0" w:color="auto"/>
            </w:tcBorders>
            <w:vAlign w:val="center"/>
            <w:hideMark/>
          </w:tcPr>
          <w:p w:rsidR="00794113" w:rsidRPr="00546A83" w:rsidP="00794113" w14:paraId="7404050D" w14:textId="77777777">
            <w:pPr>
              <w:widowControl/>
              <w:autoSpaceDE/>
              <w:autoSpaceDN/>
              <w:adjustRightInd/>
              <w:jc w:val="center"/>
              <w:rPr>
                <w:b w:val="0"/>
                <w:bCs w:val="0"/>
                <w:color w:val="000000"/>
              </w:rPr>
            </w:pPr>
            <w:r w:rsidRPr="00546A83">
              <w:rPr>
                <w:b w:val="0"/>
                <w:bCs w:val="0"/>
                <w:color w:val="000000"/>
              </w:rPr>
              <w:t>$330,663</w:t>
            </w:r>
          </w:p>
        </w:tc>
        <w:tc>
          <w:tcPr>
            <w:tcW w:w="236" w:type="dxa"/>
            <w:vAlign w:val="center"/>
            <w:hideMark/>
          </w:tcPr>
          <w:p w:rsidR="00794113" w:rsidRPr="00546A83" w:rsidP="00794113" w14:paraId="5942B610" w14:textId="77777777">
            <w:pPr>
              <w:widowControl/>
              <w:autoSpaceDE/>
              <w:autoSpaceDN/>
              <w:adjustRightInd/>
              <w:rPr>
                <w:b w:val="0"/>
                <w:bCs w:val="0"/>
              </w:rPr>
            </w:pPr>
          </w:p>
        </w:tc>
      </w:tr>
      <w:tr w14:paraId="0DF0251B" w14:textId="77777777" w:rsidTr="00794113">
        <w:tblPrEx>
          <w:tblW w:w="11506" w:type="dxa"/>
          <w:tblInd w:w="-995" w:type="dxa"/>
          <w:tblLook w:val="04A0"/>
        </w:tblPrEx>
        <w:trPr>
          <w:trHeight w:val="134"/>
        </w:trPr>
        <w:tc>
          <w:tcPr>
            <w:tcW w:w="11270" w:type="dxa"/>
            <w:gridSpan w:val="8"/>
            <w:tcBorders>
              <w:top w:val="nil"/>
              <w:left w:val="single" w:sz="4" w:space="0" w:color="auto"/>
              <w:bottom w:val="single" w:sz="4" w:space="0" w:color="auto"/>
              <w:right w:val="single" w:sz="4" w:space="0" w:color="auto"/>
            </w:tcBorders>
            <w:vAlign w:val="bottom"/>
          </w:tcPr>
          <w:p w:rsidR="00794113" w:rsidRPr="00A324D0" w:rsidP="00794113" w14:paraId="144426FC" w14:textId="5C917CC2">
            <w:pPr>
              <w:widowControl/>
              <w:autoSpaceDE/>
              <w:autoSpaceDN/>
              <w:adjustRightInd/>
              <w:rPr>
                <w:i/>
                <w:iCs/>
                <w:color w:val="000000"/>
                <w:u w:val="single"/>
              </w:rPr>
            </w:pPr>
            <w:r w:rsidRPr="005B106C">
              <w:rPr>
                <w:i/>
                <w:iCs/>
                <w:color w:val="000000"/>
                <w:u w:val="single"/>
              </w:rPr>
              <w:t>Issuers send audit request on behalf of level-funded group health plans and self-insured group health plans with less than 1,000 employees</w:t>
            </w:r>
          </w:p>
        </w:tc>
        <w:tc>
          <w:tcPr>
            <w:tcW w:w="236" w:type="dxa"/>
            <w:vAlign w:val="center"/>
          </w:tcPr>
          <w:p w:rsidR="00794113" w:rsidRPr="00546A83" w:rsidP="00794113" w14:paraId="15984733" w14:textId="77777777">
            <w:pPr>
              <w:widowControl/>
              <w:autoSpaceDE/>
              <w:autoSpaceDN/>
              <w:adjustRightInd/>
              <w:rPr>
                <w:b w:val="0"/>
                <w:bCs w:val="0"/>
              </w:rPr>
            </w:pPr>
          </w:p>
        </w:tc>
      </w:tr>
      <w:tr w14:paraId="5E57F85C" w14:textId="77777777" w:rsidTr="00794113">
        <w:tblPrEx>
          <w:tblW w:w="11506" w:type="dxa"/>
          <w:tblInd w:w="-995" w:type="dxa"/>
          <w:tblLook w:val="04A0"/>
        </w:tblPrEx>
        <w:trPr>
          <w:trHeight w:val="583"/>
        </w:trPr>
        <w:tc>
          <w:tcPr>
            <w:tcW w:w="1582" w:type="dxa"/>
            <w:tcBorders>
              <w:top w:val="single" w:sz="4" w:space="0" w:color="auto"/>
              <w:left w:val="single" w:sz="4" w:space="0" w:color="auto"/>
              <w:bottom w:val="single" w:sz="4" w:space="0" w:color="auto"/>
              <w:right w:val="single" w:sz="4" w:space="0" w:color="auto"/>
            </w:tcBorders>
            <w:vAlign w:val="bottom"/>
          </w:tcPr>
          <w:p w:rsidR="00794113" w:rsidRPr="00A324D0" w:rsidP="00794113" w14:paraId="16F79854" w14:textId="4BBD1084">
            <w:pPr>
              <w:widowControl/>
              <w:autoSpaceDE/>
              <w:autoSpaceDN/>
              <w:adjustRightInd/>
              <w:rPr>
                <w:b w:val="0"/>
                <w:bCs w:val="0"/>
              </w:rPr>
            </w:pPr>
            <w:r w:rsidRPr="00A324D0">
              <w:rPr>
                <w:b w:val="0"/>
                <w:bCs w:val="0"/>
              </w:rPr>
              <w:t>Benefit specialist</w:t>
            </w:r>
            <w:r>
              <w:rPr>
                <w:b w:val="0"/>
                <w:bCs w:val="0"/>
              </w:rPr>
              <w:t>s</w:t>
            </w:r>
            <w:r w:rsidRPr="00A324D0">
              <w:rPr>
                <w:b w:val="0"/>
                <w:bCs w:val="0"/>
              </w:rPr>
              <w:t xml:space="preserve"> prepare and send audit request</w:t>
            </w:r>
          </w:p>
        </w:tc>
        <w:tc>
          <w:tcPr>
            <w:tcW w:w="1306" w:type="dxa"/>
            <w:tcBorders>
              <w:top w:val="nil"/>
              <w:left w:val="nil"/>
              <w:bottom w:val="single" w:sz="4" w:space="0" w:color="auto"/>
              <w:right w:val="single" w:sz="4" w:space="0" w:color="auto"/>
            </w:tcBorders>
            <w:vAlign w:val="center"/>
          </w:tcPr>
          <w:p w:rsidR="00794113" w:rsidRPr="00A324D0" w:rsidP="00794113" w14:paraId="339B8AAF" w14:textId="1C4D4A10">
            <w:pPr>
              <w:widowControl/>
              <w:autoSpaceDE/>
              <w:autoSpaceDN/>
              <w:adjustRightInd/>
              <w:jc w:val="center"/>
              <w:rPr>
                <w:b w:val="0"/>
                <w:bCs w:val="0"/>
              </w:rPr>
            </w:pPr>
            <w:r w:rsidRPr="00A324D0">
              <w:rPr>
                <w:b w:val="0"/>
                <w:bCs w:val="0"/>
              </w:rPr>
              <w:t>809</w:t>
            </w:r>
          </w:p>
        </w:tc>
        <w:tc>
          <w:tcPr>
            <w:tcW w:w="0" w:type="auto"/>
            <w:tcBorders>
              <w:top w:val="nil"/>
              <w:left w:val="nil"/>
              <w:bottom w:val="single" w:sz="4" w:space="0" w:color="auto"/>
              <w:right w:val="single" w:sz="4" w:space="0" w:color="auto"/>
            </w:tcBorders>
            <w:vAlign w:val="center"/>
          </w:tcPr>
          <w:p w:rsidR="00794113" w:rsidRPr="00A324D0" w:rsidP="00794113" w14:paraId="71242FF1" w14:textId="35917513">
            <w:pPr>
              <w:widowControl/>
              <w:autoSpaceDE/>
              <w:autoSpaceDN/>
              <w:adjustRightInd/>
              <w:jc w:val="center"/>
              <w:rPr>
                <w:b w:val="0"/>
                <w:bCs w:val="0"/>
                <w:color w:val="000000"/>
              </w:rPr>
            </w:pPr>
            <w:r w:rsidRPr="00A324D0">
              <w:rPr>
                <w:b w:val="0"/>
                <w:bCs w:val="0"/>
                <w:color w:val="000000"/>
              </w:rPr>
              <w:t>1.73</w:t>
            </w:r>
          </w:p>
        </w:tc>
        <w:tc>
          <w:tcPr>
            <w:tcW w:w="0" w:type="auto"/>
            <w:tcBorders>
              <w:top w:val="nil"/>
              <w:left w:val="nil"/>
              <w:bottom w:val="single" w:sz="4" w:space="0" w:color="auto"/>
              <w:right w:val="single" w:sz="4" w:space="0" w:color="auto"/>
            </w:tcBorders>
            <w:vAlign w:val="center"/>
          </w:tcPr>
          <w:p w:rsidR="00794113" w:rsidRPr="00A324D0" w:rsidP="00794113" w14:paraId="14501EA0" w14:textId="2D728259">
            <w:pPr>
              <w:widowControl/>
              <w:autoSpaceDE/>
              <w:autoSpaceDN/>
              <w:adjustRightInd/>
              <w:jc w:val="center"/>
              <w:rPr>
                <w:b w:val="0"/>
                <w:bCs w:val="0"/>
              </w:rPr>
            </w:pPr>
            <w:r w:rsidRPr="00A324D0">
              <w:rPr>
                <w:b w:val="0"/>
                <w:bCs w:val="0"/>
              </w:rPr>
              <w:t>1,403</w:t>
            </w:r>
          </w:p>
        </w:tc>
        <w:tc>
          <w:tcPr>
            <w:tcW w:w="0" w:type="auto"/>
            <w:tcBorders>
              <w:top w:val="nil"/>
              <w:left w:val="nil"/>
              <w:bottom w:val="single" w:sz="4" w:space="0" w:color="auto"/>
              <w:right w:val="single" w:sz="4" w:space="0" w:color="auto"/>
            </w:tcBorders>
            <w:vAlign w:val="center"/>
          </w:tcPr>
          <w:p w:rsidR="00794113" w:rsidRPr="00A324D0" w:rsidP="00794113" w14:paraId="60B38D28" w14:textId="1CFF520C">
            <w:pPr>
              <w:widowControl/>
              <w:autoSpaceDE/>
              <w:autoSpaceDN/>
              <w:adjustRightInd/>
              <w:jc w:val="center"/>
              <w:rPr>
                <w:b w:val="0"/>
                <w:bCs w:val="0"/>
                <w:color w:val="000000"/>
              </w:rPr>
            </w:pPr>
            <w:r w:rsidRPr="00A324D0">
              <w:rPr>
                <w:b w:val="0"/>
                <w:bCs w:val="0"/>
                <w:color w:val="000000"/>
              </w:rPr>
              <w:t>0.25</w:t>
            </w:r>
          </w:p>
        </w:tc>
        <w:tc>
          <w:tcPr>
            <w:tcW w:w="0" w:type="auto"/>
            <w:tcBorders>
              <w:top w:val="nil"/>
              <w:left w:val="nil"/>
              <w:bottom w:val="single" w:sz="4" w:space="0" w:color="auto"/>
              <w:right w:val="single" w:sz="4" w:space="0" w:color="auto"/>
            </w:tcBorders>
            <w:vAlign w:val="center"/>
          </w:tcPr>
          <w:p w:rsidR="00794113" w:rsidRPr="00A324D0" w:rsidP="00794113" w14:paraId="633B17BD" w14:textId="09FB554E">
            <w:pPr>
              <w:widowControl/>
              <w:autoSpaceDE/>
              <w:autoSpaceDN/>
              <w:adjustRightInd/>
              <w:jc w:val="center"/>
              <w:rPr>
                <w:b w:val="0"/>
                <w:bCs w:val="0"/>
                <w:color w:val="000000"/>
              </w:rPr>
            </w:pPr>
            <w:r w:rsidRPr="00A324D0">
              <w:rPr>
                <w:b w:val="0"/>
                <w:bCs w:val="0"/>
                <w:color w:val="000000"/>
              </w:rPr>
              <w:t>351</w:t>
            </w:r>
          </w:p>
        </w:tc>
        <w:tc>
          <w:tcPr>
            <w:tcW w:w="0" w:type="auto"/>
            <w:tcBorders>
              <w:top w:val="nil"/>
              <w:left w:val="nil"/>
              <w:bottom w:val="single" w:sz="4" w:space="0" w:color="auto"/>
              <w:right w:val="single" w:sz="4" w:space="0" w:color="auto"/>
            </w:tcBorders>
            <w:vAlign w:val="center"/>
          </w:tcPr>
          <w:p w:rsidR="00794113" w:rsidRPr="00A324D0" w:rsidP="00794113" w14:paraId="6D0A9030" w14:textId="0A0434A1">
            <w:pPr>
              <w:widowControl/>
              <w:autoSpaceDE/>
              <w:autoSpaceDN/>
              <w:adjustRightInd/>
              <w:jc w:val="center"/>
              <w:rPr>
                <w:b w:val="0"/>
                <w:bCs w:val="0"/>
                <w:color w:val="000000"/>
              </w:rPr>
            </w:pPr>
            <w:r w:rsidRPr="00A324D0">
              <w:rPr>
                <w:b w:val="0"/>
                <w:bCs w:val="0"/>
                <w:color w:val="000000"/>
              </w:rPr>
              <w:t>$129.14</w:t>
            </w:r>
          </w:p>
        </w:tc>
        <w:tc>
          <w:tcPr>
            <w:tcW w:w="1358" w:type="dxa"/>
            <w:tcBorders>
              <w:top w:val="nil"/>
              <w:left w:val="nil"/>
              <w:bottom w:val="single" w:sz="4" w:space="0" w:color="auto"/>
              <w:right w:val="single" w:sz="4" w:space="0" w:color="auto"/>
            </w:tcBorders>
            <w:vAlign w:val="center"/>
          </w:tcPr>
          <w:p w:rsidR="00794113" w:rsidRPr="00A324D0" w:rsidP="00794113" w14:paraId="494A7C2B" w14:textId="5E63CD2B">
            <w:pPr>
              <w:widowControl/>
              <w:autoSpaceDE/>
              <w:autoSpaceDN/>
              <w:adjustRightInd/>
              <w:jc w:val="center"/>
              <w:rPr>
                <w:b w:val="0"/>
                <w:bCs w:val="0"/>
                <w:color w:val="000000"/>
              </w:rPr>
            </w:pPr>
            <w:r w:rsidRPr="00A324D0">
              <w:rPr>
                <w:b w:val="0"/>
                <w:bCs w:val="0"/>
                <w:color w:val="000000"/>
              </w:rPr>
              <w:t>$45,296</w:t>
            </w:r>
          </w:p>
        </w:tc>
        <w:tc>
          <w:tcPr>
            <w:tcW w:w="236" w:type="dxa"/>
            <w:vAlign w:val="center"/>
          </w:tcPr>
          <w:p w:rsidR="00794113" w:rsidRPr="00546A83" w:rsidP="00794113" w14:paraId="498A6BD7" w14:textId="77777777">
            <w:pPr>
              <w:widowControl/>
              <w:autoSpaceDE/>
              <w:autoSpaceDN/>
              <w:adjustRightInd/>
              <w:rPr>
                <w:b w:val="0"/>
                <w:bCs w:val="0"/>
              </w:rPr>
            </w:pPr>
          </w:p>
        </w:tc>
      </w:tr>
      <w:tr w14:paraId="452D5B12" w14:textId="77777777" w:rsidTr="00794113">
        <w:tblPrEx>
          <w:tblW w:w="11506" w:type="dxa"/>
          <w:tblInd w:w="-995" w:type="dxa"/>
          <w:tblLook w:val="04A0"/>
        </w:tblPrEx>
        <w:trPr>
          <w:trHeight w:val="320"/>
        </w:trPr>
        <w:tc>
          <w:tcPr>
            <w:tcW w:w="11270" w:type="dxa"/>
            <w:gridSpan w:val="8"/>
            <w:tcBorders>
              <w:top w:val="single" w:sz="4" w:space="0" w:color="auto"/>
              <w:left w:val="single" w:sz="4" w:space="0" w:color="auto"/>
              <w:bottom w:val="single" w:sz="4" w:space="0" w:color="auto"/>
              <w:right w:val="single" w:sz="4" w:space="0" w:color="000000"/>
            </w:tcBorders>
            <w:vAlign w:val="bottom"/>
            <w:hideMark/>
          </w:tcPr>
          <w:p w:rsidR="00794113" w:rsidRPr="00546A83" w:rsidP="00794113" w14:paraId="53DC94EC" w14:textId="77777777">
            <w:pPr>
              <w:widowControl/>
              <w:autoSpaceDE/>
              <w:autoSpaceDN/>
              <w:adjustRightInd/>
              <w:rPr>
                <w:i/>
                <w:iCs/>
                <w:u w:val="single"/>
              </w:rPr>
            </w:pPr>
            <w:r w:rsidRPr="00546A83">
              <w:rPr>
                <w:i/>
                <w:iCs/>
                <w:u w:val="single"/>
              </w:rPr>
              <w:t>PBMs prepare and disclose the needed info for the audit</w:t>
            </w:r>
          </w:p>
        </w:tc>
        <w:tc>
          <w:tcPr>
            <w:tcW w:w="236" w:type="dxa"/>
            <w:vAlign w:val="center"/>
            <w:hideMark/>
          </w:tcPr>
          <w:p w:rsidR="00794113" w:rsidRPr="00546A83" w:rsidP="00794113" w14:paraId="504A15A6" w14:textId="77777777">
            <w:pPr>
              <w:widowControl/>
              <w:autoSpaceDE/>
              <w:autoSpaceDN/>
              <w:adjustRightInd/>
              <w:rPr>
                <w:b w:val="0"/>
                <w:bCs w:val="0"/>
              </w:rPr>
            </w:pPr>
          </w:p>
        </w:tc>
      </w:tr>
      <w:tr w14:paraId="77017610" w14:textId="77777777" w:rsidTr="00794113">
        <w:tblPrEx>
          <w:tblW w:w="11506" w:type="dxa"/>
          <w:tblInd w:w="-995" w:type="dxa"/>
          <w:tblLook w:val="04A0"/>
        </w:tblPrEx>
        <w:trPr>
          <w:trHeight w:val="583"/>
        </w:trPr>
        <w:tc>
          <w:tcPr>
            <w:tcW w:w="1582" w:type="dxa"/>
            <w:tcBorders>
              <w:top w:val="nil"/>
              <w:left w:val="single" w:sz="4" w:space="0" w:color="auto"/>
              <w:bottom w:val="single" w:sz="4" w:space="0" w:color="auto"/>
              <w:right w:val="single" w:sz="4" w:space="0" w:color="auto"/>
            </w:tcBorders>
            <w:vAlign w:val="bottom"/>
            <w:hideMark/>
          </w:tcPr>
          <w:p w:rsidR="00794113" w:rsidRPr="00546A83" w:rsidP="00794113" w14:paraId="780B8C3D" w14:textId="014F871B">
            <w:pPr>
              <w:widowControl/>
              <w:autoSpaceDE/>
              <w:autoSpaceDN/>
              <w:adjustRightInd/>
              <w:rPr>
                <w:b w:val="0"/>
                <w:bCs w:val="0"/>
                <w:color w:val="000000"/>
              </w:rPr>
            </w:pPr>
            <w:r w:rsidRPr="00716202">
              <w:rPr>
                <w:b w:val="0"/>
                <w:bCs w:val="0"/>
                <w:color w:val="000000"/>
              </w:rPr>
              <w:t>Benefit specialist</w:t>
            </w:r>
            <w:r>
              <w:rPr>
                <w:b w:val="0"/>
                <w:bCs w:val="0"/>
                <w:color w:val="000000"/>
              </w:rPr>
              <w:t>s</w:t>
            </w:r>
            <w:r w:rsidRPr="00716202">
              <w:rPr>
                <w:b w:val="0"/>
                <w:bCs w:val="0"/>
                <w:color w:val="000000"/>
              </w:rPr>
              <w:t xml:space="preserve"> and IT staff prepare for requested audit</w:t>
            </w:r>
          </w:p>
        </w:tc>
        <w:tc>
          <w:tcPr>
            <w:tcW w:w="1306" w:type="dxa"/>
            <w:tcBorders>
              <w:top w:val="nil"/>
              <w:left w:val="nil"/>
              <w:bottom w:val="single" w:sz="4" w:space="0" w:color="auto"/>
              <w:right w:val="single" w:sz="4" w:space="0" w:color="auto"/>
            </w:tcBorders>
            <w:vAlign w:val="center"/>
            <w:hideMark/>
          </w:tcPr>
          <w:p w:rsidR="00794113" w:rsidRPr="00546A83" w:rsidP="00794113" w14:paraId="6E100408" w14:textId="77777777">
            <w:pPr>
              <w:widowControl/>
              <w:autoSpaceDE/>
              <w:autoSpaceDN/>
              <w:adjustRightInd/>
              <w:jc w:val="center"/>
              <w:rPr>
                <w:b w:val="0"/>
                <w:bCs w:val="0"/>
              </w:rPr>
            </w:pPr>
            <w:r w:rsidRPr="00546A83">
              <w:rPr>
                <w:b w:val="0"/>
                <w:bCs w:val="0"/>
              </w:rPr>
              <w:t>10</w:t>
            </w:r>
          </w:p>
        </w:tc>
        <w:tc>
          <w:tcPr>
            <w:tcW w:w="0" w:type="auto"/>
            <w:tcBorders>
              <w:top w:val="nil"/>
              <w:left w:val="nil"/>
              <w:bottom w:val="single" w:sz="4" w:space="0" w:color="auto"/>
              <w:right w:val="single" w:sz="4" w:space="0" w:color="auto"/>
            </w:tcBorders>
            <w:vAlign w:val="center"/>
            <w:hideMark/>
          </w:tcPr>
          <w:p w:rsidR="00794113" w:rsidRPr="00546A83" w:rsidP="00794113" w14:paraId="77779B1E" w14:textId="4066F433">
            <w:pPr>
              <w:widowControl/>
              <w:autoSpaceDE/>
              <w:autoSpaceDN/>
              <w:adjustRightInd/>
              <w:jc w:val="center"/>
              <w:rPr>
                <w:b w:val="0"/>
                <w:bCs w:val="0"/>
                <w:color w:val="000000"/>
              </w:rPr>
            </w:pPr>
            <w:r w:rsidRPr="00546A83">
              <w:rPr>
                <w:b w:val="0"/>
                <w:bCs w:val="0"/>
                <w:color w:val="000000"/>
              </w:rPr>
              <w:t>652.4</w:t>
            </w:r>
            <w:r w:rsidR="006A7129">
              <w:rPr>
                <w:b w:val="0"/>
                <w:bCs w:val="0"/>
                <w:color w:val="000000"/>
              </w:rPr>
              <w:t>0</w:t>
            </w:r>
          </w:p>
        </w:tc>
        <w:tc>
          <w:tcPr>
            <w:tcW w:w="0" w:type="auto"/>
            <w:tcBorders>
              <w:top w:val="nil"/>
              <w:left w:val="nil"/>
              <w:bottom w:val="single" w:sz="4" w:space="0" w:color="auto"/>
              <w:right w:val="single" w:sz="4" w:space="0" w:color="auto"/>
            </w:tcBorders>
            <w:vAlign w:val="center"/>
            <w:hideMark/>
          </w:tcPr>
          <w:p w:rsidR="00794113" w:rsidRPr="00546A83" w:rsidP="00794113" w14:paraId="4286C39C" w14:textId="77777777">
            <w:pPr>
              <w:widowControl/>
              <w:autoSpaceDE/>
              <w:autoSpaceDN/>
              <w:adjustRightInd/>
              <w:jc w:val="center"/>
              <w:rPr>
                <w:b w:val="0"/>
                <w:bCs w:val="0"/>
              </w:rPr>
            </w:pPr>
            <w:r w:rsidRPr="00546A83">
              <w:rPr>
                <w:b w:val="0"/>
                <w:bCs w:val="0"/>
              </w:rPr>
              <w:t>6,524</w:t>
            </w:r>
          </w:p>
        </w:tc>
        <w:tc>
          <w:tcPr>
            <w:tcW w:w="0" w:type="auto"/>
            <w:tcBorders>
              <w:top w:val="nil"/>
              <w:left w:val="nil"/>
              <w:bottom w:val="single" w:sz="4" w:space="0" w:color="auto"/>
              <w:right w:val="single" w:sz="4" w:space="0" w:color="auto"/>
            </w:tcBorders>
            <w:vAlign w:val="center"/>
            <w:hideMark/>
          </w:tcPr>
          <w:p w:rsidR="00794113" w:rsidRPr="00546A83" w:rsidP="00794113" w14:paraId="470B1F4C" w14:textId="77777777">
            <w:pPr>
              <w:widowControl/>
              <w:autoSpaceDE/>
              <w:autoSpaceDN/>
              <w:adjustRightInd/>
              <w:jc w:val="center"/>
              <w:rPr>
                <w:b w:val="0"/>
                <w:bCs w:val="0"/>
                <w:color w:val="000000"/>
              </w:rPr>
            </w:pPr>
            <w:r w:rsidRPr="00546A83">
              <w:rPr>
                <w:b w:val="0"/>
                <w:bCs w:val="0"/>
                <w:color w:val="000000"/>
              </w:rPr>
              <w:t>2</w:t>
            </w:r>
          </w:p>
        </w:tc>
        <w:tc>
          <w:tcPr>
            <w:tcW w:w="0" w:type="auto"/>
            <w:tcBorders>
              <w:top w:val="nil"/>
              <w:left w:val="nil"/>
              <w:bottom w:val="single" w:sz="4" w:space="0" w:color="auto"/>
              <w:right w:val="single" w:sz="4" w:space="0" w:color="auto"/>
            </w:tcBorders>
            <w:vAlign w:val="center"/>
            <w:hideMark/>
          </w:tcPr>
          <w:p w:rsidR="00794113" w:rsidRPr="00546A83" w:rsidP="00794113" w14:paraId="10BC8878" w14:textId="77777777">
            <w:pPr>
              <w:widowControl/>
              <w:autoSpaceDE/>
              <w:autoSpaceDN/>
              <w:adjustRightInd/>
              <w:jc w:val="center"/>
              <w:rPr>
                <w:b w:val="0"/>
                <w:bCs w:val="0"/>
                <w:color w:val="000000"/>
              </w:rPr>
            </w:pPr>
            <w:r w:rsidRPr="00546A83">
              <w:rPr>
                <w:b w:val="0"/>
                <w:bCs w:val="0"/>
                <w:color w:val="000000"/>
              </w:rPr>
              <w:t>13,048</w:t>
            </w:r>
          </w:p>
        </w:tc>
        <w:tc>
          <w:tcPr>
            <w:tcW w:w="0" w:type="auto"/>
            <w:tcBorders>
              <w:top w:val="nil"/>
              <w:left w:val="nil"/>
              <w:bottom w:val="single" w:sz="4" w:space="0" w:color="auto"/>
              <w:right w:val="single" w:sz="4" w:space="0" w:color="auto"/>
            </w:tcBorders>
            <w:vAlign w:val="center"/>
            <w:hideMark/>
          </w:tcPr>
          <w:p w:rsidR="00794113" w:rsidRPr="00546A83" w:rsidP="00794113" w14:paraId="2BCC1F9D" w14:textId="77777777">
            <w:pPr>
              <w:widowControl/>
              <w:autoSpaceDE/>
              <w:autoSpaceDN/>
              <w:adjustRightInd/>
              <w:jc w:val="center"/>
              <w:rPr>
                <w:b w:val="0"/>
                <w:bCs w:val="0"/>
                <w:color w:val="000000"/>
              </w:rPr>
            </w:pPr>
            <w:r w:rsidRPr="00546A83">
              <w:rPr>
                <w:b w:val="0"/>
                <w:bCs w:val="0"/>
                <w:color w:val="000000"/>
              </w:rPr>
              <w:t>$150.52</w:t>
            </w:r>
          </w:p>
        </w:tc>
        <w:tc>
          <w:tcPr>
            <w:tcW w:w="1358" w:type="dxa"/>
            <w:tcBorders>
              <w:top w:val="nil"/>
              <w:left w:val="nil"/>
              <w:bottom w:val="single" w:sz="4" w:space="0" w:color="auto"/>
              <w:right w:val="single" w:sz="4" w:space="0" w:color="auto"/>
            </w:tcBorders>
            <w:vAlign w:val="center"/>
            <w:hideMark/>
          </w:tcPr>
          <w:p w:rsidR="00794113" w:rsidRPr="00546A83" w:rsidP="00794113" w14:paraId="50E59078" w14:textId="77777777">
            <w:pPr>
              <w:widowControl/>
              <w:autoSpaceDE/>
              <w:autoSpaceDN/>
              <w:adjustRightInd/>
              <w:jc w:val="center"/>
              <w:rPr>
                <w:b w:val="0"/>
                <w:bCs w:val="0"/>
                <w:color w:val="000000"/>
              </w:rPr>
            </w:pPr>
            <w:r w:rsidRPr="00546A83">
              <w:rPr>
                <w:b w:val="0"/>
                <w:bCs w:val="0"/>
                <w:color w:val="000000"/>
              </w:rPr>
              <w:t>$1,963,985</w:t>
            </w:r>
          </w:p>
        </w:tc>
        <w:tc>
          <w:tcPr>
            <w:tcW w:w="236" w:type="dxa"/>
            <w:vAlign w:val="center"/>
            <w:hideMark/>
          </w:tcPr>
          <w:p w:rsidR="00794113" w:rsidRPr="00546A83" w:rsidP="00794113" w14:paraId="11E41B8C" w14:textId="77777777">
            <w:pPr>
              <w:widowControl/>
              <w:autoSpaceDE/>
              <w:autoSpaceDN/>
              <w:adjustRightInd/>
              <w:rPr>
                <w:b w:val="0"/>
                <w:bCs w:val="0"/>
              </w:rPr>
            </w:pPr>
          </w:p>
        </w:tc>
      </w:tr>
      <w:tr w14:paraId="39308150" w14:textId="77777777" w:rsidTr="00794113">
        <w:tblPrEx>
          <w:tblW w:w="11506" w:type="dxa"/>
          <w:tblInd w:w="-995" w:type="dxa"/>
          <w:tblLook w:val="04A0"/>
        </w:tblPrEx>
        <w:trPr>
          <w:trHeight w:val="260"/>
        </w:trPr>
        <w:tc>
          <w:tcPr>
            <w:tcW w:w="1582" w:type="dxa"/>
            <w:tcBorders>
              <w:top w:val="nil"/>
              <w:left w:val="single" w:sz="4" w:space="0" w:color="auto"/>
              <w:bottom w:val="single" w:sz="4" w:space="0" w:color="auto"/>
              <w:right w:val="single" w:sz="4" w:space="0" w:color="auto"/>
            </w:tcBorders>
            <w:vAlign w:val="center"/>
            <w:hideMark/>
          </w:tcPr>
          <w:p w:rsidR="00794113" w:rsidRPr="00546A83" w:rsidP="00794113" w14:paraId="0E1B4A76" w14:textId="306E18A2">
            <w:pPr>
              <w:widowControl/>
              <w:autoSpaceDE/>
              <w:autoSpaceDN/>
              <w:adjustRightInd/>
            </w:pPr>
            <w:r>
              <w:t xml:space="preserve">Three-Year Average </w:t>
            </w:r>
            <w:r w:rsidRPr="00546A83">
              <w:t>Total</w:t>
            </w:r>
          </w:p>
        </w:tc>
        <w:tc>
          <w:tcPr>
            <w:tcW w:w="1306" w:type="dxa"/>
            <w:tcBorders>
              <w:top w:val="nil"/>
              <w:left w:val="nil"/>
              <w:bottom w:val="single" w:sz="4" w:space="0" w:color="auto"/>
              <w:right w:val="single" w:sz="4" w:space="0" w:color="auto"/>
            </w:tcBorders>
            <w:vAlign w:val="center"/>
            <w:hideMark/>
          </w:tcPr>
          <w:p w:rsidR="00794113" w:rsidRPr="00546A83" w:rsidP="00794113" w14:paraId="48045414" w14:textId="77777777">
            <w:pPr>
              <w:widowControl/>
              <w:autoSpaceDE/>
              <w:autoSpaceDN/>
              <w:adjustRightInd/>
              <w:jc w:val="center"/>
            </w:pPr>
            <w:r w:rsidRPr="00546A83">
              <w:t>1,151,392</w:t>
            </w:r>
          </w:p>
        </w:tc>
        <w:tc>
          <w:tcPr>
            <w:tcW w:w="0" w:type="auto"/>
            <w:tcBorders>
              <w:top w:val="nil"/>
              <w:left w:val="nil"/>
              <w:bottom w:val="single" w:sz="4" w:space="0" w:color="auto"/>
              <w:right w:val="single" w:sz="4" w:space="0" w:color="auto"/>
            </w:tcBorders>
            <w:vAlign w:val="center"/>
            <w:hideMark/>
          </w:tcPr>
          <w:p w:rsidR="00794113" w:rsidRPr="00546A83" w:rsidP="00794113" w14:paraId="691A5A7B" w14:textId="77777777">
            <w:pPr>
              <w:widowControl/>
              <w:autoSpaceDE/>
              <w:autoSpaceDN/>
              <w:adjustRightInd/>
              <w:jc w:val="center"/>
            </w:pPr>
            <w:r w:rsidRPr="00546A83">
              <w:t>-</w:t>
            </w:r>
          </w:p>
        </w:tc>
        <w:tc>
          <w:tcPr>
            <w:tcW w:w="0" w:type="auto"/>
            <w:tcBorders>
              <w:top w:val="nil"/>
              <w:left w:val="nil"/>
              <w:bottom w:val="single" w:sz="4" w:space="0" w:color="auto"/>
              <w:right w:val="single" w:sz="4" w:space="0" w:color="auto"/>
            </w:tcBorders>
            <w:vAlign w:val="center"/>
            <w:hideMark/>
          </w:tcPr>
          <w:p w:rsidR="00794113" w:rsidRPr="00546A83" w:rsidP="00794113" w14:paraId="330E0B02" w14:textId="42EFE73B">
            <w:pPr>
              <w:widowControl/>
              <w:autoSpaceDE/>
              <w:autoSpaceDN/>
              <w:adjustRightInd/>
              <w:jc w:val="center"/>
            </w:pPr>
            <w:r w:rsidRPr="00546A83">
              <w:t>2,730,</w:t>
            </w:r>
            <w:r w:rsidR="00F05A15">
              <w:t>806</w:t>
            </w:r>
          </w:p>
        </w:tc>
        <w:tc>
          <w:tcPr>
            <w:tcW w:w="0" w:type="auto"/>
            <w:tcBorders>
              <w:top w:val="nil"/>
              <w:left w:val="nil"/>
              <w:bottom w:val="single" w:sz="4" w:space="0" w:color="auto"/>
              <w:right w:val="single" w:sz="4" w:space="0" w:color="auto"/>
            </w:tcBorders>
            <w:vAlign w:val="center"/>
            <w:hideMark/>
          </w:tcPr>
          <w:p w:rsidR="00794113" w:rsidRPr="00546A83" w:rsidP="00794113" w14:paraId="3CC91BE6" w14:textId="77777777">
            <w:pPr>
              <w:widowControl/>
              <w:autoSpaceDE/>
              <w:autoSpaceDN/>
              <w:adjustRightInd/>
              <w:jc w:val="center"/>
            </w:pPr>
            <w:r w:rsidRPr="00546A83">
              <w:t> </w:t>
            </w:r>
          </w:p>
        </w:tc>
        <w:tc>
          <w:tcPr>
            <w:tcW w:w="0" w:type="auto"/>
            <w:tcBorders>
              <w:top w:val="nil"/>
              <w:left w:val="nil"/>
              <w:bottom w:val="single" w:sz="4" w:space="0" w:color="auto"/>
              <w:right w:val="single" w:sz="4" w:space="0" w:color="auto"/>
            </w:tcBorders>
            <w:vAlign w:val="center"/>
            <w:hideMark/>
          </w:tcPr>
          <w:p w:rsidR="00794113" w:rsidRPr="00546A83" w:rsidP="00794113" w14:paraId="0A402E09" w14:textId="11BEFAAA">
            <w:pPr>
              <w:widowControl/>
              <w:autoSpaceDE/>
              <w:autoSpaceDN/>
              <w:adjustRightInd/>
              <w:jc w:val="center"/>
            </w:pPr>
            <w:r w:rsidRPr="008578E0">
              <w:t>919,725</w:t>
            </w:r>
          </w:p>
        </w:tc>
        <w:tc>
          <w:tcPr>
            <w:tcW w:w="0" w:type="auto"/>
            <w:tcBorders>
              <w:top w:val="nil"/>
              <w:left w:val="nil"/>
              <w:bottom w:val="single" w:sz="4" w:space="0" w:color="auto"/>
              <w:right w:val="single" w:sz="4" w:space="0" w:color="auto"/>
            </w:tcBorders>
            <w:vAlign w:val="center"/>
            <w:hideMark/>
          </w:tcPr>
          <w:p w:rsidR="00794113" w:rsidRPr="00546A83" w:rsidP="00794113" w14:paraId="5B32BCD3" w14:textId="77777777">
            <w:pPr>
              <w:widowControl/>
              <w:autoSpaceDE/>
              <w:autoSpaceDN/>
              <w:adjustRightInd/>
              <w:jc w:val="center"/>
            </w:pPr>
            <w:r w:rsidRPr="00546A83">
              <w:t> </w:t>
            </w:r>
          </w:p>
        </w:tc>
        <w:tc>
          <w:tcPr>
            <w:tcW w:w="1358" w:type="dxa"/>
            <w:tcBorders>
              <w:top w:val="nil"/>
              <w:left w:val="nil"/>
              <w:bottom w:val="single" w:sz="4" w:space="0" w:color="auto"/>
              <w:right w:val="single" w:sz="4" w:space="0" w:color="auto"/>
            </w:tcBorders>
            <w:vAlign w:val="center"/>
            <w:hideMark/>
          </w:tcPr>
          <w:p w:rsidR="00794113" w:rsidRPr="00546A83" w:rsidP="00794113" w14:paraId="4482D546" w14:textId="6918FD65">
            <w:pPr>
              <w:widowControl/>
              <w:autoSpaceDE/>
              <w:autoSpaceDN/>
              <w:adjustRightInd/>
              <w:jc w:val="center"/>
            </w:pPr>
            <w:r w:rsidRPr="00C94D27">
              <w:t>$126,403,692</w:t>
            </w:r>
          </w:p>
        </w:tc>
        <w:tc>
          <w:tcPr>
            <w:tcW w:w="236" w:type="dxa"/>
            <w:vAlign w:val="center"/>
            <w:hideMark/>
          </w:tcPr>
          <w:p w:rsidR="00794113" w:rsidRPr="00546A83" w:rsidP="00794113" w14:paraId="6A3CCA79" w14:textId="77777777">
            <w:pPr>
              <w:widowControl/>
              <w:autoSpaceDE/>
              <w:autoSpaceDN/>
              <w:adjustRightInd/>
              <w:rPr>
                <w:b w:val="0"/>
                <w:bCs w:val="0"/>
              </w:rPr>
            </w:pPr>
          </w:p>
        </w:tc>
      </w:tr>
    </w:tbl>
    <w:p w:rsidR="00D309FC" w:rsidRPr="0057004B" w:rsidP="003158CA" w14:paraId="58575254" w14:textId="3D8D1397">
      <w:pPr>
        <w:widowControl/>
        <w:tabs>
          <w:tab w:val="left" w:pos="-1440"/>
        </w:tabs>
        <w:rPr>
          <w:b w:val="0"/>
          <w:bCs w:val="0"/>
          <w:color w:val="000000"/>
        </w:rPr>
      </w:pPr>
      <w:r w:rsidRPr="0057004B">
        <w:rPr>
          <w:b w:val="0"/>
          <w:bCs w:val="0"/>
          <w:i/>
          <w:iCs/>
          <w:color w:val="000000"/>
        </w:rPr>
        <w:t>Note</w:t>
      </w:r>
      <w:r w:rsidRPr="0057004B">
        <w:rPr>
          <w:b w:val="0"/>
          <w:bCs w:val="0"/>
          <w:color w:val="000000"/>
        </w:rPr>
        <w:t>:</w:t>
      </w:r>
    </w:p>
    <w:p w:rsidR="00D309FC" w:rsidRPr="0057004B" w:rsidP="006E1899" w14:paraId="35AF8785" w14:textId="28ACC414">
      <w:pPr>
        <w:widowControl/>
        <w:autoSpaceDE/>
        <w:autoSpaceDN/>
        <w:adjustRightInd/>
        <w:rPr>
          <w:b w:val="0"/>
          <w:bCs w:val="0"/>
        </w:rPr>
      </w:pPr>
      <w:r w:rsidRPr="0057004B">
        <w:rPr>
          <w:b w:val="0"/>
          <w:bCs w:val="0"/>
          <w:color w:val="000000"/>
        </w:rPr>
        <w:t xml:space="preserve">* The number of respondents is calculated in </w:t>
      </w:r>
      <w:r w:rsidR="0005778D">
        <w:rPr>
          <w:b w:val="0"/>
          <w:bCs w:val="0"/>
          <w:color w:val="000000"/>
        </w:rPr>
        <w:t xml:space="preserve">the </w:t>
      </w:r>
      <w:r w:rsidRPr="0057004B">
        <w:rPr>
          <w:b w:val="0"/>
          <w:bCs w:val="0"/>
          <w:color w:val="000000"/>
        </w:rPr>
        <w:t xml:space="preserve">following manner: </w:t>
      </w:r>
      <w:r w:rsidRPr="0057004B" w:rsidR="006E1899">
        <w:rPr>
          <w:b w:val="0"/>
          <w:bCs w:val="0"/>
        </w:rPr>
        <w:t>1,031,098 level-funded group health plans + 119,485 self-insured plans + 809 issuers/state combinations = 1,151,392.</w:t>
      </w:r>
    </w:p>
    <w:p w:rsidR="006E1899" w:rsidRPr="0057004B" w:rsidP="006E1899" w14:paraId="30DA35AA" w14:textId="413DE182">
      <w:pPr>
        <w:widowControl/>
        <w:autoSpaceDE/>
        <w:autoSpaceDN/>
        <w:adjustRightInd/>
        <w:rPr>
          <w:b w:val="0"/>
          <w:bCs w:val="0"/>
        </w:rPr>
      </w:pPr>
      <w:r w:rsidRPr="0057004B">
        <w:rPr>
          <w:b w:val="0"/>
          <w:bCs w:val="0"/>
        </w:rPr>
        <w:t xml:space="preserve">**The number of responses is calculated in </w:t>
      </w:r>
      <w:r w:rsidR="0005778D">
        <w:rPr>
          <w:b w:val="0"/>
          <w:bCs w:val="0"/>
        </w:rPr>
        <w:t xml:space="preserve">the </w:t>
      </w:r>
      <w:r w:rsidRPr="0057004B">
        <w:rPr>
          <w:b w:val="0"/>
          <w:bCs w:val="0"/>
        </w:rPr>
        <w:t xml:space="preserve">following manner: </w:t>
      </w:r>
      <w:r w:rsidRPr="00BB6E9B" w:rsidR="00BB6E9B">
        <w:rPr>
          <w:b w:val="0"/>
          <w:bCs w:val="0"/>
        </w:rPr>
        <w:t>2,724,209</w:t>
      </w:r>
      <w:r w:rsidR="00BB6E9B">
        <w:rPr>
          <w:b w:val="0"/>
          <w:bCs w:val="0"/>
        </w:rPr>
        <w:t xml:space="preserve"> </w:t>
      </w:r>
      <w:r w:rsidRPr="0057004B">
        <w:rPr>
          <w:b w:val="0"/>
          <w:bCs w:val="0"/>
        </w:rPr>
        <w:t xml:space="preserve">disclosures + </w:t>
      </w:r>
      <w:r w:rsidRPr="00A21E27" w:rsidR="00A21E27">
        <w:rPr>
          <w:b w:val="0"/>
          <w:bCs w:val="0"/>
        </w:rPr>
        <w:t>6,524</w:t>
      </w:r>
      <w:r w:rsidR="00A21E27">
        <w:rPr>
          <w:b w:val="0"/>
          <w:bCs w:val="0"/>
        </w:rPr>
        <w:t xml:space="preserve"> </w:t>
      </w:r>
      <w:r w:rsidRPr="0057004B">
        <w:rPr>
          <w:b w:val="0"/>
          <w:bCs w:val="0"/>
        </w:rPr>
        <w:t>audit requests</w:t>
      </w:r>
      <w:r w:rsidR="008A48B2">
        <w:rPr>
          <w:b w:val="0"/>
          <w:bCs w:val="0"/>
        </w:rPr>
        <w:t xml:space="preserve"> + 73 </w:t>
      </w:r>
      <w:r w:rsidR="00A31722">
        <w:rPr>
          <w:b w:val="0"/>
          <w:bCs w:val="0"/>
        </w:rPr>
        <w:t>PBMS updating and developing IT infrastructure</w:t>
      </w:r>
      <w:r w:rsidR="00A21E27">
        <w:rPr>
          <w:b w:val="0"/>
          <w:bCs w:val="0"/>
        </w:rPr>
        <w:t xml:space="preserve"> = 2,730,</w:t>
      </w:r>
      <w:r w:rsidR="00A31722">
        <w:rPr>
          <w:b w:val="0"/>
          <w:bCs w:val="0"/>
        </w:rPr>
        <w:t>806</w:t>
      </w:r>
      <w:r w:rsidR="00A21E27">
        <w:rPr>
          <w:b w:val="0"/>
          <w:bCs w:val="0"/>
        </w:rPr>
        <w:t xml:space="preserve"> requests. </w:t>
      </w:r>
    </w:p>
    <w:p w:rsidR="00D309FC" w:rsidRPr="00A92375" w:rsidP="003158CA" w14:paraId="4B38A1EB" w14:textId="0F45006D">
      <w:pPr>
        <w:widowControl/>
        <w:tabs>
          <w:tab w:val="left" w:pos="-1440"/>
        </w:tabs>
        <w:rPr>
          <w:b w:val="0"/>
          <w:bCs w:val="0"/>
          <w:i/>
          <w:iCs/>
          <w:color w:val="000000"/>
          <w:sz w:val="24"/>
          <w:szCs w:val="24"/>
        </w:rPr>
      </w:pPr>
    </w:p>
    <w:p w:rsidR="0089109B" w:rsidRPr="0005778D" w:rsidP="0005778D" w14:paraId="2742926C" w14:textId="4E5591C8">
      <w:pPr>
        <w:pStyle w:val="Heading1"/>
        <w:numPr>
          <w:ilvl w:val="0"/>
          <w:numId w:val="37"/>
        </w:numPr>
      </w:pPr>
      <w:r w:rsidRPr="0005778D">
        <w:t xml:space="preserve">Provide an estimate of the total annual cost burden to respondents or record-keepers </w:t>
      </w:r>
      <w:r w:rsidRPr="0005778D" w:rsidR="00540514">
        <w:t>resulting from the collection of information.</w:t>
      </w:r>
      <w:r w:rsidRPr="0005778D" w:rsidR="00D309FC">
        <w:t xml:space="preserve"> </w:t>
      </w:r>
      <w:r w:rsidRPr="0005778D" w:rsidR="00540514">
        <w:t>(Do not include the cost of any hour burden shown in Items 12.)</w:t>
      </w:r>
    </w:p>
    <w:p w:rsidR="0089109B" w:rsidRPr="00355DC5" w:rsidP="00355DC5" w14:paraId="2B231006" w14:textId="435636F5">
      <w:pPr>
        <w:numPr>
          <w:ilvl w:val="0"/>
          <w:numId w:val="31"/>
        </w:numPr>
        <w:ind w:left="1260" w:hanging="270"/>
        <w:rPr>
          <w:color w:val="000000"/>
          <w:sz w:val="24"/>
          <w:szCs w:val="24"/>
        </w:rPr>
      </w:pPr>
      <w:r w:rsidRPr="002B7154">
        <w:rPr>
          <w:color w:val="000000"/>
          <w:sz w:val="24"/>
          <w:szCs w:val="24"/>
        </w:rPr>
        <w:t>The cost estimate should be split into two components: (a) a total capital</w:t>
      </w:r>
      <w:r>
        <w:rPr>
          <w:color w:val="000000"/>
          <w:sz w:val="24"/>
          <w:szCs w:val="24"/>
        </w:rPr>
        <w:t xml:space="preserve"> </w:t>
      </w:r>
      <w:r w:rsidRPr="002B7154">
        <w:rPr>
          <w:color w:val="000000"/>
          <w:sz w:val="24"/>
          <w:szCs w:val="24"/>
        </w:rPr>
        <w:t xml:space="preserve">and </w:t>
      </w:r>
      <w:r w:rsidRPr="002B7154">
        <w:rPr>
          <w:color w:val="000000"/>
          <w:sz w:val="24"/>
          <w:szCs w:val="24"/>
        </w:rPr>
        <w:t>start up</w:t>
      </w:r>
      <w:r w:rsidRPr="002B7154">
        <w:rPr>
          <w:color w:val="000000"/>
          <w:sz w:val="24"/>
          <w:szCs w:val="24"/>
        </w:rPr>
        <w:t xml:space="preserve"> cost component (annualized over its expected useful life); and (b) a</w:t>
      </w:r>
      <w:r w:rsidR="00AC3EE8">
        <w:rPr>
          <w:color w:val="000000"/>
          <w:sz w:val="24"/>
          <w:szCs w:val="24"/>
        </w:rPr>
        <w:t xml:space="preserve"> </w:t>
      </w:r>
      <w:r w:rsidRPr="002B7154">
        <w:rPr>
          <w:color w:val="000000"/>
          <w:sz w:val="24"/>
          <w:szCs w:val="24"/>
        </w:rPr>
        <w:t>total operation and maintenance and purchase of service component</w:t>
      </w:r>
      <w:r w:rsidRPr="002B7154" w:rsidR="000F4C95">
        <w:rPr>
          <w:color w:val="000000"/>
          <w:sz w:val="24"/>
          <w:szCs w:val="24"/>
        </w:rPr>
        <w:t>.</w:t>
      </w:r>
      <w:r w:rsidR="00D309FC">
        <w:rPr>
          <w:color w:val="000000"/>
          <w:sz w:val="24"/>
          <w:szCs w:val="24"/>
        </w:rPr>
        <w:t xml:space="preserve"> </w:t>
      </w:r>
      <w:r w:rsidRPr="002B7154">
        <w:rPr>
          <w:color w:val="000000"/>
          <w:sz w:val="24"/>
          <w:szCs w:val="24"/>
        </w:rPr>
        <w:t xml:space="preserve">The estimates should </w:t>
      </w:r>
      <w:r w:rsidRPr="002B7154">
        <w:rPr>
          <w:color w:val="000000"/>
          <w:sz w:val="24"/>
          <w:szCs w:val="24"/>
        </w:rPr>
        <w:t>take into account</w:t>
      </w:r>
      <w:r w:rsidRPr="002B7154">
        <w:rPr>
          <w:color w:val="000000"/>
          <w:sz w:val="24"/>
          <w:szCs w:val="24"/>
        </w:rPr>
        <w:t xml:space="preserve"> costs associated with generating, maintaining, and disclosing or providing the information.</w:t>
      </w:r>
      <w:r w:rsidR="00D309FC">
        <w:rPr>
          <w:color w:val="000000"/>
          <w:sz w:val="24"/>
          <w:szCs w:val="24"/>
        </w:rPr>
        <w:t xml:space="preserve"> </w:t>
      </w:r>
      <w:r w:rsidRPr="002B7154">
        <w:rPr>
          <w:color w:val="000000"/>
          <w:sz w:val="24"/>
          <w:szCs w:val="24"/>
        </w:rPr>
        <w:t xml:space="preserve">Include descriptions of methods used to estimate major cost factors including system and technology acquisition, expected useful life of capital equipment, the discount rate(s), and the </w:t>
      </w:r>
      <w:r w:rsidRPr="002B7154">
        <w:rPr>
          <w:color w:val="000000"/>
          <w:sz w:val="24"/>
          <w:szCs w:val="24"/>
        </w:rPr>
        <w:t>time period</w:t>
      </w:r>
      <w:r w:rsidRPr="002B7154">
        <w:rPr>
          <w:color w:val="000000"/>
          <w:sz w:val="24"/>
          <w:szCs w:val="24"/>
        </w:rPr>
        <w:t xml:space="preserve"> over which costs will be incurred.</w:t>
      </w:r>
      <w:r w:rsidR="00D309FC">
        <w:rPr>
          <w:color w:val="000000"/>
          <w:sz w:val="24"/>
          <w:szCs w:val="24"/>
        </w:rPr>
        <w:t xml:space="preserve"> </w:t>
      </w:r>
      <w:r w:rsidRPr="002B7154">
        <w:rPr>
          <w:color w:val="000000"/>
          <w:sz w:val="24"/>
          <w:szCs w:val="24"/>
        </w:rPr>
        <w:t>Capital and start-up costs include, among other items, preparations for collecting information such as purchasing computers and software; monitoring, sampling, drilling and testing equipment; and record storage facilities.</w:t>
      </w:r>
    </w:p>
    <w:p w:rsidR="0089109B" w:rsidRPr="00355DC5" w:rsidP="0089109B" w14:paraId="29293568" w14:textId="19B34FE7">
      <w:pPr>
        <w:numPr>
          <w:ilvl w:val="0"/>
          <w:numId w:val="31"/>
        </w:numPr>
        <w:ind w:left="1260" w:hanging="270"/>
        <w:rPr>
          <w:color w:val="000000"/>
          <w:sz w:val="24"/>
          <w:szCs w:val="24"/>
        </w:rPr>
      </w:pPr>
      <w:r w:rsidRPr="007919A7">
        <w:rPr>
          <w:color w:val="000000"/>
          <w:sz w:val="24"/>
          <w:szCs w:val="24"/>
        </w:rPr>
        <w:t>If cost estimates are expected to vary widely, agencies should present ranges of cost burdens and explain the reasons for the variance.</w:t>
      </w:r>
      <w:r w:rsidR="00D309FC">
        <w:rPr>
          <w:color w:val="000000"/>
          <w:sz w:val="24"/>
          <w:szCs w:val="24"/>
        </w:rPr>
        <w:t xml:space="preserve"> </w:t>
      </w:r>
      <w:r w:rsidRPr="007919A7">
        <w:rPr>
          <w:color w:val="000000"/>
          <w:sz w:val="24"/>
          <w:szCs w:val="24"/>
        </w:rPr>
        <w:t>The cost of purchasing or contracting out information collection services should be a part of this cost burden estimate.</w:t>
      </w:r>
      <w:r w:rsidR="00D309FC">
        <w:rPr>
          <w:color w:val="000000"/>
          <w:sz w:val="24"/>
          <w:szCs w:val="24"/>
        </w:rPr>
        <w:t xml:space="preserve"> </w:t>
      </w:r>
      <w:r w:rsidRPr="007919A7">
        <w:rPr>
          <w:color w:val="000000"/>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9109B" w:rsidRPr="007919A7" w:rsidP="0089109B" w14:paraId="2CF29EA4" w14:textId="77777777">
      <w:pPr>
        <w:numPr>
          <w:ilvl w:val="0"/>
          <w:numId w:val="31"/>
        </w:numPr>
        <w:ind w:left="1260" w:hanging="270"/>
        <w:rPr>
          <w:color w:val="000000"/>
          <w:sz w:val="24"/>
          <w:szCs w:val="24"/>
        </w:rPr>
      </w:pPr>
      <w:r w:rsidRPr="007919A7">
        <w:rPr>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B5A4E" w:rsidRPr="00A92375" w:rsidP="00857404" w14:paraId="72BCB478" w14:textId="77777777">
      <w:pPr>
        <w:widowControl/>
        <w:tabs>
          <w:tab w:val="left" w:pos="-1440"/>
        </w:tabs>
        <w:rPr>
          <w:b w:val="0"/>
          <w:bCs w:val="0"/>
          <w:iCs/>
          <w:sz w:val="24"/>
          <w:szCs w:val="24"/>
        </w:rPr>
      </w:pPr>
    </w:p>
    <w:p w:rsidR="00C034D4" w:rsidRPr="00B34F3B" w:rsidP="00B34F3B" w14:paraId="77F476BD" w14:textId="336F80B0">
      <w:pPr>
        <w:widowControl/>
        <w:ind w:left="720"/>
        <w:rPr>
          <w:b w:val="0"/>
          <w:bCs w:val="0"/>
          <w:sz w:val="32"/>
          <w:szCs w:val="32"/>
        </w:rPr>
      </w:pPr>
      <w:r w:rsidRPr="00042748">
        <w:rPr>
          <w:b w:val="0"/>
          <w:bCs w:val="0"/>
          <w:sz w:val="24"/>
          <w:szCs w:val="24"/>
        </w:rPr>
        <w:t xml:space="preserve">The proposed regulation does not preclude distribution </w:t>
      </w:r>
      <w:r w:rsidRPr="00042748">
        <w:rPr>
          <w:b w:val="0"/>
          <w:bCs w:val="0"/>
          <w:sz w:val="24"/>
          <w:szCs w:val="24"/>
        </w:rPr>
        <w:t>through the use of</w:t>
      </w:r>
      <w:r w:rsidRPr="00042748">
        <w:rPr>
          <w:b w:val="0"/>
          <w:bCs w:val="0"/>
          <w:sz w:val="24"/>
          <w:szCs w:val="24"/>
        </w:rPr>
        <w:t xml:space="preserve"> electronic technology. Consequently, the Department has assumed that interactions between parties will be carried out electronically. As a result, all costs associated with distributing the disclosures have already been included in</w:t>
      </w:r>
      <w:r>
        <w:rPr>
          <w:b w:val="0"/>
          <w:bCs w:val="0"/>
          <w:sz w:val="24"/>
          <w:szCs w:val="24"/>
        </w:rPr>
        <w:t xml:space="preserve"> </w:t>
      </w:r>
      <w:r w:rsidRPr="00B34F3B" w:rsidR="00B34F3B">
        <w:rPr>
          <w:b w:val="0"/>
          <w:bCs w:val="0"/>
          <w:sz w:val="24"/>
          <w:szCs w:val="24"/>
        </w:rPr>
        <w:t>Question 12.</w:t>
      </w:r>
    </w:p>
    <w:p w:rsidR="00B34F3B" w:rsidRPr="00A92375" w:rsidP="0062736F" w14:paraId="50F26122" w14:textId="77777777">
      <w:pPr>
        <w:widowControl/>
        <w:rPr>
          <w:b w:val="0"/>
          <w:bCs w:val="0"/>
          <w:sz w:val="24"/>
          <w:szCs w:val="24"/>
        </w:rPr>
      </w:pPr>
    </w:p>
    <w:p w:rsidR="00BE1236" w:rsidRPr="0005778D" w:rsidP="0005778D" w14:paraId="0AEC9E73" w14:textId="5683F5E7">
      <w:pPr>
        <w:pStyle w:val="Heading1"/>
        <w:numPr>
          <w:ilvl w:val="0"/>
          <w:numId w:val="37"/>
        </w:numPr>
      </w:pPr>
      <w:r w:rsidRPr="00BE4E63">
        <w:t>Provide estimates of annualized cost to the Federal government.</w:t>
      </w:r>
      <w:r w:rsidR="00D309FC">
        <w:t xml:space="preserve"> </w:t>
      </w:r>
      <w:r w:rsidRPr="00BE4E63">
        <w:t xml:space="preserve">Also, provide a description of the method used to estimate cost, which should include quantification of hours, operational expenses (such as equipment, overhead, printing, and support staff), and any other </w:t>
      </w:r>
      <w:r w:rsidRPr="00BE4E63">
        <w:t>expense</w:t>
      </w:r>
      <w:r w:rsidRPr="00BE4E63">
        <w:t xml:space="preserve"> that would not have been incurred without this </w:t>
      </w:r>
      <w:r w:rsidRPr="00BE4E63">
        <w:t>collection of information.</w:t>
      </w:r>
      <w:r w:rsidR="00D309FC">
        <w:t xml:space="preserve"> </w:t>
      </w:r>
      <w:r w:rsidRPr="00BE4E63">
        <w:t>Agencies also may aggregate cost estimates from Items 12, 13, and 14 in a single table</w:t>
      </w:r>
      <w:r w:rsidRPr="00BE4E63" w:rsidR="00A96D34">
        <w:t>.</w:t>
      </w:r>
    </w:p>
    <w:p w:rsidR="00AA1E33" w:rsidP="0006528F" w14:paraId="32874E36" w14:textId="77777777">
      <w:pPr>
        <w:widowControl/>
        <w:rPr>
          <w:b w:val="0"/>
          <w:bCs w:val="0"/>
          <w:sz w:val="24"/>
          <w:szCs w:val="24"/>
        </w:rPr>
      </w:pPr>
    </w:p>
    <w:p w:rsidR="000700BA" w:rsidRPr="00096513" w:rsidP="0006528F" w14:paraId="37A683F9" w14:textId="793A6F3A">
      <w:pPr>
        <w:widowControl/>
        <w:rPr>
          <w:b w:val="0"/>
          <w:bCs w:val="0"/>
          <w:sz w:val="24"/>
          <w:szCs w:val="24"/>
        </w:rPr>
      </w:pPr>
      <w:r>
        <w:rPr>
          <w:b w:val="0"/>
          <w:bCs w:val="0"/>
          <w:sz w:val="24"/>
          <w:szCs w:val="24"/>
        </w:rPr>
        <w:tab/>
      </w:r>
      <w:r w:rsidRPr="00261797" w:rsidR="00261797">
        <w:rPr>
          <w:b w:val="0"/>
          <w:bCs w:val="0"/>
          <w:sz w:val="24"/>
          <w:szCs w:val="24"/>
        </w:rPr>
        <w:t>There are no costs to the Federal government associated with this information collection.</w:t>
      </w:r>
    </w:p>
    <w:p w:rsidR="00FF59F5" w:rsidRPr="00096513" w:rsidP="00917C25" w14:paraId="4EAB9830" w14:textId="77777777">
      <w:pPr>
        <w:widowControl/>
        <w:ind w:left="720"/>
        <w:rPr>
          <w:b w:val="0"/>
          <w:bCs w:val="0"/>
          <w:sz w:val="24"/>
          <w:szCs w:val="24"/>
        </w:rPr>
      </w:pPr>
    </w:p>
    <w:p w:rsidR="00BE1236" w:rsidRPr="00BE4E63" w:rsidP="0005778D" w14:paraId="27FA3AD0" w14:textId="65EADA1C">
      <w:pPr>
        <w:pStyle w:val="Heading1"/>
      </w:pPr>
      <w:r w:rsidRPr="00BE4E63">
        <w:t>15</w:t>
      </w:r>
      <w:r w:rsidRPr="00BE4E63">
        <w:t>.</w:t>
      </w:r>
      <w:r w:rsidR="00D309FC">
        <w:t xml:space="preserve"> </w:t>
      </w:r>
      <w:r>
        <w:tab/>
      </w:r>
      <w:r w:rsidRPr="00BE4E63">
        <w:t>Explain</w:t>
      </w:r>
      <w:r w:rsidRPr="00BE4E63">
        <w:t xml:space="preserve"> the reasons for any</w:t>
      </w:r>
      <w:r>
        <w:t xml:space="preserve"> program changes or adjustments.</w:t>
      </w:r>
    </w:p>
    <w:p w:rsidR="003D5E7E" w:rsidP="00F67132" w14:paraId="714C502A" w14:textId="77777777">
      <w:pPr>
        <w:widowControl/>
        <w:tabs>
          <w:tab w:val="left" w:pos="-1440"/>
        </w:tabs>
        <w:ind w:left="720"/>
        <w:rPr>
          <w:b w:val="0"/>
          <w:bCs w:val="0"/>
          <w:iCs/>
          <w:sz w:val="24"/>
          <w:szCs w:val="24"/>
        </w:rPr>
      </w:pPr>
    </w:p>
    <w:p w:rsidR="000700BA" w:rsidRPr="00C34578" w:rsidP="00F67132" w14:paraId="290F4CE8" w14:textId="3067A591">
      <w:pPr>
        <w:widowControl/>
        <w:tabs>
          <w:tab w:val="left" w:pos="-1440"/>
        </w:tabs>
        <w:ind w:left="720"/>
        <w:rPr>
          <w:b w:val="0"/>
          <w:bCs w:val="0"/>
          <w:iCs/>
          <w:sz w:val="24"/>
          <w:szCs w:val="24"/>
        </w:rPr>
      </w:pPr>
      <w:r>
        <w:rPr>
          <w:b w:val="0"/>
          <w:bCs w:val="0"/>
          <w:iCs/>
          <w:sz w:val="24"/>
          <w:szCs w:val="24"/>
        </w:rPr>
        <w:t>There is a new collection of information.</w:t>
      </w:r>
    </w:p>
    <w:p w:rsidR="00E25857" w:rsidRPr="00A92375" w:rsidP="00E25857" w14:paraId="5974B4DC" w14:textId="77777777">
      <w:pPr>
        <w:widowControl/>
        <w:tabs>
          <w:tab w:val="left" w:pos="-1440"/>
        </w:tabs>
        <w:ind w:left="720"/>
        <w:rPr>
          <w:b w:val="0"/>
          <w:bCs w:val="0"/>
          <w:sz w:val="24"/>
          <w:szCs w:val="24"/>
        </w:rPr>
      </w:pPr>
    </w:p>
    <w:p w:rsidR="00AA1E33" w:rsidRPr="0005778D" w:rsidP="0005778D" w14:paraId="1DAD3878" w14:textId="41909B9B">
      <w:pPr>
        <w:pStyle w:val="Heading1"/>
        <w:numPr>
          <w:ilvl w:val="0"/>
          <w:numId w:val="38"/>
        </w:numPr>
        <w:ind w:hanging="720"/>
      </w:pPr>
      <w:r w:rsidRPr="00BE4E63">
        <w:t>For collections of information whose results will be published, outline plans for tabulation, and publication.</w:t>
      </w:r>
      <w:r w:rsidR="00D309FC">
        <w:t xml:space="preserve"> </w:t>
      </w:r>
      <w:r w:rsidRPr="00BE4E63">
        <w:t>Address any complex analytical techniques that will be used.</w:t>
      </w:r>
      <w:r w:rsidR="00D309FC">
        <w:t xml:space="preserve"> </w:t>
      </w:r>
      <w:r w:rsidRPr="00BE4E63">
        <w:t>Provide the time schedule for the entire project, including beginning and</w:t>
      </w:r>
      <w:r w:rsidR="0005778D">
        <w:t xml:space="preserve"> </w:t>
      </w:r>
      <w:r w:rsidRPr="00BE4E63">
        <w:t>ending dates of the collection of information, completion of report, publication dates, and other actions.</w:t>
      </w:r>
    </w:p>
    <w:p w:rsidR="000700BA" w:rsidP="000700BA" w14:paraId="041268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700BA" w:rsidRPr="000700BA" w:rsidP="000700BA" w14:paraId="34ED062B" w14:textId="762B18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bCs w:val="0"/>
          <w:sz w:val="24"/>
          <w:szCs w:val="24"/>
        </w:rPr>
      </w:pPr>
      <w:r w:rsidRPr="000700BA">
        <w:rPr>
          <w:b w:val="0"/>
          <w:bCs w:val="0"/>
          <w:sz w:val="24"/>
          <w:szCs w:val="24"/>
        </w:rPr>
        <w:t>There are no plans to publish the results of this collection of information.</w:t>
      </w:r>
    </w:p>
    <w:p w:rsidR="00BE1236" w:rsidRPr="00BE4E63" w:rsidP="00BE1236" w14:paraId="195C1ADA" w14:textId="77777777">
      <w:pPr>
        <w:widowControl/>
        <w:rPr>
          <w:bCs w:val="0"/>
          <w:i/>
          <w:sz w:val="24"/>
          <w:szCs w:val="24"/>
        </w:rPr>
      </w:pPr>
    </w:p>
    <w:p w:rsidR="00BE1236" w:rsidRPr="00BE4E63" w:rsidP="0005778D" w14:paraId="7D7EED11" w14:textId="33AF2F1C">
      <w:pPr>
        <w:pStyle w:val="Heading1"/>
        <w:ind w:left="720" w:hanging="720"/>
      </w:pPr>
      <w:r w:rsidRPr="00BE4E63">
        <w:t>17</w:t>
      </w:r>
      <w:r w:rsidRPr="00BE4E63">
        <w:t>.</w:t>
      </w:r>
      <w:r w:rsidR="00D309FC">
        <w:t xml:space="preserve"> </w:t>
      </w:r>
      <w:r>
        <w:tab/>
      </w:r>
      <w:r w:rsidRPr="00BE4E63">
        <w:t>If</w:t>
      </w:r>
      <w:r w:rsidRPr="00BE4E63">
        <w:t xml:space="preserve"> seeking approval to not display the expiration date for OMB approval of the information collection, explain the reasons that display would be inappropriate.</w:t>
      </w:r>
    </w:p>
    <w:p w:rsidR="00A7230A" w:rsidRPr="00A92375" w:rsidP="0006528F" w14:paraId="09599725" w14:textId="77777777">
      <w:pPr>
        <w:widowControl/>
        <w:tabs>
          <w:tab w:val="left" w:pos="-1440"/>
        </w:tabs>
        <w:rPr>
          <w:b w:val="0"/>
          <w:bCs w:val="0"/>
          <w:sz w:val="24"/>
          <w:szCs w:val="24"/>
        </w:rPr>
      </w:pPr>
    </w:p>
    <w:p w:rsidR="00A7230A" w:rsidRPr="00A92375" w:rsidP="00456895" w14:paraId="4D08248E" w14:textId="7FDC9F5A">
      <w:pPr>
        <w:pStyle w:val="BodyText"/>
        <w:ind w:left="720"/>
        <w:rPr>
          <w:szCs w:val="24"/>
        </w:rPr>
      </w:pPr>
      <w:r>
        <w:rPr>
          <w:szCs w:val="24"/>
        </w:rPr>
        <w:t xml:space="preserve">This information collection will display the </w:t>
      </w:r>
      <w:r w:rsidR="00934FC5">
        <w:rPr>
          <w:szCs w:val="24"/>
        </w:rPr>
        <w:t xml:space="preserve">expiration date for OMB approval. </w:t>
      </w:r>
    </w:p>
    <w:p w:rsidR="00A7230A" w:rsidRPr="00A92375" w:rsidP="00456895" w14:paraId="4C6F4BAE" w14:textId="77777777">
      <w:pPr>
        <w:widowControl/>
        <w:tabs>
          <w:tab w:val="left" w:pos="-1440"/>
        </w:tabs>
        <w:ind w:left="720"/>
        <w:rPr>
          <w:b w:val="0"/>
          <w:bCs w:val="0"/>
          <w:sz w:val="24"/>
          <w:szCs w:val="24"/>
        </w:rPr>
      </w:pPr>
    </w:p>
    <w:p w:rsidR="00BE1236" w:rsidRPr="00BE4E63" w:rsidP="0005778D" w14:paraId="64B721DC" w14:textId="2BA4BC2D">
      <w:pPr>
        <w:pStyle w:val="Heading1"/>
      </w:pPr>
      <w:r w:rsidRPr="00BE4E63">
        <w:t>18</w:t>
      </w:r>
      <w:r w:rsidRPr="00BE4E63">
        <w:t>.</w:t>
      </w:r>
      <w:r w:rsidR="00D309FC">
        <w:t xml:space="preserve"> </w:t>
      </w:r>
      <w:r>
        <w:tab/>
      </w:r>
      <w:r w:rsidRPr="00BE4E63">
        <w:t>Explain</w:t>
      </w:r>
      <w:r w:rsidRPr="00BE4E63">
        <w:t xml:space="preserve"> each exception to the certification statement identified in Item 19</w:t>
      </w:r>
      <w:r>
        <w:t>.</w:t>
      </w:r>
    </w:p>
    <w:p w:rsidR="00AA1E33" w:rsidRPr="00A92375" w:rsidP="0006528F" w14:paraId="609AD1FB" w14:textId="77777777">
      <w:pPr>
        <w:widowControl/>
        <w:rPr>
          <w:sz w:val="24"/>
          <w:szCs w:val="24"/>
        </w:rPr>
      </w:pPr>
    </w:p>
    <w:p w:rsidR="00AA1E33" w:rsidRPr="00A92375" w:rsidP="00860F17" w14:paraId="2E767AF4" w14:textId="29F0639E">
      <w:pPr>
        <w:ind w:firstLine="720"/>
        <w:rPr>
          <w:b w:val="0"/>
          <w:bCs w:val="0"/>
          <w:sz w:val="24"/>
          <w:szCs w:val="24"/>
        </w:rPr>
      </w:pPr>
      <w:r>
        <w:rPr>
          <w:b w:val="0"/>
          <w:bCs w:val="0"/>
          <w:sz w:val="24"/>
          <w:szCs w:val="24"/>
        </w:rPr>
        <w:t xml:space="preserve">There are no exceptions to the certification statement identified in Item 19. </w:t>
      </w:r>
    </w:p>
    <w:p w:rsidR="00AA1E33" w:rsidRPr="00A92375" w:rsidP="00456895" w14:paraId="1257A448" w14:textId="77777777">
      <w:pPr>
        <w:widowControl/>
        <w:ind w:left="720"/>
        <w:rPr>
          <w:b w:val="0"/>
          <w:bCs w:val="0"/>
          <w:sz w:val="24"/>
          <w:szCs w:val="24"/>
        </w:rPr>
      </w:pPr>
    </w:p>
    <w:p w:rsidR="00BE1236" w:rsidP="0005778D" w14:paraId="47461621" w14:textId="77777777">
      <w:pPr>
        <w:pStyle w:val="Heading1"/>
      </w:pPr>
      <w:r w:rsidRPr="0005778D">
        <w:t>B.</w:t>
      </w:r>
      <w:r w:rsidRPr="0005778D">
        <w:tab/>
        <w:t>COLLECTIONS OF INFORMATION EMPLOYING STATISTICAL METHODS</w:t>
      </w:r>
    </w:p>
    <w:p w:rsidR="00AA1E33" w:rsidRPr="000700BA" w:rsidP="000700BA" w14:paraId="66CBBDC3" w14:textId="77777777"/>
    <w:p w:rsidR="00AA1E33" w:rsidRPr="00A92375" w:rsidP="00456895" w14:paraId="313BD083" w14:textId="69F8ED39">
      <w:pPr>
        <w:widowControl/>
        <w:ind w:left="720"/>
        <w:rPr>
          <w:b w:val="0"/>
          <w:bCs w:val="0"/>
          <w:sz w:val="24"/>
          <w:szCs w:val="24"/>
        </w:rPr>
      </w:pPr>
      <w:r>
        <w:rPr>
          <w:b w:val="0"/>
          <w:bCs w:val="0"/>
          <w:sz w:val="24"/>
          <w:szCs w:val="24"/>
        </w:rPr>
        <w:t>Th</w:t>
      </w:r>
      <w:r w:rsidR="00080210">
        <w:rPr>
          <w:b w:val="0"/>
          <w:bCs w:val="0"/>
          <w:sz w:val="24"/>
          <w:szCs w:val="24"/>
        </w:rPr>
        <w:t xml:space="preserve">ere are no statistical methods used in this information </w:t>
      </w:r>
      <w:r w:rsidR="00FE6578">
        <w:rPr>
          <w:b w:val="0"/>
          <w:bCs w:val="0"/>
          <w:sz w:val="24"/>
          <w:szCs w:val="24"/>
        </w:rPr>
        <w:t>collection</w:t>
      </w:r>
      <w:r w:rsidR="00A74343">
        <w:rPr>
          <w:b w:val="0"/>
          <w:bCs w:val="0"/>
          <w:sz w:val="24"/>
          <w:szCs w:val="24"/>
        </w:rPr>
        <w:t>.</w:t>
      </w:r>
    </w:p>
    <w:sectPr>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14:paraId="37F94D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5C13" w14:paraId="72106B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rsidRPr="00FF362D" w:rsidP="00FF362D" w14:paraId="292B6171" w14:textId="20A62578">
    <w:pPr>
      <w:pStyle w:val="Footer"/>
      <w:framePr w:wrap="around" w:vAnchor="text" w:hAnchor="page" w:x="6001" w:y="126"/>
      <w:rPr>
        <w:rStyle w:val="PageNumber"/>
        <w:b w:val="0"/>
        <w:bCs w:val="0"/>
        <w:sz w:val="24"/>
        <w:szCs w:val="24"/>
      </w:rPr>
    </w:pPr>
    <w:r w:rsidRPr="00FF362D">
      <w:rPr>
        <w:rStyle w:val="PageNumber"/>
        <w:b w:val="0"/>
        <w:bCs w:val="0"/>
        <w:sz w:val="24"/>
        <w:szCs w:val="24"/>
      </w:rPr>
      <w:fldChar w:fldCharType="begin"/>
    </w:r>
    <w:r w:rsidRPr="00FF362D">
      <w:rPr>
        <w:rStyle w:val="PageNumber"/>
        <w:b w:val="0"/>
        <w:bCs w:val="0"/>
        <w:sz w:val="24"/>
        <w:szCs w:val="24"/>
      </w:rPr>
      <w:instrText xml:space="preserve">PAGE  </w:instrText>
    </w:r>
    <w:r w:rsidRPr="00FF362D">
      <w:rPr>
        <w:rStyle w:val="PageNumber"/>
        <w:b w:val="0"/>
        <w:bCs w:val="0"/>
        <w:sz w:val="24"/>
        <w:szCs w:val="24"/>
      </w:rPr>
      <w:fldChar w:fldCharType="separate"/>
    </w:r>
    <w:r w:rsidRPr="00FF362D" w:rsidR="00D83A6D">
      <w:rPr>
        <w:rStyle w:val="PageNumber"/>
        <w:b w:val="0"/>
        <w:bCs w:val="0"/>
        <w:noProof/>
        <w:sz w:val="24"/>
        <w:szCs w:val="24"/>
      </w:rPr>
      <w:t>11</w:t>
    </w:r>
    <w:r w:rsidRPr="00FF362D">
      <w:rPr>
        <w:rStyle w:val="PageNumber"/>
        <w:b w:val="0"/>
        <w:bCs w:val="0"/>
        <w:sz w:val="24"/>
        <w:szCs w:val="24"/>
      </w:rPr>
      <w:fldChar w:fldCharType="end"/>
    </w:r>
  </w:p>
  <w:p w:rsidR="00C15C13" w14:paraId="0045E2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4941" w14:paraId="7A734AFB" w14:textId="77777777">
      <w:r>
        <w:separator/>
      </w:r>
    </w:p>
  </w:footnote>
  <w:footnote w:type="continuationSeparator" w:id="1">
    <w:p w:rsidR="00A14941" w14:paraId="77F6AA81" w14:textId="77777777">
      <w:r>
        <w:continuationSeparator/>
      </w:r>
    </w:p>
  </w:footnote>
  <w:footnote w:type="continuationNotice" w:id="2">
    <w:p w:rsidR="00A14941" w14:paraId="63EA60E2" w14:textId="77777777"/>
  </w:footnote>
  <w:footnote w:id="3">
    <w:p w:rsidR="008504E7" w:rsidRPr="008504E7" w:rsidP="008504E7" w14:paraId="1FF496CD" w14:textId="77777777">
      <w:pPr>
        <w:pStyle w:val="FootnoteText"/>
        <w:rPr>
          <w:b w:val="0"/>
          <w:bCs w:val="0"/>
          <w:sz w:val="20"/>
        </w:rPr>
      </w:pPr>
      <w:r w:rsidRPr="008504E7">
        <w:rPr>
          <w:rStyle w:val="FootnoteReference"/>
          <w:b w:val="0"/>
          <w:bCs w:val="0"/>
          <w:sz w:val="20"/>
          <w:vertAlign w:val="superscript"/>
        </w:rPr>
        <w:footnoteRef/>
      </w:r>
      <w:r w:rsidRPr="008504E7">
        <w:rPr>
          <w:b w:val="0"/>
          <w:bCs w:val="0"/>
          <w:sz w:val="20"/>
          <w:vertAlign w:val="superscript"/>
        </w:rPr>
        <w:t xml:space="preserve"> </w:t>
      </w:r>
      <w:r w:rsidRPr="008504E7">
        <w:rPr>
          <w:b w:val="0"/>
          <w:bCs w:val="0"/>
          <w:sz w:val="20"/>
        </w:rPr>
        <w:t>90 FR 16441 (April 18, 2025).</w:t>
      </w:r>
    </w:p>
  </w:footnote>
  <w:footnote w:id="4">
    <w:p w:rsidR="008504E7" w:rsidRPr="008504E7" w:rsidP="008504E7" w14:paraId="0549F890" w14:textId="77777777">
      <w:pPr>
        <w:pStyle w:val="FootnoteText"/>
        <w:rPr>
          <w:b w:val="0"/>
          <w:bCs w:val="0"/>
          <w:sz w:val="20"/>
        </w:rPr>
      </w:pPr>
      <w:r w:rsidRPr="008504E7">
        <w:rPr>
          <w:rStyle w:val="FootnoteReference"/>
          <w:b w:val="0"/>
          <w:bCs w:val="0"/>
          <w:sz w:val="20"/>
          <w:vertAlign w:val="superscript"/>
        </w:rPr>
        <w:footnoteRef/>
      </w:r>
      <w:r w:rsidRPr="008504E7">
        <w:rPr>
          <w:b w:val="0"/>
          <w:bCs w:val="0"/>
          <w:sz w:val="20"/>
          <w:vertAlign w:val="superscript"/>
        </w:rPr>
        <w:t xml:space="preserve"> </w:t>
      </w:r>
      <w:r w:rsidRPr="008504E7">
        <w:rPr>
          <w:b w:val="0"/>
          <w:bCs w:val="0"/>
          <w:i/>
          <w:iCs/>
          <w:sz w:val="20"/>
        </w:rPr>
        <w:t>See</w:t>
      </w:r>
      <w:r w:rsidRPr="008504E7">
        <w:rPr>
          <w:b w:val="0"/>
          <w:bCs w:val="0"/>
          <w:sz w:val="20"/>
        </w:rPr>
        <w:t xml:space="preserve"> Fact Sheet: President Donald J. Trump Announces Actions to Lower Prescription Drug Prices (April 15, 2025) (“The [Executive] Order builds off [the Administration’s] critical work and reevaluates the role of middlemen by: Improving disclosure of fees that pharmaceutical benefit managers (PBMs) pay to brokers for steering employers to utilize their services. . . .”), </w:t>
      </w:r>
      <w:hyperlink r:id="rId1" w:history="1">
        <w:r w:rsidRPr="008504E7">
          <w:rPr>
            <w:rStyle w:val="Hyperlink"/>
            <w:b w:val="0"/>
            <w:bCs w:val="0"/>
            <w:sz w:val="20"/>
          </w:rPr>
          <w:t>https://www.whitehouse.gov/fact-sheets/2025/04/fact-sheet-president-donald-j-trump-announces-actions-to-lower-prescription-drug-prices/</w:t>
        </w:r>
      </w:hyperlink>
      <w:r w:rsidRPr="008504E7">
        <w:rPr>
          <w:b w:val="0"/>
          <w:bCs w:val="0"/>
          <w:sz w:val="20"/>
        </w:rPr>
        <w:t xml:space="preserve">. </w:t>
      </w:r>
    </w:p>
  </w:footnote>
  <w:footnote w:id="5">
    <w:p w:rsidR="008504E7" w:rsidRPr="008504E7" w:rsidP="008504E7" w14:paraId="01D167BC" w14:textId="77777777">
      <w:pPr>
        <w:pStyle w:val="FootnoteText"/>
        <w:rPr>
          <w:b w:val="0"/>
          <w:bCs w:val="0"/>
          <w:sz w:val="20"/>
        </w:rPr>
      </w:pPr>
      <w:r w:rsidRPr="008504E7">
        <w:rPr>
          <w:rStyle w:val="FootnoteReference"/>
          <w:b w:val="0"/>
          <w:bCs w:val="0"/>
          <w:sz w:val="20"/>
          <w:vertAlign w:val="superscript"/>
        </w:rPr>
        <w:footnoteRef/>
      </w:r>
      <w:r w:rsidRPr="008504E7">
        <w:rPr>
          <w:b w:val="0"/>
          <w:bCs w:val="0"/>
          <w:sz w:val="20"/>
          <w:vertAlign w:val="superscript"/>
        </w:rPr>
        <w:t xml:space="preserve"> </w:t>
      </w:r>
      <w:r w:rsidRPr="008504E7">
        <w:rPr>
          <w:b w:val="0"/>
          <w:bCs w:val="0"/>
          <w:sz w:val="20"/>
        </w:rPr>
        <w:t>S</w:t>
      </w:r>
      <w:r w:rsidRPr="008504E7">
        <w:rPr>
          <w:b w:val="0"/>
          <w:bCs w:val="0"/>
          <w:i/>
          <w:iCs/>
          <w:sz w:val="20"/>
        </w:rPr>
        <w:t>ee</w:t>
      </w:r>
      <w:r w:rsidRPr="008504E7">
        <w:rPr>
          <w:b w:val="0"/>
          <w:bCs w:val="0"/>
          <w:sz w:val="20"/>
        </w:rPr>
        <w:t xml:space="preserve"> </w:t>
      </w:r>
      <w:r w:rsidRPr="008504E7">
        <w:rPr>
          <w:b w:val="0"/>
          <w:bCs w:val="0"/>
          <w:i/>
          <w:iCs/>
          <w:sz w:val="20"/>
        </w:rPr>
        <w:t>e.g</w:t>
      </w:r>
      <w:r w:rsidRPr="008504E7">
        <w:rPr>
          <w:b w:val="0"/>
          <w:bCs w:val="0"/>
          <w:sz w:val="20"/>
        </w:rPr>
        <w:t xml:space="preserve">., Department of Labor News Release, </w:t>
      </w:r>
      <w:r w:rsidRPr="008504E7">
        <w:rPr>
          <w:b w:val="0"/>
          <w:bCs w:val="0"/>
          <w:i/>
          <w:iCs/>
          <w:sz w:val="20"/>
        </w:rPr>
        <w:t>Departments of Labor, Health and Human Services, Treasury Announce Move to Strengthen Healthcare Price Transparency</w:t>
      </w:r>
      <w:r w:rsidRPr="008504E7">
        <w:rPr>
          <w:b w:val="0"/>
          <w:bCs w:val="0"/>
          <w:sz w:val="20"/>
        </w:rPr>
        <w:t xml:space="preserve">, </w:t>
      </w:r>
      <w:hyperlink r:id="rId2" w:history="1">
        <w:r w:rsidRPr="008504E7">
          <w:rPr>
            <w:rStyle w:val="Hyperlink"/>
            <w:b w:val="0"/>
            <w:bCs w:val="0"/>
            <w:sz w:val="20"/>
          </w:rPr>
          <w:t>https://www.dol.gov/newsroom/releases/ebsa/ebsa20250522</w:t>
        </w:r>
      </w:hyperlink>
      <w:r w:rsidRPr="008504E7">
        <w:rPr>
          <w:b w:val="0"/>
          <w:bCs w:val="0"/>
          <w:sz w:val="20"/>
        </w:rPr>
        <w:t xml:space="preserve">. </w:t>
      </w:r>
    </w:p>
  </w:footnote>
  <w:footnote w:id="6">
    <w:p w:rsidR="008504E7" w:rsidRPr="008504E7" w:rsidP="008504E7" w14:paraId="59854C58" w14:textId="77777777">
      <w:pPr>
        <w:pStyle w:val="FootnoteText"/>
        <w:rPr>
          <w:b w:val="0"/>
          <w:bCs w:val="0"/>
          <w:sz w:val="20"/>
        </w:rPr>
      </w:pPr>
      <w:r w:rsidRPr="008504E7">
        <w:rPr>
          <w:rStyle w:val="FootnoteReference"/>
          <w:b w:val="0"/>
          <w:bCs w:val="0"/>
          <w:sz w:val="20"/>
          <w:vertAlign w:val="superscript"/>
        </w:rPr>
        <w:footnoteRef/>
      </w:r>
      <w:r w:rsidRPr="008504E7">
        <w:rPr>
          <w:b w:val="0"/>
          <w:bCs w:val="0"/>
          <w:sz w:val="20"/>
        </w:rPr>
        <w:t xml:space="preserve"> </w:t>
      </w:r>
      <w:r w:rsidRPr="008504E7">
        <w:rPr>
          <w:b w:val="0"/>
          <w:bCs w:val="0"/>
          <w:i/>
          <w:iCs/>
          <w:sz w:val="20"/>
        </w:rPr>
        <w:t>See e.g</w:t>
      </w:r>
      <w:r w:rsidRPr="008504E7">
        <w:rPr>
          <w:b w:val="0"/>
          <w:bCs w:val="0"/>
          <w:sz w:val="20"/>
        </w:rPr>
        <w:t xml:space="preserve">., Federal Trade Commission, </w:t>
      </w:r>
      <w:r w:rsidRPr="008504E7">
        <w:rPr>
          <w:b w:val="0"/>
          <w:bCs w:val="0"/>
          <w:i/>
          <w:sz w:val="20"/>
        </w:rPr>
        <w:t>Interim Staff Report</w:t>
      </w:r>
      <w:r w:rsidRPr="008504E7">
        <w:rPr>
          <w:b w:val="0"/>
          <w:bCs w:val="0"/>
          <w:sz w:val="20"/>
        </w:rPr>
        <w:t xml:space="preserve">, </w:t>
      </w:r>
      <w:r w:rsidRPr="008504E7">
        <w:rPr>
          <w:b w:val="0"/>
          <w:bCs w:val="0"/>
          <w:i/>
          <w:iCs/>
          <w:sz w:val="20"/>
        </w:rPr>
        <w:t>Pharmacy Benefit Managers: The Powerful Middlemen Inflating Drug Costs and Squeezing Main Street Pharmacies</w:t>
      </w:r>
      <w:r w:rsidRPr="008504E7">
        <w:rPr>
          <w:b w:val="0"/>
          <w:bCs w:val="0"/>
          <w:sz w:val="20"/>
        </w:rPr>
        <w:t xml:space="preserve"> (July 2024), </w:t>
      </w:r>
      <w:hyperlink r:id="rId3" w:history="1">
        <w:r w:rsidRPr="008504E7">
          <w:rPr>
            <w:rStyle w:val="Hyperlink"/>
            <w:b w:val="0"/>
            <w:bCs w:val="0"/>
            <w:sz w:val="20"/>
          </w:rPr>
          <w:t>https://www.ftc.gov/system/files/ftc_gov/pdf/pharmacy-benefit-managers-staff-report.pdf</w:t>
        </w:r>
      </w:hyperlink>
      <w:r w:rsidRPr="008504E7">
        <w:rPr>
          <w:b w:val="0"/>
          <w:bCs w:val="0"/>
          <w:sz w:val="20"/>
        </w:rPr>
        <w:t xml:space="preserve">. </w:t>
      </w:r>
    </w:p>
  </w:footnote>
  <w:footnote w:id="7">
    <w:p w:rsidR="008504E7" w:rsidRPr="00F611EC" w:rsidP="008504E7" w14:paraId="69CEBCE3" w14:textId="77777777">
      <w:pPr>
        <w:pStyle w:val="FootnoteText"/>
      </w:pPr>
      <w:r w:rsidRPr="008504E7">
        <w:rPr>
          <w:rStyle w:val="FootnoteReference"/>
          <w:b w:val="0"/>
          <w:bCs w:val="0"/>
          <w:sz w:val="20"/>
          <w:vertAlign w:val="superscript"/>
        </w:rPr>
        <w:footnoteRef/>
      </w:r>
      <w:r w:rsidRPr="008504E7">
        <w:rPr>
          <w:b w:val="0"/>
          <w:bCs w:val="0"/>
          <w:sz w:val="20"/>
        </w:rPr>
        <w:t xml:space="preserve"> A formulary is a list of drugs covered by the plan.</w:t>
      </w:r>
      <w:r w:rsidRPr="00F611EC">
        <w:t xml:space="preserve"> </w:t>
      </w:r>
    </w:p>
  </w:footnote>
  <w:footnote w:id="8">
    <w:p w:rsidR="008504E7" w:rsidRPr="008504E7" w:rsidP="008504E7" w14:paraId="3B31370B" w14:textId="77777777">
      <w:pPr>
        <w:rPr>
          <w:b w:val="0"/>
          <w:bCs w:val="0"/>
        </w:rPr>
      </w:pPr>
      <w:r w:rsidRPr="008504E7">
        <w:rPr>
          <w:rStyle w:val="FootnoteReference"/>
          <w:b w:val="0"/>
          <w:bCs w:val="0"/>
          <w:vertAlign w:val="superscript"/>
        </w:rPr>
        <w:footnoteRef/>
      </w:r>
      <w:r w:rsidRPr="008504E7">
        <w:rPr>
          <w:b w:val="0"/>
          <w:bCs w:val="0"/>
          <w:vertAlign w:val="superscript"/>
        </w:rPr>
        <w:t xml:space="preserve"> </w:t>
      </w:r>
      <w:r w:rsidRPr="008504E7">
        <w:rPr>
          <w:b w:val="0"/>
          <w:bCs w:val="0"/>
        </w:rPr>
        <w:t xml:space="preserve">It is well established that plan sponsors as defined in section 3(16)(B)(i) ERISA often wear two hats – an employer or settlor hat and a fiduciary hat. Yet it is equally well established that “ERISA does require, however, that the fiduciary with two hats wear only one at a time, and wear the fiduciary hat when making fiduciary decisions.” </w:t>
      </w:r>
      <w:r w:rsidRPr="008504E7">
        <w:rPr>
          <w:b w:val="0"/>
          <w:bCs w:val="0"/>
          <w:u w:val="single"/>
        </w:rPr>
        <w:t>Pegram v. Herdrich</w:t>
      </w:r>
      <w:r w:rsidRPr="008504E7">
        <w:rPr>
          <w:b w:val="0"/>
          <w:bCs w:val="0"/>
        </w:rPr>
        <w:t>, 530 U.S. 211, 225 (2000). Under this principle, a contract or arrangement with a covered service provider necessary for the establishment or operation of the self-insured group health plan does not evade the requirements of this proposed regulation merely because it is signed by a plan sponsor.</w:t>
      </w:r>
    </w:p>
  </w:footnote>
  <w:footnote w:id="9">
    <w:p w:rsidR="008504E7" w:rsidRPr="008504E7" w:rsidP="008504E7" w14:paraId="6A196E05" w14:textId="77777777">
      <w:pPr>
        <w:pStyle w:val="FootnoteText"/>
        <w:rPr>
          <w:b w:val="0"/>
          <w:bCs w:val="0"/>
          <w:sz w:val="20"/>
        </w:rPr>
      </w:pPr>
      <w:r w:rsidRPr="008504E7">
        <w:rPr>
          <w:rStyle w:val="FootnoteReference"/>
          <w:b w:val="0"/>
          <w:bCs w:val="0"/>
          <w:sz w:val="20"/>
          <w:vertAlign w:val="superscript"/>
        </w:rPr>
        <w:footnoteRef/>
      </w:r>
      <w:r w:rsidRPr="008504E7">
        <w:rPr>
          <w:b w:val="0"/>
          <w:bCs w:val="0"/>
          <w:sz w:val="20"/>
          <w:vertAlign w:val="superscript"/>
        </w:rPr>
        <w:t xml:space="preserve"> </w:t>
      </w:r>
      <w:r w:rsidRPr="008504E7">
        <w:rPr>
          <w:b w:val="0"/>
          <w:bCs w:val="0"/>
          <w:i/>
          <w:iCs/>
          <w:sz w:val="20"/>
        </w:rPr>
        <w:t>See</w:t>
      </w:r>
      <w:r w:rsidRPr="008504E7">
        <w:rPr>
          <w:b w:val="0"/>
          <w:bCs w:val="0"/>
          <w:sz w:val="20"/>
        </w:rPr>
        <w:t xml:space="preserve"> Advisory Council on Employee Welfare and Pension Benefit Plans (ERISA Advisory Council), </w:t>
      </w:r>
      <w:r w:rsidRPr="008504E7">
        <w:rPr>
          <w:b w:val="0"/>
          <w:bCs w:val="0"/>
          <w:i/>
          <w:iCs/>
          <w:sz w:val="20"/>
        </w:rPr>
        <w:t>PBM Compensation and Fee Disclosure</w:t>
      </w:r>
      <w:r w:rsidRPr="008504E7">
        <w:rPr>
          <w:b w:val="0"/>
          <w:bCs w:val="0"/>
          <w:sz w:val="20"/>
        </w:rPr>
        <w:t xml:space="preserve"> at 20 (November 2014) (“Plan sponsors uniformly testified about the difficulties in obtaining the disclosure of PBM compensation, and how this interfered with their efforts to negotiate and monitor PBM contracts.”), </w:t>
      </w:r>
      <w:hyperlink r:id="rId4" w:history="1">
        <w:r w:rsidRPr="008504E7">
          <w:rPr>
            <w:rStyle w:val="Hyperlink"/>
            <w:b w:val="0"/>
            <w:bCs w:val="0"/>
            <w:sz w:val="20"/>
          </w:rPr>
          <w:t>https://www.dol.gov/sites/dolgov/files/ebsa/pdf_files/2014-pbm-compensation-and-fee-disclosure.pdf</w:t>
        </w:r>
      </w:hyperlink>
      <w:r w:rsidRPr="008504E7">
        <w:rPr>
          <w:b w:val="0"/>
          <w:bCs w:val="0"/>
          <w:sz w:val="20"/>
        </w:rPr>
        <w:t>.</w:t>
      </w:r>
    </w:p>
  </w:footnote>
  <w:footnote w:id="10">
    <w:p w:rsidR="008504E7" w:rsidRPr="00F611EC" w:rsidP="008504E7" w14:paraId="6C9EAB87" w14:textId="77777777">
      <w:pPr>
        <w:pStyle w:val="FootnoteText"/>
      </w:pPr>
      <w:r w:rsidRPr="008504E7">
        <w:rPr>
          <w:rStyle w:val="FootnoteReference"/>
          <w:b w:val="0"/>
          <w:bCs w:val="0"/>
          <w:sz w:val="20"/>
          <w:vertAlign w:val="superscript"/>
        </w:rPr>
        <w:footnoteRef/>
      </w:r>
      <w:r w:rsidRPr="008504E7">
        <w:rPr>
          <w:b w:val="0"/>
          <w:bCs w:val="0"/>
          <w:sz w:val="20"/>
          <w:vertAlign w:val="superscript"/>
        </w:rPr>
        <w:t xml:space="preserve"> </w:t>
      </w:r>
      <w:r w:rsidRPr="008504E7">
        <w:rPr>
          <w:b w:val="0"/>
          <w:bCs w:val="0"/>
          <w:sz w:val="20"/>
        </w:rPr>
        <w:t>ERISA section 408(b)(2)(B), added by section 202 of Title II of Division BB of the Consolidated Appropriations Act, 2021.</w:t>
      </w:r>
    </w:p>
  </w:footnote>
  <w:footnote w:id="11">
    <w:p w:rsidR="006871C0" w:rsidRPr="006871C0" w:rsidP="006871C0" w14:paraId="4E4189A6" w14:textId="77777777">
      <w:pPr>
        <w:pStyle w:val="FootnoteText"/>
        <w:rPr>
          <w:b w:val="0"/>
          <w:bCs w:val="0"/>
          <w:sz w:val="20"/>
        </w:rPr>
      </w:pPr>
      <w:r w:rsidRPr="00162034">
        <w:rPr>
          <w:rStyle w:val="FootnoteReference"/>
          <w:b w:val="0"/>
          <w:bCs w:val="0"/>
          <w:sz w:val="20"/>
          <w:vertAlign w:val="superscript"/>
        </w:rPr>
        <w:footnoteRef/>
      </w:r>
      <w:r w:rsidRPr="00162034">
        <w:rPr>
          <w:b w:val="0"/>
          <w:bCs w:val="0"/>
          <w:sz w:val="20"/>
          <w:vertAlign w:val="superscript"/>
        </w:rPr>
        <w:t xml:space="preserve"> </w:t>
      </w:r>
      <w:r w:rsidRPr="006871C0">
        <w:rPr>
          <w:b w:val="0"/>
          <w:bCs w:val="0"/>
          <w:sz w:val="20"/>
        </w:rPr>
        <w:t xml:space="preserve">Government Accountability Office, </w:t>
      </w:r>
      <w:r w:rsidRPr="006871C0">
        <w:rPr>
          <w:b w:val="0"/>
          <w:bCs w:val="0"/>
          <w:i/>
          <w:iCs/>
          <w:sz w:val="20"/>
        </w:rPr>
        <w:t>Prescription Drugs: Selected States’ Regulation of Pharmacy Benefit Managers</w:t>
      </w:r>
      <w:r w:rsidRPr="006871C0">
        <w:rPr>
          <w:b w:val="0"/>
          <w:bCs w:val="0"/>
          <w:sz w:val="20"/>
        </w:rPr>
        <w:t xml:space="preserve"> (March 2024). </w:t>
      </w:r>
      <w:hyperlink r:id="rId5" w:history="1">
        <w:r w:rsidRPr="006871C0">
          <w:rPr>
            <w:rStyle w:val="Hyperlink"/>
            <w:rFonts w:eastAsiaTheme="majorEastAsia"/>
            <w:b w:val="0"/>
            <w:bCs w:val="0"/>
            <w:sz w:val="20"/>
          </w:rPr>
          <w:t>https://www.gao.gov/assets/d24106898.pdf</w:t>
        </w:r>
      </w:hyperlink>
      <w:r w:rsidRPr="006871C0">
        <w:rPr>
          <w:b w:val="0"/>
          <w:bCs w:val="0"/>
          <w:sz w:val="20"/>
        </w:rPr>
        <w:t>.</w:t>
      </w:r>
    </w:p>
  </w:footnote>
  <w:footnote w:id="12">
    <w:p w:rsidR="00791A19" w:rsidRPr="00A72A1B" w:rsidP="00791A19" w14:paraId="1CD12FAE" w14:textId="77777777">
      <w:pPr>
        <w:pStyle w:val="FootnoteText"/>
        <w:rPr>
          <w:b w:val="0"/>
          <w:bCs w:val="0"/>
          <w:sz w:val="20"/>
        </w:rPr>
      </w:pPr>
      <w:r w:rsidRPr="00A72A1B">
        <w:rPr>
          <w:rStyle w:val="FootnoteReference"/>
          <w:b w:val="0"/>
          <w:bCs w:val="0"/>
          <w:sz w:val="20"/>
          <w:vertAlign w:val="superscript"/>
        </w:rPr>
        <w:footnoteRef/>
      </w:r>
      <w:r w:rsidRPr="00A72A1B">
        <w:rPr>
          <w:b w:val="0"/>
          <w:bCs w:val="0"/>
          <w:sz w:val="20"/>
          <w:vertAlign w:val="superscript"/>
        </w:rPr>
        <w:t xml:space="preserve"> </w:t>
      </w:r>
      <w:r w:rsidRPr="00A72A1B">
        <w:rPr>
          <w:b w:val="0"/>
          <w:bCs w:val="0"/>
          <w:sz w:val="20"/>
        </w:rPr>
        <w:t xml:space="preserve">KFF, </w:t>
      </w:r>
      <w:r w:rsidRPr="00A72A1B">
        <w:rPr>
          <w:b w:val="0"/>
          <w:bCs w:val="0"/>
          <w:i/>
          <w:sz w:val="20"/>
        </w:rPr>
        <w:t>2024 Employer Health Benefits Survey</w:t>
      </w:r>
      <w:r w:rsidRPr="00A72A1B">
        <w:rPr>
          <w:b w:val="0"/>
          <w:bCs w:val="0"/>
          <w:sz w:val="20"/>
        </w:rPr>
        <w:t xml:space="preserve">, (Oct. 9, 2024), </w:t>
      </w:r>
      <w:hyperlink r:id="rId6" w:anchor="figure106" w:history="1">
        <w:r w:rsidRPr="00A72A1B">
          <w:rPr>
            <w:rStyle w:val="Hyperlink"/>
            <w:rFonts w:eastAsiaTheme="majorEastAsia"/>
            <w:b w:val="0"/>
            <w:bCs w:val="0"/>
            <w:sz w:val="20"/>
          </w:rPr>
          <w:t>https://www.kff.org/report-section/ehbs-2024-section-10-plan-funding/#figure106</w:t>
        </w:r>
      </w:hyperlink>
      <w:r w:rsidRPr="00A72A1B">
        <w:rPr>
          <w:b w:val="0"/>
          <w:bCs w:val="0"/>
          <w:sz w:val="20"/>
        </w:rPr>
        <w:t>.</w:t>
      </w:r>
    </w:p>
  </w:footnote>
  <w:footnote w:id="13">
    <w:p w:rsidR="00791A19" w:rsidRPr="00A72A1B" w:rsidP="00791A19" w14:paraId="201EFA6F" w14:textId="77777777">
      <w:pPr>
        <w:pStyle w:val="FootnoteText"/>
        <w:rPr>
          <w:b w:val="0"/>
          <w:bCs w:val="0"/>
          <w:sz w:val="20"/>
        </w:rPr>
      </w:pPr>
      <w:r w:rsidRPr="00A72A1B">
        <w:rPr>
          <w:rStyle w:val="FootnoteReference"/>
          <w:b w:val="0"/>
          <w:bCs w:val="0"/>
          <w:sz w:val="20"/>
          <w:vertAlign w:val="superscript"/>
        </w:rPr>
        <w:footnoteRef/>
      </w:r>
      <w:r w:rsidRPr="00A72A1B">
        <w:rPr>
          <w:b w:val="0"/>
          <w:bCs w:val="0"/>
          <w:sz w:val="20"/>
          <w:vertAlign w:val="superscript"/>
        </w:rPr>
        <w:t xml:space="preserve"> </w:t>
      </w:r>
      <w:r w:rsidRPr="00A72A1B">
        <w:rPr>
          <w:b w:val="0"/>
          <w:bCs w:val="0"/>
          <w:sz w:val="20"/>
        </w:rPr>
        <w:t>The Department estimates that there 2,454,996 ERISA-covered group health plans with less than 100 employees using the 2023 Medical Expenditure Panel Survey Insurance Component (MEPS-IC) and the 2021 County Business Patterns from the Census Bureau.</w:t>
      </w:r>
    </w:p>
  </w:footnote>
  <w:footnote w:id="14">
    <w:p w:rsidR="00791A19" w:rsidRPr="00A72A1B" w:rsidP="00791A19" w14:paraId="5F7A3998" w14:textId="77777777">
      <w:pPr>
        <w:pStyle w:val="FootnoteText"/>
        <w:rPr>
          <w:b w:val="0"/>
          <w:bCs w:val="0"/>
          <w:sz w:val="20"/>
        </w:rPr>
      </w:pPr>
      <w:r w:rsidRPr="00A72A1B">
        <w:rPr>
          <w:rStyle w:val="FootnoteReference"/>
          <w:b w:val="0"/>
          <w:bCs w:val="0"/>
          <w:sz w:val="20"/>
          <w:vertAlign w:val="superscript"/>
        </w:rPr>
        <w:footnoteRef/>
      </w:r>
      <w:r w:rsidRPr="00A72A1B">
        <w:rPr>
          <w:b w:val="0"/>
          <w:bCs w:val="0"/>
          <w:sz w:val="20"/>
        </w:rPr>
        <w:t xml:space="preserve"> Additionally, the Department estimates there are 1,031,098 small, level-funded ERISA-covered group health plans based on the 2024 KFF Employer Health Benefits Survey, the 2023 Medical Expenditure Panel Survey Insurance Component (MEPS-IC) and the 2021 County Business Patterns from the Census Bureau. Large is defined as having 100 or more participants and beneficiaries in the plan.</w:t>
      </w:r>
    </w:p>
  </w:footnote>
  <w:footnote w:id="15">
    <w:p w:rsidR="00791A19" w:rsidRPr="00A72A1B" w:rsidP="00791A19" w14:paraId="6F00666D" w14:textId="77777777">
      <w:pPr>
        <w:pStyle w:val="FootnoteText"/>
        <w:rPr>
          <w:b w:val="0"/>
          <w:bCs w:val="0"/>
          <w:sz w:val="20"/>
        </w:rPr>
      </w:pPr>
      <w:r w:rsidRPr="00A72A1B">
        <w:rPr>
          <w:rStyle w:val="FootnoteReference"/>
          <w:b w:val="0"/>
          <w:bCs w:val="0"/>
          <w:sz w:val="20"/>
          <w:vertAlign w:val="superscript"/>
        </w:rPr>
        <w:footnoteRef/>
      </w:r>
      <w:r w:rsidRPr="00A72A1B">
        <w:rPr>
          <w:b w:val="0"/>
          <w:bCs w:val="0"/>
          <w:sz w:val="20"/>
        </w:rPr>
        <w:t xml:space="preserve"> The Department estimates that there are 104,123 self-insured ERISA-covered group health plans with 100 to 999 employees and 15,362 self-insured ERISA-covered group health plans with 1,000 or more employees using the 2023 Medical Expenditure Panel Survey Insurance Component (MEPS-IC) and the 2021 County Business Patterns from the Census Bureau. </w:t>
      </w:r>
    </w:p>
  </w:footnote>
  <w:footnote w:id="16">
    <w:p w:rsidR="00791A19" w:rsidRPr="00A72A1B" w:rsidP="00791A19" w14:paraId="7D6662D3" w14:textId="77777777">
      <w:pPr>
        <w:pStyle w:val="FootnoteText"/>
        <w:rPr>
          <w:b w:val="0"/>
          <w:bCs w:val="0"/>
          <w:sz w:val="20"/>
        </w:rPr>
      </w:pPr>
      <w:r w:rsidRPr="00A72A1B">
        <w:rPr>
          <w:rStyle w:val="FootnoteReference"/>
          <w:b w:val="0"/>
          <w:bCs w:val="0"/>
          <w:sz w:val="20"/>
          <w:vertAlign w:val="superscript"/>
        </w:rPr>
        <w:footnoteRef/>
      </w:r>
      <w:r w:rsidRPr="00A72A1B">
        <w:rPr>
          <w:b w:val="0"/>
          <w:bCs w:val="0"/>
          <w:sz w:val="20"/>
        </w:rPr>
        <w:t xml:space="preserve"> KFF reported this estimate for large firms only, as small firm respondents had a high percentage of “don’t know” responses to these questions.</w:t>
      </w:r>
    </w:p>
  </w:footnote>
  <w:footnote w:id="17">
    <w:p w:rsidR="00791A19" w:rsidRPr="00076BF3" w:rsidP="00791A19" w14:paraId="5BEA22F9" w14:textId="77777777">
      <w:pPr>
        <w:pStyle w:val="FootnoteText"/>
        <w:rPr>
          <w:b w:val="0"/>
          <w:bCs w:val="0"/>
          <w:sz w:val="20"/>
        </w:rPr>
      </w:pPr>
      <w:r w:rsidRPr="00A72A1B">
        <w:rPr>
          <w:rStyle w:val="FootnoteReference"/>
          <w:b w:val="0"/>
          <w:bCs w:val="0"/>
          <w:sz w:val="20"/>
          <w:vertAlign w:val="superscript"/>
        </w:rPr>
        <w:footnoteRef/>
      </w:r>
      <w:r w:rsidRPr="00A72A1B">
        <w:rPr>
          <w:b w:val="0"/>
          <w:bCs w:val="0"/>
          <w:sz w:val="20"/>
          <w:vertAlign w:val="superscript"/>
        </w:rPr>
        <w:t xml:space="preserve"> </w:t>
      </w:r>
      <w:r w:rsidRPr="00A72A1B">
        <w:rPr>
          <w:b w:val="0"/>
          <w:bCs w:val="0"/>
          <w:sz w:val="20"/>
        </w:rPr>
        <w:t xml:space="preserve">KFF, </w:t>
      </w:r>
      <w:r w:rsidRPr="00A72A1B">
        <w:rPr>
          <w:b w:val="0"/>
          <w:bCs w:val="0"/>
          <w:i/>
          <w:iCs/>
          <w:sz w:val="20"/>
        </w:rPr>
        <w:t>2024 Employer Health Benefits Survey</w:t>
      </w:r>
      <w:r w:rsidRPr="00A72A1B">
        <w:rPr>
          <w:b w:val="0"/>
          <w:bCs w:val="0"/>
          <w:sz w:val="20"/>
        </w:rPr>
        <w:t xml:space="preserve">, (Oct. 9, 2024), </w:t>
      </w:r>
      <w:hyperlink r:id="rId7" w:history="1">
        <w:r w:rsidRPr="00076BF3">
          <w:rPr>
            <w:rStyle w:val="Hyperlink"/>
            <w:rFonts w:eastAsiaTheme="majorEastAsia"/>
            <w:b w:val="0"/>
            <w:bCs w:val="0"/>
            <w:sz w:val="20"/>
          </w:rPr>
          <w:t>https://www.kff.org/report-section/ehbs-2024-section-9-prescription-drug-benefits/</w:t>
        </w:r>
      </w:hyperlink>
      <w:r w:rsidRPr="00076BF3">
        <w:rPr>
          <w:b w:val="0"/>
          <w:bCs w:val="0"/>
          <w:sz w:val="20"/>
        </w:rPr>
        <w:t>.</w:t>
      </w:r>
    </w:p>
  </w:footnote>
  <w:footnote w:id="18">
    <w:p w:rsidR="00076BF3" w:rsidP="00076BF3" w14:paraId="20740B3F" w14:textId="77777777">
      <w:pPr>
        <w:pStyle w:val="FootnoteText"/>
      </w:pPr>
      <w:r w:rsidRPr="00076BF3">
        <w:rPr>
          <w:rStyle w:val="FootnoteReference"/>
          <w:b w:val="0"/>
          <w:bCs w:val="0"/>
          <w:sz w:val="20"/>
          <w:vertAlign w:val="superscript"/>
        </w:rPr>
        <w:footnoteRef/>
      </w:r>
      <w:r w:rsidRPr="00076BF3">
        <w:rPr>
          <w:b w:val="0"/>
          <w:bCs w:val="0"/>
          <w:sz w:val="20"/>
          <w:vertAlign w:val="superscript"/>
        </w:rPr>
        <w:t xml:space="preserve"> </w:t>
      </w:r>
      <w:r w:rsidRPr="00076BF3">
        <w:rPr>
          <w:b w:val="0"/>
          <w:bCs w:val="0"/>
          <w:sz w:val="20"/>
        </w:rPr>
        <w:t xml:space="preserve">Centers for Medicare and Medicaid Services, </w:t>
      </w:r>
      <w:r w:rsidRPr="00076BF3">
        <w:rPr>
          <w:b w:val="0"/>
          <w:bCs w:val="0"/>
          <w:i/>
          <w:sz w:val="20"/>
        </w:rPr>
        <w:t>2023 Medical Loss Ratio Data</w:t>
      </w:r>
      <w:r w:rsidRPr="00076BF3">
        <w:rPr>
          <w:b w:val="0"/>
          <w:bCs w:val="0"/>
          <w:sz w:val="20"/>
        </w:rPr>
        <w:t xml:space="preserve">, </w:t>
      </w:r>
      <w:hyperlink r:id="rId8" w:history="1">
        <w:r w:rsidRPr="00076BF3">
          <w:rPr>
            <w:rStyle w:val="Hyperlink"/>
            <w:rFonts w:eastAsiaTheme="majorEastAsia"/>
            <w:b w:val="0"/>
            <w:bCs w:val="0"/>
            <w:sz w:val="20"/>
          </w:rPr>
          <w:t>https://www.cms.gov/marketplace/resources/data/medical-loss-ratio-data-systems-resources</w:t>
        </w:r>
      </w:hyperlink>
      <w:r w:rsidRPr="00076BF3">
        <w:rPr>
          <w:b w:val="0"/>
          <w:bCs w:val="0"/>
          <w:sz w:val="20"/>
        </w:rPr>
        <w:t>.</w:t>
      </w:r>
    </w:p>
  </w:footnote>
  <w:footnote w:id="19">
    <w:p w:rsidR="00D158FE" w:rsidRPr="008504E7" w:rsidP="00D158FE" w14:paraId="7AAAFD52" w14:textId="77777777">
      <w:pPr>
        <w:pStyle w:val="FootnoteText"/>
        <w:rPr>
          <w:b w:val="0"/>
          <w:bCs w:val="0"/>
          <w:sz w:val="20"/>
        </w:rPr>
      </w:pPr>
      <w:r w:rsidRPr="00C82707">
        <w:rPr>
          <w:rStyle w:val="FootnoteReference"/>
          <w:b w:val="0"/>
          <w:bCs w:val="0"/>
          <w:sz w:val="20"/>
          <w:vertAlign w:val="superscript"/>
        </w:rPr>
        <w:footnoteRef/>
      </w:r>
      <w:r w:rsidRPr="00C82707">
        <w:rPr>
          <w:b w:val="0"/>
          <w:bCs w:val="0"/>
          <w:sz w:val="20"/>
          <w:vertAlign w:val="superscript"/>
        </w:rPr>
        <w:t xml:space="preserve"> </w:t>
      </w:r>
      <w:r w:rsidRPr="00C82707">
        <w:rPr>
          <w:b w:val="0"/>
          <w:bCs w:val="0"/>
          <w:sz w:val="20"/>
        </w:rPr>
        <w:t xml:space="preserve">Internal DOL calculation based on 2025 labor cost data. For a description of DOL’s methodology for calculating </w:t>
      </w:r>
      <w:r w:rsidRPr="008504E7">
        <w:rPr>
          <w:b w:val="0"/>
          <w:bCs w:val="0"/>
          <w:sz w:val="20"/>
        </w:rPr>
        <w:t xml:space="preserve">wage rates, see </w:t>
      </w:r>
      <w:hyperlink r:id="rId9" w:history="1">
        <w:r w:rsidRPr="008504E7">
          <w:rPr>
            <w:rStyle w:val="Hyperlink"/>
            <w:b w:val="0"/>
            <w:bCs w:val="0"/>
            <w:sz w:val="20"/>
          </w:rPr>
          <w:t>https://www.dol.gov/sites/dolgov/files/EBSA/laws-and-regulations/rules-and-regulations/technical-appendices/labor-cost-inputs-used-in-ebsa-opr-ria-and-pra-burden-calculations-june-2019.pdf</w:t>
        </w:r>
      </w:hyperlink>
      <w:r w:rsidRPr="008504E7">
        <w:rPr>
          <w:b w:val="0"/>
          <w:bCs w:val="0"/>
          <w:sz w:val="20"/>
        </w:rPr>
        <w:t>.</w:t>
      </w:r>
    </w:p>
  </w:footnote>
  <w:footnote w:id="20">
    <w:p w:rsidR="00A24BF4" w:rsidRPr="008778F3" w:rsidP="00A24BF4" w14:paraId="7019BFCD" w14:textId="77777777">
      <w:pPr>
        <w:pStyle w:val="FootnoteText"/>
        <w:rPr>
          <w:b w:val="0"/>
          <w:bCs w:val="0"/>
          <w:i/>
          <w:sz w:val="20"/>
        </w:rPr>
      </w:pPr>
      <w:r w:rsidRPr="008778F3">
        <w:rPr>
          <w:rStyle w:val="FootnoteReference"/>
          <w:b w:val="0"/>
          <w:bCs w:val="0"/>
          <w:sz w:val="20"/>
          <w:vertAlign w:val="superscript"/>
        </w:rPr>
        <w:footnoteRef/>
      </w:r>
      <w:r w:rsidRPr="008778F3">
        <w:rPr>
          <w:b w:val="0"/>
          <w:bCs w:val="0"/>
          <w:sz w:val="20"/>
          <w:vertAlign w:val="superscript"/>
        </w:rPr>
        <w:t xml:space="preserve"> </w:t>
      </w:r>
      <w:r w:rsidRPr="008778F3">
        <w:rPr>
          <w:b w:val="0"/>
          <w:bCs w:val="0"/>
          <w:sz w:val="20"/>
        </w:rPr>
        <w:t xml:space="preserve">National Academy for State Health Policy, </w:t>
      </w:r>
      <w:r w:rsidRPr="008778F3">
        <w:rPr>
          <w:b w:val="0"/>
          <w:bCs w:val="0"/>
          <w:i/>
          <w:iCs/>
          <w:sz w:val="20"/>
        </w:rPr>
        <w:t>State Pharmacy Benefit Manger Legislation.</w:t>
      </w:r>
      <w:r w:rsidRPr="008778F3">
        <w:rPr>
          <w:b w:val="0"/>
          <w:bCs w:val="0"/>
          <w:sz w:val="20"/>
        </w:rPr>
        <w:t xml:space="preserve"> Last accessed on July 11, 2025, see </w:t>
      </w:r>
      <w:hyperlink r:id="rId10" w:history="1">
        <w:r w:rsidRPr="008778F3">
          <w:rPr>
            <w:rStyle w:val="Hyperlink"/>
            <w:b w:val="0"/>
            <w:bCs w:val="0"/>
            <w:sz w:val="20"/>
          </w:rPr>
          <w:t>https://nashp.org/state-tracker/state-pharmacy-benefit-manager-legislation/</w:t>
        </w:r>
      </w:hyperlink>
      <w:r w:rsidRPr="008778F3">
        <w:rPr>
          <w:b w:val="0"/>
          <w:bCs w:val="0"/>
          <w:sz w:val="20"/>
        </w:rPr>
        <w:t>.</w:t>
      </w:r>
    </w:p>
  </w:footnote>
  <w:footnote w:id="21">
    <w:p w:rsidR="00A24BF4" w:rsidRPr="008778F3" w:rsidP="00A24BF4" w14:paraId="26E00AD1" w14:textId="77777777">
      <w:pPr>
        <w:pStyle w:val="FootnoteText"/>
        <w:rPr>
          <w:b w:val="0"/>
          <w:bCs w:val="0"/>
          <w:sz w:val="20"/>
        </w:rPr>
      </w:pPr>
      <w:r w:rsidRPr="008778F3">
        <w:rPr>
          <w:rStyle w:val="FootnoteReference"/>
          <w:b w:val="0"/>
          <w:bCs w:val="0"/>
          <w:sz w:val="20"/>
          <w:vertAlign w:val="superscript"/>
        </w:rPr>
        <w:footnoteRef/>
      </w:r>
      <w:r w:rsidRPr="008778F3">
        <w:rPr>
          <w:b w:val="0"/>
          <w:bCs w:val="0"/>
          <w:sz w:val="20"/>
        </w:rPr>
        <w:t xml:space="preserve"> 86 FR 66662, </w:t>
      </w:r>
      <w:r w:rsidRPr="008778F3">
        <w:rPr>
          <w:b w:val="0"/>
          <w:bCs w:val="0"/>
          <w:i/>
          <w:iCs/>
          <w:sz w:val="20"/>
        </w:rPr>
        <w:t>Prescription Drug and Health Care Spending</w:t>
      </w:r>
      <w:r w:rsidRPr="008778F3">
        <w:rPr>
          <w:b w:val="0"/>
          <w:bCs w:val="0"/>
          <w:sz w:val="20"/>
        </w:rPr>
        <w:t xml:space="preserve">, (November 23, 2021), </w:t>
      </w:r>
      <w:hyperlink r:id="rId11" w:history="1">
        <w:r w:rsidRPr="008778F3">
          <w:rPr>
            <w:rStyle w:val="Hyperlink"/>
            <w:b w:val="0"/>
            <w:bCs w:val="0"/>
            <w:sz w:val="20"/>
          </w:rPr>
          <w:t>https://www.federalregister.gov/documents/2021/11/23/2021-25183/prescription-drug-and-health-care-spending</w:t>
        </w:r>
      </w:hyperlink>
      <w:r w:rsidRPr="008778F3">
        <w:rPr>
          <w:b w:val="0"/>
          <w:bCs w:val="0"/>
          <w:sz w:val="20"/>
        </w:rPr>
        <w:t>.</w:t>
      </w:r>
    </w:p>
  </w:footnote>
  <w:footnote w:id="22">
    <w:p w:rsidR="00A24BF4" w:rsidRPr="008778F3" w:rsidP="00A24BF4" w14:paraId="7C0BCAC4" w14:textId="77777777">
      <w:pPr>
        <w:pStyle w:val="FootnoteText"/>
        <w:rPr>
          <w:b w:val="0"/>
          <w:bCs w:val="0"/>
          <w:sz w:val="20"/>
        </w:rPr>
      </w:pPr>
      <w:r w:rsidRPr="008778F3">
        <w:rPr>
          <w:rStyle w:val="FootnoteReference"/>
          <w:b w:val="0"/>
          <w:bCs w:val="0"/>
          <w:sz w:val="20"/>
          <w:vertAlign w:val="superscript"/>
        </w:rPr>
        <w:footnoteRef/>
      </w:r>
      <w:r w:rsidRPr="008778F3">
        <w:rPr>
          <w:b w:val="0"/>
          <w:bCs w:val="0"/>
          <w:sz w:val="20"/>
          <w:vertAlign w:val="superscript"/>
        </w:rPr>
        <w:t xml:space="preserve"> </w:t>
      </w:r>
      <w:r w:rsidRPr="008778F3">
        <w:rPr>
          <w:b w:val="0"/>
          <w:bCs w:val="0"/>
          <w:sz w:val="20"/>
        </w:rPr>
        <w:t xml:space="preserve">77 FR 28790, </w:t>
      </w:r>
      <w:r w:rsidRPr="008778F3">
        <w:rPr>
          <w:b w:val="0"/>
          <w:bCs w:val="0"/>
          <w:i/>
          <w:iCs/>
          <w:sz w:val="20"/>
        </w:rPr>
        <w:t>Medical Loss Ratio Requirements Under the Patient Protection and Affordable Care</w:t>
      </w:r>
      <w:r w:rsidRPr="008778F3">
        <w:rPr>
          <w:b w:val="0"/>
          <w:bCs w:val="0"/>
          <w:sz w:val="20"/>
        </w:rPr>
        <w:t xml:space="preserve"> Act, (May 16, 2012), </w:t>
      </w:r>
      <w:hyperlink r:id="rId12" w:history="1">
        <w:r w:rsidRPr="008778F3">
          <w:rPr>
            <w:rStyle w:val="Hyperlink"/>
            <w:b w:val="0"/>
            <w:bCs w:val="0"/>
            <w:sz w:val="20"/>
          </w:rPr>
          <w:t>https://www.federalregister.gov/documents/2012/05/16/2012-11753/medical-loss-ratio-requirements-under-the-patient-protection-and-affordable-care-act</w:t>
        </w:r>
      </w:hyperlink>
      <w:r w:rsidRPr="008778F3">
        <w:rPr>
          <w:b w:val="0"/>
          <w:bCs w:val="0"/>
          <w:sz w:val="20"/>
        </w:rPr>
        <w:t>.</w:t>
      </w:r>
    </w:p>
  </w:footnote>
  <w:footnote w:id="23">
    <w:p w:rsidR="00A24BF4" w:rsidRPr="008778F3" w:rsidP="00A24BF4" w14:paraId="6B6EAF0C" w14:textId="77777777">
      <w:pPr>
        <w:pStyle w:val="FootnoteText"/>
        <w:rPr>
          <w:b w:val="0"/>
          <w:bCs w:val="0"/>
          <w:sz w:val="20"/>
        </w:rPr>
      </w:pPr>
      <w:r w:rsidRPr="008778F3">
        <w:rPr>
          <w:rStyle w:val="FootnoteReference"/>
          <w:b w:val="0"/>
          <w:bCs w:val="0"/>
          <w:sz w:val="20"/>
          <w:vertAlign w:val="superscript"/>
        </w:rPr>
        <w:footnoteRef/>
      </w:r>
      <w:r w:rsidRPr="008778F3">
        <w:rPr>
          <w:b w:val="0"/>
          <w:bCs w:val="0"/>
          <w:sz w:val="20"/>
          <w:vertAlign w:val="superscript"/>
        </w:rPr>
        <w:t xml:space="preserve"> </w:t>
      </w:r>
      <w:r w:rsidRPr="008778F3">
        <w:rPr>
          <w:b w:val="0"/>
          <w:bCs w:val="0"/>
          <w:sz w:val="20"/>
        </w:rPr>
        <w:t xml:space="preserve">CMS, </w:t>
      </w:r>
      <w:r w:rsidRPr="008778F3">
        <w:rPr>
          <w:b w:val="0"/>
          <w:bCs w:val="0"/>
          <w:i/>
          <w:iCs/>
          <w:sz w:val="20"/>
        </w:rPr>
        <w:t>Part D Reporting Requirements</w:t>
      </w:r>
      <w:r w:rsidRPr="008778F3">
        <w:rPr>
          <w:b w:val="0"/>
          <w:bCs w:val="0"/>
          <w:sz w:val="20"/>
        </w:rPr>
        <w:t xml:space="preserve">, </w:t>
      </w:r>
      <w:hyperlink r:id="rId13" w:history="1">
        <w:r w:rsidRPr="008778F3">
          <w:rPr>
            <w:rStyle w:val="Hyperlink"/>
            <w:b w:val="0"/>
            <w:bCs w:val="0"/>
            <w:sz w:val="20"/>
          </w:rPr>
          <w:t>https://www.cms.gov/medicare/coverage/prescription-drug-coverage-contracting/part-d-reporting-requirements</w:t>
        </w:r>
      </w:hyperlink>
      <w:r w:rsidRPr="008778F3">
        <w:rPr>
          <w:b w:val="0"/>
          <w:bCs w:val="0"/>
          <w:sz w:val="20"/>
        </w:rPr>
        <w:t>.</w:t>
      </w:r>
    </w:p>
  </w:footnote>
  <w:footnote w:id="24">
    <w:p w:rsidR="00A24BF4" w:rsidRPr="0026766E" w:rsidP="00A24BF4" w14:paraId="103E444B" w14:textId="77777777">
      <w:pPr>
        <w:pStyle w:val="FootnoteText"/>
      </w:pPr>
      <w:r w:rsidRPr="008778F3">
        <w:rPr>
          <w:rStyle w:val="FootnoteReference"/>
          <w:b w:val="0"/>
          <w:bCs w:val="0"/>
          <w:sz w:val="20"/>
          <w:vertAlign w:val="superscript"/>
        </w:rPr>
        <w:footnoteRef/>
      </w:r>
      <w:r w:rsidRPr="008778F3">
        <w:rPr>
          <w:b w:val="0"/>
          <w:bCs w:val="0"/>
          <w:sz w:val="20"/>
          <w:vertAlign w:val="superscript"/>
        </w:rPr>
        <w:t xml:space="preserve"> </w:t>
      </w:r>
      <w:r w:rsidRPr="008778F3">
        <w:rPr>
          <w:b w:val="0"/>
          <w:bCs w:val="0"/>
          <w:sz w:val="20"/>
        </w:rPr>
        <w:t xml:space="preserve">84 FR 65524, </w:t>
      </w:r>
      <w:r w:rsidRPr="008778F3">
        <w:rPr>
          <w:b w:val="0"/>
          <w:bCs w:val="0"/>
          <w:i/>
          <w:iCs/>
          <w:sz w:val="20"/>
        </w:rPr>
        <w:t>Price Transparency Requirements for Hospitals To Make Standard Charges Public</w:t>
      </w:r>
      <w:r w:rsidRPr="008778F3">
        <w:rPr>
          <w:b w:val="0"/>
          <w:bCs w:val="0"/>
          <w:sz w:val="20"/>
        </w:rPr>
        <w:t xml:space="preserve">, (November 27, 2019), </w:t>
      </w:r>
      <w:hyperlink r:id="rId14" w:anchor="p-40" w:history="1">
        <w:r w:rsidRPr="008778F3">
          <w:rPr>
            <w:rStyle w:val="Hyperlink"/>
            <w:b w:val="0"/>
            <w:bCs w:val="0"/>
            <w:sz w:val="20"/>
          </w:rPr>
          <w:t>https://www.federalregister.gov/documents/2019/11/27/2019-24931/medicare-and-medicaid-programs-cy-2020-hospital-outpatient-pps-policy-changes-and-payment-rates-and#p-40</w:t>
        </w:r>
      </w:hyperlink>
      <w:r w:rsidRPr="008778F3">
        <w:rPr>
          <w:b w:val="0"/>
          <w:bCs w:val="0"/>
          <w:sz w:val="20"/>
        </w:rPr>
        <w:t>.</w:t>
      </w:r>
    </w:p>
  </w:footnote>
  <w:footnote w:id="25">
    <w:p w:rsidR="00A24BF4" w:rsidRPr="008778F3" w:rsidP="00A24BF4" w14:paraId="3FCE9822" w14:textId="77777777">
      <w:pPr>
        <w:pStyle w:val="FootnoteText"/>
        <w:rPr>
          <w:b w:val="0"/>
          <w:bCs w:val="0"/>
          <w:sz w:val="20"/>
        </w:rPr>
      </w:pPr>
      <w:r w:rsidRPr="008778F3">
        <w:rPr>
          <w:rStyle w:val="FootnoteReference"/>
          <w:b w:val="0"/>
          <w:bCs w:val="0"/>
          <w:sz w:val="20"/>
          <w:vertAlign w:val="superscript"/>
        </w:rPr>
        <w:footnoteRef/>
      </w:r>
      <w:r w:rsidRPr="008778F3">
        <w:rPr>
          <w:b w:val="0"/>
          <w:bCs w:val="0"/>
          <w:sz w:val="20"/>
        </w:rPr>
        <w:t xml:space="preserve"> The Department estimates that each PBM will incur a one-time first-year cost and burden to design, develop, and implement any necessary IT system changes to collect and report the required data. The Department estimates that for each PBM, on average, it will take project management specialists 2,250 hours (at $126.72 per hour), business operations specialists 750 hours (at $120.40 per hour), as well as software and web developers, programmers, and testers 3,500 hours (at $171.89 per hour) to complete this task. The Department estimates the total burden per PBM will be approximately 6,500 hours, with an equivalent cost of approximately $977,035, rounded to $1,000,000. For all 73 PBMs, the total one-time first-year implementation and reporting burden is estimated to be 474,500 hours with an equivalent total cost of approximately $71,323,555.</w:t>
      </w:r>
    </w:p>
  </w:footnote>
  <w:footnote w:id="26">
    <w:p w:rsidR="00A24BF4" w:rsidRPr="008778F3" w:rsidP="00A24BF4" w14:paraId="73AF349A" w14:textId="77777777">
      <w:pPr>
        <w:pStyle w:val="FootnoteText"/>
        <w:rPr>
          <w:b w:val="0"/>
          <w:bCs w:val="0"/>
          <w:sz w:val="20"/>
        </w:rPr>
      </w:pPr>
      <w:r w:rsidRPr="008778F3">
        <w:rPr>
          <w:rStyle w:val="FootnoteReference"/>
          <w:b w:val="0"/>
          <w:bCs w:val="0"/>
          <w:sz w:val="20"/>
          <w:vertAlign w:val="superscript"/>
        </w:rPr>
        <w:footnoteRef/>
      </w:r>
      <w:r w:rsidRPr="008778F3">
        <w:rPr>
          <w:b w:val="0"/>
          <w:bCs w:val="0"/>
          <w:sz w:val="20"/>
        </w:rPr>
        <w:t xml:space="preserve"> </w:t>
      </w:r>
      <w:r w:rsidRPr="008778F3">
        <w:rPr>
          <w:b w:val="0"/>
          <w:bCs w:val="0"/>
          <w:color w:val="000000" w:themeColor="text1"/>
          <w:sz w:val="20"/>
        </w:rPr>
        <w:t>In addition to the one-time first-year costs and burdens previously estimated, PBMs will incur ongoing annual costs related to maintaining and updating IT systems, providing ongoing quality assurance, and submitting the required data to the Department. The Department estimates that for each PBM it will take project management specialists 500 hours (at $126.72 per hour), business operations specialists 50 hours (at $120.40 per hour), as well as software and web developers, programmers, and testers 750 hours (at $171.89 per hour) to perform these tasks. The Department estimates the total annual burden for each PBM will be 1,300 hours, with an equivalent cost of approximately $198,298, rounded to $200,000. For all 73 PBMs, the total annual maintenance and submission burden is estimated to be 94,900 hours with an equivalent total cost of approximately $14,475,718.</w:t>
      </w:r>
    </w:p>
    <w:p w:rsidR="00A24BF4" w:rsidRPr="0026766E" w:rsidP="00A24BF4" w14:paraId="2381F980" w14:textId="77777777">
      <w:pPr>
        <w:pStyle w:val="FootnoteText"/>
        <w:rPr>
          <w:color w:val="000000" w:themeColor="text1"/>
        </w:rPr>
      </w:pPr>
    </w:p>
  </w:footnote>
  <w:footnote w:id="27">
    <w:p w:rsidR="00075DD6" w:rsidRPr="00AF5F49" w:rsidP="00AF5F49" w14:paraId="3912C428" w14:textId="06BA8130">
      <w:pPr>
        <w:pStyle w:val="FootnoteText"/>
        <w:rPr>
          <w:b w:val="0"/>
          <w:bCs w:val="0"/>
          <w:sz w:val="20"/>
        </w:rPr>
      </w:pPr>
      <w:r w:rsidRPr="00AF5F49">
        <w:rPr>
          <w:rStyle w:val="FootnoteReference"/>
          <w:b w:val="0"/>
          <w:bCs w:val="0"/>
          <w:sz w:val="20"/>
          <w:vertAlign w:val="superscript"/>
        </w:rPr>
        <w:footnoteRef/>
      </w:r>
      <w:r w:rsidRPr="00AF5F49">
        <w:rPr>
          <w:b w:val="0"/>
          <w:bCs w:val="0"/>
          <w:sz w:val="20"/>
          <w:vertAlign w:val="superscript"/>
        </w:rPr>
        <w:t xml:space="preserve"> </w:t>
      </w:r>
      <w:r w:rsidRPr="00AF5F49">
        <w:rPr>
          <w:b w:val="0"/>
          <w:bCs w:val="0"/>
          <w:sz w:val="20"/>
        </w:rPr>
        <w:t>Scott McEachern and Patrick Cambel</w:t>
      </w:r>
      <w:r>
        <w:rPr>
          <w:b w:val="0"/>
          <w:bCs w:val="0"/>
          <w:sz w:val="20"/>
        </w:rPr>
        <w:t>,</w:t>
      </w:r>
      <w:r w:rsidRPr="00AF5F49">
        <w:rPr>
          <w:b w:val="0"/>
          <w:bCs w:val="0"/>
          <w:sz w:val="20"/>
        </w:rPr>
        <w:t xml:space="preserve"> </w:t>
      </w:r>
      <w:r w:rsidRPr="00075DD6">
        <w:rPr>
          <w:b w:val="0"/>
          <w:bCs w:val="0"/>
          <w:i/>
          <w:iCs/>
          <w:sz w:val="20"/>
        </w:rPr>
        <w:t>PBM Contracts: Understand then Optimize</w:t>
      </w:r>
      <w:r>
        <w:rPr>
          <w:b w:val="0"/>
          <w:bCs w:val="0"/>
          <w:sz w:val="20"/>
        </w:rPr>
        <w:t>,</w:t>
      </w:r>
      <w:r w:rsidRPr="00AF5F49">
        <w:rPr>
          <w:b w:val="0"/>
          <w:bCs w:val="0"/>
          <w:sz w:val="20"/>
        </w:rPr>
        <w:t xml:space="preserve"> Milliman White Paper, </w:t>
      </w:r>
      <w:r>
        <w:rPr>
          <w:b w:val="0"/>
          <w:bCs w:val="0"/>
          <w:sz w:val="20"/>
        </w:rPr>
        <w:t>(</w:t>
      </w:r>
      <w:r w:rsidRPr="00AF5F49">
        <w:rPr>
          <w:b w:val="0"/>
          <w:bCs w:val="0"/>
          <w:sz w:val="20"/>
        </w:rPr>
        <w:t>August 2, 2020</w:t>
      </w:r>
      <w:r>
        <w:rPr>
          <w:b w:val="0"/>
          <w:bCs w:val="0"/>
          <w:sz w:val="20"/>
        </w:rPr>
        <w:t xml:space="preserve">), </w:t>
      </w:r>
      <w:r w:rsidRPr="00AF5F49">
        <w:rPr>
          <w:b w:val="0"/>
          <w:bCs w:val="0"/>
          <w:sz w:val="20"/>
        </w:rPr>
        <w:t>https://us.milliman.com/en/insight/pbm-contracts-understand-then-optimize</w:t>
      </w:r>
      <w:r>
        <w:rPr>
          <w:b w:val="0"/>
          <w:bCs w:val="0"/>
          <w:sz w:val="20"/>
        </w:rPr>
        <w:t>.</w:t>
      </w:r>
    </w:p>
  </w:footnote>
  <w:footnote w:id="28">
    <w:p w:rsidR="000A4D64" w:rsidRPr="000A4D64" w:rsidP="000A4D64" w14:paraId="03113760" w14:textId="77777777">
      <w:pPr>
        <w:pStyle w:val="FootnoteText"/>
        <w:rPr>
          <w:b w:val="0"/>
          <w:bCs w:val="0"/>
          <w:sz w:val="20"/>
        </w:rPr>
      </w:pPr>
      <w:r w:rsidRPr="000A4D64">
        <w:rPr>
          <w:rStyle w:val="FootnoteReference"/>
          <w:b w:val="0"/>
          <w:bCs w:val="0"/>
          <w:sz w:val="20"/>
          <w:vertAlign w:val="superscript"/>
        </w:rPr>
        <w:footnoteRef/>
      </w:r>
      <w:r w:rsidRPr="000A4D64">
        <w:rPr>
          <w:b w:val="0"/>
          <w:bCs w:val="0"/>
          <w:sz w:val="20"/>
        </w:rPr>
        <w:t xml:space="preserve"> Based on a review of the 2022 Form 5500 Schedule C filings, approximately 0.3 percent of ERISA-covered group health plans that filed Schedule C reported service providers who failed or refused to provide some of the information required to complete Part I. This estimate is used as a proxy for the percentage of self-insured group health plans that may need to request missing information from PBMs. </w:t>
      </w:r>
    </w:p>
  </w:footnote>
  <w:footnote w:id="29">
    <w:p w:rsidR="001921FA" w:rsidRPr="001921FA" w:rsidP="001921FA" w14:paraId="1E58704C" w14:textId="77777777">
      <w:pPr>
        <w:pStyle w:val="FootnoteText"/>
        <w:rPr>
          <w:b w:val="0"/>
          <w:bCs w:val="0"/>
          <w:sz w:val="20"/>
        </w:rPr>
      </w:pPr>
      <w:r w:rsidRPr="001921FA">
        <w:rPr>
          <w:rStyle w:val="FootnoteReference"/>
          <w:b w:val="0"/>
          <w:bCs w:val="0"/>
          <w:sz w:val="20"/>
          <w:vertAlign w:val="superscript"/>
        </w:rPr>
        <w:footnoteRef/>
      </w:r>
      <w:r w:rsidRPr="001921FA">
        <w:rPr>
          <w:b w:val="0"/>
          <w:bCs w:val="0"/>
          <w:sz w:val="20"/>
          <w:vertAlign w:val="superscript"/>
        </w:rPr>
        <w:t xml:space="preserve"> </w:t>
      </w:r>
      <w:r w:rsidRPr="001921FA">
        <w:rPr>
          <w:b w:val="0"/>
          <w:bCs w:val="0"/>
          <w:sz w:val="20"/>
        </w:rPr>
        <w:t>The wage rate is calculated in the following manner: [[($181.06 for a legal professional x 0.5)) + ($129.14 for a benefits specialist x 0.5)] = $155.10.</w:t>
      </w:r>
    </w:p>
  </w:footnote>
  <w:footnote w:id="30">
    <w:p w:rsidR="00AE2CE9" w:rsidRPr="00AE2CE9" w:rsidP="00AE2CE9" w14:paraId="598B0B47" w14:textId="77777777">
      <w:pPr>
        <w:pStyle w:val="FootnoteText"/>
        <w:rPr>
          <w:b w:val="0"/>
          <w:bCs w:val="0"/>
          <w:sz w:val="20"/>
        </w:rPr>
      </w:pPr>
      <w:r w:rsidRPr="00AE2CE9">
        <w:rPr>
          <w:rStyle w:val="FootnoteReference"/>
          <w:b w:val="0"/>
          <w:bCs w:val="0"/>
          <w:sz w:val="20"/>
          <w:vertAlign w:val="superscript"/>
        </w:rPr>
        <w:footnoteRef/>
      </w:r>
      <w:r w:rsidRPr="00AE2CE9">
        <w:rPr>
          <w:b w:val="0"/>
          <w:bCs w:val="0"/>
          <w:sz w:val="20"/>
        </w:rPr>
        <w:t xml:space="preserve"> Based on a review of the 2022 Form 5500 Schedule C filings, approximately 0.3 percent of ERISA-covered group health plans that filed Schedule C reported service providers who failed or refused to provide some of the information required to complete Part I. This estimate is used as a proxy for the percentage of self-insured group health plans that may need to request missing information from PBMs. </w:t>
      </w:r>
    </w:p>
  </w:footnote>
  <w:footnote w:id="31">
    <w:p w:rsidR="00EB0870" w:rsidRPr="00EB0870" w:rsidP="00EB0870" w14:paraId="4364A774" w14:textId="23A59200">
      <w:pPr>
        <w:pStyle w:val="FootnoteText"/>
        <w:rPr>
          <w:b w:val="0"/>
          <w:bCs w:val="0"/>
          <w:sz w:val="20"/>
        </w:rPr>
      </w:pPr>
      <w:r w:rsidRPr="00EB0870">
        <w:rPr>
          <w:rStyle w:val="FootnoteReference"/>
          <w:b w:val="0"/>
          <w:bCs w:val="0"/>
          <w:sz w:val="20"/>
          <w:vertAlign w:val="superscript"/>
        </w:rPr>
        <w:footnoteRef/>
      </w:r>
      <w:r w:rsidRPr="00EB0870">
        <w:rPr>
          <w:b w:val="0"/>
          <w:bCs w:val="0"/>
          <w:sz w:val="20"/>
        </w:rPr>
        <w:t xml:space="preserve"> Janus Desquitado and Francis Ayson, PBM Best Practice Series: Pharmacy Benefit Claims Auditing, Milliman White Paper, September 21, 2023, https://www.milliman.com/en/insight/pbm-best-practices-pharmacy-benefits-claims-auditing.</w:t>
      </w:r>
    </w:p>
  </w:footnote>
  <w:footnote w:id="32">
    <w:p w:rsidR="00EB0870" w:rsidRPr="0026766E" w:rsidP="00EB0870" w14:paraId="0778DBE5" w14:textId="77777777">
      <w:pPr>
        <w:pStyle w:val="FootnoteText"/>
      </w:pPr>
      <w:r w:rsidRPr="00EB0870">
        <w:rPr>
          <w:rStyle w:val="FootnoteReference"/>
          <w:b w:val="0"/>
          <w:bCs w:val="0"/>
          <w:sz w:val="20"/>
          <w:vertAlign w:val="superscript"/>
        </w:rPr>
        <w:footnoteRef/>
      </w:r>
      <w:r w:rsidRPr="00EB0870">
        <w:rPr>
          <w:b w:val="0"/>
          <w:bCs w:val="0"/>
          <w:sz w:val="20"/>
        </w:rPr>
        <w:t xml:space="preserve"> The wage rate is calculated in the following manner: [($129.14 for a benefits specialist x (1/2)) + ($171.89 for an IT Professional) x (1/2))] = $150.52.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B52" w:rsidP="00F0391B" w14:paraId="3D688220" w14:textId="687E89E6">
    <w:pPr>
      <w:pStyle w:val="Header"/>
      <w:rPr>
        <w:b w:val="0"/>
        <w:bCs w:val="0"/>
      </w:rPr>
    </w:pPr>
    <w:r w:rsidRPr="005D6B52">
      <w:rPr>
        <w:b w:val="0"/>
        <w:bCs w:val="0"/>
      </w:rPr>
      <w:t>PBM Fee Disclosure Regulation under 408(b)(</w:t>
    </w:r>
    <w:r>
      <w:rPr>
        <w:b w:val="0"/>
        <w:bCs w:val="0"/>
      </w:rPr>
      <w:t>2)</w:t>
    </w:r>
  </w:p>
  <w:p w:rsidR="00C15C13" w:rsidP="00F0391B" w14:paraId="177EF0BA" w14:textId="3145D4E7">
    <w:pPr>
      <w:pStyle w:val="Header"/>
      <w:rPr>
        <w:b w:val="0"/>
        <w:bCs w:val="0"/>
      </w:rPr>
    </w:pPr>
    <w:r>
      <w:rPr>
        <w:b w:val="0"/>
        <w:bCs w:val="0"/>
      </w:rPr>
      <w:t>OMB Control Number 1210</w:t>
    </w:r>
    <w:r w:rsidR="005D6B52">
      <w:rPr>
        <w:b w:val="0"/>
        <w:bCs w:val="0"/>
      </w:rPr>
      <w:t>-NEW</w:t>
    </w:r>
  </w:p>
  <w:p w:rsidR="001772CB" w:rsidP="00F0391B" w14:paraId="7BE5BE06" w14:textId="0CA4B3BC">
    <w:pPr>
      <w:pStyle w:val="Header"/>
      <w:rPr>
        <w:b w:val="0"/>
        <w:bCs w:val="0"/>
      </w:rPr>
    </w:pPr>
    <w:r>
      <w:rPr>
        <w:b w:val="0"/>
        <w:bCs w:val="0"/>
      </w:rPr>
      <w:t xml:space="preserve">Expiration Date: </w:t>
    </w:r>
  </w:p>
  <w:p w:rsidR="00C15C13" w:rsidP="00F0391B" w14:paraId="37B7DD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7F3223"/>
    <w:multiLevelType w:val="multilevel"/>
    <w:tmpl w:val="74BA6A46"/>
    <w:lvl w:ilvl="0">
      <w:start w:val="1"/>
      <w:numFmt w:val="decimal"/>
      <w:lvlText w:val="%1."/>
      <w:lvlJc w:val="left"/>
      <w:pPr>
        <w:ind w:left="360" w:hanging="360"/>
      </w:pPr>
    </w:lvl>
    <w:lvl w:ilvl="1">
      <w:start w:val="1"/>
      <w:numFmt w:val="decimal"/>
      <w:lvlText w:val="%1.%2."/>
      <w:lvlJc w:val="left"/>
      <w:pPr>
        <w:ind w:left="792" w:hanging="432"/>
      </w:pPr>
      <w:rPr>
        <w:b w:val="0"/>
        <w:bCs/>
        <w:i w:val="0"/>
        <w:iCs/>
        <w:vertAlign w:val="baseline"/>
      </w:rPr>
    </w:lvl>
    <w:lvl w:ilvl="2">
      <w:start w:val="1"/>
      <w:numFmt w:val="decimal"/>
      <w:lvlText w:val="%1.%2.%3."/>
      <w:lvlJc w:val="left"/>
      <w:pPr>
        <w:ind w:left="1224" w:hanging="504"/>
      </w:pPr>
      <w:rPr>
        <w:b w:val="0"/>
        <w:bCs w:val="0"/>
        <w:i/>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4C7844"/>
    <w:multiLevelType w:val="hybridMultilevel"/>
    <w:tmpl w:val="A56CB3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D52C5C"/>
    <w:multiLevelType w:val="hybridMultilevel"/>
    <w:tmpl w:val="FD9E36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407F7C"/>
    <w:multiLevelType w:val="hybridMultilevel"/>
    <w:tmpl w:val="F9D607C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046665"/>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03F507E"/>
    <w:multiLevelType w:val="hybridMultilevel"/>
    <w:tmpl w:val="95CEA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1B7955"/>
    <w:multiLevelType w:val="hybridMultilevel"/>
    <w:tmpl w:val="EE445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67D5320"/>
    <w:multiLevelType w:val="hybridMultilevel"/>
    <w:tmpl w:val="3DF44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651808"/>
    <w:multiLevelType w:val="hybridMultilevel"/>
    <w:tmpl w:val="7D50D0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5">
    <w:nsid w:val="2F9A6CCB"/>
    <w:multiLevelType w:val="hybridMultilevel"/>
    <w:tmpl w:val="D396991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32826821"/>
    <w:multiLevelType w:val="hybridMultilevel"/>
    <w:tmpl w:val="29506F44"/>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8DB7668"/>
    <w:multiLevelType w:val="hybridMultilevel"/>
    <w:tmpl w:val="952E90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9F9564E"/>
    <w:multiLevelType w:val="hybridMultilevel"/>
    <w:tmpl w:val="825A3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4D2F16"/>
    <w:multiLevelType w:val="hybridMultilevel"/>
    <w:tmpl w:val="51D015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45D5E05"/>
    <w:multiLevelType w:val="hybridMultilevel"/>
    <w:tmpl w:val="6074BA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6532FA9"/>
    <w:multiLevelType w:val="hybridMultilevel"/>
    <w:tmpl w:val="4A1A303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8D54706"/>
    <w:multiLevelType w:val="hybridMultilevel"/>
    <w:tmpl w:val="0198A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5A3AA1"/>
    <w:multiLevelType w:val="hybridMultilevel"/>
    <w:tmpl w:val="58425808"/>
    <w:lvl w:ilvl="0">
      <w:start w:val="4"/>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F14DA0"/>
    <w:multiLevelType w:val="hybridMultilevel"/>
    <w:tmpl w:val="76C60E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B6D55E6"/>
    <w:multiLevelType w:val="hybridMultilevel"/>
    <w:tmpl w:val="586A36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4D613C92"/>
    <w:multiLevelType w:val="hybridMultilevel"/>
    <w:tmpl w:val="D2CE9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65843FC"/>
    <w:multiLevelType w:val="hybridMultilevel"/>
    <w:tmpl w:val="96223948"/>
    <w:lvl w:ilvl="0">
      <w:start w:val="2022"/>
      <w:numFmt w:val="decimal"/>
      <w:lvlText w:val="%1"/>
      <w:lvlJc w:val="left"/>
      <w:pPr>
        <w:ind w:left="1200" w:hanging="480"/>
      </w:pPr>
      <w:rPr>
        <w:rFonts w:hint="default"/>
        <w:i/>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81A2B7B"/>
    <w:multiLevelType w:val="hybridMultilevel"/>
    <w:tmpl w:val="9CA01454"/>
    <w:lvl w:ilvl="0">
      <w:start w:val="3"/>
      <w:numFmt w:val="decimal"/>
      <w:lvlText w:val="%1."/>
      <w:lvlJc w:val="left"/>
      <w:pPr>
        <w:ind w:left="28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9316EE5"/>
    <w:multiLevelType w:val="hybridMultilevel"/>
    <w:tmpl w:val="563481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04A32B7"/>
    <w:multiLevelType w:val="hybridMultilevel"/>
    <w:tmpl w:val="F3CC83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A1F6E23"/>
    <w:multiLevelType w:val="hybridMultilevel"/>
    <w:tmpl w:val="469AF0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A341828"/>
    <w:multiLevelType w:val="hybridMultilevel"/>
    <w:tmpl w:val="E5AEFBE0"/>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
    <w:nsid w:val="73555839"/>
    <w:multiLevelType w:val="hybridMultilevel"/>
    <w:tmpl w:val="9810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B0B38DF"/>
    <w:multiLevelType w:val="hybridMultilevel"/>
    <w:tmpl w:val="AEF44CD4"/>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9B3109"/>
    <w:multiLevelType w:val="hybridMultilevel"/>
    <w:tmpl w:val="E5EC3B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7BE00CBA"/>
    <w:multiLevelType w:val="hybridMultilevel"/>
    <w:tmpl w:val="5658FDE4"/>
    <w:lvl w:ilvl="0">
      <w:start w:val="2022"/>
      <w:numFmt w:val="decimal"/>
      <w:lvlText w:val="%1"/>
      <w:lvlJc w:val="left"/>
      <w:pPr>
        <w:ind w:left="1200" w:hanging="4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DFE4577"/>
    <w:multiLevelType w:val="hybridMultilevel"/>
    <w:tmpl w:val="6240B90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928418217">
    <w:abstractNumId w:val="0"/>
    <w:lvlOverride w:ilvl="0">
      <w:startOverride w:val="1"/>
      <w:lvl w:ilvl="0">
        <w:start w:val="1"/>
        <w:numFmt w:val="decimal"/>
        <w:pStyle w:val="Quick1"/>
        <w:lvlText w:val="%1."/>
        <w:lvlJc w:val="left"/>
      </w:lvl>
    </w:lvlOverride>
  </w:num>
  <w:num w:numId="2" w16cid:durableId="1851412261">
    <w:abstractNumId w:val="0"/>
    <w:lvlOverride w:ilvl="0">
      <w:startOverride w:val="13"/>
      <w:lvl w:ilvl="0">
        <w:start w:val="13"/>
        <w:numFmt w:val="decimal"/>
        <w:pStyle w:val="Quick1"/>
        <w:lvlText w:val="%1."/>
        <w:lvlJc w:val="left"/>
      </w:lvl>
    </w:lvlOverride>
  </w:num>
  <w:num w:numId="3" w16cid:durableId="1269384414">
    <w:abstractNumId w:val="0"/>
    <w:lvlOverride w:ilvl="0">
      <w:startOverride w:val="3"/>
      <w:lvl w:ilvl="0">
        <w:start w:val="3"/>
        <w:numFmt w:val="decimal"/>
        <w:pStyle w:val="Quick1"/>
        <w:lvlText w:val="%1."/>
        <w:lvlJc w:val="left"/>
      </w:lvl>
    </w:lvlOverride>
  </w:num>
  <w:num w:numId="4" w16cid:durableId="7023327">
    <w:abstractNumId w:val="33"/>
  </w:num>
  <w:num w:numId="5" w16cid:durableId="1571038047">
    <w:abstractNumId w:val="17"/>
  </w:num>
  <w:num w:numId="6" w16cid:durableId="662314324">
    <w:abstractNumId w:val="35"/>
  </w:num>
  <w:num w:numId="7" w16cid:durableId="962077153">
    <w:abstractNumId w:val="18"/>
  </w:num>
  <w:num w:numId="8" w16cid:durableId="2048872017">
    <w:abstractNumId w:val="7"/>
  </w:num>
  <w:num w:numId="9" w16cid:durableId="1095662958">
    <w:abstractNumId w:val="21"/>
  </w:num>
  <w:num w:numId="10" w16cid:durableId="173419921">
    <w:abstractNumId w:val="3"/>
  </w:num>
  <w:num w:numId="11" w16cid:durableId="1541700513">
    <w:abstractNumId w:val="9"/>
  </w:num>
  <w:num w:numId="12" w16cid:durableId="1174026980">
    <w:abstractNumId w:val="39"/>
  </w:num>
  <w:num w:numId="13" w16cid:durableId="715740995">
    <w:abstractNumId w:val="1"/>
  </w:num>
  <w:num w:numId="14" w16cid:durableId="986587274">
    <w:abstractNumId w:val="23"/>
  </w:num>
  <w:num w:numId="15" w16cid:durableId="881987123">
    <w:abstractNumId w:val="29"/>
  </w:num>
  <w:num w:numId="16" w16cid:durableId="840895826">
    <w:abstractNumId w:val="5"/>
  </w:num>
  <w:num w:numId="17" w16cid:durableId="1014260506">
    <w:abstractNumId w:val="43"/>
  </w:num>
  <w:num w:numId="18" w16cid:durableId="553078609">
    <w:abstractNumId w:val="11"/>
  </w:num>
  <w:num w:numId="19" w16cid:durableId="1297612978">
    <w:abstractNumId w:val="22"/>
  </w:num>
  <w:num w:numId="20" w16cid:durableId="2082293180">
    <w:abstractNumId w:val="32"/>
  </w:num>
  <w:num w:numId="21" w16cid:durableId="1453598203">
    <w:abstractNumId w:val="36"/>
  </w:num>
  <w:num w:numId="22" w16cid:durableId="1189182412">
    <w:abstractNumId w:val="38"/>
  </w:num>
  <w:num w:numId="23" w16cid:durableId="19821557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602686">
    <w:abstractNumId w:val="26"/>
  </w:num>
  <w:num w:numId="25" w16cid:durableId="453980596">
    <w:abstractNumId w:val="34"/>
  </w:num>
  <w:num w:numId="26" w16cid:durableId="1155756722">
    <w:abstractNumId w:val="8"/>
  </w:num>
  <w:num w:numId="27" w16cid:durableId="806897643">
    <w:abstractNumId w:val="24"/>
  </w:num>
  <w:num w:numId="28" w16cid:durableId="1774666367">
    <w:abstractNumId w:val="37"/>
  </w:num>
  <w:num w:numId="29" w16cid:durableId="85540247">
    <w:abstractNumId w:val="13"/>
  </w:num>
  <w:num w:numId="30" w16cid:durableId="1456830832">
    <w:abstractNumId w:val="31"/>
  </w:num>
  <w:num w:numId="31" w16cid:durableId="460466468">
    <w:abstractNumId w:val="14"/>
  </w:num>
  <w:num w:numId="32" w16cid:durableId="792334898">
    <w:abstractNumId w:val="25"/>
  </w:num>
  <w:num w:numId="33" w16cid:durableId="749698479">
    <w:abstractNumId w:val="2"/>
  </w:num>
  <w:num w:numId="34" w16cid:durableId="808788017">
    <w:abstractNumId w:val="42"/>
  </w:num>
  <w:num w:numId="35" w16cid:durableId="1851096525">
    <w:abstractNumId w:val="30"/>
  </w:num>
  <w:num w:numId="36" w16cid:durableId="188642660">
    <w:abstractNumId w:val="6"/>
  </w:num>
  <w:num w:numId="37" w16cid:durableId="334575803">
    <w:abstractNumId w:val="16"/>
  </w:num>
  <w:num w:numId="38" w16cid:durableId="1046223658">
    <w:abstractNumId w:val="40"/>
  </w:num>
  <w:num w:numId="39" w16cid:durableId="1529491875">
    <w:abstractNumId w:val="28"/>
  </w:num>
  <w:num w:numId="40" w16cid:durableId="112214389">
    <w:abstractNumId w:val="15"/>
  </w:num>
  <w:num w:numId="41" w16cid:durableId="987243284">
    <w:abstractNumId w:val="41"/>
  </w:num>
  <w:num w:numId="42" w16cid:durableId="674578205">
    <w:abstractNumId w:val="10"/>
  </w:num>
  <w:num w:numId="43" w16cid:durableId="528420752">
    <w:abstractNumId w:val="12"/>
  </w:num>
  <w:num w:numId="44" w16cid:durableId="1936592730">
    <w:abstractNumId w:val="27"/>
  </w:num>
  <w:num w:numId="45" w16cid:durableId="396171000">
    <w:abstractNumId w:val="4"/>
  </w:num>
  <w:num w:numId="46" w16cid:durableId="110982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0033"/>
    <w:rsid w:val="0000006D"/>
    <w:rsid w:val="0000034E"/>
    <w:rsid w:val="00000728"/>
    <w:rsid w:val="00000A61"/>
    <w:rsid w:val="00000B77"/>
    <w:rsid w:val="0000116C"/>
    <w:rsid w:val="00001E1B"/>
    <w:rsid w:val="00001E80"/>
    <w:rsid w:val="0000293D"/>
    <w:rsid w:val="00002E3B"/>
    <w:rsid w:val="00003256"/>
    <w:rsid w:val="000040E4"/>
    <w:rsid w:val="00004420"/>
    <w:rsid w:val="00004865"/>
    <w:rsid w:val="00005091"/>
    <w:rsid w:val="000054A2"/>
    <w:rsid w:val="000055CD"/>
    <w:rsid w:val="00006E43"/>
    <w:rsid w:val="00007192"/>
    <w:rsid w:val="0000729D"/>
    <w:rsid w:val="00010BB5"/>
    <w:rsid w:val="000111F1"/>
    <w:rsid w:val="00012278"/>
    <w:rsid w:val="00012FB8"/>
    <w:rsid w:val="0001380A"/>
    <w:rsid w:val="00015314"/>
    <w:rsid w:val="00015332"/>
    <w:rsid w:val="00015462"/>
    <w:rsid w:val="00016EBD"/>
    <w:rsid w:val="0001706F"/>
    <w:rsid w:val="000176E8"/>
    <w:rsid w:val="0002026D"/>
    <w:rsid w:val="00022B3B"/>
    <w:rsid w:val="000230DB"/>
    <w:rsid w:val="000242A5"/>
    <w:rsid w:val="00024471"/>
    <w:rsid w:val="0002489E"/>
    <w:rsid w:val="00024A47"/>
    <w:rsid w:val="000251AB"/>
    <w:rsid w:val="0002544C"/>
    <w:rsid w:val="00025884"/>
    <w:rsid w:val="00026204"/>
    <w:rsid w:val="0003069C"/>
    <w:rsid w:val="00031451"/>
    <w:rsid w:val="000318AC"/>
    <w:rsid w:val="0003297D"/>
    <w:rsid w:val="00032CB0"/>
    <w:rsid w:val="0003391E"/>
    <w:rsid w:val="0003431F"/>
    <w:rsid w:val="000349AA"/>
    <w:rsid w:val="00035D27"/>
    <w:rsid w:val="00037FF4"/>
    <w:rsid w:val="00040237"/>
    <w:rsid w:val="000407B8"/>
    <w:rsid w:val="00041201"/>
    <w:rsid w:val="0004181B"/>
    <w:rsid w:val="00042748"/>
    <w:rsid w:val="00043206"/>
    <w:rsid w:val="000436F1"/>
    <w:rsid w:val="000444E6"/>
    <w:rsid w:val="000448D8"/>
    <w:rsid w:val="00044E03"/>
    <w:rsid w:val="000457E8"/>
    <w:rsid w:val="000462A2"/>
    <w:rsid w:val="0004729A"/>
    <w:rsid w:val="00047F06"/>
    <w:rsid w:val="00051006"/>
    <w:rsid w:val="0005190F"/>
    <w:rsid w:val="00052484"/>
    <w:rsid w:val="00052606"/>
    <w:rsid w:val="00053FAD"/>
    <w:rsid w:val="0005444A"/>
    <w:rsid w:val="00055360"/>
    <w:rsid w:val="00055639"/>
    <w:rsid w:val="0005710C"/>
    <w:rsid w:val="000574B7"/>
    <w:rsid w:val="0005778D"/>
    <w:rsid w:val="00060407"/>
    <w:rsid w:val="00060861"/>
    <w:rsid w:val="0006243E"/>
    <w:rsid w:val="000627FC"/>
    <w:rsid w:val="00063342"/>
    <w:rsid w:val="000635E5"/>
    <w:rsid w:val="00064A52"/>
    <w:rsid w:val="00064A9F"/>
    <w:rsid w:val="00064F60"/>
    <w:rsid w:val="0006528F"/>
    <w:rsid w:val="00065DB6"/>
    <w:rsid w:val="0006615D"/>
    <w:rsid w:val="00066250"/>
    <w:rsid w:val="00066334"/>
    <w:rsid w:val="00067109"/>
    <w:rsid w:val="000672D9"/>
    <w:rsid w:val="00067AC3"/>
    <w:rsid w:val="00067C6D"/>
    <w:rsid w:val="000700BA"/>
    <w:rsid w:val="00072AF0"/>
    <w:rsid w:val="00072B55"/>
    <w:rsid w:val="00073748"/>
    <w:rsid w:val="00074924"/>
    <w:rsid w:val="00074D42"/>
    <w:rsid w:val="000752DD"/>
    <w:rsid w:val="00075731"/>
    <w:rsid w:val="000758E4"/>
    <w:rsid w:val="00075A54"/>
    <w:rsid w:val="00075DD6"/>
    <w:rsid w:val="000768C9"/>
    <w:rsid w:val="00076BF3"/>
    <w:rsid w:val="00077E52"/>
    <w:rsid w:val="00080210"/>
    <w:rsid w:val="00080ABC"/>
    <w:rsid w:val="00080C70"/>
    <w:rsid w:val="00082771"/>
    <w:rsid w:val="00082C26"/>
    <w:rsid w:val="00082D74"/>
    <w:rsid w:val="00083274"/>
    <w:rsid w:val="000834B6"/>
    <w:rsid w:val="0008464C"/>
    <w:rsid w:val="00085B93"/>
    <w:rsid w:val="00085DE9"/>
    <w:rsid w:val="00086838"/>
    <w:rsid w:val="00087A5E"/>
    <w:rsid w:val="00087AA9"/>
    <w:rsid w:val="0009027F"/>
    <w:rsid w:val="00091346"/>
    <w:rsid w:val="00091B1B"/>
    <w:rsid w:val="000922E3"/>
    <w:rsid w:val="000949C1"/>
    <w:rsid w:val="00096513"/>
    <w:rsid w:val="00096648"/>
    <w:rsid w:val="00096BDA"/>
    <w:rsid w:val="00097AE5"/>
    <w:rsid w:val="000A0A4B"/>
    <w:rsid w:val="000A15AA"/>
    <w:rsid w:val="000A39FE"/>
    <w:rsid w:val="000A3DF9"/>
    <w:rsid w:val="000A4D64"/>
    <w:rsid w:val="000A4F3A"/>
    <w:rsid w:val="000A6A90"/>
    <w:rsid w:val="000A6FC5"/>
    <w:rsid w:val="000A7B10"/>
    <w:rsid w:val="000A7C85"/>
    <w:rsid w:val="000B1457"/>
    <w:rsid w:val="000B1E79"/>
    <w:rsid w:val="000B203D"/>
    <w:rsid w:val="000B2636"/>
    <w:rsid w:val="000B2925"/>
    <w:rsid w:val="000B41C2"/>
    <w:rsid w:val="000B4879"/>
    <w:rsid w:val="000B4949"/>
    <w:rsid w:val="000B49D6"/>
    <w:rsid w:val="000B5058"/>
    <w:rsid w:val="000B50CF"/>
    <w:rsid w:val="000B51DB"/>
    <w:rsid w:val="000B5DF2"/>
    <w:rsid w:val="000B6280"/>
    <w:rsid w:val="000B6CF3"/>
    <w:rsid w:val="000B7029"/>
    <w:rsid w:val="000B712C"/>
    <w:rsid w:val="000B75D1"/>
    <w:rsid w:val="000B78EA"/>
    <w:rsid w:val="000C051C"/>
    <w:rsid w:val="000C0C8C"/>
    <w:rsid w:val="000C183B"/>
    <w:rsid w:val="000C260F"/>
    <w:rsid w:val="000C2621"/>
    <w:rsid w:val="000C2789"/>
    <w:rsid w:val="000C2F10"/>
    <w:rsid w:val="000C3231"/>
    <w:rsid w:val="000C3AE1"/>
    <w:rsid w:val="000C423B"/>
    <w:rsid w:val="000C49C9"/>
    <w:rsid w:val="000C4A7B"/>
    <w:rsid w:val="000C4FBF"/>
    <w:rsid w:val="000C6BED"/>
    <w:rsid w:val="000C7AA3"/>
    <w:rsid w:val="000D006B"/>
    <w:rsid w:val="000D046F"/>
    <w:rsid w:val="000D1765"/>
    <w:rsid w:val="000D1B40"/>
    <w:rsid w:val="000D1C8E"/>
    <w:rsid w:val="000D1EEF"/>
    <w:rsid w:val="000D21B4"/>
    <w:rsid w:val="000D3063"/>
    <w:rsid w:val="000D40B7"/>
    <w:rsid w:val="000D4366"/>
    <w:rsid w:val="000D7356"/>
    <w:rsid w:val="000D774A"/>
    <w:rsid w:val="000D7DC0"/>
    <w:rsid w:val="000E10FD"/>
    <w:rsid w:val="000E1CAC"/>
    <w:rsid w:val="000E211A"/>
    <w:rsid w:val="000E24B7"/>
    <w:rsid w:val="000E3176"/>
    <w:rsid w:val="000E3DEC"/>
    <w:rsid w:val="000E439D"/>
    <w:rsid w:val="000E488F"/>
    <w:rsid w:val="000E4971"/>
    <w:rsid w:val="000E538E"/>
    <w:rsid w:val="000E5A88"/>
    <w:rsid w:val="000E5B97"/>
    <w:rsid w:val="000E5FF9"/>
    <w:rsid w:val="000E6974"/>
    <w:rsid w:val="000E6A06"/>
    <w:rsid w:val="000E6D17"/>
    <w:rsid w:val="000E6E5F"/>
    <w:rsid w:val="000F0248"/>
    <w:rsid w:val="000F08F2"/>
    <w:rsid w:val="000F143A"/>
    <w:rsid w:val="000F1ADE"/>
    <w:rsid w:val="000F1DE6"/>
    <w:rsid w:val="000F23CC"/>
    <w:rsid w:val="000F24C3"/>
    <w:rsid w:val="000F3328"/>
    <w:rsid w:val="000F3F95"/>
    <w:rsid w:val="000F4BD1"/>
    <w:rsid w:val="000F4C95"/>
    <w:rsid w:val="000F4DA3"/>
    <w:rsid w:val="000F518B"/>
    <w:rsid w:val="000F60B3"/>
    <w:rsid w:val="000F724D"/>
    <w:rsid w:val="000F74B8"/>
    <w:rsid w:val="000F778A"/>
    <w:rsid w:val="000F7921"/>
    <w:rsid w:val="0010092F"/>
    <w:rsid w:val="001010AC"/>
    <w:rsid w:val="00101D15"/>
    <w:rsid w:val="00102F80"/>
    <w:rsid w:val="00103034"/>
    <w:rsid w:val="0010398C"/>
    <w:rsid w:val="00103AC6"/>
    <w:rsid w:val="00104E0C"/>
    <w:rsid w:val="00104EB5"/>
    <w:rsid w:val="00105143"/>
    <w:rsid w:val="00106633"/>
    <w:rsid w:val="00107438"/>
    <w:rsid w:val="00107918"/>
    <w:rsid w:val="00110105"/>
    <w:rsid w:val="00110D19"/>
    <w:rsid w:val="00111C13"/>
    <w:rsid w:val="0011264D"/>
    <w:rsid w:val="00113403"/>
    <w:rsid w:val="00113E21"/>
    <w:rsid w:val="00115277"/>
    <w:rsid w:val="00115A75"/>
    <w:rsid w:val="0011694B"/>
    <w:rsid w:val="001169AD"/>
    <w:rsid w:val="00117EFB"/>
    <w:rsid w:val="001213F7"/>
    <w:rsid w:val="00122BA4"/>
    <w:rsid w:val="00123383"/>
    <w:rsid w:val="00124F99"/>
    <w:rsid w:val="001254A9"/>
    <w:rsid w:val="00126228"/>
    <w:rsid w:val="001266C2"/>
    <w:rsid w:val="001279EF"/>
    <w:rsid w:val="00127A53"/>
    <w:rsid w:val="001305A2"/>
    <w:rsid w:val="00133C7C"/>
    <w:rsid w:val="00134A4E"/>
    <w:rsid w:val="00134CC1"/>
    <w:rsid w:val="00135204"/>
    <w:rsid w:val="001362AA"/>
    <w:rsid w:val="00137260"/>
    <w:rsid w:val="00140C1B"/>
    <w:rsid w:val="00140C23"/>
    <w:rsid w:val="00140FA3"/>
    <w:rsid w:val="001416FC"/>
    <w:rsid w:val="001418E2"/>
    <w:rsid w:val="00141915"/>
    <w:rsid w:val="00141C4D"/>
    <w:rsid w:val="00141E46"/>
    <w:rsid w:val="001434CA"/>
    <w:rsid w:val="00144DA2"/>
    <w:rsid w:val="00145496"/>
    <w:rsid w:val="00145719"/>
    <w:rsid w:val="00145E4E"/>
    <w:rsid w:val="0014636F"/>
    <w:rsid w:val="00146713"/>
    <w:rsid w:val="00146C3F"/>
    <w:rsid w:val="0014715D"/>
    <w:rsid w:val="001479AA"/>
    <w:rsid w:val="001508A9"/>
    <w:rsid w:val="00150A08"/>
    <w:rsid w:val="0015115C"/>
    <w:rsid w:val="00151B4E"/>
    <w:rsid w:val="00151C62"/>
    <w:rsid w:val="00152ACD"/>
    <w:rsid w:val="00152DA0"/>
    <w:rsid w:val="00155486"/>
    <w:rsid w:val="00157102"/>
    <w:rsid w:val="001573C0"/>
    <w:rsid w:val="00157A3A"/>
    <w:rsid w:val="001608DC"/>
    <w:rsid w:val="00160FD1"/>
    <w:rsid w:val="001616D6"/>
    <w:rsid w:val="00161CCF"/>
    <w:rsid w:val="00161E70"/>
    <w:rsid w:val="00162034"/>
    <w:rsid w:val="001623F5"/>
    <w:rsid w:val="00163DA0"/>
    <w:rsid w:val="00164268"/>
    <w:rsid w:val="001651E6"/>
    <w:rsid w:val="00165D85"/>
    <w:rsid w:val="00165DCD"/>
    <w:rsid w:val="00165F4E"/>
    <w:rsid w:val="00166E93"/>
    <w:rsid w:val="001672F6"/>
    <w:rsid w:val="00167982"/>
    <w:rsid w:val="00170248"/>
    <w:rsid w:val="00170273"/>
    <w:rsid w:val="00170799"/>
    <w:rsid w:val="00171123"/>
    <w:rsid w:val="00171608"/>
    <w:rsid w:val="0017186E"/>
    <w:rsid w:val="00171D97"/>
    <w:rsid w:val="0017215B"/>
    <w:rsid w:val="001730BD"/>
    <w:rsid w:val="00173A14"/>
    <w:rsid w:val="001745DB"/>
    <w:rsid w:val="00175961"/>
    <w:rsid w:val="0017697D"/>
    <w:rsid w:val="0017698D"/>
    <w:rsid w:val="00176D52"/>
    <w:rsid w:val="001772CB"/>
    <w:rsid w:val="00177909"/>
    <w:rsid w:val="001818F3"/>
    <w:rsid w:val="00181BFB"/>
    <w:rsid w:val="00181C9F"/>
    <w:rsid w:val="00181D9D"/>
    <w:rsid w:val="001821B2"/>
    <w:rsid w:val="001826B7"/>
    <w:rsid w:val="0018280D"/>
    <w:rsid w:val="00182857"/>
    <w:rsid w:val="00183482"/>
    <w:rsid w:val="001842C4"/>
    <w:rsid w:val="001845B3"/>
    <w:rsid w:val="00184897"/>
    <w:rsid w:val="00185321"/>
    <w:rsid w:val="001853D9"/>
    <w:rsid w:val="00186146"/>
    <w:rsid w:val="00186863"/>
    <w:rsid w:val="0018706C"/>
    <w:rsid w:val="00190119"/>
    <w:rsid w:val="00190142"/>
    <w:rsid w:val="00190F13"/>
    <w:rsid w:val="00191210"/>
    <w:rsid w:val="001912CD"/>
    <w:rsid w:val="001915F3"/>
    <w:rsid w:val="001919D4"/>
    <w:rsid w:val="001921FA"/>
    <w:rsid w:val="0019238B"/>
    <w:rsid w:val="001923D0"/>
    <w:rsid w:val="00192969"/>
    <w:rsid w:val="00192C86"/>
    <w:rsid w:val="00193003"/>
    <w:rsid w:val="00194615"/>
    <w:rsid w:val="00194735"/>
    <w:rsid w:val="0019473D"/>
    <w:rsid w:val="00194D54"/>
    <w:rsid w:val="0019585A"/>
    <w:rsid w:val="001965DF"/>
    <w:rsid w:val="00196B58"/>
    <w:rsid w:val="001974F2"/>
    <w:rsid w:val="0019792E"/>
    <w:rsid w:val="00197D10"/>
    <w:rsid w:val="00197DD0"/>
    <w:rsid w:val="001A02AD"/>
    <w:rsid w:val="001A10D8"/>
    <w:rsid w:val="001A147C"/>
    <w:rsid w:val="001A2E3F"/>
    <w:rsid w:val="001A33E1"/>
    <w:rsid w:val="001A3797"/>
    <w:rsid w:val="001A38A6"/>
    <w:rsid w:val="001A3C90"/>
    <w:rsid w:val="001A4982"/>
    <w:rsid w:val="001A524F"/>
    <w:rsid w:val="001A59FB"/>
    <w:rsid w:val="001A6654"/>
    <w:rsid w:val="001A6CF4"/>
    <w:rsid w:val="001A7D35"/>
    <w:rsid w:val="001B006C"/>
    <w:rsid w:val="001B10C8"/>
    <w:rsid w:val="001B1228"/>
    <w:rsid w:val="001B1913"/>
    <w:rsid w:val="001B21C7"/>
    <w:rsid w:val="001B21D4"/>
    <w:rsid w:val="001B3570"/>
    <w:rsid w:val="001B35FD"/>
    <w:rsid w:val="001B37C2"/>
    <w:rsid w:val="001B3DB6"/>
    <w:rsid w:val="001B4DE3"/>
    <w:rsid w:val="001B5409"/>
    <w:rsid w:val="001B64A2"/>
    <w:rsid w:val="001B74CF"/>
    <w:rsid w:val="001B771D"/>
    <w:rsid w:val="001C047C"/>
    <w:rsid w:val="001C18D0"/>
    <w:rsid w:val="001C1EB3"/>
    <w:rsid w:val="001C2581"/>
    <w:rsid w:val="001C4447"/>
    <w:rsid w:val="001C5232"/>
    <w:rsid w:val="001C667F"/>
    <w:rsid w:val="001C6C2D"/>
    <w:rsid w:val="001C72CF"/>
    <w:rsid w:val="001D1023"/>
    <w:rsid w:val="001D12F0"/>
    <w:rsid w:val="001D19F0"/>
    <w:rsid w:val="001D1D88"/>
    <w:rsid w:val="001D3CD3"/>
    <w:rsid w:val="001D59DC"/>
    <w:rsid w:val="001D5B76"/>
    <w:rsid w:val="001D7974"/>
    <w:rsid w:val="001D7D31"/>
    <w:rsid w:val="001E022A"/>
    <w:rsid w:val="001E12BF"/>
    <w:rsid w:val="001E1C34"/>
    <w:rsid w:val="001E2081"/>
    <w:rsid w:val="001E365B"/>
    <w:rsid w:val="001E4882"/>
    <w:rsid w:val="001E4937"/>
    <w:rsid w:val="001E4B8B"/>
    <w:rsid w:val="001E4C84"/>
    <w:rsid w:val="001E5501"/>
    <w:rsid w:val="001E5704"/>
    <w:rsid w:val="001E6391"/>
    <w:rsid w:val="001E7500"/>
    <w:rsid w:val="001E7B4A"/>
    <w:rsid w:val="001F158D"/>
    <w:rsid w:val="001F251F"/>
    <w:rsid w:val="001F2592"/>
    <w:rsid w:val="001F3826"/>
    <w:rsid w:val="001F3B31"/>
    <w:rsid w:val="001F3E7E"/>
    <w:rsid w:val="001F5B4F"/>
    <w:rsid w:val="001F5DE4"/>
    <w:rsid w:val="001F61B9"/>
    <w:rsid w:val="001F68D0"/>
    <w:rsid w:val="001F7342"/>
    <w:rsid w:val="001F7470"/>
    <w:rsid w:val="001F77BC"/>
    <w:rsid w:val="001F7A65"/>
    <w:rsid w:val="002012EA"/>
    <w:rsid w:val="00201BC4"/>
    <w:rsid w:val="0020216A"/>
    <w:rsid w:val="00202599"/>
    <w:rsid w:val="00203FFE"/>
    <w:rsid w:val="0020516B"/>
    <w:rsid w:val="00205767"/>
    <w:rsid w:val="0020592B"/>
    <w:rsid w:val="00206390"/>
    <w:rsid w:val="00206DED"/>
    <w:rsid w:val="002074E2"/>
    <w:rsid w:val="00207541"/>
    <w:rsid w:val="0020798A"/>
    <w:rsid w:val="0021025C"/>
    <w:rsid w:val="0021058F"/>
    <w:rsid w:val="0021181A"/>
    <w:rsid w:val="00211E70"/>
    <w:rsid w:val="00211F8A"/>
    <w:rsid w:val="002120C9"/>
    <w:rsid w:val="00212913"/>
    <w:rsid w:val="00212AF6"/>
    <w:rsid w:val="00213F86"/>
    <w:rsid w:val="00214214"/>
    <w:rsid w:val="002142F2"/>
    <w:rsid w:val="002143CC"/>
    <w:rsid w:val="00214504"/>
    <w:rsid w:val="00215A49"/>
    <w:rsid w:val="00215CBE"/>
    <w:rsid w:val="00215DE2"/>
    <w:rsid w:val="00215EC6"/>
    <w:rsid w:val="00216225"/>
    <w:rsid w:val="00216909"/>
    <w:rsid w:val="00217AFD"/>
    <w:rsid w:val="002218B0"/>
    <w:rsid w:val="00221F97"/>
    <w:rsid w:val="0022297B"/>
    <w:rsid w:val="002230C7"/>
    <w:rsid w:val="0022433E"/>
    <w:rsid w:val="002255F9"/>
    <w:rsid w:val="00226772"/>
    <w:rsid w:val="00226C0B"/>
    <w:rsid w:val="00227ABA"/>
    <w:rsid w:val="00227D65"/>
    <w:rsid w:val="002308D2"/>
    <w:rsid w:val="002311D7"/>
    <w:rsid w:val="00231284"/>
    <w:rsid w:val="002312AE"/>
    <w:rsid w:val="00231C32"/>
    <w:rsid w:val="00231F9A"/>
    <w:rsid w:val="00232C5C"/>
    <w:rsid w:val="00233A82"/>
    <w:rsid w:val="00233A8B"/>
    <w:rsid w:val="00233B31"/>
    <w:rsid w:val="00235077"/>
    <w:rsid w:val="0023574E"/>
    <w:rsid w:val="00235B54"/>
    <w:rsid w:val="00236ED6"/>
    <w:rsid w:val="00237EEB"/>
    <w:rsid w:val="00240CAF"/>
    <w:rsid w:val="002421D4"/>
    <w:rsid w:val="002422D9"/>
    <w:rsid w:val="002424D9"/>
    <w:rsid w:val="00242624"/>
    <w:rsid w:val="00243B60"/>
    <w:rsid w:val="0024588A"/>
    <w:rsid w:val="00245AD5"/>
    <w:rsid w:val="00245CC1"/>
    <w:rsid w:val="002461A7"/>
    <w:rsid w:val="002466AF"/>
    <w:rsid w:val="00246EF2"/>
    <w:rsid w:val="002475D3"/>
    <w:rsid w:val="002478BC"/>
    <w:rsid w:val="0025061E"/>
    <w:rsid w:val="002507EE"/>
    <w:rsid w:val="00251186"/>
    <w:rsid w:val="00251B1C"/>
    <w:rsid w:val="00251D9F"/>
    <w:rsid w:val="00252940"/>
    <w:rsid w:val="002532E2"/>
    <w:rsid w:val="002534C9"/>
    <w:rsid w:val="00254266"/>
    <w:rsid w:val="002545E8"/>
    <w:rsid w:val="002555C8"/>
    <w:rsid w:val="00255BF4"/>
    <w:rsid w:val="00256072"/>
    <w:rsid w:val="002576FD"/>
    <w:rsid w:val="002578BF"/>
    <w:rsid w:val="00260285"/>
    <w:rsid w:val="00260634"/>
    <w:rsid w:val="002608E2"/>
    <w:rsid w:val="00260914"/>
    <w:rsid w:val="00261079"/>
    <w:rsid w:val="00261328"/>
    <w:rsid w:val="00261797"/>
    <w:rsid w:val="00262790"/>
    <w:rsid w:val="002631A4"/>
    <w:rsid w:val="00263578"/>
    <w:rsid w:val="002643B8"/>
    <w:rsid w:val="0026454C"/>
    <w:rsid w:val="00264C3A"/>
    <w:rsid w:val="00264C9D"/>
    <w:rsid w:val="00265507"/>
    <w:rsid w:val="00265A3F"/>
    <w:rsid w:val="00265AC4"/>
    <w:rsid w:val="00265C9B"/>
    <w:rsid w:val="00265EB4"/>
    <w:rsid w:val="002666AD"/>
    <w:rsid w:val="00266A67"/>
    <w:rsid w:val="0026766E"/>
    <w:rsid w:val="00267932"/>
    <w:rsid w:val="002710B5"/>
    <w:rsid w:val="002713A2"/>
    <w:rsid w:val="00273C80"/>
    <w:rsid w:val="002745C2"/>
    <w:rsid w:val="002746BA"/>
    <w:rsid w:val="00275858"/>
    <w:rsid w:val="00275B1C"/>
    <w:rsid w:val="00276334"/>
    <w:rsid w:val="0027741F"/>
    <w:rsid w:val="002777B1"/>
    <w:rsid w:val="00277C40"/>
    <w:rsid w:val="00277E95"/>
    <w:rsid w:val="00280617"/>
    <w:rsid w:val="00280E3E"/>
    <w:rsid w:val="0028101E"/>
    <w:rsid w:val="00281FAC"/>
    <w:rsid w:val="00282367"/>
    <w:rsid w:val="002823A4"/>
    <w:rsid w:val="00282618"/>
    <w:rsid w:val="00282B87"/>
    <w:rsid w:val="00282D86"/>
    <w:rsid w:val="00282E01"/>
    <w:rsid w:val="00282FF7"/>
    <w:rsid w:val="0028315B"/>
    <w:rsid w:val="0028319D"/>
    <w:rsid w:val="0028470F"/>
    <w:rsid w:val="00285A54"/>
    <w:rsid w:val="00285E9D"/>
    <w:rsid w:val="00286963"/>
    <w:rsid w:val="0028726E"/>
    <w:rsid w:val="002900FA"/>
    <w:rsid w:val="00290467"/>
    <w:rsid w:val="0029064E"/>
    <w:rsid w:val="00290D06"/>
    <w:rsid w:val="002917EB"/>
    <w:rsid w:val="0029326C"/>
    <w:rsid w:val="00294B62"/>
    <w:rsid w:val="00295B8B"/>
    <w:rsid w:val="00296CB2"/>
    <w:rsid w:val="00296E41"/>
    <w:rsid w:val="00297CA9"/>
    <w:rsid w:val="002A01BA"/>
    <w:rsid w:val="002A05BF"/>
    <w:rsid w:val="002A0A3E"/>
    <w:rsid w:val="002A13C8"/>
    <w:rsid w:val="002A1A89"/>
    <w:rsid w:val="002A331E"/>
    <w:rsid w:val="002A3A83"/>
    <w:rsid w:val="002A4C6D"/>
    <w:rsid w:val="002A550A"/>
    <w:rsid w:val="002A5955"/>
    <w:rsid w:val="002A5B00"/>
    <w:rsid w:val="002A749A"/>
    <w:rsid w:val="002B250C"/>
    <w:rsid w:val="002B33DD"/>
    <w:rsid w:val="002B48E2"/>
    <w:rsid w:val="002B4C67"/>
    <w:rsid w:val="002B531E"/>
    <w:rsid w:val="002B5730"/>
    <w:rsid w:val="002B618D"/>
    <w:rsid w:val="002B66CA"/>
    <w:rsid w:val="002B7154"/>
    <w:rsid w:val="002B7315"/>
    <w:rsid w:val="002C00E9"/>
    <w:rsid w:val="002C0590"/>
    <w:rsid w:val="002C0DF3"/>
    <w:rsid w:val="002C14B7"/>
    <w:rsid w:val="002C159F"/>
    <w:rsid w:val="002C1BE7"/>
    <w:rsid w:val="002C24F6"/>
    <w:rsid w:val="002C28C7"/>
    <w:rsid w:val="002C32B4"/>
    <w:rsid w:val="002C3790"/>
    <w:rsid w:val="002C44EC"/>
    <w:rsid w:val="002C570B"/>
    <w:rsid w:val="002C60EE"/>
    <w:rsid w:val="002C62CB"/>
    <w:rsid w:val="002C6CC7"/>
    <w:rsid w:val="002C723F"/>
    <w:rsid w:val="002C7CB0"/>
    <w:rsid w:val="002C7DCF"/>
    <w:rsid w:val="002D05D1"/>
    <w:rsid w:val="002D1BAC"/>
    <w:rsid w:val="002D25BC"/>
    <w:rsid w:val="002D28E5"/>
    <w:rsid w:val="002D2CBF"/>
    <w:rsid w:val="002D2F1C"/>
    <w:rsid w:val="002D3AE7"/>
    <w:rsid w:val="002D3CA1"/>
    <w:rsid w:val="002D4876"/>
    <w:rsid w:val="002D4A5B"/>
    <w:rsid w:val="002D545A"/>
    <w:rsid w:val="002D6113"/>
    <w:rsid w:val="002D6D32"/>
    <w:rsid w:val="002D7DF8"/>
    <w:rsid w:val="002E1CD8"/>
    <w:rsid w:val="002E1D3E"/>
    <w:rsid w:val="002E2C95"/>
    <w:rsid w:val="002E3421"/>
    <w:rsid w:val="002E3694"/>
    <w:rsid w:val="002E3AEE"/>
    <w:rsid w:val="002E4731"/>
    <w:rsid w:val="002E6550"/>
    <w:rsid w:val="002E6ECB"/>
    <w:rsid w:val="002E786C"/>
    <w:rsid w:val="002F0EB6"/>
    <w:rsid w:val="002F19A9"/>
    <w:rsid w:val="002F1C67"/>
    <w:rsid w:val="002F2E6D"/>
    <w:rsid w:val="002F305D"/>
    <w:rsid w:val="002F3AF0"/>
    <w:rsid w:val="002F5EBF"/>
    <w:rsid w:val="002F6BCB"/>
    <w:rsid w:val="002F76B8"/>
    <w:rsid w:val="002F76FB"/>
    <w:rsid w:val="002F7F70"/>
    <w:rsid w:val="0030097E"/>
    <w:rsid w:val="00300DF7"/>
    <w:rsid w:val="0030163D"/>
    <w:rsid w:val="00301F0A"/>
    <w:rsid w:val="003023C7"/>
    <w:rsid w:val="003027B7"/>
    <w:rsid w:val="00302A72"/>
    <w:rsid w:val="00303F1B"/>
    <w:rsid w:val="0030473E"/>
    <w:rsid w:val="003054A4"/>
    <w:rsid w:val="00306595"/>
    <w:rsid w:val="0031027C"/>
    <w:rsid w:val="00310445"/>
    <w:rsid w:val="0031046A"/>
    <w:rsid w:val="00311552"/>
    <w:rsid w:val="003119FF"/>
    <w:rsid w:val="00311F9C"/>
    <w:rsid w:val="003121F8"/>
    <w:rsid w:val="00312DD7"/>
    <w:rsid w:val="0031442D"/>
    <w:rsid w:val="0031498D"/>
    <w:rsid w:val="00315824"/>
    <w:rsid w:val="003158CA"/>
    <w:rsid w:val="00316891"/>
    <w:rsid w:val="00316A73"/>
    <w:rsid w:val="003177F8"/>
    <w:rsid w:val="003207B5"/>
    <w:rsid w:val="00320EF7"/>
    <w:rsid w:val="00320F2B"/>
    <w:rsid w:val="00321053"/>
    <w:rsid w:val="00321123"/>
    <w:rsid w:val="0032132E"/>
    <w:rsid w:val="00321DF4"/>
    <w:rsid w:val="0032273F"/>
    <w:rsid w:val="00322F10"/>
    <w:rsid w:val="00324D6E"/>
    <w:rsid w:val="003251D4"/>
    <w:rsid w:val="00325DB8"/>
    <w:rsid w:val="00326332"/>
    <w:rsid w:val="00326DCB"/>
    <w:rsid w:val="00327182"/>
    <w:rsid w:val="003273DB"/>
    <w:rsid w:val="00327832"/>
    <w:rsid w:val="0033063B"/>
    <w:rsid w:val="003312F1"/>
    <w:rsid w:val="003313DC"/>
    <w:rsid w:val="003318F6"/>
    <w:rsid w:val="00332C61"/>
    <w:rsid w:val="003336A9"/>
    <w:rsid w:val="00334B90"/>
    <w:rsid w:val="003362F5"/>
    <w:rsid w:val="0033699D"/>
    <w:rsid w:val="00336F43"/>
    <w:rsid w:val="00337116"/>
    <w:rsid w:val="00337343"/>
    <w:rsid w:val="00340163"/>
    <w:rsid w:val="00340260"/>
    <w:rsid w:val="003408B4"/>
    <w:rsid w:val="00340CE9"/>
    <w:rsid w:val="00340E46"/>
    <w:rsid w:val="00341545"/>
    <w:rsid w:val="00341959"/>
    <w:rsid w:val="00343489"/>
    <w:rsid w:val="0034449E"/>
    <w:rsid w:val="00345318"/>
    <w:rsid w:val="00345486"/>
    <w:rsid w:val="003456B7"/>
    <w:rsid w:val="00345884"/>
    <w:rsid w:val="00345E7D"/>
    <w:rsid w:val="003468A6"/>
    <w:rsid w:val="0034706F"/>
    <w:rsid w:val="003501DC"/>
    <w:rsid w:val="0035026B"/>
    <w:rsid w:val="003506AB"/>
    <w:rsid w:val="00350C3C"/>
    <w:rsid w:val="00350CDE"/>
    <w:rsid w:val="0035177E"/>
    <w:rsid w:val="00352334"/>
    <w:rsid w:val="0035309C"/>
    <w:rsid w:val="0035465E"/>
    <w:rsid w:val="0035498E"/>
    <w:rsid w:val="00355DC5"/>
    <w:rsid w:val="00362154"/>
    <w:rsid w:val="00362ECA"/>
    <w:rsid w:val="003630B9"/>
    <w:rsid w:val="00363D29"/>
    <w:rsid w:val="003658F3"/>
    <w:rsid w:val="00366BBF"/>
    <w:rsid w:val="00366D69"/>
    <w:rsid w:val="00366F7F"/>
    <w:rsid w:val="003673C6"/>
    <w:rsid w:val="0036756A"/>
    <w:rsid w:val="00367BE0"/>
    <w:rsid w:val="00370877"/>
    <w:rsid w:val="00370F76"/>
    <w:rsid w:val="003714D2"/>
    <w:rsid w:val="00371A6E"/>
    <w:rsid w:val="00372681"/>
    <w:rsid w:val="00373356"/>
    <w:rsid w:val="00373864"/>
    <w:rsid w:val="00373FF5"/>
    <w:rsid w:val="00374188"/>
    <w:rsid w:val="00374457"/>
    <w:rsid w:val="00376007"/>
    <w:rsid w:val="00377003"/>
    <w:rsid w:val="00377EE5"/>
    <w:rsid w:val="00380205"/>
    <w:rsid w:val="00380756"/>
    <w:rsid w:val="003807DE"/>
    <w:rsid w:val="00380D0F"/>
    <w:rsid w:val="00381971"/>
    <w:rsid w:val="00381C43"/>
    <w:rsid w:val="003827D2"/>
    <w:rsid w:val="00383262"/>
    <w:rsid w:val="003833C1"/>
    <w:rsid w:val="003839BF"/>
    <w:rsid w:val="00383C2A"/>
    <w:rsid w:val="003846E2"/>
    <w:rsid w:val="003860F7"/>
    <w:rsid w:val="003909C7"/>
    <w:rsid w:val="00390D02"/>
    <w:rsid w:val="00391607"/>
    <w:rsid w:val="00392153"/>
    <w:rsid w:val="00393E09"/>
    <w:rsid w:val="003945A8"/>
    <w:rsid w:val="0039510E"/>
    <w:rsid w:val="003954B4"/>
    <w:rsid w:val="0039551D"/>
    <w:rsid w:val="00395880"/>
    <w:rsid w:val="003958AD"/>
    <w:rsid w:val="00395924"/>
    <w:rsid w:val="0039677F"/>
    <w:rsid w:val="003971F5"/>
    <w:rsid w:val="0039750E"/>
    <w:rsid w:val="003975DE"/>
    <w:rsid w:val="00397AA9"/>
    <w:rsid w:val="00397D6B"/>
    <w:rsid w:val="00397DF2"/>
    <w:rsid w:val="003A041D"/>
    <w:rsid w:val="003A0C39"/>
    <w:rsid w:val="003A0E1E"/>
    <w:rsid w:val="003A1BE2"/>
    <w:rsid w:val="003A2462"/>
    <w:rsid w:val="003A2AE9"/>
    <w:rsid w:val="003A3C25"/>
    <w:rsid w:val="003A4578"/>
    <w:rsid w:val="003A6436"/>
    <w:rsid w:val="003A7493"/>
    <w:rsid w:val="003A7E73"/>
    <w:rsid w:val="003B0F36"/>
    <w:rsid w:val="003B1502"/>
    <w:rsid w:val="003B1DBF"/>
    <w:rsid w:val="003B23AD"/>
    <w:rsid w:val="003B2889"/>
    <w:rsid w:val="003B45B9"/>
    <w:rsid w:val="003B483C"/>
    <w:rsid w:val="003B507B"/>
    <w:rsid w:val="003B5240"/>
    <w:rsid w:val="003B6105"/>
    <w:rsid w:val="003B6DF2"/>
    <w:rsid w:val="003C0B65"/>
    <w:rsid w:val="003C0E8D"/>
    <w:rsid w:val="003C248E"/>
    <w:rsid w:val="003C281C"/>
    <w:rsid w:val="003C33DC"/>
    <w:rsid w:val="003C377F"/>
    <w:rsid w:val="003C40AD"/>
    <w:rsid w:val="003C4DF4"/>
    <w:rsid w:val="003C53F2"/>
    <w:rsid w:val="003C5497"/>
    <w:rsid w:val="003C59DB"/>
    <w:rsid w:val="003C5B7B"/>
    <w:rsid w:val="003C6E5E"/>
    <w:rsid w:val="003C711D"/>
    <w:rsid w:val="003C77E9"/>
    <w:rsid w:val="003C7C13"/>
    <w:rsid w:val="003C7EF5"/>
    <w:rsid w:val="003D03A8"/>
    <w:rsid w:val="003D097F"/>
    <w:rsid w:val="003D146E"/>
    <w:rsid w:val="003D37ED"/>
    <w:rsid w:val="003D3834"/>
    <w:rsid w:val="003D3F59"/>
    <w:rsid w:val="003D4C34"/>
    <w:rsid w:val="003D5098"/>
    <w:rsid w:val="003D537B"/>
    <w:rsid w:val="003D5B19"/>
    <w:rsid w:val="003D5E7E"/>
    <w:rsid w:val="003D623A"/>
    <w:rsid w:val="003D65FF"/>
    <w:rsid w:val="003D7B9A"/>
    <w:rsid w:val="003E02B9"/>
    <w:rsid w:val="003E0A27"/>
    <w:rsid w:val="003E1E53"/>
    <w:rsid w:val="003E2784"/>
    <w:rsid w:val="003E2B23"/>
    <w:rsid w:val="003E2B40"/>
    <w:rsid w:val="003E3E35"/>
    <w:rsid w:val="003E3EA0"/>
    <w:rsid w:val="003E3F27"/>
    <w:rsid w:val="003E475A"/>
    <w:rsid w:val="003E5E22"/>
    <w:rsid w:val="003E65EC"/>
    <w:rsid w:val="003E7706"/>
    <w:rsid w:val="003E7A4E"/>
    <w:rsid w:val="003E7F13"/>
    <w:rsid w:val="003F038C"/>
    <w:rsid w:val="003F1839"/>
    <w:rsid w:val="003F25BE"/>
    <w:rsid w:val="003F2EC9"/>
    <w:rsid w:val="003F33F5"/>
    <w:rsid w:val="003F33F7"/>
    <w:rsid w:val="003F3B48"/>
    <w:rsid w:val="003F722F"/>
    <w:rsid w:val="003F7778"/>
    <w:rsid w:val="003F7AED"/>
    <w:rsid w:val="00401290"/>
    <w:rsid w:val="004016B2"/>
    <w:rsid w:val="004022CF"/>
    <w:rsid w:val="00403D05"/>
    <w:rsid w:val="00406A4D"/>
    <w:rsid w:val="00406F93"/>
    <w:rsid w:val="00406FE5"/>
    <w:rsid w:val="004071B0"/>
    <w:rsid w:val="00407400"/>
    <w:rsid w:val="00407570"/>
    <w:rsid w:val="0041028E"/>
    <w:rsid w:val="004111E2"/>
    <w:rsid w:val="0041126B"/>
    <w:rsid w:val="00411AFE"/>
    <w:rsid w:val="004120BC"/>
    <w:rsid w:val="004127F3"/>
    <w:rsid w:val="00412E26"/>
    <w:rsid w:val="0041395D"/>
    <w:rsid w:val="00413B64"/>
    <w:rsid w:val="004155F2"/>
    <w:rsid w:val="004179CE"/>
    <w:rsid w:val="0042020C"/>
    <w:rsid w:val="00421798"/>
    <w:rsid w:val="00421A85"/>
    <w:rsid w:val="00421E91"/>
    <w:rsid w:val="00422619"/>
    <w:rsid w:val="00423C20"/>
    <w:rsid w:val="004243C5"/>
    <w:rsid w:val="0042449D"/>
    <w:rsid w:val="004247E8"/>
    <w:rsid w:val="00424E2C"/>
    <w:rsid w:val="00425B89"/>
    <w:rsid w:val="00425E5C"/>
    <w:rsid w:val="00427864"/>
    <w:rsid w:val="00427E6E"/>
    <w:rsid w:val="0043081C"/>
    <w:rsid w:val="0043101A"/>
    <w:rsid w:val="004310E6"/>
    <w:rsid w:val="004313BC"/>
    <w:rsid w:val="004318C1"/>
    <w:rsid w:val="00431DF5"/>
    <w:rsid w:val="00432866"/>
    <w:rsid w:val="00432A68"/>
    <w:rsid w:val="00433445"/>
    <w:rsid w:val="004336DE"/>
    <w:rsid w:val="00434C7B"/>
    <w:rsid w:val="0043577D"/>
    <w:rsid w:val="004359AD"/>
    <w:rsid w:val="00435D15"/>
    <w:rsid w:val="00436465"/>
    <w:rsid w:val="00436F28"/>
    <w:rsid w:val="0043736F"/>
    <w:rsid w:val="004374E0"/>
    <w:rsid w:val="00437EC9"/>
    <w:rsid w:val="004404C4"/>
    <w:rsid w:val="00440574"/>
    <w:rsid w:val="00441367"/>
    <w:rsid w:val="00441E6D"/>
    <w:rsid w:val="00442248"/>
    <w:rsid w:val="00443D70"/>
    <w:rsid w:val="0044445C"/>
    <w:rsid w:val="004446C5"/>
    <w:rsid w:val="00444D2E"/>
    <w:rsid w:val="00445108"/>
    <w:rsid w:val="00445AD9"/>
    <w:rsid w:val="00446041"/>
    <w:rsid w:val="00446869"/>
    <w:rsid w:val="004479C4"/>
    <w:rsid w:val="00447B27"/>
    <w:rsid w:val="004504F0"/>
    <w:rsid w:val="00450A1C"/>
    <w:rsid w:val="00450A8C"/>
    <w:rsid w:val="00450D2E"/>
    <w:rsid w:val="00450F13"/>
    <w:rsid w:val="00452F43"/>
    <w:rsid w:val="0045454F"/>
    <w:rsid w:val="00455F79"/>
    <w:rsid w:val="00456895"/>
    <w:rsid w:val="0045724E"/>
    <w:rsid w:val="00457D74"/>
    <w:rsid w:val="00457FA3"/>
    <w:rsid w:val="00461C38"/>
    <w:rsid w:val="00462C8D"/>
    <w:rsid w:val="004637EE"/>
    <w:rsid w:val="00463BAC"/>
    <w:rsid w:val="00463F8E"/>
    <w:rsid w:val="00464215"/>
    <w:rsid w:val="004642F6"/>
    <w:rsid w:val="004647FD"/>
    <w:rsid w:val="004668C3"/>
    <w:rsid w:val="00466B25"/>
    <w:rsid w:val="0046748E"/>
    <w:rsid w:val="0046798E"/>
    <w:rsid w:val="00467A7D"/>
    <w:rsid w:val="00470034"/>
    <w:rsid w:val="004707B6"/>
    <w:rsid w:val="00470911"/>
    <w:rsid w:val="0047113B"/>
    <w:rsid w:val="00471D04"/>
    <w:rsid w:val="0047252F"/>
    <w:rsid w:val="00473070"/>
    <w:rsid w:val="0047446B"/>
    <w:rsid w:val="004747BD"/>
    <w:rsid w:val="0047484F"/>
    <w:rsid w:val="00475035"/>
    <w:rsid w:val="00475802"/>
    <w:rsid w:val="004762B1"/>
    <w:rsid w:val="0047702C"/>
    <w:rsid w:val="00477360"/>
    <w:rsid w:val="00480230"/>
    <w:rsid w:val="00480856"/>
    <w:rsid w:val="00481FD2"/>
    <w:rsid w:val="00482EEA"/>
    <w:rsid w:val="0048388D"/>
    <w:rsid w:val="004851DB"/>
    <w:rsid w:val="00485AA9"/>
    <w:rsid w:val="00485D6E"/>
    <w:rsid w:val="00485ECB"/>
    <w:rsid w:val="004901E2"/>
    <w:rsid w:val="00490531"/>
    <w:rsid w:val="004914C3"/>
    <w:rsid w:val="0049169F"/>
    <w:rsid w:val="00491702"/>
    <w:rsid w:val="0049199A"/>
    <w:rsid w:val="00491DFC"/>
    <w:rsid w:val="0049216D"/>
    <w:rsid w:val="00493BDC"/>
    <w:rsid w:val="004948BF"/>
    <w:rsid w:val="0049601B"/>
    <w:rsid w:val="00497BDE"/>
    <w:rsid w:val="004A0F90"/>
    <w:rsid w:val="004A1C39"/>
    <w:rsid w:val="004A2434"/>
    <w:rsid w:val="004A275B"/>
    <w:rsid w:val="004A3B01"/>
    <w:rsid w:val="004A3C26"/>
    <w:rsid w:val="004A5A4C"/>
    <w:rsid w:val="004A5C78"/>
    <w:rsid w:val="004A6A18"/>
    <w:rsid w:val="004A71E1"/>
    <w:rsid w:val="004A7B2F"/>
    <w:rsid w:val="004B0E2F"/>
    <w:rsid w:val="004B2931"/>
    <w:rsid w:val="004B43F5"/>
    <w:rsid w:val="004B464B"/>
    <w:rsid w:val="004B4A79"/>
    <w:rsid w:val="004B5B20"/>
    <w:rsid w:val="004B5E8E"/>
    <w:rsid w:val="004B62D2"/>
    <w:rsid w:val="004B7653"/>
    <w:rsid w:val="004C097F"/>
    <w:rsid w:val="004C1466"/>
    <w:rsid w:val="004C146D"/>
    <w:rsid w:val="004C1B75"/>
    <w:rsid w:val="004C1C08"/>
    <w:rsid w:val="004C1DE8"/>
    <w:rsid w:val="004C25A7"/>
    <w:rsid w:val="004C2A32"/>
    <w:rsid w:val="004C2EC9"/>
    <w:rsid w:val="004C3B30"/>
    <w:rsid w:val="004C3D7D"/>
    <w:rsid w:val="004C42CC"/>
    <w:rsid w:val="004C4523"/>
    <w:rsid w:val="004C4F3D"/>
    <w:rsid w:val="004C5CA1"/>
    <w:rsid w:val="004C7751"/>
    <w:rsid w:val="004D09D5"/>
    <w:rsid w:val="004D201A"/>
    <w:rsid w:val="004D2309"/>
    <w:rsid w:val="004D2C8C"/>
    <w:rsid w:val="004D3519"/>
    <w:rsid w:val="004D364E"/>
    <w:rsid w:val="004D5C5B"/>
    <w:rsid w:val="004D650A"/>
    <w:rsid w:val="004D6B71"/>
    <w:rsid w:val="004D6E0F"/>
    <w:rsid w:val="004D6E7C"/>
    <w:rsid w:val="004D737D"/>
    <w:rsid w:val="004E0381"/>
    <w:rsid w:val="004E1DCE"/>
    <w:rsid w:val="004E1F63"/>
    <w:rsid w:val="004E2019"/>
    <w:rsid w:val="004E48EB"/>
    <w:rsid w:val="004E4B11"/>
    <w:rsid w:val="004E4D16"/>
    <w:rsid w:val="004E5414"/>
    <w:rsid w:val="004E5BF3"/>
    <w:rsid w:val="004E62E8"/>
    <w:rsid w:val="004E6FD1"/>
    <w:rsid w:val="004E72BE"/>
    <w:rsid w:val="004E780F"/>
    <w:rsid w:val="004E79FF"/>
    <w:rsid w:val="004F101A"/>
    <w:rsid w:val="004F14B6"/>
    <w:rsid w:val="004F1C1A"/>
    <w:rsid w:val="004F26A1"/>
    <w:rsid w:val="004F375B"/>
    <w:rsid w:val="004F3A10"/>
    <w:rsid w:val="004F3F27"/>
    <w:rsid w:val="004F4CAC"/>
    <w:rsid w:val="004F59A3"/>
    <w:rsid w:val="004F6228"/>
    <w:rsid w:val="004F7953"/>
    <w:rsid w:val="004F795C"/>
    <w:rsid w:val="0050113E"/>
    <w:rsid w:val="00501517"/>
    <w:rsid w:val="005016FC"/>
    <w:rsid w:val="00501DE7"/>
    <w:rsid w:val="00502D6B"/>
    <w:rsid w:val="00502E64"/>
    <w:rsid w:val="00502FF3"/>
    <w:rsid w:val="005032FB"/>
    <w:rsid w:val="00503C93"/>
    <w:rsid w:val="0050481D"/>
    <w:rsid w:val="0050488E"/>
    <w:rsid w:val="00504CD0"/>
    <w:rsid w:val="00505051"/>
    <w:rsid w:val="00505683"/>
    <w:rsid w:val="005060CE"/>
    <w:rsid w:val="005067D0"/>
    <w:rsid w:val="00506803"/>
    <w:rsid w:val="00506E30"/>
    <w:rsid w:val="00506EEF"/>
    <w:rsid w:val="0051104A"/>
    <w:rsid w:val="0051198B"/>
    <w:rsid w:val="005129FD"/>
    <w:rsid w:val="00512D05"/>
    <w:rsid w:val="00513838"/>
    <w:rsid w:val="0051488E"/>
    <w:rsid w:val="005149FE"/>
    <w:rsid w:val="00515AEF"/>
    <w:rsid w:val="005165AA"/>
    <w:rsid w:val="005169F5"/>
    <w:rsid w:val="00516A46"/>
    <w:rsid w:val="00516C06"/>
    <w:rsid w:val="005171F8"/>
    <w:rsid w:val="00517A51"/>
    <w:rsid w:val="00517C14"/>
    <w:rsid w:val="00517ECB"/>
    <w:rsid w:val="00520C7E"/>
    <w:rsid w:val="00521584"/>
    <w:rsid w:val="005219F5"/>
    <w:rsid w:val="00522268"/>
    <w:rsid w:val="005228CC"/>
    <w:rsid w:val="00522E4B"/>
    <w:rsid w:val="005230DB"/>
    <w:rsid w:val="00524D76"/>
    <w:rsid w:val="00525475"/>
    <w:rsid w:val="00525ADE"/>
    <w:rsid w:val="00525BF4"/>
    <w:rsid w:val="00526A97"/>
    <w:rsid w:val="00527C1D"/>
    <w:rsid w:val="00530FFE"/>
    <w:rsid w:val="00531193"/>
    <w:rsid w:val="005316B5"/>
    <w:rsid w:val="0053170F"/>
    <w:rsid w:val="005319A3"/>
    <w:rsid w:val="005319FC"/>
    <w:rsid w:val="00531BCB"/>
    <w:rsid w:val="005338A1"/>
    <w:rsid w:val="00534C7D"/>
    <w:rsid w:val="005354BE"/>
    <w:rsid w:val="00535772"/>
    <w:rsid w:val="0053630E"/>
    <w:rsid w:val="00536E60"/>
    <w:rsid w:val="00537490"/>
    <w:rsid w:val="005375F9"/>
    <w:rsid w:val="00537F8B"/>
    <w:rsid w:val="00540096"/>
    <w:rsid w:val="00540514"/>
    <w:rsid w:val="005414E0"/>
    <w:rsid w:val="00542144"/>
    <w:rsid w:val="00543613"/>
    <w:rsid w:val="00544F0E"/>
    <w:rsid w:val="00545EDD"/>
    <w:rsid w:val="00545F04"/>
    <w:rsid w:val="00546A83"/>
    <w:rsid w:val="00546D65"/>
    <w:rsid w:val="00547029"/>
    <w:rsid w:val="005475F0"/>
    <w:rsid w:val="00547A9E"/>
    <w:rsid w:val="005511E9"/>
    <w:rsid w:val="0055217B"/>
    <w:rsid w:val="00555453"/>
    <w:rsid w:val="005571C4"/>
    <w:rsid w:val="00557845"/>
    <w:rsid w:val="00557CC5"/>
    <w:rsid w:val="0056002C"/>
    <w:rsid w:val="00560067"/>
    <w:rsid w:val="00561645"/>
    <w:rsid w:val="00561D3B"/>
    <w:rsid w:val="00562B11"/>
    <w:rsid w:val="00562F38"/>
    <w:rsid w:val="005630FD"/>
    <w:rsid w:val="00563537"/>
    <w:rsid w:val="0056371A"/>
    <w:rsid w:val="00564B46"/>
    <w:rsid w:val="005674AF"/>
    <w:rsid w:val="0057004B"/>
    <w:rsid w:val="0057019F"/>
    <w:rsid w:val="00570229"/>
    <w:rsid w:val="00570D62"/>
    <w:rsid w:val="00571B78"/>
    <w:rsid w:val="00571E82"/>
    <w:rsid w:val="00571EB3"/>
    <w:rsid w:val="00572354"/>
    <w:rsid w:val="0057287F"/>
    <w:rsid w:val="0057317F"/>
    <w:rsid w:val="00573207"/>
    <w:rsid w:val="00573539"/>
    <w:rsid w:val="00573BF9"/>
    <w:rsid w:val="00573E96"/>
    <w:rsid w:val="00574726"/>
    <w:rsid w:val="005748CE"/>
    <w:rsid w:val="00576195"/>
    <w:rsid w:val="0057767E"/>
    <w:rsid w:val="00577CF5"/>
    <w:rsid w:val="00577D16"/>
    <w:rsid w:val="00581063"/>
    <w:rsid w:val="0058117B"/>
    <w:rsid w:val="00582075"/>
    <w:rsid w:val="005827E4"/>
    <w:rsid w:val="0058302F"/>
    <w:rsid w:val="0058334D"/>
    <w:rsid w:val="00583BA9"/>
    <w:rsid w:val="00584D1C"/>
    <w:rsid w:val="005854AF"/>
    <w:rsid w:val="005878F5"/>
    <w:rsid w:val="00590BBA"/>
    <w:rsid w:val="00591373"/>
    <w:rsid w:val="00592D62"/>
    <w:rsid w:val="00592EB5"/>
    <w:rsid w:val="00593776"/>
    <w:rsid w:val="0059438E"/>
    <w:rsid w:val="005944CC"/>
    <w:rsid w:val="005944CD"/>
    <w:rsid w:val="0059494E"/>
    <w:rsid w:val="00594B94"/>
    <w:rsid w:val="00595429"/>
    <w:rsid w:val="005954F9"/>
    <w:rsid w:val="00596844"/>
    <w:rsid w:val="00596896"/>
    <w:rsid w:val="00596A33"/>
    <w:rsid w:val="00596A6B"/>
    <w:rsid w:val="00596EBB"/>
    <w:rsid w:val="0059719C"/>
    <w:rsid w:val="005972FC"/>
    <w:rsid w:val="0059734A"/>
    <w:rsid w:val="005974F6"/>
    <w:rsid w:val="00597A5B"/>
    <w:rsid w:val="005A177F"/>
    <w:rsid w:val="005A2751"/>
    <w:rsid w:val="005A2C72"/>
    <w:rsid w:val="005A2D6B"/>
    <w:rsid w:val="005A46FD"/>
    <w:rsid w:val="005A5A89"/>
    <w:rsid w:val="005A6E86"/>
    <w:rsid w:val="005A6EA6"/>
    <w:rsid w:val="005A7058"/>
    <w:rsid w:val="005A7777"/>
    <w:rsid w:val="005A7D74"/>
    <w:rsid w:val="005B04B0"/>
    <w:rsid w:val="005B073F"/>
    <w:rsid w:val="005B0A4D"/>
    <w:rsid w:val="005B106C"/>
    <w:rsid w:val="005B1290"/>
    <w:rsid w:val="005B13CB"/>
    <w:rsid w:val="005B1DB2"/>
    <w:rsid w:val="005B2933"/>
    <w:rsid w:val="005B2E01"/>
    <w:rsid w:val="005B31F2"/>
    <w:rsid w:val="005B36F9"/>
    <w:rsid w:val="005B3B5A"/>
    <w:rsid w:val="005B52AF"/>
    <w:rsid w:val="005B63BF"/>
    <w:rsid w:val="005B68FE"/>
    <w:rsid w:val="005B6A99"/>
    <w:rsid w:val="005B6BCC"/>
    <w:rsid w:val="005B7A6E"/>
    <w:rsid w:val="005C02A3"/>
    <w:rsid w:val="005C05D9"/>
    <w:rsid w:val="005C2756"/>
    <w:rsid w:val="005C2836"/>
    <w:rsid w:val="005C5743"/>
    <w:rsid w:val="005C599F"/>
    <w:rsid w:val="005C5EAC"/>
    <w:rsid w:val="005D05A0"/>
    <w:rsid w:val="005D182A"/>
    <w:rsid w:val="005D3461"/>
    <w:rsid w:val="005D37CF"/>
    <w:rsid w:val="005D3AA7"/>
    <w:rsid w:val="005D4C89"/>
    <w:rsid w:val="005D4F47"/>
    <w:rsid w:val="005D4F5F"/>
    <w:rsid w:val="005D59AA"/>
    <w:rsid w:val="005D5FFF"/>
    <w:rsid w:val="005D6B52"/>
    <w:rsid w:val="005D6CF4"/>
    <w:rsid w:val="005D7635"/>
    <w:rsid w:val="005E00BE"/>
    <w:rsid w:val="005E0A3B"/>
    <w:rsid w:val="005E1B95"/>
    <w:rsid w:val="005E2265"/>
    <w:rsid w:val="005E2397"/>
    <w:rsid w:val="005E270A"/>
    <w:rsid w:val="005E2886"/>
    <w:rsid w:val="005E3307"/>
    <w:rsid w:val="005E4CF0"/>
    <w:rsid w:val="005E4DFD"/>
    <w:rsid w:val="005E5096"/>
    <w:rsid w:val="005E548C"/>
    <w:rsid w:val="005E699D"/>
    <w:rsid w:val="005E7BA4"/>
    <w:rsid w:val="005E7C77"/>
    <w:rsid w:val="005F06C4"/>
    <w:rsid w:val="005F08EC"/>
    <w:rsid w:val="005F0A7C"/>
    <w:rsid w:val="005F0C4C"/>
    <w:rsid w:val="005F0C5E"/>
    <w:rsid w:val="005F0DD5"/>
    <w:rsid w:val="005F18B6"/>
    <w:rsid w:val="005F1C04"/>
    <w:rsid w:val="005F1EE1"/>
    <w:rsid w:val="005F1FE6"/>
    <w:rsid w:val="005F2677"/>
    <w:rsid w:val="005F277E"/>
    <w:rsid w:val="005F2BE5"/>
    <w:rsid w:val="005F52E8"/>
    <w:rsid w:val="005F53F2"/>
    <w:rsid w:val="005F5E97"/>
    <w:rsid w:val="005F5EAE"/>
    <w:rsid w:val="005F60CA"/>
    <w:rsid w:val="005F6475"/>
    <w:rsid w:val="005F72CD"/>
    <w:rsid w:val="005F752E"/>
    <w:rsid w:val="006011A8"/>
    <w:rsid w:val="00601F6E"/>
    <w:rsid w:val="00602C8B"/>
    <w:rsid w:val="0060342D"/>
    <w:rsid w:val="006035B5"/>
    <w:rsid w:val="00605199"/>
    <w:rsid w:val="006058A2"/>
    <w:rsid w:val="00606781"/>
    <w:rsid w:val="006067C6"/>
    <w:rsid w:val="00606AC9"/>
    <w:rsid w:val="006070DC"/>
    <w:rsid w:val="00607627"/>
    <w:rsid w:val="00610A54"/>
    <w:rsid w:val="00610EE4"/>
    <w:rsid w:val="00611463"/>
    <w:rsid w:val="00611834"/>
    <w:rsid w:val="00612475"/>
    <w:rsid w:val="0061266C"/>
    <w:rsid w:val="00612B48"/>
    <w:rsid w:val="006134B9"/>
    <w:rsid w:val="00613702"/>
    <w:rsid w:val="00613F6F"/>
    <w:rsid w:val="006159BA"/>
    <w:rsid w:val="00616D1C"/>
    <w:rsid w:val="00616FD4"/>
    <w:rsid w:val="00617CF0"/>
    <w:rsid w:val="00620FA3"/>
    <w:rsid w:val="006210CB"/>
    <w:rsid w:val="006213C9"/>
    <w:rsid w:val="00621DAD"/>
    <w:rsid w:val="0062342F"/>
    <w:rsid w:val="00623436"/>
    <w:rsid w:val="00623966"/>
    <w:rsid w:val="00624CAC"/>
    <w:rsid w:val="006256E1"/>
    <w:rsid w:val="006269C5"/>
    <w:rsid w:val="00626BEC"/>
    <w:rsid w:val="00626E4C"/>
    <w:rsid w:val="0062736F"/>
    <w:rsid w:val="00630B6C"/>
    <w:rsid w:val="006316B5"/>
    <w:rsid w:val="00631A83"/>
    <w:rsid w:val="00632187"/>
    <w:rsid w:val="00632302"/>
    <w:rsid w:val="00632BA4"/>
    <w:rsid w:val="00633992"/>
    <w:rsid w:val="0063408D"/>
    <w:rsid w:val="0063492F"/>
    <w:rsid w:val="00634EA3"/>
    <w:rsid w:val="006357F0"/>
    <w:rsid w:val="006360D1"/>
    <w:rsid w:val="006362BE"/>
    <w:rsid w:val="00636BDB"/>
    <w:rsid w:val="00637376"/>
    <w:rsid w:val="00637B02"/>
    <w:rsid w:val="00640AE0"/>
    <w:rsid w:val="00640F86"/>
    <w:rsid w:val="00643D4C"/>
    <w:rsid w:val="00645027"/>
    <w:rsid w:val="00645967"/>
    <w:rsid w:val="00645BD6"/>
    <w:rsid w:val="00650C19"/>
    <w:rsid w:val="00651228"/>
    <w:rsid w:val="0065160C"/>
    <w:rsid w:val="0065178E"/>
    <w:rsid w:val="006523D5"/>
    <w:rsid w:val="006528C0"/>
    <w:rsid w:val="00652C4A"/>
    <w:rsid w:val="00655D5D"/>
    <w:rsid w:val="00656163"/>
    <w:rsid w:val="006569E8"/>
    <w:rsid w:val="006570FD"/>
    <w:rsid w:val="00657823"/>
    <w:rsid w:val="00657C66"/>
    <w:rsid w:val="00660B1E"/>
    <w:rsid w:val="00661F27"/>
    <w:rsid w:val="00662510"/>
    <w:rsid w:val="00662685"/>
    <w:rsid w:val="006637C2"/>
    <w:rsid w:val="00663CA5"/>
    <w:rsid w:val="00663EC5"/>
    <w:rsid w:val="0066472C"/>
    <w:rsid w:val="00664E48"/>
    <w:rsid w:val="0066505F"/>
    <w:rsid w:val="00665559"/>
    <w:rsid w:val="006655BC"/>
    <w:rsid w:val="00666D10"/>
    <w:rsid w:val="0066765F"/>
    <w:rsid w:val="00667696"/>
    <w:rsid w:val="0066783D"/>
    <w:rsid w:val="00667961"/>
    <w:rsid w:val="00667EE4"/>
    <w:rsid w:val="00671729"/>
    <w:rsid w:val="00671A4E"/>
    <w:rsid w:val="00672CCB"/>
    <w:rsid w:val="00676A82"/>
    <w:rsid w:val="00677684"/>
    <w:rsid w:val="006805A0"/>
    <w:rsid w:val="006805CE"/>
    <w:rsid w:val="0068080F"/>
    <w:rsid w:val="00680840"/>
    <w:rsid w:val="00680A0E"/>
    <w:rsid w:val="00680D6D"/>
    <w:rsid w:val="00681E8E"/>
    <w:rsid w:val="00682271"/>
    <w:rsid w:val="006829D8"/>
    <w:rsid w:val="00682F1F"/>
    <w:rsid w:val="006835CC"/>
    <w:rsid w:val="006835F3"/>
    <w:rsid w:val="00683790"/>
    <w:rsid w:val="00683D33"/>
    <w:rsid w:val="00684E0D"/>
    <w:rsid w:val="00684E28"/>
    <w:rsid w:val="00684E70"/>
    <w:rsid w:val="006871C0"/>
    <w:rsid w:val="006871F3"/>
    <w:rsid w:val="00687809"/>
    <w:rsid w:val="00687CB2"/>
    <w:rsid w:val="00690BCB"/>
    <w:rsid w:val="00690BFC"/>
    <w:rsid w:val="00690EC8"/>
    <w:rsid w:val="00691458"/>
    <w:rsid w:val="006923AC"/>
    <w:rsid w:val="00693B2B"/>
    <w:rsid w:val="00693DAC"/>
    <w:rsid w:val="00693FBC"/>
    <w:rsid w:val="006942B9"/>
    <w:rsid w:val="00695031"/>
    <w:rsid w:val="006953DF"/>
    <w:rsid w:val="00696093"/>
    <w:rsid w:val="006965A6"/>
    <w:rsid w:val="00696BFE"/>
    <w:rsid w:val="006972C7"/>
    <w:rsid w:val="006A0BD2"/>
    <w:rsid w:val="006A185C"/>
    <w:rsid w:val="006A272E"/>
    <w:rsid w:val="006A287A"/>
    <w:rsid w:val="006A2AEA"/>
    <w:rsid w:val="006A36FE"/>
    <w:rsid w:val="006A4541"/>
    <w:rsid w:val="006A47F3"/>
    <w:rsid w:val="006A5888"/>
    <w:rsid w:val="006A6057"/>
    <w:rsid w:val="006A6772"/>
    <w:rsid w:val="006A69AF"/>
    <w:rsid w:val="006A6C3D"/>
    <w:rsid w:val="006A7129"/>
    <w:rsid w:val="006A7289"/>
    <w:rsid w:val="006A7F75"/>
    <w:rsid w:val="006B073A"/>
    <w:rsid w:val="006B164E"/>
    <w:rsid w:val="006B180C"/>
    <w:rsid w:val="006B276F"/>
    <w:rsid w:val="006B2998"/>
    <w:rsid w:val="006B36F0"/>
    <w:rsid w:val="006B4419"/>
    <w:rsid w:val="006B467B"/>
    <w:rsid w:val="006B50E4"/>
    <w:rsid w:val="006B5459"/>
    <w:rsid w:val="006B605F"/>
    <w:rsid w:val="006B68FF"/>
    <w:rsid w:val="006B7E44"/>
    <w:rsid w:val="006C1075"/>
    <w:rsid w:val="006C2914"/>
    <w:rsid w:val="006C2A6D"/>
    <w:rsid w:val="006C2D24"/>
    <w:rsid w:val="006C325B"/>
    <w:rsid w:val="006C3B2D"/>
    <w:rsid w:val="006C3D15"/>
    <w:rsid w:val="006C4BB2"/>
    <w:rsid w:val="006C5F85"/>
    <w:rsid w:val="006C607D"/>
    <w:rsid w:val="006C6B14"/>
    <w:rsid w:val="006C6D2B"/>
    <w:rsid w:val="006C6E1A"/>
    <w:rsid w:val="006D0B32"/>
    <w:rsid w:val="006D1071"/>
    <w:rsid w:val="006D1777"/>
    <w:rsid w:val="006D19A6"/>
    <w:rsid w:val="006D2545"/>
    <w:rsid w:val="006D296C"/>
    <w:rsid w:val="006D2D5D"/>
    <w:rsid w:val="006D3CC5"/>
    <w:rsid w:val="006D4016"/>
    <w:rsid w:val="006D45FA"/>
    <w:rsid w:val="006D4648"/>
    <w:rsid w:val="006D4C90"/>
    <w:rsid w:val="006D5141"/>
    <w:rsid w:val="006D5B1C"/>
    <w:rsid w:val="006D6F4A"/>
    <w:rsid w:val="006E047C"/>
    <w:rsid w:val="006E0745"/>
    <w:rsid w:val="006E08DB"/>
    <w:rsid w:val="006E0BD5"/>
    <w:rsid w:val="006E1899"/>
    <w:rsid w:val="006E1F5E"/>
    <w:rsid w:val="006E2999"/>
    <w:rsid w:val="006E2AD5"/>
    <w:rsid w:val="006E31E6"/>
    <w:rsid w:val="006E3510"/>
    <w:rsid w:val="006E3694"/>
    <w:rsid w:val="006E3B2B"/>
    <w:rsid w:val="006E3DB3"/>
    <w:rsid w:val="006E4415"/>
    <w:rsid w:val="006E700C"/>
    <w:rsid w:val="006E7C28"/>
    <w:rsid w:val="006F0B38"/>
    <w:rsid w:val="006F0E4C"/>
    <w:rsid w:val="006F1704"/>
    <w:rsid w:val="006F23F7"/>
    <w:rsid w:val="006F36F8"/>
    <w:rsid w:val="006F4191"/>
    <w:rsid w:val="006F45C1"/>
    <w:rsid w:val="006F48B9"/>
    <w:rsid w:val="006F55C2"/>
    <w:rsid w:val="006F5B62"/>
    <w:rsid w:val="007017ED"/>
    <w:rsid w:val="00701AD4"/>
    <w:rsid w:val="00701DF5"/>
    <w:rsid w:val="007020BC"/>
    <w:rsid w:val="007022F4"/>
    <w:rsid w:val="00702643"/>
    <w:rsid w:val="00702A57"/>
    <w:rsid w:val="00703978"/>
    <w:rsid w:val="00703CC9"/>
    <w:rsid w:val="00704692"/>
    <w:rsid w:val="007054A7"/>
    <w:rsid w:val="007055AA"/>
    <w:rsid w:val="007055E6"/>
    <w:rsid w:val="00705B6A"/>
    <w:rsid w:val="00705CAB"/>
    <w:rsid w:val="00705F14"/>
    <w:rsid w:val="0070615A"/>
    <w:rsid w:val="0070645E"/>
    <w:rsid w:val="00706F5F"/>
    <w:rsid w:val="00707FFC"/>
    <w:rsid w:val="00710042"/>
    <w:rsid w:val="00710D1B"/>
    <w:rsid w:val="00711BA1"/>
    <w:rsid w:val="007120F1"/>
    <w:rsid w:val="00712E6F"/>
    <w:rsid w:val="00714313"/>
    <w:rsid w:val="00715029"/>
    <w:rsid w:val="007157BB"/>
    <w:rsid w:val="00716202"/>
    <w:rsid w:val="00716BE4"/>
    <w:rsid w:val="00716C88"/>
    <w:rsid w:val="00717746"/>
    <w:rsid w:val="00717FB6"/>
    <w:rsid w:val="00720996"/>
    <w:rsid w:val="00721882"/>
    <w:rsid w:val="00722CF4"/>
    <w:rsid w:val="00722FF1"/>
    <w:rsid w:val="0072311A"/>
    <w:rsid w:val="00723395"/>
    <w:rsid w:val="007242FC"/>
    <w:rsid w:val="007243B1"/>
    <w:rsid w:val="0072589C"/>
    <w:rsid w:val="00727A84"/>
    <w:rsid w:val="00727B4B"/>
    <w:rsid w:val="00727C72"/>
    <w:rsid w:val="00730392"/>
    <w:rsid w:val="007306E7"/>
    <w:rsid w:val="00730AEC"/>
    <w:rsid w:val="00731A50"/>
    <w:rsid w:val="007323ED"/>
    <w:rsid w:val="0073254C"/>
    <w:rsid w:val="00733016"/>
    <w:rsid w:val="00734274"/>
    <w:rsid w:val="007343D0"/>
    <w:rsid w:val="00734AD3"/>
    <w:rsid w:val="0073605E"/>
    <w:rsid w:val="00736387"/>
    <w:rsid w:val="00737CD2"/>
    <w:rsid w:val="0074025F"/>
    <w:rsid w:val="00742A93"/>
    <w:rsid w:val="0074392F"/>
    <w:rsid w:val="00743E92"/>
    <w:rsid w:val="00744EAF"/>
    <w:rsid w:val="0074574A"/>
    <w:rsid w:val="00746023"/>
    <w:rsid w:val="00746969"/>
    <w:rsid w:val="00747109"/>
    <w:rsid w:val="00747662"/>
    <w:rsid w:val="00747968"/>
    <w:rsid w:val="00747B69"/>
    <w:rsid w:val="00751169"/>
    <w:rsid w:val="00751894"/>
    <w:rsid w:val="0075190F"/>
    <w:rsid w:val="007521BD"/>
    <w:rsid w:val="00752E98"/>
    <w:rsid w:val="00755E7C"/>
    <w:rsid w:val="0075679F"/>
    <w:rsid w:val="00756E78"/>
    <w:rsid w:val="00757243"/>
    <w:rsid w:val="0075757E"/>
    <w:rsid w:val="007607C3"/>
    <w:rsid w:val="00760856"/>
    <w:rsid w:val="00760DAE"/>
    <w:rsid w:val="00761676"/>
    <w:rsid w:val="00761B67"/>
    <w:rsid w:val="00761DF9"/>
    <w:rsid w:val="00761F4C"/>
    <w:rsid w:val="00762520"/>
    <w:rsid w:val="007634DD"/>
    <w:rsid w:val="00764685"/>
    <w:rsid w:val="00765592"/>
    <w:rsid w:val="00765DAB"/>
    <w:rsid w:val="00766D5F"/>
    <w:rsid w:val="00767038"/>
    <w:rsid w:val="007676C8"/>
    <w:rsid w:val="0076784C"/>
    <w:rsid w:val="00770EDF"/>
    <w:rsid w:val="0077118C"/>
    <w:rsid w:val="00771463"/>
    <w:rsid w:val="0077147A"/>
    <w:rsid w:val="00771660"/>
    <w:rsid w:val="00772D3F"/>
    <w:rsid w:val="00773CAD"/>
    <w:rsid w:val="0077459D"/>
    <w:rsid w:val="007745F9"/>
    <w:rsid w:val="00774600"/>
    <w:rsid w:val="00774856"/>
    <w:rsid w:val="00774868"/>
    <w:rsid w:val="00775313"/>
    <w:rsid w:val="00775EE4"/>
    <w:rsid w:val="00776327"/>
    <w:rsid w:val="00776B7D"/>
    <w:rsid w:val="00776EC6"/>
    <w:rsid w:val="0077761E"/>
    <w:rsid w:val="007779ED"/>
    <w:rsid w:val="00777B7F"/>
    <w:rsid w:val="00780313"/>
    <w:rsid w:val="007809FB"/>
    <w:rsid w:val="00780C7D"/>
    <w:rsid w:val="00781D25"/>
    <w:rsid w:val="00782EAB"/>
    <w:rsid w:val="0078369C"/>
    <w:rsid w:val="007838A9"/>
    <w:rsid w:val="00783AAC"/>
    <w:rsid w:val="00784107"/>
    <w:rsid w:val="00784337"/>
    <w:rsid w:val="00784549"/>
    <w:rsid w:val="00784D6A"/>
    <w:rsid w:val="007860A0"/>
    <w:rsid w:val="00787E7B"/>
    <w:rsid w:val="007912DB"/>
    <w:rsid w:val="007919A7"/>
    <w:rsid w:val="00791A19"/>
    <w:rsid w:val="00791BF8"/>
    <w:rsid w:val="00794113"/>
    <w:rsid w:val="00794879"/>
    <w:rsid w:val="00794A82"/>
    <w:rsid w:val="0079644E"/>
    <w:rsid w:val="0079756F"/>
    <w:rsid w:val="007A0114"/>
    <w:rsid w:val="007A1315"/>
    <w:rsid w:val="007A298B"/>
    <w:rsid w:val="007A2C9E"/>
    <w:rsid w:val="007A4A94"/>
    <w:rsid w:val="007A4BC8"/>
    <w:rsid w:val="007A4D02"/>
    <w:rsid w:val="007A4EEE"/>
    <w:rsid w:val="007A52B3"/>
    <w:rsid w:val="007A5F14"/>
    <w:rsid w:val="007A63B4"/>
    <w:rsid w:val="007A653F"/>
    <w:rsid w:val="007A7625"/>
    <w:rsid w:val="007A7650"/>
    <w:rsid w:val="007A799F"/>
    <w:rsid w:val="007B05BB"/>
    <w:rsid w:val="007B0827"/>
    <w:rsid w:val="007B14C3"/>
    <w:rsid w:val="007B253C"/>
    <w:rsid w:val="007B2612"/>
    <w:rsid w:val="007B2C4C"/>
    <w:rsid w:val="007B3C4F"/>
    <w:rsid w:val="007B6964"/>
    <w:rsid w:val="007B6AE3"/>
    <w:rsid w:val="007B7A11"/>
    <w:rsid w:val="007C2A37"/>
    <w:rsid w:val="007C31F2"/>
    <w:rsid w:val="007C3C1A"/>
    <w:rsid w:val="007C513A"/>
    <w:rsid w:val="007C52E7"/>
    <w:rsid w:val="007C5493"/>
    <w:rsid w:val="007C7ED0"/>
    <w:rsid w:val="007C7FA5"/>
    <w:rsid w:val="007D03DF"/>
    <w:rsid w:val="007D0457"/>
    <w:rsid w:val="007D14D1"/>
    <w:rsid w:val="007D188D"/>
    <w:rsid w:val="007D1BE2"/>
    <w:rsid w:val="007D294D"/>
    <w:rsid w:val="007D4519"/>
    <w:rsid w:val="007D493B"/>
    <w:rsid w:val="007D5615"/>
    <w:rsid w:val="007D5CB5"/>
    <w:rsid w:val="007D5E79"/>
    <w:rsid w:val="007D6540"/>
    <w:rsid w:val="007D65F2"/>
    <w:rsid w:val="007D7673"/>
    <w:rsid w:val="007D76B8"/>
    <w:rsid w:val="007D7EDC"/>
    <w:rsid w:val="007E0F62"/>
    <w:rsid w:val="007E0F63"/>
    <w:rsid w:val="007E12DC"/>
    <w:rsid w:val="007E2A9B"/>
    <w:rsid w:val="007E2DCA"/>
    <w:rsid w:val="007E450F"/>
    <w:rsid w:val="007E4CBE"/>
    <w:rsid w:val="007E4E6F"/>
    <w:rsid w:val="007E5035"/>
    <w:rsid w:val="007E6251"/>
    <w:rsid w:val="007E6CD2"/>
    <w:rsid w:val="007E6F8D"/>
    <w:rsid w:val="007E7709"/>
    <w:rsid w:val="007E7BB7"/>
    <w:rsid w:val="007F01CD"/>
    <w:rsid w:val="007F03F7"/>
    <w:rsid w:val="007F04F3"/>
    <w:rsid w:val="007F08F1"/>
    <w:rsid w:val="007F16AB"/>
    <w:rsid w:val="007F17F5"/>
    <w:rsid w:val="007F2095"/>
    <w:rsid w:val="007F2249"/>
    <w:rsid w:val="007F36CB"/>
    <w:rsid w:val="007F37E1"/>
    <w:rsid w:val="007F3AA3"/>
    <w:rsid w:val="007F4152"/>
    <w:rsid w:val="007F50B7"/>
    <w:rsid w:val="007F548D"/>
    <w:rsid w:val="007F5AC2"/>
    <w:rsid w:val="007F5C93"/>
    <w:rsid w:val="007F5D21"/>
    <w:rsid w:val="007F6732"/>
    <w:rsid w:val="007F6AFC"/>
    <w:rsid w:val="007F6D18"/>
    <w:rsid w:val="007F76F1"/>
    <w:rsid w:val="007F7EC7"/>
    <w:rsid w:val="008006E3"/>
    <w:rsid w:val="00800AF8"/>
    <w:rsid w:val="00801CFE"/>
    <w:rsid w:val="00801D77"/>
    <w:rsid w:val="00801DDA"/>
    <w:rsid w:val="00803AC8"/>
    <w:rsid w:val="00803EE7"/>
    <w:rsid w:val="00804383"/>
    <w:rsid w:val="0080489A"/>
    <w:rsid w:val="008064BB"/>
    <w:rsid w:val="0080676F"/>
    <w:rsid w:val="00806776"/>
    <w:rsid w:val="00806D63"/>
    <w:rsid w:val="00807607"/>
    <w:rsid w:val="00807E45"/>
    <w:rsid w:val="0081051F"/>
    <w:rsid w:val="00810B28"/>
    <w:rsid w:val="00811154"/>
    <w:rsid w:val="0081136E"/>
    <w:rsid w:val="008116C2"/>
    <w:rsid w:val="00812DB6"/>
    <w:rsid w:val="00812E54"/>
    <w:rsid w:val="00813E37"/>
    <w:rsid w:val="00814A2D"/>
    <w:rsid w:val="00815302"/>
    <w:rsid w:val="00816183"/>
    <w:rsid w:val="00816ABF"/>
    <w:rsid w:val="00816DB8"/>
    <w:rsid w:val="00821097"/>
    <w:rsid w:val="0082131F"/>
    <w:rsid w:val="008222C9"/>
    <w:rsid w:val="008226B6"/>
    <w:rsid w:val="008230E5"/>
    <w:rsid w:val="0082363E"/>
    <w:rsid w:val="008236E0"/>
    <w:rsid w:val="0082397A"/>
    <w:rsid w:val="00823D72"/>
    <w:rsid w:val="00823FBE"/>
    <w:rsid w:val="00825165"/>
    <w:rsid w:val="00825233"/>
    <w:rsid w:val="008261CD"/>
    <w:rsid w:val="008275E4"/>
    <w:rsid w:val="00827D6D"/>
    <w:rsid w:val="00827EB7"/>
    <w:rsid w:val="008302DB"/>
    <w:rsid w:val="00830A7F"/>
    <w:rsid w:val="00830C52"/>
    <w:rsid w:val="0083101B"/>
    <w:rsid w:val="008326EB"/>
    <w:rsid w:val="008328E6"/>
    <w:rsid w:val="00832C3E"/>
    <w:rsid w:val="008332FB"/>
    <w:rsid w:val="0083332B"/>
    <w:rsid w:val="00833D66"/>
    <w:rsid w:val="00834811"/>
    <w:rsid w:val="0083540C"/>
    <w:rsid w:val="00835895"/>
    <w:rsid w:val="00836049"/>
    <w:rsid w:val="00836351"/>
    <w:rsid w:val="00840081"/>
    <w:rsid w:val="00840349"/>
    <w:rsid w:val="00842214"/>
    <w:rsid w:val="00842C85"/>
    <w:rsid w:val="00844258"/>
    <w:rsid w:val="00844D67"/>
    <w:rsid w:val="00844DA8"/>
    <w:rsid w:val="0084500D"/>
    <w:rsid w:val="00846018"/>
    <w:rsid w:val="00846188"/>
    <w:rsid w:val="00846BFD"/>
    <w:rsid w:val="00847298"/>
    <w:rsid w:val="0084797D"/>
    <w:rsid w:val="008479A6"/>
    <w:rsid w:val="008504E7"/>
    <w:rsid w:val="0085081D"/>
    <w:rsid w:val="0085191C"/>
    <w:rsid w:val="0085380B"/>
    <w:rsid w:val="008538A9"/>
    <w:rsid w:val="00853C95"/>
    <w:rsid w:val="008543AC"/>
    <w:rsid w:val="0085457D"/>
    <w:rsid w:val="00854A04"/>
    <w:rsid w:val="00855DC2"/>
    <w:rsid w:val="00856CAD"/>
    <w:rsid w:val="00857023"/>
    <w:rsid w:val="00857404"/>
    <w:rsid w:val="00857519"/>
    <w:rsid w:val="0085769B"/>
    <w:rsid w:val="008578E0"/>
    <w:rsid w:val="00857BFB"/>
    <w:rsid w:val="008602D6"/>
    <w:rsid w:val="00860BBE"/>
    <w:rsid w:val="00860F17"/>
    <w:rsid w:val="008611BC"/>
    <w:rsid w:val="00861D9C"/>
    <w:rsid w:val="008624B5"/>
    <w:rsid w:val="0086272D"/>
    <w:rsid w:val="00862FFB"/>
    <w:rsid w:val="00863E52"/>
    <w:rsid w:val="0086477F"/>
    <w:rsid w:val="008654F6"/>
    <w:rsid w:val="00865A07"/>
    <w:rsid w:val="00865C43"/>
    <w:rsid w:val="008669E4"/>
    <w:rsid w:val="00867706"/>
    <w:rsid w:val="0086775A"/>
    <w:rsid w:val="00867CBD"/>
    <w:rsid w:val="00867E19"/>
    <w:rsid w:val="0087048C"/>
    <w:rsid w:val="0087097D"/>
    <w:rsid w:val="008713F6"/>
    <w:rsid w:val="00871C82"/>
    <w:rsid w:val="00872D21"/>
    <w:rsid w:val="008732EE"/>
    <w:rsid w:val="00873451"/>
    <w:rsid w:val="00873520"/>
    <w:rsid w:val="008744E0"/>
    <w:rsid w:val="00875070"/>
    <w:rsid w:val="0087539B"/>
    <w:rsid w:val="008762E0"/>
    <w:rsid w:val="00876663"/>
    <w:rsid w:val="008778F3"/>
    <w:rsid w:val="008779B0"/>
    <w:rsid w:val="008802FA"/>
    <w:rsid w:val="008806DA"/>
    <w:rsid w:val="008815BC"/>
    <w:rsid w:val="00881B56"/>
    <w:rsid w:val="0088255E"/>
    <w:rsid w:val="00882B50"/>
    <w:rsid w:val="00882DDE"/>
    <w:rsid w:val="0088336C"/>
    <w:rsid w:val="008833BB"/>
    <w:rsid w:val="008837A9"/>
    <w:rsid w:val="00884425"/>
    <w:rsid w:val="00884CC6"/>
    <w:rsid w:val="00884CF0"/>
    <w:rsid w:val="00884D13"/>
    <w:rsid w:val="00884E3D"/>
    <w:rsid w:val="008851BE"/>
    <w:rsid w:val="00886CD1"/>
    <w:rsid w:val="008875B4"/>
    <w:rsid w:val="008876BE"/>
    <w:rsid w:val="00890AE5"/>
    <w:rsid w:val="00890DDC"/>
    <w:rsid w:val="0089109B"/>
    <w:rsid w:val="008910FE"/>
    <w:rsid w:val="00891831"/>
    <w:rsid w:val="00891FE1"/>
    <w:rsid w:val="008920A1"/>
    <w:rsid w:val="00892C76"/>
    <w:rsid w:val="008936B0"/>
    <w:rsid w:val="008959D9"/>
    <w:rsid w:val="00895F2D"/>
    <w:rsid w:val="0089683A"/>
    <w:rsid w:val="0089719D"/>
    <w:rsid w:val="0089757F"/>
    <w:rsid w:val="00897EF8"/>
    <w:rsid w:val="00897F4E"/>
    <w:rsid w:val="008A2E3D"/>
    <w:rsid w:val="008A39FB"/>
    <w:rsid w:val="008A3C6D"/>
    <w:rsid w:val="008A3C89"/>
    <w:rsid w:val="008A48B2"/>
    <w:rsid w:val="008A5450"/>
    <w:rsid w:val="008A58E3"/>
    <w:rsid w:val="008A645C"/>
    <w:rsid w:val="008A64D6"/>
    <w:rsid w:val="008A6E2F"/>
    <w:rsid w:val="008A7AA5"/>
    <w:rsid w:val="008A7E8B"/>
    <w:rsid w:val="008B039B"/>
    <w:rsid w:val="008B0A39"/>
    <w:rsid w:val="008B1062"/>
    <w:rsid w:val="008B14A0"/>
    <w:rsid w:val="008B1644"/>
    <w:rsid w:val="008B17BB"/>
    <w:rsid w:val="008B32B2"/>
    <w:rsid w:val="008B3B70"/>
    <w:rsid w:val="008B44C4"/>
    <w:rsid w:val="008B56BF"/>
    <w:rsid w:val="008B5E29"/>
    <w:rsid w:val="008B5E5C"/>
    <w:rsid w:val="008B5FA4"/>
    <w:rsid w:val="008C11AC"/>
    <w:rsid w:val="008C159B"/>
    <w:rsid w:val="008C2C24"/>
    <w:rsid w:val="008C3A7B"/>
    <w:rsid w:val="008C43EB"/>
    <w:rsid w:val="008C4871"/>
    <w:rsid w:val="008C4BBA"/>
    <w:rsid w:val="008C4D5C"/>
    <w:rsid w:val="008C524B"/>
    <w:rsid w:val="008C5258"/>
    <w:rsid w:val="008C618E"/>
    <w:rsid w:val="008C66F8"/>
    <w:rsid w:val="008D0580"/>
    <w:rsid w:val="008D0C0E"/>
    <w:rsid w:val="008D0F23"/>
    <w:rsid w:val="008D0F24"/>
    <w:rsid w:val="008D1F8E"/>
    <w:rsid w:val="008D27D9"/>
    <w:rsid w:val="008D3256"/>
    <w:rsid w:val="008D3511"/>
    <w:rsid w:val="008D37CA"/>
    <w:rsid w:val="008D5889"/>
    <w:rsid w:val="008D5C8D"/>
    <w:rsid w:val="008D671F"/>
    <w:rsid w:val="008D724A"/>
    <w:rsid w:val="008D7A38"/>
    <w:rsid w:val="008D7CDF"/>
    <w:rsid w:val="008D7FF8"/>
    <w:rsid w:val="008E0115"/>
    <w:rsid w:val="008E04E3"/>
    <w:rsid w:val="008E1CC0"/>
    <w:rsid w:val="008E22FB"/>
    <w:rsid w:val="008E24F1"/>
    <w:rsid w:val="008E2866"/>
    <w:rsid w:val="008E2F80"/>
    <w:rsid w:val="008E36B3"/>
    <w:rsid w:val="008E3DFC"/>
    <w:rsid w:val="008E4911"/>
    <w:rsid w:val="008E4B6E"/>
    <w:rsid w:val="008E53E8"/>
    <w:rsid w:val="008E5A4B"/>
    <w:rsid w:val="008E5C6C"/>
    <w:rsid w:val="008E6072"/>
    <w:rsid w:val="008E6428"/>
    <w:rsid w:val="008E6AED"/>
    <w:rsid w:val="008E7045"/>
    <w:rsid w:val="008F0DD2"/>
    <w:rsid w:val="008F1872"/>
    <w:rsid w:val="008F2110"/>
    <w:rsid w:val="008F2AD4"/>
    <w:rsid w:val="008F3C6B"/>
    <w:rsid w:val="008F4776"/>
    <w:rsid w:val="008F53B2"/>
    <w:rsid w:val="008F54D4"/>
    <w:rsid w:val="008F57A8"/>
    <w:rsid w:val="008F585B"/>
    <w:rsid w:val="008F58E6"/>
    <w:rsid w:val="008F6178"/>
    <w:rsid w:val="008F7C5B"/>
    <w:rsid w:val="008F7C96"/>
    <w:rsid w:val="00900370"/>
    <w:rsid w:val="00900934"/>
    <w:rsid w:val="0090128A"/>
    <w:rsid w:val="0090194B"/>
    <w:rsid w:val="00902BF3"/>
    <w:rsid w:val="00902D27"/>
    <w:rsid w:val="00902FCD"/>
    <w:rsid w:val="00904DF1"/>
    <w:rsid w:val="00905BC4"/>
    <w:rsid w:val="0090649A"/>
    <w:rsid w:val="0090793D"/>
    <w:rsid w:val="00907BAF"/>
    <w:rsid w:val="00907D7D"/>
    <w:rsid w:val="00910FE9"/>
    <w:rsid w:val="009110D1"/>
    <w:rsid w:val="00911FB4"/>
    <w:rsid w:val="00912617"/>
    <w:rsid w:val="00912A56"/>
    <w:rsid w:val="00912AE3"/>
    <w:rsid w:val="00915152"/>
    <w:rsid w:val="00915811"/>
    <w:rsid w:val="009176D6"/>
    <w:rsid w:val="009179F7"/>
    <w:rsid w:val="00917C25"/>
    <w:rsid w:val="00917C48"/>
    <w:rsid w:val="009200C1"/>
    <w:rsid w:val="0092414B"/>
    <w:rsid w:val="00924373"/>
    <w:rsid w:val="00924433"/>
    <w:rsid w:val="00924458"/>
    <w:rsid w:val="00924E13"/>
    <w:rsid w:val="0092511B"/>
    <w:rsid w:val="00925DDF"/>
    <w:rsid w:val="009263FE"/>
    <w:rsid w:val="0092642D"/>
    <w:rsid w:val="00927009"/>
    <w:rsid w:val="009270E4"/>
    <w:rsid w:val="009274AA"/>
    <w:rsid w:val="00927BBB"/>
    <w:rsid w:val="00927E79"/>
    <w:rsid w:val="00930BD0"/>
    <w:rsid w:val="0093114C"/>
    <w:rsid w:val="0093295B"/>
    <w:rsid w:val="00932A79"/>
    <w:rsid w:val="00932BB3"/>
    <w:rsid w:val="00933E8B"/>
    <w:rsid w:val="00933EC3"/>
    <w:rsid w:val="00934171"/>
    <w:rsid w:val="00934FC5"/>
    <w:rsid w:val="009352F3"/>
    <w:rsid w:val="00935CB3"/>
    <w:rsid w:val="00936426"/>
    <w:rsid w:val="00936B6E"/>
    <w:rsid w:val="00937300"/>
    <w:rsid w:val="009377B1"/>
    <w:rsid w:val="00937F70"/>
    <w:rsid w:val="009400CC"/>
    <w:rsid w:val="00940C35"/>
    <w:rsid w:val="00940C62"/>
    <w:rsid w:val="00941D53"/>
    <w:rsid w:val="009423FE"/>
    <w:rsid w:val="00943562"/>
    <w:rsid w:val="00943844"/>
    <w:rsid w:val="00943DE2"/>
    <w:rsid w:val="0094544B"/>
    <w:rsid w:val="00945D42"/>
    <w:rsid w:val="0094607B"/>
    <w:rsid w:val="0094616D"/>
    <w:rsid w:val="009461A6"/>
    <w:rsid w:val="00946A0B"/>
    <w:rsid w:val="00947503"/>
    <w:rsid w:val="00947B2C"/>
    <w:rsid w:val="009507FF"/>
    <w:rsid w:val="00950D3E"/>
    <w:rsid w:val="00951E48"/>
    <w:rsid w:val="009522CC"/>
    <w:rsid w:val="0095256D"/>
    <w:rsid w:val="00952BA6"/>
    <w:rsid w:val="009546E7"/>
    <w:rsid w:val="00955C8B"/>
    <w:rsid w:val="00956DD0"/>
    <w:rsid w:val="00957502"/>
    <w:rsid w:val="00957B57"/>
    <w:rsid w:val="00960834"/>
    <w:rsid w:val="00961426"/>
    <w:rsid w:val="00961DC7"/>
    <w:rsid w:val="00962460"/>
    <w:rsid w:val="00962643"/>
    <w:rsid w:val="00963711"/>
    <w:rsid w:val="00964789"/>
    <w:rsid w:val="009649F1"/>
    <w:rsid w:val="00964D0F"/>
    <w:rsid w:val="00966764"/>
    <w:rsid w:val="00966FB9"/>
    <w:rsid w:val="0096789C"/>
    <w:rsid w:val="00971239"/>
    <w:rsid w:val="00971D52"/>
    <w:rsid w:val="00971F14"/>
    <w:rsid w:val="0097230D"/>
    <w:rsid w:val="0097371A"/>
    <w:rsid w:val="00974282"/>
    <w:rsid w:val="0097469B"/>
    <w:rsid w:val="00975578"/>
    <w:rsid w:val="009755CC"/>
    <w:rsid w:val="00975FD2"/>
    <w:rsid w:val="00976299"/>
    <w:rsid w:val="00976DC4"/>
    <w:rsid w:val="00976F33"/>
    <w:rsid w:val="009770A9"/>
    <w:rsid w:val="009777AF"/>
    <w:rsid w:val="00977A15"/>
    <w:rsid w:val="009800CC"/>
    <w:rsid w:val="009806B3"/>
    <w:rsid w:val="009807E3"/>
    <w:rsid w:val="009809C6"/>
    <w:rsid w:val="00981A20"/>
    <w:rsid w:val="00981B46"/>
    <w:rsid w:val="00981E9F"/>
    <w:rsid w:val="0098333C"/>
    <w:rsid w:val="00983446"/>
    <w:rsid w:val="0098406F"/>
    <w:rsid w:val="009840C0"/>
    <w:rsid w:val="00985494"/>
    <w:rsid w:val="00986567"/>
    <w:rsid w:val="00987297"/>
    <w:rsid w:val="009878C5"/>
    <w:rsid w:val="00987A79"/>
    <w:rsid w:val="00991870"/>
    <w:rsid w:val="00992453"/>
    <w:rsid w:val="0099278D"/>
    <w:rsid w:val="00992DBA"/>
    <w:rsid w:val="0099320D"/>
    <w:rsid w:val="00993C6C"/>
    <w:rsid w:val="009944E9"/>
    <w:rsid w:val="0099460D"/>
    <w:rsid w:val="00995312"/>
    <w:rsid w:val="00997F7B"/>
    <w:rsid w:val="009A0807"/>
    <w:rsid w:val="009A1338"/>
    <w:rsid w:val="009A137E"/>
    <w:rsid w:val="009A13E1"/>
    <w:rsid w:val="009A1A22"/>
    <w:rsid w:val="009A2C13"/>
    <w:rsid w:val="009A2FAA"/>
    <w:rsid w:val="009A32DF"/>
    <w:rsid w:val="009A3673"/>
    <w:rsid w:val="009A3E2C"/>
    <w:rsid w:val="009A532E"/>
    <w:rsid w:val="009A5927"/>
    <w:rsid w:val="009A5A48"/>
    <w:rsid w:val="009A64A2"/>
    <w:rsid w:val="009A6787"/>
    <w:rsid w:val="009A6A38"/>
    <w:rsid w:val="009A6C56"/>
    <w:rsid w:val="009B05B8"/>
    <w:rsid w:val="009B075B"/>
    <w:rsid w:val="009B2C70"/>
    <w:rsid w:val="009B34F7"/>
    <w:rsid w:val="009B47CC"/>
    <w:rsid w:val="009B4CE9"/>
    <w:rsid w:val="009B5946"/>
    <w:rsid w:val="009B5A32"/>
    <w:rsid w:val="009B61F2"/>
    <w:rsid w:val="009B67EC"/>
    <w:rsid w:val="009B690E"/>
    <w:rsid w:val="009B6D9E"/>
    <w:rsid w:val="009B713E"/>
    <w:rsid w:val="009B730B"/>
    <w:rsid w:val="009B74E5"/>
    <w:rsid w:val="009C0155"/>
    <w:rsid w:val="009C060C"/>
    <w:rsid w:val="009C2973"/>
    <w:rsid w:val="009C2B2A"/>
    <w:rsid w:val="009C33B2"/>
    <w:rsid w:val="009C429E"/>
    <w:rsid w:val="009C53E3"/>
    <w:rsid w:val="009C6AD8"/>
    <w:rsid w:val="009C71FE"/>
    <w:rsid w:val="009C72F3"/>
    <w:rsid w:val="009C7900"/>
    <w:rsid w:val="009D05C5"/>
    <w:rsid w:val="009D063E"/>
    <w:rsid w:val="009D0B96"/>
    <w:rsid w:val="009D1229"/>
    <w:rsid w:val="009D15F4"/>
    <w:rsid w:val="009D1B5C"/>
    <w:rsid w:val="009D1F7F"/>
    <w:rsid w:val="009D2468"/>
    <w:rsid w:val="009D2C82"/>
    <w:rsid w:val="009D2E43"/>
    <w:rsid w:val="009D36BF"/>
    <w:rsid w:val="009D37F3"/>
    <w:rsid w:val="009D3A3D"/>
    <w:rsid w:val="009D4898"/>
    <w:rsid w:val="009D4C22"/>
    <w:rsid w:val="009D75BB"/>
    <w:rsid w:val="009E03D6"/>
    <w:rsid w:val="009E1E1F"/>
    <w:rsid w:val="009E219E"/>
    <w:rsid w:val="009E237D"/>
    <w:rsid w:val="009E275D"/>
    <w:rsid w:val="009E29C8"/>
    <w:rsid w:val="009E2A0A"/>
    <w:rsid w:val="009E2FA4"/>
    <w:rsid w:val="009E3068"/>
    <w:rsid w:val="009E341E"/>
    <w:rsid w:val="009E3D75"/>
    <w:rsid w:val="009E4305"/>
    <w:rsid w:val="009E56C3"/>
    <w:rsid w:val="009E5851"/>
    <w:rsid w:val="009E5C46"/>
    <w:rsid w:val="009E612F"/>
    <w:rsid w:val="009E737F"/>
    <w:rsid w:val="009E7675"/>
    <w:rsid w:val="009F04DA"/>
    <w:rsid w:val="009F0BC5"/>
    <w:rsid w:val="009F0C07"/>
    <w:rsid w:val="009F1601"/>
    <w:rsid w:val="009F35B8"/>
    <w:rsid w:val="009F3AEF"/>
    <w:rsid w:val="009F3B9A"/>
    <w:rsid w:val="009F3DD6"/>
    <w:rsid w:val="009F46B6"/>
    <w:rsid w:val="009F5826"/>
    <w:rsid w:val="009F5AE5"/>
    <w:rsid w:val="009F5D74"/>
    <w:rsid w:val="009F5E12"/>
    <w:rsid w:val="009F6187"/>
    <w:rsid w:val="009F65F0"/>
    <w:rsid w:val="009F698B"/>
    <w:rsid w:val="009F6CA7"/>
    <w:rsid w:val="00A00CAA"/>
    <w:rsid w:val="00A014F8"/>
    <w:rsid w:val="00A018FE"/>
    <w:rsid w:val="00A02D10"/>
    <w:rsid w:val="00A0372B"/>
    <w:rsid w:val="00A03C8E"/>
    <w:rsid w:val="00A03CB4"/>
    <w:rsid w:val="00A03CBB"/>
    <w:rsid w:val="00A0590E"/>
    <w:rsid w:val="00A062AF"/>
    <w:rsid w:val="00A1067D"/>
    <w:rsid w:val="00A12DC8"/>
    <w:rsid w:val="00A13EA6"/>
    <w:rsid w:val="00A13FFA"/>
    <w:rsid w:val="00A1433C"/>
    <w:rsid w:val="00A14941"/>
    <w:rsid w:val="00A151B1"/>
    <w:rsid w:val="00A1542E"/>
    <w:rsid w:val="00A157E6"/>
    <w:rsid w:val="00A158F3"/>
    <w:rsid w:val="00A16BE8"/>
    <w:rsid w:val="00A171E6"/>
    <w:rsid w:val="00A1732E"/>
    <w:rsid w:val="00A17BB2"/>
    <w:rsid w:val="00A17C93"/>
    <w:rsid w:val="00A20B3B"/>
    <w:rsid w:val="00A21243"/>
    <w:rsid w:val="00A21C03"/>
    <w:rsid w:val="00A21E27"/>
    <w:rsid w:val="00A224C3"/>
    <w:rsid w:val="00A24BC2"/>
    <w:rsid w:val="00A24BF4"/>
    <w:rsid w:val="00A24DEA"/>
    <w:rsid w:val="00A256DD"/>
    <w:rsid w:val="00A26FFD"/>
    <w:rsid w:val="00A2749E"/>
    <w:rsid w:val="00A279A2"/>
    <w:rsid w:val="00A27CB4"/>
    <w:rsid w:val="00A31076"/>
    <w:rsid w:val="00A31722"/>
    <w:rsid w:val="00A318B3"/>
    <w:rsid w:val="00A3220E"/>
    <w:rsid w:val="00A324D0"/>
    <w:rsid w:val="00A32D38"/>
    <w:rsid w:val="00A33D53"/>
    <w:rsid w:val="00A360BF"/>
    <w:rsid w:val="00A3651E"/>
    <w:rsid w:val="00A366A3"/>
    <w:rsid w:val="00A37AA6"/>
    <w:rsid w:val="00A40085"/>
    <w:rsid w:val="00A40134"/>
    <w:rsid w:val="00A40CDD"/>
    <w:rsid w:val="00A41E2D"/>
    <w:rsid w:val="00A4370A"/>
    <w:rsid w:val="00A43F18"/>
    <w:rsid w:val="00A44482"/>
    <w:rsid w:val="00A446A8"/>
    <w:rsid w:val="00A4476D"/>
    <w:rsid w:val="00A44926"/>
    <w:rsid w:val="00A44A07"/>
    <w:rsid w:val="00A44FF5"/>
    <w:rsid w:val="00A45872"/>
    <w:rsid w:val="00A462D6"/>
    <w:rsid w:val="00A467F2"/>
    <w:rsid w:val="00A46A0B"/>
    <w:rsid w:val="00A46E64"/>
    <w:rsid w:val="00A46F70"/>
    <w:rsid w:val="00A47A77"/>
    <w:rsid w:val="00A51083"/>
    <w:rsid w:val="00A513F6"/>
    <w:rsid w:val="00A51677"/>
    <w:rsid w:val="00A51BB0"/>
    <w:rsid w:val="00A52844"/>
    <w:rsid w:val="00A52A92"/>
    <w:rsid w:val="00A53285"/>
    <w:rsid w:val="00A53AED"/>
    <w:rsid w:val="00A5436C"/>
    <w:rsid w:val="00A54D5C"/>
    <w:rsid w:val="00A55033"/>
    <w:rsid w:val="00A5569E"/>
    <w:rsid w:val="00A55A32"/>
    <w:rsid w:val="00A56A6F"/>
    <w:rsid w:val="00A56D16"/>
    <w:rsid w:val="00A57815"/>
    <w:rsid w:val="00A57C42"/>
    <w:rsid w:val="00A57CCE"/>
    <w:rsid w:val="00A57E00"/>
    <w:rsid w:val="00A60B80"/>
    <w:rsid w:val="00A61ACE"/>
    <w:rsid w:val="00A62720"/>
    <w:rsid w:val="00A63D9F"/>
    <w:rsid w:val="00A6466E"/>
    <w:rsid w:val="00A655C9"/>
    <w:rsid w:val="00A6651F"/>
    <w:rsid w:val="00A667BB"/>
    <w:rsid w:val="00A6716C"/>
    <w:rsid w:val="00A672B1"/>
    <w:rsid w:val="00A6772D"/>
    <w:rsid w:val="00A7030D"/>
    <w:rsid w:val="00A70F5B"/>
    <w:rsid w:val="00A711EB"/>
    <w:rsid w:val="00A7230A"/>
    <w:rsid w:val="00A72A1B"/>
    <w:rsid w:val="00A72D33"/>
    <w:rsid w:val="00A73525"/>
    <w:rsid w:val="00A73CCA"/>
    <w:rsid w:val="00A741D4"/>
    <w:rsid w:val="00A74343"/>
    <w:rsid w:val="00A7443C"/>
    <w:rsid w:val="00A74942"/>
    <w:rsid w:val="00A752CB"/>
    <w:rsid w:val="00A759CF"/>
    <w:rsid w:val="00A76DEA"/>
    <w:rsid w:val="00A77A2F"/>
    <w:rsid w:val="00A77C48"/>
    <w:rsid w:val="00A77EA2"/>
    <w:rsid w:val="00A81A0D"/>
    <w:rsid w:val="00A8236B"/>
    <w:rsid w:val="00A823D2"/>
    <w:rsid w:val="00A83271"/>
    <w:rsid w:val="00A843A7"/>
    <w:rsid w:val="00A84C80"/>
    <w:rsid w:val="00A85569"/>
    <w:rsid w:val="00A85645"/>
    <w:rsid w:val="00A857A7"/>
    <w:rsid w:val="00A85B86"/>
    <w:rsid w:val="00A85E29"/>
    <w:rsid w:val="00A860D2"/>
    <w:rsid w:val="00A86320"/>
    <w:rsid w:val="00A86A0F"/>
    <w:rsid w:val="00A86E40"/>
    <w:rsid w:val="00A87D83"/>
    <w:rsid w:val="00A87F65"/>
    <w:rsid w:val="00A90073"/>
    <w:rsid w:val="00A903E1"/>
    <w:rsid w:val="00A90A79"/>
    <w:rsid w:val="00A92375"/>
    <w:rsid w:val="00A92F6A"/>
    <w:rsid w:val="00A9373D"/>
    <w:rsid w:val="00A93FB8"/>
    <w:rsid w:val="00A95449"/>
    <w:rsid w:val="00A95720"/>
    <w:rsid w:val="00A957A3"/>
    <w:rsid w:val="00A961FD"/>
    <w:rsid w:val="00A96B04"/>
    <w:rsid w:val="00A96D34"/>
    <w:rsid w:val="00A973CF"/>
    <w:rsid w:val="00A97FE8"/>
    <w:rsid w:val="00AA0A03"/>
    <w:rsid w:val="00AA1241"/>
    <w:rsid w:val="00AA1E33"/>
    <w:rsid w:val="00AA1ED3"/>
    <w:rsid w:val="00AA2203"/>
    <w:rsid w:val="00AA2588"/>
    <w:rsid w:val="00AA2BCE"/>
    <w:rsid w:val="00AA2F1A"/>
    <w:rsid w:val="00AA424A"/>
    <w:rsid w:val="00AA458E"/>
    <w:rsid w:val="00AA4709"/>
    <w:rsid w:val="00AA4733"/>
    <w:rsid w:val="00AA5348"/>
    <w:rsid w:val="00AA57A6"/>
    <w:rsid w:val="00AA5C30"/>
    <w:rsid w:val="00AA63D7"/>
    <w:rsid w:val="00AA6E23"/>
    <w:rsid w:val="00AA7E34"/>
    <w:rsid w:val="00AB00E8"/>
    <w:rsid w:val="00AB07D5"/>
    <w:rsid w:val="00AB1293"/>
    <w:rsid w:val="00AB185E"/>
    <w:rsid w:val="00AB1B27"/>
    <w:rsid w:val="00AB1D65"/>
    <w:rsid w:val="00AB26FF"/>
    <w:rsid w:val="00AB276C"/>
    <w:rsid w:val="00AB2D17"/>
    <w:rsid w:val="00AB31C7"/>
    <w:rsid w:val="00AB433F"/>
    <w:rsid w:val="00AB43F1"/>
    <w:rsid w:val="00AB4B22"/>
    <w:rsid w:val="00AB55D9"/>
    <w:rsid w:val="00AB5947"/>
    <w:rsid w:val="00AB6485"/>
    <w:rsid w:val="00AB683F"/>
    <w:rsid w:val="00AB6D3B"/>
    <w:rsid w:val="00AB73A1"/>
    <w:rsid w:val="00AB743A"/>
    <w:rsid w:val="00AC0652"/>
    <w:rsid w:val="00AC09D6"/>
    <w:rsid w:val="00AC0A8F"/>
    <w:rsid w:val="00AC2D2C"/>
    <w:rsid w:val="00AC3103"/>
    <w:rsid w:val="00AC319C"/>
    <w:rsid w:val="00AC39FF"/>
    <w:rsid w:val="00AC3EE8"/>
    <w:rsid w:val="00AC52A3"/>
    <w:rsid w:val="00AC5B1B"/>
    <w:rsid w:val="00AC7182"/>
    <w:rsid w:val="00AC71E2"/>
    <w:rsid w:val="00AC7797"/>
    <w:rsid w:val="00AC7D20"/>
    <w:rsid w:val="00AD06AD"/>
    <w:rsid w:val="00AD086F"/>
    <w:rsid w:val="00AD09B8"/>
    <w:rsid w:val="00AD1966"/>
    <w:rsid w:val="00AD19A2"/>
    <w:rsid w:val="00AD1B6F"/>
    <w:rsid w:val="00AD1D49"/>
    <w:rsid w:val="00AD32A2"/>
    <w:rsid w:val="00AD35E4"/>
    <w:rsid w:val="00AD393A"/>
    <w:rsid w:val="00AD3C4F"/>
    <w:rsid w:val="00AD48AA"/>
    <w:rsid w:val="00AD4E25"/>
    <w:rsid w:val="00AD5052"/>
    <w:rsid w:val="00AD65EF"/>
    <w:rsid w:val="00AD6CF2"/>
    <w:rsid w:val="00AD6F92"/>
    <w:rsid w:val="00AD6FB0"/>
    <w:rsid w:val="00AD7919"/>
    <w:rsid w:val="00AD7B08"/>
    <w:rsid w:val="00AD7F64"/>
    <w:rsid w:val="00AE00AC"/>
    <w:rsid w:val="00AE0875"/>
    <w:rsid w:val="00AE0DE5"/>
    <w:rsid w:val="00AE173E"/>
    <w:rsid w:val="00AE1AB4"/>
    <w:rsid w:val="00AE1B38"/>
    <w:rsid w:val="00AE1C23"/>
    <w:rsid w:val="00AE228E"/>
    <w:rsid w:val="00AE2646"/>
    <w:rsid w:val="00AE2CE9"/>
    <w:rsid w:val="00AE416E"/>
    <w:rsid w:val="00AE43FD"/>
    <w:rsid w:val="00AE458D"/>
    <w:rsid w:val="00AE54FA"/>
    <w:rsid w:val="00AE5739"/>
    <w:rsid w:val="00AE57A2"/>
    <w:rsid w:val="00AE679A"/>
    <w:rsid w:val="00AE79C8"/>
    <w:rsid w:val="00AF030E"/>
    <w:rsid w:val="00AF05FB"/>
    <w:rsid w:val="00AF2331"/>
    <w:rsid w:val="00AF2482"/>
    <w:rsid w:val="00AF2505"/>
    <w:rsid w:val="00AF4454"/>
    <w:rsid w:val="00AF475B"/>
    <w:rsid w:val="00AF4EFB"/>
    <w:rsid w:val="00AF57B8"/>
    <w:rsid w:val="00AF5D4F"/>
    <w:rsid w:val="00AF5F49"/>
    <w:rsid w:val="00AF613F"/>
    <w:rsid w:val="00AF629E"/>
    <w:rsid w:val="00AF641B"/>
    <w:rsid w:val="00AF6671"/>
    <w:rsid w:val="00AF672F"/>
    <w:rsid w:val="00AF69DD"/>
    <w:rsid w:val="00AF6B8B"/>
    <w:rsid w:val="00AF6D5D"/>
    <w:rsid w:val="00AF6D96"/>
    <w:rsid w:val="00AF6F35"/>
    <w:rsid w:val="00AF703B"/>
    <w:rsid w:val="00AF7548"/>
    <w:rsid w:val="00B0011B"/>
    <w:rsid w:val="00B00506"/>
    <w:rsid w:val="00B01060"/>
    <w:rsid w:val="00B01235"/>
    <w:rsid w:val="00B0172E"/>
    <w:rsid w:val="00B01F17"/>
    <w:rsid w:val="00B01F97"/>
    <w:rsid w:val="00B029B9"/>
    <w:rsid w:val="00B0310B"/>
    <w:rsid w:val="00B031EF"/>
    <w:rsid w:val="00B034B9"/>
    <w:rsid w:val="00B037E3"/>
    <w:rsid w:val="00B048DD"/>
    <w:rsid w:val="00B04D48"/>
    <w:rsid w:val="00B04EBA"/>
    <w:rsid w:val="00B060B2"/>
    <w:rsid w:val="00B062B9"/>
    <w:rsid w:val="00B073DA"/>
    <w:rsid w:val="00B074CF"/>
    <w:rsid w:val="00B07D11"/>
    <w:rsid w:val="00B101D9"/>
    <w:rsid w:val="00B10853"/>
    <w:rsid w:val="00B10F7A"/>
    <w:rsid w:val="00B11809"/>
    <w:rsid w:val="00B1187A"/>
    <w:rsid w:val="00B120FA"/>
    <w:rsid w:val="00B125C2"/>
    <w:rsid w:val="00B1261F"/>
    <w:rsid w:val="00B12AE1"/>
    <w:rsid w:val="00B12FFA"/>
    <w:rsid w:val="00B137E5"/>
    <w:rsid w:val="00B139B1"/>
    <w:rsid w:val="00B140E1"/>
    <w:rsid w:val="00B150AC"/>
    <w:rsid w:val="00B15317"/>
    <w:rsid w:val="00B16565"/>
    <w:rsid w:val="00B16B84"/>
    <w:rsid w:val="00B16C6B"/>
    <w:rsid w:val="00B172B1"/>
    <w:rsid w:val="00B172C0"/>
    <w:rsid w:val="00B17318"/>
    <w:rsid w:val="00B17985"/>
    <w:rsid w:val="00B17EBB"/>
    <w:rsid w:val="00B20293"/>
    <w:rsid w:val="00B2144E"/>
    <w:rsid w:val="00B21B83"/>
    <w:rsid w:val="00B21D03"/>
    <w:rsid w:val="00B21D3E"/>
    <w:rsid w:val="00B21D42"/>
    <w:rsid w:val="00B21FF5"/>
    <w:rsid w:val="00B2216A"/>
    <w:rsid w:val="00B22B09"/>
    <w:rsid w:val="00B22EEF"/>
    <w:rsid w:val="00B22FB8"/>
    <w:rsid w:val="00B236B7"/>
    <w:rsid w:val="00B247C8"/>
    <w:rsid w:val="00B247DD"/>
    <w:rsid w:val="00B25E55"/>
    <w:rsid w:val="00B25F71"/>
    <w:rsid w:val="00B262F1"/>
    <w:rsid w:val="00B27486"/>
    <w:rsid w:val="00B30C3F"/>
    <w:rsid w:val="00B31CA0"/>
    <w:rsid w:val="00B320AE"/>
    <w:rsid w:val="00B33C2F"/>
    <w:rsid w:val="00B33C32"/>
    <w:rsid w:val="00B34D31"/>
    <w:rsid w:val="00B34D3A"/>
    <w:rsid w:val="00B34F3B"/>
    <w:rsid w:val="00B35D96"/>
    <w:rsid w:val="00B376E9"/>
    <w:rsid w:val="00B37A50"/>
    <w:rsid w:val="00B37B1C"/>
    <w:rsid w:val="00B37DAC"/>
    <w:rsid w:val="00B415EE"/>
    <w:rsid w:val="00B41957"/>
    <w:rsid w:val="00B419E6"/>
    <w:rsid w:val="00B4422D"/>
    <w:rsid w:val="00B446D5"/>
    <w:rsid w:val="00B448A0"/>
    <w:rsid w:val="00B44D4D"/>
    <w:rsid w:val="00B4512D"/>
    <w:rsid w:val="00B467C2"/>
    <w:rsid w:val="00B46B7C"/>
    <w:rsid w:val="00B518E2"/>
    <w:rsid w:val="00B5231C"/>
    <w:rsid w:val="00B524B0"/>
    <w:rsid w:val="00B53B7D"/>
    <w:rsid w:val="00B54621"/>
    <w:rsid w:val="00B54D18"/>
    <w:rsid w:val="00B55E54"/>
    <w:rsid w:val="00B562B6"/>
    <w:rsid w:val="00B5641F"/>
    <w:rsid w:val="00B566AE"/>
    <w:rsid w:val="00B56EEA"/>
    <w:rsid w:val="00B575E1"/>
    <w:rsid w:val="00B576C3"/>
    <w:rsid w:val="00B60A52"/>
    <w:rsid w:val="00B61542"/>
    <w:rsid w:val="00B62A1B"/>
    <w:rsid w:val="00B62ADD"/>
    <w:rsid w:val="00B62DF9"/>
    <w:rsid w:val="00B62EB4"/>
    <w:rsid w:val="00B64166"/>
    <w:rsid w:val="00B642B9"/>
    <w:rsid w:val="00B6451A"/>
    <w:rsid w:val="00B65443"/>
    <w:rsid w:val="00B656F1"/>
    <w:rsid w:val="00B65F7D"/>
    <w:rsid w:val="00B66098"/>
    <w:rsid w:val="00B668DA"/>
    <w:rsid w:val="00B67556"/>
    <w:rsid w:val="00B7069E"/>
    <w:rsid w:val="00B70CDA"/>
    <w:rsid w:val="00B71094"/>
    <w:rsid w:val="00B73013"/>
    <w:rsid w:val="00B732AD"/>
    <w:rsid w:val="00B740A0"/>
    <w:rsid w:val="00B749D2"/>
    <w:rsid w:val="00B765FD"/>
    <w:rsid w:val="00B76962"/>
    <w:rsid w:val="00B76E2B"/>
    <w:rsid w:val="00B807D5"/>
    <w:rsid w:val="00B812BD"/>
    <w:rsid w:val="00B82674"/>
    <w:rsid w:val="00B82AF8"/>
    <w:rsid w:val="00B843D2"/>
    <w:rsid w:val="00B84EFC"/>
    <w:rsid w:val="00B85393"/>
    <w:rsid w:val="00B853BC"/>
    <w:rsid w:val="00B85A7B"/>
    <w:rsid w:val="00B85DCC"/>
    <w:rsid w:val="00B86B3E"/>
    <w:rsid w:val="00B86C15"/>
    <w:rsid w:val="00B8714D"/>
    <w:rsid w:val="00B878F0"/>
    <w:rsid w:val="00B87AD8"/>
    <w:rsid w:val="00B900E4"/>
    <w:rsid w:val="00B90F6D"/>
    <w:rsid w:val="00B910D0"/>
    <w:rsid w:val="00B91D23"/>
    <w:rsid w:val="00B92377"/>
    <w:rsid w:val="00B92661"/>
    <w:rsid w:val="00B92F60"/>
    <w:rsid w:val="00B936B6"/>
    <w:rsid w:val="00B93827"/>
    <w:rsid w:val="00B93D10"/>
    <w:rsid w:val="00B968EF"/>
    <w:rsid w:val="00BA0359"/>
    <w:rsid w:val="00BA113F"/>
    <w:rsid w:val="00BA288A"/>
    <w:rsid w:val="00BA3F35"/>
    <w:rsid w:val="00BA4C49"/>
    <w:rsid w:val="00BA4E38"/>
    <w:rsid w:val="00BA50D6"/>
    <w:rsid w:val="00BA61F6"/>
    <w:rsid w:val="00BA762C"/>
    <w:rsid w:val="00BB0584"/>
    <w:rsid w:val="00BB0744"/>
    <w:rsid w:val="00BB08A8"/>
    <w:rsid w:val="00BB0B8D"/>
    <w:rsid w:val="00BB0D48"/>
    <w:rsid w:val="00BB2A07"/>
    <w:rsid w:val="00BB3119"/>
    <w:rsid w:val="00BB3470"/>
    <w:rsid w:val="00BB3EE3"/>
    <w:rsid w:val="00BB4256"/>
    <w:rsid w:val="00BB4351"/>
    <w:rsid w:val="00BB4859"/>
    <w:rsid w:val="00BB5389"/>
    <w:rsid w:val="00BB5C10"/>
    <w:rsid w:val="00BB64F7"/>
    <w:rsid w:val="00BB6E9B"/>
    <w:rsid w:val="00BB78B6"/>
    <w:rsid w:val="00BC0D5F"/>
    <w:rsid w:val="00BC19BF"/>
    <w:rsid w:val="00BC1AB1"/>
    <w:rsid w:val="00BC2B08"/>
    <w:rsid w:val="00BC2E6A"/>
    <w:rsid w:val="00BC31AF"/>
    <w:rsid w:val="00BC3A0A"/>
    <w:rsid w:val="00BC3B3E"/>
    <w:rsid w:val="00BC47AC"/>
    <w:rsid w:val="00BC4A8C"/>
    <w:rsid w:val="00BC4BCB"/>
    <w:rsid w:val="00BC4DE5"/>
    <w:rsid w:val="00BC54C5"/>
    <w:rsid w:val="00BC56D4"/>
    <w:rsid w:val="00BC6426"/>
    <w:rsid w:val="00BC6753"/>
    <w:rsid w:val="00BC6C59"/>
    <w:rsid w:val="00BC6D45"/>
    <w:rsid w:val="00BC777A"/>
    <w:rsid w:val="00BC7B53"/>
    <w:rsid w:val="00BD0C65"/>
    <w:rsid w:val="00BD0D32"/>
    <w:rsid w:val="00BD3FBB"/>
    <w:rsid w:val="00BD40E9"/>
    <w:rsid w:val="00BD4874"/>
    <w:rsid w:val="00BD6CEC"/>
    <w:rsid w:val="00BD7F44"/>
    <w:rsid w:val="00BE000A"/>
    <w:rsid w:val="00BE08ED"/>
    <w:rsid w:val="00BE0E33"/>
    <w:rsid w:val="00BE1236"/>
    <w:rsid w:val="00BE18D5"/>
    <w:rsid w:val="00BE1DCE"/>
    <w:rsid w:val="00BE27D1"/>
    <w:rsid w:val="00BE34D9"/>
    <w:rsid w:val="00BE37C0"/>
    <w:rsid w:val="00BE3A32"/>
    <w:rsid w:val="00BE4425"/>
    <w:rsid w:val="00BE448C"/>
    <w:rsid w:val="00BE4E63"/>
    <w:rsid w:val="00BE5CB9"/>
    <w:rsid w:val="00BE66FA"/>
    <w:rsid w:val="00BE6818"/>
    <w:rsid w:val="00BE6A62"/>
    <w:rsid w:val="00BE708F"/>
    <w:rsid w:val="00BE7524"/>
    <w:rsid w:val="00BF09EA"/>
    <w:rsid w:val="00BF1327"/>
    <w:rsid w:val="00BF4799"/>
    <w:rsid w:val="00BF5677"/>
    <w:rsid w:val="00BF575F"/>
    <w:rsid w:val="00BF61A6"/>
    <w:rsid w:val="00BF6761"/>
    <w:rsid w:val="00BF6786"/>
    <w:rsid w:val="00BF693D"/>
    <w:rsid w:val="00BF6DD9"/>
    <w:rsid w:val="00BF7610"/>
    <w:rsid w:val="00BF76A6"/>
    <w:rsid w:val="00C005BA"/>
    <w:rsid w:val="00C00EF8"/>
    <w:rsid w:val="00C01013"/>
    <w:rsid w:val="00C012B6"/>
    <w:rsid w:val="00C019A6"/>
    <w:rsid w:val="00C0240D"/>
    <w:rsid w:val="00C02462"/>
    <w:rsid w:val="00C034D4"/>
    <w:rsid w:val="00C0373A"/>
    <w:rsid w:val="00C039CC"/>
    <w:rsid w:val="00C03E52"/>
    <w:rsid w:val="00C04BA8"/>
    <w:rsid w:val="00C04CDD"/>
    <w:rsid w:val="00C04FDF"/>
    <w:rsid w:val="00C0647C"/>
    <w:rsid w:val="00C06B38"/>
    <w:rsid w:val="00C06D3D"/>
    <w:rsid w:val="00C071DE"/>
    <w:rsid w:val="00C0747F"/>
    <w:rsid w:val="00C1007B"/>
    <w:rsid w:val="00C100D5"/>
    <w:rsid w:val="00C10306"/>
    <w:rsid w:val="00C11C92"/>
    <w:rsid w:val="00C11E41"/>
    <w:rsid w:val="00C12473"/>
    <w:rsid w:val="00C12519"/>
    <w:rsid w:val="00C13A3C"/>
    <w:rsid w:val="00C14F47"/>
    <w:rsid w:val="00C1584D"/>
    <w:rsid w:val="00C15A1A"/>
    <w:rsid w:val="00C15C13"/>
    <w:rsid w:val="00C16E62"/>
    <w:rsid w:val="00C17609"/>
    <w:rsid w:val="00C20D2D"/>
    <w:rsid w:val="00C2115C"/>
    <w:rsid w:val="00C2202C"/>
    <w:rsid w:val="00C232FA"/>
    <w:rsid w:val="00C23C3A"/>
    <w:rsid w:val="00C23F23"/>
    <w:rsid w:val="00C24AC3"/>
    <w:rsid w:val="00C25516"/>
    <w:rsid w:val="00C256B1"/>
    <w:rsid w:val="00C26624"/>
    <w:rsid w:val="00C26B5B"/>
    <w:rsid w:val="00C26EC5"/>
    <w:rsid w:val="00C27A1C"/>
    <w:rsid w:val="00C27EE1"/>
    <w:rsid w:val="00C3136C"/>
    <w:rsid w:val="00C31468"/>
    <w:rsid w:val="00C31654"/>
    <w:rsid w:val="00C31D83"/>
    <w:rsid w:val="00C32784"/>
    <w:rsid w:val="00C32B83"/>
    <w:rsid w:val="00C32C37"/>
    <w:rsid w:val="00C33B9C"/>
    <w:rsid w:val="00C34578"/>
    <w:rsid w:val="00C34F9F"/>
    <w:rsid w:val="00C3637B"/>
    <w:rsid w:val="00C36572"/>
    <w:rsid w:val="00C37B6B"/>
    <w:rsid w:val="00C4012C"/>
    <w:rsid w:val="00C41249"/>
    <w:rsid w:val="00C4178F"/>
    <w:rsid w:val="00C4179F"/>
    <w:rsid w:val="00C41F52"/>
    <w:rsid w:val="00C42646"/>
    <w:rsid w:val="00C43F5F"/>
    <w:rsid w:val="00C44574"/>
    <w:rsid w:val="00C44C17"/>
    <w:rsid w:val="00C50031"/>
    <w:rsid w:val="00C501AA"/>
    <w:rsid w:val="00C50681"/>
    <w:rsid w:val="00C50CAE"/>
    <w:rsid w:val="00C5140B"/>
    <w:rsid w:val="00C51549"/>
    <w:rsid w:val="00C52796"/>
    <w:rsid w:val="00C53434"/>
    <w:rsid w:val="00C54772"/>
    <w:rsid w:val="00C5506A"/>
    <w:rsid w:val="00C5539E"/>
    <w:rsid w:val="00C553FC"/>
    <w:rsid w:val="00C56559"/>
    <w:rsid w:val="00C5706C"/>
    <w:rsid w:val="00C608CC"/>
    <w:rsid w:val="00C60B19"/>
    <w:rsid w:val="00C60E97"/>
    <w:rsid w:val="00C61127"/>
    <w:rsid w:val="00C61B94"/>
    <w:rsid w:val="00C6204E"/>
    <w:rsid w:val="00C63DF8"/>
    <w:rsid w:val="00C63F14"/>
    <w:rsid w:val="00C645EC"/>
    <w:rsid w:val="00C64FCD"/>
    <w:rsid w:val="00C65953"/>
    <w:rsid w:val="00C65BFD"/>
    <w:rsid w:val="00C65E7E"/>
    <w:rsid w:val="00C660C3"/>
    <w:rsid w:val="00C67CA9"/>
    <w:rsid w:val="00C70173"/>
    <w:rsid w:val="00C704D4"/>
    <w:rsid w:val="00C7255A"/>
    <w:rsid w:val="00C7273D"/>
    <w:rsid w:val="00C727C3"/>
    <w:rsid w:val="00C72B30"/>
    <w:rsid w:val="00C73767"/>
    <w:rsid w:val="00C73DA1"/>
    <w:rsid w:val="00C740EB"/>
    <w:rsid w:val="00C745DB"/>
    <w:rsid w:val="00C74B40"/>
    <w:rsid w:val="00C76954"/>
    <w:rsid w:val="00C77215"/>
    <w:rsid w:val="00C800C2"/>
    <w:rsid w:val="00C81446"/>
    <w:rsid w:val="00C82243"/>
    <w:rsid w:val="00C82707"/>
    <w:rsid w:val="00C83891"/>
    <w:rsid w:val="00C85F4A"/>
    <w:rsid w:val="00C86574"/>
    <w:rsid w:val="00C87D65"/>
    <w:rsid w:val="00C90966"/>
    <w:rsid w:val="00C911EB"/>
    <w:rsid w:val="00C91B55"/>
    <w:rsid w:val="00C91CF4"/>
    <w:rsid w:val="00C927A0"/>
    <w:rsid w:val="00C928A1"/>
    <w:rsid w:val="00C92A82"/>
    <w:rsid w:val="00C92F7D"/>
    <w:rsid w:val="00C94073"/>
    <w:rsid w:val="00C94D27"/>
    <w:rsid w:val="00C958FA"/>
    <w:rsid w:val="00C9621C"/>
    <w:rsid w:val="00C9652C"/>
    <w:rsid w:val="00C9683E"/>
    <w:rsid w:val="00C96D21"/>
    <w:rsid w:val="00C96DEA"/>
    <w:rsid w:val="00C96F38"/>
    <w:rsid w:val="00CA008A"/>
    <w:rsid w:val="00CA0B11"/>
    <w:rsid w:val="00CA11DE"/>
    <w:rsid w:val="00CA18CA"/>
    <w:rsid w:val="00CA1F6B"/>
    <w:rsid w:val="00CA396D"/>
    <w:rsid w:val="00CA3B9C"/>
    <w:rsid w:val="00CA4983"/>
    <w:rsid w:val="00CA5325"/>
    <w:rsid w:val="00CA67EA"/>
    <w:rsid w:val="00CA6B25"/>
    <w:rsid w:val="00CA6FE9"/>
    <w:rsid w:val="00CA7061"/>
    <w:rsid w:val="00CA72FB"/>
    <w:rsid w:val="00CA7333"/>
    <w:rsid w:val="00CA7375"/>
    <w:rsid w:val="00CB00BA"/>
    <w:rsid w:val="00CB1C14"/>
    <w:rsid w:val="00CB1CB0"/>
    <w:rsid w:val="00CB20BB"/>
    <w:rsid w:val="00CB2867"/>
    <w:rsid w:val="00CB3376"/>
    <w:rsid w:val="00CB35FC"/>
    <w:rsid w:val="00CB3B3F"/>
    <w:rsid w:val="00CB4AC8"/>
    <w:rsid w:val="00CB5418"/>
    <w:rsid w:val="00CB58C5"/>
    <w:rsid w:val="00CB5FD2"/>
    <w:rsid w:val="00CB64F4"/>
    <w:rsid w:val="00CB6F1E"/>
    <w:rsid w:val="00CB7116"/>
    <w:rsid w:val="00CB734F"/>
    <w:rsid w:val="00CB7BFE"/>
    <w:rsid w:val="00CB7EAB"/>
    <w:rsid w:val="00CC16EB"/>
    <w:rsid w:val="00CC28C9"/>
    <w:rsid w:val="00CC2FB7"/>
    <w:rsid w:val="00CC4BA3"/>
    <w:rsid w:val="00CC5A30"/>
    <w:rsid w:val="00CC5D8D"/>
    <w:rsid w:val="00CC631D"/>
    <w:rsid w:val="00CC6F16"/>
    <w:rsid w:val="00CD02ED"/>
    <w:rsid w:val="00CD0A23"/>
    <w:rsid w:val="00CD0BB4"/>
    <w:rsid w:val="00CD1D88"/>
    <w:rsid w:val="00CD2106"/>
    <w:rsid w:val="00CD3AA7"/>
    <w:rsid w:val="00CD3C1C"/>
    <w:rsid w:val="00CD3FF7"/>
    <w:rsid w:val="00CD41A3"/>
    <w:rsid w:val="00CD45ED"/>
    <w:rsid w:val="00CD5358"/>
    <w:rsid w:val="00CD7248"/>
    <w:rsid w:val="00CD770A"/>
    <w:rsid w:val="00CE00AA"/>
    <w:rsid w:val="00CE08AC"/>
    <w:rsid w:val="00CE2597"/>
    <w:rsid w:val="00CE25A3"/>
    <w:rsid w:val="00CE2C34"/>
    <w:rsid w:val="00CE3AAC"/>
    <w:rsid w:val="00CE3EFC"/>
    <w:rsid w:val="00CE4344"/>
    <w:rsid w:val="00CE43B0"/>
    <w:rsid w:val="00CE449E"/>
    <w:rsid w:val="00CE48C8"/>
    <w:rsid w:val="00CE4D56"/>
    <w:rsid w:val="00CE4DDF"/>
    <w:rsid w:val="00CE51EF"/>
    <w:rsid w:val="00CE538A"/>
    <w:rsid w:val="00CE592B"/>
    <w:rsid w:val="00CE5B88"/>
    <w:rsid w:val="00CE6709"/>
    <w:rsid w:val="00CE6798"/>
    <w:rsid w:val="00CE74C8"/>
    <w:rsid w:val="00CE7EE9"/>
    <w:rsid w:val="00CF0F6D"/>
    <w:rsid w:val="00CF1C73"/>
    <w:rsid w:val="00CF225E"/>
    <w:rsid w:val="00CF2668"/>
    <w:rsid w:val="00CF2741"/>
    <w:rsid w:val="00CF2B08"/>
    <w:rsid w:val="00CF2C2F"/>
    <w:rsid w:val="00CF2D3F"/>
    <w:rsid w:val="00CF311F"/>
    <w:rsid w:val="00CF32BF"/>
    <w:rsid w:val="00CF47FC"/>
    <w:rsid w:val="00CF4E3E"/>
    <w:rsid w:val="00CF5F16"/>
    <w:rsid w:val="00CF6239"/>
    <w:rsid w:val="00CF6468"/>
    <w:rsid w:val="00CF6BF4"/>
    <w:rsid w:val="00CF6E85"/>
    <w:rsid w:val="00CF6FCD"/>
    <w:rsid w:val="00CF70D9"/>
    <w:rsid w:val="00CF79E2"/>
    <w:rsid w:val="00CF7AB6"/>
    <w:rsid w:val="00D0131F"/>
    <w:rsid w:val="00D039BC"/>
    <w:rsid w:val="00D04384"/>
    <w:rsid w:val="00D04652"/>
    <w:rsid w:val="00D04F03"/>
    <w:rsid w:val="00D05039"/>
    <w:rsid w:val="00D05E1F"/>
    <w:rsid w:val="00D05F2D"/>
    <w:rsid w:val="00D06A42"/>
    <w:rsid w:val="00D073D7"/>
    <w:rsid w:val="00D104AC"/>
    <w:rsid w:val="00D11153"/>
    <w:rsid w:val="00D11946"/>
    <w:rsid w:val="00D120CD"/>
    <w:rsid w:val="00D12B7F"/>
    <w:rsid w:val="00D131C4"/>
    <w:rsid w:val="00D13558"/>
    <w:rsid w:val="00D138E7"/>
    <w:rsid w:val="00D1530A"/>
    <w:rsid w:val="00D156ED"/>
    <w:rsid w:val="00D158FE"/>
    <w:rsid w:val="00D16BD2"/>
    <w:rsid w:val="00D16D37"/>
    <w:rsid w:val="00D16FB7"/>
    <w:rsid w:val="00D172CA"/>
    <w:rsid w:val="00D17838"/>
    <w:rsid w:val="00D20E64"/>
    <w:rsid w:val="00D212FE"/>
    <w:rsid w:val="00D22547"/>
    <w:rsid w:val="00D234C4"/>
    <w:rsid w:val="00D257B9"/>
    <w:rsid w:val="00D2601F"/>
    <w:rsid w:val="00D26A70"/>
    <w:rsid w:val="00D27148"/>
    <w:rsid w:val="00D273C6"/>
    <w:rsid w:val="00D275B3"/>
    <w:rsid w:val="00D3030A"/>
    <w:rsid w:val="00D30432"/>
    <w:rsid w:val="00D309FC"/>
    <w:rsid w:val="00D318C8"/>
    <w:rsid w:val="00D31CF9"/>
    <w:rsid w:val="00D3218B"/>
    <w:rsid w:val="00D32E4F"/>
    <w:rsid w:val="00D339BB"/>
    <w:rsid w:val="00D34171"/>
    <w:rsid w:val="00D35E52"/>
    <w:rsid w:val="00D362D6"/>
    <w:rsid w:val="00D368B5"/>
    <w:rsid w:val="00D3767A"/>
    <w:rsid w:val="00D40067"/>
    <w:rsid w:val="00D403FB"/>
    <w:rsid w:val="00D40DF0"/>
    <w:rsid w:val="00D41177"/>
    <w:rsid w:val="00D41366"/>
    <w:rsid w:val="00D41ACA"/>
    <w:rsid w:val="00D41BB2"/>
    <w:rsid w:val="00D42DC2"/>
    <w:rsid w:val="00D4330A"/>
    <w:rsid w:val="00D434AC"/>
    <w:rsid w:val="00D440E3"/>
    <w:rsid w:val="00D4444E"/>
    <w:rsid w:val="00D44D6A"/>
    <w:rsid w:val="00D4555E"/>
    <w:rsid w:val="00D45EF9"/>
    <w:rsid w:val="00D45FA6"/>
    <w:rsid w:val="00D46F47"/>
    <w:rsid w:val="00D4786C"/>
    <w:rsid w:val="00D51961"/>
    <w:rsid w:val="00D51CC2"/>
    <w:rsid w:val="00D54D7C"/>
    <w:rsid w:val="00D5501B"/>
    <w:rsid w:val="00D552B8"/>
    <w:rsid w:val="00D55D75"/>
    <w:rsid w:val="00D570D7"/>
    <w:rsid w:val="00D57B21"/>
    <w:rsid w:val="00D60F59"/>
    <w:rsid w:val="00D61DAA"/>
    <w:rsid w:val="00D61DDF"/>
    <w:rsid w:val="00D625AF"/>
    <w:rsid w:val="00D62B80"/>
    <w:rsid w:val="00D63622"/>
    <w:rsid w:val="00D63F6C"/>
    <w:rsid w:val="00D6518B"/>
    <w:rsid w:val="00D666B3"/>
    <w:rsid w:val="00D70FEB"/>
    <w:rsid w:val="00D72175"/>
    <w:rsid w:val="00D72D62"/>
    <w:rsid w:val="00D738ED"/>
    <w:rsid w:val="00D73C12"/>
    <w:rsid w:val="00D747B5"/>
    <w:rsid w:val="00D749B1"/>
    <w:rsid w:val="00D74AEC"/>
    <w:rsid w:val="00D75B73"/>
    <w:rsid w:val="00D75E2E"/>
    <w:rsid w:val="00D76EA9"/>
    <w:rsid w:val="00D77401"/>
    <w:rsid w:val="00D7793C"/>
    <w:rsid w:val="00D77FB6"/>
    <w:rsid w:val="00D8047A"/>
    <w:rsid w:val="00D80794"/>
    <w:rsid w:val="00D80F26"/>
    <w:rsid w:val="00D8113D"/>
    <w:rsid w:val="00D8191A"/>
    <w:rsid w:val="00D8241E"/>
    <w:rsid w:val="00D82D88"/>
    <w:rsid w:val="00D838BA"/>
    <w:rsid w:val="00D83A6D"/>
    <w:rsid w:val="00D83EB4"/>
    <w:rsid w:val="00D84A7A"/>
    <w:rsid w:val="00D8500B"/>
    <w:rsid w:val="00D85B4B"/>
    <w:rsid w:val="00D85C1D"/>
    <w:rsid w:val="00D86C33"/>
    <w:rsid w:val="00D9083D"/>
    <w:rsid w:val="00D90CF2"/>
    <w:rsid w:val="00D914C7"/>
    <w:rsid w:val="00D91521"/>
    <w:rsid w:val="00D91E15"/>
    <w:rsid w:val="00D91FF3"/>
    <w:rsid w:val="00D92406"/>
    <w:rsid w:val="00D92BB9"/>
    <w:rsid w:val="00D93336"/>
    <w:rsid w:val="00D935C0"/>
    <w:rsid w:val="00D940DF"/>
    <w:rsid w:val="00D94DF7"/>
    <w:rsid w:val="00D9576F"/>
    <w:rsid w:val="00D95E0D"/>
    <w:rsid w:val="00D96240"/>
    <w:rsid w:val="00D963A6"/>
    <w:rsid w:val="00D9726B"/>
    <w:rsid w:val="00D97776"/>
    <w:rsid w:val="00D97D25"/>
    <w:rsid w:val="00D97E57"/>
    <w:rsid w:val="00DA0651"/>
    <w:rsid w:val="00DA068F"/>
    <w:rsid w:val="00DA13A4"/>
    <w:rsid w:val="00DA2018"/>
    <w:rsid w:val="00DA318C"/>
    <w:rsid w:val="00DA4DBB"/>
    <w:rsid w:val="00DA4E39"/>
    <w:rsid w:val="00DA4F3C"/>
    <w:rsid w:val="00DA53B7"/>
    <w:rsid w:val="00DA5C4B"/>
    <w:rsid w:val="00DA6B77"/>
    <w:rsid w:val="00DA7A1B"/>
    <w:rsid w:val="00DB115E"/>
    <w:rsid w:val="00DB1378"/>
    <w:rsid w:val="00DB29ED"/>
    <w:rsid w:val="00DB2DE5"/>
    <w:rsid w:val="00DB2E0D"/>
    <w:rsid w:val="00DB308A"/>
    <w:rsid w:val="00DB35F8"/>
    <w:rsid w:val="00DB43CC"/>
    <w:rsid w:val="00DB4CE0"/>
    <w:rsid w:val="00DB582F"/>
    <w:rsid w:val="00DB6012"/>
    <w:rsid w:val="00DB6F81"/>
    <w:rsid w:val="00DB72EE"/>
    <w:rsid w:val="00DB7939"/>
    <w:rsid w:val="00DB7B21"/>
    <w:rsid w:val="00DC04C9"/>
    <w:rsid w:val="00DC06B7"/>
    <w:rsid w:val="00DC0CF4"/>
    <w:rsid w:val="00DC1ACE"/>
    <w:rsid w:val="00DC20BE"/>
    <w:rsid w:val="00DC3F80"/>
    <w:rsid w:val="00DC49FC"/>
    <w:rsid w:val="00DC5189"/>
    <w:rsid w:val="00DC67AF"/>
    <w:rsid w:val="00DC68F0"/>
    <w:rsid w:val="00DC7EB8"/>
    <w:rsid w:val="00DD0422"/>
    <w:rsid w:val="00DD136B"/>
    <w:rsid w:val="00DD1B1E"/>
    <w:rsid w:val="00DD2554"/>
    <w:rsid w:val="00DD28E2"/>
    <w:rsid w:val="00DD2B46"/>
    <w:rsid w:val="00DD2C40"/>
    <w:rsid w:val="00DD335B"/>
    <w:rsid w:val="00DD4871"/>
    <w:rsid w:val="00DD5308"/>
    <w:rsid w:val="00DD5728"/>
    <w:rsid w:val="00DD5F8E"/>
    <w:rsid w:val="00DD654B"/>
    <w:rsid w:val="00DD65E0"/>
    <w:rsid w:val="00DD673D"/>
    <w:rsid w:val="00DD7939"/>
    <w:rsid w:val="00DE0332"/>
    <w:rsid w:val="00DE05FB"/>
    <w:rsid w:val="00DE0F80"/>
    <w:rsid w:val="00DE23D8"/>
    <w:rsid w:val="00DE2599"/>
    <w:rsid w:val="00DE284C"/>
    <w:rsid w:val="00DE296E"/>
    <w:rsid w:val="00DE3DDC"/>
    <w:rsid w:val="00DE4BEB"/>
    <w:rsid w:val="00DE5221"/>
    <w:rsid w:val="00DE53EF"/>
    <w:rsid w:val="00DE576B"/>
    <w:rsid w:val="00DE5C2D"/>
    <w:rsid w:val="00DE71CB"/>
    <w:rsid w:val="00DF1552"/>
    <w:rsid w:val="00DF2E1E"/>
    <w:rsid w:val="00DF2FF0"/>
    <w:rsid w:val="00DF38A5"/>
    <w:rsid w:val="00DF5DBA"/>
    <w:rsid w:val="00DF6A6C"/>
    <w:rsid w:val="00DF7138"/>
    <w:rsid w:val="00DF77DE"/>
    <w:rsid w:val="00E00641"/>
    <w:rsid w:val="00E00ADC"/>
    <w:rsid w:val="00E00EE9"/>
    <w:rsid w:val="00E01C03"/>
    <w:rsid w:val="00E01C49"/>
    <w:rsid w:val="00E02A90"/>
    <w:rsid w:val="00E0370E"/>
    <w:rsid w:val="00E039AF"/>
    <w:rsid w:val="00E039B6"/>
    <w:rsid w:val="00E040EE"/>
    <w:rsid w:val="00E0470D"/>
    <w:rsid w:val="00E048AB"/>
    <w:rsid w:val="00E04D96"/>
    <w:rsid w:val="00E04FE8"/>
    <w:rsid w:val="00E05902"/>
    <w:rsid w:val="00E06215"/>
    <w:rsid w:val="00E06287"/>
    <w:rsid w:val="00E07440"/>
    <w:rsid w:val="00E0799F"/>
    <w:rsid w:val="00E07D65"/>
    <w:rsid w:val="00E10F11"/>
    <w:rsid w:val="00E10F8A"/>
    <w:rsid w:val="00E11A95"/>
    <w:rsid w:val="00E123C9"/>
    <w:rsid w:val="00E12C93"/>
    <w:rsid w:val="00E12EBA"/>
    <w:rsid w:val="00E130C0"/>
    <w:rsid w:val="00E13B1B"/>
    <w:rsid w:val="00E14072"/>
    <w:rsid w:val="00E1538A"/>
    <w:rsid w:val="00E154C2"/>
    <w:rsid w:val="00E15531"/>
    <w:rsid w:val="00E15648"/>
    <w:rsid w:val="00E15BD2"/>
    <w:rsid w:val="00E15E8D"/>
    <w:rsid w:val="00E1665C"/>
    <w:rsid w:val="00E168CC"/>
    <w:rsid w:val="00E1794B"/>
    <w:rsid w:val="00E21DFC"/>
    <w:rsid w:val="00E22E78"/>
    <w:rsid w:val="00E22EE8"/>
    <w:rsid w:val="00E234D9"/>
    <w:rsid w:val="00E24B60"/>
    <w:rsid w:val="00E24BE0"/>
    <w:rsid w:val="00E24C24"/>
    <w:rsid w:val="00E24E4F"/>
    <w:rsid w:val="00E25857"/>
    <w:rsid w:val="00E25FD0"/>
    <w:rsid w:val="00E26F0A"/>
    <w:rsid w:val="00E27635"/>
    <w:rsid w:val="00E30A93"/>
    <w:rsid w:val="00E31954"/>
    <w:rsid w:val="00E324A5"/>
    <w:rsid w:val="00E328E9"/>
    <w:rsid w:val="00E332DA"/>
    <w:rsid w:val="00E340EA"/>
    <w:rsid w:val="00E342DC"/>
    <w:rsid w:val="00E34FC0"/>
    <w:rsid w:val="00E35094"/>
    <w:rsid w:val="00E36B1C"/>
    <w:rsid w:val="00E36CF8"/>
    <w:rsid w:val="00E373A8"/>
    <w:rsid w:val="00E40073"/>
    <w:rsid w:val="00E4079B"/>
    <w:rsid w:val="00E40EA7"/>
    <w:rsid w:val="00E418C7"/>
    <w:rsid w:val="00E41C47"/>
    <w:rsid w:val="00E42EEA"/>
    <w:rsid w:val="00E44450"/>
    <w:rsid w:val="00E44495"/>
    <w:rsid w:val="00E451AD"/>
    <w:rsid w:val="00E451CD"/>
    <w:rsid w:val="00E45B1E"/>
    <w:rsid w:val="00E45B60"/>
    <w:rsid w:val="00E460B9"/>
    <w:rsid w:val="00E47EE5"/>
    <w:rsid w:val="00E5295A"/>
    <w:rsid w:val="00E529A6"/>
    <w:rsid w:val="00E52E2F"/>
    <w:rsid w:val="00E56974"/>
    <w:rsid w:val="00E56CCA"/>
    <w:rsid w:val="00E60064"/>
    <w:rsid w:val="00E610D1"/>
    <w:rsid w:val="00E61A86"/>
    <w:rsid w:val="00E61E8D"/>
    <w:rsid w:val="00E6296D"/>
    <w:rsid w:val="00E62D2E"/>
    <w:rsid w:val="00E64054"/>
    <w:rsid w:val="00E64B1D"/>
    <w:rsid w:val="00E64D5A"/>
    <w:rsid w:val="00E66720"/>
    <w:rsid w:val="00E673D6"/>
    <w:rsid w:val="00E67919"/>
    <w:rsid w:val="00E67C7F"/>
    <w:rsid w:val="00E7116A"/>
    <w:rsid w:val="00E7167F"/>
    <w:rsid w:val="00E717B2"/>
    <w:rsid w:val="00E720DE"/>
    <w:rsid w:val="00E72319"/>
    <w:rsid w:val="00E723B6"/>
    <w:rsid w:val="00E724EA"/>
    <w:rsid w:val="00E726BB"/>
    <w:rsid w:val="00E72E87"/>
    <w:rsid w:val="00E731D3"/>
    <w:rsid w:val="00E732D7"/>
    <w:rsid w:val="00E73C36"/>
    <w:rsid w:val="00E74BE0"/>
    <w:rsid w:val="00E74DA1"/>
    <w:rsid w:val="00E74DFC"/>
    <w:rsid w:val="00E753F9"/>
    <w:rsid w:val="00E7546C"/>
    <w:rsid w:val="00E75A60"/>
    <w:rsid w:val="00E76013"/>
    <w:rsid w:val="00E77B1E"/>
    <w:rsid w:val="00E80431"/>
    <w:rsid w:val="00E80BC7"/>
    <w:rsid w:val="00E8134A"/>
    <w:rsid w:val="00E81502"/>
    <w:rsid w:val="00E82412"/>
    <w:rsid w:val="00E82546"/>
    <w:rsid w:val="00E83878"/>
    <w:rsid w:val="00E83D0F"/>
    <w:rsid w:val="00E83D10"/>
    <w:rsid w:val="00E84581"/>
    <w:rsid w:val="00E84A75"/>
    <w:rsid w:val="00E868FA"/>
    <w:rsid w:val="00E86C3F"/>
    <w:rsid w:val="00E90D81"/>
    <w:rsid w:val="00E90F73"/>
    <w:rsid w:val="00E93852"/>
    <w:rsid w:val="00E94283"/>
    <w:rsid w:val="00E942CE"/>
    <w:rsid w:val="00E9477D"/>
    <w:rsid w:val="00E94B41"/>
    <w:rsid w:val="00E95035"/>
    <w:rsid w:val="00E950A1"/>
    <w:rsid w:val="00E95798"/>
    <w:rsid w:val="00EA0920"/>
    <w:rsid w:val="00EA18D7"/>
    <w:rsid w:val="00EA1B91"/>
    <w:rsid w:val="00EA2064"/>
    <w:rsid w:val="00EA24E4"/>
    <w:rsid w:val="00EA2A61"/>
    <w:rsid w:val="00EA47D8"/>
    <w:rsid w:val="00EA4986"/>
    <w:rsid w:val="00EA6840"/>
    <w:rsid w:val="00EA6DEF"/>
    <w:rsid w:val="00EA720E"/>
    <w:rsid w:val="00EA76DD"/>
    <w:rsid w:val="00EB04CE"/>
    <w:rsid w:val="00EB0870"/>
    <w:rsid w:val="00EB0B8E"/>
    <w:rsid w:val="00EB1022"/>
    <w:rsid w:val="00EB12AF"/>
    <w:rsid w:val="00EB1362"/>
    <w:rsid w:val="00EB1A21"/>
    <w:rsid w:val="00EB1CBE"/>
    <w:rsid w:val="00EB4A4A"/>
    <w:rsid w:val="00EB531C"/>
    <w:rsid w:val="00EB5329"/>
    <w:rsid w:val="00EB5A4E"/>
    <w:rsid w:val="00EB5E4E"/>
    <w:rsid w:val="00EB5F3D"/>
    <w:rsid w:val="00EB6763"/>
    <w:rsid w:val="00EB6A7A"/>
    <w:rsid w:val="00EB7447"/>
    <w:rsid w:val="00EB7B05"/>
    <w:rsid w:val="00EB7C6D"/>
    <w:rsid w:val="00EB7EA4"/>
    <w:rsid w:val="00EC0B2C"/>
    <w:rsid w:val="00EC13A4"/>
    <w:rsid w:val="00EC17DC"/>
    <w:rsid w:val="00EC1D06"/>
    <w:rsid w:val="00EC1F40"/>
    <w:rsid w:val="00EC2474"/>
    <w:rsid w:val="00EC275A"/>
    <w:rsid w:val="00EC2BD5"/>
    <w:rsid w:val="00EC3058"/>
    <w:rsid w:val="00EC4C5E"/>
    <w:rsid w:val="00EC63D2"/>
    <w:rsid w:val="00EC70CF"/>
    <w:rsid w:val="00ED0AD8"/>
    <w:rsid w:val="00ED2298"/>
    <w:rsid w:val="00ED23B0"/>
    <w:rsid w:val="00ED3829"/>
    <w:rsid w:val="00ED3DF2"/>
    <w:rsid w:val="00ED3F54"/>
    <w:rsid w:val="00ED605D"/>
    <w:rsid w:val="00ED6403"/>
    <w:rsid w:val="00ED7AB8"/>
    <w:rsid w:val="00EE090C"/>
    <w:rsid w:val="00EE1925"/>
    <w:rsid w:val="00EE1972"/>
    <w:rsid w:val="00EE278E"/>
    <w:rsid w:val="00EE2920"/>
    <w:rsid w:val="00EE55FB"/>
    <w:rsid w:val="00EE5A6F"/>
    <w:rsid w:val="00EE5F5C"/>
    <w:rsid w:val="00EE6077"/>
    <w:rsid w:val="00EE6B60"/>
    <w:rsid w:val="00EE6FF8"/>
    <w:rsid w:val="00EF16C7"/>
    <w:rsid w:val="00EF1860"/>
    <w:rsid w:val="00EF4022"/>
    <w:rsid w:val="00EF4861"/>
    <w:rsid w:val="00EF4AB2"/>
    <w:rsid w:val="00EF5493"/>
    <w:rsid w:val="00EF5A8C"/>
    <w:rsid w:val="00EF5F5E"/>
    <w:rsid w:val="00EF6C9F"/>
    <w:rsid w:val="00EF7AF1"/>
    <w:rsid w:val="00F00427"/>
    <w:rsid w:val="00F008FA"/>
    <w:rsid w:val="00F01502"/>
    <w:rsid w:val="00F020B3"/>
    <w:rsid w:val="00F02F5C"/>
    <w:rsid w:val="00F03755"/>
    <w:rsid w:val="00F0391B"/>
    <w:rsid w:val="00F03E1C"/>
    <w:rsid w:val="00F04733"/>
    <w:rsid w:val="00F04752"/>
    <w:rsid w:val="00F04C0A"/>
    <w:rsid w:val="00F05070"/>
    <w:rsid w:val="00F051AC"/>
    <w:rsid w:val="00F05A15"/>
    <w:rsid w:val="00F063AA"/>
    <w:rsid w:val="00F0725D"/>
    <w:rsid w:val="00F0747C"/>
    <w:rsid w:val="00F07EB2"/>
    <w:rsid w:val="00F110CC"/>
    <w:rsid w:val="00F11557"/>
    <w:rsid w:val="00F11AA4"/>
    <w:rsid w:val="00F13710"/>
    <w:rsid w:val="00F13FAF"/>
    <w:rsid w:val="00F15013"/>
    <w:rsid w:val="00F15B68"/>
    <w:rsid w:val="00F15CC9"/>
    <w:rsid w:val="00F2079B"/>
    <w:rsid w:val="00F20E74"/>
    <w:rsid w:val="00F21224"/>
    <w:rsid w:val="00F215F3"/>
    <w:rsid w:val="00F22577"/>
    <w:rsid w:val="00F230A8"/>
    <w:rsid w:val="00F24163"/>
    <w:rsid w:val="00F2506F"/>
    <w:rsid w:val="00F2649A"/>
    <w:rsid w:val="00F26CC6"/>
    <w:rsid w:val="00F30491"/>
    <w:rsid w:val="00F30F73"/>
    <w:rsid w:val="00F31038"/>
    <w:rsid w:val="00F31FAD"/>
    <w:rsid w:val="00F32121"/>
    <w:rsid w:val="00F3217B"/>
    <w:rsid w:val="00F32D85"/>
    <w:rsid w:val="00F33714"/>
    <w:rsid w:val="00F3406B"/>
    <w:rsid w:val="00F3444A"/>
    <w:rsid w:val="00F35376"/>
    <w:rsid w:val="00F361DA"/>
    <w:rsid w:val="00F361DC"/>
    <w:rsid w:val="00F37559"/>
    <w:rsid w:val="00F37BBC"/>
    <w:rsid w:val="00F40841"/>
    <w:rsid w:val="00F40B79"/>
    <w:rsid w:val="00F40F4B"/>
    <w:rsid w:val="00F4193A"/>
    <w:rsid w:val="00F42260"/>
    <w:rsid w:val="00F4250B"/>
    <w:rsid w:val="00F43336"/>
    <w:rsid w:val="00F4360C"/>
    <w:rsid w:val="00F442F1"/>
    <w:rsid w:val="00F44309"/>
    <w:rsid w:val="00F4432A"/>
    <w:rsid w:val="00F4469E"/>
    <w:rsid w:val="00F44988"/>
    <w:rsid w:val="00F44C05"/>
    <w:rsid w:val="00F44E8B"/>
    <w:rsid w:val="00F44F3D"/>
    <w:rsid w:val="00F44F9D"/>
    <w:rsid w:val="00F456B1"/>
    <w:rsid w:val="00F46E9E"/>
    <w:rsid w:val="00F47202"/>
    <w:rsid w:val="00F5042D"/>
    <w:rsid w:val="00F52277"/>
    <w:rsid w:val="00F526E1"/>
    <w:rsid w:val="00F52E58"/>
    <w:rsid w:val="00F531F4"/>
    <w:rsid w:val="00F5349F"/>
    <w:rsid w:val="00F53FD0"/>
    <w:rsid w:val="00F54584"/>
    <w:rsid w:val="00F5538A"/>
    <w:rsid w:val="00F556FC"/>
    <w:rsid w:val="00F55B33"/>
    <w:rsid w:val="00F5609A"/>
    <w:rsid w:val="00F57019"/>
    <w:rsid w:val="00F57498"/>
    <w:rsid w:val="00F57732"/>
    <w:rsid w:val="00F607A9"/>
    <w:rsid w:val="00F60F64"/>
    <w:rsid w:val="00F611EC"/>
    <w:rsid w:val="00F62BB4"/>
    <w:rsid w:val="00F62F12"/>
    <w:rsid w:val="00F62FC8"/>
    <w:rsid w:val="00F639C4"/>
    <w:rsid w:val="00F64972"/>
    <w:rsid w:val="00F649AD"/>
    <w:rsid w:val="00F66A51"/>
    <w:rsid w:val="00F66B2C"/>
    <w:rsid w:val="00F67132"/>
    <w:rsid w:val="00F70076"/>
    <w:rsid w:val="00F702C7"/>
    <w:rsid w:val="00F704A1"/>
    <w:rsid w:val="00F7232C"/>
    <w:rsid w:val="00F72521"/>
    <w:rsid w:val="00F74126"/>
    <w:rsid w:val="00F75862"/>
    <w:rsid w:val="00F75DBA"/>
    <w:rsid w:val="00F776D3"/>
    <w:rsid w:val="00F77E89"/>
    <w:rsid w:val="00F822CA"/>
    <w:rsid w:val="00F829BF"/>
    <w:rsid w:val="00F82EF9"/>
    <w:rsid w:val="00F834E4"/>
    <w:rsid w:val="00F84A7F"/>
    <w:rsid w:val="00F84AF2"/>
    <w:rsid w:val="00F85321"/>
    <w:rsid w:val="00F85BE4"/>
    <w:rsid w:val="00F85E81"/>
    <w:rsid w:val="00F86618"/>
    <w:rsid w:val="00F876D2"/>
    <w:rsid w:val="00F90628"/>
    <w:rsid w:val="00F92AFB"/>
    <w:rsid w:val="00F92DBB"/>
    <w:rsid w:val="00F93839"/>
    <w:rsid w:val="00F9454C"/>
    <w:rsid w:val="00F9515C"/>
    <w:rsid w:val="00F95CF4"/>
    <w:rsid w:val="00F95FAA"/>
    <w:rsid w:val="00FA0135"/>
    <w:rsid w:val="00FA1F0D"/>
    <w:rsid w:val="00FA23AB"/>
    <w:rsid w:val="00FA2583"/>
    <w:rsid w:val="00FA42C1"/>
    <w:rsid w:val="00FA4783"/>
    <w:rsid w:val="00FA4E99"/>
    <w:rsid w:val="00FA61BD"/>
    <w:rsid w:val="00FA6CA4"/>
    <w:rsid w:val="00FA7EB3"/>
    <w:rsid w:val="00FB002C"/>
    <w:rsid w:val="00FB1CBB"/>
    <w:rsid w:val="00FB1D95"/>
    <w:rsid w:val="00FB20EC"/>
    <w:rsid w:val="00FB219B"/>
    <w:rsid w:val="00FB22DD"/>
    <w:rsid w:val="00FB5429"/>
    <w:rsid w:val="00FB5F22"/>
    <w:rsid w:val="00FB621E"/>
    <w:rsid w:val="00FB7426"/>
    <w:rsid w:val="00FC04A1"/>
    <w:rsid w:val="00FC21B1"/>
    <w:rsid w:val="00FC2733"/>
    <w:rsid w:val="00FC2A11"/>
    <w:rsid w:val="00FC2BBE"/>
    <w:rsid w:val="00FC303B"/>
    <w:rsid w:val="00FC3555"/>
    <w:rsid w:val="00FC41CD"/>
    <w:rsid w:val="00FC49ED"/>
    <w:rsid w:val="00FC68DB"/>
    <w:rsid w:val="00FC7911"/>
    <w:rsid w:val="00FD030F"/>
    <w:rsid w:val="00FD0D77"/>
    <w:rsid w:val="00FD150D"/>
    <w:rsid w:val="00FD1A7E"/>
    <w:rsid w:val="00FD20BE"/>
    <w:rsid w:val="00FD286D"/>
    <w:rsid w:val="00FD2CD9"/>
    <w:rsid w:val="00FD3108"/>
    <w:rsid w:val="00FD34AD"/>
    <w:rsid w:val="00FD4304"/>
    <w:rsid w:val="00FD664A"/>
    <w:rsid w:val="00FD694B"/>
    <w:rsid w:val="00FD6C72"/>
    <w:rsid w:val="00FD7051"/>
    <w:rsid w:val="00FD7B1F"/>
    <w:rsid w:val="00FE0199"/>
    <w:rsid w:val="00FE056E"/>
    <w:rsid w:val="00FE0BF7"/>
    <w:rsid w:val="00FE1264"/>
    <w:rsid w:val="00FE20AA"/>
    <w:rsid w:val="00FE43D4"/>
    <w:rsid w:val="00FE449D"/>
    <w:rsid w:val="00FE52AC"/>
    <w:rsid w:val="00FE58AD"/>
    <w:rsid w:val="00FE5ED1"/>
    <w:rsid w:val="00FE6029"/>
    <w:rsid w:val="00FE6266"/>
    <w:rsid w:val="00FE6578"/>
    <w:rsid w:val="00FE6C7B"/>
    <w:rsid w:val="00FE6E41"/>
    <w:rsid w:val="00FF0874"/>
    <w:rsid w:val="00FF0B1F"/>
    <w:rsid w:val="00FF10F2"/>
    <w:rsid w:val="00FF1950"/>
    <w:rsid w:val="00FF1E2B"/>
    <w:rsid w:val="00FF1EBA"/>
    <w:rsid w:val="00FF25B8"/>
    <w:rsid w:val="00FF2EFD"/>
    <w:rsid w:val="00FF362D"/>
    <w:rsid w:val="00FF3D31"/>
    <w:rsid w:val="00FF59F5"/>
    <w:rsid w:val="00FF63ED"/>
    <w:rsid w:val="00FF78F0"/>
    <w:rsid w:val="00FF7D41"/>
    <w:rsid w:val="06A57FD9"/>
    <w:rsid w:val="0B904E5A"/>
    <w:rsid w:val="0F7F297E"/>
    <w:rsid w:val="192DF94A"/>
    <w:rsid w:val="466B510E"/>
    <w:rsid w:val="50E4E064"/>
    <w:rsid w:val="70C41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5B9284"/>
  <w15:docId w15:val="{F38C0913-E681-4C1D-8F6C-237BC22C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5B1C"/>
    <w:pPr>
      <w:widowControl w:val="0"/>
      <w:autoSpaceDE w:val="0"/>
      <w:autoSpaceDN w:val="0"/>
      <w:adjustRightInd w:val="0"/>
    </w:pPr>
    <w:rPr>
      <w:b/>
      <w:bCs/>
    </w:rPr>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qFormat/>
    <w:pPr>
      <w:keepNext/>
      <w:widowControl/>
      <w:ind w:left="720"/>
      <w:outlineLvl w:val="1"/>
    </w:pPr>
    <w:rPr>
      <w:b w:val="0"/>
      <w:bCs w:val="0"/>
      <w:sz w:val="24"/>
    </w:rPr>
  </w:style>
  <w:style w:type="paragraph" w:styleId="Heading3">
    <w:name w:val="heading 3"/>
    <w:basedOn w:val="Normal"/>
    <w:next w:val="Normal"/>
    <w:uiPriority w:val="9"/>
    <w:qFormat/>
    <w:pPr>
      <w:keepNext/>
      <w:widowControl/>
      <w:tabs>
        <w:tab w:val="left" w:pos="-1440"/>
      </w:tabs>
      <w:ind w:left="720" w:hanging="720"/>
      <w:outlineLvl w:val="2"/>
    </w:pPr>
    <w:rPr>
      <w:sz w:val="24"/>
    </w:rPr>
  </w:style>
  <w:style w:type="paragraph" w:styleId="Heading4">
    <w:name w:val="heading 4"/>
    <w:basedOn w:val="Normal"/>
    <w:next w:val="Normal"/>
    <w:link w:val="Heading4Char"/>
    <w:uiPriority w:val="9"/>
    <w:unhideWhenUsed/>
    <w:qFormat/>
    <w:rsid w:val="006E18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E189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E189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qFormat/>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qFormat/>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uiPriority w:val="99"/>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aliases w:val=" Char Char,Char Char,Char18 Char1,Char181 Char,Char182 Char,F1 Char1,FT Char1,Footnote Text AG Char1,Footnote Text Char Char Char Char Char1,Footnote Text Char Char Char1,Footnote Text Char1 Char Char Char,Footnote ak Char1,Text Char"/>
    <w:link w:val="FootnoteText"/>
    <w:uiPriority w:val="99"/>
    <w:rsid w:val="00742A93"/>
    <w:rPr>
      <w:b/>
      <w:bCs/>
      <w:sz w:val="16"/>
      <w:lang w:val="en-US" w:eastAsia="en-US" w:bidi="ar-SA"/>
    </w:rPr>
  </w:style>
  <w:style w:type="character" w:styleId="CommentReference">
    <w:name w:val="annotation reference"/>
    <w:basedOn w:val="DefaultParagraphFont"/>
    <w:uiPriority w:val="99"/>
    <w:rsid w:val="00AD1B6F"/>
    <w:rPr>
      <w:sz w:val="16"/>
      <w:szCs w:val="16"/>
    </w:rPr>
  </w:style>
  <w:style w:type="paragraph" w:styleId="CommentText">
    <w:name w:val="annotation text"/>
    <w:aliases w:val="Times New Roman,t"/>
    <w:basedOn w:val="Normal"/>
    <w:link w:val="CommentTextChar"/>
    <w:uiPriority w:val="99"/>
    <w:qFormat/>
    <w:rsid w:val="00AD1B6F"/>
  </w:style>
  <w:style w:type="character" w:customStyle="1" w:styleId="CommentTextChar">
    <w:name w:val="Comment Text Char"/>
    <w:aliases w:val="Times New Roman Char,t Char"/>
    <w:basedOn w:val="DefaultParagraphFont"/>
    <w:link w:val="CommentText"/>
    <w:uiPriority w:val="99"/>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styleId="Revision">
    <w:name w:val="Revision"/>
    <w:hidden/>
    <w:uiPriority w:val="99"/>
    <w:semiHidden/>
    <w:rsid w:val="00F05070"/>
    <w:rPr>
      <w:b/>
      <w:bCs/>
    </w:rPr>
  </w:style>
  <w:style w:type="table" w:styleId="TableGrid">
    <w:name w:val="Table Grid"/>
    <w:basedOn w:val="TableNormal"/>
    <w:rsid w:val="003027B7"/>
    <w:tblPr/>
  </w:style>
  <w:style w:type="character" w:styleId="Emphasis">
    <w:name w:val="Emphasis"/>
    <w:basedOn w:val="DefaultParagraphFont"/>
    <w:qFormat/>
    <w:rsid w:val="00C41F52"/>
    <w:rPr>
      <w:i/>
      <w:iCs/>
    </w:rPr>
  </w:style>
  <w:style w:type="character" w:styleId="UnresolvedMention">
    <w:name w:val="Unresolved Mention"/>
    <w:basedOn w:val="DefaultParagraphFont"/>
    <w:uiPriority w:val="99"/>
    <w:unhideWhenUsed/>
    <w:rsid w:val="00AE54FA"/>
    <w:rPr>
      <w:color w:val="605E5C"/>
      <w:shd w:val="clear" w:color="auto" w:fill="E1DFDD"/>
    </w:rPr>
  </w:style>
  <w:style w:type="character" w:customStyle="1" w:styleId="FootnoteTextChar1">
    <w:name w:val="Footnote Text Char1"/>
    <w:aliases w:val="Char18 Char,F1 Char,FT Char,Footnote Text AG Char,Footnote Text Char Char Char,Footnote Text Char Char Char Char Char,Footnote ak Char,Footnotes Char,SD Footnote Text Char,Style 14 Char,fn Char,fnW Char,footnote text Char,ft Char"/>
    <w:uiPriority w:val="99"/>
    <w:locked/>
    <w:rsid w:val="00F57732"/>
    <w:rPr>
      <w:rFonts w:ascii="Times New Roman" w:eastAsia="Times New Roman" w:hAnsi="Times New Roman" w:cs="Times New Roman"/>
      <w:sz w:val="20"/>
      <w:szCs w:val="20"/>
    </w:rPr>
  </w:style>
  <w:style w:type="character" w:styleId="Mention">
    <w:name w:val="Mention"/>
    <w:basedOn w:val="DefaultParagraphFont"/>
    <w:uiPriority w:val="99"/>
    <w:unhideWhenUsed/>
    <w:rsid w:val="001730BD"/>
    <w:rPr>
      <w:color w:val="2B579A"/>
      <w:shd w:val="clear" w:color="auto" w:fill="E1DFDD"/>
    </w:rPr>
  </w:style>
  <w:style w:type="character" w:customStyle="1" w:styleId="Heading4Char">
    <w:name w:val="Heading 4 Char"/>
    <w:basedOn w:val="DefaultParagraphFont"/>
    <w:link w:val="Heading4"/>
    <w:semiHidden/>
    <w:rsid w:val="006E1899"/>
    <w:rPr>
      <w:rFonts w:asciiTheme="majorHAnsi" w:eastAsiaTheme="majorEastAsia" w:hAnsiTheme="majorHAnsi" w:cstheme="majorBidi"/>
      <w:b/>
      <w:bCs/>
      <w:i/>
      <w:iCs/>
      <w:color w:val="365F91" w:themeColor="accent1" w:themeShade="BF"/>
    </w:rPr>
  </w:style>
  <w:style w:type="character" w:customStyle="1" w:styleId="Heading5Char">
    <w:name w:val="Heading 5 Char"/>
    <w:basedOn w:val="DefaultParagraphFont"/>
    <w:link w:val="Heading5"/>
    <w:semiHidden/>
    <w:rsid w:val="006E1899"/>
    <w:rPr>
      <w:rFonts w:asciiTheme="majorHAnsi" w:eastAsiaTheme="majorEastAsia" w:hAnsiTheme="majorHAnsi" w:cstheme="majorBidi"/>
      <w:b/>
      <w:bCs/>
      <w:color w:val="365F91" w:themeColor="accent1" w:themeShade="BF"/>
    </w:rPr>
  </w:style>
  <w:style w:type="character" w:customStyle="1" w:styleId="Heading6Char">
    <w:name w:val="Heading 6 Char"/>
    <w:basedOn w:val="DefaultParagraphFont"/>
    <w:link w:val="Heading6"/>
    <w:semiHidden/>
    <w:rsid w:val="006E1899"/>
    <w:rPr>
      <w:rFonts w:asciiTheme="majorHAnsi" w:eastAsiaTheme="majorEastAsia" w:hAnsiTheme="majorHAnsi" w:cstheme="majorBidi"/>
      <w:b/>
      <w:bCs/>
      <w:color w:val="243F60" w:themeColor="accent1" w:themeShade="7F"/>
    </w:rPr>
  </w:style>
  <w:style w:type="paragraph" w:customStyle="1" w:styleId="GPOHtml">
    <w:name w:val="GPOHtml"/>
    <w:basedOn w:val="Normal"/>
    <w:rsid w:val="00662510"/>
    <w:pPr>
      <w:widowControl/>
      <w:autoSpaceDE/>
      <w:autoSpaceDN/>
      <w:adjustRightInd/>
      <w:spacing w:after="100" w:afterAutospacing="1" w:line="480" w:lineRule="auto"/>
    </w:pPr>
    <w:rPr>
      <w:rFonts w:ascii="Arial" w:eastAsia="SimSun" w:hAnsi="Arial"/>
      <w:b w:val="0"/>
      <w:bCs w:val="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fact-sheets/2025/04/fact-sheet-president-donald-j-trump-announces-actions-to-lower-prescription-drug-prices/" TargetMode="External" /><Relationship Id="rId10" Type="http://schemas.openxmlformats.org/officeDocument/2006/relationships/hyperlink" Target="https://nashp.org/state-tracker/state-pharmacy-benefit-manager-legislation/" TargetMode="External" /><Relationship Id="rId11" Type="http://schemas.openxmlformats.org/officeDocument/2006/relationships/hyperlink" Target="https://www.federalregister.gov/documents/2021/11/23/2021-25183/prescription-drug-and-health-care-spending" TargetMode="External" /><Relationship Id="rId12" Type="http://schemas.openxmlformats.org/officeDocument/2006/relationships/hyperlink" Target="https://www.federalregister.gov/documents/2012/05/16/2012-11753/medical-loss-ratio-requirements-under-the-patient-protection-and-affordable-care-act" TargetMode="External" /><Relationship Id="rId13" Type="http://schemas.openxmlformats.org/officeDocument/2006/relationships/hyperlink" Target="https://www.cms.gov/medicare/coverage/prescription-drug-coverage-contracting/part-d-reporting-requirements" TargetMode="External" /><Relationship Id="rId14" Type="http://schemas.openxmlformats.org/officeDocument/2006/relationships/hyperlink" Target="https://www.federalregister.gov/documents/2019/11/27/2019-24931/medicare-and-medicaid-programs-cy-2020-hospital-outpatient-pps-policy-changes-and-payment-rates-and" TargetMode="External" /><Relationship Id="rId2" Type="http://schemas.openxmlformats.org/officeDocument/2006/relationships/hyperlink" Target="https://www.dol.gov/newsroom/releases/ebsa/ebsa20250522" TargetMode="External" /><Relationship Id="rId3" Type="http://schemas.openxmlformats.org/officeDocument/2006/relationships/hyperlink" Target="https://www.ftc.gov/system/files/ftc_gov/pdf/pharmacy-benefit-managers-staff-report.pdf" TargetMode="External" /><Relationship Id="rId4" Type="http://schemas.openxmlformats.org/officeDocument/2006/relationships/hyperlink" Target="https://www.dol.gov/sites/dolgov/files/ebsa/pdf_files/2014-pbm-compensation-and-fee-disclosure.pdf" TargetMode="External" /><Relationship Id="rId5" Type="http://schemas.openxmlformats.org/officeDocument/2006/relationships/hyperlink" Target="https://www.gao.gov/assets/d24106898.pdf" TargetMode="External" /><Relationship Id="rId6" Type="http://schemas.openxmlformats.org/officeDocument/2006/relationships/hyperlink" Target="https://www.kff.org/report-section/ehbs-2024-section-10-plan-funding/" TargetMode="External" /><Relationship Id="rId7" Type="http://schemas.openxmlformats.org/officeDocument/2006/relationships/hyperlink" Target="https://www.kff.org/report-section/ehbs-2024-section-9-prescription-drug-benefits/" TargetMode="External" /><Relationship Id="rId8" Type="http://schemas.openxmlformats.org/officeDocument/2006/relationships/hyperlink" Target="https://www.cms.gov/marketplace/resources/data/medical-loss-ratio-data-systems-resources" TargetMode="External" /><Relationship Id="rId9"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Baum, Beth L - EBSA</DisplayName>
        <AccountId>3002</AccountId>
        <AccountType/>
      </UserInfo>
      <UserInfo>
        <DisplayName>Sydlik, David - EBSA</DisplayName>
        <AccountId>429</AccountId>
        <AccountType/>
      </UserInfo>
      <UserInfo>
        <DisplayName>Rivers, Amber - EBSA</DisplayName>
        <AccountId>103</AccountId>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559730A6-35FF-4A69-9D62-C84B5D86AE4A}">
  <ds:schemaRefs>
    <ds:schemaRef ds:uri="http://schemas.microsoft.com/sharepoint/v3/contenttype/forms"/>
  </ds:schemaRefs>
</ds:datastoreItem>
</file>

<file path=customXml/itemProps2.xml><?xml version="1.0" encoding="utf-8"?>
<ds:datastoreItem xmlns:ds="http://schemas.openxmlformats.org/officeDocument/2006/customXml" ds:itemID="{8E87E18D-5B74-4ABF-93E1-CD27E7ED5FE9}">
  <ds:schemaRefs>
    <ds:schemaRef ds:uri="http://schemas.openxmlformats.org/officeDocument/2006/bibliography"/>
  </ds:schemaRefs>
</ds:datastoreItem>
</file>

<file path=customXml/itemProps3.xml><?xml version="1.0" encoding="utf-8"?>
<ds:datastoreItem xmlns:ds="http://schemas.openxmlformats.org/officeDocument/2006/customXml" ds:itemID="{ED9B7439-D0C5-4AAF-8372-E8D4F387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CCBC5-180A-4646-B567-C9CDA2066D32}">
  <ds:schemaRefs>
    <ds:schemaRef ds:uri="http://schemas.microsoft.com/office/2006/metadata/properties"/>
    <ds:schemaRef ds:uri="http://schemas.microsoft.com/office/infopath/2007/PartnerControls"/>
    <ds:schemaRef ds:uri="702f922a-4822-456a-81ca-e751b937cee3"/>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8531</Words>
  <Characters>49582</Characters>
  <Application>Microsoft Office Word</Application>
  <DocSecurity>0</DocSecurity>
  <Lines>1416</Lines>
  <Paragraphs>618</Paragraphs>
  <ScaleCrop>false</ScaleCrop>
  <Company>U.S. Department of Labor</Company>
  <LinksUpToDate>false</LinksUpToDate>
  <CharactersWithSpaces>57495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19</cp:revision>
  <cp:lastPrinted>2025-11-18T18:52:00Z</cp:lastPrinted>
  <dcterms:created xsi:type="dcterms:W3CDTF">2025-11-25T14:23:00Z</dcterms:created>
  <dcterms:modified xsi:type="dcterms:W3CDTF">2026-01-08T17:42:00Z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y fmtid="{D5CDD505-2E9C-101B-9397-08002B2CF9AE}" pid="4" name="_NewReviewCycle">
    <vt:lpwstr/>
  </property>
</Properties>
</file>