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6D6D" w:rsidRPr="00F17101" w:rsidP="00F17101" w14:paraId="5018F7A1" w14:textId="451CC6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1C62750">
        <w:rPr>
          <w:rFonts w:ascii="Times New Roman" w:hAnsi="Times New Roman" w:cs="Times New Roman"/>
          <w:b/>
          <w:bCs/>
          <w:sz w:val="24"/>
          <w:szCs w:val="24"/>
        </w:rPr>
        <w:t xml:space="preserve">Justification for No Material or </w:t>
      </w:r>
      <w:r w:rsidRPr="11C62750">
        <w:rPr>
          <w:rFonts w:ascii="Times New Roman" w:hAnsi="Times New Roman" w:cs="Times New Roman"/>
          <w:b/>
          <w:bCs/>
          <w:sz w:val="24"/>
          <w:szCs w:val="24"/>
        </w:rPr>
        <w:t>Nonsubstantive</w:t>
      </w:r>
      <w:r w:rsidRPr="11C62750">
        <w:rPr>
          <w:rFonts w:ascii="Times New Roman" w:hAnsi="Times New Roman" w:cs="Times New Roman"/>
          <w:b/>
          <w:bCs/>
          <w:sz w:val="24"/>
          <w:szCs w:val="24"/>
        </w:rPr>
        <w:t xml:space="preserve"> Change to </w:t>
      </w:r>
      <w:bookmarkStart w:id="0" w:name="_Int_XlRY3ZcO"/>
      <w:r w:rsidRPr="11C62750">
        <w:rPr>
          <w:rFonts w:ascii="Times New Roman" w:hAnsi="Times New Roman" w:cs="Times New Roman"/>
          <w:b/>
          <w:bCs/>
          <w:sz w:val="24"/>
          <w:szCs w:val="24"/>
        </w:rPr>
        <w:t>Currently-Approved</w:t>
      </w:r>
      <w:bookmarkEnd w:id="0"/>
      <w:r w:rsidRPr="11C62750">
        <w:rPr>
          <w:rFonts w:ascii="Times New Roman" w:hAnsi="Times New Roman" w:cs="Times New Roman"/>
          <w:b/>
          <w:bCs/>
          <w:sz w:val="24"/>
          <w:szCs w:val="24"/>
        </w:rPr>
        <w:t xml:space="preserve"> Collection</w:t>
      </w:r>
    </w:p>
    <w:p w:rsidR="00856D6D" w:rsidRPr="00F17101" w:rsidP="00F17101" w14:paraId="0E6BD1C4" w14:textId="42699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6D" w:rsidRPr="00F17101" w:rsidP="00F17101" w14:paraId="487FCA46" w14:textId="6160B1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623D">
        <w:rPr>
          <w:rFonts w:ascii="Times New Roman" w:hAnsi="Times New Roman" w:cs="Times New Roman"/>
          <w:b/>
          <w:bCs/>
          <w:sz w:val="24"/>
          <w:szCs w:val="24"/>
        </w:rPr>
        <w:t>AGENCY</w:t>
      </w:r>
      <w:r w:rsidRPr="752443E0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752443E0">
        <w:rPr>
          <w:rFonts w:ascii="Times New Roman" w:hAnsi="Times New Roman" w:cs="Times New Roman"/>
          <w:sz w:val="24"/>
          <w:szCs w:val="24"/>
        </w:rPr>
        <w:t>Pension Benefit Guaranty Corporation (PBGC)</w:t>
      </w:r>
    </w:p>
    <w:p w:rsidR="00856D6D" w:rsidRPr="00F17101" w:rsidP="00F17101" w14:paraId="645326C8" w14:textId="09B5F7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6D" w:rsidRPr="00F17101" w:rsidP="00F17101" w14:paraId="1C83D5AE" w14:textId="43497F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623D">
        <w:rPr>
          <w:rFonts w:ascii="Times New Roman" w:hAnsi="Times New Roman" w:cs="Times New Roman"/>
          <w:b/>
          <w:bCs/>
          <w:sz w:val="24"/>
          <w:szCs w:val="24"/>
        </w:rPr>
        <w:t>TITLE:</w:t>
      </w:r>
      <w:r>
        <w:tab/>
      </w:r>
      <w:r w:rsidR="007809A6">
        <w:rPr>
          <w:rFonts w:ascii="Times New Roman" w:hAnsi="Times New Roman" w:cs="Times New Roman"/>
          <w:sz w:val="24"/>
          <w:szCs w:val="24"/>
        </w:rPr>
        <w:t xml:space="preserve">Instructions </w:t>
      </w:r>
      <w:r w:rsidR="00342583">
        <w:rPr>
          <w:rFonts w:ascii="Times New Roman" w:hAnsi="Times New Roman" w:cs="Times New Roman"/>
          <w:sz w:val="24"/>
          <w:szCs w:val="24"/>
        </w:rPr>
        <w:t>for</w:t>
      </w:r>
      <w:r w:rsidR="007809A6">
        <w:rPr>
          <w:rFonts w:ascii="Times New Roman" w:hAnsi="Times New Roman" w:cs="Times New Roman"/>
          <w:sz w:val="24"/>
          <w:szCs w:val="24"/>
        </w:rPr>
        <w:t xml:space="preserve"> </w:t>
      </w:r>
      <w:r w:rsidR="003D1BA7">
        <w:rPr>
          <w:rFonts w:ascii="Times New Roman" w:hAnsi="Times New Roman" w:cs="Times New Roman"/>
          <w:sz w:val="24"/>
          <w:szCs w:val="24"/>
        </w:rPr>
        <w:t xml:space="preserve">Payment of </w:t>
      </w:r>
      <w:r w:rsidR="007809A6">
        <w:rPr>
          <w:rFonts w:ascii="Times New Roman" w:hAnsi="Times New Roman" w:cs="Times New Roman"/>
          <w:sz w:val="24"/>
          <w:szCs w:val="24"/>
        </w:rPr>
        <w:t>Termination Premium</w:t>
      </w:r>
    </w:p>
    <w:p w:rsidR="00856D6D" w:rsidRPr="00F17101" w:rsidP="00F17101" w14:paraId="3CCCF55C" w14:textId="2E2AFE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6D" w:rsidRPr="00F17101" w:rsidP="00F17101" w14:paraId="4600BD3C" w14:textId="130E43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623D">
        <w:rPr>
          <w:rFonts w:ascii="Times New Roman" w:hAnsi="Times New Roman" w:cs="Times New Roman"/>
          <w:b/>
          <w:bCs/>
          <w:sz w:val="24"/>
          <w:szCs w:val="24"/>
        </w:rPr>
        <w:t>STATUS</w:t>
      </w:r>
      <w:r w:rsidRPr="752443E0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752443E0">
        <w:rPr>
          <w:rFonts w:ascii="Times New Roman" w:hAnsi="Times New Roman" w:cs="Times New Roman"/>
          <w:sz w:val="24"/>
          <w:szCs w:val="24"/>
        </w:rPr>
        <w:t>OMB control number 121</w:t>
      </w:r>
      <w:r w:rsidRPr="752443E0" w:rsidR="002F60D8">
        <w:rPr>
          <w:rFonts w:ascii="Times New Roman" w:hAnsi="Times New Roman" w:cs="Times New Roman"/>
          <w:sz w:val="24"/>
          <w:szCs w:val="24"/>
        </w:rPr>
        <w:t>2-00</w:t>
      </w:r>
      <w:r w:rsidR="00D82937">
        <w:rPr>
          <w:rFonts w:ascii="Times New Roman" w:hAnsi="Times New Roman" w:cs="Times New Roman"/>
          <w:sz w:val="24"/>
          <w:szCs w:val="24"/>
        </w:rPr>
        <w:t>64</w:t>
      </w:r>
      <w:r w:rsidRPr="752443E0">
        <w:rPr>
          <w:rFonts w:ascii="Times New Roman" w:hAnsi="Times New Roman" w:cs="Times New Roman"/>
          <w:sz w:val="24"/>
          <w:szCs w:val="24"/>
        </w:rPr>
        <w:t xml:space="preserve">; expires </w:t>
      </w:r>
      <w:r w:rsidR="003A4121">
        <w:rPr>
          <w:rFonts w:ascii="Times New Roman" w:hAnsi="Times New Roman" w:cs="Times New Roman"/>
          <w:sz w:val="24"/>
          <w:szCs w:val="24"/>
        </w:rPr>
        <w:t xml:space="preserve">March </w:t>
      </w:r>
      <w:r w:rsidRPr="752443E0">
        <w:rPr>
          <w:rFonts w:ascii="Times New Roman" w:hAnsi="Times New Roman" w:cs="Times New Roman"/>
          <w:sz w:val="24"/>
          <w:szCs w:val="24"/>
        </w:rPr>
        <w:t>31, 202</w:t>
      </w:r>
      <w:r w:rsidR="003A4121">
        <w:rPr>
          <w:rFonts w:ascii="Times New Roman" w:hAnsi="Times New Roman" w:cs="Times New Roman"/>
          <w:sz w:val="24"/>
          <w:szCs w:val="24"/>
        </w:rPr>
        <w:t>6</w:t>
      </w:r>
    </w:p>
    <w:p w:rsidR="00856D6D" w:rsidRPr="00F17101" w:rsidP="00F17101" w14:paraId="0C3D5ABC" w14:textId="0332C7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6D" w:rsidRPr="00F17101" w:rsidP="00F17101" w14:paraId="7C35BB0F" w14:textId="3119B7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623D">
        <w:rPr>
          <w:rFonts w:ascii="Times New Roman" w:hAnsi="Times New Roman" w:cs="Times New Roman"/>
          <w:b/>
          <w:bCs/>
          <w:sz w:val="24"/>
          <w:szCs w:val="24"/>
        </w:rPr>
        <w:t>CONTACT:</w:t>
      </w:r>
      <w:r>
        <w:tab/>
      </w:r>
      <w:r w:rsidR="0086623D">
        <w:rPr>
          <w:rFonts w:ascii="Times New Roman" w:hAnsi="Times New Roman" w:cs="Times New Roman"/>
          <w:sz w:val="24"/>
          <w:szCs w:val="24"/>
        </w:rPr>
        <w:t>Jose Singer-Freeman (</w:t>
      </w:r>
      <w:r w:rsidRPr="007809A6" w:rsidR="007809A6">
        <w:rPr>
          <w:rFonts w:ascii="Times New Roman" w:hAnsi="Times New Roman" w:cs="Times New Roman"/>
          <w:sz w:val="24"/>
          <w:szCs w:val="24"/>
        </w:rPr>
        <w:t>202-701-8073</w:t>
      </w:r>
      <w:r w:rsidR="007809A6">
        <w:rPr>
          <w:rFonts w:ascii="Times New Roman" w:hAnsi="Times New Roman" w:cs="Times New Roman"/>
          <w:sz w:val="24"/>
          <w:szCs w:val="24"/>
        </w:rPr>
        <w:t>)</w:t>
      </w:r>
      <w:r w:rsidR="005724EE">
        <w:rPr>
          <w:rFonts w:ascii="Times New Roman" w:hAnsi="Times New Roman" w:cs="Times New Roman"/>
          <w:sz w:val="24"/>
          <w:szCs w:val="24"/>
        </w:rPr>
        <w:t xml:space="preserve">; </w:t>
      </w:r>
      <w:r w:rsidRPr="752443E0" w:rsidR="005724EE">
        <w:rPr>
          <w:rFonts w:ascii="Times New Roman" w:hAnsi="Times New Roman" w:cs="Times New Roman"/>
          <w:sz w:val="24"/>
          <w:szCs w:val="24"/>
        </w:rPr>
        <w:t>Monica O’Donnell (202-229-8706)</w:t>
      </w:r>
    </w:p>
    <w:p w:rsidR="00856D6D" w:rsidRPr="00F17101" w:rsidP="00F17101" w14:paraId="35ECC34E" w14:textId="12420D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3BBC" w:rsidP="006D3BBC" w14:paraId="14635A70" w14:textId="58E8E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101">
        <w:rPr>
          <w:rFonts w:ascii="Times New Roman" w:hAnsi="Times New Roman" w:cs="Times New Roman"/>
          <w:sz w:val="24"/>
          <w:szCs w:val="24"/>
        </w:rPr>
        <w:t xml:space="preserve">The Pension Benefit Guaranty Corporation (PBGC) is making </w:t>
      </w:r>
      <w:r w:rsidR="005175A4">
        <w:rPr>
          <w:rFonts w:ascii="Times New Roman" w:hAnsi="Times New Roman" w:cs="Times New Roman"/>
          <w:sz w:val="24"/>
          <w:szCs w:val="24"/>
        </w:rPr>
        <w:t xml:space="preserve">a change that is not </w:t>
      </w:r>
      <w:r w:rsidR="002E5422">
        <w:rPr>
          <w:rFonts w:ascii="Times New Roman" w:hAnsi="Times New Roman" w:cs="Times New Roman"/>
          <w:sz w:val="24"/>
          <w:szCs w:val="24"/>
        </w:rPr>
        <w:t>material</w:t>
      </w:r>
      <w:r w:rsidR="005175A4">
        <w:rPr>
          <w:rFonts w:ascii="Times New Roman" w:hAnsi="Times New Roman" w:cs="Times New Roman"/>
          <w:sz w:val="24"/>
          <w:szCs w:val="24"/>
        </w:rPr>
        <w:t xml:space="preserve"> to the </w:t>
      </w:r>
      <w:r w:rsidR="007A676B">
        <w:rPr>
          <w:rFonts w:ascii="Times New Roman" w:hAnsi="Times New Roman" w:cs="Times New Roman"/>
          <w:sz w:val="24"/>
          <w:szCs w:val="24"/>
        </w:rPr>
        <w:t>currently approved</w:t>
      </w:r>
      <w:r w:rsidR="005175A4">
        <w:rPr>
          <w:rFonts w:ascii="Times New Roman" w:hAnsi="Times New Roman" w:cs="Times New Roman"/>
          <w:sz w:val="24"/>
          <w:szCs w:val="24"/>
        </w:rPr>
        <w:t xml:space="preserve"> </w:t>
      </w:r>
      <w:r w:rsidR="00C5204B">
        <w:rPr>
          <w:rFonts w:ascii="Times New Roman" w:hAnsi="Times New Roman" w:cs="Times New Roman"/>
          <w:sz w:val="24"/>
          <w:szCs w:val="24"/>
        </w:rPr>
        <w:t>instructions</w:t>
      </w:r>
      <w:r w:rsidR="005175A4">
        <w:rPr>
          <w:rFonts w:ascii="Times New Roman" w:hAnsi="Times New Roman" w:cs="Times New Roman"/>
          <w:sz w:val="24"/>
          <w:szCs w:val="24"/>
        </w:rPr>
        <w:t xml:space="preserve"> for </w:t>
      </w:r>
      <w:r w:rsidR="00342583">
        <w:rPr>
          <w:rFonts w:ascii="Times New Roman" w:hAnsi="Times New Roman" w:cs="Times New Roman"/>
          <w:sz w:val="24"/>
          <w:szCs w:val="24"/>
        </w:rPr>
        <w:t xml:space="preserve">payment of </w:t>
      </w:r>
      <w:r w:rsidR="003B2C1B">
        <w:rPr>
          <w:rFonts w:ascii="Times New Roman" w:hAnsi="Times New Roman" w:cs="Times New Roman"/>
          <w:sz w:val="24"/>
          <w:szCs w:val="24"/>
        </w:rPr>
        <w:t>termination premiums</w:t>
      </w:r>
      <w:r w:rsidRPr="00F17101">
        <w:rPr>
          <w:rFonts w:ascii="Times New Roman" w:hAnsi="Times New Roman" w:cs="Times New Roman"/>
          <w:sz w:val="24"/>
          <w:szCs w:val="24"/>
        </w:rPr>
        <w:t>.</w:t>
      </w:r>
      <w:r w:rsidR="004651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A16" w:rsidP="00F17101" w14:paraId="7B399E90" w14:textId="091ED1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3BBC" w:rsidRPr="006D3BBC" w:rsidP="006D3BBC" w14:paraId="2A4F77B2" w14:textId="6941FC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3BBC">
        <w:rPr>
          <w:rFonts w:ascii="Times New Roman" w:hAnsi="Times New Roman" w:cs="Times New Roman"/>
          <w:sz w:val="24"/>
          <w:szCs w:val="24"/>
        </w:rPr>
        <w:t xml:space="preserve">PBGC administers the pension plan termination insurance program under title IV of ERISA.  Section 4006(a)(7) of ERISA provides for a “termination premium” (in addition to the flat-rate and variable-rate premiums under sections 4006(a)(3) and (8)) that is payable for 3 years following certain distress and involuntary plan terminations.  PBGC’s regulations on Premium Rates (29 CFR part 4006) and Payment of Premiums (29 CFR part 4007) implement the termination premium. </w:t>
      </w:r>
      <w:r w:rsidR="00CD7AB8">
        <w:rPr>
          <w:rFonts w:ascii="Times New Roman" w:hAnsi="Times New Roman" w:cs="Times New Roman"/>
          <w:sz w:val="24"/>
          <w:szCs w:val="24"/>
        </w:rPr>
        <w:t xml:space="preserve"> </w:t>
      </w:r>
      <w:r w:rsidRPr="006D3BBC">
        <w:rPr>
          <w:rFonts w:ascii="Times New Roman" w:hAnsi="Times New Roman" w:cs="Times New Roman"/>
          <w:sz w:val="24"/>
          <w:szCs w:val="24"/>
        </w:rPr>
        <w:t xml:space="preserve">In general, the termination premium applies where a single-employer plan terminates in a distress termination under section 4041(c) of ERISA </w:t>
      </w:r>
      <w:r w:rsidRPr="006D3BBC">
        <w:rPr>
          <w:rFonts w:ascii="Times New Roman" w:hAnsi="Times New Roman" w:cs="Times New Roman"/>
          <w:sz w:val="24"/>
          <w:szCs w:val="24"/>
        </w:rPr>
        <w:t>or in an</w:t>
      </w:r>
      <w:r w:rsidRPr="006D3BBC">
        <w:rPr>
          <w:rFonts w:ascii="Times New Roman" w:hAnsi="Times New Roman" w:cs="Times New Roman"/>
          <w:sz w:val="24"/>
          <w:szCs w:val="24"/>
        </w:rPr>
        <w:t xml:space="preserve"> involuntary termination under section 4042 of ERISA after 2005. </w:t>
      </w:r>
      <w:r w:rsidR="0086033A">
        <w:rPr>
          <w:rFonts w:ascii="Times New Roman" w:hAnsi="Times New Roman" w:cs="Times New Roman"/>
          <w:sz w:val="24"/>
          <w:szCs w:val="24"/>
        </w:rPr>
        <w:t xml:space="preserve"> </w:t>
      </w:r>
      <w:r w:rsidRPr="0086033A" w:rsidR="0086033A">
        <w:rPr>
          <w:rFonts w:ascii="Times New Roman" w:hAnsi="Times New Roman" w:cs="Times New Roman"/>
          <w:sz w:val="24"/>
          <w:szCs w:val="24"/>
        </w:rPr>
        <w:t xml:space="preserve">The </w:t>
      </w:r>
      <w:r w:rsidR="0086033A">
        <w:rPr>
          <w:rFonts w:ascii="Times New Roman" w:hAnsi="Times New Roman" w:cs="Times New Roman"/>
          <w:sz w:val="24"/>
          <w:szCs w:val="24"/>
        </w:rPr>
        <w:t xml:space="preserve">same </w:t>
      </w:r>
      <w:r w:rsidRPr="0086033A" w:rsidR="0086033A">
        <w:rPr>
          <w:rFonts w:ascii="Times New Roman" w:hAnsi="Times New Roman" w:cs="Times New Roman"/>
          <w:sz w:val="24"/>
          <w:szCs w:val="24"/>
        </w:rPr>
        <w:t xml:space="preserve">termination premium is payable </w:t>
      </w:r>
      <w:r w:rsidR="0086033A">
        <w:rPr>
          <w:rFonts w:ascii="Times New Roman" w:hAnsi="Times New Roman" w:cs="Times New Roman"/>
          <w:sz w:val="24"/>
          <w:szCs w:val="24"/>
        </w:rPr>
        <w:t xml:space="preserve">each year, </w:t>
      </w:r>
      <w:r w:rsidRPr="0086033A" w:rsidR="0086033A">
        <w:rPr>
          <w:rFonts w:ascii="Times New Roman" w:hAnsi="Times New Roman" w:cs="Times New Roman"/>
          <w:sz w:val="24"/>
          <w:szCs w:val="24"/>
        </w:rPr>
        <w:t>starting shortly after the termination date or after the conclusion of bankruptcy proceedings in certain cases.</w:t>
      </w:r>
      <w:r w:rsidR="00CD7AB8">
        <w:rPr>
          <w:rFonts w:ascii="Times New Roman" w:hAnsi="Times New Roman" w:cs="Times New Roman"/>
          <w:sz w:val="24"/>
          <w:szCs w:val="24"/>
        </w:rPr>
        <w:t xml:space="preserve"> </w:t>
      </w:r>
      <w:r w:rsidRPr="006D3BBC" w:rsidR="0086033A">
        <w:rPr>
          <w:rFonts w:ascii="Times New Roman" w:hAnsi="Times New Roman" w:cs="Times New Roman"/>
          <w:sz w:val="24"/>
          <w:szCs w:val="24"/>
        </w:rPr>
        <w:t xml:space="preserve">Sections 4007.3 and 4007.13(b) of the premium payment regulation require the filing of termination premium information and payments with PBGC. </w:t>
      </w:r>
      <w:r w:rsidR="0086033A">
        <w:rPr>
          <w:rFonts w:ascii="Times New Roman" w:hAnsi="Times New Roman" w:cs="Times New Roman"/>
          <w:sz w:val="24"/>
          <w:szCs w:val="24"/>
        </w:rPr>
        <w:t xml:space="preserve"> </w:t>
      </w:r>
      <w:r w:rsidRPr="006D3BBC">
        <w:rPr>
          <w:rFonts w:ascii="Times New Roman" w:hAnsi="Times New Roman" w:cs="Times New Roman"/>
          <w:sz w:val="24"/>
          <w:szCs w:val="24"/>
        </w:rPr>
        <w:t xml:space="preserve">The termination premium and related information must be filed by a person liable for the termination premium. </w:t>
      </w:r>
      <w:r w:rsidR="001A0E0E">
        <w:rPr>
          <w:rFonts w:ascii="Times New Roman" w:hAnsi="Times New Roman" w:cs="Times New Roman"/>
          <w:sz w:val="24"/>
          <w:szCs w:val="24"/>
        </w:rPr>
        <w:t xml:space="preserve"> </w:t>
      </w:r>
      <w:r w:rsidRPr="006D3BBC">
        <w:rPr>
          <w:rFonts w:ascii="Times New Roman" w:hAnsi="Times New Roman" w:cs="Times New Roman"/>
          <w:sz w:val="24"/>
          <w:szCs w:val="24"/>
        </w:rPr>
        <w:t xml:space="preserve">The persons liable for the termination premium are contributing sponsors and members of their controlled groups.  </w:t>
      </w:r>
    </w:p>
    <w:p w:rsidR="00D10565" w:rsidP="006D3BBC" w14:paraId="48349BED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903" w:rsidP="00D62903" w14:paraId="69A1E268" w14:textId="7848D8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3BBC">
        <w:rPr>
          <w:rFonts w:ascii="Times New Roman" w:hAnsi="Times New Roman" w:cs="Times New Roman"/>
          <w:sz w:val="24"/>
          <w:szCs w:val="24"/>
        </w:rPr>
        <w:t xml:space="preserve">PBGC uses Form T </w:t>
      </w:r>
      <w:r w:rsidR="005031F1">
        <w:rPr>
          <w:rFonts w:ascii="Times New Roman" w:hAnsi="Times New Roman" w:cs="Times New Roman"/>
          <w:sz w:val="24"/>
          <w:szCs w:val="24"/>
        </w:rPr>
        <w:t xml:space="preserve">for payment of the termination premium </w:t>
      </w:r>
      <w:r w:rsidR="007A14F0">
        <w:rPr>
          <w:rFonts w:ascii="Times New Roman" w:hAnsi="Times New Roman" w:cs="Times New Roman"/>
          <w:sz w:val="24"/>
          <w:szCs w:val="24"/>
        </w:rPr>
        <w:t xml:space="preserve">and </w:t>
      </w:r>
      <w:r w:rsidR="00E11030">
        <w:rPr>
          <w:rFonts w:ascii="Times New Roman" w:hAnsi="Times New Roman" w:cs="Times New Roman"/>
          <w:sz w:val="24"/>
          <w:szCs w:val="24"/>
        </w:rPr>
        <w:t xml:space="preserve">its </w:t>
      </w:r>
      <w:r w:rsidRPr="006D3BBC">
        <w:rPr>
          <w:rFonts w:ascii="Times New Roman" w:hAnsi="Times New Roman" w:cs="Times New Roman"/>
          <w:sz w:val="24"/>
          <w:szCs w:val="24"/>
        </w:rPr>
        <w:t xml:space="preserve">corresponding instructions </w:t>
      </w:r>
      <w:r w:rsidR="007A14F0">
        <w:rPr>
          <w:rFonts w:ascii="Times New Roman" w:hAnsi="Times New Roman" w:cs="Times New Roman"/>
          <w:sz w:val="24"/>
          <w:szCs w:val="24"/>
        </w:rPr>
        <w:t xml:space="preserve">to inform </w:t>
      </w:r>
      <w:r w:rsidR="00900534">
        <w:rPr>
          <w:rFonts w:ascii="Times New Roman" w:hAnsi="Times New Roman" w:cs="Times New Roman"/>
          <w:sz w:val="24"/>
          <w:szCs w:val="24"/>
        </w:rPr>
        <w:t>filers</w:t>
      </w:r>
      <w:r w:rsidR="007A14F0">
        <w:rPr>
          <w:rFonts w:ascii="Times New Roman" w:hAnsi="Times New Roman" w:cs="Times New Roman"/>
          <w:sz w:val="24"/>
          <w:szCs w:val="24"/>
        </w:rPr>
        <w:t xml:space="preserve"> how to complete the form</w:t>
      </w:r>
      <w:r w:rsidRPr="006D3BBC">
        <w:rPr>
          <w:rFonts w:ascii="Times New Roman" w:hAnsi="Times New Roman" w:cs="Times New Roman"/>
          <w:sz w:val="24"/>
          <w:szCs w:val="24"/>
        </w:rPr>
        <w:t xml:space="preserve">. </w:t>
      </w:r>
      <w:r w:rsidR="00C65946">
        <w:rPr>
          <w:rFonts w:ascii="Times New Roman" w:hAnsi="Times New Roman" w:cs="Times New Roman"/>
          <w:sz w:val="24"/>
          <w:szCs w:val="24"/>
        </w:rPr>
        <w:t xml:space="preserve"> </w:t>
      </w:r>
      <w:r w:rsidR="00F937DA">
        <w:rPr>
          <w:rFonts w:ascii="Times New Roman" w:hAnsi="Times New Roman" w:cs="Times New Roman"/>
          <w:sz w:val="24"/>
          <w:szCs w:val="24"/>
        </w:rPr>
        <w:t xml:space="preserve">For plan years beginning on or after 01/01/2026, </w:t>
      </w:r>
      <w:r w:rsidR="00695208">
        <w:rPr>
          <w:rFonts w:ascii="Times New Roman" w:hAnsi="Times New Roman" w:cs="Times New Roman"/>
          <w:sz w:val="24"/>
          <w:szCs w:val="24"/>
        </w:rPr>
        <w:t xml:space="preserve">PBGC </w:t>
      </w:r>
      <w:r w:rsidR="00806E9C">
        <w:rPr>
          <w:rFonts w:ascii="Times New Roman" w:hAnsi="Times New Roman" w:cs="Times New Roman"/>
          <w:sz w:val="24"/>
          <w:szCs w:val="24"/>
        </w:rPr>
        <w:t>is removing</w:t>
      </w:r>
      <w:r w:rsidRPr="00695208" w:rsidR="00695208">
        <w:rPr>
          <w:rFonts w:ascii="Times New Roman" w:hAnsi="Times New Roman" w:cs="Times New Roman"/>
          <w:sz w:val="24"/>
          <w:szCs w:val="24"/>
        </w:rPr>
        <w:t xml:space="preserve"> </w:t>
      </w:r>
      <w:r w:rsidR="00EE33AC">
        <w:rPr>
          <w:rFonts w:ascii="Times New Roman" w:hAnsi="Times New Roman" w:cs="Times New Roman"/>
          <w:sz w:val="24"/>
          <w:szCs w:val="24"/>
        </w:rPr>
        <w:t xml:space="preserve">from the Form T instructions </w:t>
      </w:r>
      <w:r w:rsidRPr="00695208" w:rsidR="00695208">
        <w:rPr>
          <w:rFonts w:ascii="Times New Roman" w:hAnsi="Times New Roman" w:cs="Times New Roman"/>
          <w:sz w:val="24"/>
          <w:szCs w:val="24"/>
        </w:rPr>
        <w:t xml:space="preserve">the option for filers to make termination premium payments by paper check. </w:t>
      </w:r>
      <w:r w:rsidR="006F2A9A">
        <w:rPr>
          <w:rFonts w:ascii="Times New Roman" w:hAnsi="Times New Roman" w:cs="Times New Roman"/>
          <w:sz w:val="24"/>
          <w:szCs w:val="24"/>
        </w:rPr>
        <w:t xml:space="preserve"> Filers will</w:t>
      </w:r>
      <w:r w:rsidRPr="00695208" w:rsidR="00695208">
        <w:rPr>
          <w:rFonts w:ascii="Times New Roman" w:hAnsi="Times New Roman" w:cs="Times New Roman"/>
          <w:sz w:val="24"/>
          <w:szCs w:val="24"/>
        </w:rPr>
        <w:t xml:space="preserve"> make termination premium payments either through My Plan Administration Account (My PAA, PBGC’s secure web-based application for submitting and paying premium filings), Pay.gov or by direct ACH debit from their bank.</w:t>
      </w:r>
      <w:r w:rsidR="00CD7AB8">
        <w:rPr>
          <w:rFonts w:ascii="Times New Roman" w:hAnsi="Times New Roman" w:cs="Times New Roman"/>
          <w:sz w:val="24"/>
          <w:szCs w:val="24"/>
        </w:rPr>
        <w:t xml:space="preserve"> </w:t>
      </w:r>
      <w:r w:rsidRPr="00695208" w:rsidR="00695208">
        <w:rPr>
          <w:rFonts w:ascii="Times New Roman" w:hAnsi="Times New Roman" w:cs="Times New Roman"/>
          <w:sz w:val="24"/>
          <w:szCs w:val="24"/>
        </w:rPr>
        <w:t xml:space="preserve"> </w:t>
      </w:r>
      <w:r w:rsidRPr="00695208">
        <w:rPr>
          <w:rFonts w:ascii="Times New Roman" w:hAnsi="Times New Roman" w:cs="Times New Roman"/>
          <w:sz w:val="24"/>
          <w:szCs w:val="24"/>
        </w:rPr>
        <w:t>Th</w:t>
      </w:r>
      <w:r w:rsidR="00F937DA">
        <w:rPr>
          <w:rFonts w:ascii="Times New Roman" w:hAnsi="Times New Roman" w:cs="Times New Roman"/>
          <w:sz w:val="24"/>
          <w:szCs w:val="24"/>
        </w:rPr>
        <w:t>ese changes</w:t>
      </w:r>
      <w:r w:rsidRPr="00695208">
        <w:rPr>
          <w:rFonts w:ascii="Times New Roman" w:hAnsi="Times New Roman" w:cs="Times New Roman"/>
          <w:sz w:val="24"/>
          <w:szCs w:val="24"/>
        </w:rPr>
        <w:t xml:space="preserve"> conform with Executive Order 14247, which directs federal agencies to phase out the use of paper checks for payments to and from the public, subject to limited exceptions. </w:t>
      </w:r>
    </w:p>
    <w:p w:rsidR="00D62903" w:rsidP="00DA2F26" w14:paraId="5927CB1A" w14:textId="2042BB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CF" w:rsidP="00DA2F26" w14:paraId="73D36D40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4C6DBD">
        <w:rPr>
          <w:rFonts w:ascii="Times New Roman" w:hAnsi="Times New Roman" w:cs="Times New Roman"/>
          <w:sz w:val="24"/>
          <w:szCs w:val="24"/>
        </w:rPr>
        <w:t xml:space="preserve">PBGC proposes other </w:t>
      </w:r>
      <w:r w:rsidR="00453F3F">
        <w:rPr>
          <w:rFonts w:ascii="Times New Roman" w:hAnsi="Times New Roman" w:cs="Times New Roman"/>
          <w:sz w:val="24"/>
          <w:szCs w:val="24"/>
        </w:rPr>
        <w:t xml:space="preserve">editorial </w:t>
      </w:r>
      <w:r w:rsidR="004C6DBD">
        <w:rPr>
          <w:rFonts w:ascii="Times New Roman" w:hAnsi="Times New Roman" w:cs="Times New Roman"/>
          <w:sz w:val="24"/>
          <w:szCs w:val="24"/>
        </w:rPr>
        <w:t xml:space="preserve">revisions </w:t>
      </w:r>
      <w:r w:rsidR="00453F3F">
        <w:rPr>
          <w:rFonts w:ascii="Times New Roman" w:hAnsi="Times New Roman" w:cs="Times New Roman"/>
          <w:sz w:val="24"/>
          <w:szCs w:val="24"/>
        </w:rPr>
        <w:t xml:space="preserve">to the </w:t>
      </w:r>
      <w:r w:rsidR="004C6DBD">
        <w:rPr>
          <w:rFonts w:ascii="Times New Roman" w:hAnsi="Times New Roman" w:cs="Times New Roman"/>
          <w:sz w:val="24"/>
          <w:szCs w:val="24"/>
        </w:rPr>
        <w:t xml:space="preserve">section of the Form T instruction addressing where to file and pay, </w:t>
      </w:r>
      <w:r w:rsidR="00453F3F">
        <w:rPr>
          <w:rFonts w:ascii="Times New Roman" w:hAnsi="Times New Roman" w:cs="Times New Roman"/>
          <w:sz w:val="24"/>
          <w:szCs w:val="24"/>
        </w:rPr>
        <w:t xml:space="preserve">to improve clarity. </w:t>
      </w:r>
    </w:p>
    <w:p w:rsidR="00FE5DCF" w:rsidP="00DA2F26" w14:paraId="23E115CF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2F26" w:rsidP="00DA2F26" w14:paraId="0442E355" w14:textId="0EF134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10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proposed </w:t>
      </w:r>
      <w:r w:rsidR="009E5713">
        <w:rPr>
          <w:rFonts w:ascii="Times New Roman" w:hAnsi="Times New Roman" w:cs="Times New Roman"/>
          <w:sz w:val="24"/>
          <w:szCs w:val="24"/>
        </w:rPr>
        <w:t xml:space="preserve">changes to </w:t>
      </w:r>
      <w:r w:rsidRPr="00F17101">
        <w:rPr>
          <w:rFonts w:ascii="Times New Roman" w:hAnsi="Times New Roman" w:cs="Times New Roman"/>
          <w:sz w:val="24"/>
          <w:szCs w:val="24"/>
        </w:rPr>
        <w:t xml:space="preserve">the </w:t>
      </w:r>
      <w:r w:rsidR="00AA0380">
        <w:rPr>
          <w:rFonts w:ascii="Times New Roman" w:hAnsi="Times New Roman" w:cs="Times New Roman"/>
          <w:sz w:val="24"/>
          <w:szCs w:val="24"/>
        </w:rPr>
        <w:t xml:space="preserve">information collection </w:t>
      </w:r>
      <w:r w:rsidRPr="00F17101">
        <w:rPr>
          <w:rFonts w:ascii="Times New Roman" w:hAnsi="Times New Roman" w:cs="Times New Roman"/>
          <w:sz w:val="24"/>
          <w:szCs w:val="24"/>
        </w:rPr>
        <w:t xml:space="preserve">will not increase the </w:t>
      </w:r>
      <w:r w:rsidRPr="00F17101">
        <w:rPr>
          <w:rFonts w:ascii="Times New Roman" w:hAnsi="Times New Roman" w:cs="Times New Roman"/>
          <w:sz w:val="24"/>
          <w:szCs w:val="24"/>
        </w:rPr>
        <w:t>hour</w:t>
      </w:r>
      <w:r w:rsidRPr="00F17101">
        <w:rPr>
          <w:rFonts w:ascii="Times New Roman" w:hAnsi="Times New Roman" w:cs="Times New Roman"/>
          <w:sz w:val="24"/>
          <w:szCs w:val="24"/>
        </w:rPr>
        <w:t xml:space="preserve"> or cost burden.  </w:t>
      </w:r>
    </w:p>
    <w:p w:rsidR="00453F3F" w:rsidP="00453F3F" w14:paraId="04B01D2D" w14:textId="1517F8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D6D" w:rsidP="00F17101" w14:paraId="04BF2FD0" w14:textId="55C32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101">
        <w:rPr>
          <w:rFonts w:ascii="Times New Roman" w:hAnsi="Times New Roman" w:cs="Times New Roman"/>
          <w:sz w:val="24"/>
          <w:szCs w:val="24"/>
        </w:rPr>
        <w:t xml:space="preserve">The </w:t>
      </w:r>
      <w:r w:rsidR="009E5713">
        <w:rPr>
          <w:rFonts w:ascii="Times New Roman" w:hAnsi="Times New Roman" w:cs="Times New Roman"/>
          <w:sz w:val="24"/>
          <w:szCs w:val="24"/>
        </w:rPr>
        <w:t xml:space="preserve">foregoing </w:t>
      </w:r>
      <w:r w:rsidRPr="00F17101">
        <w:rPr>
          <w:rFonts w:ascii="Times New Roman" w:hAnsi="Times New Roman" w:cs="Times New Roman"/>
          <w:sz w:val="24"/>
          <w:szCs w:val="24"/>
        </w:rPr>
        <w:t>change</w:t>
      </w:r>
      <w:r w:rsidR="00D10565">
        <w:rPr>
          <w:rFonts w:ascii="Times New Roman" w:hAnsi="Times New Roman" w:cs="Times New Roman"/>
          <w:sz w:val="24"/>
          <w:szCs w:val="24"/>
        </w:rPr>
        <w:t>s</w:t>
      </w:r>
      <w:r w:rsidR="004124A6">
        <w:rPr>
          <w:rFonts w:ascii="Times New Roman" w:hAnsi="Times New Roman" w:cs="Times New Roman"/>
          <w:sz w:val="24"/>
          <w:szCs w:val="24"/>
        </w:rPr>
        <w:t xml:space="preserve"> </w:t>
      </w:r>
      <w:r w:rsidR="00A9220F">
        <w:rPr>
          <w:rFonts w:ascii="Times New Roman" w:hAnsi="Times New Roman" w:cs="Times New Roman"/>
          <w:sz w:val="24"/>
          <w:szCs w:val="24"/>
        </w:rPr>
        <w:t xml:space="preserve">are shown </w:t>
      </w:r>
      <w:r w:rsidR="00D1678A">
        <w:rPr>
          <w:rFonts w:ascii="Times New Roman" w:hAnsi="Times New Roman" w:cs="Times New Roman"/>
          <w:sz w:val="24"/>
          <w:szCs w:val="24"/>
        </w:rPr>
        <w:t xml:space="preserve">below </w:t>
      </w:r>
      <w:r w:rsidR="00A9220F">
        <w:rPr>
          <w:rFonts w:ascii="Times New Roman" w:hAnsi="Times New Roman" w:cs="Times New Roman"/>
          <w:sz w:val="24"/>
          <w:szCs w:val="24"/>
        </w:rPr>
        <w:t xml:space="preserve">in </w:t>
      </w:r>
      <w:r w:rsidR="00FD7A8C">
        <w:rPr>
          <w:rFonts w:ascii="Times New Roman" w:hAnsi="Times New Roman" w:cs="Times New Roman"/>
          <w:sz w:val="24"/>
          <w:szCs w:val="24"/>
        </w:rPr>
        <w:t>red</w:t>
      </w:r>
      <w:r w:rsidR="00C13E49">
        <w:rPr>
          <w:rFonts w:ascii="Times New Roman" w:hAnsi="Times New Roman" w:cs="Times New Roman"/>
          <w:sz w:val="24"/>
          <w:szCs w:val="24"/>
        </w:rPr>
        <w:t xml:space="preserve"> and blue</w:t>
      </w:r>
      <w:r w:rsidR="00D1678A">
        <w:rPr>
          <w:rFonts w:ascii="Times New Roman" w:hAnsi="Times New Roman" w:cs="Times New Roman"/>
          <w:sz w:val="24"/>
          <w:szCs w:val="24"/>
        </w:rPr>
        <w:t>:</w:t>
      </w:r>
      <w:r w:rsidRPr="00F17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F29" w:rsidP="00F17101" w14:paraId="321BBDD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6F82" w:rsidP="00A96F82" w14:paraId="2D70C321" w14:textId="7BE3012A">
      <w:pPr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to file </w:t>
      </w:r>
      <w:r w:rsidRPr="000D6B76">
        <w:rPr>
          <w:i/>
          <w:color w:val="EE0000"/>
          <w:sz w:val="24"/>
        </w:rPr>
        <w:t xml:space="preserve">and </w:t>
      </w:r>
      <w:r w:rsidRPr="000D6B76">
        <w:rPr>
          <w:i/>
          <w:color w:val="EE0000"/>
          <w:spacing w:val="-5"/>
          <w:sz w:val="24"/>
        </w:rPr>
        <w:t>pay</w:t>
      </w:r>
    </w:p>
    <w:p w:rsidR="00B740E9" w:rsidP="00B740E9" w14:paraId="51DEEFEB" w14:textId="446D363D">
      <w:pPr>
        <w:pStyle w:val="BodyText"/>
        <w:ind w:right="842"/>
      </w:pPr>
      <w:r>
        <w:t>Termination</w:t>
      </w:r>
      <w:r>
        <w:rPr>
          <w:spacing w:val="-1"/>
        </w:rPr>
        <w:t xml:space="preserve"> </w:t>
      </w:r>
      <w:r>
        <w:t>premium</w:t>
      </w:r>
      <w:r>
        <w:rPr>
          <w:spacing w:val="-1"/>
        </w:rPr>
        <w:t xml:space="preserve"> </w:t>
      </w:r>
      <w:r>
        <w:t>filings</w:t>
      </w:r>
      <w:r>
        <w:rPr>
          <w:spacing w:val="-1"/>
        </w:rPr>
        <w:t xml:space="preserve"> </w:t>
      </w:r>
      <w:r w:rsidRPr="009706D2">
        <w:rPr>
          <w:strike/>
        </w:rPr>
        <w:t>are</w:t>
      </w:r>
      <w:r w:rsidRPr="009706D2">
        <w:rPr>
          <w:strike/>
          <w:spacing w:val="-2"/>
        </w:rPr>
        <w:t xml:space="preserve"> </w:t>
      </w:r>
      <w:r w:rsidRPr="00E97D78">
        <w:rPr>
          <w:strike/>
        </w:rPr>
        <w:t>exempt</w:t>
      </w:r>
      <w:r w:rsidRPr="00E97D78">
        <w:rPr>
          <w:strike/>
          <w:spacing w:val="-1"/>
        </w:rPr>
        <w:t xml:space="preserve"> </w:t>
      </w:r>
      <w:r w:rsidRPr="00E97D78">
        <w:rPr>
          <w:strike/>
        </w:rPr>
        <w:t>from</w:t>
      </w:r>
      <w:r w:rsidRPr="00E97D78">
        <w:rPr>
          <w:strike/>
          <w:spacing w:val="-1"/>
        </w:rPr>
        <w:t xml:space="preserve"> </w:t>
      </w:r>
      <w:r w:rsidRPr="00E97D78">
        <w:rPr>
          <w:strike/>
        </w:rPr>
        <w:t>electronic</w:t>
      </w:r>
      <w:r w:rsidRPr="00E97D78">
        <w:rPr>
          <w:strike/>
          <w:spacing w:val="-3"/>
        </w:rPr>
        <w:t xml:space="preserve"> </w:t>
      </w:r>
      <w:r w:rsidRPr="00E97D78">
        <w:rPr>
          <w:strike/>
        </w:rPr>
        <w:t>filing</w:t>
      </w:r>
      <w:r w:rsidRPr="00E97D78">
        <w:rPr>
          <w:strike/>
          <w:spacing w:val="-1"/>
        </w:rPr>
        <w:t xml:space="preserve"> </w:t>
      </w:r>
      <w:r w:rsidRPr="00E97D78">
        <w:rPr>
          <w:strike/>
        </w:rPr>
        <w:t>requirements.</w:t>
      </w:r>
      <w:r w:rsidRPr="00E97D78">
        <w:rPr>
          <w:strike/>
          <w:spacing w:val="-1"/>
        </w:rPr>
        <w:t xml:space="preserve"> </w:t>
      </w:r>
      <w:r w:rsidRPr="00EF0B53">
        <w:rPr>
          <w:strike/>
          <w:color w:val="EE0000"/>
        </w:rPr>
        <w:t>Form</w:t>
      </w:r>
      <w:r w:rsidRPr="00EF0B53">
        <w:rPr>
          <w:strike/>
          <w:color w:val="EE0000"/>
          <w:spacing w:val="-1"/>
        </w:rPr>
        <w:t xml:space="preserve"> </w:t>
      </w:r>
      <w:r w:rsidRPr="00EF0B53">
        <w:rPr>
          <w:strike/>
          <w:color w:val="EE0000"/>
        </w:rPr>
        <w:t>T</w:t>
      </w:r>
      <w:r w:rsidRPr="00EF0B53">
        <w:rPr>
          <w:strike/>
          <w:color w:val="EE0000"/>
          <w:spacing w:val="-2"/>
        </w:rPr>
        <w:t xml:space="preserve"> </w:t>
      </w:r>
      <w:r w:rsidRPr="00EF0B53">
        <w:rPr>
          <w:strike/>
          <w:color w:val="EE0000"/>
        </w:rPr>
        <w:t>may</w:t>
      </w:r>
      <w:r w:rsidRPr="00EF0B53">
        <w:rPr>
          <w:strike/>
          <w:color w:val="EE0000"/>
          <w:spacing w:val="-1"/>
        </w:rPr>
        <w:t xml:space="preserve"> </w:t>
      </w:r>
      <w:r w:rsidRPr="00EF0B53">
        <w:rPr>
          <w:strike/>
          <w:color w:val="EE0000"/>
        </w:rPr>
        <w:t>be filed either,</w:t>
      </w:r>
      <w:r w:rsidRPr="00FD7A8C">
        <w:rPr>
          <w:color w:val="EE0000"/>
          <w:spacing w:val="-1"/>
        </w:rPr>
        <w:t xml:space="preserve"> </w:t>
      </w:r>
      <w:r w:rsidRPr="001C7015">
        <w:rPr>
          <w:color w:val="0070C0"/>
        </w:rPr>
        <w:t xml:space="preserve">generally </w:t>
      </w:r>
      <w:r w:rsidR="009706D2">
        <w:rPr>
          <w:color w:val="0070C0"/>
        </w:rPr>
        <w:t xml:space="preserve">are </w:t>
      </w:r>
      <w:r w:rsidRPr="001C7015">
        <w:rPr>
          <w:color w:val="0070C0"/>
        </w:rPr>
        <w:t xml:space="preserve">submitted </w:t>
      </w:r>
      <w:r>
        <w:t>electronically via the My PAA "</w:t>
      </w:r>
      <w:hyperlink r:id="rId8">
        <w:r>
          <w:rPr>
            <w:u w:val="single"/>
          </w:rPr>
          <w:t>Submit a Request</w:t>
        </w:r>
      </w:hyperlink>
      <w:r w:rsidRPr="00C13E49">
        <w:rPr>
          <w:strike/>
          <w:color w:val="EE0000"/>
        </w:rPr>
        <w:t>quick link (</w:t>
      </w:r>
      <w:r>
        <w:t xml:space="preserve">" option </w:t>
      </w:r>
      <w:r w:rsidRPr="00C13E49">
        <w:rPr>
          <w:strike/>
          <w:color w:val="EE0000"/>
        </w:rPr>
        <w:t>(b) below)</w:t>
      </w:r>
      <w:r w:rsidR="00C13E49">
        <w:rPr>
          <w:strike/>
          <w:color w:val="EE0000"/>
        </w:rPr>
        <w:t xml:space="preserve"> </w:t>
      </w:r>
      <w:r w:rsidRPr="00C13E49">
        <w:rPr>
          <w:color w:val="5B9BD5" w:themeColor="accent1"/>
        </w:rPr>
        <w:t xml:space="preserve">on the Plan Details page </w:t>
      </w:r>
      <w:r>
        <w:t xml:space="preserve">or by email at </w:t>
      </w:r>
      <w:hyperlink r:id="rId9">
        <w:r>
          <w:rPr>
            <w:color w:val="0000FF"/>
            <w:u w:val="single" w:color="0000FF"/>
          </w:rPr>
          <w:t>premiums@pbgc.gov</w:t>
        </w:r>
        <w:r>
          <w:t>.</w:t>
        </w:r>
      </w:hyperlink>
    </w:p>
    <w:p w:rsidR="00CD17FF" w:rsidP="00F17101" w14:paraId="15EE015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BFD" w:rsidP="00AA3BFD" w14:paraId="0BEB672A" w14:textId="3B188277">
      <w:pPr>
        <w:pStyle w:val="BodyText"/>
        <w:spacing w:before="1"/>
        <w:ind w:right="842"/>
      </w:pPr>
      <w:hyperlink r:id="rId10">
        <w:r>
          <w:t>The</w:t>
        </w:r>
        <w:r>
          <w:rPr>
            <w:spacing w:val="-5"/>
          </w:rPr>
          <w:t xml:space="preserve"> </w:t>
        </w:r>
        <w:r>
          <w:t>termination</w:t>
        </w:r>
        <w:r>
          <w:rPr>
            <w:spacing w:val="-3"/>
          </w:rPr>
          <w:t xml:space="preserve"> </w:t>
        </w:r>
        <w:r>
          <w:t>premium</w:t>
        </w:r>
        <w:r>
          <w:rPr>
            <w:spacing w:val="-3"/>
          </w:rPr>
          <w:t xml:space="preserve"> </w:t>
        </w:r>
        <w:r>
          <w:t>must</w:t>
        </w:r>
        <w:r>
          <w:rPr>
            <w:spacing w:val="-1"/>
          </w:rPr>
          <w:t xml:space="preserve"> </w:t>
        </w:r>
        <w:r>
          <w:t>be</w:t>
        </w:r>
        <w:r>
          <w:rPr>
            <w:spacing w:val="-1"/>
          </w:rPr>
          <w:t xml:space="preserve"> </w:t>
        </w:r>
        <w:r>
          <w:t>paid</w:t>
        </w:r>
        <w:r>
          <w:rPr>
            <w:spacing w:val="-3"/>
          </w:rPr>
          <w:t xml:space="preserve"> </w:t>
        </w:r>
        <w:r>
          <w:t>electronically.</w:t>
        </w:r>
        <w:r>
          <w:rPr>
            <w:spacing w:val="-3"/>
          </w:rPr>
          <w:t xml:space="preserve"> </w:t>
        </w:r>
        <w:r>
          <w:t>In</w:t>
        </w:r>
        <w:r>
          <w:rPr>
            <w:spacing w:val="-3"/>
          </w:rPr>
          <w:t xml:space="preserve"> </w:t>
        </w:r>
        <w:r>
          <w:t>order</w:t>
        </w:r>
        <w:r>
          <w:rPr>
            <w:spacing w:val="-3"/>
          </w:rPr>
          <w:t xml:space="preserve"> </w:t>
        </w:r>
        <w:r>
          <w:t>to</w:t>
        </w:r>
        <w:r>
          <w:rPr>
            <w:spacing w:val="-3"/>
          </w:rPr>
          <w:t xml:space="preserve"> </w:t>
        </w:r>
        <w:r>
          <w:t>pay,</w:t>
        </w:r>
        <w:r>
          <w:rPr>
            <w:spacing w:val="-3"/>
          </w:rPr>
          <w:t xml:space="preserve"> </w:t>
        </w:r>
        <w:r>
          <w:t>please</w:t>
        </w:r>
        <w:r>
          <w:rPr>
            <w:spacing w:val="-3"/>
          </w:rPr>
          <w:t xml:space="preserve"> </w:t>
        </w:r>
        <w:r>
          <w:t>see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4"/>
          </w:rPr>
          <w:t xml:space="preserve"> </w:t>
        </w:r>
        <w:r>
          <w:rPr>
            <w:u w:val="single"/>
          </w:rPr>
          <w:t>Premium</w:t>
        </w:r>
        <w:r>
          <w:t xml:space="preserve"> </w:t>
        </w:r>
        <w:r>
          <w:rPr>
            <w:u w:val="single"/>
          </w:rPr>
          <w:t>Filing page</w:t>
        </w:r>
        <w:r>
          <w:t xml:space="preserve"> for instructions on how to make payments including: online via My PAA </w:t>
        </w:r>
        <w:r>
          <w:t>and</w:t>
        </w:r>
      </w:hyperlink>
      <w:r w:rsidRPr="00105F5B">
        <w:rPr>
          <w:strike/>
          <w:color w:val="EE0000"/>
        </w:rPr>
        <w:t>The</w:t>
      </w:r>
      <w:r w:rsidRPr="00105F5B">
        <w:rPr>
          <w:strike/>
          <w:color w:val="EE0000"/>
        </w:rPr>
        <w:t xml:space="preserve"> termination premium may be paid by paper check</w:t>
      </w:r>
      <w:r>
        <w:t xml:space="preserve"> Pay.gov, or </w:t>
      </w:r>
      <w:r w:rsidRPr="00105F5B">
        <w:rPr>
          <w:strike/>
          <w:color w:val="EE0000"/>
          <w:spacing w:val="-2"/>
        </w:rPr>
        <w:t>electronically</w:t>
      </w:r>
      <w:r>
        <w:t>a</w:t>
      </w:r>
      <w:r>
        <w:t xml:space="preserve"> direct ACH debit from your bank.</w:t>
      </w:r>
    </w:p>
    <w:p w:rsidR="00CD17FF" w:rsidP="00F17101" w14:paraId="0BCD0C8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2058" w:rsidRPr="00105F5B" w:rsidP="00562058" w14:paraId="0107AB14" w14:textId="77777777">
      <w:pPr>
        <w:pStyle w:val="ListParagraph"/>
        <w:widowControl w:val="0"/>
        <w:numPr>
          <w:ilvl w:val="0"/>
          <w:numId w:val="7"/>
        </w:numPr>
        <w:tabs>
          <w:tab w:val="left" w:pos="979"/>
        </w:tabs>
        <w:autoSpaceDE w:val="0"/>
        <w:autoSpaceDN w:val="0"/>
        <w:spacing w:after="0" w:line="240" w:lineRule="auto"/>
        <w:ind w:right="819"/>
        <w:contextualSpacing w:val="0"/>
        <w:rPr>
          <w:strike/>
          <w:color w:val="EE0000"/>
          <w:sz w:val="24"/>
        </w:rPr>
      </w:pPr>
      <w:r w:rsidRPr="00105F5B">
        <w:rPr>
          <w:strike/>
          <w:color w:val="EE0000"/>
          <w:sz w:val="24"/>
        </w:rPr>
        <w:t>In</w:t>
      </w:r>
      <w:r w:rsidRPr="00105F5B">
        <w:rPr>
          <w:strike/>
          <w:color w:val="EE0000"/>
          <w:spacing w:val="-3"/>
          <w:sz w:val="24"/>
        </w:rPr>
        <w:t xml:space="preserve"> </w:t>
      </w:r>
      <w:r w:rsidRPr="00105F5B">
        <w:rPr>
          <w:strike/>
          <w:color w:val="EE0000"/>
          <w:sz w:val="24"/>
        </w:rPr>
        <w:t>order</w:t>
      </w:r>
      <w:r w:rsidRPr="00105F5B">
        <w:rPr>
          <w:strike/>
          <w:color w:val="EE0000"/>
          <w:spacing w:val="-4"/>
          <w:sz w:val="24"/>
        </w:rPr>
        <w:t xml:space="preserve"> </w:t>
      </w:r>
      <w:r w:rsidRPr="00105F5B">
        <w:rPr>
          <w:strike/>
          <w:color w:val="EE0000"/>
          <w:sz w:val="24"/>
        </w:rPr>
        <w:t>to</w:t>
      </w:r>
      <w:r w:rsidRPr="00105F5B">
        <w:rPr>
          <w:strike/>
          <w:color w:val="EE0000"/>
          <w:spacing w:val="-4"/>
          <w:sz w:val="24"/>
        </w:rPr>
        <w:t xml:space="preserve"> </w:t>
      </w:r>
      <w:r w:rsidRPr="00105F5B">
        <w:rPr>
          <w:strike/>
          <w:color w:val="EE0000"/>
          <w:sz w:val="24"/>
        </w:rPr>
        <w:t>pay,</w:t>
      </w:r>
      <w:r w:rsidRPr="00105F5B">
        <w:rPr>
          <w:strike/>
          <w:color w:val="EE0000"/>
          <w:spacing w:val="-4"/>
          <w:sz w:val="24"/>
        </w:rPr>
        <w:t xml:space="preserve"> </w:t>
      </w:r>
      <w:r w:rsidRPr="00105F5B">
        <w:rPr>
          <w:strike/>
          <w:color w:val="EE0000"/>
          <w:sz w:val="24"/>
        </w:rPr>
        <w:t>please</w:t>
      </w:r>
      <w:r w:rsidRPr="00105F5B">
        <w:rPr>
          <w:strike/>
          <w:color w:val="EE0000"/>
          <w:spacing w:val="-4"/>
          <w:sz w:val="24"/>
        </w:rPr>
        <w:t xml:space="preserve"> </w:t>
      </w:r>
      <w:r w:rsidRPr="00105F5B">
        <w:rPr>
          <w:strike/>
          <w:color w:val="EE0000"/>
          <w:sz w:val="24"/>
        </w:rPr>
        <w:t>see</w:t>
      </w:r>
      <w:r w:rsidRPr="00105F5B">
        <w:rPr>
          <w:strike/>
          <w:color w:val="EE0000"/>
          <w:spacing w:val="-4"/>
          <w:sz w:val="24"/>
        </w:rPr>
        <w:t xml:space="preserve"> </w:t>
      </w:r>
      <w:r w:rsidRPr="00105F5B">
        <w:rPr>
          <w:strike/>
          <w:color w:val="EE0000"/>
          <w:sz w:val="24"/>
        </w:rPr>
        <w:t>the</w:t>
      </w:r>
      <w:r w:rsidRPr="00105F5B">
        <w:rPr>
          <w:strike/>
          <w:color w:val="EE0000"/>
          <w:spacing w:val="-4"/>
          <w:sz w:val="24"/>
        </w:rPr>
        <w:t xml:space="preserve">  </w:t>
      </w:r>
      <w:r w:rsidRPr="00105F5B">
        <w:rPr>
          <w:strike/>
          <w:color w:val="EE0000"/>
          <w:sz w:val="24"/>
        </w:rPr>
        <w:t>for</w:t>
      </w:r>
      <w:r w:rsidRPr="00105F5B">
        <w:rPr>
          <w:strike/>
          <w:color w:val="EE0000"/>
          <w:spacing w:val="-4"/>
          <w:sz w:val="24"/>
        </w:rPr>
        <w:t xml:space="preserve"> </w:t>
      </w:r>
      <w:r w:rsidRPr="00105F5B">
        <w:rPr>
          <w:strike/>
          <w:color w:val="EE0000"/>
          <w:sz w:val="24"/>
        </w:rPr>
        <w:t>the</w:t>
      </w:r>
      <w:r w:rsidRPr="00105F5B">
        <w:rPr>
          <w:strike/>
          <w:color w:val="EE0000"/>
          <w:spacing w:val="-4"/>
          <w:sz w:val="24"/>
        </w:rPr>
        <w:t xml:space="preserve"> </w:t>
      </w:r>
      <w:r w:rsidRPr="00105F5B">
        <w:rPr>
          <w:strike/>
          <w:color w:val="EE0000"/>
          <w:sz w:val="24"/>
        </w:rPr>
        <w:t>instructions</w:t>
      </w:r>
      <w:r w:rsidRPr="00105F5B">
        <w:rPr>
          <w:strike/>
          <w:color w:val="EE0000"/>
          <w:spacing w:val="-3"/>
          <w:sz w:val="24"/>
        </w:rPr>
        <w:t xml:space="preserve"> </w:t>
      </w:r>
      <w:r w:rsidRPr="00105F5B">
        <w:rPr>
          <w:strike/>
          <w:color w:val="EE0000"/>
          <w:sz w:val="24"/>
        </w:rPr>
        <w:t>on</w:t>
      </w:r>
      <w:r w:rsidRPr="00105F5B">
        <w:rPr>
          <w:strike/>
          <w:color w:val="EE0000"/>
          <w:spacing w:val="-1"/>
          <w:sz w:val="24"/>
        </w:rPr>
        <w:t xml:space="preserve"> </w:t>
      </w:r>
      <w:r w:rsidRPr="00105F5B">
        <w:rPr>
          <w:strike/>
          <w:color w:val="EE0000"/>
          <w:sz w:val="24"/>
        </w:rPr>
        <w:t>how</w:t>
      </w:r>
      <w:r w:rsidRPr="00105F5B">
        <w:rPr>
          <w:strike/>
          <w:color w:val="EE0000"/>
          <w:spacing w:val="-4"/>
          <w:sz w:val="24"/>
        </w:rPr>
        <w:t xml:space="preserve"> </w:t>
      </w:r>
      <w:r w:rsidRPr="00105F5B">
        <w:rPr>
          <w:strike/>
          <w:color w:val="EE0000"/>
          <w:sz w:val="24"/>
        </w:rPr>
        <w:t>and</w:t>
      </w:r>
      <w:r w:rsidRPr="00105F5B">
        <w:rPr>
          <w:strike/>
          <w:color w:val="EE0000"/>
          <w:spacing w:val="-4"/>
          <w:sz w:val="24"/>
        </w:rPr>
        <w:t xml:space="preserve"> </w:t>
      </w:r>
      <w:r w:rsidRPr="00105F5B">
        <w:rPr>
          <w:strike/>
          <w:color w:val="EE0000"/>
          <w:sz w:val="24"/>
        </w:rPr>
        <w:t>where to make payments (ACH, Fedwire, or paper checks).</w:t>
      </w:r>
    </w:p>
    <w:p w:rsidR="00562058" w:rsidRPr="00105F5B" w:rsidP="00562058" w14:paraId="1E3ADD0F" w14:textId="77777777">
      <w:pPr>
        <w:pStyle w:val="ListParagraph"/>
        <w:widowControl w:val="0"/>
        <w:numPr>
          <w:ilvl w:val="0"/>
          <w:numId w:val="7"/>
        </w:numPr>
        <w:tabs>
          <w:tab w:val="left" w:pos="977"/>
        </w:tabs>
        <w:autoSpaceDE w:val="0"/>
        <w:autoSpaceDN w:val="0"/>
        <w:spacing w:before="196" w:after="0" w:line="240" w:lineRule="auto"/>
        <w:ind w:left="977" w:hanging="371"/>
        <w:contextualSpacing w:val="0"/>
        <w:jc w:val="both"/>
        <w:rPr>
          <w:strike/>
          <w:color w:val="EE0000"/>
          <w:sz w:val="24"/>
        </w:rPr>
      </w:pPr>
      <w:r w:rsidRPr="00105F5B">
        <w:rPr>
          <w:strike/>
          <w:color w:val="EE0000"/>
          <w:sz w:val="24"/>
        </w:rPr>
        <w:t>For</w:t>
      </w:r>
      <w:r w:rsidRPr="00105F5B">
        <w:rPr>
          <w:strike/>
          <w:color w:val="EE0000"/>
          <w:spacing w:val="-1"/>
          <w:sz w:val="24"/>
        </w:rPr>
        <w:t xml:space="preserve"> </w:t>
      </w:r>
      <w:r w:rsidRPr="00105F5B">
        <w:rPr>
          <w:strike/>
          <w:color w:val="EE0000"/>
          <w:sz w:val="24"/>
        </w:rPr>
        <w:t>correspondence</w:t>
      </w:r>
      <w:r w:rsidRPr="00105F5B">
        <w:rPr>
          <w:strike/>
          <w:color w:val="EE0000"/>
          <w:spacing w:val="-1"/>
          <w:sz w:val="24"/>
        </w:rPr>
        <w:t xml:space="preserve"> </w:t>
      </w:r>
      <w:r w:rsidRPr="00105F5B">
        <w:rPr>
          <w:strike/>
          <w:color w:val="EE0000"/>
          <w:spacing w:val="-2"/>
          <w:sz w:val="24"/>
        </w:rPr>
        <w:t>only:</w:t>
      </w:r>
    </w:p>
    <w:p w:rsidR="00CD17FF" w:rsidP="00F17101" w14:paraId="75D50480" w14:textId="3651F4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5F5B">
        <w:rPr>
          <w:strike/>
          <w:color w:val="EE0000"/>
        </w:rPr>
        <w:t>Submit</w:t>
      </w:r>
      <w:r w:rsidRPr="00105F5B">
        <w:rPr>
          <w:strike/>
          <w:color w:val="EE0000"/>
          <w:spacing w:val="-2"/>
        </w:rPr>
        <w:t xml:space="preserve"> </w:t>
      </w:r>
      <w:r w:rsidRPr="00105F5B">
        <w:rPr>
          <w:strike/>
          <w:color w:val="EE0000"/>
        </w:rPr>
        <w:t>correspondence</w:t>
      </w:r>
      <w:r w:rsidRPr="00105F5B">
        <w:rPr>
          <w:strike/>
          <w:color w:val="EE0000"/>
          <w:spacing w:val="-3"/>
        </w:rPr>
        <w:t xml:space="preserve"> </w:t>
      </w:r>
      <w:r w:rsidRPr="00105F5B">
        <w:rPr>
          <w:strike/>
          <w:color w:val="EE0000"/>
        </w:rPr>
        <w:t>to</w:t>
      </w:r>
      <w:r w:rsidRPr="00105F5B">
        <w:rPr>
          <w:strike/>
          <w:color w:val="EE0000"/>
          <w:spacing w:val="-3"/>
        </w:rPr>
        <w:t xml:space="preserve"> </w:t>
      </w:r>
      <w:r w:rsidRPr="00105F5B">
        <w:rPr>
          <w:strike/>
          <w:color w:val="EE0000"/>
        </w:rPr>
        <w:t>the</w:t>
      </w:r>
      <w:r w:rsidRPr="00105F5B">
        <w:rPr>
          <w:strike/>
          <w:color w:val="EE0000"/>
          <w:spacing w:val="-3"/>
        </w:rPr>
        <w:t xml:space="preserve"> </w:t>
      </w:r>
      <w:r w:rsidRPr="00105F5B">
        <w:rPr>
          <w:strike/>
          <w:color w:val="EE0000"/>
        </w:rPr>
        <w:t>PBGC</w:t>
      </w:r>
      <w:r w:rsidRPr="00105F5B">
        <w:rPr>
          <w:strike/>
          <w:color w:val="EE0000"/>
          <w:spacing w:val="-2"/>
        </w:rPr>
        <w:t xml:space="preserve"> </w:t>
      </w:r>
      <w:r w:rsidRPr="00105F5B">
        <w:rPr>
          <w:strike/>
          <w:color w:val="EE0000"/>
        </w:rPr>
        <w:t>electronically</w:t>
      </w:r>
      <w:r w:rsidRPr="00105F5B">
        <w:rPr>
          <w:strike/>
          <w:color w:val="EE0000"/>
          <w:spacing w:val="-2"/>
        </w:rPr>
        <w:t xml:space="preserve"> </w:t>
      </w:r>
      <w:r w:rsidRPr="00105F5B">
        <w:rPr>
          <w:strike/>
          <w:color w:val="EE0000"/>
        </w:rPr>
        <w:t>via</w:t>
      </w:r>
      <w:r w:rsidRPr="00105F5B">
        <w:rPr>
          <w:strike/>
          <w:color w:val="EE0000"/>
          <w:spacing w:val="-3"/>
        </w:rPr>
        <w:t xml:space="preserve"> </w:t>
      </w:r>
      <w:r w:rsidRPr="00105F5B">
        <w:rPr>
          <w:strike/>
          <w:color w:val="EE0000"/>
        </w:rPr>
        <w:t>the</w:t>
      </w:r>
      <w:r w:rsidRPr="00105F5B">
        <w:rPr>
          <w:strike/>
          <w:color w:val="EE0000"/>
          <w:spacing w:val="-3"/>
        </w:rPr>
        <w:t xml:space="preserve"> </w:t>
      </w:r>
      <w:r w:rsidRPr="00105F5B">
        <w:rPr>
          <w:strike/>
          <w:color w:val="EE0000"/>
        </w:rPr>
        <w:t>My</w:t>
      </w:r>
      <w:r w:rsidRPr="00105F5B">
        <w:rPr>
          <w:strike/>
          <w:color w:val="EE0000"/>
          <w:spacing w:val="-2"/>
        </w:rPr>
        <w:t xml:space="preserve"> </w:t>
      </w:r>
      <w:r w:rsidRPr="00105F5B">
        <w:rPr>
          <w:strike/>
          <w:color w:val="EE0000"/>
        </w:rPr>
        <w:t>PAA</w:t>
      </w:r>
      <w:r w:rsidRPr="00105F5B">
        <w:rPr>
          <w:strike/>
          <w:color w:val="EE0000"/>
          <w:spacing w:val="-3"/>
        </w:rPr>
        <w:t xml:space="preserve"> </w:t>
      </w:r>
      <w:r w:rsidRPr="00105F5B">
        <w:rPr>
          <w:strike/>
          <w:color w:val="EE0000"/>
        </w:rPr>
        <w:t>"Submit</w:t>
      </w:r>
      <w:r w:rsidRPr="00105F5B">
        <w:rPr>
          <w:strike/>
          <w:color w:val="EE0000"/>
          <w:spacing w:val="-2"/>
        </w:rPr>
        <w:t xml:space="preserve"> </w:t>
      </w:r>
      <w:r w:rsidRPr="00105F5B">
        <w:rPr>
          <w:strike/>
          <w:color w:val="EE0000"/>
        </w:rPr>
        <w:t>A</w:t>
      </w:r>
      <w:r w:rsidRPr="00105F5B">
        <w:rPr>
          <w:strike/>
          <w:color w:val="EE0000"/>
          <w:spacing w:val="-3"/>
        </w:rPr>
        <w:t xml:space="preserve"> </w:t>
      </w:r>
      <w:r w:rsidRPr="00105F5B">
        <w:rPr>
          <w:strike/>
          <w:color w:val="EE0000"/>
        </w:rPr>
        <w:t xml:space="preserve">Request" Quick Link, which is available to all My PAA practitioners with an active account, or by email at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172EAE"/>
    <w:multiLevelType w:val="multilevel"/>
    <w:tmpl w:val="1304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B276C6"/>
    <w:multiLevelType w:val="hybridMultilevel"/>
    <w:tmpl w:val="C7801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37690"/>
    <w:multiLevelType w:val="multilevel"/>
    <w:tmpl w:val="9A30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A7AA38"/>
    <w:multiLevelType w:val="hybridMultilevel"/>
    <w:tmpl w:val="03181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959C2"/>
    <w:multiLevelType w:val="multilevel"/>
    <w:tmpl w:val="6C70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771CF2"/>
    <w:multiLevelType w:val="hybridMultilevel"/>
    <w:tmpl w:val="72548766"/>
    <w:lvl w:ilvl="0">
      <w:start w:val="1"/>
      <w:numFmt w:val="lowerLetter"/>
      <w:lvlText w:val="%1."/>
      <w:lvlJc w:val="left"/>
      <w:pPr>
        <w:ind w:left="97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6">
    <w:nsid w:val="6F1A0D3B"/>
    <w:multiLevelType w:val="multilevel"/>
    <w:tmpl w:val="68D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5401391">
    <w:abstractNumId w:val="3"/>
  </w:num>
  <w:num w:numId="2" w16cid:durableId="412625526">
    <w:abstractNumId w:val="1"/>
  </w:num>
  <w:num w:numId="3" w16cid:durableId="631987179">
    <w:abstractNumId w:val="2"/>
  </w:num>
  <w:num w:numId="4" w16cid:durableId="261227770">
    <w:abstractNumId w:val="4"/>
  </w:num>
  <w:num w:numId="5" w16cid:durableId="532887913">
    <w:abstractNumId w:val="0"/>
  </w:num>
  <w:num w:numId="6" w16cid:durableId="1535537071">
    <w:abstractNumId w:val="6"/>
  </w:num>
  <w:num w:numId="7" w16cid:durableId="562064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E29B34"/>
    <w:rsid w:val="0000386B"/>
    <w:rsid w:val="00020216"/>
    <w:rsid w:val="00023FEF"/>
    <w:rsid w:val="000379DD"/>
    <w:rsid w:val="000C198A"/>
    <w:rsid w:val="000D6B76"/>
    <w:rsid w:val="000E62FB"/>
    <w:rsid w:val="00105F5B"/>
    <w:rsid w:val="001100ED"/>
    <w:rsid w:val="0015432A"/>
    <w:rsid w:val="0017658F"/>
    <w:rsid w:val="001A0E0E"/>
    <w:rsid w:val="001A50DC"/>
    <w:rsid w:val="001C3A11"/>
    <w:rsid w:val="001C7015"/>
    <w:rsid w:val="001D5FF7"/>
    <w:rsid w:val="002404C2"/>
    <w:rsid w:val="002C4835"/>
    <w:rsid w:val="002D0CDB"/>
    <w:rsid w:val="002D6FCB"/>
    <w:rsid w:val="002E5422"/>
    <w:rsid w:val="002F60D8"/>
    <w:rsid w:val="00312DD4"/>
    <w:rsid w:val="00321E50"/>
    <w:rsid w:val="00334CBD"/>
    <w:rsid w:val="00342583"/>
    <w:rsid w:val="0035779D"/>
    <w:rsid w:val="00365E55"/>
    <w:rsid w:val="0038171B"/>
    <w:rsid w:val="003A2DB7"/>
    <w:rsid w:val="003A4121"/>
    <w:rsid w:val="003A6023"/>
    <w:rsid w:val="003B2C1B"/>
    <w:rsid w:val="003B76DC"/>
    <w:rsid w:val="003C368B"/>
    <w:rsid w:val="003D1BA7"/>
    <w:rsid w:val="003D262B"/>
    <w:rsid w:val="0041022B"/>
    <w:rsid w:val="004120B7"/>
    <w:rsid w:val="004124A6"/>
    <w:rsid w:val="004509EB"/>
    <w:rsid w:val="00450A1C"/>
    <w:rsid w:val="00453F3F"/>
    <w:rsid w:val="004550EE"/>
    <w:rsid w:val="004651BA"/>
    <w:rsid w:val="004C6DBD"/>
    <w:rsid w:val="005031F1"/>
    <w:rsid w:val="00515429"/>
    <w:rsid w:val="005175A4"/>
    <w:rsid w:val="0055481D"/>
    <w:rsid w:val="00562058"/>
    <w:rsid w:val="00571CE1"/>
    <w:rsid w:val="005724EE"/>
    <w:rsid w:val="00580986"/>
    <w:rsid w:val="005A5FF6"/>
    <w:rsid w:val="006305A9"/>
    <w:rsid w:val="00632FF4"/>
    <w:rsid w:val="00665881"/>
    <w:rsid w:val="00674AD4"/>
    <w:rsid w:val="00676DD4"/>
    <w:rsid w:val="00695208"/>
    <w:rsid w:val="006B253C"/>
    <w:rsid w:val="006B4F61"/>
    <w:rsid w:val="006C281B"/>
    <w:rsid w:val="006C38FA"/>
    <w:rsid w:val="006D3BBC"/>
    <w:rsid w:val="006F2A9A"/>
    <w:rsid w:val="007226AB"/>
    <w:rsid w:val="00733952"/>
    <w:rsid w:val="00755CEF"/>
    <w:rsid w:val="007809A6"/>
    <w:rsid w:val="007979CB"/>
    <w:rsid w:val="007A14F0"/>
    <w:rsid w:val="007A676B"/>
    <w:rsid w:val="007B0C09"/>
    <w:rsid w:val="007E789E"/>
    <w:rsid w:val="00806E9C"/>
    <w:rsid w:val="00812108"/>
    <w:rsid w:val="0082117D"/>
    <w:rsid w:val="008258AE"/>
    <w:rsid w:val="00827938"/>
    <w:rsid w:val="008313FB"/>
    <w:rsid w:val="00845D88"/>
    <w:rsid w:val="00856D6D"/>
    <w:rsid w:val="0086033A"/>
    <w:rsid w:val="008634A7"/>
    <w:rsid w:val="0086623D"/>
    <w:rsid w:val="00882BAF"/>
    <w:rsid w:val="008C173B"/>
    <w:rsid w:val="008C3B1D"/>
    <w:rsid w:val="008D77D5"/>
    <w:rsid w:val="008F1AB9"/>
    <w:rsid w:val="00900534"/>
    <w:rsid w:val="0096054B"/>
    <w:rsid w:val="009669C6"/>
    <w:rsid w:val="009706D2"/>
    <w:rsid w:val="0097483C"/>
    <w:rsid w:val="00976311"/>
    <w:rsid w:val="009A1BDE"/>
    <w:rsid w:val="009A3D3C"/>
    <w:rsid w:val="009B3343"/>
    <w:rsid w:val="009E5713"/>
    <w:rsid w:val="009E66B5"/>
    <w:rsid w:val="00A45ED7"/>
    <w:rsid w:val="00A56895"/>
    <w:rsid w:val="00A61F29"/>
    <w:rsid w:val="00A71E06"/>
    <w:rsid w:val="00A77C1E"/>
    <w:rsid w:val="00A9220F"/>
    <w:rsid w:val="00A96F82"/>
    <w:rsid w:val="00AA0380"/>
    <w:rsid w:val="00AA3BFD"/>
    <w:rsid w:val="00AB3C36"/>
    <w:rsid w:val="00AC1720"/>
    <w:rsid w:val="00AE0D24"/>
    <w:rsid w:val="00B0024C"/>
    <w:rsid w:val="00B310E7"/>
    <w:rsid w:val="00B3159A"/>
    <w:rsid w:val="00B33C19"/>
    <w:rsid w:val="00B41040"/>
    <w:rsid w:val="00B611AA"/>
    <w:rsid w:val="00B740E9"/>
    <w:rsid w:val="00BB08FC"/>
    <w:rsid w:val="00BB56E1"/>
    <w:rsid w:val="00BD03CF"/>
    <w:rsid w:val="00BD31F3"/>
    <w:rsid w:val="00BE7735"/>
    <w:rsid w:val="00C05D05"/>
    <w:rsid w:val="00C1092F"/>
    <w:rsid w:val="00C13E49"/>
    <w:rsid w:val="00C46B17"/>
    <w:rsid w:val="00C5204B"/>
    <w:rsid w:val="00C52ED2"/>
    <w:rsid w:val="00C65946"/>
    <w:rsid w:val="00CC090F"/>
    <w:rsid w:val="00CC7588"/>
    <w:rsid w:val="00CD17FF"/>
    <w:rsid w:val="00CD7AB8"/>
    <w:rsid w:val="00D10565"/>
    <w:rsid w:val="00D11635"/>
    <w:rsid w:val="00D1678A"/>
    <w:rsid w:val="00D177E5"/>
    <w:rsid w:val="00D25186"/>
    <w:rsid w:val="00D4614F"/>
    <w:rsid w:val="00D622AE"/>
    <w:rsid w:val="00D62903"/>
    <w:rsid w:val="00D64F9A"/>
    <w:rsid w:val="00D82937"/>
    <w:rsid w:val="00DA2F26"/>
    <w:rsid w:val="00DB52D5"/>
    <w:rsid w:val="00DD1ED3"/>
    <w:rsid w:val="00DD60BE"/>
    <w:rsid w:val="00DF4F7E"/>
    <w:rsid w:val="00E11030"/>
    <w:rsid w:val="00E17E5A"/>
    <w:rsid w:val="00E44F28"/>
    <w:rsid w:val="00E71255"/>
    <w:rsid w:val="00E97D78"/>
    <w:rsid w:val="00EC3A87"/>
    <w:rsid w:val="00EE148D"/>
    <w:rsid w:val="00EE33AC"/>
    <w:rsid w:val="00EF0B53"/>
    <w:rsid w:val="00EF4A16"/>
    <w:rsid w:val="00EF4A9B"/>
    <w:rsid w:val="00F12AD4"/>
    <w:rsid w:val="00F17101"/>
    <w:rsid w:val="00F31690"/>
    <w:rsid w:val="00F33EB1"/>
    <w:rsid w:val="00F34464"/>
    <w:rsid w:val="00F937DA"/>
    <w:rsid w:val="00FD1DC0"/>
    <w:rsid w:val="00FD5863"/>
    <w:rsid w:val="00FD7A8C"/>
    <w:rsid w:val="00FE5DCF"/>
    <w:rsid w:val="0720F31A"/>
    <w:rsid w:val="11C62750"/>
    <w:rsid w:val="2489AB0A"/>
    <w:rsid w:val="25E29B34"/>
    <w:rsid w:val="2D5A436F"/>
    <w:rsid w:val="3A0A4AB3"/>
    <w:rsid w:val="5FCD6A0A"/>
    <w:rsid w:val="752443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E29B34"/>
  <w15:chartTrackingRefBased/>
  <w15:docId w15:val="{E124026E-2CF5-492B-B7E5-2DE28AB2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720F31A"/>
    <w:pPr>
      <w:ind w:left="720"/>
      <w:contextualSpacing/>
    </w:pPr>
  </w:style>
  <w:style w:type="paragraph" w:styleId="NoSpacing">
    <w:name w:val="No Spacing"/>
    <w:uiPriority w:val="1"/>
    <w:qFormat/>
    <w:rsid w:val="00F171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69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74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40E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17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pbgc.gov/prac/prem/premium-filing-payment-and-instructions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mypaa.pbgc.gov/app/answers/detail/a_id/106/kw/submit%20request" TargetMode="External" /><Relationship Id="rId9" Type="http://schemas.openxmlformats.org/officeDocument/2006/relationships/hyperlink" Target="mailto:Premiums@PBG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b04b9a93-b54f-4549-9b70-040003075d6a" ContentTypeId="0x010100E09C6A4FD85CD94DB99934580C239257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ing xmlns="42a8a83a-5e27-410c-a1fc-7c5ac4e503f4" xsi:nil="true"/>
    <PBGCCUI xmlns="42a8a83a-5e27-410c-a1fc-7c5ac4e503f4" xsi:nil="true"/>
    <AllMetadata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9" ma:contentTypeDescription="Documents with Controlled Unclassified Information (CUI) flag and markings." ma:contentTypeScope="" ma:versionID="706566f70ca93385e5c6f40e569d8392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528123777bd9a10ea1536580f53739d8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General"/>
                    <xsd:enumeration value="General Business Proprietary"/>
                    <xsd:enumeration value="Legal Privilege"/>
                    <xsd:enumeration value="Personnel Security Information"/>
                    <xsd:enumeration value="Physical Security"/>
                    <xsd:enumeration value="Privacy"/>
                    <xsd:enumeration value="Procurement and Acquisition*"/>
                    <xsd:enumeration value="Sensitive Security Information"/>
                    <xsd:enumeration value="Tax*"/>
                    <xsd:enumeration value="Whistleblower Identity"/>
                  </xsd:restriction>
                </xsd:simpleType>
              </xsd:element>
            </xsd:sequence>
          </xsd:extension>
        </xsd:complexContent>
      </xsd:complexType>
    </xsd:element>
    <xsd:element name="MoveField" ma:index="10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1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2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3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5A9C7-DD54-408B-A304-1061A1A0CE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CBBFB68-3C1A-4CAF-9410-4988D5C10234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a8a83a-5e27-410c-a1fc-7c5ac4e503f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2A9F49-3156-48F5-9262-E3900AD12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3621A-12EA-4C41-B918-2CBD6BF8C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O'Donnell Monica</dc:creator>
  <cp:lastModifiedBy>Duke Hilary</cp:lastModifiedBy>
  <cp:revision>2</cp:revision>
  <dcterms:created xsi:type="dcterms:W3CDTF">2025-07-17T15:41:00Z</dcterms:created>
  <dcterms:modified xsi:type="dcterms:W3CDTF">2025-07-17T15:41:00Z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CUIFalsePositive">
    <vt:lpwstr>Unreviewed</vt:lpwstr>
  </property>
  <property fmtid="{D5CDD505-2E9C-101B-9397-08002B2CF9AE}" pid="4" name="CUIReviewer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OGC Document Status">
    <vt:lpwstr>6;#Draft|4e9a4bc7-9032-4d66-87ab-b16dbcbcd63b</vt:lpwstr>
  </property>
  <property fmtid="{D5CDD505-2E9C-101B-9397-08002B2CF9AE}" pid="8" name="OGC_x0020_Document_x0020_Status">
    <vt:lpwstr>6;#Draft|4e9a4bc7-9032-4d66-87ab-b16dbcbcd63b</vt:lpwstr>
  </property>
</Properties>
</file>