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61B3F" w:rsidRPr="00765073" w:rsidP="004A22F3" w14:paraId="137D7255" w14:textId="77777777">
      <w:pPr>
        <w:suppressAutoHyphens/>
        <w:jc w:val="center"/>
        <w:rPr>
          <w:b/>
        </w:rPr>
      </w:pPr>
      <w:bookmarkStart w:id="0" w:name="_Hlk114563386"/>
      <w:r w:rsidRPr="00765073">
        <w:rPr>
          <w:b/>
          <w:bCs/>
        </w:rPr>
        <w:t>Supporting Statement</w:t>
      </w:r>
      <w:r w:rsidRPr="00765073">
        <w:rPr>
          <w:b/>
        </w:rPr>
        <w:t xml:space="preserve"> for</w:t>
      </w:r>
    </w:p>
    <w:p w:rsidR="000E54A8" w:rsidP="004A22F3" w14:paraId="4027C9F6" w14:textId="77777777">
      <w:pPr>
        <w:suppressAutoHyphens/>
        <w:jc w:val="center"/>
        <w:rPr>
          <w:b/>
          <w:bCs/>
        </w:rPr>
      </w:pPr>
      <w:r w:rsidRPr="00BA77EF">
        <w:rPr>
          <w:b/>
          <w:bCs/>
        </w:rPr>
        <w:t>Slope and Shaft Sinking Plans</w:t>
      </w:r>
      <w:r w:rsidRPr="005829C7" w:rsidR="005829C7">
        <w:rPr>
          <w:b/>
          <w:bCs/>
        </w:rPr>
        <w:t xml:space="preserve">, 30 CFR 77.1900 </w:t>
      </w:r>
    </w:p>
    <w:p w:rsidR="00A354A4" w:rsidRPr="00765073" w:rsidP="004A22F3" w14:paraId="30890DF2" w14:textId="45D2245B">
      <w:pPr>
        <w:suppressAutoHyphens/>
        <w:jc w:val="center"/>
        <w:rPr>
          <w:b/>
          <w:bCs/>
          <w:color w:val="FF0000"/>
        </w:rPr>
      </w:pPr>
      <w:r w:rsidRPr="005829C7">
        <w:rPr>
          <w:b/>
          <w:bCs/>
        </w:rPr>
        <w:t xml:space="preserve">(Pertains to the Surface Work Areas of Underground Coal Mines) </w:t>
      </w:r>
    </w:p>
    <w:p w:rsidR="00861B3F" w:rsidRPr="00765073" w:rsidP="004A22F3" w14:paraId="33F0F79A" w14:textId="0D55E054">
      <w:pPr>
        <w:suppressAutoHyphens/>
        <w:jc w:val="center"/>
        <w:rPr>
          <w:b/>
          <w:color w:val="FF0000"/>
        </w:rPr>
      </w:pPr>
      <w:r w:rsidRPr="00765073">
        <w:rPr>
          <w:b/>
        </w:rPr>
        <w:t>Paperwork Reduction Act Submission</w:t>
      </w:r>
    </w:p>
    <w:p w:rsidR="00861B3F" w:rsidRPr="00765073" w:rsidP="004A22F3" w14:paraId="3E579288" w14:textId="77777777">
      <w:pPr>
        <w:suppressAutoHyphens/>
        <w:jc w:val="center"/>
        <w:rPr>
          <w:b/>
        </w:rPr>
      </w:pPr>
    </w:p>
    <w:p w:rsidR="00861B3F" w:rsidRPr="005366CD" w:rsidP="004A22F3" w14:paraId="409D3F1A" w14:textId="6532B620">
      <w:pPr>
        <w:widowControl/>
        <w:autoSpaceDE/>
        <w:autoSpaceDN/>
        <w:adjustRightInd/>
        <w:rPr>
          <w:rFonts w:eastAsiaTheme="minorHAnsi"/>
          <w:color w:val="000000" w:themeColor="text1"/>
          <w:szCs w:val="22"/>
        </w:rPr>
      </w:pPr>
      <w:r w:rsidRPr="00765073">
        <w:rPr>
          <w:bCs/>
        </w:rPr>
        <w:t xml:space="preserve">This </w:t>
      </w:r>
      <w:r w:rsidRPr="00765073" w:rsidR="00B227F0">
        <w:rPr>
          <w:bCs/>
        </w:rPr>
        <w:t>information collection request (</w:t>
      </w:r>
      <w:r w:rsidRPr="00765073" w:rsidR="00B227F0">
        <w:t>ICR)</w:t>
      </w:r>
      <w:r w:rsidRPr="00765073">
        <w:rPr>
          <w:bCs/>
        </w:rPr>
        <w:t xml:space="preserve"> seeks to extend, without chang</w:t>
      </w:r>
      <w:r w:rsidRPr="00765073" w:rsidR="00BC060A">
        <w:rPr>
          <w:bCs/>
        </w:rPr>
        <w:t>e</w:t>
      </w:r>
      <w:r w:rsidRPr="00765073" w:rsidR="002D0F05">
        <w:t>,</w:t>
      </w:r>
      <w:r w:rsidRPr="00765073" w:rsidR="00BC060A">
        <w:t xml:space="preserve"> </w:t>
      </w:r>
      <w:r w:rsidRPr="00765073" w:rsidR="002D0F05">
        <w:rPr>
          <w:bCs/>
        </w:rPr>
        <w:t xml:space="preserve">a currently approved </w:t>
      </w:r>
      <w:r w:rsidRPr="005366CD">
        <w:rPr>
          <w:bCs/>
          <w:color w:val="000000" w:themeColor="text1"/>
        </w:rPr>
        <w:t>information collection.</w:t>
      </w:r>
    </w:p>
    <w:p w:rsidR="00861B3F" w:rsidRPr="005366CD" w:rsidP="004A22F3" w14:paraId="6B8A9E29" w14:textId="77777777">
      <w:pPr>
        <w:rPr>
          <w:color w:val="000000" w:themeColor="text1"/>
        </w:rPr>
      </w:pPr>
    </w:p>
    <w:p w:rsidR="00861B3F" w:rsidRPr="005366CD" w:rsidP="004A22F3" w14:paraId="3FE2834E" w14:textId="4E426052">
      <w:pPr>
        <w:tabs>
          <w:tab w:val="left" w:pos="-720"/>
        </w:tabs>
        <w:suppressAutoHyphens/>
        <w:rPr>
          <w:b/>
          <w:color w:val="000000" w:themeColor="text1"/>
        </w:rPr>
      </w:pPr>
      <w:r w:rsidRPr="005366CD">
        <w:rPr>
          <w:b/>
          <w:color w:val="000000" w:themeColor="text1"/>
          <w:u w:val="single"/>
        </w:rPr>
        <w:t>OMB Control Number</w:t>
      </w:r>
      <w:r w:rsidRPr="00E35FA7">
        <w:rPr>
          <w:b/>
          <w:bCs/>
          <w:color w:val="000000" w:themeColor="text1"/>
        </w:rPr>
        <w:t>:</w:t>
      </w:r>
      <w:r w:rsidRPr="005366CD">
        <w:rPr>
          <w:color w:val="000000" w:themeColor="text1"/>
        </w:rPr>
        <w:t xml:space="preserve"> 1219-</w:t>
      </w:r>
      <w:r w:rsidRPr="005366CD" w:rsidR="00A354A4">
        <w:rPr>
          <w:color w:val="000000" w:themeColor="text1"/>
        </w:rPr>
        <w:t>0019</w:t>
      </w:r>
    </w:p>
    <w:p w:rsidR="00861B3F" w:rsidRPr="005366CD" w:rsidP="004A22F3" w14:paraId="6FD41D47" w14:textId="77777777">
      <w:pPr>
        <w:tabs>
          <w:tab w:val="left" w:pos="-720"/>
        </w:tabs>
        <w:suppressAutoHyphens/>
        <w:rPr>
          <w:b/>
          <w:color w:val="000000" w:themeColor="text1"/>
        </w:rPr>
      </w:pPr>
    </w:p>
    <w:p w:rsidR="00861B3F" w:rsidRPr="005366CD" w:rsidP="004A22F3" w14:paraId="377413BF" w14:textId="5E21D5A8">
      <w:pPr>
        <w:tabs>
          <w:tab w:val="left" w:pos="-720"/>
        </w:tabs>
        <w:suppressAutoHyphens/>
        <w:rPr>
          <w:b/>
          <w:color w:val="000000" w:themeColor="text1"/>
        </w:rPr>
      </w:pPr>
      <w:r w:rsidRPr="005366CD">
        <w:rPr>
          <w:b/>
          <w:color w:val="000000" w:themeColor="text1"/>
          <w:u w:val="single"/>
        </w:rPr>
        <w:t>Information Collection Request Title</w:t>
      </w:r>
      <w:r w:rsidRPr="005366CD">
        <w:rPr>
          <w:b/>
          <w:color w:val="000000" w:themeColor="text1"/>
        </w:rPr>
        <w:t xml:space="preserve">: </w:t>
      </w:r>
      <w:bookmarkStart w:id="1" w:name="_Hlk185577933"/>
      <w:bookmarkStart w:id="2" w:name="_Hlk103349820"/>
      <w:r w:rsidRPr="005366CD" w:rsidR="00A354A4">
        <w:rPr>
          <w:bCs/>
          <w:color w:val="000000" w:themeColor="text1"/>
        </w:rPr>
        <w:t>Slope and Shaft Sinking Plans</w:t>
      </w:r>
      <w:bookmarkEnd w:id="1"/>
      <w:r w:rsidRPr="00441CD3" w:rsidR="00441CD3">
        <w:rPr>
          <w:bCs/>
          <w:color w:val="000000" w:themeColor="text1"/>
        </w:rPr>
        <w:t>, 30 CFR 77.1900 (Pertains to the Surface Work Areas of Underground Coal Mines)</w:t>
      </w:r>
      <w:r w:rsidRPr="005366CD" w:rsidR="00A354A4">
        <w:rPr>
          <w:b/>
          <w:color w:val="000000" w:themeColor="text1"/>
        </w:rPr>
        <w:t xml:space="preserve"> </w:t>
      </w:r>
    </w:p>
    <w:bookmarkEnd w:id="2"/>
    <w:p w:rsidR="00861B3F" w:rsidRPr="005366CD" w:rsidP="004A22F3" w14:paraId="7B26500A" w14:textId="77777777">
      <w:pPr>
        <w:tabs>
          <w:tab w:val="left" w:pos="-720"/>
        </w:tabs>
        <w:suppressAutoHyphens/>
        <w:rPr>
          <w:b/>
          <w:color w:val="000000" w:themeColor="text1"/>
        </w:rPr>
      </w:pPr>
    </w:p>
    <w:p w:rsidR="00861B3F" w:rsidRPr="005366CD" w:rsidP="004A22F3" w14:paraId="07D97EAE" w14:textId="207FF701">
      <w:pPr>
        <w:tabs>
          <w:tab w:val="left" w:pos="-720"/>
        </w:tabs>
        <w:suppressAutoHyphens/>
        <w:rPr>
          <w:b/>
          <w:color w:val="000000" w:themeColor="text1"/>
        </w:rPr>
      </w:pPr>
      <w:r w:rsidRPr="005366CD">
        <w:rPr>
          <w:b/>
          <w:color w:val="000000" w:themeColor="text1"/>
          <w:u w:val="single"/>
        </w:rPr>
        <w:t xml:space="preserve">Type of </w:t>
      </w:r>
      <w:r w:rsidRPr="005366CD" w:rsidR="00541732">
        <w:rPr>
          <w:b/>
          <w:color w:val="000000" w:themeColor="text1"/>
          <w:u w:val="single"/>
        </w:rPr>
        <w:t xml:space="preserve">OMB </w:t>
      </w:r>
      <w:r w:rsidRPr="005366CD">
        <w:rPr>
          <w:b/>
          <w:color w:val="000000" w:themeColor="text1"/>
          <w:u w:val="single"/>
        </w:rPr>
        <w:t>Review</w:t>
      </w:r>
      <w:r w:rsidRPr="005366CD">
        <w:rPr>
          <w:b/>
          <w:color w:val="000000" w:themeColor="text1"/>
        </w:rPr>
        <w:t xml:space="preserve">: </w:t>
      </w:r>
      <w:r w:rsidRPr="005366CD" w:rsidR="00A354A4">
        <w:rPr>
          <w:bCs/>
          <w:color w:val="000000" w:themeColor="text1"/>
        </w:rPr>
        <w:t>Extension</w:t>
      </w:r>
    </w:p>
    <w:p w:rsidR="00861B3F" w:rsidRPr="00765073" w:rsidP="004A22F3" w14:paraId="3DDD942E" w14:textId="77777777">
      <w:pPr>
        <w:tabs>
          <w:tab w:val="left" w:pos="-720"/>
        </w:tabs>
        <w:suppressAutoHyphens/>
        <w:rPr>
          <w:b/>
        </w:rPr>
      </w:pPr>
    </w:p>
    <w:p w:rsidR="00AA68DD" w:rsidRPr="00765073" w:rsidP="004A22F3" w14:paraId="7E2E76E4" w14:textId="77777777">
      <w:pPr>
        <w:rPr>
          <w:b/>
        </w:rPr>
      </w:pPr>
      <w:r w:rsidRPr="00765073">
        <w:rPr>
          <w:b/>
          <w:u w:val="single"/>
        </w:rPr>
        <w:t>Authority</w:t>
      </w:r>
      <w:r w:rsidRPr="00765073">
        <w:rPr>
          <w:b/>
        </w:rPr>
        <w:t>:</w:t>
      </w:r>
      <w:r w:rsidRPr="00765073" w:rsidR="00BA12DF">
        <w:rPr>
          <w:b/>
        </w:rPr>
        <w:t xml:space="preserve"> </w:t>
      </w:r>
    </w:p>
    <w:p w:rsidR="00D151F3" w:rsidRPr="009C501D" w:rsidP="00D151F3" w14:paraId="00224DB0" w14:textId="77777777">
      <w:pPr>
        <w:rPr>
          <w:bCs/>
        </w:rPr>
      </w:pPr>
      <w:r w:rsidRPr="009C501D">
        <w:rPr>
          <w:bCs/>
        </w:rPr>
        <w:t>Part 77</w:t>
      </w:r>
      <w:r w:rsidRPr="0035106A">
        <w:rPr>
          <w:bCs/>
        </w:rPr>
        <w:t>—</w:t>
      </w:r>
      <w:r>
        <w:rPr>
          <w:bCs/>
        </w:rPr>
        <w:t xml:space="preserve"> </w:t>
      </w:r>
      <w:r w:rsidRPr="009C501D">
        <w:rPr>
          <w:bCs/>
        </w:rPr>
        <w:t>Mandatory Safety Standards, Surface Coal Mines and Surface Work Areas of Underground Coal Mines</w:t>
      </w:r>
    </w:p>
    <w:p w:rsidR="00D151F3" w:rsidRPr="009C501D" w:rsidP="00D151F3" w14:paraId="3F0AFF9A" w14:textId="77777777">
      <w:pPr>
        <w:ind w:firstLine="720"/>
        <w:rPr>
          <w:bCs/>
        </w:rPr>
      </w:pPr>
      <w:r w:rsidRPr="009C501D">
        <w:rPr>
          <w:bCs/>
        </w:rPr>
        <w:t>Subpart T</w:t>
      </w:r>
      <w:r w:rsidRPr="0035106A">
        <w:rPr>
          <w:bCs/>
        </w:rPr>
        <w:t xml:space="preserve">— </w:t>
      </w:r>
      <w:r w:rsidRPr="009C501D">
        <w:rPr>
          <w:bCs/>
        </w:rPr>
        <w:t>Slope and Shaft Sinking</w:t>
      </w:r>
    </w:p>
    <w:p w:rsidR="00D151F3" w:rsidRPr="009C501D" w:rsidP="00D151F3" w14:paraId="23FC864C" w14:textId="77777777">
      <w:pPr>
        <w:ind w:left="720" w:firstLine="720"/>
        <w:rPr>
          <w:bCs/>
        </w:rPr>
      </w:pPr>
      <w:r w:rsidRPr="009C501D">
        <w:rPr>
          <w:bCs/>
        </w:rPr>
        <w:t>30 CFR 77.1900</w:t>
      </w:r>
      <w:r>
        <w:rPr>
          <w:bCs/>
        </w:rPr>
        <w:t xml:space="preserve"> - </w:t>
      </w:r>
      <w:r w:rsidRPr="009C501D">
        <w:rPr>
          <w:bCs/>
        </w:rPr>
        <w:t>Slopes and shafts; approval of plans</w:t>
      </w:r>
    </w:p>
    <w:p w:rsidR="00861B3F" w:rsidRPr="00765073" w:rsidP="004A22F3" w14:paraId="2F93BBBA" w14:textId="77777777">
      <w:pPr>
        <w:tabs>
          <w:tab w:val="left" w:pos="-720"/>
        </w:tabs>
        <w:suppressAutoHyphens/>
        <w:rPr>
          <w:b/>
        </w:rPr>
      </w:pPr>
    </w:p>
    <w:p w:rsidR="00861B3F" w:rsidRPr="005366CD" w:rsidP="004A22F3" w14:paraId="7777C6C5" w14:textId="26ABA003">
      <w:pPr>
        <w:rPr>
          <w:b/>
          <w:color w:val="000000" w:themeColor="text1"/>
        </w:rPr>
      </w:pPr>
      <w:r w:rsidRPr="00765073">
        <w:rPr>
          <w:b/>
          <w:u w:val="single"/>
        </w:rPr>
        <w:t xml:space="preserve">Collection </w:t>
      </w:r>
      <w:r w:rsidRPr="005366CD">
        <w:rPr>
          <w:b/>
          <w:color w:val="000000" w:themeColor="text1"/>
          <w:u w:val="single"/>
        </w:rPr>
        <w:t>Instrument(s)</w:t>
      </w:r>
      <w:r w:rsidRPr="005366CD">
        <w:rPr>
          <w:b/>
          <w:color w:val="000000" w:themeColor="text1"/>
        </w:rPr>
        <w:t>:</w:t>
      </w:r>
      <w:r w:rsidRPr="005366CD">
        <w:rPr>
          <w:color w:val="000000" w:themeColor="text1"/>
        </w:rPr>
        <w:t xml:space="preserve"> </w:t>
      </w:r>
      <w:r w:rsidRPr="005366CD" w:rsidR="00A354A4">
        <w:rPr>
          <w:color w:val="000000" w:themeColor="text1"/>
        </w:rPr>
        <w:t>None</w:t>
      </w:r>
    </w:p>
    <w:p w:rsidR="00861B3F" w:rsidRPr="00765073" w:rsidP="004A22F3" w14:paraId="3BE9B174" w14:textId="77777777">
      <w:pPr>
        <w:rPr>
          <w:b/>
          <w:bCs/>
          <w:color w:val="000000"/>
        </w:rPr>
      </w:pPr>
    </w:p>
    <w:p w:rsidR="00B227F0" w:rsidRPr="00765073" w:rsidP="004A22F3" w14:paraId="3261DED4" w14:textId="77777777">
      <w:pPr>
        <w:pStyle w:val="Default"/>
        <w:rPr>
          <w:rFonts w:ascii="Times New Roman" w:hAnsi="Times New Roman" w:cs="Times New Roman"/>
          <w:b/>
          <w:color w:val="auto"/>
        </w:rPr>
      </w:pPr>
      <w:r w:rsidRPr="00765073">
        <w:rPr>
          <w:rFonts w:ascii="Times New Roman" w:hAnsi="Times New Roman" w:cs="Times New Roman"/>
          <w:b/>
          <w:color w:val="auto"/>
        </w:rPr>
        <w:t>General Instructions</w:t>
      </w:r>
    </w:p>
    <w:p w:rsidR="00B227F0" w:rsidRPr="00765073" w:rsidP="004A22F3" w14:paraId="6FAE27B4" w14:textId="77777777">
      <w:pPr>
        <w:pStyle w:val="Default"/>
        <w:rPr>
          <w:rFonts w:ascii="Times New Roman" w:hAnsi="Times New Roman" w:cs="Times New Roman"/>
          <w:b/>
          <w:color w:val="auto"/>
        </w:rPr>
      </w:pPr>
    </w:p>
    <w:p w:rsidR="00B227F0" w:rsidRPr="00765073" w:rsidP="004A22F3" w14:paraId="0736298B" w14:textId="2677CEEC">
      <w:pPr>
        <w:pStyle w:val="Default"/>
        <w:rPr>
          <w:rFonts w:ascii="Times New Roman" w:hAnsi="Times New Roman" w:cs="Times New Roman"/>
          <w:b/>
          <w:color w:val="auto"/>
        </w:rPr>
      </w:pPr>
      <w:r w:rsidRPr="00765073">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765073" w:rsidP="004A22F3" w14:paraId="43E4646E" w14:textId="77777777">
      <w:pPr>
        <w:pStyle w:val="Default"/>
        <w:rPr>
          <w:rFonts w:ascii="Times New Roman" w:hAnsi="Times New Roman" w:cs="Times New Roman"/>
          <w:b/>
          <w:color w:val="auto"/>
        </w:rPr>
      </w:pPr>
    </w:p>
    <w:p w:rsidR="00B227F0" w:rsidRPr="00765073" w:rsidP="004A22F3" w14:paraId="2BEDACE0" w14:textId="77777777">
      <w:pPr>
        <w:pStyle w:val="Default"/>
        <w:rPr>
          <w:rFonts w:ascii="Times New Roman" w:hAnsi="Times New Roman" w:cs="Times New Roman"/>
          <w:b/>
          <w:color w:val="auto"/>
        </w:rPr>
      </w:pPr>
      <w:r w:rsidRPr="00765073">
        <w:rPr>
          <w:rFonts w:ascii="Times New Roman" w:hAnsi="Times New Roman" w:cs="Times New Roman"/>
          <w:b/>
          <w:color w:val="auto"/>
        </w:rPr>
        <w:t>Specific Instructions</w:t>
      </w:r>
    </w:p>
    <w:p w:rsidR="00B227F0" w:rsidRPr="00765073" w:rsidP="004A22F3" w14:paraId="580DC9D7" w14:textId="77777777">
      <w:pPr>
        <w:pStyle w:val="Default"/>
        <w:rPr>
          <w:rFonts w:ascii="Times New Roman" w:hAnsi="Times New Roman" w:cs="Times New Roman"/>
          <w:b/>
          <w:color w:val="auto"/>
        </w:rPr>
      </w:pPr>
    </w:p>
    <w:p w:rsidR="00B227F0" w:rsidRPr="00765073" w:rsidP="004A22F3" w14:paraId="24052D5A" w14:textId="77777777">
      <w:pPr>
        <w:pStyle w:val="Default"/>
        <w:rPr>
          <w:rFonts w:ascii="Times New Roman" w:hAnsi="Times New Roman" w:cs="Times New Roman"/>
          <w:color w:val="auto"/>
        </w:rPr>
      </w:pPr>
      <w:r w:rsidRPr="00765073">
        <w:rPr>
          <w:rFonts w:ascii="Times New Roman" w:hAnsi="Times New Roman" w:cs="Times New Roman"/>
          <w:b/>
          <w:color w:val="auto"/>
        </w:rPr>
        <w:t>A.  Justification</w:t>
      </w:r>
      <w:r w:rsidRPr="00765073">
        <w:rPr>
          <w:rFonts w:ascii="Times New Roman" w:hAnsi="Times New Roman" w:cs="Times New Roman"/>
          <w:color w:val="auto"/>
        </w:rPr>
        <w:t xml:space="preserve"> </w:t>
      </w:r>
    </w:p>
    <w:p w:rsidR="00B227F0" w:rsidRPr="00765073" w:rsidP="004A22F3" w14:paraId="75A98CEA" w14:textId="77777777">
      <w:pPr>
        <w:pStyle w:val="Default"/>
        <w:rPr>
          <w:rFonts w:ascii="Times New Roman" w:hAnsi="Times New Roman" w:cs="Times New Roman"/>
          <w:color w:val="auto"/>
        </w:rPr>
      </w:pPr>
      <w:r w:rsidRPr="00765073">
        <w:rPr>
          <w:rFonts w:ascii="Times New Roman" w:hAnsi="Times New Roman" w:cs="Times New Roman"/>
          <w:color w:val="auto"/>
        </w:rPr>
        <w:t xml:space="preserve"> </w:t>
      </w:r>
    </w:p>
    <w:p w:rsidR="00B227F0" w:rsidRPr="00765073" w:rsidP="004A22F3" w14:paraId="048FE832" w14:textId="188763B0">
      <w:pPr>
        <w:pStyle w:val="Default"/>
        <w:rPr>
          <w:rFonts w:ascii="Times New Roman" w:hAnsi="Times New Roman" w:cs="Times New Roman"/>
          <w:color w:val="auto"/>
        </w:rPr>
      </w:pPr>
      <w:r w:rsidRPr="00765073">
        <w:rPr>
          <w:rFonts w:ascii="Times New Roman" w:hAnsi="Times New Roman" w:cs="Times New Roman"/>
          <w:b/>
          <w:color w:val="auto"/>
        </w:rPr>
        <w:t>1.</w:t>
      </w:r>
      <w:r w:rsidRPr="00765073">
        <w:rPr>
          <w:rFonts w:ascii="Times New Roman" w:hAnsi="Times New Roman" w:cs="Times New Roman"/>
          <w:color w:val="auto"/>
        </w:rPr>
        <w:t xml:space="preserve"> </w:t>
      </w:r>
      <w:r w:rsidRPr="00765073">
        <w:rPr>
          <w:rFonts w:ascii="Times New Roman" w:hAnsi="Times New Roman" w:cs="Times New Roman"/>
          <w:b/>
          <w:color w:val="auto"/>
        </w:rPr>
        <w:t xml:space="preserve">Explain the circumstances that make the collection of information necessary.  Identify any legal or administrative requirements that necessitate the collection. </w:t>
      </w:r>
      <w:bookmarkStart w:id="3" w:name="_Hlk193113062"/>
      <w:r w:rsidRPr="00765073">
        <w:rPr>
          <w:rFonts w:ascii="Times New Roman" w:hAnsi="Times New Roman" w:cs="Times New Roman"/>
          <w:b/>
          <w:color w:val="auto"/>
        </w:rPr>
        <w:t>Attach a copy of</w:t>
      </w:r>
      <w:r w:rsidRPr="00765073" w:rsidR="00AA68DD">
        <w:rPr>
          <w:rFonts w:ascii="Times New Roman" w:hAnsi="Times New Roman" w:cs="Times New Roman"/>
          <w:b/>
          <w:color w:val="auto"/>
        </w:rPr>
        <w:t xml:space="preserve"> </w:t>
      </w:r>
      <w:r w:rsidRPr="00765073">
        <w:rPr>
          <w:rFonts w:ascii="Times New Roman" w:hAnsi="Times New Roman" w:cs="Times New Roman"/>
          <w:b/>
          <w:color w:val="auto"/>
        </w:rPr>
        <w:t xml:space="preserve">the appropriate section of each statute and regulation mandating or authorizing the collection of information. </w:t>
      </w:r>
    </w:p>
    <w:bookmarkEnd w:id="3"/>
    <w:p w:rsidR="00CB3898" w:rsidRPr="00765073" w:rsidP="004A22F3" w14:paraId="30E722ED" w14:textId="04FA3DAA">
      <w:pPr>
        <w:pStyle w:val="Default"/>
        <w:rPr>
          <w:rFonts w:ascii="Times New Roman" w:hAnsi="Times New Roman" w:cs="Times New Roman"/>
          <w:color w:val="auto"/>
        </w:rPr>
      </w:pPr>
      <w:r w:rsidRPr="00765073">
        <w:rPr>
          <w:rFonts w:ascii="Times New Roman" w:hAnsi="Times New Roman" w:cs="Times New Roman"/>
          <w:color w:val="auto"/>
        </w:rPr>
        <w:t>Section 103(h) of the Federal Mine Safety and Health Act of 1977</w:t>
      </w:r>
      <w:r w:rsidRPr="00765073" w:rsidR="006A05E7">
        <w:rPr>
          <w:rFonts w:ascii="Times New Roman" w:hAnsi="Times New Roman" w:cs="Times New Roman"/>
          <w:color w:val="auto"/>
        </w:rPr>
        <w:t xml:space="preserve"> (Mine Act)</w:t>
      </w:r>
      <w:r w:rsidRPr="00765073" w:rsidR="003B213F">
        <w:rPr>
          <w:rFonts w:ascii="Times New Roman" w:hAnsi="Times New Roman" w:cs="Times New Roman"/>
          <w:color w:val="auto"/>
        </w:rPr>
        <w:t>,</w:t>
      </w:r>
      <w:r w:rsidRPr="00765073">
        <w:rPr>
          <w:rFonts w:ascii="Times New Roman" w:hAnsi="Times New Roman" w:cs="Times New Roman"/>
        </w:rPr>
        <w:t xml:space="preserve"> as amended</w:t>
      </w:r>
      <w:r w:rsidRPr="00765073">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4" w:name="_Hlk157593570"/>
      <w:r w:rsidRPr="00765073">
        <w:rPr>
          <w:rFonts w:ascii="Times New Roman" w:hAnsi="Times New Roman" w:cs="Times New Roman"/>
          <w:color w:val="auto"/>
        </w:rPr>
        <w:t xml:space="preserve">section 101(a) of the Mine Act, 30 U.S.C. 811(a), authorizes the Secretary of Labor (Secretary) </w:t>
      </w:r>
      <w:bookmarkEnd w:id="4"/>
      <w:r w:rsidRPr="00765073">
        <w:rPr>
          <w:rFonts w:ascii="Times New Roman" w:hAnsi="Times New Roman" w:cs="Times New Roman"/>
          <w:color w:val="auto"/>
        </w:rPr>
        <w:t>to develop, promulgate, and revise as may be appropriate, improved mandatory health or safety standards for the protection of life and prevention of injuries in coal</w:t>
      </w:r>
      <w:r w:rsidR="00F16D5F">
        <w:rPr>
          <w:rFonts w:ascii="Times New Roman" w:hAnsi="Times New Roman" w:cs="Times New Roman"/>
          <w:color w:val="auto"/>
        </w:rPr>
        <w:t xml:space="preserve"> and</w:t>
      </w:r>
      <w:r w:rsidRPr="00765073">
        <w:rPr>
          <w:rFonts w:ascii="Times New Roman" w:hAnsi="Times New Roman" w:cs="Times New Roman"/>
          <w:color w:val="auto"/>
        </w:rPr>
        <w:t xml:space="preserve"> metal and nonmetal </w:t>
      </w:r>
      <w:r w:rsidRPr="00765073" w:rsidR="00AE1134">
        <w:rPr>
          <w:rFonts w:ascii="Times New Roman" w:hAnsi="Times New Roman" w:cs="Times New Roman"/>
          <w:color w:val="auto"/>
        </w:rPr>
        <w:t xml:space="preserve">(MNM) </w:t>
      </w:r>
      <w:r w:rsidRPr="00765073">
        <w:rPr>
          <w:rFonts w:ascii="Times New Roman" w:hAnsi="Times New Roman" w:cs="Times New Roman"/>
          <w:color w:val="auto"/>
        </w:rPr>
        <w:t>mines.</w:t>
      </w:r>
    </w:p>
    <w:p w:rsidR="00F70C76" w:rsidRPr="00765073" w:rsidP="004A22F3" w14:paraId="308C7C3D" w14:textId="77777777">
      <w:pPr>
        <w:pStyle w:val="Default"/>
        <w:rPr>
          <w:rFonts w:ascii="Times New Roman" w:hAnsi="Times New Roman" w:cs="Times New Roman"/>
          <w:color w:val="auto"/>
        </w:rPr>
      </w:pPr>
    </w:p>
    <w:p w:rsidR="00B03537" w:rsidRPr="00765073" w:rsidP="004A22F3" w14:paraId="095B437B" w14:textId="67EA2F62">
      <w:pPr>
        <w:pStyle w:val="Default"/>
        <w:rPr>
          <w:rFonts w:ascii="Times New Roman" w:hAnsi="Times New Roman" w:cs="Times New Roman"/>
        </w:rPr>
      </w:pPr>
      <w:r w:rsidRPr="00765073">
        <w:rPr>
          <w:rFonts w:ascii="Times New Roman" w:hAnsi="Times New Roman" w:cs="Times New Roman"/>
        </w:rPr>
        <w:t xml:space="preserve">The Paperwork Reduction Act </w:t>
      </w:r>
      <w:r w:rsidRPr="00765073" w:rsidR="00F8300D">
        <w:rPr>
          <w:rFonts w:ascii="Times New Roman" w:hAnsi="Times New Roman" w:cs="Times New Roman"/>
        </w:rPr>
        <w:t xml:space="preserve">of 1995 </w:t>
      </w:r>
      <w:r w:rsidRPr="00765073">
        <w:rPr>
          <w:rFonts w:ascii="Times New Roman" w:hAnsi="Times New Roman" w:cs="Times New Roman"/>
        </w:rPr>
        <w:t xml:space="preserve">(PRA) governs paperwork burdens imposed </w:t>
      </w:r>
      <w:r w:rsidRPr="00765073" w:rsidR="003B213F">
        <w:rPr>
          <w:rFonts w:ascii="Times New Roman" w:hAnsi="Times New Roman" w:cs="Times New Roman"/>
        </w:rPr>
        <w:t xml:space="preserve">on the public </w:t>
      </w:r>
      <w:r w:rsidRPr="00765073">
        <w:rPr>
          <w:rFonts w:ascii="Times New Roman" w:hAnsi="Times New Roman" w:cs="Times New Roman"/>
        </w:rPr>
        <w:t xml:space="preserve">by Federal agencies for using identical questions to collect information from 10 or more persons. </w:t>
      </w:r>
      <w:r w:rsidRPr="00765073" w:rsidR="00FD10A6">
        <w:rPr>
          <w:rFonts w:ascii="Times New Roman" w:hAnsi="Times New Roman" w:cs="Times New Roman"/>
        </w:rPr>
        <w:t>The PRA defines p</w:t>
      </w:r>
      <w:r w:rsidRPr="00765073">
        <w:rPr>
          <w:rFonts w:ascii="Times New Roman" w:hAnsi="Times New Roman" w:cs="Times New Roman"/>
        </w:rPr>
        <w:t xml:space="preserve">aperwork burden in 44 U.S.C. 3502(2) as time, effort, or financial resources expended to generate, maintain, or provide information to or for a Federal agency. Under 44 U.S.C. 3507, </w:t>
      </w:r>
      <w:r w:rsidRPr="00765073" w:rsidR="00FD10A6">
        <w:rPr>
          <w:rFonts w:ascii="Times New Roman" w:hAnsi="Times New Roman" w:cs="Times New Roman"/>
        </w:rPr>
        <w:t xml:space="preserve">the PRA also establishes </w:t>
      </w:r>
      <w:r w:rsidRPr="00765073">
        <w:rPr>
          <w:rFonts w:ascii="Times New Roman" w:hAnsi="Times New Roman" w:cs="Times New Roman"/>
        </w:rPr>
        <w:t>policies and procedures of information collection for controlling paperwork burdens imposed by Federal agencies on the public</w:t>
      </w:r>
      <w:bookmarkStart w:id="5" w:name="_Hlk196911088"/>
      <w:r w:rsidRPr="00765073" w:rsidR="00046AA4">
        <w:rPr>
          <w:rFonts w:ascii="Times New Roman" w:hAnsi="Times New Roman" w:cs="Times New Roman"/>
          <w:bCs/>
        </w:rPr>
        <w:t>, including evaluating public comments</w:t>
      </w:r>
      <w:bookmarkEnd w:id="5"/>
      <w:r w:rsidRPr="00765073">
        <w:rPr>
          <w:rFonts w:ascii="Times New Roman" w:hAnsi="Times New Roman" w:cs="Times New Roman"/>
        </w:rPr>
        <w:t>. </w:t>
      </w:r>
    </w:p>
    <w:p w:rsidR="00B03537" w:rsidRPr="00765073" w:rsidP="004A22F3" w14:paraId="522C5757" w14:textId="77777777">
      <w:pPr>
        <w:pStyle w:val="Default"/>
        <w:rPr>
          <w:rFonts w:ascii="Times New Roman" w:hAnsi="Times New Roman" w:cs="Times New Roman"/>
          <w:color w:val="auto"/>
        </w:rPr>
      </w:pPr>
    </w:p>
    <w:p w:rsidR="00DE4161" w:rsidRPr="00765073" w:rsidP="005366CD" w14:paraId="08A5B965" w14:textId="7102F656">
      <w:pPr>
        <w:pStyle w:val="Header"/>
      </w:pPr>
      <w:bookmarkStart w:id="6" w:name="_Hlk169763927"/>
      <w:r w:rsidRPr="00765073">
        <w:t xml:space="preserve">To fulfill the statutory mandate to promote miners’ health and safety, MSHA requires information </w:t>
      </w:r>
      <w:r w:rsidR="000E54A8">
        <w:t xml:space="preserve">collected </w:t>
      </w:r>
      <w:r w:rsidRPr="00765073">
        <w:t xml:space="preserve">under </w:t>
      </w:r>
      <w:r w:rsidR="000E54A8">
        <w:t xml:space="preserve">the </w:t>
      </w:r>
      <w:r w:rsidRPr="00765073">
        <w:t>ICR titled “</w:t>
      </w:r>
      <w:r w:rsidRPr="00861AC8" w:rsidR="003E630B">
        <w:t>Slope and Shaft Sinking Plans</w:t>
      </w:r>
      <w:r w:rsidRPr="00441CD3" w:rsidR="003E630B">
        <w:t>, 30 CFR 77.1900 (Pertains to the Surface Work Areas of Underground Coal Mines)</w:t>
      </w:r>
      <w:r w:rsidR="000E54A8">
        <w:t>.</w:t>
      </w:r>
      <w:r w:rsidRPr="00765073">
        <w:t>” The information collection is intended to ensure th</w:t>
      </w:r>
      <w:r w:rsidR="00DA3696">
        <w:t xml:space="preserve">at </w:t>
      </w:r>
      <w:r w:rsidRPr="00765073">
        <w:t>mine operator</w:t>
      </w:r>
      <w:r w:rsidR="00DA3696">
        <w:t>s</w:t>
      </w:r>
      <w:r w:rsidRPr="00765073">
        <w:t xml:space="preserve"> </w:t>
      </w:r>
      <w:r w:rsidR="00DA3696">
        <w:t xml:space="preserve">have slope and shaft </w:t>
      </w:r>
      <w:r w:rsidR="00FA22EB">
        <w:t xml:space="preserve">plans to </w:t>
      </w:r>
      <w:r w:rsidRPr="00765073">
        <w:t>provide a safe working environment</w:t>
      </w:r>
      <w:r w:rsidR="00FA22EB">
        <w:t xml:space="preserve"> for miners</w:t>
      </w:r>
      <w:r w:rsidRPr="00765073">
        <w:t>.</w:t>
      </w:r>
    </w:p>
    <w:p w:rsidR="00DE4161" w:rsidRPr="00765073" w:rsidP="00DE4161" w14:paraId="58C60BEA" w14:textId="77777777">
      <w:pPr>
        <w:pStyle w:val="Default"/>
        <w:rPr>
          <w:rFonts w:ascii="Times New Roman" w:hAnsi="Times New Roman" w:cs="Times New Roman"/>
          <w:color w:val="auto"/>
        </w:rPr>
      </w:pPr>
    </w:p>
    <w:p w:rsidR="00DE4161" w:rsidP="00DE4161" w14:paraId="40C40100" w14:textId="77777777">
      <w:pPr>
        <w:pStyle w:val="Default"/>
        <w:ind w:firstLine="360"/>
        <w:rPr>
          <w:rFonts w:ascii="Times New Roman" w:hAnsi="Times New Roman" w:cs="Times New Roman"/>
          <w:color w:val="auto"/>
        </w:rPr>
      </w:pPr>
      <w:r w:rsidRPr="00765073">
        <w:rPr>
          <w:rFonts w:ascii="Times New Roman" w:hAnsi="Times New Roman" w:cs="Times New Roman"/>
          <w:color w:val="auto"/>
        </w:rPr>
        <w:t xml:space="preserve">Burden costs associated with this ICR include: </w:t>
      </w:r>
    </w:p>
    <w:p w:rsidR="007A1540" w:rsidRPr="00765073" w:rsidP="00DE4161" w14:paraId="2FE050E9" w14:textId="77777777">
      <w:pPr>
        <w:pStyle w:val="Default"/>
        <w:ind w:firstLine="360"/>
        <w:rPr>
          <w:rFonts w:ascii="Times New Roman" w:hAnsi="Times New Roman" w:cs="Times New Roman"/>
          <w:color w:val="auto"/>
        </w:rPr>
      </w:pPr>
    </w:p>
    <w:p w:rsidR="00DE4161" w:rsidRPr="005366CD" w:rsidP="00DE4161" w14:paraId="3A67338B" w14:textId="164B5047">
      <w:pPr>
        <w:pStyle w:val="Default"/>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 xml:space="preserve">Submitting and </w:t>
      </w:r>
      <w:r w:rsidR="004115C4">
        <w:rPr>
          <w:rFonts w:ascii="Times New Roman" w:hAnsi="Times New Roman" w:cs="Times New Roman"/>
          <w:color w:val="000000" w:themeColor="text1"/>
        </w:rPr>
        <w:t>A</w:t>
      </w:r>
      <w:r>
        <w:rPr>
          <w:rFonts w:ascii="Times New Roman" w:hAnsi="Times New Roman" w:cs="Times New Roman"/>
          <w:color w:val="000000" w:themeColor="text1"/>
        </w:rPr>
        <w:t xml:space="preserve">pproving </w:t>
      </w:r>
      <w:r w:rsidR="004115C4">
        <w:rPr>
          <w:rFonts w:ascii="Times New Roman" w:hAnsi="Times New Roman" w:cs="Times New Roman"/>
          <w:color w:val="000000" w:themeColor="text1"/>
        </w:rPr>
        <w:t>S</w:t>
      </w:r>
      <w:r w:rsidRPr="00722598">
        <w:rPr>
          <w:rFonts w:ascii="Times New Roman" w:hAnsi="Times New Roman" w:cs="Times New Roman"/>
          <w:color w:val="000000" w:themeColor="text1"/>
        </w:rPr>
        <w:t xml:space="preserve">lope and </w:t>
      </w:r>
      <w:r w:rsidR="004115C4">
        <w:rPr>
          <w:rFonts w:ascii="Times New Roman" w:hAnsi="Times New Roman" w:cs="Times New Roman"/>
          <w:color w:val="000000" w:themeColor="text1"/>
        </w:rPr>
        <w:t>S</w:t>
      </w:r>
      <w:r w:rsidRPr="00722598">
        <w:rPr>
          <w:rFonts w:ascii="Times New Roman" w:hAnsi="Times New Roman" w:cs="Times New Roman"/>
          <w:color w:val="000000" w:themeColor="text1"/>
        </w:rPr>
        <w:t>haft</w:t>
      </w:r>
      <w:r w:rsidRPr="005366CD">
        <w:rPr>
          <w:rFonts w:ascii="Times New Roman" w:hAnsi="Times New Roman" w:cs="Times New Roman"/>
          <w:color w:val="000000" w:themeColor="text1"/>
        </w:rPr>
        <w:t xml:space="preserve"> </w:t>
      </w:r>
      <w:r w:rsidR="004115C4">
        <w:rPr>
          <w:rFonts w:ascii="Times New Roman" w:hAnsi="Times New Roman" w:cs="Times New Roman"/>
          <w:color w:val="000000" w:themeColor="text1"/>
        </w:rPr>
        <w:t>P</w:t>
      </w:r>
      <w:r w:rsidRPr="005366CD">
        <w:rPr>
          <w:rFonts w:ascii="Times New Roman" w:hAnsi="Times New Roman" w:cs="Times New Roman"/>
          <w:color w:val="000000" w:themeColor="text1"/>
        </w:rPr>
        <w:t xml:space="preserve">lans </w:t>
      </w:r>
    </w:p>
    <w:p w:rsidR="00DE4161" w:rsidRPr="005366CD" w:rsidP="00DE4161" w14:paraId="24312D78" w14:textId="77777777">
      <w:pPr>
        <w:pStyle w:val="Default"/>
        <w:rPr>
          <w:rFonts w:ascii="Times New Roman" w:hAnsi="Times New Roman" w:cs="Times New Roman"/>
          <w:color w:val="000000" w:themeColor="text1"/>
        </w:rPr>
      </w:pPr>
    </w:p>
    <w:p w:rsidR="00DE4161" w:rsidRPr="005366CD" w:rsidP="00DE4161" w14:paraId="0DAA237F" w14:textId="6C755DED">
      <w:pPr>
        <w:pStyle w:val="Default"/>
        <w:rPr>
          <w:rFonts w:ascii="Times New Roman" w:hAnsi="Times New Roman" w:cs="Times New Roman"/>
          <w:color w:val="000000" w:themeColor="text1"/>
        </w:rPr>
      </w:pPr>
      <w:r w:rsidRPr="005366CD">
        <w:rPr>
          <w:rFonts w:ascii="Times New Roman" w:hAnsi="Times New Roman" w:cs="Times New Roman"/>
          <w:color w:val="000000" w:themeColor="text1"/>
        </w:rPr>
        <w:t>The associated standard that authorize</w:t>
      </w:r>
      <w:r w:rsidR="00447252">
        <w:rPr>
          <w:rFonts w:ascii="Times New Roman" w:hAnsi="Times New Roman" w:cs="Times New Roman"/>
          <w:color w:val="000000" w:themeColor="text1"/>
        </w:rPr>
        <w:t>s</w:t>
      </w:r>
      <w:r w:rsidRPr="005366CD">
        <w:rPr>
          <w:rFonts w:ascii="Times New Roman" w:hAnsi="Times New Roman" w:cs="Times New Roman"/>
          <w:color w:val="000000" w:themeColor="text1"/>
        </w:rPr>
        <w:t xml:space="preserve"> the collection of information </w:t>
      </w:r>
      <w:r w:rsidR="00447252">
        <w:rPr>
          <w:rFonts w:ascii="Times New Roman" w:hAnsi="Times New Roman" w:cs="Times New Roman"/>
          <w:color w:val="000000" w:themeColor="text1"/>
        </w:rPr>
        <w:t>is</w:t>
      </w:r>
      <w:r w:rsidRPr="005366CD">
        <w:rPr>
          <w:rFonts w:ascii="Times New Roman" w:hAnsi="Times New Roman" w:cs="Times New Roman"/>
          <w:color w:val="000000" w:themeColor="text1"/>
        </w:rPr>
        <w:t xml:space="preserve"> described below. </w:t>
      </w:r>
    </w:p>
    <w:bookmarkEnd w:id="6"/>
    <w:p w:rsidR="00C44ACD" w:rsidRPr="005366CD" w:rsidP="004A22F3" w14:paraId="3C02E944" w14:textId="77777777">
      <w:pPr>
        <w:pStyle w:val="Default"/>
        <w:rPr>
          <w:rFonts w:ascii="Times New Roman" w:hAnsi="Times New Roman" w:cs="Times New Roman"/>
          <w:color w:val="000000" w:themeColor="text1"/>
        </w:rPr>
      </w:pPr>
    </w:p>
    <w:p w:rsidR="00C73040" w:rsidRPr="005366CD" w:rsidP="00057069" w14:paraId="44D6D407" w14:textId="00C3A6C4">
      <w:pPr>
        <w:pStyle w:val="Default"/>
        <w:numPr>
          <w:ilvl w:val="0"/>
          <w:numId w:val="12"/>
        </w:numPr>
        <w:rPr>
          <w:rFonts w:ascii="Times New Roman" w:hAnsi="Times New Roman" w:cs="Times New Roman"/>
          <w:b/>
          <w:bCs/>
          <w:color w:val="000000" w:themeColor="text1"/>
        </w:rPr>
      </w:pPr>
      <w:r>
        <w:rPr>
          <w:rFonts w:ascii="Times New Roman" w:hAnsi="Times New Roman" w:cs="Times New Roman"/>
          <w:b/>
          <w:bCs/>
          <w:color w:val="000000" w:themeColor="text1"/>
        </w:rPr>
        <w:t xml:space="preserve">Submitting and Approving </w:t>
      </w:r>
      <w:r w:rsidRPr="005366CD" w:rsidR="00DE4161">
        <w:rPr>
          <w:rFonts w:ascii="Times New Roman" w:hAnsi="Times New Roman" w:cs="Times New Roman"/>
          <w:b/>
          <w:bCs/>
          <w:color w:val="000000" w:themeColor="text1"/>
        </w:rPr>
        <w:t xml:space="preserve">Slope and </w:t>
      </w:r>
      <w:r w:rsidR="00292484">
        <w:rPr>
          <w:rFonts w:ascii="Times New Roman" w:hAnsi="Times New Roman" w:cs="Times New Roman"/>
          <w:b/>
          <w:bCs/>
          <w:color w:val="000000" w:themeColor="text1"/>
        </w:rPr>
        <w:t>Sh</w:t>
      </w:r>
      <w:r w:rsidRPr="005366CD" w:rsidR="00DE4161">
        <w:rPr>
          <w:rFonts w:ascii="Times New Roman" w:hAnsi="Times New Roman" w:cs="Times New Roman"/>
          <w:b/>
          <w:bCs/>
          <w:color w:val="000000" w:themeColor="text1"/>
        </w:rPr>
        <w:t xml:space="preserve">aft </w:t>
      </w:r>
      <w:r w:rsidR="00292484">
        <w:rPr>
          <w:rFonts w:ascii="Times New Roman" w:hAnsi="Times New Roman" w:cs="Times New Roman"/>
          <w:b/>
          <w:bCs/>
          <w:color w:val="000000" w:themeColor="text1"/>
        </w:rPr>
        <w:t>P</w:t>
      </w:r>
      <w:r w:rsidRPr="005366CD" w:rsidR="00DE4161">
        <w:rPr>
          <w:rFonts w:ascii="Times New Roman" w:hAnsi="Times New Roman" w:cs="Times New Roman"/>
          <w:b/>
          <w:bCs/>
          <w:color w:val="000000" w:themeColor="text1"/>
        </w:rPr>
        <w:t>lans</w:t>
      </w:r>
    </w:p>
    <w:p w:rsidR="00052BD8" w:rsidRPr="005366CD" w:rsidP="004A22F3" w14:paraId="08B3AE0B" w14:textId="6BCFD8B4">
      <w:pPr>
        <w:pStyle w:val="Default"/>
        <w:ind w:left="360"/>
        <w:rPr>
          <w:rFonts w:ascii="Times New Roman" w:hAnsi="Times New Roman" w:cs="Times New Roman"/>
          <w:color w:val="000000" w:themeColor="text1"/>
        </w:rPr>
      </w:pPr>
    </w:p>
    <w:p w:rsidR="00BB69F6" w:rsidRPr="00765073" w:rsidP="00BB69F6" w14:paraId="0ABAD53C" w14:textId="3E916A4F">
      <w:pPr>
        <w:pStyle w:val="Default"/>
        <w:rPr>
          <w:rFonts w:ascii="Times New Roman" w:hAnsi="Times New Roman" w:cs="Times New Roman"/>
          <w:color w:val="auto"/>
        </w:rPr>
      </w:pPr>
      <w:r w:rsidRPr="005366CD">
        <w:rPr>
          <w:rFonts w:ascii="Times New Roman" w:hAnsi="Times New Roman" w:cs="Times New Roman"/>
          <w:color w:val="000000" w:themeColor="text1"/>
        </w:rPr>
        <w:t>Under 30 CFR 77.1900</w:t>
      </w:r>
      <w:r w:rsidR="00F47B39">
        <w:rPr>
          <w:rFonts w:ascii="Times New Roman" w:hAnsi="Times New Roman" w:cs="Times New Roman"/>
          <w:color w:val="000000" w:themeColor="text1"/>
        </w:rPr>
        <w:t>(a)</w:t>
      </w:r>
      <w:r w:rsidRPr="005366CD">
        <w:rPr>
          <w:rFonts w:ascii="Times New Roman" w:hAnsi="Times New Roman" w:cs="Times New Roman"/>
          <w:color w:val="000000" w:themeColor="text1"/>
        </w:rPr>
        <w:t xml:space="preserve">, </w:t>
      </w:r>
      <w:r w:rsidR="000E54A8">
        <w:rPr>
          <w:rFonts w:ascii="Times New Roman" w:hAnsi="Times New Roman" w:cs="Times New Roman"/>
          <w:color w:val="000000" w:themeColor="text1"/>
        </w:rPr>
        <w:t xml:space="preserve">each operator of a </w:t>
      </w:r>
      <w:r w:rsidRPr="005366CD">
        <w:rPr>
          <w:rFonts w:ascii="Times New Roman" w:hAnsi="Times New Roman" w:cs="Times New Roman"/>
          <w:color w:val="000000" w:themeColor="text1"/>
        </w:rPr>
        <w:t xml:space="preserve">coal mine </w:t>
      </w:r>
      <w:r w:rsidRPr="005366CD">
        <w:rPr>
          <w:rFonts w:ascii="Times New Roman" w:hAnsi="Times New Roman" w:cs="Times New Roman"/>
          <w:color w:val="000000" w:themeColor="text1"/>
        </w:rPr>
        <w:t xml:space="preserve">shall prepare and submit for approval by the District Manager for the district in which the mine is located, a plan providing for the safety of workmen in each slope or shaft that is commenced or extended after June 30, 1971. The plan shall be consistent with prudent engineering design. The methods employed by the operator shall be selected to minimize the </w:t>
      </w:r>
      <w:r w:rsidRPr="00765073">
        <w:rPr>
          <w:rFonts w:ascii="Times New Roman" w:hAnsi="Times New Roman" w:cs="Times New Roman"/>
          <w:color w:val="auto"/>
        </w:rPr>
        <w:t>hazards to those employed in the initial or subsequent development of any such slope or shaft, and the plan shall include the following:</w:t>
      </w:r>
    </w:p>
    <w:p w:rsidR="00BB69F6" w:rsidRPr="00765073" w:rsidP="00BB69F6" w14:paraId="3C930E9A" w14:textId="77777777">
      <w:pPr>
        <w:pStyle w:val="Default"/>
        <w:rPr>
          <w:rFonts w:ascii="Times New Roman" w:hAnsi="Times New Roman" w:cs="Times New Roman"/>
          <w:color w:val="auto"/>
        </w:rPr>
      </w:pPr>
    </w:p>
    <w:p w:rsidR="00BB69F6" w:rsidRPr="00765073" w:rsidP="006E5535" w14:paraId="70A3FF70" w14:textId="6D3E8FB0">
      <w:pPr>
        <w:pStyle w:val="Default"/>
        <w:ind w:left="720"/>
        <w:rPr>
          <w:rFonts w:ascii="Times New Roman" w:hAnsi="Times New Roman" w:cs="Times New Roman"/>
          <w:color w:val="auto"/>
        </w:rPr>
      </w:pPr>
      <w:r w:rsidRPr="00765073">
        <w:rPr>
          <w:rFonts w:ascii="Times New Roman" w:hAnsi="Times New Roman" w:cs="Times New Roman"/>
          <w:color w:val="auto"/>
        </w:rPr>
        <w:t>(1) The name and location of the mine, and the MSHA mine identification number, if known;</w:t>
      </w:r>
    </w:p>
    <w:p w:rsidR="00BB69F6" w:rsidRPr="00765073" w:rsidP="005366CD" w14:paraId="2169ED09" w14:textId="77777777">
      <w:pPr>
        <w:pStyle w:val="Default"/>
        <w:ind w:firstLine="720"/>
        <w:rPr>
          <w:rFonts w:ascii="Times New Roman" w:hAnsi="Times New Roman" w:cs="Times New Roman"/>
          <w:color w:val="auto"/>
        </w:rPr>
      </w:pPr>
      <w:r w:rsidRPr="00765073">
        <w:rPr>
          <w:rFonts w:ascii="Times New Roman" w:hAnsi="Times New Roman" w:cs="Times New Roman"/>
          <w:color w:val="auto"/>
        </w:rPr>
        <w:t>(2) The name and address of the mine operator;</w:t>
      </w:r>
    </w:p>
    <w:p w:rsidR="00BB69F6" w:rsidRPr="00765073" w:rsidP="006E5535" w14:paraId="48F07965" w14:textId="77777777">
      <w:pPr>
        <w:pStyle w:val="Default"/>
        <w:ind w:left="720"/>
        <w:rPr>
          <w:rFonts w:ascii="Times New Roman" w:hAnsi="Times New Roman" w:cs="Times New Roman"/>
          <w:color w:val="auto"/>
        </w:rPr>
      </w:pPr>
      <w:r w:rsidRPr="00765073">
        <w:rPr>
          <w:rFonts w:ascii="Times New Roman" w:hAnsi="Times New Roman" w:cs="Times New Roman"/>
          <w:color w:val="auto"/>
        </w:rPr>
        <w:t>(3) A description of the construction work and methods to be used in the construction of the slope or shaft, and whether part or all of the work will be performed by a contractor and a description of that part of the work to be performed by a contractor;</w:t>
      </w:r>
    </w:p>
    <w:p w:rsidR="00BB69F6" w:rsidRPr="00765073" w:rsidP="005366CD" w14:paraId="2FA70DCA" w14:textId="77777777">
      <w:pPr>
        <w:pStyle w:val="Default"/>
        <w:ind w:firstLine="720"/>
        <w:rPr>
          <w:rFonts w:ascii="Times New Roman" w:hAnsi="Times New Roman" w:cs="Times New Roman"/>
          <w:color w:val="auto"/>
        </w:rPr>
      </w:pPr>
      <w:r w:rsidRPr="00765073">
        <w:rPr>
          <w:rFonts w:ascii="Times New Roman" w:hAnsi="Times New Roman" w:cs="Times New Roman"/>
          <w:color w:val="auto"/>
        </w:rPr>
        <w:t>(4) The elevation, depth and dimensions of the slope or shaft;</w:t>
      </w:r>
    </w:p>
    <w:p w:rsidR="00BB69F6" w:rsidRPr="00765073" w:rsidP="005366CD" w14:paraId="4E83FDC3" w14:textId="77777777">
      <w:pPr>
        <w:pStyle w:val="Default"/>
        <w:ind w:firstLine="720"/>
        <w:rPr>
          <w:rFonts w:ascii="Times New Roman" w:hAnsi="Times New Roman" w:cs="Times New Roman"/>
          <w:color w:val="auto"/>
        </w:rPr>
      </w:pPr>
      <w:r w:rsidRPr="00765073">
        <w:rPr>
          <w:rFonts w:ascii="Times New Roman" w:hAnsi="Times New Roman" w:cs="Times New Roman"/>
          <w:color w:val="auto"/>
        </w:rPr>
        <w:t>(5) The location and elevation of the coalbed;</w:t>
      </w:r>
    </w:p>
    <w:p w:rsidR="00BB69F6" w:rsidRPr="00765073" w:rsidP="006E5535" w14:paraId="149CBBD5" w14:textId="77777777">
      <w:pPr>
        <w:pStyle w:val="Default"/>
        <w:ind w:left="720"/>
        <w:rPr>
          <w:rFonts w:ascii="Times New Roman" w:hAnsi="Times New Roman" w:cs="Times New Roman"/>
          <w:color w:val="auto"/>
        </w:rPr>
      </w:pPr>
      <w:r w:rsidRPr="00765073">
        <w:rPr>
          <w:rFonts w:ascii="Times New Roman" w:hAnsi="Times New Roman" w:cs="Times New Roman"/>
          <w:color w:val="auto"/>
        </w:rPr>
        <w:t>(6) The general characteristics of the strata through which the slope or shaft will be developed;</w:t>
      </w:r>
    </w:p>
    <w:p w:rsidR="00BB69F6" w:rsidRPr="00765073" w:rsidP="006E5535" w14:paraId="04005BB8" w14:textId="77777777">
      <w:pPr>
        <w:pStyle w:val="Default"/>
        <w:ind w:left="720"/>
        <w:rPr>
          <w:rFonts w:ascii="Times New Roman" w:hAnsi="Times New Roman" w:cs="Times New Roman"/>
          <w:color w:val="auto"/>
        </w:rPr>
      </w:pPr>
      <w:r w:rsidRPr="00765073">
        <w:rPr>
          <w:rFonts w:ascii="Times New Roman" w:hAnsi="Times New Roman" w:cs="Times New Roman"/>
          <w:color w:val="auto"/>
        </w:rPr>
        <w:t>(7) The type of equipment which the operator proposes to use when the work is to be performed by the operator. When work is to be performed by a contractor the operator shall, as soon as known to him, supplement the plan with a description of the type of equipment to be used by the contractor;</w:t>
      </w:r>
    </w:p>
    <w:p w:rsidR="00BB69F6" w:rsidRPr="00765073" w:rsidP="005366CD" w14:paraId="3D0B59B0" w14:textId="77777777">
      <w:pPr>
        <w:pStyle w:val="Default"/>
        <w:ind w:firstLine="720"/>
        <w:rPr>
          <w:rFonts w:ascii="Times New Roman" w:hAnsi="Times New Roman" w:cs="Times New Roman"/>
          <w:color w:val="auto"/>
        </w:rPr>
      </w:pPr>
      <w:r w:rsidRPr="00765073">
        <w:rPr>
          <w:rFonts w:ascii="Times New Roman" w:hAnsi="Times New Roman" w:cs="Times New Roman"/>
          <w:color w:val="auto"/>
        </w:rPr>
        <w:t>(8) The system of ventilation to be used; and</w:t>
      </w:r>
    </w:p>
    <w:p w:rsidR="00DE4161" w:rsidRPr="00765073" w:rsidP="00BB69F6" w14:paraId="0710854C" w14:textId="02052861">
      <w:pPr>
        <w:pStyle w:val="Default"/>
        <w:ind w:firstLine="720"/>
        <w:rPr>
          <w:rFonts w:ascii="Times New Roman" w:hAnsi="Times New Roman" w:cs="Times New Roman"/>
          <w:color w:val="auto"/>
        </w:rPr>
      </w:pPr>
      <w:r w:rsidRPr="00765073">
        <w:rPr>
          <w:rFonts w:ascii="Times New Roman" w:hAnsi="Times New Roman" w:cs="Times New Roman"/>
          <w:color w:val="auto"/>
        </w:rPr>
        <w:t>(9) Safeguards for the prevention of caving during excavation.</w:t>
      </w:r>
    </w:p>
    <w:p w:rsidR="00496E3B" w:rsidRPr="00765073" w:rsidP="00BB69F6" w14:paraId="3EFFB23F" w14:textId="77777777">
      <w:pPr>
        <w:pStyle w:val="Default"/>
        <w:ind w:firstLine="720"/>
        <w:rPr>
          <w:rFonts w:ascii="Times New Roman" w:hAnsi="Times New Roman" w:cs="Times New Roman"/>
          <w:color w:val="auto"/>
        </w:rPr>
      </w:pPr>
    </w:p>
    <w:p w:rsidR="00E6699F" w:rsidP="00E6699F" w14:paraId="4DC68429" w14:textId="2449D9A2">
      <w:pPr>
        <w:tabs>
          <w:tab w:val="left" w:pos="9000"/>
          <w:tab w:val="left" w:pos="9090"/>
        </w:tabs>
      </w:pPr>
      <w:r w:rsidRPr="00765073">
        <w:t>Coal mine operators’ burden and costs associated with recordkeeping and reporting requirements of inspection</w:t>
      </w:r>
      <w:r w:rsidR="00DE7817">
        <w:t>s of</w:t>
      </w:r>
      <w:r w:rsidRPr="00765073">
        <w:t xml:space="preserve"> slope and shaft coal mines are included in a separate </w:t>
      </w:r>
      <w:r w:rsidR="008E680F">
        <w:t xml:space="preserve">ICR </w:t>
      </w:r>
      <w:r w:rsidRPr="00765073">
        <w:t>under OMB Control Number 1219-0082 titled “Records of Preshift and Onshift Inspections of Slope and Shaft Areas at Coal Mines</w:t>
      </w:r>
      <w:r w:rsidR="000E54A8">
        <w:t>.</w:t>
      </w:r>
      <w:r w:rsidRPr="00765073">
        <w:t>”</w:t>
      </w:r>
    </w:p>
    <w:p w:rsidR="00E6699F" w:rsidP="00E6699F" w14:paraId="0314CF08" w14:textId="77777777">
      <w:pPr>
        <w:tabs>
          <w:tab w:val="left" w:pos="9000"/>
          <w:tab w:val="left" w:pos="9090"/>
        </w:tabs>
      </w:pPr>
    </w:p>
    <w:p w:rsidR="00E6699F" w:rsidRPr="005366CD" w:rsidP="005366CD" w14:paraId="0866E2C0" w14:textId="6C7EB424">
      <w:pPr>
        <w:tabs>
          <w:tab w:val="left" w:pos="9000"/>
          <w:tab w:val="left" w:pos="9090"/>
        </w:tabs>
      </w:pPr>
      <w:r w:rsidRPr="00765073">
        <w:t xml:space="preserve">Coal mine operators’ burden and costs associated with recordkeeping and reporting requirements of </w:t>
      </w:r>
      <w:r>
        <w:t>ventilation plans in</w:t>
      </w:r>
      <w:r w:rsidRPr="00765073">
        <w:t xml:space="preserve"> coal mines are included in a separate </w:t>
      </w:r>
      <w:r w:rsidR="008E680F">
        <w:t xml:space="preserve">ICR </w:t>
      </w:r>
      <w:r w:rsidRPr="00765073">
        <w:t>under OMB Control Number 1219-008</w:t>
      </w:r>
      <w:r>
        <w:t>8</w:t>
      </w:r>
      <w:r w:rsidRPr="00765073">
        <w:t xml:space="preserve"> titled “</w:t>
      </w:r>
      <w:r w:rsidRPr="00D74549" w:rsidR="00D74549">
        <w:t>Ventilation Plans, Tests, and Examinations in Underground Coal Mines</w:t>
      </w:r>
      <w:r w:rsidR="000E54A8">
        <w:t>.</w:t>
      </w:r>
      <w:r w:rsidRPr="00765073">
        <w:t>”</w:t>
      </w:r>
    </w:p>
    <w:p w:rsidR="004F2736" w:rsidRPr="00765073" w:rsidP="004A22F3" w14:paraId="798E5CDC" w14:textId="77777777">
      <w:pPr>
        <w:pStyle w:val="Default"/>
        <w:rPr>
          <w:rFonts w:ascii="Times New Roman" w:hAnsi="Times New Roman" w:cs="Times New Roman"/>
          <w:color w:val="auto"/>
        </w:rPr>
      </w:pPr>
    </w:p>
    <w:p w:rsidR="00CB3898" w:rsidRPr="00765073" w:rsidP="004A22F3" w14:paraId="0CA1ECF3" w14:textId="67D3464A">
      <w:pPr>
        <w:pStyle w:val="Default"/>
        <w:keepNext/>
        <w:widowControl/>
        <w:rPr>
          <w:rFonts w:ascii="Times New Roman" w:hAnsi="Times New Roman" w:cs="Times New Roman"/>
          <w:b/>
          <w:bCs/>
          <w:color w:val="auto"/>
        </w:rPr>
      </w:pPr>
      <w:r w:rsidRPr="00765073">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765073" w:rsidP="004A22F3" w14:paraId="6C9C34C2" w14:textId="77777777">
      <w:pPr>
        <w:pStyle w:val="Default"/>
        <w:keepNext/>
        <w:widowControl/>
        <w:rPr>
          <w:rFonts w:ascii="Times New Roman" w:hAnsi="Times New Roman" w:cs="Times New Roman"/>
          <w:b/>
          <w:bCs/>
          <w:color w:val="auto"/>
        </w:rPr>
      </w:pPr>
    </w:p>
    <w:p w:rsidR="005512BE" w:rsidRPr="00765073" w:rsidP="005512BE" w14:paraId="47FD9CE8" w14:textId="08258B81">
      <w:pPr>
        <w:pStyle w:val="Default"/>
        <w:rPr>
          <w:rFonts w:ascii="Times New Roman" w:hAnsi="Times New Roman" w:cs="Times New Roman"/>
          <w:color w:val="auto"/>
        </w:rPr>
      </w:pPr>
      <w:r w:rsidRPr="00765073">
        <w:rPr>
          <w:rFonts w:ascii="Times New Roman" w:hAnsi="Times New Roman" w:cs="Times New Roman"/>
          <w:color w:val="auto"/>
        </w:rPr>
        <w:t xml:space="preserve">Plans are submitted for approval to the MSHA District Manager in the district where the mine is located. Once approved, plans are used by MSHA to determine whether the equipment and methods used by the mine operator provide a safe working environment.  </w:t>
      </w:r>
    </w:p>
    <w:p w:rsidR="00B227F0" w:rsidRPr="00765073" w:rsidP="004A22F3" w14:paraId="59D2F399" w14:textId="3B0BEDD6">
      <w:pPr>
        <w:pStyle w:val="Default"/>
        <w:rPr>
          <w:rFonts w:ascii="Times New Roman" w:hAnsi="Times New Roman" w:cs="Times New Roman"/>
          <w:color w:val="auto"/>
        </w:rPr>
      </w:pPr>
    </w:p>
    <w:p w:rsidR="00CB3898" w:rsidRPr="00765073" w:rsidP="004A22F3" w14:paraId="440B4438" w14:textId="77777777">
      <w:pPr>
        <w:pStyle w:val="Default"/>
        <w:keepNext/>
        <w:widowControl/>
        <w:rPr>
          <w:rFonts w:ascii="Times New Roman" w:hAnsi="Times New Roman" w:cs="Times New Roman"/>
          <w:b/>
          <w:bCs/>
          <w:color w:val="auto"/>
        </w:rPr>
      </w:pPr>
      <w:r w:rsidRPr="00765073">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765073" w:rsidP="004A22F3" w14:paraId="33312318" w14:textId="77777777">
      <w:pPr>
        <w:pStyle w:val="Default"/>
        <w:keepNext/>
        <w:widowControl/>
        <w:rPr>
          <w:rFonts w:ascii="Times New Roman" w:hAnsi="Times New Roman" w:cs="Times New Roman"/>
          <w:b/>
          <w:bCs/>
          <w:color w:val="auto"/>
        </w:rPr>
      </w:pPr>
    </w:p>
    <w:p w:rsidR="00500148" w:rsidRPr="00765073" w:rsidP="00500148" w14:paraId="6F7CE3D7" w14:textId="39265B97">
      <w:pPr>
        <w:pStyle w:val="Default"/>
        <w:keepNext/>
        <w:widowControl/>
        <w:rPr>
          <w:rFonts w:ascii="Times New Roman" w:hAnsi="Times New Roman" w:cs="Times New Roman"/>
          <w:color w:val="auto"/>
        </w:rPr>
      </w:pPr>
      <w:r w:rsidRPr="00765073">
        <w:rPr>
          <w:rFonts w:ascii="Times New Roman" w:hAnsi="Times New Roman" w:cs="Times New Roman"/>
          <w:color w:val="auto"/>
        </w:rPr>
        <w:t xml:space="preserve">No improved information technology has been identified that would reduce the burden of this collection. To comply with the </w:t>
      </w:r>
      <w:r w:rsidRPr="00F81EE1" w:rsidR="00EE18E4">
        <w:rPr>
          <w:rFonts w:ascii="Times New Roman" w:hAnsi="Times New Roman" w:cs="Times New Roman"/>
          <w:color w:val="auto"/>
        </w:rPr>
        <w:t>Government Paperwork Elimination Act of 1998, 44 U.S.C. 3504</w:t>
      </w:r>
      <w:r w:rsidRPr="00765073">
        <w:rPr>
          <w:rFonts w:ascii="Times New Roman" w:hAnsi="Times New Roman" w:cs="Times New Roman"/>
          <w:color w:val="auto"/>
        </w:rPr>
        <w:t xml:space="preserve">, mine operators may retain records in whatever </w:t>
      </w:r>
      <w:r w:rsidR="00D74549">
        <w:rPr>
          <w:rFonts w:ascii="Times New Roman" w:hAnsi="Times New Roman" w:cs="Times New Roman"/>
          <w:color w:val="auto"/>
        </w:rPr>
        <w:t>form</w:t>
      </w:r>
      <w:r w:rsidRPr="00765073" w:rsidR="00D74549">
        <w:rPr>
          <w:rFonts w:ascii="Times New Roman" w:hAnsi="Times New Roman" w:cs="Times New Roman"/>
          <w:color w:val="auto"/>
        </w:rPr>
        <w:t xml:space="preserve"> </w:t>
      </w:r>
      <w:r w:rsidRPr="00765073">
        <w:rPr>
          <w:rFonts w:ascii="Times New Roman" w:hAnsi="Times New Roman" w:cs="Times New Roman"/>
          <w:color w:val="auto"/>
        </w:rPr>
        <w:t>they choose, which may include utilizing computer technology to store the records electronically</w:t>
      </w:r>
      <w:r w:rsidRPr="000049FD" w:rsidR="000049FD">
        <w:rPr>
          <w:rFonts w:ascii="Times New Roman" w:hAnsi="Times New Roman" w:cs="Times New Roman"/>
          <w:color w:val="auto"/>
        </w:rPr>
        <w:t xml:space="preserve">, provided they are secure and not susceptible to loss or alteration. MSHA encourages operators who store records </w:t>
      </w:r>
      <w:r w:rsidRPr="000049FD" w:rsidR="000049FD">
        <w:rPr>
          <w:rFonts w:ascii="Times New Roman" w:hAnsi="Times New Roman" w:cs="Times New Roman"/>
          <w:color w:val="auto"/>
        </w:rPr>
        <w:t>electronically to provide a mechanism that will allow the continued storage and retrieval of records</w:t>
      </w:r>
      <w:r w:rsidRPr="00765073">
        <w:rPr>
          <w:rFonts w:ascii="Times New Roman" w:hAnsi="Times New Roman" w:cs="Times New Roman"/>
          <w:color w:val="auto"/>
        </w:rPr>
        <w:t xml:space="preserve">.  </w:t>
      </w:r>
    </w:p>
    <w:p w:rsidR="00500148" w:rsidRPr="00765073" w:rsidP="00500148" w14:paraId="253DA32C" w14:textId="77777777">
      <w:pPr>
        <w:pStyle w:val="Default"/>
        <w:keepNext/>
        <w:widowControl/>
        <w:rPr>
          <w:rFonts w:ascii="Times New Roman" w:hAnsi="Times New Roman" w:cs="Times New Roman"/>
          <w:color w:val="auto"/>
        </w:rPr>
      </w:pPr>
    </w:p>
    <w:p w:rsidR="00500148" w:rsidRPr="00765073" w:rsidP="00500148" w14:paraId="48A99066" w14:textId="485AB46B">
      <w:pPr>
        <w:pStyle w:val="Default"/>
        <w:keepNext/>
        <w:widowControl/>
        <w:rPr>
          <w:rFonts w:ascii="Times New Roman" w:hAnsi="Times New Roman" w:cs="Times New Roman"/>
          <w:color w:val="FF0000"/>
        </w:rPr>
      </w:pPr>
      <w:r w:rsidRPr="00765073">
        <w:rPr>
          <w:rFonts w:ascii="Times New Roman" w:hAnsi="Times New Roman" w:cs="Times New Roman"/>
          <w:color w:val="auto"/>
        </w:rPr>
        <w:t>The shaft or slope plans submitted under 30 CFR 77.1900 include narrative descriptions, lists, tables</w:t>
      </w:r>
      <w:r w:rsidR="00A906C0">
        <w:rPr>
          <w:rFonts w:ascii="Times New Roman" w:hAnsi="Times New Roman" w:cs="Times New Roman"/>
          <w:color w:val="auto"/>
        </w:rPr>
        <w:t>,</w:t>
      </w:r>
      <w:r w:rsidRPr="00765073">
        <w:rPr>
          <w:rFonts w:ascii="Times New Roman" w:hAnsi="Times New Roman" w:cs="Times New Roman"/>
          <w:color w:val="auto"/>
        </w:rPr>
        <w:t xml:space="preserve"> and drawings. These documents can be prepared using automated drafting programs and word processing programs and submitted via email. Mine operators may, if they have the capability of affixing transmittable authorization signatures, submit such documents via email. For operators without the capability of affixing transmittable authorization signatures, they may submit the application by email or facsimile if it is followed by a signed hard copy. Plans are submitted electronically through email approximately 88 percent of the time. </w:t>
      </w:r>
    </w:p>
    <w:p w:rsidR="00360E57" w:rsidRPr="00765073" w:rsidP="004A22F3" w14:paraId="7F1B421A" w14:textId="77777777">
      <w:pPr>
        <w:pStyle w:val="Default"/>
        <w:rPr>
          <w:rFonts w:ascii="Times New Roman" w:hAnsi="Times New Roman" w:cs="Times New Roman"/>
          <w:color w:val="FF0000"/>
        </w:rPr>
      </w:pPr>
    </w:p>
    <w:p w:rsidR="00CB3898" w:rsidRPr="00765073" w:rsidP="004A22F3" w14:paraId="60804496" w14:textId="77777777">
      <w:pPr>
        <w:pStyle w:val="Default"/>
        <w:keepNext/>
        <w:widowControl/>
        <w:rPr>
          <w:rFonts w:ascii="Times New Roman" w:hAnsi="Times New Roman" w:cs="Times New Roman"/>
          <w:color w:val="auto"/>
        </w:rPr>
      </w:pPr>
      <w:r w:rsidRPr="00765073">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765073" w:rsidP="004A22F3" w14:paraId="081BAF24" w14:textId="77777777">
      <w:pPr>
        <w:pStyle w:val="Default"/>
        <w:rPr>
          <w:rFonts w:ascii="Times New Roman" w:hAnsi="Times New Roman" w:cs="Times New Roman"/>
          <w:color w:val="auto"/>
        </w:rPr>
      </w:pPr>
    </w:p>
    <w:p w:rsidR="00C73040" w:rsidRPr="00765073" w:rsidP="004A22F3" w14:paraId="77B859EC" w14:textId="2C3304E1">
      <w:pPr>
        <w:pStyle w:val="Default"/>
        <w:rPr>
          <w:rFonts w:ascii="Times New Roman" w:hAnsi="Times New Roman" w:cs="Times New Roman"/>
          <w:color w:val="auto"/>
        </w:rPr>
      </w:pPr>
      <w:r w:rsidRPr="00765073">
        <w:rPr>
          <w:rFonts w:ascii="Times New Roman" w:hAnsi="Times New Roman" w:cs="Times New Roman"/>
          <w:color w:val="auto"/>
        </w:rPr>
        <w:t xml:space="preserve">No similar </w:t>
      </w:r>
      <w:bookmarkStart w:id="7" w:name="_Hlk172026587"/>
      <w:r w:rsidRPr="00765073" w:rsidR="00052BD8">
        <w:rPr>
          <w:rFonts w:ascii="Times New Roman" w:hAnsi="Times New Roman" w:cs="Times New Roman"/>
          <w:color w:val="auto"/>
        </w:rPr>
        <w:t xml:space="preserve">or duplicate </w:t>
      </w:r>
      <w:bookmarkEnd w:id="7"/>
      <w:r w:rsidRPr="00765073">
        <w:rPr>
          <w:rFonts w:ascii="Times New Roman" w:hAnsi="Times New Roman" w:cs="Times New Roman"/>
          <w:color w:val="auto"/>
        </w:rPr>
        <w:t>information is available or submitted to MSHA.</w:t>
      </w:r>
    </w:p>
    <w:p w:rsidR="00B227F0" w:rsidRPr="00765073" w:rsidP="004A22F3" w14:paraId="2D29A9BF" w14:textId="77777777">
      <w:pPr>
        <w:rPr>
          <w:b/>
          <w:bCs/>
          <w:color w:val="000000"/>
        </w:rPr>
      </w:pPr>
    </w:p>
    <w:p w:rsidR="00B227F0" w:rsidRPr="00765073" w:rsidP="004A22F3" w14:paraId="156335B6" w14:textId="5149692F">
      <w:pPr>
        <w:pStyle w:val="Default"/>
        <w:rPr>
          <w:rFonts w:ascii="Times New Roman" w:hAnsi="Times New Roman" w:cs="Times New Roman"/>
          <w:color w:val="auto"/>
        </w:rPr>
      </w:pPr>
      <w:r w:rsidRPr="00765073">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765073" w:rsidP="004A22F3" w14:paraId="1A103BF2" w14:textId="77777777">
      <w:pPr>
        <w:pStyle w:val="Default"/>
        <w:rPr>
          <w:rFonts w:ascii="Times New Roman" w:hAnsi="Times New Roman" w:cs="Times New Roman"/>
          <w:color w:val="auto"/>
        </w:rPr>
      </w:pPr>
      <w:r w:rsidRPr="00765073">
        <w:rPr>
          <w:rFonts w:ascii="Times New Roman" w:hAnsi="Times New Roman" w:cs="Times New Roman"/>
          <w:color w:val="auto"/>
        </w:rPr>
        <w:t xml:space="preserve"> </w:t>
      </w:r>
    </w:p>
    <w:p w:rsidR="00B227F0" w:rsidRPr="00765073" w:rsidP="004A22F3" w14:paraId="6A189E0E" w14:textId="41F57050">
      <w:pPr>
        <w:rPr>
          <w:b/>
          <w:bCs/>
          <w:color w:val="000000"/>
        </w:rPr>
      </w:pPr>
      <w:bookmarkStart w:id="8" w:name="_Hlk161038748"/>
      <w:r w:rsidRPr="00765073">
        <w:t>The information collection provisions apply to all mine operat</w:t>
      </w:r>
      <w:r w:rsidRPr="00765073" w:rsidR="00D4281C">
        <w:t>or</w:t>
      </w:r>
      <w:r w:rsidRPr="00765073">
        <w:t xml:space="preserve">s, </w:t>
      </w:r>
      <w:bookmarkStart w:id="9" w:name="_Hlk184192506"/>
      <w:r w:rsidRPr="00765073">
        <w:t>both large and small</w:t>
      </w:r>
      <w:bookmarkEnd w:id="9"/>
      <w:r w:rsidRPr="00765073">
        <w:t>. Congress intended that the Secretary enforce the law at all mining operat</w:t>
      </w:r>
      <w:r w:rsidRPr="00765073" w:rsidR="00BE3CB3">
        <w:t>i</w:t>
      </w:r>
      <w:r w:rsidRPr="00765073">
        <w:t>o</w:t>
      </w:r>
      <w:r w:rsidRPr="00765073" w:rsidR="00BE3CB3">
        <w:t>n</w:t>
      </w:r>
      <w:r w:rsidRPr="00765073">
        <w:t>s within the Agency’s jurisdiction regardless of size and that information collection and recordkeeping requirements be consistent with efficient and effective enforcement of the Mine Act. Section 103(e) of the Mine Act</w:t>
      </w:r>
      <w:bookmarkStart w:id="10" w:name="_Hlk172026654"/>
      <w:r w:rsidRPr="00765073" w:rsidR="007E5D54">
        <w:t>, 30 U.S.C. 813(e),</w:t>
      </w:r>
      <w:r w:rsidRPr="00765073">
        <w:t xml:space="preserve"> </w:t>
      </w:r>
      <w:bookmarkEnd w:id="10"/>
      <w:r w:rsidRPr="00765073">
        <w:t>directs the Secretary not to impose an unreasonable burden on small businesses when obtaining any information under the Mine Act. MSHA considered the burden on small mines when developing the collection</w:t>
      </w:r>
      <w:r w:rsidRPr="00765073" w:rsidR="00D4281C">
        <w:t xml:space="preserve"> and</w:t>
      </w:r>
      <w:r w:rsidRPr="00765073" w:rsidR="00052BD8">
        <w:t xml:space="preserve"> believes that these </w:t>
      </w:r>
      <w:r w:rsidRPr="00765073" w:rsidR="001567E1">
        <w:t>ICRs</w:t>
      </w:r>
      <w:r w:rsidRPr="00765073" w:rsidR="00052BD8">
        <w:t xml:space="preserve"> do not have a significant impact on a substantial number of small </w:t>
      </w:r>
      <w:r w:rsidRPr="00765073" w:rsidR="0097052A">
        <w:t>businesses</w:t>
      </w:r>
      <w:r w:rsidRPr="00765073" w:rsidR="00052BD8">
        <w:t xml:space="preserve"> or </w:t>
      </w:r>
      <w:r w:rsidRPr="00765073" w:rsidR="00F50585">
        <w:t>other</w:t>
      </w:r>
      <w:r w:rsidRPr="00765073" w:rsidR="00052BD8">
        <w:t xml:space="preserve"> small entities. </w:t>
      </w:r>
    </w:p>
    <w:bookmarkEnd w:id="8"/>
    <w:p w:rsidR="00B227F0" w:rsidRPr="00765073" w:rsidP="004A22F3" w14:paraId="7C2F69CC" w14:textId="77777777">
      <w:pPr>
        <w:rPr>
          <w:b/>
          <w:bCs/>
          <w:color w:val="000000"/>
        </w:rPr>
      </w:pPr>
    </w:p>
    <w:p w:rsidR="00CB3898" w:rsidRPr="00765073" w:rsidP="004A22F3" w14:paraId="7D497CB0" w14:textId="77777777">
      <w:pPr>
        <w:pStyle w:val="Default"/>
        <w:keepNext/>
        <w:widowControl/>
        <w:rPr>
          <w:rFonts w:ascii="Times New Roman" w:hAnsi="Times New Roman" w:cs="Times New Roman"/>
          <w:b/>
          <w:bCs/>
          <w:color w:val="auto"/>
        </w:rPr>
      </w:pPr>
      <w:r w:rsidRPr="00765073">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765073" w:rsidP="004A22F3" w14:paraId="5D0EEA43" w14:textId="77777777">
      <w:pPr>
        <w:pStyle w:val="Default"/>
        <w:keepNext/>
        <w:widowControl/>
        <w:rPr>
          <w:rFonts w:ascii="Times New Roman" w:hAnsi="Times New Roman" w:cs="Times New Roman"/>
          <w:b/>
          <w:bCs/>
          <w:color w:val="auto"/>
        </w:rPr>
      </w:pPr>
    </w:p>
    <w:p w:rsidR="008E2EF6" w:rsidRPr="00765073" w:rsidP="008E2EF6" w14:paraId="602E1559" w14:textId="2B2E1309">
      <w:pPr>
        <w:rPr>
          <w:b/>
          <w:bCs/>
          <w:color w:val="000000"/>
        </w:rPr>
      </w:pPr>
      <w:r w:rsidRPr="00765073">
        <w:t xml:space="preserve">Plans are prepared once for each slope and shaft sinking operation. </w:t>
      </w:r>
      <w:r w:rsidR="00502237">
        <w:t>P</w:t>
      </w:r>
      <w:r w:rsidRPr="00765073">
        <w:t>lan</w:t>
      </w:r>
      <w:r w:rsidR="00502237">
        <w:t>s</w:t>
      </w:r>
      <w:r w:rsidRPr="00765073">
        <w:t xml:space="preserve"> must be consistent with prudent engineering design. Each slope or shaft sinking operation is unique </w:t>
      </w:r>
      <w:r w:rsidR="00C3342A">
        <w:t>because</w:t>
      </w:r>
      <w:r w:rsidRPr="00765073">
        <w:t xml:space="preserve"> each </w:t>
      </w:r>
      <w:r w:rsidRPr="00765073" w:rsidR="00133698">
        <w:t>operat</w:t>
      </w:r>
      <w:r w:rsidR="00133698">
        <w:t>ion</w:t>
      </w:r>
      <w:r w:rsidRPr="00765073">
        <w:t xml:space="preserve"> </w:t>
      </w:r>
      <w:r w:rsidRPr="008F28B3" w:rsidR="008F28B3">
        <w:t>encounters different geological strata</w:t>
      </w:r>
      <w:r w:rsidR="008F28B3">
        <w:t>,</w:t>
      </w:r>
      <w:r w:rsidRPr="008F28B3" w:rsidR="008F28B3">
        <w:t xml:space="preserve"> </w:t>
      </w:r>
      <w:r w:rsidR="008F28B3">
        <w:t xml:space="preserve">and </w:t>
      </w:r>
      <w:r w:rsidR="00133698">
        <w:t xml:space="preserve">may </w:t>
      </w:r>
      <w:r w:rsidRPr="00765073">
        <w:t>use</w:t>
      </w:r>
      <w:r w:rsidR="00133698">
        <w:t xml:space="preserve"> </w:t>
      </w:r>
      <w:r w:rsidRPr="00765073">
        <w:t xml:space="preserve">different methods and equipment which makes it impossible for a single set of regulations to ensure the safety of miners under all circumstances. If the collection is not conducted or is conducted less frequently, the safety and health of miners and contractor personnel would be jeopardized during the high-risk activities of shaft and slope construction.  </w:t>
      </w:r>
    </w:p>
    <w:p w:rsidR="00B227F0" w:rsidRPr="00765073" w:rsidP="004A22F3" w14:paraId="4BE11804" w14:textId="77777777">
      <w:pPr>
        <w:rPr>
          <w:b/>
          <w:bCs/>
          <w:color w:val="000000"/>
        </w:rPr>
      </w:pPr>
    </w:p>
    <w:p w:rsidR="00CB3898" w:rsidRPr="00765073" w:rsidP="004A22F3" w14:paraId="010929AC" w14:textId="77777777">
      <w:pPr>
        <w:pStyle w:val="Default"/>
        <w:widowControl/>
        <w:rPr>
          <w:rFonts w:ascii="Times New Roman" w:hAnsi="Times New Roman" w:cs="Times New Roman"/>
          <w:b/>
          <w:bCs/>
          <w:color w:val="auto"/>
        </w:rPr>
      </w:pPr>
      <w:r w:rsidRPr="00765073">
        <w:rPr>
          <w:rFonts w:ascii="Times New Roman" w:hAnsi="Times New Roman" w:cs="Times New Roman"/>
          <w:b/>
          <w:bCs/>
          <w:color w:val="auto"/>
        </w:rPr>
        <w:t>7. Explain any special circumstances that would cause an information collection to be conducted in a manner:</w:t>
      </w:r>
    </w:p>
    <w:p w:rsidR="00CB3898" w:rsidRPr="00765073" w:rsidP="004A22F3" w14:paraId="56B4EAC4" w14:textId="77777777">
      <w:pPr>
        <w:pStyle w:val="ListParagraph"/>
        <w:numPr>
          <w:ilvl w:val="0"/>
          <w:numId w:val="10"/>
        </w:numPr>
        <w:autoSpaceDE w:val="0"/>
        <w:autoSpaceDN w:val="0"/>
        <w:adjustRightInd w:val="0"/>
        <w:spacing w:after="0" w:line="240" w:lineRule="auto"/>
        <w:ind w:left="360"/>
        <w:rPr>
          <w:b/>
          <w:bCs/>
        </w:rPr>
      </w:pPr>
      <w:r w:rsidRPr="00765073">
        <w:rPr>
          <w:b/>
          <w:bCs/>
        </w:rPr>
        <w:t>Requiring respondents to report information to the agency more often than quarterly;</w:t>
      </w:r>
    </w:p>
    <w:p w:rsidR="00CB3898" w:rsidRPr="00765073" w:rsidP="004A22F3" w14:paraId="759F47DA" w14:textId="77777777">
      <w:pPr>
        <w:pStyle w:val="Default"/>
        <w:widowControl/>
        <w:tabs>
          <w:tab w:val="left" w:pos="720"/>
        </w:tabs>
        <w:ind w:left="360"/>
        <w:rPr>
          <w:rFonts w:ascii="Times New Roman" w:hAnsi="Times New Roman" w:cs="Times New Roman"/>
          <w:b/>
          <w:bCs/>
          <w:color w:val="auto"/>
        </w:rPr>
      </w:pPr>
    </w:p>
    <w:p w:rsidR="00CB3898" w:rsidRPr="00765073" w:rsidP="004A22F3"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765073">
        <w:rPr>
          <w:rFonts w:ascii="Times New Roman" w:hAnsi="Times New Roman" w:cs="Times New Roman"/>
          <w:b/>
          <w:bCs/>
          <w:color w:val="auto"/>
        </w:rPr>
        <w:t>Requiring respondents to prepare a written response to a collection of information in fewer than 30 days after receipt of it;</w:t>
      </w:r>
    </w:p>
    <w:p w:rsidR="00CB3898" w:rsidRPr="00765073" w:rsidP="004A22F3"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765073">
        <w:rPr>
          <w:rFonts w:ascii="Times New Roman" w:hAnsi="Times New Roman" w:cs="Times New Roman"/>
          <w:b/>
          <w:bCs/>
          <w:color w:val="auto"/>
        </w:rPr>
        <w:t>Requiring respondents to submit more than an original and two copies of any document;</w:t>
      </w:r>
    </w:p>
    <w:p w:rsidR="00CB3898" w:rsidRPr="00765073" w:rsidP="004A22F3" w14:paraId="02AE158B" w14:textId="77777777">
      <w:pPr>
        <w:pStyle w:val="Default"/>
        <w:widowControl/>
        <w:tabs>
          <w:tab w:val="left" w:pos="720"/>
        </w:tabs>
        <w:ind w:left="360"/>
        <w:rPr>
          <w:rFonts w:ascii="Times New Roman" w:hAnsi="Times New Roman" w:cs="Times New Roman"/>
          <w:b/>
          <w:bCs/>
          <w:color w:val="auto"/>
        </w:rPr>
      </w:pPr>
    </w:p>
    <w:p w:rsidR="00CB3898" w:rsidRPr="00765073" w:rsidP="004A22F3"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765073">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765073" w:rsidP="004A22F3" w14:paraId="39D93E4F" w14:textId="77777777">
      <w:pPr>
        <w:pStyle w:val="Default"/>
        <w:widowControl/>
        <w:tabs>
          <w:tab w:val="left" w:pos="720"/>
        </w:tabs>
        <w:ind w:left="360"/>
        <w:rPr>
          <w:rFonts w:ascii="Times New Roman" w:hAnsi="Times New Roman" w:cs="Times New Roman"/>
          <w:b/>
          <w:bCs/>
          <w:color w:val="auto"/>
        </w:rPr>
      </w:pPr>
    </w:p>
    <w:p w:rsidR="00CB3898" w:rsidRPr="00765073" w:rsidP="004A22F3"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765073">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765073" w:rsidP="004A22F3" w14:paraId="29D10900" w14:textId="77777777">
      <w:pPr>
        <w:pStyle w:val="Default"/>
        <w:widowControl/>
        <w:tabs>
          <w:tab w:val="left" w:pos="720"/>
        </w:tabs>
        <w:ind w:left="360"/>
        <w:rPr>
          <w:rFonts w:ascii="Times New Roman" w:hAnsi="Times New Roman" w:cs="Times New Roman"/>
          <w:b/>
          <w:bCs/>
          <w:color w:val="auto"/>
        </w:rPr>
      </w:pPr>
    </w:p>
    <w:p w:rsidR="00CB3898" w:rsidRPr="00765073" w:rsidP="004A22F3"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765073">
        <w:rPr>
          <w:rFonts w:ascii="Times New Roman" w:hAnsi="Times New Roman" w:cs="Times New Roman"/>
          <w:b/>
          <w:bCs/>
          <w:color w:val="auto"/>
        </w:rPr>
        <w:t>Requiring the use of a statistical data classification that has not been reviewed and approved by OMB;</w:t>
      </w:r>
    </w:p>
    <w:p w:rsidR="00CB3898" w:rsidRPr="00765073" w:rsidP="004A22F3" w14:paraId="360F7893" w14:textId="77777777">
      <w:pPr>
        <w:pStyle w:val="Default"/>
        <w:widowControl/>
        <w:tabs>
          <w:tab w:val="left" w:pos="720"/>
        </w:tabs>
        <w:ind w:left="360"/>
        <w:rPr>
          <w:rFonts w:ascii="Times New Roman" w:hAnsi="Times New Roman" w:cs="Times New Roman"/>
          <w:b/>
          <w:bCs/>
          <w:color w:val="auto"/>
        </w:rPr>
      </w:pPr>
    </w:p>
    <w:p w:rsidR="00CB3898" w:rsidRPr="00765073" w:rsidP="004A22F3"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765073">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765073" w:rsidP="004A22F3" w14:paraId="05D48004" w14:textId="77777777">
      <w:pPr>
        <w:pStyle w:val="Default"/>
        <w:widowControl/>
        <w:tabs>
          <w:tab w:val="left" w:pos="720"/>
        </w:tabs>
        <w:ind w:left="360"/>
        <w:rPr>
          <w:rFonts w:ascii="Times New Roman" w:hAnsi="Times New Roman" w:cs="Times New Roman"/>
          <w:color w:val="auto"/>
        </w:rPr>
      </w:pPr>
    </w:p>
    <w:p w:rsidR="00CB3898" w:rsidRPr="00765073" w:rsidP="004A22F3" w14:paraId="443FC822" w14:textId="77777777">
      <w:pPr>
        <w:pStyle w:val="Default"/>
        <w:widowControl/>
        <w:numPr>
          <w:ilvl w:val="0"/>
          <w:numId w:val="10"/>
        </w:numPr>
        <w:tabs>
          <w:tab w:val="left" w:pos="720"/>
        </w:tabs>
        <w:ind w:left="360"/>
        <w:rPr>
          <w:rFonts w:ascii="Times New Roman" w:hAnsi="Times New Roman" w:cs="Times New Roman"/>
          <w:color w:val="auto"/>
        </w:rPr>
      </w:pPr>
      <w:r w:rsidRPr="00765073">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765073" w:rsidP="004A22F3" w14:paraId="01316DB1" w14:textId="77777777">
      <w:pPr>
        <w:rPr>
          <w:b/>
          <w:bCs/>
          <w:color w:val="000000"/>
        </w:rPr>
      </w:pPr>
    </w:p>
    <w:p w:rsidR="00337135" w:rsidRPr="00765073" w:rsidP="004A22F3" w14:paraId="1812B0F0" w14:textId="15F9E166">
      <w:pPr>
        <w:pStyle w:val="Default"/>
        <w:keepNext/>
        <w:widowControl/>
        <w:rPr>
          <w:rFonts w:ascii="Times New Roman" w:hAnsi="Times New Roman" w:cs="Times New Roman"/>
          <w:color w:val="auto"/>
        </w:rPr>
      </w:pPr>
      <w:r w:rsidRPr="00765073">
        <w:rPr>
          <w:rFonts w:ascii="Times New Roman" w:hAnsi="Times New Roman" w:cs="Times New Roman"/>
          <w:color w:val="auto"/>
        </w:rPr>
        <w:t xml:space="preserve">This collection of information is consistent with the guidelines in </w:t>
      </w:r>
      <w:r w:rsidRPr="00765073" w:rsidR="00EB338F">
        <w:rPr>
          <w:rFonts w:ascii="Times New Roman" w:hAnsi="Times New Roman" w:cs="Times New Roman"/>
          <w:color w:val="auto"/>
        </w:rPr>
        <w:t>5 CFR 1320.5</w:t>
      </w:r>
      <w:r w:rsidRPr="00765073">
        <w:rPr>
          <w:rFonts w:ascii="Times New Roman" w:hAnsi="Times New Roman" w:cs="Times New Roman"/>
          <w:color w:val="auto"/>
        </w:rPr>
        <w:t>.</w:t>
      </w:r>
    </w:p>
    <w:p w:rsidR="00A663DB" w:rsidRPr="00765073" w:rsidP="004A22F3" w14:paraId="0E3CEBFF" w14:textId="77777777">
      <w:pPr>
        <w:pStyle w:val="Default"/>
        <w:keepNext/>
        <w:widowControl/>
        <w:rPr>
          <w:rFonts w:ascii="Times New Roman" w:hAnsi="Times New Roman" w:cs="Times New Roman"/>
          <w:color w:val="auto"/>
        </w:rPr>
      </w:pPr>
    </w:p>
    <w:p w:rsidR="00CB3898" w:rsidRPr="00765073" w:rsidP="004A22F3" w14:paraId="69FD13C8" w14:textId="0CD2D613">
      <w:pPr>
        <w:pStyle w:val="Default"/>
        <w:keepNext/>
        <w:widowControl/>
        <w:rPr>
          <w:rFonts w:ascii="Times New Roman" w:hAnsi="Times New Roman" w:cs="Times New Roman"/>
          <w:b/>
          <w:bCs/>
        </w:rPr>
      </w:pPr>
      <w:r w:rsidRPr="00765073">
        <w:rPr>
          <w:rFonts w:ascii="Times New Roman" w:hAnsi="Times New Roman" w:cs="Times New Roman"/>
          <w:b/>
          <w:bCs/>
          <w:color w:val="auto"/>
        </w:rPr>
        <w:t>8. I</w:t>
      </w:r>
      <w:r w:rsidRPr="00765073">
        <w:rPr>
          <w:rFonts w:ascii="Times New Roman" w:hAnsi="Times New Roman" w:cs="Times New Roman"/>
          <w:b/>
          <w:bCs/>
        </w:rPr>
        <w:t xml:space="preserve">f applicable, provide a copy and identify the date and page number of publication in the </w:t>
      </w:r>
      <w:r w:rsidRPr="00765073">
        <w:rPr>
          <w:rFonts w:ascii="Times New Roman" w:hAnsi="Times New Roman" w:cs="Times New Roman"/>
          <w:b/>
          <w:bCs/>
          <w:i/>
        </w:rPr>
        <w:t>Federal Register</w:t>
      </w:r>
      <w:r w:rsidRPr="00765073">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765073" w:rsidP="004A22F3" w14:paraId="2CECD692" w14:textId="77777777">
      <w:pPr>
        <w:pStyle w:val="Default"/>
        <w:keepNext/>
        <w:tabs>
          <w:tab w:val="left" w:pos="720"/>
        </w:tabs>
        <w:ind w:hanging="360"/>
        <w:rPr>
          <w:rFonts w:ascii="Times New Roman" w:hAnsi="Times New Roman" w:cs="Times New Roman"/>
          <w:b/>
          <w:bCs/>
        </w:rPr>
      </w:pPr>
    </w:p>
    <w:p w:rsidR="00CB3898" w:rsidRPr="00765073" w:rsidP="004A22F3" w14:paraId="14F05CA2" w14:textId="77777777">
      <w:pPr>
        <w:pStyle w:val="Default"/>
        <w:keepNext/>
        <w:tabs>
          <w:tab w:val="left" w:pos="720"/>
        </w:tabs>
        <w:rPr>
          <w:rFonts w:ascii="Times New Roman" w:hAnsi="Times New Roman" w:cs="Times New Roman"/>
          <w:b/>
          <w:bCs/>
        </w:rPr>
      </w:pPr>
      <w:r w:rsidRPr="00765073">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765073" w:rsidP="004A22F3" w14:paraId="641E722A" w14:textId="77777777">
      <w:pPr>
        <w:pStyle w:val="Default"/>
        <w:keepNext/>
        <w:tabs>
          <w:tab w:val="left" w:pos="720"/>
        </w:tabs>
        <w:ind w:hanging="360"/>
        <w:rPr>
          <w:rFonts w:ascii="Times New Roman" w:hAnsi="Times New Roman" w:cs="Times New Roman"/>
          <w:b/>
          <w:bCs/>
        </w:rPr>
      </w:pPr>
    </w:p>
    <w:p w:rsidR="00866831" w14:paraId="615D0D41" w14:textId="77777777">
      <w:pPr>
        <w:widowControl/>
        <w:autoSpaceDE/>
        <w:autoSpaceDN/>
        <w:adjustRightInd/>
        <w:spacing w:after="160" w:line="259" w:lineRule="auto"/>
        <w:rPr>
          <w:b/>
          <w:bCs/>
          <w:color w:val="000000"/>
        </w:rPr>
      </w:pPr>
      <w:r>
        <w:rPr>
          <w:b/>
          <w:bCs/>
        </w:rPr>
        <w:br w:type="page"/>
      </w:r>
    </w:p>
    <w:p w:rsidR="00CB3898" w:rsidRPr="00765073" w:rsidP="004A22F3" w14:paraId="7F0EA1C0" w14:textId="08312B76">
      <w:pPr>
        <w:pStyle w:val="Default"/>
        <w:keepNext/>
        <w:tabs>
          <w:tab w:val="left" w:pos="720"/>
        </w:tabs>
        <w:rPr>
          <w:rFonts w:ascii="Times New Roman" w:hAnsi="Times New Roman" w:cs="Times New Roman"/>
          <w:b/>
          <w:bCs/>
        </w:rPr>
      </w:pPr>
      <w:r w:rsidRPr="00765073">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765073" w:rsidP="004A22F3" w14:paraId="03F0FACA" w14:textId="77777777">
      <w:pPr>
        <w:rPr>
          <w:b/>
          <w:bCs/>
          <w:color w:val="000000"/>
        </w:rPr>
      </w:pPr>
    </w:p>
    <w:p w:rsidR="007A6FD8" w:rsidP="004A22F3" w14:paraId="6531B369" w14:textId="12B4A9F9">
      <w:pPr>
        <w:rPr>
          <w:color w:val="000000"/>
        </w:rPr>
      </w:pPr>
      <w:bookmarkStart w:id="11" w:name="_Hlk165286212"/>
      <w:r w:rsidRPr="00765073">
        <w:rPr>
          <w:color w:val="000000"/>
        </w:rPr>
        <w:t xml:space="preserve">In accordance with 5 CFR 1320.8(d), MSHA will publish the proposed </w:t>
      </w:r>
      <w:r w:rsidRPr="00765073" w:rsidR="001567E1">
        <w:rPr>
          <w:color w:val="000000"/>
        </w:rPr>
        <w:t>ICRs</w:t>
      </w:r>
      <w:r w:rsidRPr="00765073">
        <w:rPr>
          <w:color w:val="000000"/>
        </w:rPr>
        <w:t xml:space="preserve"> in the </w:t>
      </w:r>
      <w:r w:rsidRPr="00765073">
        <w:rPr>
          <w:i/>
          <w:iCs/>
          <w:color w:val="000000"/>
        </w:rPr>
        <w:t>Federal Register</w:t>
      </w:r>
      <w:r w:rsidRPr="00765073">
        <w:rPr>
          <w:color w:val="000000"/>
        </w:rPr>
        <w:t xml:space="preserve">, notify the public that these </w:t>
      </w:r>
      <w:r w:rsidRPr="00765073" w:rsidR="001567E1">
        <w:rPr>
          <w:color w:val="000000"/>
        </w:rPr>
        <w:t>ICRs</w:t>
      </w:r>
      <w:r w:rsidRPr="00765073">
        <w:rPr>
          <w:color w:val="000000"/>
        </w:rPr>
        <w:t xml:space="preserve"> are being reviewed in accordance with the </w:t>
      </w:r>
      <w:r w:rsidRPr="00765073" w:rsidR="006D77D4">
        <w:rPr>
          <w:color w:val="000000"/>
        </w:rPr>
        <w:t>PRA</w:t>
      </w:r>
      <w:r w:rsidRPr="00765073">
        <w:rPr>
          <w:color w:val="000000"/>
        </w:rPr>
        <w:t>, and provid</w:t>
      </w:r>
      <w:r w:rsidRPr="00765073" w:rsidR="006538C1">
        <w:rPr>
          <w:color w:val="000000"/>
        </w:rPr>
        <w:t>e</w:t>
      </w:r>
      <w:r w:rsidRPr="00765073">
        <w:rPr>
          <w:color w:val="000000"/>
        </w:rPr>
        <w:t xml:space="preserve"> 60 days for the public to submit comments.</w:t>
      </w:r>
      <w:r w:rsidR="00866831">
        <w:rPr>
          <w:color w:val="000000"/>
        </w:rPr>
        <w:t xml:space="preserve"> </w:t>
      </w:r>
      <w:r w:rsidRPr="00866831" w:rsidR="00866831">
        <w:rPr>
          <w:color w:val="000000"/>
        </w:rPr>
        <w:t>MSHA published a 60-day Federal Register notice on January 26, 2026 (91 FR 3224).</w:t>
      </w:r>
      <w:r w:rsidR="00570372">
        <w:rPr>
          <w:color w:val="000000"/>
        </w:rPr>
        <w:t xml:space="preserve"> MSHA received one anonymous comment that is not relevant to the ICR. The comment stated that the form is not visible on the MSHA website but there is no form associated with this ICR.</w:t>
      </w:r>
    </w:p>
    <w:p w:rsidR="008F28B3" w:rsidP="004A22F3" w14:paraId="7CEFE99E" w14:textId="77777777">
      <w:pPr>
        <w:rPr>
          <w:color w:val="000000"/>
        </w:rPr>
      </w:pPr>
    </w:p>
    <w:bookmarkEnd w:id="11"/>
    <w:p w:rsidR="00CB3898" w:rsidRPr="00765073" w:rsidP="004A22F3" w14:paraId="0473FBF4" w14:textId="77777777">
      <w:pPr>
        <w:pStyle w:val="Default"/>
        <w:keepNext/>
        <w:widowControl/>
        <w:rPr>
          <w:rFonts w:ascii="Times New Roman" w:hAnsi="Times New Roman" w:cs="Times New Roman"/>
          <w:color w:val="auto"/>
        </w:rPr>
      </w:pPr>
      <w:r w:rsidRPr="00765073">
        <w:rPr>
          <w:rFonts w:ascii="Times New Roman" w:hAnsi="Times New Roman" w:cs="Times New Roman"/>
          <w:b/>
          <w:bCs/>
          <w:color w:val="auto"/>
        </w:rPr>
        <w:t>9. Explain any decision to provide any payments or gifts to respondents, other than remuneration of contractors or grantees.</w:t>
      </w:r>
    </w:p>
    <w:p w:rsidR="00CB3898" w:rsidRPr="00765073" w:rsidP="004A22F3" w14:paraId="70958373" w14:textId="77777777">
      <w:pPr>
        <w:pStyle w:val="Default"/>
        <w:keepNext/>
        <w:widowControl/>
        <w:tabs>
          <w:tab w:val="left" w:pos="720"/>
        </w:tabs>
        <w:rPr>
          <w:rFonts w:ascii="Times New Roman" w:hAnsi="Times New Roman" w:cs="Times New Roman"/>
          <w:color w:val="auto"/>
        </w:rPr>
      </w:pPr>
    </w:p>
    <w:p w:rsidR="00CB3898" w:rsidRPr="00765073" w:rsidP="004A22F3" w14:paraId="32E0BB61" w14:textId="77777777">
      <w:pPr>
        <w:pStyle w:val="Default"/>
        <w:widowControl/>
        <w:tabs>
          <w:tab w:val="left" w:pos="720"/>
        </w:tabs>
        <w:rPr>
          <w:rFonts w:ascii="Times New Roman" w:hAnsi="Times New Roman" w:cs="Times New Roman"/>
          <w:color w:val="auto"/>
        </w:rPr>
      </w:pPr>
      <w:r w:rsidRPr="00765073">
        <w:rPr>
          <w:rFonts w:ascii="Times New Roman" w:hAnsi="Times New Roman" w:cs="Times New Roman"/>
          <w:color w:val="auto"/>
        </w:rPr>
        <w:t>MSHA does not provide payment or gifts to respondents.</w:t>
      </w:r>
    </w:p>
    <w:p w:rsidR="00CB3898" w:rsidRPr="00765073" w:rsidP="004A22F3" w14:paraId="1CB014CE" w14:textId="77777777">
      <w:pPr>
        <w:rPr>
          <w:b/>
          <w:bCs/>
          <w:color w:val="000000"/>
        </w:rPr>
      </w:pPr>
    </w:p>
    <w:p w:rsidR="00CB3898" w:rsidRPr="00765073" w:rsidP="004A22F3" w14:paraId="45EC017F" w14:textId="77777777">
      <w:pPr>
        <w:pStyle w:val="Default"/>
        <w:keepNext/>
        <w:widowControl/>
        <w:rPr>
          <w:rFonts w:ascii="Times New Roman" w:hAnsi="Times New Roman" w:cs="Times New Roman"/>
          <w:b/>
          <w:bCs/>
          <w:color w:val="auto"/>
        </w:rPr>
      </w:pPr>
      <w:r w:rsidRPr="00765073">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765073" w:rsidP="004A22F3"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3311" w:rsidP="00963311" w14:paraId="0100DE42" w14:textId="2A12C1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2" w:name="_Hlk192748474"/>
      <w:r w:rsidRPr="00452BDA">
        <w:t xml:space="preserve">Slope and shaft sinking plans are applicable to specific work conditions. There is no personal or proprietary information involved. MSHA regards the approved plans as public records. There is no assurance of confidentiality. </w:t>
      </w:r>
    </w:p>
    <w:p w:rsidR="00963311" w:rsidRPr="007628FE" w:rsidP="00963311" w14:paraId="15A22B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FF0000"/>
        </w:rPr>
      </w:pPr>
    </w:p>
    <w:bookmarkEnd w:id="12"/>
    <w:p w:rsidR="00CB3898" w:rsidRPr="00765073" w:rsidP="004A22F3" w14:paraId="19B20D5D" w14:textId="2683C9C2">
      <w:pPr>
        <w:pStyle w:val="Default"/>
        <w:keepNext/>
        <w:widowControl/>
        <w:rPr>
          <w:rFonts w:ascii="Times New Roman" w:hAnsi="Times New Roman" w:cs="Times New Roman"/>
          <w:color w:val="auto"/>
        </w:rPr>
      </w:pPr>
      <w:r w:rsidRPr="00765073">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765073" w:rsidP="004A22F3" w14:paraId="0E3FE669" w14:textId="77777777">
      <w:pPr>
        <w:rPr>
          <w:b/>
          <w:bCs/>
          <w:color w:val="000000"/>
        </w:rPr>
      </w:pPr>
    </w:p>
    <w:p w:rsidR="00CB0A6B" w:rsidRPr="00765073" w:rsidP="004A22F3" w14:paraId="55FEBF5C" w14:textId="35DB813E">
      <w:pPr>
        <w:rPr>
          <w:color w:val="000000"/>
        </w:rPr>
      </w:pPr>
      <w:r w:rsidRPr="00765073">
        <w:rPr>
          <w:color w:val="000000"/>
        </w:rPr>
        <w:t>There are no questions of a sensitive nature.</w:t>
      </w:r>
    </w:p>
    <w:p w:rsidR="00CB3898" w:rsidRPr="00765073" w:rsidP="004A22F3" w14:paraId="45ED85A8" w14:textId="77777777">
      <w:pPr>
        <w:rPr>
          <w:b/>
          <w:bCs/>
          <w:color w:val="000000"/>
        </w:rPr>
      </w:pPr>
    </w:p>
    <w:p w:rsidR="008F7DDE" w:rsidRPr="00765073" w:rsidP="004A22F3" w14:paraId="4D2FF76B" w14:textId="412F0F3C">
      <w:pPr>
        <w:rPr>
          <w:b/>
          <w:bCs/>
          <w:color w:val="000000"/>
        </w:rPr>
      </w:pPr>
      <w:r w:rsidRPr="00765073">
        <w:rPr>
          <w:b/>
          <w:bCs/>
          <w:color w:val="000000"/>
        </w:rPr>
        <w:t>12. Provide estimates of the hour burden of the collection of information.  The statement should:</w:t>
      </w:r>
    </w:p>
    <w:p w:rsidR="008F7DDE" w:rsidRPr="00765073" w:rsidP="004A22F3" w14:paraId="443392FF" w14:textId="77777777">
      <w:pPr>
        <w:rPr>
          <w:b/>
          <w:bCs/>
          <w:color w:val="000000"/>
        </w:rPr>
      </w:pPr>
    </w:p>
    <w:p w:rsidR="008F7DDE" w:rsidRPr="00765073" w:rsidP="004A22F3" w14:paraId="099B1349" w14:textId="77777777">
      <w:pPr>
        <w:pStyle w:val="ListParagraph"/>
        <w:numPr>
          <w:ilvl w:val="0"/>
          <w:numId w:val="1"/>
        </w:numPr>
        <w:tabs>
          <w:tab w:val="left" w:pos="-1440"/>
        </w:tabs>
        <w:spacing w:after="0" w:line="240" w:lineRule="auto"/>
        <w:rPr>
          <w:b/>
          <w:bCs/>
          <w:color w:val="000000"/>
          <w:szCs w:val="24"/>
        </w:rPr>
      </w:pPr>
      <w:r w:rsidRPr="00765073">
        <w:rPr>
          <w:b/>
          <w:bCs/>
          <w:color w:val="000000"/>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765073">
        <w:rPr>
          <w:b/>
          <w:bCs/>
          <w:color w:val="000000"/>
          <w:szCs w:val="24"/>
        </w:rPr>
        <w:t xml:space="preserve">estimated hour burden, and explain the reasons for the variance.  Generally, estimates should not include burden hours for customary and usual business practices. </w:t>
      </w:r>
    </w:p>
    <w:p w:rsidR="00C91F5E" w:rsidRPr="00765073" w:rsidP="005C6CA9" w14:paraId="5A8181A2" w14:textId="77777777">
      <w:pPr>
        <w:pStyle w:val="ListParagraph"/>
        <w:tabs>
          <w:tab w:val="left" w:pos="-1440"/>
        </w:tabs>
        <w:spacing w:after="0" w:line="240" w:lineRule="auto"/>
        <w:rPr>
          <w:b/>
          <w:bCs/>
          <w:color w:val="000000"/>
          <w:szCs w:val="24"/>
        </w:rPr>
      </w:pPr>
    </w:p>
    <w:p w:rsidR="008F7DDE" w:rsidRPr="00765073" w:rsidP="004A22F3" w14:paraId="1D3F9869" w14:textId="77777777">
      <w:pPr>
        <w:pStyle w:val="ListParagraph"/>
        <w:numPr>
          <w:ilvl w:val="0"/>
          <w:numId w:val="1"/>
        </w:numPr>
        <w:tabs>
          <w:tab w:val="left" w:pos="-1440"/>
        </w:tabs>
        <w:spacing w:after="0" w:line="240" w:lineRule="auto"/>
        <w:rPr>
          <w:b/>
          <w:bCs/>
          <w:color w:val="000000"/>
          <w:szCs w:val="24"/>
        </w:rPr>
      </w:pPr>
      <w:r w:rsidRPr="00765073">
        <w:rPr>
          <w:b/>
          <w:bCs/>
          <w:color w:val="000000"/>
          <w:szCs w:val="24"/>
        </w:rPr>
        <w:t>If this request for approval covers more than one form, provide separate hour burden estimates for each form and aggregate the hour burdens.</w:t>
      </w:r>
    </w:p>
    <w:p w:rsidR="00C91F5E" w:rsidRPr="00765073" w:rsidP="005C6CA9" w14:paraId="5B6FBB36" w14:textId="77777777">
      <w:pPr>
        <w:tabs>
          <w:tab w:val="left" w:pos="-1440"/>
        </w:tabs>
        <w:rPr>
          <w:b/>
          <w:bCs/>
          <w:color w:val="000000"/>
        </w:rPr>
      </w:pPr>
    </w:p>
    <w:p w:rsidR="008F7DDE" w:rsidRPr="00765073" w:rsidP="004A22F3" w14:paraId="2BC6B329" w14:textId="77777777">
      <w:pPr>
        <w:pStyle w:val="ListParagraph"/>
        <w:numPr>
          <w:ilvl w:val="0"/>
          <w:numId w:val="1"/>
        </w:numPr>
        <w:tabs>
          <w:tab w:val="left" w:pos="-1440"/>
        </w:tabs>
        <w:spacing w:after="0" w:line="240" w:lineRule="auto"/>
        <w:rPr>
          <w:b/>
          <w:bCs/>
          <w:color w:val="000000"/>
          <w:szCs w:val="24"/>
        </w:rPr>
      </w:pPr>
      <w:r w:rsidRPr="00765073">
        <w:rPr>
          <w:b/>
          <w:bCs/>
          <w:color w:val="00000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765073" w:rsidP="004A22F3" w14:paraId="26F54DD5" w14:textId="77777777"/>
    <w:p w:rsidR="008F7DDE" w:rsidRPr="00765073" w:rsidP="004A22F3" w14:paraId="7315BACB" w14:textId="66111699">
      <w:pPr>
        <w:rPr>
          <w:b/>
          <w:bCs/>
          <w:iCs/>
        </w:rPr>
      </w:pPr>
      <w:r w:rsidRPr="00765073">
        <w:rPr>
          <w:b/>
          <w:bCs/>
          <w:iCs/>
        </w:rPr>
        <w:t>Respondents</w:t>
      </w:r>
    </w:p>
    <w:p w:rsidR="00696DE6" w:rsidP="004A22F3" w14:paraId="311E4904" w14:textId="77777777">
      <w:pPr>
        <w:contextualSpacing/>
      </w:pPr>
      <w:bookmarkStart w:id="13" w:name="_Hlk171945184"/>
    </w:p>
    <w:p w:rsidR="00696DE6" w:rsidRPr="00765073" w:rsidP="004A22F3" w14:paraId="38465090" w14:textId="0C220D59">
      <w:pPr>
        <w:contextualSpacing/>
      </w:pPr>
      <w:r w:rsidRPr="00765073">
        <w:t xml:space="preserve">All information related to quantities and inspection rates are estimated by MSHA Headquarter Enforcement Division based on field experience with different types of mining operations, sizes of mines, and the frequency of inspections dictated by statute. Mine operators provide MSHA Headquarter Enforcement Division with the number of mines and employment, and from this information MSHA tracks the number of active and inactive mines and mine types throughout the United States. </w:t>
      </w:r>
    </w:p>
    <w:bookmarkEnd w:id="13"/>
    <w:p w:rsidR="00427BF3" w:rsidRPr="00765073" w:rsidP="004A22F3" w14:paraId="2A8A652A" w14:textId="77777777">
      <w:pPr>
        <w:contextualSpacing/>
      </w:pPr>
    </w:p>
    <w:p w:rsidR="00427BF3" w:rsidRPr="00765073" w:rsidP="009A3438" w14:paraId="3BB6F721" w14:textId="104E34C4">
      <w:pPr>
        <w:widowControl/>
        <w:autoSpaceDE/>
        <w:autoSpaceDN/>
        <w:adjustRightInd/>
        <w:rPr>
          <w:rFonts w:eastAsia="Calibri"/>
          <w:color w:val="000000"/>
          <w:szCs w:val="22"/>
          <w14:ligatures w14:val="standardContextual"/>
        </w:rPr>
      </w:pPr>
      <w:r w:rsidRPr="00765073">
        <w:rPr>
          <w:rFonts w:eastAsia="Calibri"/>
          <w:szCs w:val="22"/>
          <w14:ligatures w14:val="standardContextual"/>
        </w:rPr>
        <w:t xml:space="preserve">Based on </w:t>
      </w:r>
      <w:r w:rsidR="00D660D7">
        <w:rPr>
          <w:rFonts w:eastAsia="Calibri"/>
          <w:szCs w:val="22"/>
          <w14:ligatures w14:val="standardContextual"/>
        </w:rPr>
        <w:t xml:space="preserve">internal MSHA data on </w:t>
      </w:r>
      <w:r w:rsidRPr="00765073">
        <w:rPr>
          <w:rFonts w:eastAsia="Calibri"/>
          <w:szCs w:val="22"/>
          <w14:ligatures w14:val="standardContextual"/>
        </w:rPr>
        <w:t>shaft and slope plan</w:t>
      </w:r>
      <w:r w:rsidR="00D660D7">
        <w:rPr>
          <w:rFonts w:eastAsia="Calibri"/>
          <w:szCs w:val="22"/>
          <w14:ligatures w14:val="standardContextual"/>
        </w:rPr>
        <w:t>s</w:t>
      </w:r>
      <w:r w:rsidRPr="00765073">
        <w:rPr>
          <w:rFonts w:eastAsia="Calibri"/>
          <w:szCs w:val="22"/>
          <w14:ligatures w14:val="standardContextual"/>
        </w:rPr>
        <w:t xml:space="preserve">, </w:t>
      </w:r>
      <w:r w:rsidRPr="00765073">
        <w:rPr>
          <w:rFonts w:eastAsia="Calibri"/>
          <w:color w:val="000000" w:themeColor="text1"/>
          <w:szCs w:val="22"/>
          <w14:ligatures w14:val="standardContextual"/>
        </w:rPr>
        <w:t xml:space="preserve">there were </w:t>
      </w:r>
      <w:r w:rsidR="00F34930">
        <w:rPr>
          <w:rFonts w:eastAsia="Calibri"/>
          <w:color w:val="000000" w:themeColor="text1"/>
          <w:szCs w:val="22"/>
          <w14:ligatures w14:val="standardContextual"/>
        </w:rPr>
        <w:t>20</w:t>
      </w:r>
      <w:r w:rsidRPr="00765073">
        <w:rPr>
          <w:rFonts w:eastAsia="Calibri"/>
          <w:color w:val="000000" w:themeColor="text1"/>
          <w:szCs w:val="22"/>
          <w14:ligatures w14:val="standardContextual"/>
        </w:rPr>
        <w:t xml:space="preserve"> coal mines in </w:t>
      </w:r>
      <w:r w:rsidRPr="00765073">
        <w:rPr>
          <w:rFonts w:eastAsia="Calibri"/>
          <w:szCs w:val="22"/>
          <w14:ligatures w14:val="standardContextual"/>
        </w:rPr>
        <w:t xml:space="preserve">2024 </w:t>
      </w:r>
      <w:r w:rsidRPr="00765073">
        <w:rPr>
          <w:rFonts w:eastAsia="Calibri"/>
          <w:color w:val="000000" w:themeColor="text1"/>
          <w:szCs w:val="22"/>
          <w14:ligatures w14:val="standardContextual"/>
        </w:rPr>
        <w:t>affected by this ICR</w:t>
      </w:r>
      <w:r w:rsidRPr="00765073">
        <w:rPr>
          <w:rFonts w:eastAsia="Calibri"/>
          <w:color w:val="000000"/>
          <w:szCs w:val="22"/>
          <w14:ligatures w14:val="standardContextual"/>
        </w:rPr>
        <w:t xml:space="preserve">. </w:t>
      </w:r>
    </w:p>
    <w:p w:rsidR="00427BF3" w:rsidRPr="00765073" w:rsidP="009A3438" w14:paraId="75337478" w14:textId="77777777">
      <w:pPr>
        <w:widowControl/>
        <w:autoSpaceDE/>
        <w:autoSpaceDN/>
        <w:adjustRightInd/>
        <w:rPr>
          <w:rFonts w:eastAsia="Calibri"/>
          <w:szCs w:val="22"/>
          <w14:ligatures w14:val="standardContextual"/>
        </w:rPr>
      </w:pPr>
    </w:p>
    <w:p w:rsidR="00CC557D" w:rsidP="004A22F3" w14:paraId="419B3F1A" w14:textId="06FB2D9D">
      <w:r w:rsidRPr="00765073">
        <w:t>Shaft and slope plans are required for underground mines</w:t>
      </w:r>
      <w:r w:rsidRPr="00696DE6" w:rsidR="00696DE6">
        <w:t xml:space="preserve"> </w:t>
      </w:r>
      <w:r w:rsidR="00696DE6">
        <w:t>with slopes and shafts</w:t>
      </w:r>
      <w:r w:rsidRPr="00765073">
        <w:t xml:space="preserve">. In 2024, 164 underground coal mines were reported in operation, a significant reduction from the 216 underground coal mines in operation in 2021. </w:t>
      </w:r>
      <w:r w:rsidR="00F34930">
        <w:t>MSHA</w:t>
      </w:r>
      <w:r w:rsidRPr="00765073">
        <w:t xml:space="preserve"> report</w:t>
      </w:r>
      <w:r w:rsidR="007420EB">
        <w:t>s</w:t>
      </w:r>
      <w:r w:rsidRPr="00765073">
        <w:t xml:space="preserve"> that</w:t>
      </w:r>
      <w:r w:rsidR="00F34930">
        <w:t xml:space="preserve"> 20 mines </w:t>
      </w:r>
      <w:r w:rsidR="004C1BB9">
        <w:t>submitted</w:t>
      </w:r>
      <w:r w:rsidR="007420EB">
        <w:t xml:space="preserve"> 50 </w:t>
      </w:r>
      <w:r w:rsidR="00E545FE">
        <w:t xml:space="preserve">shaft and slope </w:t>
      </w:r>
      <w:r w:rsidR="007420EB">
        <w:t>plans in 2024,</w:t>
      </w:r>
      <w:r w:rsidR="004C1BB9">
        <w:t xml:space="preserve"> including </w:t>
      </w:r>
      <w:r w:rsidRPr="00765073">
        <w:t>2</w:t>
      </w:r>
      <w:r w:rsidR="004C1BB9">
        <w:t>0</w:t>
      </w:r>
      <w:r w:rsidRPr="00765073">
        <w:t xml:space="preserve"> base plans and </w:t>
      </w:r>
      <w:r w:rsidR="004C1BB9">
        <w:t>30</w:t>
      </w:r>
      <w:r w:rsidRPr="00765073">
        <w:t xml:space="preserve"> revised plans. </w:t>
      </w:r>
      <w:r w:rsidR="004C1BB9">
        <w:t xml:space="preserve">A mine may submit a base plan, followed by multiple revisions of addendum. </w:t>
      </w:r>
      <w:r w:rsidRPr="00765073">
        <w:t xml:space="preserve"> </w:t>
      </w:r>
    </w:p>
    <w:p w:rsidR="008F7DDE" w:rsidRPr="00765073" w:rsidP="004A22F3" w14:paraId="2D91560A" w14:textId="77777777">
      <w:pPr>
        <w:rPr>
          <w:iCs/>
        </w:rPr>
      </w:pPr>
    </w:p>
    <w:p w:rsidR="00B227F0" w:rsidRPr="00765073" w:rsidP="004A22F3" w14:paraId="73FF745E" w14:textId="74A69B71">
      <w:pPr>
        <w:rPr>
          <w:b/>
        </w:rPr>
      </w:pPr>
      <w:bookmarkStart w:id="14" w:name="_Hlk189055170"/>
      <w:bookmarkStart w:id="15" w:name="_Hlk192753872"/>
      <w:r w:rsidRPr="00765073">
        <w:rPr>
          <w:b/>
        </w:rPr>
        <w:t>Wage Rates Determination</w:t>
      </w:r>
      <w:r>
        <w:rPr>
          <w:rStyle w:val="FootnoteReference"/>
          <w:b/>
        </w:rPr>
        <w:footnoteReference w:id="3"/>
      </w:r>
    </w:p>
    <w:bookmarkEnd w:id="14"/>
    <w:p w:rsidR="00B227F0" w:rsidRPr="00765073" w:rsidP="004A22F3" w14:paraId="2A20346F" w14:textId="77777777"/>
    <w:p w:rsidR="000D4093" w:rsidRPr="00765073" w:rsidP="004A22F3" w14:paraId="7065D97A" w14:textId="58E1A8AA">
      <w:bookmarkStart w:id="18" w:name="_Hlk189054988"/>
      <w:r w:rsidRPr="00765073">
        <w:t>MSHA use</w:t>
      </w:r>
      <w:r w:rsidRPr="00765073" w:rsidR="004E6A42">
        <w:t>s</w:t>
      </w:r>
      <w:r w:rsidRPr="00765073">
        <w:t xml:space="preserve"> data from the May 202</w:t>
      </w:r>
      <w:r w:rsidRPr="00765073" w:rsidR="00B16B53">
        <w:t>4</w:t>
      </w:r>
      <w:r w:rsidRPr="00765073">
        <w:t xml:space="preserve"> Occupational Employment and Wage Statistics (OEWS) published by the Bureau of Labor Statistics (BLS) for hourly wage rates</w:t>
      </w:r>
      <w:r>
        <w:rPr>
          <w:vertAlign w:val="superscript"/>
        </w:rPr>
        <w:footnoteReference w:id="4"/>
      </w:r>
      <w:r w:rsidRPr="00765073">
        <w:t xml:space="preserve"> and adjust</w:t>
      </w:r>
      <w:r w:rsidRPr="00765073" w:rsidR="00F74113">
        <w:t>s</w:t>
      </w:r>
      <w:r w:rsidRPr="00765073">
        <w:t xml:space="preserve"> the rates for </w:t>
      </w:r>
      <w:r w:rsidRPr="00765073">
        <w:t>benefits</w:t>
      </w:r>
      <w:r w:rsidRPr="00765073" w:rsidR="00EC1441">
        <w:t>,</w:t>
      </w:r>
      <w:r>
        <w:rPr>
          <w:vertAlign w:val="superscript"/>
        </w:rPr>
        <w:footnoteReference w:id="5"/>
      </w:r>
      <w:r w:rsidRPr="00765073">
        <w:t xml:space="preserve"> wage inflation,</w:t>
      </w:r>
      <w:r>
        <w:rPr>
          <w:vertAlign w:val="superscript"/>
        </w:rPr>
        <w:footnoteReference w:id="6"/>
      </w:r>
      <w:r w:rsidRPr="00765073">
        <w:t xml:space="preserve"> </w:t>
      </w:r>
      <w:r w:rsidRPr="00765073" w:rsidR="008C0F50">
        <w:t>and overhead costs</w:t>
      </w:r>
      <w:r w:rsidRPr="00765073" w:rsidR="005D15DB">
        <w:t>.</w:t>
      </w:r>
      <w:r>
        <w:rPr>
          <w:rStyle w:val="FootnoteReference"/>
        </w:rPr>
        <w:footnoteReference w:id="7"/>
      </w:r>
      <w:r w:rsidRPr="00765073" w:rsidR="008F7DDE">
        <w:t xml:space="preserve"> The occupations listed below in Table 12-1 are those that </w:t>
      </w:r>
      <w:r w:rsidRPr="00765073" w:rsidR="005405E4">
        <w:t xml:space="preserve">are </w:t>
      </w:r>
      <w:r w:rsidRPr="00765073" w:rsidR="008F7DDE">
        <w:t>determined to be relevant for the cost calculations.</w:t>
      </w:r>
    </w:p>
    <w:bookmarkEnd w:id="15"/>
    <w:bookmarkEnd w:id="18"/>
    <w:p w:rsidR="008F7DDE" w:rsidRPr="00765073" w:rsidP="004A22F3" w14:paraId="3F9E7700" w14:textId="77777777">
      <w:pPr>
        <w:rPr>
          <w:iCs/>
        </w:rPr>
      </w:pPr>
    </w:p>
    <w:p w:rsidR="008F7DDE" w:rsidRPr="00765073" w:rsidP="005C6CA9" w14:paraId="27201460" w14:textId="308B3065">
      <w:pPr>
        <w:rPr>
          <w:b/>
          <w:bCs/>
        </w:rPr>
      </w:pPr>
      <w:bookmarkStart w:id="20" w:name="_Hlk114568286"/>
      <w:bookmarkStart w:id="21" w:name="_Hlk192753954"/>
      <w:r w:rsidRPr="00765073">
        <w:rPr>
          <w:b/>
          <w:bCs/>
          <w:iCs/>
        </w:rPr>
        <w:t>Table 12-1</w:t>
      </w:r>
      <w:r w:rsidRPr="00765073" w:rsidR="00B227F0">
        <w:rPr>
          <w:b/>
          <w:bCs/>
          <w:iCs/>
        </w:rPr>
        <w:t xml:space="preserve">. </w:t>
      </w:r>
      <w:r w:rsidRPr="00765073">
        <w:rPr>
          <w:b/>
          <w:bCs/>
          <w:iCs/>
        </w:rPr>
        <w:t>Hourly Wage Rates</w:t>
      </w:r>
    </w:p>
    <w:tbl>
      <w:tblPr>
        <w:tblStyle w:val="TableGrid"/>
        <w:tblW w:w="0" w:type="auto"/>
        <w:tblLook w:val="04A0"/>
      </w:tblPr>
      <w:tblGrid>
        <w:gridCol w:w="1567"/>
        <w:gridCol w:w="871"/>
        <w:gridCol w:w="1029"/>
        <w:gridCol w:w="1134"/>
        <w:gridCol w:w="1182"/>
        <w:gridCol w:w="1634"/>
        <w:gridCol w:w="1933"/>
      </w:tblGrid>
      <w:tr w14:paraId="079B285C" w14:textId="77777777" w:rsidTr="007628FE">
        <w:tblPrEx>
          <w:tblW w:w="0" w:type="auto"/>
          <w:tblLook w:val="04A0"/>
        </w:tblPrEx>
        <w:tc>
          <w:tcPr>
            <w:tcW w:w="1567" w:type="dxa"/>
            <w:shd w:val="clear" w:color="auto" w:fill="8EAADB" w:themeFill="accent1" w:themeFillTint="99"/>
            <w:vAlign w:val="center"/>
          </w:tcPr>
          <w:bookmarkEnd w:id="20"/>
          <w:p w:rsidR="006C29C4" w:rsidRPr="00765073" w:rsidP="004A22F3" w14:paraId="1EE2587D" w14:textId="77777777">
            <w:pPr>
              <w:rPr>
                <w:iCs/>
                <w:sz w:val="20"/>
                <w:szCs w:val="20"/>
              </w:rPr>
            </w:pPr>
            <w:r w:rsidRPr="00765073">
              <w:rPr>
                <w:iCs/>
                <w:sz w:val="20"/>
                <w:szCs w:val="20"/>
              </w:rPr>
              <w:t>Occupation</w:t>
            </w:r>
          </w:p>
        </w:tc>
        <w:tc>
          <w:tcPr>
            <w:tcW w:w="871" w:type="dxa"/>
            <w:shd w:val="clear" w:color="auto" w:fill="8EAADB" w:themeFill="accent1" w:themeFillTint="99"/>
            <w:vAlign w:val="center"/>
          </w:tcPr>
          <w:p w:rsidR="006C29C4" w:rsidRPr="00765073" w:rsidP="004A22F3" w14:paraId="6C697F9C" w14:textId="77777777">
            <w:pPr>
              <w:jc w:val="center"/>
              <w:rPr>
                <w:iCs/>
                <w:sz w:val="20"/>
                <w:szCs w:val="20"/>
              </w:rPr>
            </w:pPr>
            <w:r w:rsidRPr="00765073">
              <w:rPr>
                <w:iCs/>
                <w:sz w:val="20"/>
                <w:szCs w:val="20"/>
              </w:rPr>
              <w:t>NAICS Code</w:t>
            </w:r>
          </w:p>
        </w:tc>
        <w:tc>
          <w:tcPr>
            <w:tcW w:w="1029" w:type="dxa"/>
            <w:shd w:val="clear" w:color="auto" w:fill="8EAADB" w:themeFill="accent1" w:themeFillTint="99"/>
            <w:vAlign w:val="center"/>
          </w:tcPr>
          <w:p w:rsidR="006C29C4" w:rsidRPr="00765073" w:rsidP="004A22F3" w14:paraId="26517976" w14:textId="02701883">
            <w:pPr>
              <w:jc w:val="center"/>
              <w:rPr>
                <w:iCs/>
                <w:sz w:val="20"/>
                <w:szCs w:val="20"/>
              </w:rPr>
            </w:pPr>
            <w:r w:rsidRPr="00765073">
              <w:rPr>
                <w:iCs/>
                <w:sz w:val="20"/>
                <w:szCs w:val="20"/>
              </w:rPr>
              <w:t xml:space="preserve">Average </w:t>
            </w:r>
            <w:r w:rsidRPr="00765073" w:rsidR="009F163B">
              <w:rPr>
                <w:iCs/>
                <w:sz w:val="20"/>
                <w:szCs w:val="20"/>
              </w:rPr>
              <w:t>Hourl</w:t>
            </w:r>
            <w:r w:rsidRPr="00765073" w:rsidR="00831DFE">
              <w:rPr>
                <w:iCs/>
                <w:sz w:val="20"/>
                <w:szCs w:val="20"/>
              </w:rPr>
              <w:t xml:space="preserve">y </w:t>
            </w:r>
            <w:r w:rsidRPr="00765073">
              <w:rPr>
                <w:iCs/>
                <w:sz w:val="20"/>
                <w:szCs w:val="20"/>
              </w:rPr>
              <w:t>Wage Rate</w:t>
            </w:r>
          </w:p>
        </w:tc>
        <w:tc>
          <w:tcPr>
            <w:tcW w:w="1134" w:type="dxa"/>
            <w:shd w:val="clear" w:color="auto" w:fill="8EAADB" w:themeFill="accent1" w:themeFillTint="99"/>
            <w:vAlign w:val="center"/>
          </w:tcPr>
          <w:p w:rsidR="006C29C4" w:rsidRPr="00765073" w:rsidP="004A22F3" w14:paraId="1EAD6C07" w14:textId="77777777">
            <w:pPr>
              <w:jc w:val="center"/>
              <w:rPr>
                <w:iCs/>
                <w:sz w:val="20"/>
                <w:szCs w:val="20"/>
              </w:rPr>
            </w:pPr>
            <w:r w:rsidRPr="00765073">
              <w:rPr>
                <w:iCs/>
                <w:sz w:val="20"/>
                <w:szCs w:val="20"/>
              </w:rPr>
              <w:t>Benefit Multiplier</w:t>
            </w:r>
          </w:p>
        </w:tc>
        <w:tc>
          <w:tcPr>
            <w:tcW w:w="1182" w:type="dxa"/>
            <w:shd w:val="clear" w:color="auto" w:fill="8EAADB" w:themeFill="accent1" w:themeFillTint="99"/>
            <w:vAlign w:val="center"/>
          </w:tcPr>
          <w:p w:rsidR="006C29C4" w:rsidRPr="00765073" w:rsidP="004A22F3" w14:paraId="7E15F8F1" w14:textId="77777777">
            <w:pPr>
              <w:jc w:val="center"/>
              <w:rPr>
                <w:iCs/>
                <w:sz w:val="20"/>
                <w:szCs w:val="20"/>
              </w:rPr>
            </w:pPr>
            <w:r w:rsidRPr="00765073">
              <w:rPr>
                <w:iCs/>
                <w:sz w:val="20"/>
                <w:szCs w:val="20"/>
              </w:rPr>
              <w:t>Inflation Multiplier</w:t>
            </w:r>
          </w:p>
        </w:tc>
        <w:tc>
          <w:tcPr>
            <w:tcW w:w="1634" w:type="dxa"/>
            <w:shd w:val="clear" w:color="auto" w:fill="8EAADB" w:themeFill="accent1" w:themeFillTint="99"/>
            <w:vAlign w:val="center"/>
          </w:tcPr>
          <w:p w:rsidR="006C29C4" w:rsidRPr="00765073" w:rsidP="004A22F3" w14:paraId="3B2CC1CA" w14:textId="707B7DE7">
            <w:pPr>
              <w:jc w:val="center"/>
              <w:rPr>
                <w:iCs/>
                <w:sz w:val="20"/>
                <w:szCs w:val="20"/>
              </w:rPr>
            </w:pPr>
            <w:r w:rsidRPr="00765073">
              <w:rPr>
                <w:iCs/>
                <w:sz w:val="20"/>
                <w:szCs w:val="20"/>
              </w:rPr>
              <w:t>Overhead Cost Multiplier</w:t>
            </w:r>
          </w:p>
        </w:tc>
        <w:tc>
          <w:tcPr>
            <w:tcW w:w="1933" w:type="dxa"/>
            <w:shd w:val="clear" w:color="auto" w:fill="8EAADB" w:themeFill="accent1" w:themeFillTint="99"/>
            <w:vAlign w:val="center"/>
          </w:tcPr>
          <w:p w:rsidR="006C29C4" w:rsidRPr="00765073" w:rsidP="004A22F3" w14:paraId="2BFC42CB" w14:textId="6C8B684A">
            <w:pPr>
              <w:jc w:val="center"/>
              <w:rPr>
                <w:iCs/>
                <w:sz w:val="20"/>
                <w:szCs w:val="20"/>
              </w:rPr>
            </w:pPr>
            <w:r w:rsidRPr="00765073">
              <w:rPr>
                <w:iCs/>
                <w:sz w:val="20"/>
                <w:szCs w:val="20"/>
              </w:rPr>
              <w:t>Loaded Hourly Wage Rate</w:t>
            </w:r>
          </w:p>
        </w:tc>
      </w:tr>
      <w:tr w14:paraId="692A2EF1" w14:textId="77777777" w:rsidTr="007628FE">
        <w:tblPrEx>
          <w:tblW w:w="0" w:type="auto"/>
          <w:tblLook w:val="04A0"/>
        </w:tblPrEx>
        <w:tc>
          <w:tcPr>
            <w:tcW w:w="1567" w:type="dxa"/>
            <w:shd w:val="clear" w:color="auto" w:fill="8EAADB" w:themeFill="accent1" w:themeFillTint="99"/>
            <w:vAlign w:val="center"/>
          </w:tcPr>
          <w:p w:rsidR="009A3438" w:rsidRPr="00765073" w:rsidP="004A22F3" w14:paraId="077030A5" w14:textId="77777777">
            <w:pPr>
              <w:jc w:val="center"/>
              <w:rPr>
                <w:iCs/>
                <w:sz w:val="20"/>
                <w:szCs w:val="20"/>
              </w:rPr>
            </w:pPr>
          </w:p>
        </w:tc>
        <w:tc>
          <w:tcPr>
            <w:tcW w:w="871" w:type="dxa"/>
            <w:shd w:val="clear" w:color="auto" w:fill="8EAADB" w:themeFill="accent1" w:themeFillTint="99"/>
            <w:vAlign w:val="center"/>
          </w:tcPr>
          <w:p w:rsidR="009A3438" w:rsidRPr="00765073" w:rsidP="004A22F3" w14:paraId="7606DB2B" w14:textId="77777777">
            <w:pPr>
              <w:jc w:val="center"/>
              <w:rPr>
                <w:iCs/>
                <w:sz w:val="20"/>
                <w:szCs w:val="20"/>
              </w:rPr>
            </w:pPr>
          </w:p>
        </w:tc>
        <w:tc>
          <w:tcPr>
            <w:tcW w:w="1029" w:type="dxa"/>
            <w:shd w:val="clear" w:color="auto" w:fill="8EAADB" w:themeFill="accent1" w:themeFillTint="99"/>
          </w:tcPr>
          <w:p w:rsidR="009A3438" w:rsidRPr="00765073" w:rsidP="004A22F3" w14:paraId="0012E76D" w14:textId="6E1F14B4">
            <w:pPr>
              <w:jc w:val="center"/>
              <w:rPr>
                <w:iCs/>
                <w:sz w:val="20"/>
                <w:szCs w:val="20"/>
              </w:rPr>
            </w:pPr>
            <w:r w:rsidRPr="00765073">
              <w:rPr>
                <w:iCs/>
                <w:sz w:val="20"/>
                <w:szCs w:val="20"/>
              </w:rPr>
              <w:t>A</w:t>
            </w:r>
          </w:p>
        </w:tc>
        <w:tc>
          <w:tcPr>
            <w:tcW w:w="1134" w:type="dxa"/>
            <w:shd w:val="clear" w:color="auto" w:fill="8EAADB" w:themeFill="accent1" w:themeFillTint="99"/>
          </w:tcPr>
          <w:p w:rsidR="009A3438" w:rsidRPr="00765073" w:rsidP="004A22F3" w14:paraId="7044FC2A" w14:textId="396A3CFF">
            <w:pPr>
              <w:jc w:val="center"/>
              <w:rPr>
                <w:iCs/>
                <w:sz w:val="20"/>
                <w:szCs w:val="20"/>
              </w:rPr>
            </w:pPr>
            <w:r w:rsidRPr="00765073">
              <w:rPr>
                <w:iCs/>
                <w:sz w:val="20"/>
                <w:szCs w:val="20"/>
              </w:rPr>
              <w:t>B</w:t>
            </w:r>
          </w:p>
        </w:tc>
        <w:tc>
          <w:tcPr>
            <w:tcW w:w="1182" w:type="dxa"/>
            <w:shd w:val="clear" w:color="auto" w:fill="8EAADB" w:themeFill="accent1" w:themeFillTint="99"/>
          </w:tcPr>
          <w:p w:rsidR="009A3438" w:rsidRPr="00765073" w:rsidP="004A22F3" w14:paraId="218AC09C" w14:textId="3BB2C300">
            <w:pPr>
              <w:jc w:val="center"/>
              <w:rPr>
                <w:iCs/>
                <w:sz w:val="20"/>
                <w:szCs w:val="20"/>
              </w:rPr>
            </w:pPr>
            <w:r w:rsidRPr="00765073">
              <w:rPr>
                <w:iCs/>
                <w:sz w:val="20"/>
                <w:szCs w:val="20"/>
              </w:rPr>
              <w:t>C</w:t>
            </w:r>
          </w:p>
        </w:tc>
        <w:tc>
          <w:tcPr>
            <w:tcW w:w="1634" w:type="dxa"/>
            <w:shd w:val="clear" w:color="auto" w:fill="8EAADB" w:themeFill="accent1" w:themeFillTint="99"/>
          </w:tcPr>
          <w:p w:rsidR="009A3438" w:rsidRPr="00765073" w:rsidP="004A22F3" w14:paraId="630BF0C5" w14:textId="53EFB1F6">
            <w:pPr>
              <w:jc w:val="center"/>
              <w:rPr>
                <w:iCs/>
                <w:sz w:val="20"/>
                <w:szCs w:val="20"/>
              </w:rPr>
            </w:pPr>
            <w:r w:rsidRPr="00765073">
              <w:rPr>
                <w:iCs/>
                <w:sz w:val="20"/>
                <w:szCs w:val="20"/>
              </w:rPr>
              <w:t>D</w:t>
            </w:r>
          </w:p>
        </w:tc>
        <w:tc>
          <w:tcPr>
            <w:tcW w:w="1933" w:type="dxa"/>
            <w:shd w:val="clear" w:color="auto" w:fill="8EAADB" w:themeFill="accent1" w:themeFillTint="99"/>
          </w:tcPr>
          <w:p w:rsidR="009A3438" w:rsidRPr="00765073" w:rsidP="004A22F3" w14:paraId="5C209613" w14:textId="2D8B17D7">
            <w:pPr>
              <w:jc w:val="center"/>
              <w:rPr>
                <w:iCs/>
                <w:sz w:val="20"/>
                <w:szCs w:val="20"/>
              </w:rPr>
            </w:pPr>
            <w:r w:rsidRPr="00765073">
              <w:rPr>
                <w:iCs/>
                <w:sz w:val="20"/>
                <w:szCs w:val="20"/>
              </w:rPr>
              <w:t>A x B x C x D</w:t>
            </w:r>
          </w:p>
        </w:tc>
      </w:tr>
      <w:tr w14:paraId="04E00973" w14:textId="77777777" w:rsidTr="005366CD">
        <w:tblPrEx>
          <w:tblW w:w="0" w:type="auto"/>
          <w:tblLook w:val="04A0"/>
        </w:tblPrEx>
        <w:tc>
          <w:tcPr>
            <w:tcW w:w="1567" w:type="dxa"/>
            <w:vAlign w:val="center"/>
          </w:tcPr>
          <w:p w:rsidR="00067776" w:rsidRPr="00765073" w:rsidP="00067776" w14:paraId="5C4CCB6D" w14:textId="1B938345">
            <w:pPr>
              <w:rPr>
                <w:iCs/>
                <w:sz w:val="20"/>
                <w:szCs w:val="20"/>
              </w:rPr>
            </w:pPr>
            <w:r w:rsidRPr="00765073">
              <w:rPr>
                <w:iCs/>
                <w:sz w:val="20"/>
                <w:szCs w:val="20"/>
              </w:rPr>
              <w:t>Engineer[a]</w:t>
            </w:r>
          </w:p>
        </w:tc>
        <w:tc>
          <w:tcPr>
            <w:tcW w:w="871" w:type="dxa"/>
            <w:vAlign w:val="bottom"/>
          </w:tcPr>
          <w:p w:rsidR="00067776" w:rsidRPr="00765073" w:rsidP="00067776" w14:paraId="0924EC7F" w14:textId="3576CD8B">
            <w:pPr>
              <w:jc w:val="center"/>
              <w:rPr>
                <w:iCs/>
                <w:sz w:val="20"/>
                <w:szCs w:val="20"/>
              </w:rPr>
            </w:pPr>
            <w:r w:rsidRPr="00765073">
              <w:rPr>
                <w:color w:val="000000"/>
                <w:sz w:val="20"/>
                <w:szCs w:val="20"/>
              </w:rPr>
              <w:t>212100</w:t>
            </w:r>
          </w:p>
        </w:tc>
        <w:tc>
          <w:tcPr>
            <w:tcW w:w="1029" w:type="dxa"/>
            <w:vAlign w:val="bottom"/>
          </w:tcPr>
          <w:p w:rsidR="00067776" w:rsidRPr="00765073" w:rsidP="00067776" w14:paraId="68916AB9" w14:textId="17FDC919">
            <w:pPr>
              <w:jc w:val="center"/>
              <w:rPr>
                <w:iCs/>
                <w:sz w:val="20"/>
                <w:szCs w:val="20"/>
              </w:rPr>
            </w:pPr>
            <w:r w:rsidRPr="00765073">
              <w:rPr>
                <w:color w:val="000000"/>
                <w:sz w:val="20"/>
                <w:szCs w:val="20"/>
              </w:rPr>
              <w:t xml:space="preserve">$50.00 </w:t>
            </w:r>
          </w:p>
        </w:tc>
        <w:tc>
          <w:tcPr>
            <w:tcW w:w="1134" w:type="dxa"/>
            <w:vAlign w:val="bottom"/>
          </w:tcPr>
          <w:p w:rsidR="00067776" w:rsidRPr="00765073" w:rsidP="00067776" w14:paraId="2DB829F4" w14:textId="16A44ACA">
            <w:pPr>
              <w:jc w:val="center"/>
              <w:rPr>
                <w:iCs/>
                <w:sz w:val="20"/>
                <w:szCs w:val="20"/>
              </w:rPr>
            </w:pPr>
            <w:r w:rsidRPr="00765073">
              <w:rPr>
                <w:color w:val="000000"/>
                <w:sz w:val="20"/>
                <w:szCs w:val="20"/>
              </w:rPr>
              <w:t>1.452</w:t>
            </w:r>
          </w:p>
        </w:tc>
        <w:tc>
          <w:tcPr>
            <w:tcW w:w="1182" w:type="dxa"/>
            <w:vAlign w:val="bottom"/>
          </w:tcPr>
          <w:p w:rsidR="00067776" w:rsidRPr="00765073" w:rsidP="00067776" w14:paraId="0D2E3AF4" w14:textId="3D224C20">
            <w:pPr>
              <w:jc w:val="center"/>
              <w:rPr>
                <w:iCs/>
                <w:sz w:val="20"/>
                <w:szCs w:val="20"/>
              </w:rPr>
            </w:pPr>
            <w:r w:rsidRPr="00765073">
              <w:rPr>
                <w:color w:val="000000"/>
                <w:sz w:val="20"/>
                <w:szCs w:val="20"/>
              </w:rPr>
              <w:t>1.031</w:t>
            </w:r>
          </w:p>
        </w:tc>
        <w:tc>
          <w:tcPr>
            <w:tcW w:w="1634" w:type="dxa"/>
            <w:vAlign w:val="bottom"/>
          </w:tcPr>
          <w:p w:rsidR="00067776" w:rsidRPr="00765073" w:rsidP="00067776" w14:paraId="419856CA" w14:textId="37691FD4">
            <w:pPr>
              <w:jc w:val="center"/>
              <w:rPr>
                <w:iCs/>
                <w:sz w:val="20"/>
                <w:szCs w:val="20"/>
              </w:rPr>
            </w:pPr>
            <w:r w:rsidRPr="00765073">
              <w:rPr>
                <w:color w:val="000000"/>
                <w:sz w:val="20"/>
                <w:szCs w:val="20"/>
              </w:rPr>
              <w:t>1.17</w:t>
            </w:r>
          </w:p>
        </w:tc>
        <w:tc>
          <w:tcPr>
            <w:tcW w:w="1933" w:type="dxa"/>
            <w:vAlign w:val="bottom"/>
          </w:tcPr>
          <w:p w:rsidR="00067776" w:rsidRPr="00765073" w:rsidP="00067776" w14:paraId="0C466D69" w14:textId="589C7C38">
            <w:pPr>
              <w:jc w:val="center"/>
              <w:rPr>
                <w:iCs/>
                <w:sz w:val="20"/>
                <w:szCs w:val="20"/>
              </w:rPr>
            </w:pPr>
            <w:r w:rsidRPr="00765073">
              <w:rPr>
                <w:color w:val="000000"/>
                <w:sz w:val="20"/>
                <w:szCs w:val="20"/>
              </w:rPr>
              <w:t xml:space="preserve">$87.58 </w:t>
            </w:r>
          </w:p>
        </w:tc>
      </w:tr>
      <w:tr w14:paraId="13E38CEF" w14:textId="77777777" w:rsidTr="005366CD">
        <w:tblPrEx>
          <w:tblW w:w="0" w:type="auto"/>
          <w:tblLook w:val="04A0"/>
        </w:tblPrEx>
        <w:tc>
          <w:tcPr>
            <w:tcW w:w="1567" w:type="dxa"/>
            <w:vAlign w:val="bottom"/>
          </w:tcPr>
          <w:p w:rsidR="00C0163B" w:rsidRPr="00765073" w:rsidP="00C0163B" w14:paraId="79C92BCC" w14:textId="1547CCEB">
            <w:pPr>
              <w:rPr>
                <w:iCs/>
                <w:sz w:val="20"/>
                <w:szCs w:val="20"/>
              </w:rPr>
            </w:pPr>
            <w:r>
              <w:rPr>
                <w:color w:val="000000"/>
                <w:sz w:val="20"/>
                <w:szCs w:val="20"/>
              </w:rPr>
              <w:t>Clerk[b]</w:t>
            </w:r>
          </w:p>
        </w:tc>
        <w:tc>
          <w:tcPr>
            <w:tcW w:w="871" w:type="dxa"/>
            <w:vAlign w:val="bottom"/>
          </w:tcPr>
          <w:p w:rsidR="00C0163B" w:rsidRPr="00765073" w:rsidP="00C0163B" w14:paraId="35A22B65" w14:textId="33C16195">
            <w:pPr>
              <w:jc w:val="center"/>
              <w:rPr>
                <w:color w:val="000000"/>
                <w:sz w:val="20"/>
                <w:szCs w:val="20"/>
              </w:rPr>
            </w:pPr>
            <w:r>
              <w:rPr>
                <w:color w:val="000000"/>
                <w:sz w:val="20"/>
                <w:szCs w:val="20"/>
              </w:rPr>
              <w:t>212100</w:t>
            </w:r>
          </w:p>
        </w:tc>
        <w:tc>
          <w:tcPr>
            <w:tcW w:w="1029" w:type="dxa"/>
            <w:vAlign w:val="bottom"/>
          </w:tcPr>
          <w:p w:rsidR="00C0163B" w:rsidRPr="00765073" w:rsidP="00C0163B" w14:paraId="296785F4" w14:textId="1CC96294">
            <w:pPr>
              <w:jc w:val="center"/>
              <w:rPr>
                <w:color w:val="000000"/>
                <w:sz w:val="20"/>
                <w:szCs w:val="20"/>
              </w:rPr>
            </w:pPr>
            <w:r>
              <w:rPr>
                <w:color w:val="000000"/>
                <w:sz w:val="20"/>
                <w:szCs w:val="20"/>
              </w:rPr>
              <w:t xml:space="preserve">$25.63 </w:t>
            </w:r>
          </w:p>
        </w:tc>
        <w:tc>
          <w:tcPr>
            <w:tcW w:w="1134" w:type="dxa"/>
            <w:vAlign w:val="bottom"/>
          </w:tcPr>
          <w:p w:rsidR="00C0163B" w:rsidRPr="00765073" w:rsidP="00C0163B" w14:paraId="038AA754" w14:textId="74D78C3F">
            <w:pPr>
              <w:jc w:val="center"/>
              <w:rPr>
                <w:color w:val="000000"/>
                <w:sz w:val="20"/>
                <w:szCs w:val="20"/>
              </w:rPr>
            </w:pPr>
            <w:r>
              <w:rPr>
                <w:color w:val="000000"/>
                <w:sz w:val="20"/>
                <w:szCs w:val="20"/>
              </w:rPr>
              <w:t>1.452</w:t>
            </w:r>
          </w:p>
        </w:tc>
        <w:tc>
          <w:tcPr>
            <w:tcW w:w="1182" w:type="dxa"/>
            <w:vAlign w:val="bottom"/>
          </w:tcPr>
          <w:p w:rsidR="00C0163B" w:rsidRPr="00765073" w:rsidP="00C0163B" w14:paraId="7941F224" w14:textId="0C2C4DD8">
            <w:pPr>
              <w:jc w:val="center"/>
              <w:rPr>
                <w:color w:val="000000"/>
                <w:sz w:val="20"/>
                <w:szCs w:val="20"/>
              </w:rPr>
            </w:pPr>
            <w:r>
              <w:rPr>
                <w:color w:val="000000"/>
                <w:sz w:val="20"/>
                <w:szCs w:val="20"/>
              </w:rPr>
              <w:t>1.031</w:t>
            </w:r>
          </w:p>
        </w:tc>
        <w:tc>
          <w:tcPr>
            <w:tcW w:w="1634" w:type="dxa"/>
            <w:vAlign w:val="bottom"/>
          </w:tcPr>
          <w:p w:rsidR="00C0163B" w:rsidRPr="00765073" w:rsidP="00C0163B" w14:paraId="71F34ADB" w14:textId="1AB2FBD0">
            <w:pPr>
              <w:jc w:val="center"/>
              <w:rPr>
                <w:color w:val="000000"/>
                <w:sz w:val="20"/>
                <w:szCs w:val="20"/>
              </w:rPr>
            </w:pPr>
            <w:r>
              <w:rPr>
                <w:color w:val="000000"/>
                <w:sz w:val="20"/>
                <w:szCs w:val="20"/>
              </w:rPr>
              <w:t>1.17</w:t>
            </w:r>
          </w:p>
        </w:tc>
        <w:tc>
          <w:tcPr>
            <w:tcW w:w="1933" w:type="dxa"/>
            <w:vAlign w:val="bottom"/>
          </w:tcPr>
          <w:p w:rsidR="00C0163B" w:rsidRPr="00765073" w:rsidP="00C0163B" w14:paraId="1D8BB676" w14:textId="5F7311B5">
            <w:pPr>
              <w:jc w:val="center"/>
              <w:rPr>
                <w:color w:val="000000"/>
                <w:sz w:val="20"/>
                <w:szCs w:val="20"/>
              </w:rPr>
            </w:pPr>
            <w:r>
              <w:rPr>
                <w:color w:val="000000"/>
                <w:sz w:val="20"/>
                <w:szCs w:val="20"/>
              </w:rPr>
              <w:t xml:space="preserve">$44.90 </w:t>
            </w:r>
          </w:p>
        </w:tc>
      </w:tr>
    </w:tbl>
    <w:p w:rsidR="008C1F83" w:rsidRPr="00765073" w:rsidP="004A22F3" w14:paraId="7E422526" w14:textId="77777777">
      <w:pPr>
        <w:pStyle w:val="Default"/>
        <w:rPr>
          <w:rFonts w:ascii="Times New Roman" w:hAnsi="Times New Roman" w:cs="Times New Roman"/>
          <w:sz w:val="20"/>
          <w:szCs w:val="20"/>
        </w:rPr>
      </w:pPr>
      <w:bookmarkStart w:id="22" w:name="_Hlk114568297"/>
      <w:r w:rsidRPr="00765073">
        <w:rPr>
          <w:rFonts w:ascii="Times New Roman" w:hAnsi="Times New Roman" w:cs="Times New Roman"/>
          <w:sz w:val="20"/>
          <w:szCs w:val="20"/>
        </w:rPr>
        <w:t xml:space="preserve">Notes: </w:t>
      </w:r>
    </w:p>
    <w:p w:rsidR="008C1F83" w:rsidRPr="00765073" w:rsidP="004A22F3" w14:paraId="1B810AB0" w14:textId="505BDAE3">
      <w:pPr>
        <w:pStyle w:val="Default"/>
        <w:rPr>
          <w:rFonts w:ascii="Times New Roman" w:hAnsi="Times New Roman" w:cs="Times New Roman"/>
          <w:sz w:val="20"/>
          <w:szCs w:val="20"/>
        </w:rPr>
      </w:pPr>
      <w:r w:rsidRPr="00765073">
        <w:rPr>
          <w:rFonts w:ascii="Times New Roman" w:hAnsi="Times New Roman" w:cs="Times New Roman"/>
          <w:sz w:val="20"/>
          <w:szCs w:val="20"/>
        </w:rPr>
        <w:t xml:space="preserve">Benefit Multiplier – </w:t>
      </w:r>
      <w:r w:rsidRPr="00765073" w:rsidR="00B227F0">
        <w:rPr>
          <w:rFonts w:ascii="Times New Roman" w:hAnsi="Times New Roman" w:cs="Times New Roman"/>
          <w:sz w:val="20"/>
          <w:szCs w:val="20"/>
        </w:rPr>
        <w:t>MSHA use</w:t>
      </w:r>
      <w:r w:rsidRPr="00765073" w:rsidR="0045114A">
        <w:rPr>
          <w:rFonts w:ascii="Times New Roman" w:hAnsi="Times New Roman" w:cs="Times New Roman"/>
          <w:sz w:val="20"/>
          <w:szCs w:val="20"/>
        </w:rPr>
        <w:t>s</w:t>
      </w:r>
      <w:r w:rsidRPr="00765073" w:rsidR="00B227F0">
        <w:rPr>
          <w:rFonts w:ascii="Times New Roman" w:hAnsi="Times New Roman" w:cs="Times New Roman"/>
          <w:sz w:val="20"/>
          <w:szCs w:val="20"/>
        </w:rPr>
        <w:t xml:space="preserve"> the latest 4-quarter moving average </w:t>
      </w:r>
      <w:r w:rsidRPr="005366CD" w:rsidR="00B227F0">
        <w:rPr>
          <w:rFonts w:ascii="Times New Roman" w:hAnsi="Times New Roman" w:cs="Times New Roman"/>
          <w:sz w:val="20"/>
          <w:szCs w:val="20"/>
        </w:rPr>
        <w:t>202</w:t>
      </w:r>
      <w:r w:rsidRPr="005366CD" w:rsidR="00DC2CAF">
        <w:rPr>
          <w:rFonts w:ascii="Times New Roman" w:hAnsi="Times New Roman" w:cs="Times New Roman"/>
          <w:sz w:val="20"/>
          <w:szCs w:val="20"/>
        </w:rPr>
        <w:t>4</w:t>
      </w:r>
      <w:r w:rsidRPr="005366CD" w:rsidR="00B227F0">
        <w:rPr>
          <w:rFonts w:ascii="Times New Roman" w:hAnsi="Times New Roman" w:cs="Times New Roman"/>
          <w:sz w:val="20"/>
          <w:szCs w:val="20"/>
        </w:rPr>
        <w:t>Q</w:t>
      </w:r>
      <w:r w:rsidRPr="005366CD" w:rsidR="006967C0">
        <w:rPr>
          <w:rFonts w:ascii="Times New Roman" w:hAnsi="Times New Roman" w:cs="Times New Roman"/>
          <w:sz w:val="20"/>
          <w:szCs w:val="20"/>
        </w:rPr>
        <w:t>2</w:t>
      </w:r>
      <w:r w:rsidRPr="005366CD" w:rsidR="00B227F0">
        <w:rPr>
          <w:rFonts w:ascii="Times New Roman" w:hAnsi="Times New Roman" w:cs="Times New Roman"/>
          <w:sz w:val="20"/>
          <w:szCs w:val="20"/>
        </w:rPr>
        <w:t>-202</w:t>
      </w:r>
      <w:r w:rsidRPr="005366CD" w:rsidR="006967C0">
        <w:rPr>
          <w:rFonts w:ascii="Times New Roman" w:hAnsi="Times New Roman" w:cs="Times New Roman"/>
          <w:sz w:val="20"/>
          <w:szCs w:val="20"/>
        </w:rPr>
        <w:t>5</w:t>
      </w:r>
      <w:r w:rsidRPr="005366CD" w:rsidR="00B227F0">
        <w:rPr>
          <w:rFonts w:ascii="Times New Roman" w:hAnsi="Times New Roman" w:cs="Times New Roman"/>
          <w:sz w:val="20"/>
          <w:szCs w:val="20"/>
        </w:rPr>
        <w:t>Q</w:t>
      </w:r>
      <w:r w:rsidRPr="005366CD" w:rsidR="006967C0">
        <w:rPr>
          <w:rFonts w:ascii="Times New Roman" w:hAnsi="Times New Roman" w:cs="Times New Roman"/>
          <w:sz w:val="20"/>
          <w:szCs w:val="20"/>
        </w:rPr>
        <w:t>1</w:t>
      </w:r>
      <w:r w:rsidRPr="00765073" w:rsidR="00B227F0">
        <w:rPr>
          <w:rFonts w:ascii="Times New Roman" w:hAnsi="Times New Roman" w:cs="Times New Roman"/>
          <w:sz w:val="20"/>
          <w:szCs w:val="20"/>
        </w:rPr>
        <w:t xml:space="preserve"> to determine </w:t>
      </w:r>
      <w:r w:rsidRPr="00765073" w:rsidR="00B227F0">
        <w:rPr>
          <w:rFonts w:ascii="Times New Roman" w:hAnsi="Times New Roman" w:cs="Times New Roman"/>
          <w:color w:val="000000" w:themeColor="text1"/>
          <w:sz w:val="20"/>
          <w:szCs w:val="20"/>
        </w:rPr>
        <w:t xml:space="preserve">that </w:t>
      </w:r>
      <w:r w:rsidRPr="005366CD" w:rsidR="00B227F0">
        <w:rPr>
          <w:rFonts w:ascii="Times New Roman" w:hAnsi="Times New Roman" w:cs="Times New Roman"/>
          <w:color w:val="000000" w:themeColor="text1"/>
          <w:sz w:val="20"/>
          <w:szCs w:val="20"/>
        </w:rPr>
        <w:t>3</w:t>
      </w:r>
      <w:r w:rsidRPr="005366CD" w:rsidR="00FE0536">
        <w:rPr>
          <w:rFonts w:ascii="Times New Roman" w:hAnsi="Times New Roman" w:cs="Times New Roman"/>
          <w:color w:val="000000" w:themeColor="text1"/>
          <w:sz w:val="20"/>
          <w:szCs w:val="20"/>
        </w:rPr>
        <w:t>1.</w:t>
      </w:r>
      <w:r w:rsidRPr="005366CD" w:rsidR="006967C0">
        <w:rPr>
          <w:rFonts w:ascii="Times New Roman" w:hAnsi="Times New Roman" w:cs="Times New Roman"/>
          <w:color w:val="000000" w:themeColor="text1"/>
          <w:sz w:val="20"/>
          <w:szCs w:val="20"/>
        </w:rPr>
        <w:t>1</w:t>
      </w:r>
      <w:r w:rsidRPr="00765073" w:rsidR="00B227F0">
        <w:rPr>
          <w:rFonts w:ascii="Times New Roman" w:hAnsi="Times New Roman" w:cs="Times New Roman"/>
          <w:color w:val="000000" w:themeColor="text1"/>
          <w:sz w:val="20"/>
          <w:szCs w:val="20"/>
        </w:rPr>
        <w:t xml:space="preserve"> percent </w:t>
      </w:r>
      <w:r w:rsidRPr="00765073" w:rsidR="00B227F0">
        <w:rPr>
          <w:rFonts w:ascii="Times New Roman" w:hAnsi="Times New Roman" w:cs="Times New Roman"/>
          <w:sz w:val="20"/>
          <w:szCs w:val="20"/>
        </w:rPr>
        <w:t xml:space="preserve">of total loaded wages are benefits for private industry workers in construction, extraction, farming, fishing, and forestry occupations. The benefit multiplier is </w:t>
      </w:r>
      <w:r w:rsidRPr="005366CD" w:rsidR="00B227F0">
        <w:rPr>
          <w:rFonts w:ascii="Times New Roman" w:hAnsi="Times New Roman" w:cs="Times New Roman"/>
          <w:sz w:val="20"/>
          <w:szCs w:val="20"/>
        </w:rPr>
        <w:t>1.4</w:t>
      </w:r>
      <w:r w:rsidRPr="005366CD" w:rsidR="00C9513A">
        <w:rPr>
          <w:rFonts w:ascii="Times New Roman" w:hAnsi="Times New Roman" w:cs="Times New Roman"/>
          <w:sz w:val="20"/>
          <w:szCs w:val="20"/>
        </w:rPr>
        <w:t>5</w:t>
      </w:r>
      <w:r w:rsidRPr="005366CD" w:rsidR="006967C0">
        <w:rPr>
          <w:rFonts w:ascii="Times New Roman" w:hAnsi="Times New Roman" w:cs="Times New Roman"/>
          <w:sz w:val="20"/>
          <w:szCs w:val="20"/>
        </w:rPr>
        <w:t>2</w:t>
      </w:r>
      <w:r w:rsidRPr="005366CD" w:rsidR="00D60D9E">
        <w:rPr>
          <w:rFonts w:ascii="Times New Roman" w:hAnsi="Times New Roman" w:cs="Times New Roman"/>
          <w:sz w:val="20"/>
          <w:szCs w:val="20"/>
        </w:rPr>
        <w:t xml:space="preserve"> </w:t>
      </w:r>
      <w:r w:rsidRPr="005366CD" w:rsidR="00B227F0">
        <w:rPr>
          <w:rFonts w:ascii="Times New Roman" w:hAnsi="Times New Roman" w:cs="Times New Roman"/>
          <w:sz w:val="20"/>
          <w:szCs w:val="20"/>
        </w:rPr>
        <w:t>= 1+(0.3</w:t>
      </w:r>
      <w:r w:rsidRPr="005366CD" w:rsidR="00FE0536">
        <w:rPr>
          <w:rFonts w:ascii="Times New Roman" w:hAnsi="Times New Roman" w:cs="Times New Roman"/>
          <w:sz w:val="20"/>
          <w:szCs w:val="20"/>
        </w:rPr>
        <w:t>1</w:t>
      </w:r>
      <w:r w:rsidRPr="005366CD" w:rsidR="006967C0">
        <w:rPr>
          <w:rFonts w:ascii="Times New Roman" w:hAnsi="Times New Roman" w:cs="Times New Roman"/>
          <w:sz w:val="20"/>
          <w:szCs w:val="20"/>
        </w:rPr>
        <w:t>1</w:t>
      </w:r>
      <w:r w:rsidRPr="00E272E9" w:rsidR="00E272E9">
        <w:rPr>
          <w:rFonts w:ascii="Times New Roman" w:hAnsi="Times New Roman" w:cs="Times New Roman"/>
          <w:sz w:val="20"/>
          <w:szCs w:val="20"/>
        </w:rPr>
        <w:t>/ (</w:t>
      </w:r>
      <w:r w:rsidRPr="005366CD" w:rsidR="00B227F0">
        <w:rPr>
          <w:rFonts w:ascii="Times New Roman" w:hAnsi="Times New Roman" w:cs="Times New Roman"/>
          <w:sz w:val="20"/>
          <w:szCs w:val="20"/>
        </w:rPr>
        <w:t>1-0.3</w:t>
      </w:r>
      <w:r w:rsidRPr="005366CD" w:rsidR="00FE0536">
        <w:rPr>
          <w:rFonts w:ascii="Times New Roman" w:hAnsi="Times New Roman" w:cs="Times New Roman"/>
          <w:sz w:val="20"/>
          <w:szCs w:val="20"/>
        </w:rPr>
        <w:t>1</w:t>
      </w:r>
      <w:r w:rsidRPr="005366CD" w:rsidR="006967C0">
        <w:rPr>
          <w:rFonts w:ascii="Times New Roman" w:hAnsi="Times New Roman" w:cs="Times New Roman"/>
          <w:sz w:val="20"/>
          <w:szCs w:val="20"/>
        </w:rPr>
        <w:t>1</w:t>
      </w:r>
      <w:r w:rsidRPr="005366CD" w:rsidR="00B227F0">
        <w:rPr>
          <w:rFonts w:ascii="Times New Roman" w:hAnsi="Times New Roman" w:cs="Times New Roman"/>
          <w:sz w:val="20"/>
          <w:szCs w:val="20"/>
        </w:rPr>
        <w:t>))</w:t>
      </w:r>
      <w:r w:rsidRPr="00765073" w:rsidR="00B227F0">
        <w:rPr>
          <w:rFonts w:ascii="Times New Roman" w:hAnsi="Times New Roman" w:cs="Times New Roman"/>
          <w:sz w:val="20"/>
          <w:szCs w:val="20"/>
        </w:rPr>
        <w:t xml:space="preserve">. </w:t>
      </w:r>
    </w:p>
    <w:p w:rsidR="008C1F83" w:rsidRPr="00765073" w:rsidP="004A22F3" w14:paraId="73F07397" w14:textId="5F5832C9">
      <w:pPr>
        <w:pStyle w:val="Default"/>
        <w:rPr>
          <w:rFonts w:ascii="Times New Roman" w:hAnsi="Times New Roman" w:cs="Times New Roman"/>
          <w:sz w:val="20"/>
          <w:szCs w:val="20"/>
        </w:rPr>
      </w:pPr>
      <w:r w:rsidRPr="00765073">
        <w:rPr>
          <w:rFonts w:ascii="Times New Roman" w:hAnsi="Times New Roman" w:cs="Times New Roman"/>
          <w:sz w:val="20"/>
          <w:szCs w:val="20"/>
        </w:rPr>
        <w:t xml:space="preserve">Inflation Multiplier – </w:t>
      </w:r>
      <w:r w:rsidRPr="00765073" w:rsidR="00B227F0">
        <w:rPr>
          <w:rFonts w:ascii="Times New Roman" w:hAnsi="Times New Roman" w:cs="Times New Roman"/>
          <w:sz w:val="20"/>
          <w:szCs w:val="20"/>
        </w:rPr>
        <w:t xml:space="preserve">The inflation multiplier </w:t>
      </w:r>
      <w:r w:rsidRPr="00765073" w:rsidR="0045114A">
        <w:rPr>
          <w:rFonts w:ascii="Times New Roman" w:hAnsi="Times New Roman" w:cs="Times New Roman"/>
          <w:sz w:val="20"/>
          <w:szCs w:val="20"/>
        </w:rPr>
        <w:t>i</w:t>
      </w:r>
      <w:r w:rsidRPr="00765073" w:rsidR="00B227F0">
        <w:rPr>
          <w:rFonts w:ascii="Times New Roman" w:hAnsi="Times New Roman" w:cs="Times New Roman"/>
          <w:sz w:val="20"/>
          <w:szCs w:val="20"/>
        </w:rPr>
        <w:t xml:space="preserve">s determined by using the employment price index from the most current quarter, </w:t>
      </w:r>
      <w:r w:rsidRPr="005366CD" w:rsidR="00B227F0">
        <w:rPr>
          <w:rFonts w:ascii="Times New Roman" w:hAnsi="Times New Roman" w:cs="Times New Roman"/>
          <w:sz w:val="20"/>
          <w:szCs w:val="20"/>
        </w:rPr>
        <w:t>202</w:t>
      </w:r>
      <w:r w:rsidRPr="005366CD" w:rsidR="006967C0">
        <w:rPr>
          <w:rFonts w:ascii="Times New Roman" w:hAnsi="Times New Roman" w:cs="Times New Roman"/>
          <w:sz w:val="20"/>
          <w:szCs w:val="20"/>
        </w:rPr>
        <w:t>5</w:t>
      </w:r>
      <w:r w:rsidRPr="005366CD" w:rsidR="00B227F0">
        <w:rPr>
          <w:rFonts w:ascii="Times New Roman" w:hAnsi="Times New Roman" w:cs="Times New Roman"/>
          <w:sz w:val="20"/>
          <w:szCs w:val="20"/>
        </w:rPr>
        <w:t>Q</w:t>
      </w:r>
      <w:r w:rsidRPr="005366CD" w:rsidR="006967C0">
        <w:rPr>
          <w:rFonts w:ascii="Times New Roman" w:hAnsi="Times New Roman" w:cs="Times New Roman"/>
          <w:sz w:val="20"/>
          <w:szCs w:val="20"/>
        </w:rPr>
        <w:t>1</w:t>
      </w:r>
      <w:r w:rsidRPr="00765073" w:rsidR="00B227F0">
        <w:rPr>
          <w:rFonts w:ascii="Times New Roman" w:hAnsi="Times New Roman" w:cs="Times New Roman"/>
          <w:sz w:val="20"/>
          <w:szCs w:val="20"/>
        </w:rPr>
        <w:t xml:space="preserve">, divided by the base year and quarter of the OEWS employment and wage statistics, </w:t>
      </w:r>
      <w:r w:rsidRPr="005366CD" w:rsidR="00B227F0">
        <w:rPr>
          <w:rFonts w:ascii="Times New Roman" w:hAnsi="Times New Roman" w:cs="Times New Roman"/>
          <w:sz w:val="20"/>
          <w:szCs w:val="20"/>
        </w:rPr>
        <w:t>20</w:t>
      </w:r>
      <w:r w:rsidRPr="005366CD" w:rsidR="009A3438">
        <w:rPr>
          <w:rFonts w:ascii="Times New Roman" w:hAnsi="Times New Roman" w:cs="Times New Roman"/>
          <w:sz w:val="20"/>
          <w:szCs w:val="20"/>
        </w:rPr>
        <w:t>2</w:t>
      </w:r>
      <w:r w:rsidRPr="005366CD" w:rsidR="00B16B53">
        <w:rPr>
          <w:rFonts w:ascii="Times New Roman" w:hAnsi="Times New Roman" w:cs="Times New Roman"/>
          <w:sz w:val="20"/>
          <w:szCs w:val="20"/>
        </w:rPr>
        <w:t>4</w:t>
      </w:r>
      <w:r w:rsidRPr="005366CD" w:rsidR="00B227F0">
        <w:rPr>
          <w:rFonts w:ascii="Times New Roman" w:hAnsi="Times New Roman" w:cs="Times New Roman"/>
          <w:sz w:val="20"/>
          <w:szCs w:val="20"/>
        </w:rPr>
        <w:t>Q2</w:t>
      </w:r>
      <w:r w:rsidRPr="00765073" w:rsidR="00B227F0">
        <w:rPr>
          <w:rFonts w:ascii="Times New Roman" w:hAnsi="Times New Roman" w:cs="Times New Roman"/>
          <w:sz w:val="20"/>
          <w:szCs w:val="20"/>
        </w:rPr>
        <w:t xml:space="preserve">, for private industry workers in construction, extraction, farming, fishing, and forestry occupations, current dollar index. The inflation multiplier is </w:t>
      </w:r>
      <w:r w:rsidRPr="005366CD" w:rsidR="00B227F0">
        <w:rPr>
          <w:rFonts w:ascii="Times New Roman" w:hAnsi="Times New Roman" w:cs="Times New Roman"/>
          <w:sz w:val="20"/>
          <w:szCs w:val="20"/>
        </w:rPr>
        <w:t>1.0</w:t>
      </w:r>
      <w:r w:rsidRPr="005366CD" w:rsidR="006967C0">
        <w:rPr>
          <w:rFonts w:ascii="Times New Roman" w:hAnsi="Times New Roman" w:cs="Times New Roman"/>
          <w:sz w:val="20"/>
          <w:szCs w:val="20"/>
        </w:rPr>
        <w:t>31</w:t>
      </w:r>
      <w:r w:rsidRPr="005366CD" w:rsidR="00B227F0">
        <w:rPr>
          <w:rFonts w:ascii="Times New Roman" w:hAnsi="Times New Roman" w:cs="Times New Roman"/>
          <w:sz w:val="20"/>
          <w:szCs w:val="20"/>
        </w:rPr>
        <w:t xml:space="preserve"> = </w:t>
      </w:r>
      <w:r w:rsidRPr="005366CD" w:rsidR="009A3438">
        <w:rPr>
          <w:rFonts w:ascii="Times New Roman" w:hAnsi="Times New Roman" w:cs="Times New Roman"/>
          <w:sz w:val="20"/>
          <w:szCs w:val="20"/>
        </w:rPr>
        <w:t>16</w:t>
      </w:r>
      <w:r w:rsidRPr="005366CD" w:rsidR="006967C0">
        <w:rPr>
          <w:rFonts w:ascii="Times New Roman" w:hAnsi="Times New Roman" w:cs="Times New Roman"/>
          <w:sz w:val="20"/>
          <w:szCs w:val="20"/>
        </w:rPr>
        <w:t>8.1</w:t>
      </w:r>
      <w:r w:rsidRPr="005366CD" w:rsidR="00B227F0">
        <w:rPr>
          <w:rFonts w:ascii="Times New Roman" w:hAnsi="Times New Roman" w:cs="Times New Roman"/>
          <w:sz w:val="20"/>
          <w:szCs w:val="20"/>
        </w:rPr>
        <w:t>/</w:t>
      </w:r>
      <w:r w:rsidRPr="005366CD" w:rsidR="009A3438">
        <w:rPr>
          <w:rFonts w:ascii="Times New Roman" w:hAnsi="Times New Roman" w:cs="Times New Roman"/>
          <w:sz w:val="20"/>
          <w:szCs w:val="20"/>
        </w:rPr>
        <w:t>1</w:t>
      </w:r>
      <w:r w:rsidRPr="005366CD" w:rsidR="00B16B53">
        <w:rPr>
          <w:rFonts w:ascii="Times New Roman" w:hAnsi="Times New Roman" w:cs="Times New Roman"/>
          <w:sz w:val="20"/>
          <w:szCs w:val="20"/>
        </w:rPr>
        <w:t>63.1</w:t>
      </w:r>
      <w:r w:rsidRPr="00765073" w:rsidR="00B227F0">
        <w:rPr>
          <w:rFonts w:ascii="Times New Roman" w:hAnsi="Times New Roman" w:cs="Times New Roman"/>
          <w:sz w:val="20"/>
          <w:szCs w:val="20"/>
        </w:rPr>
        <w:t xml:space="preserve">. </w:t>
      </w:r>
    </w:p>
    <w:p w:rsidR="00B227F0" w:rsidRPr="00765073" w:rsidP="004A22F3" w14:paraId="79FBD567" w14:textId="4FFBB2A1">
      <w:pPr>
        <w:pStyle w:val="Default"/>
        <w:rPr>
          <w:rFonts w:ascii="Times New Roman" w:hAnsi="Times New Roman" w:cs="Times New Roman"/>
          <w:sz w:val="20"/>
          <w:szCs w:val="20"/>
        </w:rPr>
      </w:pPr>
      <w:bookmarkStart w:id="23" w:name="_Hlk190781081"/>
      <w:r w:rsidRPr="00765073">
        <w:rPr>
          <w:rFonts w:ascii="Times New Roman" w:hAnsi="Times New Roman" w:cs="Times New Roman"/>
          <w:sz w:val="20"/>
          <w:szCs w:val="20"/>
        </w:rPr>
        <w:t>Overhead Multiplier –</w:t>
      </w:r>
      <w:r w:rsidRPr="00765073" w:rsidR="00315F9D">
        <w:rPr>
          <w:rFonts w:ascii="Times New Roman" w:hAnsi="Times New Roman" w:cs="Times New Roman"/>
          <w:sz w:val="20"/>
          <w:szCs w:val="20"/>
        </w:rPr>
        <w:t xml:space="preserve"> </w:t>
      </w:r>
      <w:r w:rsidRPr="00765073" w:rsidR="00FE0E7A">
        <w:rPr>
          <w:rFonts w:ascii="Times New Roman" w:hAnsi="Times New Roman" w:cs="Times New Roman"/>
          <w:sz w:val="20"/>
          <w:szCs w:val="20"/>
        </w:rPr>
        <w:t>MSHA use</w:t>
      </w:r>
      <w:r w:rsidRPr="00765073" w:rsidR="00166CB1">
        <w:rPr>
          <w:rFonts w:ascii="Times New Roman" w:hAnsi="Times New Roman" w:cs="Times New Roman"/>
          <w:sz w:val="20"/>
          <w:szCs w:val="20"/>
        </w:rPr>
        <w:t>s</w:t>
      </w:r>
      <w:r w:rsidRPr="00765073" w:rsidR="00FE0E7A">
        <w:rPr>
          <w:rFonts w:ascii="Times New Roman" w:hAnsi="Times New Roman" w:cs="Times New Roman"/>
          <w:sz w:val="20"/>
          <w:szCs w:val="20"/>
        </w:rPr>
        <w:t xml:space="preserve"> an overhead rate of 17 percent.</w:t>
      </w:r>
    </w:p>
    <w:p w:rsidR="00381CA8" w:rsidRPr="00765073" w:rsidP="00B8413C" w14:paraId="483012AB" w14:textId="40AB71C4">
      <w:pPr>
        <w:rPr>
          <w:sz w:val="20"/>
          <w:szCs w:val="20"/>
        </w:rPr>
      </w:pPr>
      <w:bookmarkStart w:id="24" w:name="_Hlk192754981"/>
      <w:bookmarkEnd w:id="21"/>
      <w:bookmarkEnd w:id="23"/>
      <w:r w:rsidRPr="00765073">
        <w:rPr>
          <w:sz w:val="20"/>
          <w:szCs w:val="20"/>
        </w:rPr>
        <w:t xml:space="preserve">[a] </w:t>
      </w:r>
      <w:r w:rsidRPr="00765073" w:rsidR="008F7DDE">
        <w:rPr>
          <w:sz w:val="20"/>
          <w:szCs w:val="20"/>
        </w:rPr>
        <w:t>The Standard Occupation Codes (SOC</w:t>
      </w:r>
      <w:r w:rsidRPr="00765073" w:rsidR="00200E84">
        <w:rPr>
          <w:sz w:val="20"/>
          <w:szCs w:val="20"/>
        </w:rPr>
        <w:t>s</w:t>
      </w:r>
      <w:r w:rsidRPr="00765073" w:rsidR="008F7DDE">
        <w:rPr>
          <w:sz w:val="20"/>
          <w:szCs w:val="20"/>
        </w:rPr>
        <w:t xml:space="preserve">) used </w:t>
      </w:r>
      <w:bookmarkEnd w:id="24"/>
      <w:r w:rsidRPr="00765073">
        <w:rPr>
          <w:sz w:val="20"/>
          <w:szCs w:val="20"/>
        </w:rPr>
        <w:t>for this occupation are (</w:t>
      </w:r>
      <w:r w:rsidRPr="00765073" w:rsidR="00B8413C">
        <w:rPr>
          <w:sz w:val="20"/>
          <w:szCs w:val="20"/>
        </w:rPr>
        <w:t>17-2071, 17-2081, and 17-2151</w:t>
      </w:r>
      <w:r w:rsidRPr="00765073">
        <w:rPr>
          <w:sz w:val="20"/>
          <w:szCs w:val="20"/>
        </w:rPr>
        <w:t>)</w:t>
      </w:r>
      <w:r w:rsidRPr="00765073" w:rsidR="00B8413C">
        <w:rPr>
          <w:sz w:val="20"/>
          <w:szCs w:val="20"/>
        </w:rPr>
        <w:t>.</w:t>
      </w:r>
    </w:p>
    <w:p w:rsidR="00A94123" w:rsidRPr="00765073" w:rsidP="00A94123" w14:paraId="7DE49B9E" w14:textId="5DDB6F98">
      <w:pPr>
        <w:rPr>
          <w:sz w:val="20"/>
          <w:szCs w:val="20"/>
        </w:rPr>
      </w:pPr>
      <w:r w:rsidRPr="00765073">
        <w:rPr>
          <w:sz w:val="20"/>
          <w:szCs w:val="20"/>
        </w:rPr>
        <w:t>[</w:t>
      </w:r>
      <w:r w:rsidR="00C0163B">
        <w:rPr>
          <w:sz w:val="20"/>
          <w:szCs w:val="20"/>
        </w:rPr>
        <w:t>b</w:t>
      </w:r>
      <w:r w:rsidRPr="00765073">
        <w:rPr>
          <w:sz w:val="20"/>
          <w:szCs w:val="20"/>
        </w:rPr>
        <w:t>] The SOCs used for this occupation are (43-3031, 43-3051, 43-5061, 43-5071, and 43-9061).</w:t>
      </w:r>
    </w:p>
    <w:bookmarkEnd w:id="22"/>
    <w:p w:rsidR="008F7DDE" w:rsidRPr="00765073" w:rsidP="005C6CA9" w14:paraId="005AE4E8" w14:textId="77777777"/>
    <w:p w:rsidR="00EA6474" w:rsidRPr="00765073" w:rsidP="004A22F3" w14:paraId="18F91EEC" w14:textId="77777777">
      <w:pPr>
        <w:pStyle w:val="Default"/>
        <w:rPr>
          <w:rFonts w:ascii="Times New Roman" w:hAnsi="Times New Roman" w:cs="Times New Roman"/>
          <w:b/>
          <w:bCs/>
        </w:rPr>
      </w:pPr>
      <w:bookmarkStart w:id="25" w:name="_Hlk114568327"/>
      <w:r w:rsidRPr="00765073">
        <w:rPr>
          <w:rFonts w:ascii="Times New Roman" w:hAnsi="Times New Roman" w:cs="Times New Roman"/>
          <w:b/>
          <w:bCs/>
        </w:rPr>
        <w:t>Hour Burden</w:t>
      </w:r>
    </w:p>
    <w:p w:rsidR="00EA6474" w:rsidRPr="00765073" w:rsidP="004A22F3" w14:paraId="4E72742E" w14:textId="77777777">
      <w:pPr>
        <w:pStyle w:val="Default"/>
        <w:rPr>
          <w:rFonts w:ascii="Times New Roman" w:hAnsi="Times New Roman" w:cs="Times New Roman"/>
          <w:b/>
          <w:bCs/>
        </w:rPr>
      </w:pPr>
    </w:p>
    <w:p w:rsidR="00CE2C64" w:rsidRPr="005366CD" w:rsidP="00CE2C64" w14:paraId="762B1862" w14:textId="40F141E9">
      <w:pPr>
        <w:pStyle w:val="ListParagraph"/>
        <w:numPr>
          <w:ilvl w:val="0"/>
          <w:numId w:val="3"/>
        </w:numPr>
        <w:spacing w:after="0" w:line="240" w:lineRule="auto"/>
        <w:rPr>
          <w:b/>
          <w:bCs/>
          <w:szCs w:val="24"/>
        </w:rPr>
      </w:pPr>
      <w:r>
        <w:rPr>
          <w:b/>
          <w:bCs/>
          <w:szCs w:val="24"/>
        </w:rPr>
        <w:t xml:space="preserve">Preparing and Submitting </w:t>
      </w:r>
      <w:r w:rsidRPr="00765073" w:rsidR="009D7057">
        <w:rPr>
          <w:b/>
          <w:bCs/>
          <w:szCs w:val="24"/>
        </w:rPr>
        <w:t xml:space="preserve">Slope and </w:t>
      </w:r>
      <w:r w:rsidR="00292484">
        <w:rPr>
          <w:b/>
          <w:bCs/>
          <w:szCs w:val="24"/>
        </w:rPr>
        <w:t>S</w:t>
      </w:r>
      <w:r w:rsidRPr="00765073" w:rsidR="009D7057">
        <w:rPr>
          <w:b/>
          <w:bCs/>
          <w:szCs w:val="24"/>
        </w:rPr>
        <w:t xml:space="preserve">haft </w:t>
      </w:r>
      <w:r w:rsidR="00292484">
        <w:rPr>
          <w:b/>
          <w:bCs/>
          <w:szCs w:val="24"/>
        </w:rPr>
        <w:t>P</w:t>
      </w:r>
      <w:r w:rsidRPr="00765073" w:rsidR="009D7057">
        <w:rPr>
          <w:b/>
          <w:bCs/>
          <w:szCs w:val="24"/>
        </w:rPr>
        <w:t>lans</w:t>
      </w:r>
      <w:r w:rsidRPr="00765073">
        <w:rPr>
          <w:color w:val="000000" w:themeColor="text1"/>
        </w:rPr>
        <w:t xml:space="preserve"> </w:t>
      </w:r>
    </w:p>
    <w:p w:rsidR="00CE2C64" w:rsidRPr="005366CD" w:rsidP="005366CD" w14:paraId="1CA20CF5" w14:textId="77777777">
      <w:pPr>
        <w:rPr>
          <w:b/>
          <w:bCs/>
        </w:rPr>
      </w:pPr>
    </w:p>
    <w:p w:rsidR="00856424" w:rsidRPr="005366CD" w:rsidP="005366CD" w14:paraId="4A7C43D7" w14:textId="5447904A">
      <w:pPr>
        <w:rPr>
          <w:b/>
          <w:bCs/>
        </w:rPr>
      </w:pPr>
      <w:r w:rsidRPr="005366CD">
        <w:rPr>
          <w:color w:val="000000" w:themeColor="text1"/>
        </w:rPr>
        <w:t xml:space="preserve">Under 30 CFR 77.1900, </w:t>
      </w:r>
      <w:r w:rsidR="005829AD">
        <w:rPr>
          <w:color w:val="000000" w:themeColor="text1"/>
        </w:rPr>
        <w:t xml:space="preserve">underground coal </w:t>
      </w:r>
      <w:r w:rsidRPr="005366CD">
        <w:rPr>
          <w:color w:val="000000" w:themeColor="text1"/>
        </w:rPr>
        <w:t xml:space="preserve">mine operators </w:t>
      </w:r>
      <w:r w:rsidR="005829AD">
        <w:rPr>
          <w:color w:val="000000" w:themeColor="text1"/>
        </w:rPr>
        <w:t>with s</w:t>
      </w:r>
      <w:r w:rsidRPr="005829AD" w:rsidR="005829AD">
        <w:rPr>
          <w:color w:val="000000" w:themeColor="text1"/>
        </w:rPr>
        <w:t xml:space="preserve">urface </w:t>
      </w:r>
      <w:r w:rsidR="005829AD">
        <w:rPr>
          <w:color w:val="000000" w:themeColor="text1"/>
        </w:rPr>
        <w:t>w</w:t>
      </w:r>
      <w:r w:rsidRPr="005829AD" w:rsidR="005829AD">
        <w:rPr>
          <w:color w:val="000000" w:themeColor="text1"/>
        </w:rPr>
        <w:t xml:space="preserve">ork </w:t>
      </w:r>
      <w:r w:rsidR="005829AD">
        <w:rPr>
          <w:color w:val="000000" w:themeColor="text1"/>
        </w:rPr>
        <w:t>a</w:t>
      </w:r>
      <w:r w:rsidRPr="005829AD" w:rsidR="005829AD">
        <w:rPr>
          <w:color w:val="000000" w:themeColor="text1"/>
        </w:rPr>
        <w:t>reas</w:t>
      </w:r>
      <w:r w:rsidR="007420EB">
        <w:rPr>
          <w:color w:val="000000" w:themeColor="text1"/>
        </w:rPr>
        <w:t xml:space="preserve"> must </w:t>
      </w:r>
      <w:r w:rsidRPr="005366CD">
        <w:rPr>
          <w:color w:val="000000" w:themeColor="text1"/>
        </w:rPr>
        <w:t xml:space="preserve">prepare and submit </w:t>
      </w:r>
      <w:r w:rsidR="005829AD">
        <w:rPr>
          <w:color w:val="000000" w:themeColor="text1"/>
        </w:rPr>
        <w:t xml:space="preserve">slope and shaft </w:t>
      </w:r>
      <w:r w:rsidRPr="005366CD">
        <w:rPr>
          <w:color w:val="000000" w:themeColor="text1"/>
        </w:rPr>
        <w:t>plan</w:t>
      </w:r>
      <w:r w:rsidR="00502237">
        <w:rPr>
          <w:color w:val="000000" w:themeColor="text1"/>
        </w:rPr>
        <w:t>s</w:t>
      </w:r>
      <w:r w:rsidRPr="005366CD">
        <w:rPr>
          <w:color w:val="000000" w:themeColor="text1"/>
        </w:rPr>
        <w:t>.</w:t>
      </w:r>
      <w:r w:rsidRPr="00765073">
        <w:rPr>
          <w:color w:val="000000" w:themeColor="text1"/>
        </w:rPr>
        <w:t xml:space="preserve"> </w:t>
      </w:r>
      <w:r>
        <w:rPr>
          <w:color w:val="000000" w:themeColor="text1"/>
        </w:rPr>
        <w:t xml:space="preserve">MSHA estimates that </w:t>
      </w:r>
      <w:r w:rsidR="004C1BB9">
        <w:rPr>
          <w:rFonts w:eastAsia="Calibri"/>
          <w:color w:val="000000" w:themeColor="text1"/>
          <w:szCs w:val="22"/>
          <w14:ligatures w14:val="standardContextual"/>
        </w:rPr>
        <w:t>20</w:t>
      </w:r>
      <w:r w:rsidRPr="00765073" w:rsidR="005829AD">
        <w:rPr>
          <w:rFonts w:eastAsia="Calibri"/>
          <w:color w:val="000000" w:themeColor="text1"/>
          <w:szCs w:val="22"/>
          <w14:ligatures w14:val="standardContextual"/>
        </w:rPr>
        <w:t xml:space="preserve"> </w:t>
      </w:r>
      <w:r w:rsidR="004C1BB9">
        <w:rPr>
          <w:rFonts w:eastAsia="Calibri"/>
          <w:color w:val="000000" w:themeColor="text1"/>
          <w:szCs w:val="22"/>
          <w14:ligatures w14:val="standardContextual"/>
        </w:rPr>
        <w:t xml:space="preserve">affected underground </w:t>
      </w:r>
      <w:r w:rsidRPr="00765073" w:rsidR="005829AD">
        <w:rPr>
          <w:rFonts w:eastAsia="Calibri"/>
          <w:color w:val="000000" w:themeColor="text1"/>
          <w:szCs w:val="22"/>
          <w14:ligatures w14:val="standardContextual"/>
        </w:rPr>
        <w:t>coal mines</w:t>
      </w:r>
      <w:r w:rsidR="005829AD">
        <w:rPr>
          <w:color w:val="000000" w:themeColor="text1"/>
        </w:rPr>
        <w:t xml:space="preserve"> </w:t>
      </w:r>
      <w:r w:rsidR="005829AD">
        <w:rPr>
          <w:color w:val="000000" w:themeColor="text1"/>
        </w:rPr>
        <w:t>submit</w:t>
      </w:r>
      <w:r>
        <w:rPr>
          <w:color w:val="000000" w:themeColor="text1"/>
        </w:rPr>
        <w:t xml:space="preserve"> 50 plans to MSHA each year, </w:t>
      </w:r>
      <w:r w:rsidR="004C1BB9">
        <w:rPr>
          <w:color w:val="000000" w:themeColor="text1"/>
        </w:rPr>
        <w:t xml:space="preserve">including </w:t>
      </w:r>
      <w:r>
        <w:rPr>
          <w:color w:val="000000" w:themeColor="text1"/>
        </w:rPr>
        <w:t>2</w:t>
      </w:r>
      <w:r w:rsidR="00F34930">
        <w:rPr>
          <w:color w:val="000000" w:themeColor="text1"/>
        </w:rPr>
        <w:t>0</w:t>
      </w:r>
      <w:r>
        <w:rPr>
          <w:color w:val="000000" w:themeColor="text1"/>
        </w:rPr>
        <w:t xml:space="preserve"> base plans and </w:t>
      </w:r>
      <w:r w:rsidR="00F34930">
        <w:rPr>
          <w:color w:val="000000" w:themeColor="text1"/>
        </w:rPr>
        <w:t>30</w:t>
      </w:r>
      <w:r>
        <w:rPr>
          <w:color w:val="000000" w:themeColor="text1"/>
        </w:rPr>
        <w:t xml:space="preserve"> revised plans.</w:t>
      </w:r>
    </w:p>
    <w:p w:rsidR="00CE2C64" w:rsidRPr="00765073" w:rsidP="00CE2C64" w14:paraId="384A7D03" w14:textId="77777777">
      <w:pPr>
        <w:rPr>
          <w:b/>
          <w:bCs/>
        </w:rPr>
      </w:pPr>
    </w:p>
    <w:p w:rsidR="00A20E71" w:rsidP="005366CD" w14:paraId="45D8216A" w14:textId="77777777"/>
    <w:p w:rsidR="00CE2C64" w:rsidRPr="00765073" w:rsidP="005366CD" w14:paraId="5C462E43" w14:textId="5B0765C5">
      <w:r w:rsidRPr="005366CD">
        <w:t>I-1. Creat</w:t>
      </w:r>
      <w:r w:rsidR="001E0CC8">
        <w:t>ing</w:t>
      </w:r>
      <w:r w:rsidRPr="005366CD">
        <w:t xml:space="preserve"> or </w:t>
      </w:r>
      <w:r w:rsidRPr="005366CD" w:rsidR="00A94123">
        <w:t>Revis</w:t>
      </w:r>
      <w:r w:rsidR="001E0CC8">
        <w:t xml:space="preserve">ing </w:t>
      </w:r>
      <w:r w:rsidRPr="005366CD" w:rsidR="00A94123">
        <w:t>P</w:t>
      </w:r>
      <w:r w:rsidRPr="005366CD">
        <w:t>lans</w:t>
      </w:r>
    </w:p>
    <w:p w:rsidR="00A20E71" w:rsidP="005C6CA9" w14:paraId="2CA2D36E" w14:textId="77777777">
      <w:pPr>
        <w:rPr>
          <w:color w:val="000000" w:themeColor="text1"/>
        </w:rPr>
      </w:pPr>
    </w:p>
    <w:p w:rsidR="00673B68" w:rsidRPr="005366CD" w:rsidP="005C6CA9" w14:paraId="42F48D9A" w14:textId="14AF858B">
      <w:pPr>
        <w:rPr>
          <w:color w:val="000000" w:themeColor="text1"/>
        </w:rPr>
      </w:pPr>
      <w:r w:rsidRPr="005366CD">
        <w:rPr>
          <w:color w:val="000000" w:themeColor="text1"/>
        </w:rPr>
        <w:t>MSHA estimates that it takes a mining engineer, earning $</w:t>
      </w:r>
      <w:r w:rsidR="00E97A80">
        <w:rPr>
          <w:color w:val="000000" w:themeColor="text1"/>
        </w:rPr>
        <w:t>87.58</w:t>
      </w:r>
      <w:r w:rsidRPr="005366CD">
        <w:rPr>
          <w:color w:val="000000" w:themeColor="text1"/>
        </w:rPr>
        <w:t xml:space="preserve"> per hour, 20 hours to </w:t>
      </w:r>
      <w:r w:rsidR="004C1BB9">
        <w:rPr>
          <w:color w:val="000000" w:themeColor="text1"/>
        </w:rPr>
        <w:t xml:space="preserve">either </w:t>
      </w:r>
      <w:r w:rsidRPr="00765073" w:rsidR="00A94123">
        <w:rPr>
          <w:color w:val="000000" w:themeColor="text1"/>
        </w:rPr>
        <w:t>create or revise</w:t>
      </w:r>
      <w:r w:rsidRPr="005366CD">
        <w:rPr>
          <w:color w:val="000000" w:themeColor="text1"/>
        </w:rPr>
        <w:t xml:space="preserve"> a</w:t>
      </w:r>
      <w:r w:rsidR="00E97A80">
        <w:rPr>
          <w:color w:val="000000" w:themeColor="text1"/>
        </w:rPr>
        <w:t xml:space="preserve"> </w:t>
      </w:r>
      <w:r w:rsidR="004C1BB9">
        <w:rPr>
          <w:color w:val="000000" w:themeColor="text1"/>
        </w:rPr>
        <w:t xml:space="preserve">slope and shaft </w:t>
      </w:r>
      <w:r w:rsidRPr="00765073" w:rsidR="00A94123">
        <w:rPr>
          <w:color w:val="000000" w:themeColor="text1"/>
        </w:rPr>
        <w:t>plan</w:t>
      </w:r>
      <w:r w:rsidRPr="005366CD">
        <w:rPr>
          <w:color w:val="000000" w:themeColor="text1"/>
        </w:rPr>
        <w:t xml:space="preserve">. </w:t>
      </w:r>
    </w:p>
    <w:bookmarkEnd w:id="25"/>
    <w:p w:rsidR="008F7DDE" w:rsidRPr="00765073" w:rsidP="005C6CA9" w14:paraId="75BF07C9" w14:textId="77777777">
      <w:pPr>
        <w:autoSpaceDE/>
        <w:autoSpaceDN/>
        <w:adjustRightInd/>
      </w:pPr>
    </w:p>
    <w:p w:rsidR="00052BD8" w:rsidRPr="00765073" w:rsidP="004A22F3" w14:paraId="7FF16E26" w14:textId="5B06CB01">
      <w:pPr>
        <w:widowControl/>
        <w:autoSpaceDE/>
        <w:autoSpaceDN/>
        <w:adjustRightInd/>
        <w:rPr>
          <w:b/>
          <w:bCs/>
          <w:color w:val="000000"/>
        </w:rPr>
      </w:pPr>
      <w:bookmarkStart w:id="26" w:name="_Hlk114568917"/>
      <w:bookmarkStart w:id="27" w:name="_Hlk192756600"/>
      <w:r w:rsidRPr="00765073">
        <w:rPr>
          <w:b/>
          <w:bCs/>
          <w:color w:val="000000"/>
        </w:rPr>
        <w:t xml:space="preserve">Table 12-2. Estimated Annual Respondent Hour and Cost Burden, </w:t>
      </w:r>
      <w:r w:rsidR="0048171D">
        <w:rPr>
          <w:b/>
          <w:bCs/>
          <w:color w:val="000000"/>
        </w:rPr>
        <w:t>Creat</w:t>
      </w:r>
      <w:r w:rsidR="005829AD">
        <w:rPr>
          <w:b/>
          <w:bCs/>
          <w:color w:val="000000"/>
        </w:rPr>
        <w:t>ing</w:t>
      </w:r>
      <w:r w:rsidR="0048171D">
        <w:rPr>
          <w:b/>
          <w:bCs/>
          <w:color w:val="000000"/>
        </w:rPr>
        <w:t xml:space="preserve"> or Revis</w:t>
      </w:r>
      <w:r w:rsidR="005829AD">
        <w:rPr>
          <w:b/>
          <w:bCs/>
          <w:color w:val="000000"/>
        </w:rPr>
        <w:t>ing</w:t>
      </w:r>
      <w:r w:rsidR="0048171D">
        <w:rPr>
          <w:b/>
          <w:bCs/>
          <w:color w:val="000000"/>
        </w:rPr>
        <w:t xml:space="preserve"> Plans </w:t>
      </w:r>
      <w:r w:rsidRPr="00765073">
        <w:rPr>
          <w:b/>
          <w:bCs/>
          <w:color w:val="000000"/>
        </w:rPr>
        <w:t>(30 CFR</w:t>
      </w:r>
      <w:r w:rsidR="0048171D">
        <w:rPr>
          <w:b/>
          <w:bCs/>
          <w:color w:val="000000"/>
        </w:rPr>
        <w:t xml:space="preserve"> 77.1900</w:t>
      </w:r>
      <w:r w:rsidRPr="00765073">
        <w:rPr>
          <w:b/>
          <w:bCs/>
          <w:color w:val="000000"/>
        </w:rPr>
        <w:t>)</w:t>
      </w:r>
    </w:p>
    <w:tbl>
      <w:tblPr>
        <w:tblStyle w:val="TableGrid"/>
        <w:tblW w:w="9715" w:type="dxa"/>
        <w:tblLayout w:type="fixed"/>
        <w:tblLook w:val="04A0"/>
      </w:tblPr>
      <w:tblGrid>
        <w:gridCol w:w="1525"/>
        <w:gridCol w:w="1350"/>
        <w:gridCol w:w="1260"/>
        <w:gridCol w:w="1440"/>
        <w:gridCol w:w="990"/>
        <w:gridCol w:w="990"/>
        <w:gridCol w:w="990"/>
        <w:gridCol w:w="1170"/>
      </w:tblGrid>
      <w:tr w14:paraId="25A98629" w14:textId="77777777" w:rsidTr="005366CD">
        <w:tblPrEx>
          <w:tblW w:w="9715" w:type="dxa"/>
          <w:tblLayout w:type="fixed"/>
          <w:tblLook w:val="04A0"/>
        </w:tblPrEx>
        <w:trPr>
          <w:trHeight w:val="747"/>
        </w:trPr>
        <w:tc>
          <w:tcPr>
            <w:tcW w:w="1525" w:type="dxa"/>
            <w:shd w:val="clear" w:color="auto" w:fill="8EAADB" w:themeFill="accent1" w:themeFillTint="99"/>
            <w:vAlign w:val="center"/>
            <w:hideMark/>
          </w:tcPr>
          <w:p w:rsidR="008F7DDE" w:rsidRPr="00765073" w:rsidP="004A22F3" w14:paraId="77F9E0DB" w14:textId="62C65A13">
            <w:pPr>
              <w:widowControl/>
              <w:autoSpaceDE/>
              <w:autoSpaceDN/>
              <w:adjustRightInd/>
              <w:rPr>
                <w:rFonts w:eastAsiaTheme="minorHAnsi"/>
                <w:sz w:val="20"/>
                <w:szCs w:val="20"/>
              </w:rPr>
            </w:pPr>
            <w:bookmarkStart w:id="28" w:name="_Hlk114568834"/>
            <w:bookmarkEnd w:id="26"/>
            <w:r w:rsidRPr="00765073">
              <w:rPr>
                <w:rFonts w:eastAsiaTheme="minorHAnsi"/>
                <w:sz w:val="20"/>
                <w:szCs w:val="20"/>
              </w:rPr>
              <w:t>Activity (</w:t>
            </w:r>
            <w:r w:rsidRPr="00765073">
              <w:rPr>
                <w:rFonts w:eastAsiaTheme="minorHAnsi"/>
                <w:sz w:val="20"/>
                <w:szCs w:val="20"/>
              </w:rPr>
              <w:t>Occupation</w:t>
            </w:r>
            <w:r w:rsidRPr="00765073">
              <w:rPr>
                <w:rFonts w:eastAsiaTheme="minorHAnsi"/>
                <w:sz w:val="20"/>
                <w:szCs w:val="20"/>
              </w:rPr>
              <w:t>)</w:t>
            </w:r>
          </w:p>
        </w:tc>
        <w:tc>
          <w:tcPr>
            <w:tcW w:w="1350" w:type="dxa"/>
            <w:shd w:val="clear" w:color="auto" w:fill="8EAADB" w:themeFill="accent1" w:themeFillTint="99"/>
            <w:vAlign w:val="center"/>
            <w:hideMark/>
          </w:tcPr>
          <w:p w:rsidR="008F7DDE" w:rsidRPr="00765073" w:rsidP="004A22F3" w14:paraId="03098F4A" w14:textId="77777777">
            <w:pPr>
              <w:widowControl/>
              <w:autoSpaceDE/>
              <w:autoSpaceDN/>
              <w:adjustRightInd/>
              <w:jc w:val="center"/>
              <w:rPr>
                <w:rFonts w:eastAsiaTheme="minorHAnsi"/>
                <w:sz w:val="20"/>
                <w:szCs w:val="20"/>
              </w:rPr>
            </w:pPr>
            <w:r w:rsidRPr="00765073">
              <w:rPr>
                <w:rFonts w:eastAsiaTheme="minorHAnsi"/>
                <w:sz w:val="20"/>
                <w:szCs w:val="20"/>
              </w:rPr>
              <w:t xml:space="preserve">Number of </w:t>
            </w:r>
            <w:r w:rsidRPr="00765073">
              <w:rPr>
                <w:rFonts w:eastAsiaTheme="minorHAnsi"/>
                <w:sz w:val="20"/>
                <w:szCs w:val="20"/>
              </w:rPr>
              <w:t>Respondents</w:t>
            </w:r>
          </w:p>
          <w:p w:rsidR="00FA0B6E" w:rsidRPr="00765073" w:rsidP="004A22F3" w14:paraId="48341AAF" w14:textId="79D4A42B">
            <w:pPr>
              <w:widowControl/>
              <w:autoSpaceDE/>
              <w:autoSpaceDN/>
              <w:adjustRightInd/>
              <w:jc w:val="center"/>
              <w:rPr>
                <w:rFonts w:eastAsiaTheme="minorHAnsi"/>
                <w:sz w:val="20"/>
                <w:szCs w:val="20"/>
              </w:rPr>
            </w:pPr>
            <w:r w:rsidRPr="00765073">
              <w:rPr>
                <w:rFonts w:eastAsiaTheme="minorHAnsi"/>
                <w:sz w:val="20"/>
                <w:szCs w:val="20"/>
              </w:rPr>
              <w:t>(</w:t>
            </w:r>
            <w:r w:rsidRPr="00765073" w:rsidR="00300D82">
              <w:rPr>
                <w:rFonts w:eastAsiaTheme="minorHAnsi"/>
                <w:sz w:val="20"/>
                <w:szCs w:val="20"/>
              </w:rPr>
              <w:t>Mines</w:t>
            </w:r>
            <w:r w:rsidRPr="00765073">
              <w:rPr>
                <w:rFonts w:eastAsiaTheme="minorHAnsi"/>
                <w:sz w:val="20"/>
                <w:szCs w:val="20"/>
              </w:rPr>
              <w:t>)</w:t>
            </w:r>
          </w:p>
        </w:tc>
        <w:tc>
          <w:tcPr>
            <w:tcW w:w="1260" w:type="dxa"/>
            <w:shd w:val="clear" w:color="auto" w:fill="8EAADB" w:themeFill="accent1" w:themeFillTint="99"/>
            <w:vAlign w:val="center"/>
          </w:tcPr>
          <w:p w:rsidR="008F7DDE" w:rsidRPr="00765073" w:rsidP="004A22F3" w14:paraId="11F0965A" w14:textId="5D77E492">
            <w:pPr>
              <w:widowControl/>
              <w:autoSpaceDE/>
              <w:autoSpaceDN/>
              <w:adjustRightInd/>
              <w:jc w:val="center"/>
              <w:rPr>
                <w:rFonts w:eastAsiaTheme="minorHAnsi"/>
                <w:sz w:val="20"/>
                <w:szCs w:val="20"/>
              </w:rPr>
            </w:pPr>
            <w:r w:rsidRPr="00765073">
              <w:rPr>
                <w:rFonts w:eastAsiaTheme="minorHAnsi"/>
                <w:sz w:val="20"/>
                <w:szCs w:val="20"/>
              </w:rPr>
              <w:t xml:space="preserve">Number of </w:t>
            </w:r>
            <w:r w:rsidRPr="00765073">
              <w:rPr>
                <w:rFonts w:eastAsiaTheme="minorHAnsi"/>
                <w:sz w:val="20"/>
                <w:szCs w:val="20"/>
              </w:rPr>
              <w:t>Responses per Respondent</w:t>
            </w:r>
          </w:p>
        </w:tc>
        <w:tc>
          <w:tcPr>
            <w:tcW w:w="1440" w:type="dxa"/>
            <w:shd w:val="clear" w:color="auto" w:fill="8EAADB" w:themeFill="accent1" w:themeFillTint="99"/>
            <w:vAlign w:val="center"/>
          </w:tcPr>
          <w:p w:rsidR="008F7DDE" w:rsidRPr="00765073" w:rsidP="004A22F3" w14:paraId="55C4A7F3" w14:textId="6125221C">
            <w:pPr>
              <w:widowControl/>
              <w:autoSpaceDE/>
              <w:autoSpaceDN/>
              <w:adjustRightInd/>
              <w:jc w:val="center"/>
              <w:rPr>
                <w:rFonts w:eastAsiaTheme="minorHAnsi"/>
                <w:sz w:val="20"/>
                <w:szCs w:val="20"/>
              </w:rPr>
            </w:pPr>
            <w:r w:rsidRPr="00765073">
              <w:rPr>
                <w:rFonts w:eastAsiaTheme="minorHAnsi"/>
                <w:sz w:val="20"/>
                <w:szCs w:val="20"/>
              </w:rPr>
              <w:t>Total Responses</w:t>
            </w:r>
            <w:r w:rsidRPr="00765073" w:rsidR="007863E3">
              <w:rPr>
                <w:rFonts w:eastAsiaTheme="minorHAnsi"/>
                <w:sz w:val="20"/>
                <w:szCs w:val="20"/>
              </w:rPr>
              <w:t xml:space="preserve"> (</w:t>
            </w:r>
            <w:r w:rsidRPr="00765073" w:rsidR="00300D82">
              <w:rPr>
                <w:rFonts w:eastAsiaTheme="minorHAnsi"/>
                <w:sz w:val="20"/>
                <w:szCs w:val="20"/>
              </w:rPr>
              <w:t>Plans</w:t>
            </w:r>
            <w:r w:rsidRPr="00765073" w:rsidR="007863E3">
              <w:rPr>
                <w:rFonts w:eastAsiaTheme="minorHAnsi"/>
                <w:sz w:val="20"/>
                <w:szCs w:val="20"/>
              </w:rPr>
              <w:t>)</w:t>
            </w:r>
          </w:p>
        </w:tc>
        <w:tc>
          <w:tcPr>
            <w:tcW w:w="990" w:type="dxa"/>
            <w:shd w:val="clear" w:color="auto" w:fill="8EAADB" w:themeFill="accent1" w:themeFillTint="99"/>
            <w:vAlign w:val="center"/>
          </w:tcPr>
          <w:p w:rsidR="008F7DDE" w:rsidRPr="00765073" w:rsidP="004A22F3" w14:paraId="746C0A63" w14:textId="707A020B">
            <w:pPr>
              <w:widowControl/>
              <w:autoSpaceDE/>
              <w:autoSpaceDN/>
              <w:adjustRightInd/>
              <w:jc w:val="center"/>
              <w:rPr>
                <w:rFonts w:eastAsiaTheme="minorHAnsi"/>
                <w:sz w:val="20"/>
                <w:szCs w:val="20"/>
              </w:rPr>
            </w:pPr>
            <w:r w:rsidRPr="00765073">
              <w:rPr>
                <w:rFonts w:eastAsiaTheme="minorHAnsi"/>
                <w:sz w:val="20"/>
                <w:szCs w:val="20"/>
              </w:rPr>
              <w:t xml:space="preserve">Average </w:t>
            </w:r>
            <w:r w:rsidRPr="00765073">
              <w:rPr>
                <w:rFonts w:eastAsiaTheme="minorHAnsi"/>
                <w:sz w:val="20"/>
                <w:szCs w:val="20"/>
              </w:rPr>
              <w:t>Burden (</w:t>
            </w:r>
            <w:r w:rsidRPr="00765073" w:rsidR="009A3438">
              <w:rPr>
                <w:rFonts w:eastAsiaTheme="minorHAnsi"/>
                <w:sz w:val="20"/>
                <w:szCs w:val="20"/>
              </w:rPr>
              <w:t>Hours</w:t>
            </w:r>
            <w:r w:rsidRPr="00765073">
              <w:rPr>
                <w:rFonts w:eastAsiaTheme="minorHAnsi"/>
                <w:sz w:val="20"/>
                <w:szCs w:val="20"/>
              </w:rPr>
              <w:t>)</w:t>
            </w:r>
          </w:p>
        </w:tc>
        <w:tc>
          <w:tcPr>
            <w:tcW w:w="990" w:type="dxa"/>
            <w:shd w:val="clear" w:color="auto" w:fill="8EAADB" w:themeFill="accent1" w:themeFillTint="99"/>
            <w:vAlign w:val="center"/>
            <w:hideMark/>
          </w:tcPr>
          <w:p w:rsidR="008F7DDE" w:rsidRPr="00765073" w:rsidP="004A22F3" w14:paraId="6FD7747E" w14:textId="1AB100CF">
            <w:pPr>
              <w:widowControl/>
              <w:autoSpaceDE/>
              <w:autoSpaceDN/>
              <w:adjustRightInd/>
              <w:jc w:val="center"/>
              <w:rPr>
                <w:rFonts w:eastAsiaTheme="minorHAnsi"/>
                <w:sz w:val="20"/>
                <w:szCs w:val="20"/>
              </w:rPr>
            </w:pPr>
            <w:r w:rsidRPr="00765073">
              <w:rPr>
                <w:rFonts w:eastAsiaTheme="minorHAnsi"/>
                <w:sz w:val="20"/>
                <w:szCs w:val="20"/>
              </w:rPr>
              <w:t xml:space="preserve">Total </w:t>
            </w:r>
            <w:r w:rsidRPr="00765073">
              <w:rPr>
                <w:rFonts w:eastAsiaTheme="minorHAnsi"/>
                <w:sz w:val="20"/>
                <w:szCs w:val="20"/>
              </w:rPr>
              <w:t>Burden (Hours)</w:t>
            </w:r>
          </w:p>
        </w:tc>
        <w:tc>
          <w:tcPr>
            <w:tcW w:w="990" w:type="dxa"/>
            <w:shd w:val="clear" w:color="auto" w:fill="8EAADB" w:themeFill="accent1" w:themeFillTint="99"/>
            <w:vAlign w:val="center"/>
            <w:hideMark/>
          </w:tcPr>
          <w:p w:rsidR="008F7DDE" w:rsidRPr="00765073" w:rsidP="004A22F3" w14:paraId="379D01C8" w14:textId="3FA62A27">
            <w:pPr>
              <w:widowControl/>
              <w:autoSpaceDE/>
              <w:autoSpaceDN/>
              <w:adjustRightInd/>
              <w:jc w:val="center"/>
              <w:rPr>
                <w:rFonts w:eastAsiaTheme="minorHAnsi"/>
                <w:sz w:val="20"/>
                <w:szCs w:val="20"/>
              </w:rPr>
            </w:pPr>
            <w:r w:rsidRPr="00765073">
              <w:rPr>
                <w:rFonts w:eastAsiaTheme="minorHAnsi"/>
                <w:sz w:val="20"/>
                <w:szCs w:val="20"/>
              </w:rPr>
              <w:t>Hourly Wage Rate</w:t>
            </w:r>
          </w:p>
        </w:tc>
        <w:tc>
          <w:tcPr>
            <w:tcW w:w="1170" w:type="dxa"/>
            <w:shd w:val="clear" w:color="auto" w:fill="8EAADB" w:themeFill="accent1" w:themeFillTint="99"/>
            <w:vAlign w:val="center"/>
            <w:hideMark/>
          </w:tcPr>
          <w:p w:rsidR="008F7DDE" w:rsidRPr="00765073" w:rsidP="004A22F3" w14:paraId="1D5A20D0" w14:textId="049CFAA1">
            <w:pPr>
              <w:widowControl/>
              <w:autoSpaceDE/>
              <w:autoSpaceDN/>
              <w:adjustRightInd/>
              <w:jc w:val="center"/>
              <w:rPr>
                <w:rFonts w:eastAsiaTheme="minorHAnsi"/>
                <w:sz w:val="20"/>
                <w:szCs w:val="20"/>
              </w:rPr>
            </w:pPr>
            <w:r w:rsidRPr="00765073">
              <w:rPr>
                <w:rFonts w:eastAsiaTheme="minorHAnsi"/>
                <w:sz w:val="20"/>
                <w:szCs w:val="20"/>
              </w:rPr>
              <w:t xml:space="preserve">Total </w:t>
            </w:r>
            <w:r w:rsidRPr="00765073">
              <w:rPr>
                <w:rFonts w:eastAsiaTheme="minorHAnsi"/>
                <w:sz w:val="20"/>
                <w:szCs w:val="20"/>
              </w:rPr>
              <w:t>Burden Cost</w:t>
            </w:r>
          </w:p>
        </w:tc>
      </w:tr>
      <w:tr w14:paraId="317ADA85" w14:textId="77777777" w:rsidTr="005366CD">
        <w:tblPrEx>
          <w:tblW w:w="9715" w:type="dxa"/>
          <w:tblLayout w:type="fixed"/>
          <w:tblLook w:val="04A0"/>
        </w:tblPrEx>
        <w:trPr>
          <w:trHeight w:val="363"/>
        </w:trPr>
        <w:tc>
          <w:tcPr>
            <w:tcW w:w="1525" w:type="dxa"/>
            <w:noWrap/>
            <w:vAlign w:val="bottom"/>
            <w:hideMark/>
          </w:tcPr>
          <w:p w:rsidR="00D34EF6" w:rsidRPr="00765073" w:rsidP="00D34EF6" w14:paraId="738C8804" w14:textId="2EA6D190">
            <w:pPr>
              <w:widowControl/>
              <w:autoSpaceDE/>
              <w:autoSpaceDN/>
              <w:adjustRightInd/>
              <w:rPr>
                <w:rFonts w:eastAsiaTheme="minorHAnsi"/>
                <w:bCs/>
                <w:sz w:val="20"/>
                <w:szCs w:val="20"/>
              </w:rPr>
            </w:pPr>
            <w:r>
              <w:rPr>
                <w:color w:val="000000"/>
                <w:sz w:val="20"/>
                <w:szCs w:val="20"/>
              </w:rPr>
              <w:t xml:space="preserve">Creating </w:t>
            </w:r>
            <w:r w:rsidRPr="00765073">
              <w:rPr>
                <w:color w:val="000000"/>
                <w:sz w:val="20"/>
                <w:szCs w:val="20"/>
              </w:rPr>
              <w:t>Base Plans (Engineer)</w:t>
            </w:r>
          </w:p>
        </w:tc>
        <w:tc>
          <w:tcPr>
            <w:tcW w:w="1350" w:type="dxa"/>
            <w:noWrap/>
            <w:vAlign w:val="center"/>
          </w:tcPr>
          <w:p w:rsidR="00D34EF6" w:rsidRPr="00765073" w:rsidP="00D34EF6" w14:paraId="714AF956" w14:textId="50C23FE0">
            <w:pPr>
              <w:widowControl/>
              <w:autoSpaceDE/>
              <w:autoSpaceDN/>
              <w:adjustRightInd/>
              <w:jc w:val="right"/>
              <w:rPr>
                <w:rFonts w:eastAsiaTheme="minorHAnsi"/>
                <w:bCs/>
                <w:sz w:val="20"/>
                <w:szCs w:val="20"/>
              </w:rPr>
            </w:pPr>
            <w:r>
              <w:rPr>
                <w:color w:val="000000"/>
                <w:sz w:val="20"/>
                <w:szCs w:val="20"/>
              </w:rPr>
              <w:t>20</w:t>
            </w:r>
          </w:p>
        </w:tc>
        <w:tc>
          <w:tcPr>
            <w:tcW w:w="1260" w:type="dxa"/>
            <w:vAlign w:val="center"/>
          </w:tcPr>
          <w:p w:rsidR="00D34EF6" w:rsidRPr="00765073" w:rsidP="00D34EF6" w14:paraId="644C4A0E" w14:textId="2757EFAA">
            <w:pPr>
              <w:widowControl/>
              <w:autoSpaceDE/>
              <w:autoSpaceDN/>
              <w:adjustRightInd/>
              <w:jc w:val="right"/>
              <w:rPr>
                <w:rFonts w:eastAsiaTheme="minorHAnsi"/>
                <w:bCs/>
                <w:sz w:val="20"/>
                <w:szCs w:val="20"/>
              </w:rPr>
            </w:pPr>
            <w:r>
              <w:rPr>
                <w:color w:val="000000"/>
                <w:sz w:val="20"/>
                <w:szCs w:val="20"/>
              </w:rPr>
              <w:t>1.</w:t>
            </w:r>
            <w:r w:rsidR="00B6376A">
              <w:rPr>
                <w:color w:val="000000"/>
                <w:sz w:val="20"/>
                <w:szCs w:val="20"/>
              </w:rPr>
              <w:t>0</w:t>
            </w:r>
          </w:p>
        </w:tc>
        <w:tc>
          <w:tcPr>
            <w:tcW w:w="1440" w:type="dxa"/>
            <w:vAlign w:val="center"/>
          </w:tcPr>
          <w:p w:rsidR="00D34EF6" w:rsidRPr="00765073" w:rsidP="00D34EF6" w14:paraId="5DC1F7FD" w14:textId="471967EA">
            <w:pPr>
              <w:widowControl/>
              <w:autoSpaceDE/>
              <w:autoSpaceDN/>
              <w:adjustRightInd/>
              <w:jc w:val="right"/>
              <w:rPr>
                <w:rFonts w:eastAsiaTheme="minorHAnsi"/>
                <w:bCs/>
                <w:sz w:val="20"/>
                <w:szCs w:val="20"/>
              </w:rPr>
            </w:pPr>
            <w:r>
              <w:rPr>
                <w:color w:val="000000"/>
                <w:sz w:val="20"/>
                <w:szCs w:val="20"/>
              </w:rPr>
              <w:t>20</w:t>
            </w:r>
          </w:p>
        </w:tc>
        <w:tc>
          <w:tcPr>
            <w:tcW w:w="990" w:type="dxa"/>
            <w:vAlign w:val="center"/>
          </w:tcPr>
          <w:p w:rsidR="00D34EF6" w:rsidRPr="00765073" w:rsidP="00D34EF6" w14:paraId="75539D3E" w14:textId="67AE3F21">
            <w:pPr>
              <w:widowControl/>
              <w:autoSpaceDE/>
              <w:autoSpaceDN/>
              <w:adjustRightInd/>
              <w:jc w:val="right"/>
              <w:rPr>
                <w:rFonts w:eastAsiaTheme="minorHAnsi"/>
                <w:bCs/>
                <w:sz w:val="20"/>
                <w:szCs w:val="20"/>
              </w:rPr>
            </w:pPr>
            <w:r>
              <w:rPr>
                <w:color w:val="000000"/>
                <w:sz w:val="20"/>
                <w:szCs w:val="20"/>
              </w:rPr>
              <w:t>20</w:t>
            </w:r>
          </w:p>
        </w:tc>
        <w:tc>
          <w:tcPr>
            <w:tcW w:w="990" w:type="dxa"/>
            <w:noWrap/>
            <w:vAlign w:val="center"/>
          </w:tcPr>
          <w:p w:rsidR="00D34EF6" w:rsidRPr="00765073" w:rsidP="00D34EF6" w14:paraId="23C448CA" w14:textId="27FFC8AA">
            <w:pPr>
              <w:widowControl/>
              <w:autoSpaceDE/>
              <w:autoSpaceDN/>
              <w:adjustRightInd/>
              <w:jc w:val="right"/>
              <w:rPr>
                <w:rFonts w:eastAsiaTheme="minorHAnsi"/>
                <w:bCs/>
                <w:sz w:val="20"/>
                <w:szCs w:val="20"/>
              </w:rPr>
            </w:pPr>
            <w:r>
              <w:rPr>
                <w:color w:val="000000"/>
                <w:sz w:val="20"/>
                <w:szCs w:val="20"/>
              </w:rPr>
              <w:t>400.00</w:t>
            </w:r>
          </w:p>
        </w:tc>
        <w:tc>
          <w:tcPr>
            <w:tcW w:w="990" w:type="dxa"/>
            <w:noWrap/>
            <w:vAlign w:val="center"/>
            <w:hideMark/>
          </w:tcPr>
          <w:p w:rsidR="00D34EF6" w:rsidRPr="00765073" w:rsidP="00D34EF6" w14:paraId="3C292B33" w14:textId="34B4594B">
            <w:pPr>
              <w:widowControl/>
              <w:autoSpaceDE/>
              <w:autoSpaceDN/>
              <w:adjustRightInd/>
              <w:jc w:val="right"/>
              <w:rPr>
                <w:rFonts w:eastAsiaTheme="minorHAnsi"/>
                <w:bCs/>
                <w:sz w:val="20"/>
                <w:szCs w:val="20"/>
              </w:rPr>
            </w:pPr>
            <w:r>
              <w:rPr>
                <w:color w:val="000000"/>
                <w:sz w:val="20"/>
                <w:szCs w:val="20"/>
              </w:rPr>
              <w:t>$87.58</w:t>
            </w:r>
          </w:p>
        </w:tc>
        <w:tc>
          <w:tcPr>
            <w:tcW w:w="1170" w:type="dxa"/>
            <w:noWrap/>
            <w:vAlign w:val="center"/>
            <w:hideMark/>
          </w:tcPr>
          <w:p w:rsidR="00D34EF6" w:rsidRPr="00765073" w:rsidP="00D34EF6" w14:paraId="126B17C0" w14:textId="70511DFE">
            <w:pPr>
              <w:widowControl/>
              <w:autoSpaceDE/>
              <w:autoSpaceDN/>
              <w:adjustRightInd/>
              <w:jc w:val="right"/>
              <w:rPr>
                <w:rFonts w:eastAsiaTheme="minorHAnsi"/>
                <w:bCs/>
                <w:sz w:val="20"/>
                <w:szCs w:val="20"/>
              </w:rPr>
            </w:pPr>
            <w:r>
              <w:rPr>
                <w:color w:val="000000"/>
                <w:sz w:val="20"/>
                <w:szCs w:val="20"/>
              </w:rPr>
              <w:t xml:space="preserve">$35,032.00 </w:t>
            </w:r>
          </w:p>
        </w:tc>
      </w:tr>
      <w:tr w14:paraId="43D8544D" w14:textId="77777777" w:rsidTr="005366CD">
        <w:tblPrEx>
          <w:tblW w:w="9715" w:type="dxa"/>
          <w:tblLayout w:type="fixed"/>
          <w:tblLook w:val="04A0"/>
        </w:tblPrEx>
        <w:trPr>
          <w:trHeight w:val="363"/>
        </w:trPr>
        <w:tc>
          <w:tcPr>
            <w:tcW w:w="1525" w:type="dxa"/>
            <w:noWrap/>
            <w:vAlign w:val="bottom"/>
            <w:hideMark/>
          </w:tcPr>
          <w:p w:rsidR="00D34EF6" w:rsidRPr="00765073" w:rsidP="00D34EF6" w14:paraId="511DFBE1" w14:textId="05D2718F">
            <w:pPr>
              <w:widowControl/>
              <w:autoSpaceDE/>
              <w:autoSpaceDN/>
              <w:adjustRightInd/>
              <w:rPr>
                <w:rFonts w:eastAsiaTheme="minorHAnsi"/>
                <w:bCs/>
                <w:sz w:val="20"/>
                <w:szCs w:val="20"/>
              </w:rPr>
            </w:pPr>
            <w:r w:rsidRPr="00765073">
              <w:rPr>
                <w:color w:val="000000"/>
                <w:sz w:val="20"/>
                <w:szCs w:val="20"/>
              </w:rPr>
              <w:t>Revis</w:t>
            </w:r>
            <w:r>
              <w:rPr>
                <w:color w:val="000000"/>
                <w:sz w:val="20"/>
                <w:szCs w:val="20"/>
              </w:rPr>
              <w:t>ing</w:t>
            </w:r>
            <w:r w:rsidRPr="00765073">
              <w:rPr>
                <w:color w:val="000000"/>
                <w:sz w:val="20"/>
                <w:szCs w:val="20"/>
              </w:rPr>
              <w:t xml:space="preserve"> Plans (Engineer)</w:t>
            </w:r>
          </w:p>
        </w:tc>
        <w:tc>
          <w:tcPr>
            <w:tcW w:w="1350" w:type="dxa"/>
            <w:noWrap/>
            <w:vAlign w:val="center"/>
          </w:tcPr>
          <w:p w:rsidR="00D34EF6" w:rsidRPr="00765073" w:rsidP="00D34EF6" w14:paraId="0654BF3C" w14:textId="755B3038">
            <w:pPr>
              <w:widowControl/>
              <w:autoSpaceDE/>
              <w:autoSpaceDN/>
              <w:adjustRightInd/>
              <w:jc w:val="right"/>
              <w:rPr>
                <w:rFonts w:eastAsiaTheme="minorHAnsi"/>
                <w:bCs/>
                <w:sz w:val="20"/>
                <w:szCs w:val="20"/>
              </w:rPr>
            </w:pPr>
            <w:r>
              <w:rPr>
                <w:color w:val="000000"/>
                <w:sz w:val="20"/>
                <w:szCs w:val="20"/>
              </w:rPr>
              <w:t>20</w:t>
            </w:r>
          </w:p>
        </w:tc>
        <w:tc>
          <w:tcPr>
            <w:tcW w:w="1260" w:type="dxa"/>
            <w:vAlign w:val="center"/>
          </w:tcPr>
          <w:p w:rsidR="00D34EF6" w:rsidRPr="00765073" w:rsidP="00D34EF6" w14:paraId="7C3901C3" w14:textId="739213C9">
            <w:pPr>
              <w:widowControl/>
              <w:autoSpaceDE/>
              <w:autoSpaceDN/>
              <w:adjustRightInd/>
              <w:jc w:val="right"/>
              <w:rPr>
                <w:rFonts w:eastAsiaTheme="minorHAnsi"/>
                <w:bCs/>
                <w:sz w:val="20"/>
                <w:szCs w:val="20"/>
              </w:rPr>
            </w:pPr>
            <w:r>
              <w:rPr>
                <w:color w:val="000000"/>
                <w:sz w:val="20"/>
                <w:szCs w:val="20"/>
              </w:rPr>
              <w:t>1.</w:t>
            </w:r>
            <w:r w:rsidR="00B6376A">
              <w:rPr>
                <w:color w:val="000000"/>
                <w:sz w:val="20"/>
                <w:szCs w:val="20"/>
              </w:rPr>
              <w:t>5</w:t>
            </w:r>
          </w:p>
        </w:tc>
        <w:tc>
          <w:tcPr>
            <w:tcW w:w="1440" w:type="dxa"/>
            <w:vAlign w:val="center"/>
          </w:tcPr>
          <w:p w:rsidR="00D34EF6" w:rsidRPr="00765073" w:rsidP="00D34EF6" w14:paraId="3205930C" w14:textId="4655DA2A">
            <w:pPr>
              <w:widowControl/>
              <w:autoSpaceDE/>
              <w:autoSpaceDN/>
              <w:adjustRightInd/>
              <w:jc w:val="right"/>
              <w:rPr>
                <w:rFonts w:eastAsiaTheme="minorHAnsi"/>
                <w:bCs/>
                <w:sz w:val="20"/>
                <w:szCs w:val="20"/>
              </w:rPr>
            </w:pPr>
            <w:r>
              <w:rPr>
                <w:color w:val="000000"/>
                <w:sz w:val="20"/>
                <w:szCs w:val="20"/>
              </w:rPr>
              <w:t>30</w:t>
            </w:r>
          </w:p>
        </w:tc>
        <w:tc>
          <w:tcPr>
            <w:tcW w:w="990" w:type="dxa"/>
            <w:vAlign w:val="center"/>
          </w:tcPr>
          <w:p w:rsidR="00D34EF6" w:rsidRPr="00765073" w:rsidP="00D34EF6" w14:paraId="1AE6FAEB" w14:textId="4CE9EDF8">
            <w:pPr>
              <w:widowControl/>
              <w:autoSpaceDE/>
              <w:autoSpaceDN/>
              <w:adjustRightInd/>
              <w:jc w:val="right"/>
              <w:rPr>
                <w:rFonts w:eastAsiaTheme="minorHAnsi"/>
                <w:bCs/>
                <w:sz w:val="20"/>
                <w:szCs w:val="20"/>
              </w:rPr>
            </w:pPr>
            <w:r>
              <w:rPr>
                <w:color w:val="000000"/>
                <w:sz w:val="20"/>
                <w:szCs w:val="20"/>
              </w:rPr>
              <w:t>20</w:t>
            </w:r>
          </w:p>
        </w:tc>
        <w:tc>
          <w:tcPr>
            <w:tcW w:w="990" w:type="dxa"/>
            <w:noWrap/>
            <w:vAlign w:val="center"/>
          </w:tcPr>
          <w:p w:rsidR="00D34EF6" w:rsidRPr="00765073" w:rsidP="00D34EF6" w14:paraId="2A34CEC2" w14:textId="53DC29B6">
            <w:pPr>
              <w:widowControl/>
              <w:autoSpaceDE/>
              <w:autoSpaceDN/>
              <w:adjustRightInd/>
              <w:jc w:val="right"/>
              <w:rPr>
                <w:rFonts w:eastAsiaTheme="minorHAnsi"/>
                <w:bCs/>
                <w:sz w:val="20"/>
                <w:szCs w:val="20"/>
              </w:rPr>
            </w:pPr>
            <w:r>
              <w:rPr>
                <w:color w:val="000000"/>
                <w:sz w:val="20"/>
                <w:szCs w:val="20"/>
              </w:rPr>
              <w:t>600.00</w:t>
            </w:r>
          </w:p>
        </w:tc>
        <w:tc>
          <w:tcPr>
            <w:tcW w:w="990" w:type="dxa"/>
            <w:noWrap/>
            <w:vAlign w:val="center"/>
            <w:hideMark/>
          </w:tcPr>
          <w:p w:rsidR="00D34EF6" w:rsidRPr="00765073" w:rsidP="00D34EF6" w14:paraId="46ECA398" w14:textId="669F66FB">
            <w:pPr>
              <w:widowControl/>
              <w:autoSpaceDE/>
              <w:autoSpaceDN/>
              <w:adjustRightInd/>
              <w:jc w:val="right"/>
              <w:rPr>
                <w:rFonts w:eastAsiaTheme="minorHAnsi"/>
                <w:bCs/>
                <w:sz w:val="20"/>
                <w:szCs w:val="20"/>
              </w:rPr>
            </w:pPr>
            <w:r>
              <w:rPr>
                <w:color w:val="000000"/>
                <w:sz w:val="20"/>
                <w:szCs w:val="20"/>
              </w:rPr>
              <w:t>$87.58</w:t>
            </w:r>
          </w:p>
        </w:tc>
        <w:tc>
          <w:tcPr>
            <w:tcW w:w="1170" w:type="dxa"/>
            <w:noWrap/>
            <w:vAlign w:val="center"/>
            <w:hideMark/>
          </w:tcPr>
          <w:p w:rsidR="00D34EF6" w:rsidRPr="00765073" w:rsidP="00D34EF6" w14:paraId="7F4CE41E" w14:textId="45EA27C0">
            <w:pPr>
              <w:widowControl/>
              <w:autoSpaceDE/>
              <w:autoSpaceDN/>
              <w:adjustRightInd/>
              <w:jc w:val="right"/>
              <w:rPr>
                <w:rFonts w:eastAsiaTheme="minorHAnsi"/>
                <w:bCs/>
                <w:sz w:val="20"/>
                <w:szCs w:val="20"/>
              </w:rPr>
            </w:pPr>
            <w:r>
              <w:rPr>
                <w:color w:val="000000"/>
                <w:sz w:val="20"/>
                <w:szCs w:val="20"/>
              </w:rPr>
              <w:t xml:space="preserve">$52,548.00 </w:t>
            </w:r>
          </w:p>
        </w:tc>
      </w:tr>
      <w:tr w14:paraId="45D0E5A5" w14:textId="77777777" w:rsidTr="00746BEB">
        <w:tblPrEx>
          <w:tblW w:w="9715" w:type="dxa"/>
          <w:tblLayout w:type="fixed"/>
          <w:tblLook w:val="04A0"/>
        </w:tblPrEx>
        <w:trPr>
          <w:trHeight w:val="363"/>
        </w:trPr>
        <w:tc>
          <w:tcPr>
            <w:tcW w:w="1525" w:type="dxa"/>
            <w:noWrap/>
            <w:vAlign w:val="center"/>
            <w:hideMark/>
          </w:tcPr>
          <w:p w:rsidR="00D34EF6" w:rsidRPr="00765073" w:rsidP="00746BEB" w14:paraId="5D26DC1F" w14:textId="3E4D868A">
            <w:pPr>
              <w:widowControl/>
              <w:autoSpaceDE/>
              <w:autoSpaceDN/>
              <w:adjustRightInd/>
              <w:jc w:val="right"/>
              <w:rPr>
                <w:rFonts w:eastAsiaTheme="minorHAnsi"/>
                <w:b/>
                <w:bCs/>
                <w:i/>
                <w:iCs/>
                <w:sz w:val="20"/>
                <w:szCs w:val="20"/>
              </w:rPr>
            </w:pPr>
            <w:r w:rsidRPr="00765073">
              <w:rPr>
                <w:b/>
                <w:bCs/>
                <w:i/>
                <w:iCs/>
                <w:color w:val="000000"/>
                <w:sz w:val="20"/>
                <w:szCs w:val="20"/>
              </w:rPr>
              <w:t>Subtotal (Rounded)</w:t>
            </w:r>
          </w:p>
        </w:tc>
        <w:tc>
          <w:tcPr>
            <w:tcW w:w="1350" w:type="dxa"/>
            <w:vAlign w:val="bottom"/>
          </w:tcPr>
          <w:p w:rsidR="00D34EF6" w:rsidRPr="00962503" w:rsidP="00D34EF6" w14:paraId="36D77C69" w14:textId="0C3E9057">
            <w:pPr>
              <w:widowControl/>
              <w:autoSpaceDE/>
              <w:autoSpaceDN/>
              <w:adjustRightInd/>
              <w:jc w:val="right"/>
              <w:rPr>
                <w:rFonts w:eastAsiaTheme="minorHAnsi"/>
                <w:b/>
                <w:bCs/>
                <w:i/>
                <w:iCs/>
                <w:sz w:val="20"/>
                <w:szCs w:val="20"/>
              </w:rPr>
            </w:pPr>
            <w:r w:rsidRPr="000D4093">
              <w:rPr>
                <w:b/>
                <w:bCs/>
                <w:i/>
                <w:iCs/>
                <w:color w:val="000000"/>
                <w:sz w:val="20"/>
                <w:szCs w:val="20"/>
              </w:rPr>
              <w:t>20</w:t>
            </w:r>
          </w:p>
        </w:tc>
        <w:tc>
          <w:tcPr>
            <w:tcW w:w="1260" w:type="dxa"/>
            <w:shd w:val="clear" w:color="auto" w:fill="000000" w:themeFill="text1"/>
            <w:vAlign w:val="bottom"/>
          </w:tcPr>
          <w:p w:rsidR="00D34EF6" w:rsidRPr="00962503" w:rsidP="00D34EF6" w14:paraId="03CC983F" w14:textId="401B4C2B">
            <w:pPr>
              <w:widowControl/>
              <w:autoSpaceDE/>
              <w:autoSpaceDN/>
              <w:adjustRightInd/>
              <w:jc w:val="right"/>
              <w:rPr>
                <w:rFonts w:eastAsiaTheme="minorHAnsi"/>
                <w:b/>
                <w:bCs/>
                <w:i/>
                <w:iCs/>
                <w:sz w:val="20"/>
                <w:szCs w:val="20"/>
              </w:rPr>
            </w:pPr>
            <w:r w:rsidRPr="000D4093">
              <w:rPr>
                <w:b/>
                <w:bCs/>
                <w:i/>
                <w:iCs/>
                <w:color w:val="000000"/>
                <w:sz w:val="20"/>
                <w:szCs w:val="20"/>
              </w:rPr>
              <w:t> </w:t>
            </w:r>
          </w:p>
        </w:tc>
        <w:tc>
          <w:tcPr>
            <w:tcW w:w="1440" w:type="dxa"/>
            <w:vAlign w:val="bottom"/>
          </w:tcPr>
          <w:p w:rsidR="00D34EF6" w:rsidRPr="00962503" w:rsidP="00D34EF6" w14:paraId="5AF96308" w14:textId="7C12EAF6">
            <w:pPr>
              <w:widowControl/>
              <w:autoSpaceDE/>
              <w:autoSpaceDN/>
              <w:adjustRightInd/>
              <w:jc w:val="right"/>
              <w:rPr>
                <w:rFonts w:eastAsiaTheme="minorHAnsi"/>
                <w:b/>
                <w:bCs/>
                <w:i/>
                <w:iCs/>
                <w:sz w:val="20"/>
                <w:szCs w:val="20"/>
              </w:rPr>
            </w:pPr>
            <w:r w:rsidRPr="000D4093">
              <w:rPr>
                <w:b/>
                <w:bCs/>
                <w:i/>
                <w:iCs/>
                <w:color w:val="000000"/>
                <w:sz w:val="20"/>
                <w:szCs w:val="20"/>
              </w:rPr>
              <w:t>50</w:t>
            </w:r>
          </w:p>
        </w:tc>
        <w:tc>
          <w:tcPr>
            <w:tcW w:w="990" w:type="dxa"/>
            <w:shd w:val="clear" w:color="auto" w:fill="000000" w:themeFill="text1"/>
            <w:vAlign w:val="bottom"/>
          </w:tcPr>
          <w:p w:rsidR="00D34EF6" w:rsidRPr="00962503" w:rsidP="00D34EF6" w14:paraId="2C5901F3" w14:textId="5B33AF94">
            <w:pPr>
              <w:widowControl/>
              <w:autoSpaceDE/>
              <w:autoSpaceDN/>
              <w:adjustRightInd/>
              <w:jc w:val="right"/>
              <w:rPr>
                <w:rFonts w:eastAsiaTheme="minorHAnsi"/>
                <w:b/>
                <w:bCs/>
                <w:i/>
                <w:iCs/>
                <w:sz w:val="20"/>
                <w:szCs w:val="20"/>
              </w:rPr>
            </w:pPr>
            <w:r w:rsidRPr="000D4093">
              <w:rPr>
                <w:b/>
                <w:bCs/>
                <w:i/>
                <w:iCs/>
                <w:color w:val="000000"/>
                <w:sz w:val="20"/>
                <w:szCs w:val="20"/>
              </w:rPr>
              <w:t> </w:t>
            </w:r>
          </w:p>
        </w:tc>
        <w:tc>
          <w:tcPr>
            <w:tcW w:w="990" w:type="dxa"/>
            <w:vAlign w:val="bottom"/>
          </w:tcPr>
          <w:p w:rsidR="00D34EF6" w:rsidRPr="00962503" w:rsidP="00D34EF6" w14:paraId="6DAC8B29" w14:textId="7EC5FCF1">
            <w:pPr>
              <w:widowControl/>
              <w:autoSpaceDE/>
              <w:autoSpaceDN/>
              <w:adjustRightInd/>
              <w:jc w:val="right"/>
              <w:rPr>
                <w:rFonts w:eastAsiaTheme="minorHAnsi"/>
                <w:b/>
                <w:bCs/>
                <w:i/>
                <w:iCs/>
                <w:sz w:val="20"/>
                <w:szCs w:val="20"/>
              </w:rPr>
            </w:pPr>
            <w:r w:rsidRPr="000D4093">
              <w:rPr>
                <w:b/>
                <w:bCs/>
                <w:i/>
                <w:iCs/>
                <w:color w:val="000000"/>
                <w:sz w:val="20"/>
                <w:szCs w:val="20"/>
              </w:rPr>
              <w:t xml:space="preserve">                    1,000 </w:t>
            </w:r>
          </w:p>
        </w:tc>
        <w:tc>
          <w:tcPr>
            <w:tcW w:w="990" w:type="dxa"/>
            <w:shd w:val="clear" w:color="auto" w:fill="000000" w:themeFill="text1"/>
            <w:noWrap/>
            <w:vAlign w:val="bottom"/>
            <w:hideMark/>
          </w:tcPr>
          <w:p w:rsidR="00D34EF6" w:rsidRPr="00962503" w:rsidP="00D34EF6" w14:paraId="0F639377" w14:textId="7F8BDA52">
            <w:pPr>
              <w:widowControl/>
              <w:autoSpaceDE/>
              <w:autoSpaceDN/>
              <w:adjustRightInd/>
              <w:jc w:val="right"/>
              <w:rPr>
                <w:rFonts w:eastAsiaTheme="minorHAnsi"/>
                <w:b/>
                <w:bCs/>
                <w:i/>
                <w:iCs/>
                <w:sz w:val="20"/>
                <w:szCs w:val="20"/>
              </w:rPr>
            </w:pPr>
            <w:r w:rsidRPr="000D4093">
              <w:rPr>
                <w:b/>
                <w:bCs/>
                <w:i/>
                <w:iCs/>
                <w:color w:val="000000"/>
                <w:sz w:val="20"/>
                <w:szCs w:val="20"/>
              </w:rPr>
              <w:t> </w:t>
            </w:r>
          </w:p>
        </w:tc>
        <w:tc>
          <w:tcPr>
            <w:tcW w:w="1170" w:type="dxa"/>
            <w:noWrap/>
            <w:vAlign w:val="bottom"/>
            <w:hideMark/>
          </w:tcPr>
          <w:p w:rsidR="00D34EF6" w:rsidRPr="00962503" w:rsidP="00D34EF6" w14:paraId="7A1D0189" w14:textId="508577A7">
            <w:pPr>
              <w:widowControl/>
              <w:autoSpaceDE/>
              <w:autoSpaceDN/>
              <w:adjustRightInd/>
              <w:jc w:val="right"/>
              <w:rPr>
                <w:rFonts w:eastAsiaTheme="minorHAnsi"/>
                <w:b/>
                <w:bCs/>
                <w:i/>
                <w:iCs/>
                <w:sz w:val="20"/>
                <w:szCs w:val="20"/>
              </w:rPr>
            </w:pPr>
            <w:r w:rsidRPr="000D4093">
              <w:rPr>
                <w:b/>
                <w:bCs/>
                <w:i/>
                <w:iCs/>
                <w:color w:val="000000"/>
                <w:sz w:val="20"/>
                <w:szCs w:val="20"/>
              </w:rPr>
              <w:t xml:space="preserve">$87,580 </w:t>
            </w:r>
          </w:p>
        </w:tc>
      </w:tr>
    </w:tbl>
    <w:bookmarkEnd w:id="27"/>
    <w:bookmarkEnd w:id="28"/>
    <w:p w:rsidR="00013F80" w:rsidRPr="00765073" w:rsidP="005C6CA9" w14:paraId="769F2D84" w14:textId="6E33937D">
      <w:pPr>
        <w:keepLines/>
        <w:autoSpaceDE/>
        <w:autoSpaceDN/>
        <w:adjustRightInd/>
      </w:pPr>
      <w:r w:rsidRPr="00765073">
        <w:rPr>
          <w:bCs/>
          <w:sz w:val="20"/>
          <w:szCs w:val="20"/>
        </w:rPr>
        <w:t xml:space="preserve">Note: The total number of respondents does not correspond to the sum of rows because different respondents work on the same record. </w:t>
      </w:r>
      <w:bookmarkStart w:id="29" w:name="_Hlk199757021"/>
      <w:r w:rsidRPr="00765073" w:rsidR="00435EBD">
        <w:rPr>
          <w:sz w:val="20"/>
          <w:szCs w:val="20"/>
        </w:rPr>
        <w:t>The number of responses per respondent is calculated by dividing the number of responses by the number of respondents and rounded.</w:t>
      </w:r>
      <w:bookmarkEnd w:id="29"/>
    </w:p>
    <w:p w:rsidR="00013F80" w:rsidRPr="00765073" w:rsidP="005C6CA9" w14:paraId="1BBA23F6" w14:textId="77777777">
      <w:pPr>
        <w:keepLines/>
        <w:autoSpaceDE/>
        <w:autoSpaceDN/>
        <w:adjustRightInd/>
      </w:pPr>
    </w:p>
    <w:p w:rsidR="00013F80" w:rsidRPr="00765073" w:rsidP="005C6CA9" w14:paraId="1BB81259" w14:textId="5867818D">
      <w:pPr>
        <w:keepLines/>
        <w:autoSpaceDE/>
        <w:autoSpaceDN/>
        <w:adjustRightInd/>
      </w:pPr>
      <w:r w:rsidRPr="00765073">
        <w:t xml:space="preserve">I-2. </w:t>
      </w:r>
      <w:r w:rsidR="00F61623">
        <w:t>Copy</w:t>
      </w:r>
      <w:r w:rsidR="001E0CC8">
        <w:t>ing</w:t>
      </w:r>
      <w:r w:rsidR="00F61623">
        <w:t xml:space="preserve"> and Mail</w:t>
      </w:r>
      <w:r w:rsidR="001E0CC8">
        <w:t>ing</w:t>
      </w:r>
      <w:r w:rsidRPr="00765073">
        <w:t xml:space="preserve"> Plans</w:t>
      </w:r>
    </w:p>
    <w:p w:rsidR="00013F80" w:rsidRPr="00765073" w:rsidP="005C6CA9" w14:paraId="4C70D9A3" w14:textId="77777777">
      <w:pPr>
        <w:keepLines/>
        <w:autoSpaceDE/>
        <w:autoSpaceDN/>
        <w:adjustRightInd/>
      </w:pPr>
    </w:p>
    <w:p w:rsidR="00013F80" w:rsidP="005C6CA9" w14:paraId="5DC392EE" w14:textId="0A2A8D55">
      <w:pPr>
        <w:keepLines/>
        <w:autoSpaceDE/>
        <w:autoSpaceDN/>
        <w:adjustRightInd/>
      </w:pPr>
      <w:r w:rsidRPr="00765073">
        <w:t>MSHA assumes that 88</w:t>
      </w:r>
      <w:r w:rsidR="005829AD">
        <w:t xml:space="preserve"> percent</w:t>
      </w:r>
      <w:r w:rsidRPr="00765073">
        <w:t xml:space="preserve"> of </w:t>
      </w:r>
      <w:r w:rsidR="005829AD">
        <w:t xml:space="preserve">slope and shaft </w:t>
      </w:r>
      <w:r w:rsidRPr="00765073">
        <w:t>plans will be submitted through electronic means. MSHA assumes that there is no additional cost for plans submitted through electronic means</w:t>
      </w:r>
      <w:r w:rsidRPr="00765073" w:rsidR="009F621E">
        <w:t xml:space="preserve">. The </w:t>
      </w:r>
      <w:r w:rsidR="005829AD">
        <w:t>remaining</w:t>
      </w:r>
      <w:r w:rsidRPr="00765073" w:rsidR="009F621E">
        <w:t xml:space="preserve"> 12</w:t>
      </w:r>
      <w:r w:rsidR="005829AD">
        <w:t xml:space="preserve"> percent</w:t>
      </w:r>
      <w:r w:rsidRPr="00765073" w:rsidR="009F621E">
        <w:t xml:space="preserve"> of plans will be mailed in. MSHA assumes that of the 50 plans submitted</w:t>
      </w:r>
      <w:r w:rsidR="005829AD">
        <w:t>,</w:t>
      </w:r>
      <w:r w:rsidRPr="00765073" w:rsidR="009F621E">
        <w:t xml:space="preserve"> </w:t>
      </w:r>
      <w:r w:rsidR="005C7A82">
        <w:t>6</w:t>
      </w:r>
      <w:r w:rsidRPr="00765073" w:rsidR="004B41A1">
        <w:t xml:space="preserve"> (50 x 12</w:t>
      </w:r>
      <w:r w:rsidR="00962503">
        <w:t xml:space="preserve"> percent</w:t>
      </w:r>
      <w:r w:rsidRPr="00765073" w:rsidR="004B41A1">
        <w:t>)</w:t>
      </w:r>
      <w:r w:rsidRPr="00765073" w:rsidR="009F621E">
        <w:t xml:space="preserve"> </w:t>
      </w:r>
      <w:r w:rsidR="005829AD">
        <w:t xml:space="preserve">plans </w:t>
      </w:r>
      <w:r w:rsidRPr="00765073" w:rsidR="009F621E">
        <w:t xml:space="preserve">will be mailed in. </w:t>
      </w:r>
    </w:p>
    <w:p w:rsidR="008B0138" w:rsidP="005C6CA9" w14:paraId="6611FC1F" w14:textId="77777777">
      <w:pPr>
        <w:keepLines/>
        <w:autoSpaceDE/>
        <w:autoSpaceDN/>
        <w:adjustRightInd/>
      </w:pPr>
    </w:p>
    <w:p w:rsidR="009F621E" w:rsidP="005C6CA9" w14:paraId="5DBFE461" w14:textId="3D3EDCE3">
      <w:pPr>
        <w:keepLines/>
        <w:autoSpaceDE/>
        <w:autoSpaceDN/>
        <w:adjustRightInd/>
        <w:rPr>
          <w:b/>
          <w:bCs/>
          <w:color w:val="000000"/>
        </w:rPr>
      </w:pPr>
      <w:r w:rsidRPr="00765073">
        <w:rPr>
          <w:b/>
          <w:bCs/>
          <w:color w:val="000000"/>
        </w:rPr>
        <w:t>Table 12-3A.</w:t>
      </w:r>
      <w:r>
        <w:rPr>
          <w:b/>
          <w:bCs/>
          <w:color w:val="000000"/>
        </w:rPr>
        <w:t xml:space="preserve"> Number of</w:t>
      </w:r>
      <w:r w:rsidRPr="00765073">
        <w:rPr>
          <w:b/>
          <w:bCs/>
          <w:color w:val="000000"/>
        </w:rPr>
        <w:t xml:space="preserve"> </w:t>
      </w:r>
      <w:r>
        <w:rPr>
          <w:b/>
          <w:bCs/>
          <w:color w:val="000000"/>
        </w:rPr>
        <w:t>Plans Mailed</w:t>
      </w:r>
    </w:p>
    <w:tbl>
      <w:tblPr>
        <w:tblW w:w="6565" w:type="dxa"/>
        <w:tblLook w:val="04A0"/>
      </w:tblPr>
      <w:tblGrid>
        <w:gridCol w:w="1885"/>
        <w:gridCol w:w="1720"/>
        <w:gridCol w:w="1560"/>
        <w:gridCol w:w="1400"/>
      </w:tblGrid>
      <w:tr w14:paraId="651AFFEC" w14:textId="77777777" w:rsidTr="000D4093">
        <w:tblPrEx>
          <w:tblW w:w="6565" w:type="dxa"/>
          <w:tblLook w:val="04A0"/>
        </w:tblPrEx>
        <w:trPr>
          <w:trHeight w:val="792"/>
        </w:trPr>
        <w:tc>
          <w:tcPr>
            <w:tcW w:w="188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962503" w:rsidRPr="00962503" w:rsidP="00962503" w14:paraId="71844BAE" w14:textId="77777777">
            <w:pPr>
              <w:widowControl/>
              <w:autoSpaceDE/>
              <w:autoSpaceDN/>
              <w:adjustRightInd/>
              <w:rPr>
                <w:color w:val="000000"/>
                <w:sz w:val="20"/>
                <w:szCs w:val="20"/>
              </w:rPr>
            </w:pPr>
            <w:r w:rsidRPr="00962503">
              <w:rPr>
                <w:color w:val="000000"/>
                <w:sz w:val="20"/>
                <w:szCs w:val="20"/>
              </w:rPr>
              <w:t>Cost components</w:t>
            </w:r>
          </w:p>
        </w:tc>
        <w:tc>
          <w:tcPr>
            <w:tcW w:w="1720" w:type="dxa"/>
            <w:tcBorders>
              <w:top w:val="single" w:sz="4" w:space="0" w:color="auto"/>
              <w:left w:val="nil"/>
              <w:bottom w:val="single" w:sz="4" w:space="0" w:color="auto"/>
              <w:right w:val="single" w:sz="4" w:space="0" w:color="auto"/>
            </w:tcBorders>
            <w:shd w:val="clear" w:color="000000" w:fill="8EA9DB"/>
            <w:vAlign w:val="center"/>
            <w:hideMark/>
          </w:tcPr>
          <w:p w:rsidR="00962503" w:rsidRPr="00962503" w:rsidP="00962503" w14:paraId="7B58344A" w14:textId="77777777">
            <w:pPr>
              <w:widowControl/>
              <w:autoSpaceDE/>
              <w:autoSpaceDN/>
              <w:adjustRightInd/>
              <w:jc w:val="center"/>
              <w:rPr>
                <w:color w:val="000000"/>
                <w:sz w:val="20"/>
                <w:szCs w:val="20"/>
              </w:rPr>
            </w:pPr>
            <w:r w:rsidRPr="00962503">
              <w:rPr>
                <w:color w:val="000000"/>
                <w:sz w:val="20"/>
                <w:szCs w:val="20"/>
              </w:rPr>
              <w:t>Number of Responses (Lists)</w:t>
            </w:r>
          </w:p>
        </w:tc>
        <w:tc>
          <w:tcPr>
            <w:tcW w:w="1560" w:type="dxa"/>
            <w:tcBorders>
              <w:top w:val="single" w:sz="4" w:space="0" w:color="auto"/>
              <w:left w:val="nil"/>
              <w:bottom w:val="single" w:sz="4" w:space="0" w:color="auto"/>
              <w:right w:val="single" w:sz="4" w:space="0" w:color="auto"/>
            </w:tcBorders>
            <w:shd w:val="clear" w:color="000000" w:fill="8EA9DB"/>
            <w:vAlign w:val="center"/>
            <w:hideMark/>
          </w:tcPr>
          <w:p w:rsidR="00962503" w:rsidRPr="00962503" w:rsidP="00962503" w14:paraId="01DAF23F" w14:textId="77777777">
            <w:pPr>
              <w:widowControl/>
              <w:autoSpaceDE/>
              <w:autoSpaceDN/>
              <w:adjustRightInd/>
              <w:jc w:val="center"/>
              <w:rPr>
                <w:color w:val="000000"/>
                <w:sz w:val="20"/>
                <w:szCs w:val="20"/>
              </w:rPr>
            </w:pPr>
            <w:r w:rsidRPr="00962503">
              <w:rPr>
                <w:color w:val="000000"/>
                <w:sz w:val="20"/>
                <w:szCs w:val="20"/>
              </w:rPr>
              <w:t>Percent of Plans Mailed</w:t>
            </w:r>
          </w:p>
        </w:tc>
        <w:tc>
          <w:tcPr>
            <w:tcW w:w="1400" w:type="dxa"/>
            <w:tcBorders>
              <w:top w:val="single" w:sz="4" w:space="0" w:color="auto"/>
              <w:left w:val="nil"/>
              <w:bottom w:val="single" w:sz="4" w:space="0" w:color="auto"/>
              <w:right w:val="single" w:sz="4" w:space="0" w:color="auto"/>
            </w:tcBorders>
            <w:shd w:val="clear" w:color="000000" w:fill="8EA9DB"/>
            <w:vAlign w:val="center"/>
            <w:hideMark/>
          </w:tcPr>
          <w:p w:rsidR="00962503" w:rsidRPr="00962503" w:rsidP="00962503" w14:paraId="478C1C00" w14:textId="77777777">
            <w:pPr>
              <w:widowControl/>
              <w:autoSpaceDE/>
              <w:autoSpaceDN/>
              <w:adjustRightInd/>
              <w:jc w:val="center"/>
              <w:rPr>
                <w:color w:val="000000"/>
                <w:sz w:val="20"/>
                <w:szCs w:val="20"/>
              </w:rPr>
            </w:pPr>
            <w:r w:rsidRPr="00962503">
              <w:rPr>
                <w:color w:val="000000"/>
                <w:sz w:val="20"/>
                <w:szCs w:val="20"/>
              </w:rPr>
              <w:t>Number of Plans Mailed</w:t>
            </w:r>
          </w:p>
        </w:tc>
      </w:tr>
      <w:tr w14:paraId="7A1FE1B8" w14:textId="77777777" w:rsidTr="000D4093">
        <w:tblPrEx>
          <w:tblW w:w="6565" w:type="dxa"/>
          <w:tblLook w:val="04A0"/>
        </w:tblPrEx>
        <w:trPr>
          <w:trHeight w:val="276"/>
        </w:trPr>
        <w:tc>
          <w:tcPr>
            <w:tcW w:w="1885" w:type="dxa"/>
            <w:tcBorders>
              <w:top w:val="nil"/>
              <w:left w:val="single" w:sz="4" w:space="0" w:color="auto"/>
              <w:bottom w:val="single" w:sz="4" w:space="0" w:color="auto"/>
              <w:right w:val="single" w:sz="4" w:space="0" w:color="auto"/>
            </w:tcBorders>
            <w:noWrap/>
            <w:vAlign w:val="center"/>
            <w:hideMark/>
          </w:tcPr>
          <w:p w:rsidR="00962503" w:rsidRPr="00962503" w:rsidP="00962503" w14:paraId="57D8DBFF" w14:textId="77777777">
            <w:pPr>
              <w:widowControl/>
              <w:autoSpaceDE/>
              <w:autoSpaceDN/>
              <w:adjustRightInd/>
              <w:rPr>
                <w:color w:val="000000"/>
                <w:sz w:val="20"/>
                <w:szCs w:val="20"/>
              </w:rPr>
            </w:pPr>
            <w:r w:rsidRPr="00962503">
              <w:rPr>
                <w:color w:val="000000"/>
                <w:sz w:val="20"/>
                <w:szCs w:val="20"/>
              </w:rPr>
              <w:t>Mailing Plans</w:t>
            </w:r>
          </w:p>
        </w:tc>
        <w:tc>
          <w:tcPr>
            <w:tcW w:w="1720" w:type="dxa"/>
            <w:tcBorders>
              <w:top w:val="nil"/>
              <w:left w:val="nil"/>
              <w:bottom w:val="single" w:sz="4" w:space="0" w:color="auto"/>
              <w:right w:val="single" w:sz="4" w:space="0" w:color="auto"/>
            </w:tcBorders>
            <w:noWrap/>
            <w:vAlign w:val="center"/>
            <w:hideMark/>
          </w:tcPr>
          <w:p w:rsidR="00962503" w:rsidRPr="00962503" w:rsidP="00962503" w14:paraId="357CA89E" w14:textId="77777777">
            <w:pPr>
              <w:widowControl/>
              <w:autoSpaceDE/>
              <w:autoSpaceDN/>
              <w:adjustRightInd/>
              <w:jc w:val="right"/>
              <w:rPr>
                <w:color w:val="000000"/>
                <w:sz w:val="20"/>
                <w:szCs w:val="20"/>
              </w:rPr>
            </w:pPr>
            <w:r w:rsidRPr="00962503">
              <w:rPr>
                <w:color w:val="000000"/>
                <w:sz w:val="20"/>
                <w:szCs w:val="20"/>
              </w:rPr>
              <w:t>50</w:t>
            </w:r>
          </w:p>
        </w:tc>
        <w:tc>
          <w:tcPr>
            <w:tcW w:w="1560" w:type="dxa"/>
            <w:tcBorders>
              <w:top w:val="nil"/>
              <w:left w:val="nil"/>
              <w:bottom w:val="single" w:sz="4" w:space="0" w:color="auto"/>
              <w:right w:val="single" w:sz="4" w:space="0" w:color="auto"/>
            </w:tcBorders>
            <w:noWrap/>
            <w:vAlign w:val="center"/>
            <w:hideMark/>
          </w:tcPr>
          <w:p w:rsidR="00962503" w:rsidRPr="00962503" w:rsidP="00962503" w14:paraId="0A5D8D38" w14:textId="77777777">
            <w:pPr>
              <w:widowControl/>
              <w:autoSpaceDE/>
              <w:autoSpaceDN/>
              <w:adjustRightInd/>
              <w:jc w:val="right"/>
              <w:rPr>
                <w:color w:val="000000"/>
                <w:sz w:val="20"/>
                <w:szCs w:val="20"/>
              </w:rPr>
            </w:pPr>
            <w:r w:rsidRPr="00962503">
              <w:rPr>
                <w:color w:val="000000"/>
                <w:sz w:val="20"/>
                <w:szCs w:val="20"/>
              </w:rPr>
              <w:t>12%</w:t>
            </w:r>
          </w:p>
        </w:tc>
        <w:tc>
          <w:tcPr>
            <w:tcW w:w="1400" w:type="dxa"/>
            <w:tcBorders>
              <w:top w:val="nil"/>
              <w:left w:val="nil"/>
              <w:bottom w:val="single" w:sz="4" w:space="0" w:color="auto"/>
              <w:right w:val="single" w:sz="4" w:space="0" w:color="auto"/>
            </w:tcBorders>
            <w:noWrap/>
            <w:vAlign w:val="center"/>
            <w:hideMark/>
          </w:tcPr>
          <w:p w:rsidR="00962503" w:rsidRPr="00962503" w:rsidP="00962503" w14:paraId="41FF4C53" w14:textId="77777777">
            <w:pPr>
              <w:widowControl/>
              <w:autoSpaceDE/>
              <w:autoSpaceDN/>
              <w:adjustRightInd/>
              <w:jc w:val="right"/>
              <w:rPr>
                <w:color w:val="000000"/>
                <w:sz w:val="20"/>
                <w:szCs w:val="20"/>
              </w:rPr>
            </w:pPr>
            <w:r w:rsidRPr="00962503">
              <w:rPr>
                <w:color w:val="000000"/>
                <w:sz w:val="20"/>
                <w:szCs w:val="20"/>
              </w:rPr>
              <w:t>6</w:t>
            </w:r>
          </w:p>
        </w:tc>
      </w:tr>
      <w:tr w14:paraId="0EF5D3B1" w14:textId="77777777" w:rsidTr="00746BEB">
        <w:tblPrEx>
          <w:tblW w:w="6565" w:type="dxa"/>
          <w:tblLook w:val="04A0"/>
        </w:tblPrEx>
        <w:trPr>
          <w:trHeight w:val="276"/>
        </w:trPr>
        <w:tc>
          <w:tcPr>
            <w:tcW w:w="1885" w:type="dxa"/>
            <w:tcBorders>
              <w:top w:val="nil"/>
              <w:left w:val="single" w:sz="4" w:space="0" w:color="auto"/>
              <w:bottom w:val="single" w:sz="4" w:space="0" w:color="auto"/>
              <w:right w:val="single" w:sz="4" w:space="0" w:color="auto"/>
            </w:tcBorders>
            <w:noWrap/>
            <w:vAlign w:val="center"/>
            <w:hideMark/>
          </w:tcPr>
          <w:p w:rsidR="00962503" w:rsidRPr="00962503" w:rsidP="00746BEB" w14:paraId="34233A51" w14:textId="5753D9EB">
            <w:pPr>
              <w:widowControl/>
              <w:autoSpaceDE/>
              <w:autoSpaceDN/>
              <w:adjustRightInd/>
              <w:jc w:val="right"/>
              <w:rPr>
                <w:b/>
                <w:bCs/>
                <w:i/>
                <w:iCs/>
                <w:color w:val="000000"/>
                <w:sz w:val="20"/>
                <w:szCs w:val="20"/>
              </w:rPr>
            </w:pPr>
            <w:r>
              <w:rPr>
                <w:b/>
                <w:bCs/>
                <w:i/>
                <w:iCs/>
                <w:color w:val="000000"/>
                <w:sz w:val="20"/>
                <w:szCs w:val="20"/>
              </w:rPr>
              <w:t>Subtotal</w:t>
            </w:r>
            <w:r w:rsidRPr="00962503">
              <w:rPr>
                <w:b/>
                <w:bCs/>
                <w:i/>
                <w:iCs/>
                <w:color w:val="000000"/>
                <w:sz w:val="20"/>
                <w:szCs w:val="20"/>
              </w:rPr>
              <w:t xml:space="preserve"> </w:t>
            </w:r>
            <w:r w:rsidRPr="00962503">
              <w:rPr>
                <w:b/>
                <w:bCs/>
                <w:i/>
                <w:iCs/>
                <w:color w:val="000000"/>
                <w:sz w:val="20"/>
                <w:szCs w:val="20"/>
              </w:rPr>
              <w:t>(Rounded)</w:t>
            </w:r>
          </w:p>
        </w:tc>
        <w:tc>
          <w:tcPr>
            <w:tcW w:w="1720" w:type="dxa"/>
            <w:tcBorders>
              <w:top w:val="nil"/>
              <w:left w:val="nil"/>
              <w:bottom w:val="single" w:sz="4" w:space="0" w:color="auto"/>
              <w:right w:val="single" w:sz="4" w:space="0" w:color="auto"/>
            </w:tcBorders>
            <w:noWrap/>
            <w:vAlign w:val="center"/>
            <w:hideMark/>
          </w:tcPr>
          <w:p w:rsidR="00962503" w:rsidRPr="000D4093" w:rsidP="00962503" w14:paraId="4681139C" w14:textId="77777777">
            <w:pPr>
              <w:widowControl/>
              <w:autoSpaceDE/>
              <w:autoSpaceDN/>
              <w:adjustRightInd/>
              <w:jc w:val="right"/>
              <w:rPr>
                <w:b/>
                <w:bCs/>
                <w:i/>
                <w:iCs/>
                <w:color w:val="000000"/>
                <w:sz w:val="20"/>
                <w:szCs w:val="20"/>
              </w:rPr>
            </w:pPr>
            <w:r w:rsidRPr="000D4093">
              <w:rPr>
                <w:b/>
                <w:bCs/>
                <w:i/>
                <w:iCs/>
                <w:color w:val="000000"/>
                <w:sz w:val="20"/>
                <w:szCs w:val="20"/>
              </w:rPr>
              <w:t>50</w:t>
            </w:r>
          </w:p>
        </w:tc>
        <w:tc>
          <w:tcPr>
            <w:tcW w:w="1560" w:type="dxa"/>
            <w:tcBorders>
              <w:top w:val="nil"/>
              <w:left w:val="nil"/>
              <w:bottom w:val="single" w:sz="4" w:space="0" w:color="auto"/>
              <w:right w:val="single" w:sz="4" w:space="0" w:color="auto"/>
            </w:tcBorders>
            <w:shd w:val="clear" w:color="000000" w:fill="000000"/>
            <w:noWrap/>
            <w:vAlign w:val="center"/>
            <w:hideMark/>
          </w:tcPr>
          <w:p w:rsidR="00962503" w:rsidRPr="000D4093" w:rsidP="00962503" w14:paraId="60DA2DDF" w14:textId="77777777">
            <w:pPr>
              <w:widowControl/>
              <w:autoSpaceDE/>
              <w:autoSpaceDN/>
              <w:adjustRightInd/>
              <w:jc w:val="right"/>
              <w:rPr>
                <w:b/>
                <w:bCs/>
                <w:i/>
                <w:iCs/>
                <w:color w:val="000000"/>
                <w:sz w:val="20"/>
                <w:szCs w:val="20"/>
              </w:rPr>
            </w:pPr>
            <w:r w:rsidRPr="000D4093">
              <w:rPr>
                <w:b/>
                <w:bCs/>
                <w:i/>
                <w:iCs/>
                <w:color w:val="000000"/>
                <w:sz w:val="20"/>
                <w:szCs w:val="20"/>
              </w:rPr>
              <w:t> </w:t>
            </w:r>
          </w:p>
        </w:tc>
        <w:tc>
          <w:tcPr>
            <w:tcW w:w="1400" w:type="dxa"/>
            <w:tcBorders>
              <w:top w:val="nil"/>
              <w:left w:val="nil"/>
              <w:bottom w:val="single" w:sz="4" w:space="0" w:color="auto"/>
              <w:right w:val="single" w:sz="4" w:space="0" w:color="auto"/>
            </w:tcBorders>
            <w:noWrap/>
            <w:vAlign w:val="center"/>
            <w:hideMark/>
          </w:tcPr>
          <w:p w:rsidR="00962503" w:rsidRPr="000D4093" w:rsidP="00962503" w14:paraId="2D1EBAED" w14:textId="77777777">
            <w:pPr>
              <w:widowControl/>
              <w:autoSpaceDE/>
              <w:autoSpaceDN/>
              <w:adjustRightInd/>
              <w:jc w:val="right"/>
              <w:rPr>
                <w:b/>
                <w:bCs/>
                <w:i/>
                <w:iCs/>
                <w:color w:val="000000"/>
                <w:sz w:val="20"/>
                <w:szCs w:val="20"/>
              </w:rPr>
            </w:pPr>
            <w:r w:rsidRPr="000D4093">
              <w:rPr>
                <w:b/>
                <w:bCs/>
                <w:i/>
                <w:iCs/>
                <w:color w:val="000000"/>
                <w:sz w:val="20"/>
                <w:szCs w:val="20"/>
              </w:rPr>
              <w:t>6</w:t>
            </w:r>
          </w:p>
        </w:tc>
      </w:tr>
    </w:tbl>
    <w:p w:rsidR="00013F80" w:rsidRPr="00765073" w:rsidP="005C6CA9" w14:paraId="3DBD141B" w14:textId="77777777">
      <w:pPr>
        <w:keepLines/>
        <w:autoSpaceDE/>
        <w:autoSpaceDN/>
        <w:adjustRightInd/>
      </w:pPr>
    </w:p>
    <w:p w:rsidR="00013F80" w:rsidRPr="005366CD" w:rsidP="005C6CA9" w14:paraId="2305F68E" w14:textId="0B5B94E0">
      <w:pPr>
        <w:keepLines/>
        <w:autoSpaceDE/>
        <w:autoSpaceDN/>
        <w:adjustRightInd/>
        <w:rPr>
          <w:b/>
          <w:bCs/>
        </w:rPr>
      </w:pPr>
      <w:r w:rsidRPr="00765073">
        <w:t>MSHA estimates that</w:t>
      </w:r>
      <w:r w:rsidR="00BD3D2C">
        <w:t xml:space="preserve"> </w:t>
      </w:r>
      <w:r w:rsidR="005829AD">
        <w:t xml:space="preserve">it takes </w:t>
      </w:r>
      <w:r w:rsidRPr="00765073">
        <w:t>a clerk, earning $44.90 per hour, 5 minutes to make copies and mail the plans to MSHA for approval.</w:t>
      </w:r>
      <w:r w:rsidRPr="005829AD" w:rsidR="005829AD">
        <w:t xml:space="preserve"> </w:t>
      </w:r>
    </w:p>
    <w:p w:rsidR="00013F80" w:rsidRPr="00765073" w:rsidP="005C6CA9" w14:paraId="307BA8A2" w14:textId="77777777">
      <w:pPr>
        <w:keepLines/>
        <w:autoSpaceDE/>
        <w:autoSpaceDN/>
        <w:adjustRightInd/>
      </w:pPr>
    </w:p>
    <w:p w:rsidR="00A20E71" w14:paraId="676C6622" w14:textId="77777777">
      <w:pPr>
        <w:widowControl/>
        <w:autoSpaceDE/>
        <w:autoSpaceDN/>
        <w:adjustRightInd/>
        <w:spacing w:after="160" w:line="259" w:lineRule="auto"/>
        <w:rPr>
          <w:b/>
          <w:bCs/>
          <w:color w:val="000000"/>
        </w:rPr>
      </w:pPr>
      <w:r>
        <w:rPr>
          <w:b/>
          <w:bCs/>
          <w:color w:val="000000"/>
        </w:rPr>
        <w:br w:type="page"/>
      </w:r>
    </w:p>
    <w:p w:rsidR="00013F80" w:rsidRPr="00765073" w:rsidP="00013F80" w14:paraId="74896F28" w14:textId="5AF79718">
      <w:pPr>
        <w:widowControl/>
        <w:autoSpaceDE/>
        <w:autoSpaceDN/>
        <w:adjustRightInd/>
        <w:rPr>
          <w:b/>
          <w:bCs/>
          <w:color w:val="000000"/>
        </w:rPr>
      </w:pPr>
      <w:r w:rsidRPr="00765073">
        <w:rPr>
          <w:b/>
          <w:bCs/>
          <w:color w:val="000000"/>
        </w:rPr>
        <w:t>Table 12-</w:t>
      </w:r>
      <w:r w:rsidRPr="00765073" w:rsidR="009F621E">
        <w:rPr>
          <w:b/>
          <w:bCs/>
          <w:color w:val="000000"/>
        </w:rPr>
        <w:t>3</w:t>
      </w:r>
      <w:r w:rsidRPr="00765073">
        <w:rPr>
          <w:b/>
          <w:bCs/>
          <w:color w:val="000000"/>
        </w:rPr>
        <w:t xml:space="preserve">. Estimated Annual Respondent Hour and Cost Burden, </w:t>
      </w:r>
      <w:r w:rsidR="007318E3">
        <w:rPr>
          <w:b/>
          <w:bCs/>
          <w:color w:val="000000"/>
        </w:rPr>
        <w:t>Copy</w:t>
      </w:r>
      <w:r w:rsidR="005829AD">
        <w:rPr>
          <w:b/>
          <w:bCs/>
          <w:color w:val="000000"/>
        </w:rPr>
        <w:t>ing</w:t>
      </w:r>
      <w:r w:rsidR="007318E3">
        <w:rPr>
          <w:b/>
          <w:bCs/>
          <w:color w:val="000000"/>
        </w:rPr>
        <w:t xml:space="preserve"> and Mail</w:t>
      </w:r>
      <w:r w:rsidR="005829AD">
        <w:rPr>
          <w:b/>
          <w:bCs/>
          <w:color w:val="000000"/>
        </w:rPr>
        <w:t>ing</w:t>
      </w:r>
      <w:r w:rsidR="007318E3">
        <w:rPr>
          <w:b/>
          <w:bCs/>
          <w:color w:val="000000"/>
        </w:rPr>
        <w:t xml:space="preserve"> Plans </w:t>
      </w:r>
      <w:r w:rsidRPr="00765073">
        <w:rPr>
          <w:b/>
          <w:bCs/>
          <w:color w:val="000000"/>
        </w:rPr>
        <w:t>(30 CFR</w:t>
      </w:r>
      <w:r w:rsidR="007318E3">
        <w:rPr>
          <w:b/>
          <w:bCs/>
          <w:color w:val="000000"/>
        </w:rPr>
        <w:t xml:space="preserve"> 77.1900</w:t>
      </w:r>
      <w:r w:rsidRPr="00765073">
        <w:rPr>
          <w:b/>
          <w:bCs/>
          <w:color w:val="000000"/>
        </w:rPr>
        <w:t>)</w:t>
      </w:r>
    </w:p>
    <w:tbl>
      <w:tblPr>
        <w:tblStyle w:val="TableGrid"/>
        <w:tblW w:w="9715" w:type="dxa"/>
        <w:tblLayout w:type="fixed"/>
        <w:tblLook w:val="04A0"/>
      </w:tblPr>
      <w:tblGrid>
        <w:gridCol w:w="1525"/>
        <w:gridCol w:w="1350"/>
        <w:gridCol w:w="1260"/>
        <w:gridCol w:w="1440"/>
        <w:gridCol w:w="990"/>
        <w:gridCol w:w="990"/>
        <w:gridCol w:w="990"/>
        <w:gridCol w:w="1170"/>
      </w:tblGrid>
      <w:tr w14:paraId="2009A9D2" w14:textId="77777777" w:rsidTr="006C4124">
        <w:tblPrEx>
          <w:tblW w:w="9715" w:type="dxa"/>
          <w:tblLayout w:type="fixed"/>
          <w:tblLook w:val="04A0"/>
        </w:tblPrEx>
        <w:trPr>
          <w:trHeight w:val="747"/>
        </w:trPr>
        <w:tc>
          <w:tcPr>
            <w:tcW w:w="1525" w:type="dxa"/>
            <w:shd w:val="clear" w:color="auto" w:fill="8EAADB" w:themeFill="accent1" w:themeFillTint="99"/>
            <w:vAlign w:val="center"/>
            <w:hideMark/>
          </w:tcPr>
          <w:p w:rsidR="00013F80" w:rsidRPr="00765073" w:rsidP="006C4124" w14:paraId="577A4E70" w14:textId="77777777">
            <w:pPr>
              <w:widowControl/>
              <w:autoSpaceDE/>
              <w:autoSpaceDN/>
              <w:adjustRightInd/>
              <w:rPr>
                <w:rFonts w:eastAsiaTheme="minorHAnsi"/>
                <w:sz w:val="20"/>
                <w:szCs w:val="20"/>
              </w:rPr>
            </w:pPr>
            <w:r w:rsidRPr="00765073">
              <w:rPr>
                <w:rFonts w:eastAsiaTheme="minorHAnsi"/>
                <w:sz w:val="20"/>
                <w:szCs w:val="20"/>
              </w:rPr>
              <w:t>Activity (Occupation)</w:t>
            </w:r>
          </w:p>
        </w:tc>
        <w:tc>
          <w:tcPr>
            <w:tcW w:w="1350" w:type="dxa"/>
            <w:shd w:val="clear" w:color="auto" w:fill="8EAADB" w:themeFill="accent1" w:themeFillTint="99"/>
            <w:vAlign w:val="center"/>
            <w:hideMark/>
          </w:tcPr>
          <w:p w:rsidR="00013F80" w:rsidRPr="00765073" w:rsidP="006C4124" w14:paraId="0A1FF0BD" w14:textId="77777777">
            <w:pPr>
              <w:widowControl/>
              <w:autoSpaceDE/>
              <w:autoSpaceDN/>
              <w:adjustRightInd/>
              <w:jc w:val="center"/>
              <w:rPr>
                <w:rFonts w:eastAsiaTheme="minorHAnsi"/>
                <w:sz w:val="20"/>
                <w:szCs w:val="20"/>
              </w:rPr>
            </w:pPr>
            <w:r w:rsidRPr="00765073">
              <w:rPr>
                <w:rFonts w:eastAsiaTheme="minorHAnsi"/>
                <w:sz w:val="20"/>
                <w:szCs w:val="20"/>
              </w:rPr>
              <w:t>Number of Respondents</w:t>
            </w:r>
          </w:p>
          <w:p w:rsidR="00013F80" w:rsidRPr="00765073" w:rsidP="006C4124" w14:paraId="0663322B" w14:textId="77777777">
            <w:pPr>
              <w:widowControl/>
              <w:autoSpaceDE/>
              <w:autoSpaceDN/>
              <w:adjustRightInd/>
              <w:jc w:val="center"/>
              <w:rPr>
                <w:rFonts w:eastAsiaTheme="minorHAnsi"/>
                <w:sz w:val="20"/>
                <w:szCs w:val="20"/>
              </w:rPr>
            </w:pPr>
            <w:r w:rsidRPr="00765073">
              <w:rPr>
                <w:rFonts w:eastAsiaTheme="minorHAnsi"/>
                <w:sz w:val="20"/>
                <w:szCs w:val="20"/>
              </w:rPr>
              <w:t>(Mines)</w:t>
            </w:r>
          </w:p>
        </w:tc>
        <w:tc>
          <w:tcPr>
            <w:tcW w:w="1260" w:type="dxa"/>
            <w:shd w:val="clear" w:color="auto" w:fill="8EAADB" w:themeFill="accent1" w:themeFillTint="99"/>
            <w:vAlign w:val="center"/>
          </w:tcPr>
          <w:p w:rsidR="00013F80" w:rsidRPr="00765073" w:rsidP="006C4124" w14:paraId="2688553E" w14:textId="77777777">
            <w:pPr>
              <w:widowControl/>
              <w:autoSpaceDE/>
              <w:autoSpaceDN/>
              <w:adjustRightInd/>
              <w:jc w:val="center"/>
              <w:rPr>
                <w:rFonts w:eastAsiaTheme="minorHAnsi"/>
                <w:sz w:val="20"/>
                <w:szCs w:val="20"/>
              </w:rPr>
            </w:pPr>
            <w:r w:rsidRPr="00765073">
              <w:rPr>
                <w:rFonts w:eastAsiaTheme="minorHAnsi"/>
                <w:sz w:val="20"/>
                <w:szCs w:val="20"/>
              </w:rPr>
              <w:t>Number of Responses per Respondent</w:t>
            </w:r>
          </w:p>
        </w:tc>
        <w:tc>
          <w:tcPr>
            <w:tcW w:w="1440" w:type="dxa"/>
            <w:shd w:val="clear" w:color="auto" w:fill="8EAADB" w:themeFill="accent1" w:themeFillTint="99"/>
            <w:vAlign w:val="center"/>
          </w:tcPr>
          <w:p w:rsidR="00013F80" w:rsidRPr="00765073" w:rsidP="006C4124" w14:paraId="573AF926" w14:textId="7678BCFB">
            <w:pPr>
              <w:widowControl/>
              <w:autoSpaceDE/>
              <w:autoSpaceDN/>
              <w:adjustRightInd/>
              <w:jc w:val="center"/>
              <w:rPr>
                <w:rFonts w:eastAsiaTheme="minorHAnsi"/>
                <w:sz w:val="20"/>
                <w:szCs w:val="20"/>
              </w:rPr>
            </w:pPr>
            <w:r w:rsidRPr="00765073">
              <w:rPr>
                <w:rFonts w:eastAsiaTheme="minorHAnsi"/>
                <w:sz w:val="20"/>
                <w:szCs w:val="20"/>
              </w:rPr>
              <w:t>Total Responses (</w:t>
            </w:r>
            <w:r w:rsidR="00A97690">
              <w:rPr>
                <w:rFonts w:eastAsiaTheme="minorHAnsi"/>
                <w:sz w:val="20"/>
                <w:szCs w:val="20"/>
              </w:rPr>
              <w:t xml:space="preserve">Mailed </w:t>
            </w:r>
            <w:r w:rsidRPr="00765073">
              <w:rPr>
                <w:rFonts w:eastAsiaTheme="minorHAnsi"/>
                <w:sz w:val="20"/>
                <w:szCs w:val="20"/>
              </w:rPr>
              <w:t>Plans)</w:t>
            </w:r>
          </w:p>
        </w:tc>
        <w:tc>
          <w:tcPr>
            <w:tcW w:w="990" w:type="dxa"/>
            <w:shd w:val="clear" w:color="auto" w:fill="8EAADB" w:themeFill="accent1" w:themeFillTint="99"/>
            <w:vAlign w:val="center"/>
          </w:tcPr>
          <w:p w:rsidR="00013F80" w:rsidRPr="00765073" w:rsidP="006C4124" w14:paraId="0C75078A" w14:textId="77777777">
            <w:pPr>
              <w:widowControl/>
              <w:autoSpaceDE/>
              <w:autoSpaceDN/>
              <w:adjustRightInd/>
              <w:jc w:val="center"/>
              <w:rPr>
                <w:rFonts w:eastAsiaTheme="minorHAnsi"/>
                <w:sz w:val="20"/>
                <w:szCs w:val="20"/>
              </w:rPr>
            </w:pPr>
            <w:r w:rsidRPr="00765073">
              <w:rPr>
                <w:rFonts w:eastAsiaTheme="minorHAnsi"/>
                <w:sz w:val="20"/>
                <w:szCs w:val="20"/>
              </w:rPr>
              <w:t>Average Burden (Hours)</w:t>
            </w:r>
          </w:p>
        </w:tc>
        <w:tc>
          <w:tcPr>
            <w:tcW w:w="990" w:type="dxa"/>
            <w:shd w:val="clear" w:color="auto" w:fill="8EAADB" w:themeFill="accent1" w:themeFillTint="99"/>
            <w:vAlign w:val="center"/>
            <w:hideMark/>
          </w:tcPr>
          <w:p w:rsidR="00013F80" w:rsidRPr="00765073" w:rsidP="006C4124" w14:paraId="00AEFFB8" w14:textId="77777777">
            <w:pPr>
              <w:widowControl/>
              <w:autoSpaceDE/>
              <w:autoSpaceDN/>
              <w:adjustRightInd/>
              <w:jc w:val="center"/>
              <w:rPr>
                <w:rFonts w:eastAsiaTheme="minorHAnsi"/>
                <w:sz w:val="20"/>
                <w:szCs w:val="20"/>
              </w:rPr>
            </w:pPr>
            <w:r w:rsidRPr="00765073">
              <w:rPr>
                <w:rFonts w:eastAsiaTheme="minorHAnsi"/>
                <w:sz w:val="20"/>
                <w:szCs w:val="20"/>
              </w:rPr>
              <w:t>Total Burden (Hours)</w:t>
            </w:r>
          </w:p>
        </w:tc>
        <w:tc>
          <w:tcPr>
            <w:tcW w:w="990" w:type="dxa"/>
            <w:shd w:val="clear" w:color="auto" w:fill="8EAADB" w:themeFill="accent1" w:themeFillTint="99"/>
            <w:vAlign w:val="center"/>
            <w:hideMark/>
          </w:tcPr>
          <w:p w:rsidR="00013F80" w:rsidRPr="00765073" w:rsidP="006C4124" w14:paraId="5494ED5D" w14:textId="77777777">
            <w:pPr>
              <w:widowControl/>
              <w:autoSpaceDE/>
              <w:autoSpaceDN/>
              <w:adjustRightInd/>
              <w:jc w:val="center"/>
              <w:rPr>
                <w:rFonts w:eastAsiaTheme="minorHAnsi"/>
                <w:sz w:val="20"/>
                <w:szCs w:val="20"/>
              </w:rPr>
            </w:pPr>
            <w:r w:rsidRPr="00765073">
              <w:rPr>
                <w:rFonts w:eastAsiaTheme="minorHAnsi"/>
                <w:sz w:val="20"/>
                <w:szCs w:val="20"/>
              </w:rPr>
              <w:t>Hourly Wage Rate</w:t>
            </w:r>
          </w:p>
        </w:tc>
        <w:tc>
          <w:tcPr>
            <w:tcW w:w="1170" w:type="dxa"/>
            <w:shd w:val="clear" w:color="auto" w:fill="8EAADB" w:themeFill="accent1" w:themeFillTint="99"/>
            <w:vAlign w:val="center"/>
            <w:hideMark/>
          </w:tcPr>
          <w:p w:rsidR="00013F80" w:rsidRPr="00765073" w:rsidP="006C4124" w14:paraId="7062F97A" w14:textId="77777777">
            <w:pPr>
              <w:widowControl/>
              <w:autoSpaceDE/>
              <w:autoSpaceDN/>
              <w:adjustRightInd/>
              <w:jc w:val="center"/>
              <w:rPr>
                <w:rFonts w:eastAsiaTheme="minorHAnsi"/>
                <w:sz w:val="20"/>
                <w:szCs w:val="20"/>
              </w:rPr>
            </w:pPr>
            <w:r w:rsidRPr="00765073">
              <w:rPr>
                <w:rFonts w:eastAsiaTheme="minorHAnsi"/>
                <w:sz w:val="20"/>
                <w:szCs w:val="20"/>
              </w:rPr>
              <w:t>Total Burden Cost</w:t>
            </w:r>
          </w:p>
        </w:tc>
      </w:tr>
      <w:tr w14:paraId="63DA7513" w14:textId="77777777" w:rsidTr="006C4124">
        <w:tblPrEx>
          <w:tblW w:w="9715" w:type="dxa"/>
          <w:tblLayout w:type="fixed"/>
          <w:tblLook w:val="04A0"/>
        </w:tblPrEx>
        <w:trPr>
          <w:trHeight w:val="363"/>
        </w:trPr>
        <w:tc>
          <w:tcPr>
            <w:tcW w:w="1525" w:type="dxa"/>
            <w:noWrap/>
            <w:vAlign w:val="bottom"/>
            <w:hideMark/>
          </w:tcPr>
          <w:p w:rsidR="00D21700" w:rsidRPr="00765073" w:rsidP="00D21700" w14:paraId="2DC4915E" w14:textId="2B5D7A33">
            <w:pPr>
              <w:widowControl/>
              <w:autoSpaceDE/>
              <w:autoSpaceDN/>
              <w:adjustRightInd/>
              <w:rPr>
                <w:rFonts w:eastAsiaTheme="minorHAnsi"/>
                <w:bCs/>
                <w:sz w:val="20"/>
                <w:szCs w:val="20"/>
              </w:rPr>
            </w:pPr>
            <w:r>
              <w:rPr>
                <w:color w:val="000000"/>
                <w:sz w:val="20"/>
                <w:szCs w:val="20"/>
              </w:rPr>
              <w:t>Copy</w:t>
            </w:r>
            <w:r w:rsidR="005829AD">
              <w:rPr>
                <w:color w:val="000000"/>
                <w:sz w:val="20"/>
                <w:szCs w:val="20"/>
              </w:rPr>
              <w:t>ing</w:t>
            </w:r>
            <w:r>
              <w:rPr>
                <w:color w:val="000000"/>
                <w:sz w:val="20"/>
                <w:szCs w:val="20"/>
              </w:rPr>
              <w:t xml:space="preserve"> and </w:t>
            </w:r>
            <w:r w:rsidRPr="00765073">
              <w:rPr>
                <w:color w:val="000000"/>
                <w:sz w:val="20"/>
                <w:szCs w:val="20"/>
              </w:rPr>
              <w:t>Mail</w:t>
            </w:r>
            <w:r w:rsidR="005829AD">
              <w:rPr>
                <w:color w:val="000000"/>
                <w:sz w:val="20"/>
                <w:szCs w:val="20"/>
              </w:rPr>
              <w:t>ing</w:t>
            </w:r>
            <w:r w:rsidRPr="00765073">
              <w:rPr>
                <w:color w:val="000000"/>
                <w:sz w:val="20"/>
                <w:szCs w:val="20"/>
              </w:rPr>
              <w:t xml:space="preserve"> Plans (</w:t>
            </w:r>
            <w:r>
              <w:rPr>
                <w:color w:val="000000"/>
                <w:sz w:val="20"/>
                <w:szCs w:val="20"/>
              </w:rPr>
              <w:t>Clerk</w:t>
            </w:r>
            <w:r w:rsidRPr="00765073">
              <w:rPr>
                <w:color w:val="000000"/>
                <w:sz w:val="20"/>
                <w:szCs w:val="20"/>
              </w:rPr>
              <w:t>)</w:t>
            </w:r>
          </w:p>
        </w:tc>
        <w:tc>
          <w:tcPr>
            <w:tcW w:w="1350" w:type="dxa"/>
            <w:noWrap/>
            <w:vAlign w:val="center"/>
          </w:tcPr>
          <w:p w:rsidR="00D21700" w:rsidRPr="00765073" w:rsidP="00D21700" w14:paraId="69097FD7" w14:textId="4D02DC13">
            <w:pPr>
              <w:widowControl/>
              <w:autoSpaceDE/>
              <w:autoSpaceDN/>
              <w:adjustRightInd/>
              <w:jc w:val="right"/>
              <w:rPr>
                <w:rFonts w:eastAsiaTheme="minorHAnsi"/>
                <w:bCs/>
                <w:sz w:val="20"/>
                <w:szCs w:val="20"/>
              </w:rPr>
            </w:pPr>
            <w:r>
              <w:rPr>
                <w:color w:val="000000"/>
                <w:sz w:val="20"/>
                <w:szCs w:val="20"/>
              </w:rPr>
              <w:t>20</w:t>
            </w:r>
          </w:p>
        </w:tc>
        <w:tc>
          <w:tcPr>
            <w:tcW w:w="1260" w:type="dxa"/>
            <w:vAlign w:val="center"/>
          </w:tcPr>
          <w:p w:rsidR="00D21700" w:rsidRPr="00765073" w:rsidP="00D21700" w14:paraId="2C7A39E4" w14:textId="2CF708CF">
            <w:pPr>
              <w:widowControl/>
              <w:autoSpaceDE/>
              <w:autoSpaceDN/>
              <w:adjustRightInd/>
              <w:jc w:val="right"/>
              <w:rPr>
                <w:rFonts w:eastAsiaTheme="minorHAnsi"/>
                <w:bCs/>
                <w:sz w:val="20"/>
                <w:szCs w:val="20"/>
              </w:rPr>
            </w:pPr>
            <w:r w:rsidRPr="00765073">
              <w:rPr>
                <w:color w:val="000000"/>
                <w:sz w:val="20"/>
                <w:szCs w:val="20"/>
              </w:rPr>
              <w:t>0.3</w:t>
            </w:r>
          </w:p>
        </w:tc>
        <w:tc>
          <w:tcPr>
            <w:tcW w:w="1440" w:type="dxa"/>
            <w:vAlign w:val="center"/>
          </w:tcPr>
          <w:p w:rsidR="00D21700" w:rsidRPr="00765073" w:rsidP="005366CD" w14:paraId="680BB10C" w14:textId="7A2205A5">
            <w:pPr>
              <w:widowControl/>
              <w:autoSpaceDE/>
              <w:autoSpaceDN/>
              <w:adjustRightInd/>
              <w:rPr>
                <w:rFonts w:eastAsiaTheme="minorHAnsi"/>
                <w:bCs/>
                <w:sz w:val="20"/>
                <w:szCs w:val="20"/>
              </w:rPr>
            </w:pPr>
            <w:r w:rsidRPr="00765073">
              <w:rPr>
                <w:color w:val="000000"/>
                <w:sz w:val="20"/>
                <w:szCs w:val="20"/>
              </w:rPr>
              <w:t xml:space="preserve">                      6 </w:t>
            </w:r>
          </w:p>
        </w:tc>
        <w:tc>
          <w:tcPr>
            <w:tcW w:w="990" w:type="dxa"/>
            <w:vAlign w:val="center"/>
          </w:tcPr>
          <w:p w:rsidR="00D21700" w:rsidRPr="005366CD" w:rsidP="00D21700" w14:paraId="239415AB" w14:textId="390259B9">
            <w:pPr>
              <w:widowControl/>
              <w:autoSpaceDE/>
              <w:autoSpaceDN/>
              <w:adjustRightInd/>
              <w:jc w:val="right"/>
              <w:rPr>
                <w:color w:val="000000"/>
                <w:sz w:val="20"/>
                <w:szCs w:val="20"/>
              </w:rPr>
            </w:pPr>
            <w:r w:rsidRPr="00765073">
              <w:rPr>
                <w:color w:val="000000"/>
                <w:sz w:val="20"/>
                <w:szCs w:val="20"/>
              </w:rPr>
              <w:t>0.08</w:t>
            </w:r>
          </w:p>
        </w:tc>
        <w:tc>
          <w:tcPr>
            <w:tcW w:w="990" w:type="dxa"/>
            <w:noWrap/>
            <w:vAlign w:val="center"/>
          </w:tcPr>
          <w:p w:rsidR="00D21700" w:rsidRPr="00765073" w:rsidP="00D21700" w14:paraId="031001B7" w14:textId="63648EF4">
            <w:pPr>
              <w:widowControl/>
              <w:autoSpaceDE/>
              <w:autoSpaceDN/>
              <w:adjustRightInd/>
              <w:jc w:val="right"/>
              <w:rPr>
                <w:rFonts w:eastAsiaTheme="minorHAnsi"/>
                <w:bCs/>
                <w:sz w:val="20"/>
                <w:szCs w:val="20"/>
              </w:rPr>
            </w:pPr>
            <w:r w:rsidRPr="00765073">
              <w:rPr>
                <w:color w:val="000000"/>
                <w:sz w:val="20"/>
                <w:szCs w:val="20"/>
              </w:rPr>
              <w:t>0.50</w:t>
            </w:r>
          </w:p>
        </w:tc>
        <w:tc>
          <w:tcPr>
            <w:tcW w:w="990" w:type="dxa"/>
            <w:noWrap/>
            <w:vAlign w:val="center"/>
            <w:hideMark/>
          </w:tcPr>
          <w:p w:rsidR="00D21700" w:rsidRPr="00765073" w:rsidP="00D21700" w14:paraId="181E6CA0" w14:textId="0CE585D9">
            <w:pPr>
              <w:widowControl/>
              <w:autoSpaceDE/>
              <w:autoSpaceDN/>
              <w:adjustRightInd/>
              <w:jc w:val="right"/>
              <w:rPr>
                <w:rFonts w:eastAsiaTheme="minorHAnsi"/>
                <w:bCs/>
                <w:sz w:val="20"/>
                <w:szCs w:val="20"/>
              </w:rPr>
            </w:pPr>
            <w:r w:rsidRPr="00765073">
              <w:rPr>
                <w:color w:val="000000"/>
                <w:sz w:val="20"/>
                <w:szCs w:val="20"/>
              </w:rPr>
              <w:t xml:space="preserve">$44.90 </w:t>
            </w:r>
          </w:p>
        </w:tc>
        <w:tc>
          <w:tcPr>
            <w:tcW w:w="1170" w:type="dxa"/>
            <w:noWrap/>
            <w:vAlign w:val="center"/>
            <w:hideMark/>
          </w:tcPr>
          <w:p w:rsidR="00D21700" w:rsidRPr="00765073" w:rsidP="00D21700" w14:paraId="6239F0DF" w14:textId="7F0B8F91">
            <w:pPr>
              <w:widowControl/>
              <w:autoSpaceDE/>
              <w:autoSpaceDN/>
              <w:adjustRightInd/>
              <w:jc w:val="right"/>
              <w:rPr>
                <w:rFonts w:eastAsiaTheme="minorHAnsi"/>
                <w:bCs/>
                <w:sz w:val="20"/>
                <w:szCs w:val="20"/>
              </w:rPr>
            </w:pPr>
            <w:r w:rsidRPr="00765073">
              <w:rPr>
                <w:color w:val="000000"/>
                <w:sz w:val="20"/>
                <w:szCs w:val="20"/>
              </w:rPr>
              <w:t xml:space="preserve">$22.45 </w:t>
            </w:r>
          </w:p>
        </w:tc>
      </w:tr>
      <w:tr w14:paraId="23ADAAAB" w14:textId="77777777" w:rsidTr="00746BEB">
        <w:tblPrEx>
          <w:tblW w:w="9715" w:type="dxa"/>
          <w:tblLayout w:type="fixed"/>
          <w:tblLook w:val="04A0"/>
        </w:tblPrEx>
        <w:trPr>
          <w:trHeight w:val="363"/>
        </w:trPr>
        <w:tc>
          <w:tcPr>
            <w:tcW w:w="1525" w:type="dxa"/>
            <w:noWrap/>
            <w:vAlign w:val="center"/>
            <w:hideMark/>
          </w:tcPr>
          <w:p w:rsidR="00D21700" w:rsidRPr="00765073" w:rsidP="00746BEB" w14:paraId="5B323145" w14:textId="77777777">
            <w:pPr>
              <w:widowControl/>
              <w:autoSpaceDE/>
              <w:autoSpaceDN/>
              <w:adjustRightInd/>
              <w:jc w:val="right"/>
              <w:rPr>
                <w:rFonts w:eastAsiaTheme="minorHAnsi"/>
                <w:b/>
                <w:bCs/>
                <w:i/>
                <w:iCs/>
                <w:sz w:val="20"/>
                <w:szCs w:val="20"/>
              </w:rPr>
            </w:pPr>
            <w:r w:rsidRPr="00765073">
              <w:rPr>
                <w:b/>
                <w:bCs/>
                <w:i/>
                <w:iCs/>
                <w:color w:val="000000"/>
                <w:sz w:val="20"/>
                <w:szCs w:val="20"/>
              </w:rPr>
              <w:t>Subtotal (Rounded)</w:t>
            </w:r>
          </w:p>
        </w:tc>
        <w:tc>
          <w:tcPr>
            <w:tcW w:w="1350" w:type="dxa"/>
            <w:vAlign w:val="bottom"/>
          </w:tcPr>
          <w:p w:rsidR="00D21700" w:rsidRPr="00962503" w:rsidP="00D21700" w14:paraId="2F98F8D0" w14:textId="063F73C6">
            <w:pPr>
              <w:widowControl/>
              <w:autoSpaceDE/>
              <w:autoSpaceDN/>
              <w:adjustRightInd/>
              <w:jc w:val="right"/>
              <w:rPr>
                <w:rFonts w:eastAsiaTheme="minorHAnsi"/>
                <w:b/>
                <w:bCs/>
                <w:i/>
                <w:iCs/>
                <w:sz w:val="20"/>
                <w:szCs w:val="20"/>
              </w:rPr>
            </w:pPr>
            <w:r w:rsidRPr="000D4093">
              <w:rPr>
                <w:b/>
                <w:bCs/>
                <w:i/>
                <w:iCs/>
                <w:color w:val="000000"/>
                <w:sz w:val="20"/>
                <w:szCs w:val="20"/>
              </w:rPr>
              <w:t>20</w:t>
            </w:r>
          </w:p>
        </w:tc>
        <w:tc>
          <w:tcPr>
            <w:tcW w:w="1260" w:type="dxa"/>
            <w:shd w:val="clear" w:color="auto" w:fill="000000" w:themeFill="text1"/>
            <w:vAlign w:val="bottom"/>
          </w:tcPr>
          <w:p w:rsidR="00D21700" w:rsidRPr="00962503" w:rsidP="00D21700" w14:paraId="1A8E07C0" w14:textId="18F7859B">
            <w:pPr>
              <w:widowControl/>
              <w:autoSpaceDE/>
              <w:autoSpaceDN/>
              <w:adjustRightInd/>
              <w:jc w:val="right"/>
              <w:rPr>
                <w:rFonts w:eastAsiaTheme="minorHAnsi"/>
                <w:b/>
                <w:bCs/>
                <w:i/>
                <w:iCs/>
                <w:sz w:val="20"/>
                <w:szCs w:val="20"/>
              </w:rPr>
            </w:pPr>
            <w:r w:rsidRPr="000D4093">
              <w:rPr>
                <w:b/>
                <w:bCs/>
                <w:i/>
                <w:iCs/>
                <w:color w:val="000000"/>
                <w:sz w:val="20"/>
                <w:szCs w:val="20"/>
              </w:rPr>
              <w:t> </w:t>
            </w:r>
          </w:p>
        </w:tc>
        <w:tc>
          <w:tcPr>
            <w:tcW w:w="1440" w:type="dxa"/>
            <w:vAlign w:val="bottom"/>
          </w:tcPr>
          <w:p w:rsidR="00D21700" w:rsidRPr="00962503" w:rsidP="00D21700" w14:paraId="55CC0F77" w14:textId="6058A665">
            <w:pPr>
              <w:widowControl/>
              <w:autoSpaceDE/>
              <w:autoSpaceDN/>
              <w:adjustRightInd/>
              <w:jc w:val="right"/>
              <w:rPr>
                <w:rFonts w:eastAsiaTheme="minorHAnsi"/>
                <w:b/>
                <w:bCs/>
                <w:i/>
                <w:iCs/>
                <w:sz w:val="20"/>
                <w:szCs w:val="20"/>
              </w:rPr>
            </w:pPr>
            <w:r w:rsidRPr="000D4093">
              <w:rPr>
                <w:b/>
                <w:bCs/>
                <w:i/>
                <w:iCs/>
                <w:color w:val="000000"/>
                <w:sz w:val="20"/>
                <w:szCs w:val="20"/>
              </w:rPr>
              <w:t>6</w:t>
            </w:r>
          </w:p>
        </w:tc>
        <w:tc>
          <w:tcPr>
            <w:tcW w:w="990" w:type="dxa"/>
            <w:shd w:val="clear" w:color="auto" w:fill="000000" w:themeFill="text1"/>
            <w:vAlign w:val="bottom"/>
          </w:tcPr>
          <w:p w:rsidR="00D21700" w:rsidRPr="00962503" w:rsidP="00D21700" w14:paraId="107A2359" w14:textId="1076F714">
            <w:pPr>
              <w:widowControl/>
              <w:autoSpaceDE/>
              <w:autoSpaceDN/>
              <w:adjustRightInd/>
              <w:jc w:val="right"/>
              <w:rPr>
                <w:rFonts w:eastAsiaTheme="minorHAnsi"/>
                <w:b/>
                <w:bCs/>
                <w:i/>
                <w:iCs/>
                <w:sz w:val="20"/>
                <w:szCs w:val="20"/>
              </w:rPr>
            </w:pPr>
            <w:r w:rsidRPr="000D4093">
              <w:rPr>
                <w:b/>
                <w:bCs/>
                <w:i/>
                <w:iCs/>
                <w:color w:val="000000"/>
                <w:sz w:val="20"/>
                <w:szCs w:val="20"/>
              </w:rPr>
              <w:t> </w:t>
            </w:r>
          </w:p>
        </w:tc>
        <w:tc>
          <w:tcPr>
            <w:tcW w:w="990" w:type="dxa"/>
            <w:vAlign w:val="bottom"/>
          </w:tcPr>
          <w:p w:rsidR="00D21700" w:rsidRPr="00962503" w:rsidP="00D21700" w14:paraId="38AABC03" w14:textId="4F6D9F4C">
            <w:pPr>
              <w:widowControl/>
              <w:autoSpaceDE/>
              <w:autoSpaceDN/>
              <w:adjustRightInd/>
              <w:jc w:val="right"/>
              <w:rPr>
                <w:rFonts w:eastAsiaTheme="minorHAnsi"/>
                <w:b/>
                <w:bCs/>
                <w:i/>
                <w:iCs/>
                <w:sz w:val="20"/>
                <w:szCs w:val="20"/>
              </w:rPr>
            </w:pPr>
            <w:r w:rsidRPr="000D4093">
              <w:rPr>
                <w:b/>
                <w:bCs/>
                <w:i/>
                <w:iCs/>
                <w:color w:val="000000"/>
                <w:sz w:val="20"/>
                <w:szCs w:val="20"/>
              </w:rPr>
              <w:t xml:space="preserve">                            1 </w:t>
            </w:r>
          </w:p>
        </w:tc>
        <w:tc>
          <w:tcPr>
            <w:tcW w:w="990" w:type="dxa"/>
            <w:shd w:val="clear" w:color="auto" w:fill="000000" w:themeFill="text1"/>
            <w:noWrap/>
            <w:vAlign w:val="bottom"/>
            <w:hideMark/>
          </w:tcPr>
          <w:p w:rsidR="00D21700" w:rsidRPr="00962503" w:rsidP="00D21700" w14:paraId="08FB9F27" w14:textId="7A5D7734">
            <w:pPr>
              <w:widowControl/>
              <w:autoSpaceDE/>
              <w:autoSpaceDN/>
              <w:adjustRightInd/>
              <w:jc w:val="right"/>
              <w:rPr>
                <w:rFonts w:eastAsiaTheme="minorHAnsi"/>
                <w:b/>
                <w:bCs/>
                <w:i/>
                <w:iCs/>
                <w:sz w:val="20"/>
                <w:szCs w:val="20"/>
              </w:rPr>
            </w:pPr>
            <w:r w:rsidRPr="000D4093">
              <w:rPr>
                <w:b/>
                <w:bCs/>
                <w:i/>
                <w:iCs/>
                <w:color w:val="000000"/>
                <w:sz w:val="20"/>
                <w:szCs w:val="20"/>
              </w:rPr>
              <w:t> </w:t>
            </w:r>
          </w:p>
        </w:tc>
        <w:tc>
          <w:tcPr>
            <w:tcW w:w="1170" w:type="dxa"/>
            <w:noWrap/>
            <w:vAlign w:val="bottom"/>
            <w:hideMark/>
          </w:tcPr>
          <w:p w:rsidR="00D21700" w:rsidRPr="00962503" w:rsidP="00D21700" w14:paraId="38154966" w14:textId="622EF8CC">
            <w:pPr>
              <w:widowControl/>
              <w:autoSpaceDE/>
              <w:autoSpaceDN/>
              <w:adjustRightInd/>
              <w:jc w:val="right"/>
              <w:rPr>
                <w:rFonts w:eastAsiaTheme="minorHAnsi"/>
                <w:b/>
                <w:bCs/>
                <w:i/>
                <w:iCs/>
                <w:sz w:val="20"/>
                <w:szCs w:val="20"/>
              </w:rPr>
            </w:pPr>
            <w:r w:rsidRPr="000D4093">
              <w:rPr>
                <w:b/>
                <w:bCs/>
                <w:i/>
                <w:iCs/>
                <w:color w:val="000000"/>
                <w:sz w:val="20"/>
                <w:szCs w:val="20"/>
              </w:rPr>
              <w:t xml:space="preserve">$22 </w:t>
            </w:r>
          </w:p>
        </w:tc>
      </w:tr>
    </w:tbl>
    <w:p w:rsidR="00013F80" w:rsidRPr="00765073" w:rsidP="005366CD" w14:paraId="3B29BEA1" w14:textId="276CAA2C">
      <w:pPr>
        <w:keepLines/>
        <w:tabs>
          <w:tab w:val="left" w:pos="8640"/>
        </w:tabs>
        <w:autoSpaceDE/>
        <w:autoSpaceDN/>
        <w:adjustRightInd/>
        <w:rPr>
          <w:sz w:val="20"/>
          <w:szCs w:val="20"/>
        </w:rPr>
      </w:pPr>
      <w:r w:rsidRPr="00765073">
        <w:rPr>
          <w:bCs/>
          <w:sz w:val="20"/>
          <w:szCs w:val="20"/>
        </w:rPr>
        <w:t xml:space="preserve">Note: </w:t>
      </w:r>
      <w:r w:rsidRPr="00765073">
        <w:rPr>
          <w:sz w:val="20"/>
          <w:szCs w:val="20"/>
        </w:rPr>
        <w:t>The number of responses per respondent is calculated by dividing the number of responses by the number of respondents and rounded.</w:t>
      </w:r>
    </w:p>
    <w:p w:rsidR="00FC513D" w:rsidRPr="00765073" w:rsidP="005C6CA9" w14:paraId="2D314F31" w14:textId="77777777">
      <w:pPr>
        <w:widowControl/>
        <w:autoSpaceDE/>
        <w:autoSpaceDN/>
        <w:adjustRightInd/>
      </w:pPr>
    </w:p>
    <w:p w:rsidR="00EA6474" w:rsidRPr="00765073" w:rsidP="004A22F3" w14:paraId="6CEF18D4" w14:textId="77777777">
      <w:pPr>
        <w:pStyle w:val="Default"/>
        <w:rPr>
          <w:rFonts w:ascii="Times New Roman" w:hAnsi="Times New Roman" w:cs="Times New Roman"/>
          <w:b/>
          <w:bCs/>
        </w:rPr>
      </w:pPr>
      <w:bookmarkStart w:id="30" w:name="_Hlk181187861"/>
      <w:bookmarkStart w:id="31" w:name="_Hlk114568991"/>
      <w:r w:rsidRPr="00765073">
        <w:rPr>
          <w:rFonts w:ascii="Times New Roman" w:hAnsi="Times New Roman" w:cs="Times New Roman"/>
          <w:b/>
          <w:bCs/>
        </w:rPr>
        <w:t>Hour Burden Summary</w:t>
      </w:r>
    </w:p>
    <w:p w:rsidR="00EA6474" w:rsidRPr="00765073" w:rsidP="004A22F3" w14:paraId="18F30ECF" w14:textId="77777777">
      <w:pPr>
        <w:widowControl/>
        <w:rPr>
          <w:bCs/>
        </w:rPr>
      </w:pPr>
    </w:p>
    <w:p w:rsidR="00052BD8" w:rsidRPr="00765073" w:rsidP="004A22F3" w14:paraId="6A157573" w14:textId="00A6BAF3">
      <w:pPr>
        <w:widowControl/>
        <w:rPr>
          <w:bCs/>
        </w:rPr>
      </w:pPr>
      <w:r w:rsidRPr="005366CD">
        <w:rPr>
          <w:color w:val="000000" w:themeColor="text1"/>
        </w:rPr>
        <w:t xml:space="preserve">MSHA estimates that the </w:t>
      </w:r>
      <w:r w:rsidR="00CC557D">
        <w:rPr>
          <w:color w:val="000000" w:themeColor="text1"/>
        </w:rPr>
        <w:t>20</w:t>
      </w:r>
      <w:r w:rsidRPr="005366CD" w:rsidR="00D00B16">
        <w:rPr>
          <w:color w:val="000000" w:themeColor="text1"/>
        </w:rPr>
        <w:t xml:space="preserve"> </w:t>
      </w:r>
      <w:r w:rsidRPr="005366CD">
        <w:rPr>
          <w:color w:val="000000" w:themeColor="text1"/>
        </w:rPr>
        <w:t xml:space="preserve">respondents (mine operators) would incur, on average, an annual collection burden of </w:t>
      </w:r>
      <w:r w:rsidRPr="005366CD" w:rsidR="00D00B16">
        <w:rPr>
          <w:color w:val="000000" w:themeColor="text1"/>
        </w:rPr>
        <w:t>1,00</w:t>
      </w:r>
      <w:r w:rsidR="00DA3417">
        <w:rPr>
          <w:color w:val="000000" w:themeColor="text1"/>
        </w:rPr>
        <w:t>1</w:t>
      </w:r>
      <w:r w:rsidRPr="005366CD" w:rsidR="00D00B16">
        <w:rPr>
          <w:color w:val="000000" w:themeColor="text1"/>
        </w:rPr>
        <w:t xml:space="preserve"> </w:t>
      </w:r>
      <w:r w:rsidRPr="005366CD">
        <w:rPr>
          <w:color w:val="000000" w:themeColor="text1"/>
        </w:rPr>
        <w:t>hours with an associated annual cost of $</w:t>
      </w:r>
      <w:r w:rsidRPr="005366CD" w:rsidR="00D00B16">
        <w:rPr>
          <w:color w:val="000000" w:themeColor="text1"/>
        </w:rPr>
        <w:t>87,</w:t>
      </w:r>
      <w:r w:rsidR="00DA3417">
        <w:rPr>
          <w:color w:val="000000" w:themeColor="text1"/>
        </w:rPr>
        <w:t>602</w:t>
      </w:r>
      <w:r w:rsidRPr="005366CD">
        <w:rPr>
          <w:color w:val="000000" w:themeColor="text1"/>
        </w:rPr>
        <w:t xml:space="preserve">. </w:t>
      </w:r>
      <w:bookmarkStart w:id="32" w:name="_Hlk172027024"/>
      <w:r w:rsidRPr="005366CD">
        <w:rPr>
          <w:color w:val="000000" w:themeColor="text1"/>
        </w:rPr>
        <w:t>The annual respondent hour and cost burden</w:t>
      </w:r>
      <w:r w:rsidRPr="005366CD" w:rsidR="00F60373">
        <w:rPr>
          <w:color w:val="000000" w:themeColor="text1"/>
        </w:rPr>
        <w:t xml:space="preserve"> of this information collection</w:t>
      </w:r>
      <w:r w:rsidRPr="005366CD">
        <w:rPr>
          <w:color w:val="000000" w:themeColor="text1"/>
        </w:rPr>
        <w:t xml:space="preserve"> i</w:t>
      </w:r>
      <w:r w:rsidRPr="005366CD" w:rsidR="00EA383A">
        <w:rPr>
          <w:color w:val="000000" w:themeColor="text1"/>
        </w:rPr>
        <w:t>s</w:t>
      </w:r>
      <w:r w:rsidRPr="005366CD">
        <w:rPr>
          <w:color w:val="000000" w:themeColor="text1"/>
        </w:rPr>
        <w:t xml:space="preserve"> summarized in </w:t>
      </w:r>
      <w:r w:rsidRPr="005366CD" w:rsidR="00AD607F">
        <w:rPr>
          <w:color w:val="000000" w:themeColor="text1"/>
        </w:rPr>
        <w:t xml:space="preserve">the table </w:t>
      </w:r>
      <w:r w:rsidRPr="00765073" w:rsidR="00AD607F">
        <w:t>below.</w:t>
      </w:r>
    </w:p>
    <w:bookmarkEnd w:id="30"/>
    <w:bookmarkEnd w:id="32"/>
    <w:p w:rsidR="00052BD8" w:rsidRPr="00765073" w:rsidP="004A22F3" w14:paraId="2CE2D9AF" w14:textId="77777777">
      <w:pPr>
        <w:widowControl/>
        <w:rPr>
          <w:bCs/>
        </w:rPr>
      </w:pPr>
    </w:p>
    <w:p w:rsidR="008F7DDE" w:rsidRPr="00765073" w:rsidP="004A22F3" w14:paraId="3E6EB7E2" w14:textId="216A64D6">
      <w:pPr>
        <w:widowControl/>
        <w:autoSpaceDE/>
        <w:autoSpaceDN/>
        <w:adjustRightInd/>
        <w:rPr>
          <w:b/>
          <w:bCs/>
          <w:color w:val="000000"/>
        </w:rPr>
      </w:pPr>
      <w:bookmarkStart w:id="33" w:name="_Hlk114568999"/>
      <w:bookmarkEnd w:id="31"/>
      <w:r w:rsidRPr="00765073">
        <w:rPr>
          <w:b/>
          <w:bCs/>
          <w:color w:val="000000"/>
        </w:rPr>
        <w:t>Table 12-</w:t>
      </w:r>
      <w:r w:rsidR="00292484">
        <w:rPr>
          <w:b/>
          <w:bCs/>
          <w:color w:val="000000"/>
        </w:rPr>
        <w:t>4</w:t>
      </w:r>
      <w:r w:rsidRPr="00765073" w:rsidR="00D75BE4">
        <w:rPr>
          <w:b/>
          <w:bCs/>
          <w:color w:val="000000"/>
        </w:rPr>
        <w:t xml:space="preserve">. </w:t>
      </w:r>
      <w:bookmarkStart w:id="34" w:name="_Hlk167267643"/>
      <w:r w:rsidRPr="00765073" w:rsidR="00D75BE4">
        <w:rPr>
          <w:b/>
          <w:bCs/>
          <w:color w:val="000000"/>
        </w:rPr>
        <w:t>E</w:t>
      </w:r>
      <w:r w:rsidRPr="00765073" w:rsidR="000D5FB5">
        <w:rPr>
          <w:b/>
          <w:bCs/>
          <w:color w:val="000000"/>
        </w:rPr>
        <w:t>stimated Annual Respondent Hour and Cost Burden</w:t>
      </w:r>
      <w:bookmarkEnd w:id="34"/>
      <w:r w:rsidRPr="00765073" w:rsidR="000D5FB5">
        <w:rPr>
          <w:b/>
          <w:bCs/>
          <w:color w:val="000000"/>
        </w:rPr>
        <w:t xml:space="preserve">, Summary </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374ECECE" w14:textId="77777777" w:rsidTr="007628FE">
        <w:tblPrEx>
          <w:tblW w:w="9414" w:type="dxa"/>
          <w:tblInd w:w="-5" w:type="dxa"/>
          <w:tblLayout w:type="fixed"/>
          <w:tblLook w:val="04A0"/>
        </w:tblPrEx>
        <w:trPr>
          <w:trHeight w:val="614"/>
        </w:trPr>
        <w:tc>
          <w:tcPr>
            <w:tcW w:w="1620" w:type="dxa"/>
            <w:shd w:val="clear" w:color="auto" w:fill="8EAADB" w:themeFill="accent1" w:themeFillTint="99"/>
            <w:vAlign w:val="center"/>
          </w:tcPr>
          <w:p w:rsidR="000D5FB5" w:rsidRPr="00765073" w:rsidP="004A22F3"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bookmarkStart w:id="35" w:name="_Hlk114568982"/>
            <w:bookmarkEnd w:id="33"/>
            <w:r w:rsidRPr="00765073">
              <w:rPr>
                <w:sz w:val="20"/>
                <w:szCs w:val="20"/>
              </w:rPr>
              <w:t>Activity</w:t>
            </w:r>
          </w:p>
        </w:tc>
        <w:tc>
          <w:tcPr>
            <w:tcW w:w="1350" w:type="dxa"/>
            <w:shd w:val="clear" w:color="auto" w:fill="8EAADB" w:themeFill="accent1" w:themeFillTint="99"/>
            <w:vAlign w:val="center"/>
          </w:tcPr>
          <w:p w:rsidR="000D5FB5" w:rsidRPr="00765073" w:rsidP="004A22F3" w14:paraId="373F7A9C" w14:textId="7FCD51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 xml:space="preserve">Number of </w:t>
            </w:r>
            <w:r w:rsidRPr="00765073">
              <w:rPr>
                <w:sz w:val="20"/>
                <w:szCs w:val="20"/>
              </w:rPr>
              <w:t>Respondents</w:t>
            </w:r>
          </w:p>
          <w:p w:rsidR="00FA0B6E" w:rsidRPr="00765073" w:rsidP="004A22F3" w14:paraId="025D001D" w14:textId="5A1BFA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p>
        </w:tc>
        <w:tc>
          <w:tcPr>
            <w:tcW w:w="1228" w:type="dxa"/>
            <w:shd w:val="clear" w:color="auto" w:fill="8EAADB" w:themeFill="accent1" w:themeFillTint="99"/>
            <w:vAlign w:val="center"/>
          </w:tcPr>
          <w:p w:rsidR="000D5FB5" w:rsidRPr="00765073" w:rsidP="004A22F3" w14:paraId="1D6E3657" w14:textId="380994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 xml:space="preserve">Number of </w:t>
            </w:r>
            <w:r w:rsidRPr="00765073">
              <w:rPr>
                <w:sz w:val="20"/>
                <w:szCs w:val="20"/>
              </w:rPr>
              <w:t>Responses per Respondent</w:t>
            </w:r>
          </w:p>
        </w:tc>
        <w:tc>
          <w:tcPr>
            <w:tcW w:w="1202" w:type="dxa"/>
            <w:shd w:val="clear" w:color="auto" w:fill="8EAADB" w:themeFill="accent1" w:themeFillTint="99"/>
            <w:vAlign w:val="center"/>
          </w:tcPr>
          <w:p w:rsidR="000D5FB5" w:rsidRPr="00765073" w:rsidP="004A22F3"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Total Responses</w:t>
            </w:r>
          </w:p>
        </w:tc>
        <w:tc>
          <w:tcPr>
            <w:tcW w:w="927" w:type="dxa"/>
            <w:shd w:val="clear" w:color="auto" w:fill="8EAADB" w:themeFill="accent1" w:themeFillTint="99"/>
            <w:vAlign w:val="center"/>
          </w:tcPr>
          <w:p w:rsidR="000D5FB5" w:rsidRPr="00765073" w:rsidP="004A22F3" w14:paraId="0622A6EB" w14:textId="6C596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Average Burden (Hours)</w:t>
            </w:r>
          </w:p>
        </w:tc>
        <w:tc>
          <w:tcPr>
            <w:tcW w:w="1143" w:type="dxa"/>
            <w:shd w:val="clear" w:color="auto" w:fill="8EAADB" w:themeFill="accent1" w:themeFillTint="99"/>
            <w:vAlign w:val="center"/>
          </w:tcPr>
          <w:p w:rsidR="000D5FB5" w:rsidRPr="00765073" w:rsidP="004A22F3"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Total Burden (Hours)</w:t>
            </w:r>
          </w:p>
        </w:tc>
        <w:tc>
          <w:tcPr>
            <w:tcW w:w="828" w:type="dxa"/>
            <w:shd w:val="clear" w:color="auto" w:fill="8EAADB" w:themeFill="accent1" w:themeFillTint="99"/>
            <w:vAlign w:val="center"/>
          </w:tcPr>
          <w:p w:rsidR="000D5FB5" w:rsidRPr="00765073" w:rsidP="004A22F3" w14:paraId="3DEDF306" w14:textId="3028D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Hourly Wage Rate</w:t>
            </w:r>
          </w:p>
        </w:tc>
        <w:tc>
          <w:tcPr>
            <w:tcW w:w="1116" w:type="dxa"/>
            <w:shd w:val="clear" w:color="auto" w:fill="8EAADB" w:themeFill="accent1" w:themeFillTint="99"/>
            <w:vAlign w:val="center"/>
          </w:tcPr>
          <w:p w:rsidR="000D5FB5" w:rsidRPr="00765073" w:rsidP="004A22F3"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765073">
              <w:rPr>
                <w:sz w:val="20"/>
                <w:szCs w:val="20"/>
              </w:rPr>
              <w:t>Total Burden Cost</w:t>
            </w:r>
          </w:p>
        </w:tc>
      </w:tr>
      <w:tr w14:paraId="4282501E" w14:textId="77777777" w:rsidTr="005366CD">
        <w:tblPrEx>
          <w:tblW w:w="9414" w:type="dxa"/>
          <w:tblInd w:w="-5" w:type="dxa"/>
          <w:tblLayout w:type="fixed"/>
          <w:tblLook w:val="04A0"/>
        </w:tblPrEx>
        <w:trPr>
          <w:trHeight w:val="307"/>
        </w:trPr>
        <w:tc>
          <w:tcPr>
            <w:tcW w:w="1620" w:type="dxa"/>
            <w:vAlign w:val="center"/>
          </w:tcPr>
          <w:p w:rsidR="00B157B5" w:rsidRPr="00765073" w:rsidP="00B157B5" w14:paraId="65608CCD" w14:textId="26D9CD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765073">
              <w:rPr>
                <w:color w:val="000000"/>
                <w:sz w:val="20"/>
                <w:szCs w:val="20"/>
              </w:rPr>
              <w:t>I</w:t>
            </w:r>
            <w:r w:rsidR="00997877">
              <w:rPr>
                <w:color w:val="000000"/>
                <w:sz w:val="20"/>
                <w:szCs w:val="20"/>
              </w:rPr>
              <w:t>-1</w:t>
            </w:r>
            <w:r w:rsidRPr="00765073">
              <w:rPr>
                <w:color w:val="000000"/>
                <w:sz w:val="20"/>
                <w:szCs w:val="20"/>
              </w:rPr>
              <w:t xml:space="preserve">. </w:t>
            </w:r>
            <w:r w:rsidRPr="0061652D" w:rsidR="0061652D">
              <w:rPr>
                <w:color w:val="000000"/>
                <w:sz w:val="20"/>
                <w:szCs w:val="20"/>
              </w:rPr>
              <w:t>Creat</w:t>
            </w:r>
            <w:r w:rsidR="00A21CF8">
              <w:rPr>
                <w:color w:val="000000"/>
                <w:sz w:val="20"/>
                <w:szCs w:val="20"/>
              </w:rPr>
              <w:t>ing</w:t>
            </w:r>
            <w:r w:rsidRPr="0061652D" w:rsidR="0061652D">
              <w:rPr>
                <w:color w:val="000000"/>
                <w:sz w:val="20"/>
                <w:szCs w:val="20"/>
              </w:rPr>
              <w:t xml:space="preserve"> or Revis</w:t>
            </w:r>
            <w:r w:rsidR="00A21CF8">
              <w:rPr>
                <w:color w:val="000000"/>
                <w:sz w:val="20"/>
                <w:szCs w:val="20"/>
              </w:rPr>
              <w:t>ing</w:t>
            </w:r>
            <w:r w:rsidRPr="0061652D" w:rsidR="0061652D">
              <w:rPr>
                <w:color w:val="000000"/>
                <w:sz w:val="20"/>
                <w:szCs w:val="20"/>
              </w:rPr>
              <w:t xml:space="preserve"> Plans</w:t>
            </w:r>
          </w:p>
        </w:tc>
        <w:tc>
          <w:tcPr>
            <w:tcW w:w="1350" w:type="dxa"/>
            <w:vAlign w:val="center"/>
          </w:tcPr>
          <w:p w:rsidR="00B157B5" w:rsidRPr="00765073" w:rsidP="00B157B5" w14:paraId="440677C1" w14:textId="0CA0A8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20</w:t>
            </w:r>
          </w:p>
        </w:tc>
        <w:tc>
          <w:tcPr>
            <w:tcW w:w="1228" w:type="dxa"/>
            <w:shd w:val="clear" w:color="auto" w:fill="000000" w:themeFill="text1"/>
            <w:vAlign w:val="center"/>
          </w:tcPr>
          <w:p w:rsidR="00B157B5" w:rsidRPr="00765073" w:rsidP="00B157B5" w14:paraId="0C47DEFD" w14:textId="10AD9D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p>
        </w:tc>
        <w:tc>
          <w:tcPr>
            <w:tcW w:w="1202" w:type="dxa"/>
            <w:vAlign w:val="center"/>
          </w:tcPr>
          <w:p w:rsidR="00B157B5" w:rsidRPr="00765073" w:rsidP="00B157B5" w14:paraId="22AA57E9" w14:textId="52DC91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765073">
              <w:rPr>
                <w:color w:val="000000"/>
                <w:sz w:val="20"/>
                <w:szCs w:val="20"/>
              </w:rPr>
              <w:t>50</w:t>
            </w:r>
          </w:p>
        </w:tc>
        <w:tc>
          <w:tcPr>
            <w:tcW w:w="927" w:type="dxa"/>
            <w:vAlign w:val="center"/>
          </w:tcPr>
          <w:p w:rsidR="00B157B5" w:rsidRPr="00765073" w:rsidP="00B157B5" w14:paraId="5A9D5146" w14:textId="72BE52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765073">
              <w:rPr>
                <w:color w:val="000000"/>
                <w:sz w:val="20"/>
                <w:szCs w:val="20"/>
              </w:rPr>
              <w:t>20</w:t>
            </w:r>
          </w:p>
        </w:tc>
        <w:tc>
          <w:tcPr>
            <w:tcW w:w="1143" w:type="dxa"/>
            <w:vAlign w:val="center"/>
          </w:tcPr>
          <w:p w:rsidR="00B157B5" w:rsidRPr="00765073" w:rsidP="00B157B5" w14:paraId="75208E80" w14:textId="22C4CA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765073">
              <w:rPr>
                <w:color w:val="000000"/>
                <w:sz w:val="20"/>
                <w:szCs w:val="20"/>
              </w:rPr>
              <w:t>1,000.00</w:t>
            </w:r>
          </w:p>
        </w:tc>
        <w:tc>
          <w:tcPr>
            <w:tcW w:w="828" w:type="dxa"/>
            <w:vAlign w:val="center"/>
          </w:tcPr>
          <w:p w:rsidR="00B157B5" w:rsidRPr="00765073" w:rsidP="00B157B5" w14:paraId="124E61EC" w14:textId="4D3AF8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765073">
              <w:rPr>
                <w:color w:val="000000"/>
                <w:sz w:val="20"/>
                <w:szCs w:val="20"/>
              </w:rPr>
              <w:t xml:space="preserve">$87.58 </w:t>
            </w:r>
          </w:p>
        </w:tc>
        <w:tc>
          <w:tcPr>
            <w:tcW w:w="1116" w:type="dxa"/>
            <w:vAlign w:val="center"/>
          </w:tcPr>
          <w:p w:rsidR="00B157B5" w:rsidRPr="00765073" w:rsidP="00B157B5" w14:paraId="2DDE4177" w14:textId="6B95C6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765073">
              <w:rPr>
                <w:color w:val="000000"/>
                <w:sz w:val="20"/>
                <w:szCs w:val="20"/>
              </w:rPr>
              <w:t>$87,580.00</w:t>
            </w:r>
          </w:p>
        </w:tc>
      </w:tr>
      <w:tr w14:paraId="61C2831F" w14:textId="77777777" w:rsidTr="00B157B5">
        <w:tblPrEx>
          <w:tblW w:w="9414" w:type="dxa"/>
          <w:tblInd w:w="-5" w:type="dxa"/>
          <w:tblLayout w:type="fixed"/>
          <w:tblLook w:val="04A0"/>
        </w:tblPrEx>
        <w:trPr>
          <w:trHeight w:val="307"/>
        </w:trPr>
        <w:tc>
          <w:tcPr>
            <w:tcW w:w="1620" w:type="dxa"/>
            <w:vAlign w:val="center"/>
          </w:tcPr>
          <w:p w:rsidR="00530F37" w:rsidRPr="00765073" w:rsidP="00530F37" w14:paraId="39B4E53D" w14:textId="5074AE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0"/>
                <w:szCs w:val="20"/>
              </w:rPr>
            </w:pPr>
            <w:r>
              <w:rPr>
                <w:color w:val="000000"/>
                <w:sz w:val="20"/>
                <w:szCs w:val="20"/>
              </w:rPr>
              <w:t>I-2. Cop</w:t>
            </w:r>
            <w:r w:rsidR="007318E3">
              <w:rPr>
                <w:color w:val="000000"/>
                <w:sz w:val="20"/>
                <w:szCs w:val="20"/>
              </w:rPr>
              <w:t>y</w:t>
            </w:r>
            <w:r w:rsidR="00A21CF8">
              <w:rPr>
                <w:color w:val="000000"/>
                <w:sz w:val="20"/>
                <w:szCs w:val="20"/>
              </w:rPr>
              <w:t>ing</w:t>
            </w:r>
            <w:r>
              <w:rPr>
                <w:color w:val="000000"/>
                <w:sz w:val="20"/>
                <w:szCs w:val="20"/>
              </w:rPr>
              <w:t xml:space="preserve"> and Mail</w:t>
            </w:r>
            <w:r w:rsidR="00A21CF8">
              <w:rPr>
                <w:color w:val="000000"/>
                <w:sz w:val="20"/>
                <w:szCs w:val="20"/>
              </w:rPr>
              <w:t>ing</w:t>
            </w:r>
            <w:r>
              <w:rPr>
                <w:color w:val="000000"/>
                <w:sz w:val="20"/>
                <w:szCs w:val="20"/>
              </w:rPr>
              <w:t xml:space="preserve"> Plans</w:t>
            </w:r>
          </w:p>
        </w:tc>
        <w:tc>
          <w:tcPr>
            <w:tcW w:w="1350" w:type="dxa"/>
            <w:vAlign w:val="center"/>
          </w:tcPr>
          <w:p w:rsidR="00530F37" w:rsidRPr="00765073" w:rsidP="00530F37" w14:paraId="6BCB21CF" w14:textId="0A7A74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20</w:t>
            </w:r>
          </w:p>
        </w:tc>
        <w:tc>
          <w:tcPr>
            <w:tcW w:w="1228" w:type="dxa"/>
            <w:shd w:val="clear" w:color="auto" w:fill="000000" w:themeFill="text1"/>
            <w:vAlign w:val="center"/>
          </w:tcPr>
          <w:p w:rsidR="00530F37" w:rsidRPr="00765073" w:rsidP="00530F37" w14:paraId="6ADCFB6E" w14:textId="4084C3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0.3</w:t>
            </w:r>
          </w:p>
        </w:tc>
        <w:tc>
          <w:tcPr>
            <w:tcW w:w="1202" w:type="dxa"/>
            <w:vAlign w:val="center"/>
          </w:tcPr>
          <w:p w:rsidR="00530F37" w:rsidRPr="00765073" w:rsidP="00530F37" w14:paraId="3AA6A745" w14:textId="405511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6</w:t>
            </w:r>
          </w:p>
        </w:tc>
        <w:tc>
          <w:tcPr>
            <w:tcW w:w="927" w:type="dxa"/>
            <w:vAlign w:val="center"/>
          </w:tcPr>
          <w:p w:rsidR="00530F37" w:rsidRPr="00765073" w:rsidP="00530F37" w14:paraId="266BC2BB" w14:textId="1A9DB8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0.08</w:t>
            </w:r>
          </w:p>
        </w:tc>
        <w:tc>
          <w:tcPr>
            <w:tcW w:w="1143" w:type="dxa"/>
            <w:vAlign w:val="center"/>
          </w:tcPr>
          <w:p w:rsidR="00530F37" w:rsidRPr="00765073" w:rsidP="00530F37" w14:paraId="0F1A5069" w14:textId="2FAD3C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0.5</w:t>
            </w:r>
          </w:p>
        </w:tc>
        <w:tc>
          <w:tcPr>
            <w:tcW w:w="828" w:type="dxa"/>
            <w:vAlign w:val="center"/>
          </w:tcPr>
          <w:p w:rsidR="00530F37" w:rsidRPr="00765073" w:rsidP="00530F37" w14:paraId="7F8B82C4" w14:textId="24053F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 xml:space="preserve">$44.90 </w:t>
            </w:r>
          </w:p>
        </w:tc>
        <w:tc>
          <w:tcPr>
            <w:tcW w:w="1116" w:type="dxa"/>
            <w:vAlign w:val="center"/>
          </w:tcPr>
          <w:p w:rsidR="00530F37" w:rsidRPr="00765073" w:rsidP="00530F37" w14:paraId="26248301" w14:textId="785D5C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$22.45</w:t>
            </w:r>
          </w:p>
        </w:tc>
      </w:tr>
      <w:tr w14:paraId="7CDDDCD7" w14:textId="77777777" w:rsidTr="005366CD">
        <w:tblPrEx>
          <w:tblW w:w="9414" w:type="dxa"/>
          <w:tblInd w:w="-5" w:type="dxa"/>
          <w:tblLayout w:type="fixed"/>
          <w:tblLook w:val="04A0"/>
        </w:tblPrEx>
        <w:trPr>
          <w:trHeight w:val="307"/>
        </w:trPr>
        <w:tc>
          <w:tcPr>
            <w:tcW w:w="1620" w:type="dxa"/>
            <w:vAlign w:val="center"/>
          </w:tcPr>
          <w:p w:rsidR="00530F37" w:rsidRPr="00765073" w:rsidP="005366CD" w14:paraId="1FCE5A8E" w14:textId="5F0DBF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i/>
                <w:iCs/>
                <w:color w:val="000000"/>
                <w:sz w:val="20"/>
                <w:szCs w:val="20"/>
              </w:rPr>
              <w:t>Total (Rounded)</w:t>
            </w:r>
          </w:p>
        </w:tc>
        <w:tc>
          <w:tcPr>
            <w:tcW w:w="1350" w:type="dxa"/>
            <w:vAlign w:val="center"/>
          </w:tcPr>
          <w:p w:rsidR="00530F37" w:rsidRPr="00962503" w:rsidP="00530F37" w14:paraId="4A74AF16" w14:textId="16C87E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0D4093">
              <w:rPr>
                <w:b/>
                <w:bCs/>
                <w:i/>
                <w:iCs/>
                <w:color w:val="000000"/>
                <w:sz w:val="20"/>
                <w:szCs w:val="20"/>
              </w:rPr>
              <w:t>20</w:t>
            </w:r>
          </w:p>
        </w:tc>
        <w:tc>
          <w:tcPr>
            <w:tcW w:w="1228" w:type="dxa"/>
            <w:shd w:val="clear" w:color="auto" w:fill="000000" w:themeFill="text1"/>
            <w:vAlign w:val="center"/>
          </w:tcPr>
          <w:p w:rsidR="00530F37" w:rsidRPr="00962503" w:rsidP="00530F37" w14:paraId="27642701" w14:textId="31CF80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202" w:type="dxa"/>
            <w:vAlign w:val="center"/>
          </w:tcPr>
          <w:p w:rsidR="00530F37" w:rsidRPr="00962503" w:rsidP="00530F37" w14:paraId="7F92697B" w14:textId="2C35D5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0D4093">
              <w:rPr>
                <w:b/>
                <w:bCs/>
                <w:i/>
                <w:iCs/>
                <w:color w:val="000000"/>
                <w:sz w:val="20"/>
                <w:szCs w:val="20"/>
              </w:rPr>
              <w:t>5</w:t>
            </w:r>
            <w:r w:rsidRPr="000D4093" w:rsidR="003F5981">
              <w:rPr>
                <w:b/>
                <w:bCs/>
                <w:i/>
                <w:iCs/>
                <w:color w:val="000000"/>
                <w:sz w:val="20"/>
                <w:szCs w:val="20"/>
              </w:rPr>
              <w:t>0</w:t>
            </w:r>
          </w:p>
        </w:tc>
        <w:tc>
          <w:tcPr>
            <w:tcW w:w="927" w:type="dxa"/>
            <w:shd w:val="clear" w:color="auto" w:fill="000000" w:themeFill="text1"/>
            <w:vAlign w:val="center"/>
          </w:tcPr>
          <w:p w:rsidR="00530F37" w:rsidRPr="00962503" w:rsidP="00530F37" w14:paraId="5A3702C1" w14:textId="008DF2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143" w:type="dxa"/>
            <w:vAlign w:val="center"/>
          </w:tcPr>
          <w:p w:rsidR="00530F37" w:rsidRPr="00962503" w:rsidP="00530F37" w14:paraId="382DBFCD" w14:textId="30EF58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0D4093">
              <w:rPr>
                <w:b/>
                <w:bCs/>
                <w:i/>
                <w:iCs/>
                <w:color w:val="000000"/>
                <w:sz w:val="20"/>
                <w:szCs w:val="20"/>
              </w:rPr>
              <w:t>1,001</w:t>
            </w:r>
          </w:p>
        </w:tc>
        <w:tc>
          <w:tcPr>
            <w:tcW w:w="828" w:type="dxa"/>
            <w:shd w:val="clear" w:color="auto" w:fill="000000" w:themeFill="text1"/>
            <w:vAlign w:val="center"/>
          </w:tcPr>
          <w:p w:rsidR="00530F37" w:rsidRPr="00962503" w:rsidP="00530F37" w14:paraId="0A662691" w14:textId="693190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116" w:type="dxa"/>
            <w:vAlign w:val="center"/>
          </w:tcPr>
          <w:p w:rsidR="00530F37" w:rsidRPr="00962503" w:rsidP="00530F37" w14:paraId="509B9CDE" w14:textId="1EF804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0D4093">
              <w:rPr>
                <w:b/>
                <w:bCs/>
                <w:i/>
                <w:iCs/>
                <w:color w:val="000000"/>
                <w:sz w:val="20"/>
                <w:szCs w:val="20"/>
              </w:rPr>
              <w:t xml:space="preserve">$87,602 </w:t>
            </w:r>
          </w:p>
        </w:tc>
      </w:tr>
    </w:tbl>
    <w:p w:rsidR="00804B87" w:rsidRPr="005366CD" w:rsidP="004A22F3" w14:paraId="60A867D3" w14:textId="21C7AE8A">
      <w:pPr>
        <w:widowControl/>
        <w:rPr>
          <w:color w:val="000000" w:themeColor="text1"/>
          <w:sz w:val="18"/>
          <w:szCs w:val="18"/>
        </w:rPr>
      </w:pPr>
      <w:bookmarkStart w:id="36" w:name="_Hlk185344491"/>
      <w:bookmarkStart w:id="37" w:name="_Hlk181188185"/>
      <w:bookmarkEnd w:id="35"/>
      <w:r w:rsidRPr="00804B87">
        <w:rPr>
          <w:color w:val="000000" w:themeColor="text1"/>
          <w:sz w:val="18"/>
          <w:szCs w:val="18"/>
        </w:rPr>
        <w:t>Note: The sum of the number of respondents and the sum of the number of responses might not add up to the total reported numbers in the table due to multiple people responding to the same activity.</w:t>
      </w:r>
      <w:bookmarkEnd w:id="36"/>
      <w:bookmarkEnd w:id="37"/>
    </w:p>
    <w:p w:rsidR="00D75BE4" w:rsidRPr="00765073" w:rsidP="004A22F3" w14:paraId="29DB2914" w14:textId="77777777">
      <w:pPr>
        <w:widowControl/>
        <w:rPr>
          <w:sz w:val="20"/>
          <w:szCs w:val="20"/>
        </w:rPr>
      </w:pPr>
    </w:p>
    <w:p w:rsidR="008F7DDE" w:rsidRPr="00765073" w:rsidP="004A22F3" w14:paraId="75C67996" w14:textId="380462AC">
      <w:pPr>
        <w:rPr>
          <w:b/>
          <w:bCs/>
          <w:color w:val="000000"/>
        </w:rPr>
      </w:pPr>
      <w:r w:rsidRPr="00765073">
        <w:rPr>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765073" w:rsidP="004A22F3" w14:paraId="5A33710B" w14:textId="77777777">
      <w:pPr>
        <w:pStyle w:val="ListParagraph"/>
        <w:numPr>
          <w:ilvl w:val="0"/>
          <w:numId w:val="2"/>
        </w:numPr>
        <w:tabs>
          <w:tab w:val="left" w:pos="-1440"/>
        </w:tabs>
        <w:spacing w:after="0" w:line="240" w:lineRule="auto"/>
        <w:rPr>
          <w:b/>
          <w:bCs/>
          <w:color w:val="000000"/>
          <w:szCs w:val="24"/>
        </w:rPr>
      </w:pPr>
      <w:r w:rsidRPr="00765073">
        <w:rPr>
          <w:b/>
          <w:bCs/>
          <w:color w:val="000000"/>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DDE" w:rsidP="004A22F3" w14:paraId="02848F16" w14:textId="77777777">
      <w:pPr>
        <w:pStyle w:val="ListParagraph"/>
        <w:numPr>
          <w:ilvl w:val="0"/>
          <w:numId w:val="2"/>
        </w:numPr>
        <w:tabs>
          <w:tab w:val="left" w:pos="-1440"/>
        </w:tabs>
        <w:spacing w:after="0" w:line="240" w:lineRule="auto"/>
        <w:rPr>
          <w:b/>
          <w:bCs/>
          <w:color w:val="000000"/>
          <w:szCs w:val="24"/>
        </w:rPr>
      </w:pPr>
      <w:r w:rsidRPr="00765073">
        <w:rPr>
          <w:b/>
          <w:bCs/>
          <w:color w:val="000000"/>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20E71" w:rsidRPr="00765073" w:rsidP="00A20E71" w14:paraId="23E55661" w14:textId="77777777">
      <w:pPr>
        <w:pStyle w:val="ListParagraph"/>
        <w:tabs>
          <w:tab w:val="left" w:pos="-1440"/>
        </w:tabs>
        <w:spacing w:after="0" w:line="240" w:lineRule="auto"/>
        <w:rPr>
          <w:b/>
          <w:bCs/>
          <w:color w:val="000000"/>
          <w:szCs w:val="24"/>
        </w:rPr>
      </w:pPr>
    </w:p>
    <w:p w:rsidR="008F7DDE" w:rsidRPr="00765073" w:rsidP="004A22F3" w14:paraId="3271FB89" w14:textId="77777777">
      <w:pPr>
        <w:pStyle w:val="ListParagraph"/>
        <w:numPr>
          <w:ilvl w:val="0"/>
          <w:numId w:val="2"/>
        </w:numPr>
        <w:tabs>
          <w:tab w:val="left" w:pos="-1440"/>
        </w:tabs>
        <w:spacing w:after="0" w:line="240" w:lineRule="auto"/>
        <w:rPr>
          <w:b/>
          <w:bCs/>
          <w:color w:val="000000"/>
          <w:szCs w:val="24"/>
        </w:rPr>
      </w:pPr>
      <w:r w:rsidRPr="00765073">
        <w:rPr>
          <w:b/>
          <w:bCs/>
          <w:color w:val="000000"/>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765073" w:rsidP="004A22F3" w14:paraId="701EA8DD" w14:textId="77777777">
      <w:pPr>
        <w:rPr>
          <w:b/>
          <w:bCs/>
          <w:color w:val="000000"/>
        </w:rPr>
      </w:pPr>
      <w:bookmarkStart w:id="38" w:name="OLE_LINK6"/>
      <w:bookmarkStart w:id="39" w:name="OLE_LINK7"/>
    </w:p>
    <w:p w:rsidR="00D80F79" w:rsidRPr="008F3B31" w:rsidP="005366CD" w14:paraId="2F0E1488" w14:textId="77777777">
      <w:pPr>
        <w:pStyle w:val="ListParagraph"/>
        <w:numPr>
          <w:ilvl w:val="0"/>
          <w:numId w:val="18"/>
        </w:numPr>
        <w:spacing w:after="0" w:line="240" w:lineRule="auto"/>
        <w:rPr>
          <w:b/>
          <w:bCs/>
          <w:szCs w:val="24"/>
        </w:rPr>
      </w:pPr>
      <w:bookmarkStart w:id="40" w:name="_Hlk114570255"/>
      <w:r>
        <w:rPr>
          <w:b/>
          <w:bCs/>
          <w:szCs w:val="24"/>
        </w:rPr>
        <w:t xml:space="preserve">Preparing and Submitting </w:t>
      </w:r>
      <w:r w:rsidRPr="00765073">
        <w:rPr>
          <w:b/>
          <w:bCs/>
          <w:szCs w:val="24"/>
        </w:rPr>
        <w:t xml:space="preserve">Slope and </w:t>
      </w:r>
      <w:r>
        <w:rPr>
          <w:b/>
          <w:bCs/>
          <w:szCs w:val="24"/>
        </w:rPr>
        <w:t>S</w:t>
      </w:r>
      <w:r w:rsidRPr="00765073">
        <w:rPr>
          <w:b/>
          <w:bCs/>
          <w:szCs w:val="24"/>
        </w:rPr>
        <w:t xml:space="preserve">haft </w:t>
      </w:r>
      <w:r>
        <w:rPr>
          <w:b/>
          <w:bCs/>
          <w:szCs w:val="24"/>
        </w:rPr>
        <w:t>P</w:t>
      </w:r>
      <w:r w:rsidRPr="00765073">
        <w:rPr>
          <w:b/>
          <w:bCs/>
          <w:szCs w:val="24"/>
        </w:rPr>
        <w:t>lans</w:t>
      </w:r>
      <w:r w:rsidRPr="00765073">
        <w:rPr>
          <w:color w:val="000000" w:themeColor="text1"/>
        </w:rPr>
        <w:t xml:space="preserve"> </w:t>
      </w:r>
    </w:p>
    <w:bookmarkEnd w:id="40"/>
    <w:p w:rsidR="00052BD8" w:rsidP="004A22F3" w14:paraId="38EA6D47" w14:textId="77777777">
      <w:pPr>
        <w:pStyle w:val="ListParagraph"/>
        <w:spacing w:after="0" w:line="240" w:lineRule="auto"/>
        <w:rPr>
          <w:b/>
          <w:color w:val="000000"/>
          <w:szCs w:val="24"/>
        </w:rPr>
      </w:pPr>
    </w:p>
    <w:p w:rsidR="003F52BC" w:rsidRPr="005366CD" w:rsidP="003F52BC" w14:paraId="2753A848" w14:textId="4077E2DC">
      <w:pPr>
        <w:rPr>
          <w:bCs/>
          <w:color w:val="000000"/>
        </w:rPr>
      </w:pPr>
      <w:r w:rsidRPr="005366CD">
        <w:rPr>
          <w:bCs/>
          <w:color w:val="000000"/>
        </w:rPr>
        <w:t>I-2. Cop</w:t>
      </w:r>
      <w:r w:rsidR="00D80F79">
        <w:rPr>
          <w:bCs/>
          <w:color w:val="000000"/>
        </w:rPr>
        <w:t>ing</w:t>
      </w:r>
      <w:r w:rsidRPr="005366CD">
        <w:rPr>
          <w:bCs/>
          <w:color w:val="000000"/>
        </w:rPr>
        <w:t xml:space="preserve"> and Mail</w:t>
      </w:r>
      <w:r w:rsidR="00D80F79">
        <w:rPr>
          <w:bCs/>
          <w:color w:val="000000"/>
        </w:rPr>
        <w:t>ing</w:t>
      </w:r>
      <w:r w:rsidRPr="005366CD">
        <w:rPr>
          <w:bCs/>
          <w:color w:val="000000"/>
        </w:rPr>
        <w:t xml:space="preserve"> Plans</w:t>
      </w:r>
    </w:p>
    <w:p w:rsidR="003F52BC" w:rsidRPr="005366CD" w:rsidP="005366CD" w14:paraId="752D1BC3" w14:textId="77777777">
      <w:pPr>
        <w:rPr>
          <w:b/>
          <w:color w:val="000000"/>
        </w:rPr>
      </w:pPr>
    </w:p>
    <w:p w:rsidR="00107B8D" w:rsidRPr="005366CD" w:rsidP="00107B8D" w14:paraId="41772688" w14:textId="3FD902D3">
      <w:r w:rsidRPr="005366CD">
        <w:t>MSHA estimates</w:t>
      </w:r>
      <w:r w:rsidR="007420EB">
        <w:t xml:space="preserve"> </w:t>
      </w:r>
      <w:r w:rsidR="0077559A">
        <w:t>that for</w:t>
      </w:r>
      <w:r w:rsidR="007420EB">
        <w:t xml:space="preserve"> </w:t>
      </w:r>
      <w:r w:rsidR="00A21CF8">
        <w:t xml:space="preserve">the 50 </w:t>
      </w:r>
      <w:r w:rsidR="007420EB">
        <w:t>slope and shaft plans submitted to MSHA,</w:t>
      </w:r>
      <w:r w:rsidRPr="005366CD">
        <w:t xml:space="preserve"> 88 percent </w:t>
      </w:r>
      <w:r w:rsidR="00A21CF8">
        <w:t>(44</w:t>
      </w:r>
      <w:r w:rsidRPr="005F06E9" w:rsidR="00A21CF8">
        <w:t xml:space="preserve"> plans</w:t>
      </w:r>
      <w:r w:rsidR="00A21CF8">
        <w:t>)</w:t>
      </w:r>
      <w:r w:rsidRPr="005F06E9" w:rsidR="00A21CF8">
        <w:t xml:space="preserve"> </w:t>
      </w:r>
      <w:r w:rsidRPr="005366CD">
        <w:t xml:space="preserve">are sent </w:t>
      </w:r>
      <w:r w:rsidRPr="006302FA" w:rsidR="006302FA">
        <w:t>electronically,</w:t>
      </w:r>
      <w:r w:rsidR="006302FA">
        <w:t xml:space="preserve"> and </w:t>
      </w:r>
      <w:r w:rsidRPr="00CF1896" w:rsidR="006302FA">
        <w:t xml:space="preserve">12 percent </w:t>
      </w:r>
      <w:r w:rsidR="00A21CF8">
        <w:t>(</w:t>
      </w:r>
      <w:r w:rsidR="008114B1">
        <w:t>6</w:t>
      </w:r>
      <w:r w:rsidR="00C95E9B">
        <w:t xml:space="preserve"> </w:t>
      </w:r>
      <w:r w:rsidRPr="00CF1896" w:rsidR="00A21CF8">
        <w:t>plans</w:t>
      </w:r>
      <w:r w:rsidR="00A21CF8">
        <w:t>)</w:t>
      </w:r>
      <w:r w:rsidRPr="00CF1896" w:rsidR="00A21CF8">
        <w:t xml:space="preserve"> </w:t>
      </w:r>
      <w:r w:rsidRPr="00CF1896" w:rsidR="006302FA">
        <w:t>are sent by mail</w:t>
      </w:r>
      <w:r w:rsidR="006302FA">
        <w:t xml:space="preserve">. </w:t>
      </w:r>
      <w:r>
        <w:t xml:space="preserve">MSHA </w:t>
      </w:r>
      <w:r w:rsidR="006302FA">
        <w:t>assumes</w:t>
      </w:r>
      <w:r>
        <w:t xml:space="preserve"> that there are no additional costs for the 44 plans submitted electronically. </w:t>
      </w:r>
      <w:r w:rsidRPr="005366CD">
        <w:t xml:space="preserve">MSHA estimates that </w:t>
      </w:r>
      <w:r w:rsidR="0061652D">
        <w:t xml:space="preserve">the </w:t>
      </w:r>
      <w:r w:rsidR="00C95E9B">
        <w:t xml:space="preserve">six </w:t>
      </w:r>
      <w:r w:rsidRPr="005366CD">
        <w:t>plan</w:t>
      </w:r>
      <w:r w:rsidR="00502237">
        <w:t>s</w:t>
      </w:r>
      <w:r w:rsidRPr="005366CD">
        <w:t xml:space="preserve"> </w:t>
      </w:r>
      <w:r w:rsidR="0061652D">
        <w:t xml:space="preserve">mailed in </w:t>
      </w:r>
      <w:r w:rsidRPr="005366CD">
        <w:t>will cost approximately $5.00</w:t>
      </w:r>
      <w:r w:rsidR="00502237">
        <w:t xml:space="preserve"> each</w:t>
      </w:r>
      <w:r w:rsidRPr="005366CD">
        <w:t xml:space="preserve"> to </w:t>
      </w:r>
      <w:r w:rsidR="006302FA">
        <w:t>copy</w:t>
      </w:r>
      <w:r w:rsidRPr="005366CD">
        <w:t xml:space="preserve"> and mail</w:t>
      </w:r>
      <w:r>
        <w:t>.</w:t>
      </w:r>
    </w:p>
    <w:p w:rsidR="00FB1C38" w:rsidRPr="00765073" w:rsidP="004A22F3" w14:paraId="3DBD1FCF" w14:textId="77777777">
      <w:pPr>
        <w:rPr>
          <w:bCs/>
          <w:color w:val="000000"/>
        </w:rPr>
      </w:pPr>
    </w:p>
    <w:p w:rsidR="00052BD8" w:rsidRPr="00765073" w:rsidP="004A22F3" w14:paraId="3A7A9964" w14:textId="5343FDC3">
      <w:pPr>
        <w:widowControl/>
        <w:autoSpaceDE/>
        <w:autoSpaceDN/>
        <w:adjustRightInd/>
        <w:rPr>
          <w:b/>
          <w:bCs/>
          <w:color w:val="000000"/>
        </w:rPr>
      </w:pPr>
      <w:bookmarkStart w:id="41" w:name="_Hlk114570323"/>
      <w:bookmarkStart w:id="42" w:name="_Hlk192764262"/>
      <w:r w:rsidRPr="00765073">
        <w:rPr>
          <w:b/>
          <w:bCs/>
          <w:color w:val="000000"/>
        </w:rPr>
        <w:t>Table 13-1</w:t>
      </w:r>
      <w:r w:rsidRPr="00765073" w:rsidR="00D73216">
        <w:rPr>
          <w:b/>
          <w:bCs/>
          <w:color w:val="000000"/>
        </w:rPr>
        <w:t>.</w:t>
      </w:r>
      <w:r w:rsidRPr="00765073">
        <w:rPr>
          <w:b/>
          <w:bCs/>
          <w:color w:val="000000"/>
        </w:rPr>
        <w:t xml:space="preserve"> </w:t>
      </w:r>
      <w:bookmarkStart w:id="43" w:name="_Hlk173851496"/>
      <w:r w:rsidRPr="00765073">
        <w:rPr>
          <w:b/>
          <w:bCs/>
          <w:color w:val="000000"/>
        </w:rPr>
        <w:t>Estimated Annual Recordkeep</w:t>
      </w:r>
      <w:r w:rsidR="00D56763">
        <w:rPr>
          <w:b/>
          <w:bCs/>
          <w:color w:val="000000"/>
        </w:rPr>
        <w:t>ing</w:t>
      </w:r>
      <w:r w:rsidRPr="00765073">
        <w:rPr>
          <w:b/>
          <w:bCs/>
          <w:color w:val="000000"/>
        </w:rPr>
        <w:t xml:space="preserve"> Cost</w:t>
      </w:r>
      <w:bookmarkEnd w:id="43"/>
      <w:r w:rsidRPr="00765073">
        <w:rPr>
          <w:b/>
          <w:bCs/>
          <w:color w:val="000000"/>
        </w:rPr>
        <w:t xml:space="preserve">, </w:t>
      </w:r>
      <w:r w:rsidR="006302FA">
        <w:rPr>
          <w:b/>
          <w:bCs/>
          <w:color w:val="000000"/>
        </w:rPr>
        <w:t>Copy</w:t>
      </w:r>
      <w:r w:rsidR="00A21CF8">
        <w:rPr>
          <w:b/>
          <w:bCs/>
          <w:color w:val="000000"/>
        </w:rPr>
        <w:t>ing</w:t>
      </w:r>
      <w:r w:rsidR="006302FA">
        <w:rPr>
          <w:b/>
          <w:bCs/>
          <w:color w:val="000000"/>
        </w:rPr>
        <w:t xml:space="preserve"> and Mail</w:t>
      </w:r>
      <w:r w:rsidR="00A21CF8">
        <w:rPr>
          <w:b/>
          <w:bCs/>
          <w:color w:val="000000"/>
        </w:rPr>
        <w:t>ing</w:t>
      </w:r>
      <w:r w:rsidR="006302FA">
        <w:rPr>
          <w:b/>
          <w:bCs/>
          <w:color w:val="000000"/>
        </w:rPr>
        <w:t xml:space="preserve"> Plans</w:t>
      </w:r>
      <w:r w:rsidRPr="00765073" w:rsidR="009F2ECF">
        <w:rPr>
          <w:b/>
          <w:bCs/>
          <w:color w:val="000000"/>
        </w:rPr>
        <w:t xml:space="preserve"> (30 CFR </w:t>
      </w:r>
      <w:r w:rsidR="006302FA">
        <w:rPr>
          <w:b/>
          <w:bCs/>
          <w:color w:val="000000"/>
        </w:rPr>
        <w:t>77.1900</w:t>
      </w:r>
      <w:r w:rsidRPr="00765073" w:rsidR="009F2ECF">
        <w:rPr>
          <w:b/>
          <w:bCs/>
          <w:color w:val="000000"/>
        </w:rPr>
        <w:t>)</w:t>
      </w:r>
    </w:p>
    <w:tbl>
      <w:tblPr>
        <w:tblStyle w:val="TableGrid"/>
        <w:tblW w:w="8077" w:type="dxa"/>
        <w:tblLook w:val="04A0"/>
      </w:tblPr>
      <w:tblGrid>
        <w:gridCol w:w="1705"/>
        <w:gridCol w:w="2070"/>
        <w:gridCol w:w="1710"/>
        <w:gridCol w:w="2592"/>
      </w:tblGrid>
      <w:tr w14:paraId="1E382AC4" w14:textId="77777777" w:rsidTr="005366CD">
        <w:tblPrEx>
          <w:tblW w:w="8077" w:type="dxa"/>
          <w:tblLook w:val="04A0"/>
        </w:tblPrEx>
        <w:trPr>
          <w:trHeight w:val="615"/>
        </w:trPr>
        <w:tc>
          <w:tcPr>
            <w:tcW w:w="1705" w:type="dxa"/>
            <w:shd w:val="clear" w:color="auto" w:fill="8EAADB" w:themeFill="accent1" w:themeFillTint="99"/>
            <w:vAlign w:val="center"/>
            <w:hideMark/>
          </w:tcPr>
          <w:p w:rsidR="00EC351F" w:rsidRPr="00765073" w:rsidP="004A22F3" w14:paraId="34B33440" w14:textId="00FACCE6">
            <w:pPr>
              <w:widowControl/>
              <w:autoSpaceDE/>
              <w:autoSpaceDN/>
              <w:adjustRightInd/>
              <w:rPr>
                <w:rFonts w:eastAsiaTheme="minorHAnsi"/>
                <w:sz w:val="20"/>
                <w:szCs w:val="20"/>
              </w:rPr>
            </w:pPr>
            <w:bookmarkStart w:id="44" w:name="_Hlk114570317"/>
            <w:bookmarkEnd w:id="38"/>
            <w:bookmarkEnd w:id="39"/>
            <w:bookmarkEnd w:id="41"/>
            <w:bookmarkEnd w:id="42"/>
            <w:r w:rsidRPr="00765073">
              <w:rPr>
                <w:rFonts w:eastAsiaTheme="minorHAnsi"/>
                <w:sz w:val="20"/>
                <w:szCs w:val="20"/>
              </w:rPr>
              <w:t>Cost Component</w:t>
            </w:r>
          </w:p>
        </w:tc>
        <w:tc>
          <w:tcPr>
            <w:tcW w:w="2070" w:type="dxa"/>
            <w:shd w:val="clear" w:color="auto" w:fill="8EAADB" w:themeFill="accent1" w:themeFillTint="99"/>
            <w:vAlign w:val="center"/>
            <w:hideMark/>
          </w:tcPr>
          <w:p w:rsidR="00EC351F" w:rsidRPr="00765073" w:rsidP="004A22F3" w14:paraId="59E84281" w14:textId="3E61BF63">
            <w:pPr>
              <w:widowControl/>
              <w:autoSpaceDE/>
              <w:autoSpaceDN/>
              <w:adjustRightInd/>
              <w:jc w:val="center"/>
              <w:rPr>
                <w:rFonts w:eastAsiaTheme="minorHAnsi"/>
                <w:sz w:val="20"/>
                <w:szCs w:val="20"/>
              </w:rPr>
            </w:pPr>
            <w:r w:rsidRPr="00765073">
              <w:rPr>
                <w:rFonts w:eastAsiaTheme="minorHAnsi"/>
                <w:sz w:val="20"/>
                <w:szCs w:val="20"/>
              </w:rPr>
              <w:t xml:space="preserve">Number of </w:t>
            </w:r>
            <w:r w:rsidR="007420EB">
              <w:rPr>
                <w:rFonts w:eastAsiaTheme="minorHAnsi"/>
                <w:sz w:val="20"/>
                <w:szCs w:val="20"/>
              </w:rPr>
              <w:t>Plans Mailed</w:t>
            </w:r>
          </w:p>
        </w:tc>
        <w:tc>
          <w:tcPr>
            <w:tcW w:w="1710" w:type="dxa"/>
            <w:shd w:val="clear" w:color="auto" w:fill="8EAADB" w:themeFill="accent1" w:themeFillTint="99"/>
            <w:vAlign w:val="center"/>
          </w:tcPr>
          <w:p w:rsidR="00EC351F" w:rsidRPr="00765073" w:rsidP="004A22F3" w14:paraId="3E4C451A" w14:textId="78D71BBA">
            <w:pPr>
              <w:widowControl/>
              <w:autoSpaceDE/>
              <w:autoSpaceDN/>
              <w:adjustRightInd/>
              <w:jc w:val="center"/>
              <w:rPr>
                <w:rFonts w:eastAsiaTheme="minorHAnsi"/>
                <w:sz w:val="20"/>
                <w:szCs w:val="20"/>
              </w:rPr>
            </w:pPr>
            <w:r w:rsidRPr="00765073">
              <w:rPr>
                <w:rFonts w:eastAsiaTheme="minorHAnsi"/>
                <w:sz w:val="20"/>
                <w:szCs w:val="20"/>
              </w:rPr>
              <w:t>Unit Cost</w:t>
            </w:r>
          </w:p>
        </w:tc>
        <w:tc>
          <w:tcPr>
            <w:tcW w:w="2592" w:type="dxa"/>
            <w:shd w:val="clear" w:color="auto" w:fill="8EAADB" w:themeFill="accent1" w:themeFillTint="99"/>
            <w:vAlign w:val="center"/>
            <w:hideMark/>
          </w:tcPr>
          <w:p w:rsidR="00EC351F" w:rsidRPr="00765073" w:rsidP="004A22F3" w14:paraId="0F03C20D" w14:textId="2DFCBA35">
            <w:pPr>
              <w:widowControl/>
              <w:autoSpaceDE/>
              <w:autoSpaceDN/>
              <w:adjustRightInd/>
              <w:jc w:val="center"/>
              <w:rPr>
                <w:rFonts w:eastAsiaTheme="minorHAnsi"/>
                <w:sz w:val="20"/>
                <w:szCs w:val="20"/>
              </w:rPr>
            </w:pPr>
            <w:r w:rsidRPr="00765073">
              <w:rPr>
                <w:rFonts w:eastAsiaTheme="minorHAnsi"/>
                <w:sz w:val="20"/>
                <w:szCs w:val="20"/>
              </w:rPr>
              <w:t>Cost to Recordkeepers</w:t>
            </w:r>
          </w:p>
        </w:tc>
      </w:tr>
      <w:tr w14:paraId="2180E5D0" w14:textId="77777777" w:rsidTr="00746BEB">
        <w:tblPrEx>
          <w:tblW w:w="8077" w:type="dxa"/>
          <w:tblLook w:val="04A0"/>
        </w:tblPrEx>
        <w:trPr>
          <w:trHeight w:val="300"/>
        </w:trPr>
        <w:tc>
          <w:tcPr>
            <w:tcW w:w="1705" w:type="dxa"/>
            <w:noWrap/>
            <w:vAlign w:val="center"/>
            <w:hideMark/>
          </w:tcPr>
          <w:p w:rsidR="00EC351F" w:rsidRPr="00765073" w:rsidP="004A22F3" w14:paraId="6BCD63F6" w14:textId="18AAE5A3">
            <w:pPr>
              <w:widowControl/>
              <w:autoSpaceDE/>
              <w:autoSpaceDN/>
              <w:adjustRightInd/>
              <w:rPr>
                <w:rFonts w:eastAsiaTheme="minorHAnsi"/>
                <w:bCs/>
                <w:sz w:val="20"/>
                <w:szCs w:val="20"/>
              </w:rPr>
            </w:pPr>
            <w:r>
              <w:rPr>
                <w:rFonts w:eastAsiaTheme="minorHAnsi"/>
                <w:bCs/>
                <w:sz w:val="20"/>
                <w:szCs w:val="20"/>
              </w:rPr>
              <w:t>Copy</w:t>
            </w:r>
            <w:r w:rsidR="00A21CF8">
              <w:rPr>
                <w:rFonts w:eastAsiaTheme="minorHAnsi"/>
                <w:bCs/>
                <w:sz w:val="20"/>
                <w:szCs w:val="20"/>
              </w:rPr>
              <w:t>ing</w:t>
            </w:r>
            <w:r>
              <w:rPr>
                <w:rFonts w:eastAsiaTheme="minorHAnsi"/>
                <w:bCs/>
                <w:sz w:val="20"/>
                <w:szCs w:val="20"/>
              </w:rPr>
              <w:t xml:space="preserve"> and Mail</w:t>
            </w:r>
            <w:r w:rsidR="00A21CF8">
              <w:rPr>
                <w:rFonts w:eastAsiaTheme="minorHAnsi"/>
                <w:bCs/>
                <w:sz w:val="20"/>
                <w:szCs w:val="20"/>
              </w:rPr>
              <w:t>ing</w:t>
            </w:r>
            <w:r>
              <w:rPr>
                <w:rFonts w:eastAsiaTheme="minorHAnsi"/>
                <w:bCs/>
                <w:sz w:val="20"/>
                <w:szCs w:val="20"/>
              </w:rPr>
              <w:t xml:space="preserve"> Plans</w:t>
            </w:r>
          </w:p>
        </w:tc>
        <w:tc>
          <w:tcPr>
            <w:tcW w:w="2070" w:type="dxa"/>
            <w:noWrap/>
            <w:vAlign w:val="center"/>
          </w:tcPr>
          <w:p w:rsidR="00EC351F" w:rsidRPr="00765073" w:rsidP="00746BEB" w14:paraId="4180CE80" w14:textId="5094E2F0">
            <w:pPr>
              <w:widowControl/>
              <w:autoSpaceDE/>
              <w:autoSpaceDN/>
              <w:adjustRightInd/>
              <w:jc w:val="right"/>
              <w:rPr>
                <w:rFonts w:eastAsiaTheme="minorHAnsi"/>
                <w:bCs/>
                <w:sz w:val="20"/>
                <w:szCs w:val="20"/>
              </w:rPr>
            </w:pPr>
            <w:r>
              <w:rPr>
                <w:rFonts w:eastAsiaTheme="minorHAnsi"/>
                <w:bCs/>
                <w:sz w:val="20"/>
                <w:szCs w:val="20"/>
              </w:rPr>
              <w:t>6</w:t>
            </w:r>
          </w:p>
        </w:tc>
        <w:tc>
          <w:tcPr>
            <w:tcW w:w="1710" w:type="dxa"/>
            <w:vAlign w:val="center"/>
          </w:tcPr>
          <w:p w:rsidR="00EC351F" w:rsidRPr="00765073" w:rsidP="00746BEB" w14:paraId="057EE157" w14:textId="391B06D0">
            <w:pPr>
              <w:widowControl/>
              <w:autoSpaceDE/>
              <w:autoSpaceDN/>
              <w:adjustRightInd/>
              <w:jc w:val="right"/>
              <w:rPr>
                <w:rFonts w:eastAsiaTheme="minorHAnsi"/>
                <w:bCs/>
                <w:sz w:val="20"/>
                <w:szCs w:val="20"/>
              </w:rPr>
            </w:pPr>
            <w:r>
              <w:rPr>
                <w:rFonts w:eastAsiaTheme="minorHAnsi"/>
                <w:bCs/>
                <w:sz w:val="20"/>
                <w:szCs w:val="20"/>
              </w:rPr>
              <w:t>$5</w:t>
            </w:r>
          </w:p>
        </w:tc>
        <w:tc>
          <w:tcPr>
            <w:tcW w:w="2592" w:type="dxa"/>
            <w:noWrap/>
            <w:vAlign w:val="center"/>
          </w:tcPr>
          <w:p w:rsidR="00EC351F" w:rsidRPr="00765073" w:rsidP="00746BEB" w14:paraId="6F977C1A" w14:textId="2F183C04">
            <w:pPr>
              <w:widowControl/>
              <w:autoSpaceDE/>
              <w:autoSpaceDN/>
              <w:adjustRightInd/>
              <w:jc w:val="right"/>
              <w:rPr>
                <w:rFonts w:eastAsiaTheme="minorHAnsi"/>
                <w:bCs/>
                <w:sz w:val="20"/>
                <w:szCs w:val="20"/>
              </w:rPr>
            </w:pPr>
            <w:r w:rsidRPr="00765073">
              <w:rPr>
                <w:rFonts w:eastAsiaTheme="minorHAnsi"/>
                <w:bCs/>
                <w:sz w:val="20"/>
                <w:szCs w:val="20"/>
              </w:rPr>
              <w:t>$</w:t>
            </w:r>
            <w:r>
              <w:rPr>
                <w:rFonts w:eastAsiaTheme="minorHAnsi"/>
                <w:bCs/>
                <w:sz w:val="20"/>
                <w:szCs w:val="20"/>
              </w:rPr>
              <w:t>30</w:t>
            </w:r>
          </w:p>
        </w:tc>
      </w:tr>
      <w:tr w14:paraId="16A7972C" w14:textId="77777777" w:rsidTr="00746BEB">
        <w:tblPrEx>
          <w:tblW w:w="8077" w:type="dxa"/>
          <w:tblLook w:val="04A0"/>
        </w:tblPrEx>
        <w:trPr>
          <w:trHeight w:val="300"/>
        </w:trPr>
        <w:tc>
          <w:tcPr>
            <w:tcW w:w="1705" w:type="dxa"/>
            <w:noWrap/>
            <w:vAlign w:val="center"/>
            <w:hideMark/>
          </w:tcPr>
          <w:p w:rsidR="00EC351F" w:rsidRPr="00765073" w:rsidP="00746BEB" w14:paraId="5A972BF5" w14:textId="726B1347">
            <w:pPr>
              <w:widowControl/>
              <w:autoSpaceDE/>
              <w:autoSpaceDN/>
              <w:adjustRightInd/>
              <w:jc w:val="right"/>
              <w:rPr>
                <w:rFonts w:eastAsiaTheme="minorHAnsi"/>
                <w:b/>
                <w:bCs/>
                <w:i/>
                <w:iCs/>
                <w:sz w:val="20"/>
                <w:szCs w:val="20"/>
              </w:rPr>
            </w:pPr>
            <w:r>
              <w:rPr>
                <w:rFonts w:eastAsiaTheme="minorHAnsi"/>
                <w:b/>
                <w:bCs/>
                <w:i/>
                <w:iCs/>
                <w:sz w:val="20"/>
                <w:szCs w:val="20"/>
              </w:rPr>
              <w:t>Sub</w:t>
            </w:r>
            <w:r w:rsidRPr="00765073">
              <w:rPr>
                <w:rFonts w:eastAsiaTheme="minorHAnsi"/>
                <w:b/>
                <w:bCs/>
                <w:i/>
                <w:iCs/>
                <w:sz w:val="20"/>
                <w:szCs w:val="20"/>
              </w:rPr>
              <w:t>total</w:t>
            </w:r>
            <w:r w:rsidRPr="00765073">
              <w:rPr>
                <w:rFonts w:eastAsiaTheme="minorHAnsi"/>
                <w:b/>
                <w:bCs/>
                <w:i/>
                <w:iCs/>
                <w:sz w:val="20"/>
                <w:szCs w:val="20"/>
              </w:rPr>
              <w:t xml:space="preserve"> (Rounded)</w:t>
            </w:r>
          </w:p>
        </w:tc>
        <w:tc>
          <w:tcPr>
            <w:tcW w:w="2070" w:type="dxa"/>
            <w:vAlign w:val="center"/>
          </w:tcPr>
          <w:p w:rsidR="00EC351F" w:rsidRPr="000D4093" w:rsidP="00746BEB" w14:paraId="747E4053" w14:textId="1E93F007">
            <w:pPr>
              <w:widowControl/>
              <w:autoSpaceDE/>
              <w:autoSpaceDN/>
              <w:adjustRightInd/>
              <w:jc w:val="right"/>
              <w:rPr>
                <w:rFonts w:eastAsiaTheme="minorHAnsi"/>
                <w:b/>
                <w:i/>
                <w:iCs/>
                <w:sz w:val="20"/>
                <w:szCs w:val="20"/>
              </w:rPr>
            </w:pPr>
            <w:r w:rsidRPr="000D4093">
              <w:rPr>
                <w:rFonts w:eastAsiaTheme="minorHAnsi"/>
                <w:b/>
                <w:i/>
                <w:iCs/>
                <w:sz w:val="20"/>
                <w:szCs w:val="20"/>
              </w:rPr>
              <w:t>6</w:t>
            </w:r>
          </w:p>
        </w:tc>
        <w:tc>
          <w:tcPr>
            <w:tcW w:w="1710" w:type="dxa"/>
            <w:shd w:val="clear" w:color="auto" w:fill="000000" w:themeFill="text1"/>
            <w:vAlign w:val="center"/>
          </w:tcPr>
          <w:p w:rsidR="00EC351F" w:rsidRPr="000D4093" w:rsidP="00746BEB" w14:paraId="2A76A6B1" w14:textId="414D25D7">
            <w:pPr>
              <w:widowControl/>
              <w:autoSpaceDE/>
              <w:autoSpaceDN/>
              <w:adjustRightInd/>
              <w:jc w:val="right"/>
              <w:rPr>
                <w:rFonts w:eastAsiaTheme="minorHAnsi"/>
                <w:bCs/>
                <w:i/>
                <w:iCs/>
                <w:sz w:val="20"/>
                <w:szCs w:val="20"/>
              </w:rPr>
            </w:pPr>
          </w:p>
        </w:tc>
        <w:tc>
          <w:tcPr>
            <w:tcW w:w="2592" w:type="dxa"/>
            <w:noWrap/>
            <w:vAlign w:val="center"/>
          </w:tcPr>
          <w:p w:rsidR="00EC351F" w:rsidRPr="000D4093" w:rsidP="00746BEB" w14:paraId="24E59591" w14:textId="1065FD08">
            <w:pPr>
              <w:widowControl/>
              <w:autoSpaceDE/>
              <w:autoSpaceDN/>
              <w:adjustRightInd/>
              <w:jc w:val="right"/>
              <w:rPr>
                <w:rFonts w:eastAsiaTheme="minorHAnsi"/>
                <w:b/>
                <w:bCs/>
                <w:i/>
                <w:iCs/>
                <w:sz w:val="20"/>
                <w:szCs w:val="20"/>
              </w:rPr>
            </w:pPr>
            <w:r w:rsidRPr="000D4093">
              <w:rPr>
                <w:rFonts w:eastAsiaTheme="minorHAnsi"/>
                <w:b/>
                <w:bCs/>
                <w:i/>
                <w:iCs/>
                <w:sz w:val="20"/>
                <w:szCs w:val="20"/>
              </w:rPr>
              <w:t>$30</w:t>
            </w:r>
          </w:p>
        </w:tc>
      </w:tr>
      <w:bookmarkEnd w:id="44"/>
    </w:tbl>
    <w:p w:rsidR="008F7DDE" w:rsidRPr="00765073" w:rsidP="004A22F3" w14:paraId="7C9AFFCB" w14:textId="77777777">
      <w:pPr>
        <w:rPr>
          <w:b/>
          <w:bCs/>
          <w:color w:val="000000"/>
        </w:rPr>
      </w:pPr>
    </w:p>
    <w:p w:rsidR="00715424" w:rsidRPr="00765073" w:rsidP="004A22F3" w14:paraId="023347D9" w14:textId="77777777">
      <w:pPr>
        <w:pStyle w:val="Default"/>
        <w:rPr>
          <w:rFonts w:ascii="Times New Roman" w:hAnsi="Times New Roman" w:cs="Times New Roman"/>
          <w:b/>
          <w:bCs/>
        </w:rPr>
      </w:pPr>
      <w:r w:rsidRPr="00765073">
        <w:rPr>
          <w:rFonts w:ascii="Times New Roman" w:hAnsi="Times New Roman" w:cs="Times New Roman"/>
          <w:b/>
          <w:bCs/>
        </w:rPr>
        <w:t>Cost Burden to Respondents or Recordkeepers Summary</w:t>
      </w:r>
    </w:p>
    <w:p w:rsidR="00715424" w:rsidRPr="00765073" w:rsidP="004A22F3" w14:paraId="045802B6" w14:textId="77777777">
      <w:pPr>
        <w:pStyle w:val="Default"/>
        <w:tabs>
          <w:tab w:val="left" w:pos="9000"/>
          <w:tab w:val="left" w:pos="9090"/>
        </w:tabs>
        <w:rPr>
          <w:rFonts w:ascii="Times New Roman" w:hAnsi="Times New Roman" w:cs="Times New Roman"/>
          <w:b/>
          <w:bCs/>
        </w:rPr>
      </w:pPr>
    </w:p>
    <w:p w:rsidR="00715424" w:rsidRPr="00765073" w:rsidP="004A22F3" w14:paraId="3F6CC069" w14:textId="4FF19BD0">
      <w:pPr>
        <w:widowControl/>
      </w:pPr>
      <w:r w:rsidRPr="00765073">
        <w:t xml:space="preserve">The annual cost burden </w:t>
      </w:r>
      <w:r w:rsidR="00717A2F">
        <w:t xml:space="preserve">for </w:t>
      </w:r>
      <w:r w:rsidRPr="00765073">
        <w:t>recordkeep</w:t>
      </w:r>
      <w:r w:rsidR="001E63E8">
        <w:t>ing</w:t>
      </w:r>
      <w:r w:rsidRPr="00765073">
        <w:t xml:space="preserve"> is summarized in the table below.</w:t>
      </w:r>
    </w:p>
    <w:p w:rsidR="00715424" w:rsidRPr="00765073" w:rsidP="004A22F3" w14:paraId="4A1E40C5" w14:textId="77777777">
      <w:pPr>
        <w:tabs>
          <w:tab w:val="left" w:pos="9000"/>
          <w:tab w:val="left" w:pos="9090"/>
        </w:tabs>
        <w:spacing w:line="259" w:lineRule="auto"/>
        <w:rPr>
          <w:b/>
          <w:bCs/>
        </w:rPr>
      </w:pPr>
    </w:p>
    <w:p w:rsidR="00715424" w:rsidRPr="00765073" w:rsidP="004A22F3" w14:paraId="05A79ECF" w14:textId="3D9B121F">
      <w:pPr>
        <w:tabs>
          <w:tab w:val="left" w:pos="9000"/>
          <w:tab w:val="left" w:pos="9090"/>
        </w:tabs>
        <w:spacing w:line="259" w:lineRule="auto"/>
        <w:rPr>
          <w:b/>
          <w:bCs/>
        </w:rPr>
      </w:pPr>
      <w:r w:rsidRPr="00765073">
        <w:rPr>
          <w:b/>
          <w:bCs/>
        </w:rPr>
        <w:t>Table 13-</w:t>
      </w:r>
      <w:r w:rsidR="006302FA">
        <w:rPr>
          <w:b/>
          <w:bCs/>
        </w:rPr>
        <w:t>2</w:t>
      </w:r>
      <w:r w:rsidRPr="00765073">
        <w:rPr>
          <w:b/>
          <w:bCs/>
        </w:rPr>
        <w:t>. Estimated Annual Recordkeep</w:t>
      </w:r>
      <w:r w:rsidR="00D56763">
        <w:rPr>
          <w:b/>
          <w:bCs/>
        </w:rPr>
        <w:t>ing</w:t>
      </w:r>
      <w:r w:rsidR="001E63E8">
        <w:rPr>
          <w:b/>
          <w:bCs/>
        </w:rPr>
        <w:t xml:space="preserve"> Cost</w:t>
      </w:r>
      <w:r w:rsidRPr="00765073">
        <w:rPr>
          <w:b/>
          <w:bCs/>
        </w:rPr>
        <w:t xml:space="preserve">, Summary </w:t>
      </w:r>
    </w:p>
    <w:tbl>
      <w:tblPr>
        <w:tblStyle w:val="TableGrid"/>
        <w:tblW w:w="8095" w:type="dxa"/>
        <w:tblLook w:val="04A0"/>
      </w:tblPr>
      <w:tblGrid>
        <w:gridCol w:w="1705"/>
        <w:gridCol w:w="2070"/>
        <w:gridCol w:w="1710"/>
        <w:gridCol w:w="2610"/>
      </w:tblGrid>
      <w:tr w14:paraId="7C63E9CE" w14:textId="77777777" w:rsidTr="005366CD">
        <w:tblPrEx>
          <w:tblW w:w="8095" w:type="dxa"/>
          <w:tblLook w:val="04A0"/>
        </w:tblPrEx>
        <w:trPr>
          <w:trHeight w:val="615"/>
        </w:trPr>
        <w:tc>
          <w:tcPr>
            <w:tcW w:w="1705" w:type="dxa"/>
            <w:shd w:val="clear" w:color="auto" w:fill="8EAADB" w:themeFill="accent1" w:themeFillTint="99"/>
            <w:vAlign w:val="center"/>
            <w:hideMark/>
          </w:tcPr>
          <w:p w:rsidR="00153BB8" w:rsidRPr="00765073" w:rsidP="00153BB8" w14:paraId="54703BB1" w14:textId="4DE94097">
            <w:pPr>
              <w:widowControl/>
              <w:autoSpaceDE/>
              <w:autoSpaceDN/>
              <w:adjustRightInd/>
              <w:rPr>
                <w:rFonts w:eastAsiaTheme="minorHAnsi"/>
                <w:sz w:val="20"/>
                <w:szCs w:val="20"/>
              </w:rPr>
            </w:pPr>
            <w:r>
              <w:rPr>
                <w:color w:val="000000"/>
                <w:sz w:val="20"/>
                <w:szCs w:val="20"/>
              </w:rPr>
              <w:t>Cost components</w:t>
            </w:r>
          </w:p>
        </w:tc>
        <w:tc>
          <w:tcPr>
            <w:tcW w:w="2070" w:type="dxa"/>
            <w:shd w:val="clear" w:color="auto" w:fill="8EAADB" w:themeFill="accent1" w:themeFillTint="99"/>
            <w:vAlign w:val="center"/>
          </w:tcPr>
          <w:p w:rsidR="00153BB8" w:rsidRPr="00765073" w:rsidP="00153BB8" w14:paraId="7F5B8915" w14:textId="54E34B16">
            <w:pPr>
              <w:widowControl/>
              <w:autoSpaceDE/>
              <w:autoSpaceDN/>
              <w:adjustRightInd/>
              <w:jc w:val="center"/>
              <w:rPr>
                <w:rFonts w:eastAsiaTheme="minorHAnsi"/>
                <w:sz w:val="20"/>
                <w:szCs w:val="20"/>
              </w:rPr>
            </w:pPr>
            <w:r>
              <w:rPr>
                <w:color w:val="000000"/>
                <w:sz w:val="20"/>
                <w:szCs w:val="20"/>
              </w:rPr>
              <w:t xml:space="preserve">Number of </w:t>
            </w:r>
            <w:r w:rsidR="00292484">
              <w:rPr>
                <w:color w:val="000000"/>
                <w:sz w:val="20"/>
                <w:szCs w:val="20"/>
              </w:rPr>
              <w:t>Responses</w:t>
            </w:r>
          </w:p>
        </w:tc>
        <w:tc>
          <w:tcPr>
            <w:tcW w:w="1710" w:type="dxa"/>
            <w:shd w:val="clear" w:color="auto" w:fill="8EAADB" w:themeFill="accent1" w:themeFillTint="99"/>
            <w:vAlign w:val="center"/>
          </w:tcPr>
          <w:p w:rsidR="00153BB8" w:rsidRPr="00765073" w:rsidP="00153BB8" w14:paraId="75A6EE6D" w14:textId="020ED36B">
            <w:pPr>
              <w:widowControl/>
              <w:autoSpaceDE/>
              <w:autoSpaceDN/>
              <w:adjustRightInd/>
              <w:jc w:val="center"/>
              <w:rPr>
                <w:rFonts w:eastAsiaTheme="minorHAnsi"/>
                <w:sz w:val="20"/>
                <w:szCs w:val="20"/>
              </w:rPr>
            </w:pPr>
            <w:r>
              <w:rPr>
                <w:color w:val="000000"/>
                <w:sz w:val="20"/>
                <w:szCs w:val="20"/>
              </w:rPr>
              <w:t>Unit Cost</w:t>
            </w:r>
          </w:p>
        </w:tc>
        <w:tc>
          <w:tcPr>
            <w:tcW w:w="2610" w:type="dxa"/>
            <w:shd w:val="clear" w:color="auto" w:fill="8EAADB" w:themeFill="accent1" w:themeFillTint="99"/>
            <w:vAlign w:val="center"/>
            <w:hideMark/>
          </w:tcPr>
          <w:p w:rsidR="00153BB8" w:rsidRPr="00765073" w:rsidP="00153BB8" w14:paraId="2015B8EC" w14:textId="4BA8C98C">
            <w:pPr>
              <w:widowControl/>
              <w:autoSpaceDE/>
              <w:autoSpaceDN/>
              <w:adjustRightInd/>
              <w:jc w:val="center"/>
              <w:rPr>
                <w:rFonts w:eastAsiaTheme="minorHAnsi"/>
                <w:sz w:val="20"/>
                <w:szCs w:val="20"/>
              </w:rPr>
            </w:pPr>
            <w:r>
              <w:rPr>
                <w:color w:val="000000"/>
                <w:sz w:val="20"/>
                <w:szCs w:val="20"/>
              </w:rPr>
              <w:t>Cost to Recordkeepers</w:t>
            </w:r>
          </w:p>
        </w:tc>
      </w:tr>
      <w:tr w14:paraId="16065E7F" w14:textId="77777777" w:rsidTr="00746BEB">
        <w:tblPrEx>
          <w:tblW w:w="8095" w:type="dxa"/>
          <w:tblLook w:val="04A0"/>
        </w:tblPrEx>
        <w:trPr>
          <w:trHeight w:val="300"/>
        </w:trPr>
        <w:tc>
          <w:tcPr>
            <w:tcW w:w="1705" w:type="dxa"/>
            <w:noWrap/>
            <w:vAlign w:val="center"/>
            <w:hideMark/>
          </w:tcPr>
          <w:p w:rsidR="00153BB8" w:rsidRPr="00765073" w:rsidP="00153BB8" w14:paraId="200D8D42" w14:textId="5AA813B2">
            <w:pPr>
              <w:widowControl/>
              <w:autoSpaceDE/>
              <w:autoSpaceDN/>
              <w:adjustRightInd/>
              <w:rPr>
                <w:rFonts w:eastAsiaTheme="minorHAnsi"/>
                <w:bCs/>
                <w:sz w:val="20"/>
                <w:szCs w:val="20"/>
              </w:rPr>
            </w:pPr>
            <w:r>
              <w:rPr>
                <w:color w:val="000000"/>
                <w:sz w:val="20"/>
                <w:szCs w:val="20"/>
              </w:rPr>
              <w:t>I</w:t>
            </w:r>
            <w:r w:rsidR="00A92727">
              <w:rPr>
                <w:color w:val="000000"/>
                <w:sz w:val="20"/>
                <w:szCs w:val="20"/>
              </w:rPr>
              <w:t>-2</w:t>
            </w:r>
            <w:r>
              <w:rPr>
                <w:color w:val="000000"/>
                <w:sz w:val="20"/>
                <w:szCs w:val="20"/>
              </w:rPr>
              <w:t>. Copy</w:t>
            </w:r>
            <w:r w:rsidR="00A21CF8">
              <w:rPr>
                <w:color w:val="000000"/>
                <w:sz w:val="20"/>
                <w:szCs w:val="20"/>
              </w:rPr>
              <w:t>ing</w:t>
            </w:r>
            <w:r>
              <w:rPr>
                <w:color w:val="000000"/>
                <w:sz w:val="20"/>
                <w:szCs w:val="20"/>
              </w:rPr>
              <w:t xml:space="preserve"> and Mail</w:t>
            </w:r>
            <w:r w:rsidR="00A21CF8">
              <w:rPr>
                <w:color w:val="000000"/>
                <w:sz w:val="20"/>
                <w:szCs w:val="20"/>
              </w:rPr>
              <w:t>ing</w:t>
            </w:r>
            <w:r>
              <w:rPr>
                <w:color w:val="000000"/>
                <w:sz w:val="20"/>
                <w:szCs w:val="20"/>
              </w:rPr>
              <w:t xml:space="preserve"> Plans</w:t>
            </w:r>
          </w:p>
        </w:tc>
        <w:tc>
          <w:tcPr>
            <w:tcW w:w="2070" w:type="dxa"/>
            <w:vAlign w:val="center"/>
          </w:tcPr>
          <w:p w:rsidR="00153BB8" w:rsidRPr="00765073" w:rsidP="00746BEB" w14:paraId="2C3D3B05" w14:textId="467DD368">
            <w:pPr>
              <w:widowControl/>
              <w:autoSpaceDE/>
              <w:autoSpaceDN/>
              <w:adjustRightInd/>
              <w:jc w:val="right"/>
              <w:rPr>
                <w:rFonts w:eastAsiaTheme="minorHAnsi"/>
                <w:bCs/>
                <w:sz w:val="20"/>
                <w:szCs w:val="20"/>
              </w:rPr>
            </w:pPr>
            <w:r>
              <w:rPr>
                <w:color w:val="000000"/>
                <w:sz w:val="20"/>
                <w:szCs w:val="20"/>
              </w:rPr>
              <w:t>6</w:t>
            </w:r>
          </w:p>
        </w:tc>
        <w:tc>
          <w:tcPr>
            <w:tcW w:w="1710" w:type="dxa"/>
            <w:vAlign w:val="center"/>
          </w:tcPr>
          <w:p w:rsidR="00153BB8" w:rsidRPr="00765073" w:rsidP="00746BEB" w14:paraId="440DFC84" w14:textId="018499DF">
            <w:pPr>
              <w:widowControl/>
              <w:autoSpaceDE/>
              <w:autoSpaceDN/>
              <w:adjustRightInd/>
              <w:jc w:val="right"/>
              <w:rPr>
                <w:rFonts w:eastAsiaTheme="minorHAnsi"/>
                <w:bCs/>
                <w:sz w:val="20"/>
                <w:szCs w:val="20"/>
              </w:rPr>
            </w:pPr>
            <w:r>
              <w:rPr>
                <w:color w:val="000000"/>
                <w:sz w:val="20"/>
                <w:szCs w:val="20"/>
              </w:rPr>
              <w:t>$5</w:t>
            </w:r>
          </w:p>
        </w:tc>
        <w:tc>
          <w:tcPr>
            <w:tcW w:w="2610" w:type="dxa"/>
            <w:noWrap/>
            <w:vAlign w:val="center"/>
          </w:tcPr>
          <w:p w:rsidR="00153BB8" w:rsidRPr="00765073" w:rsidP="00746BEB" w14:paraId="679D3BA7" w14:textId="4C5C587E">
            <w:pPr>
              <w:widowControl/>
              <w:autoSpaceDE/>
              <w:autoSpaceDN/>
              <w:adjustRightInd/>
              <w:jc w:val="right"/>
              <w:rPr>
                <w:rFonts w:eastAsiaTheme="minorHAnsi"/>
                <w:bCs/>
                <w:sz w:val="20"/>
                <w:szCs w:val="20"/>
              </w:rPr>
            </w:pPr>
            <w:r>
              <w:rPr>
                <w:color w:val="000000"/>
                <w:sz w:val="20"/>
                <w:szCs w:val="20"/>
              </w:rPr>
              <w:t>$30</w:t>
            </w:r>
          </w:p>
        </w:tc>
      </w:tr>
      <w:tr w14:paraId="01CA8AD6" w14:textId="77777777" w:rsidTr="00746BEB">
        <w:tblPrEx>
          <w:tblW w:w="8095" w:type="dxa"/>
          <w:tblLook w:val="04A0"/>
        </w:tblPrEx>
        <w:trPr>
          <w:trHeight w:val="300"/>
        </w:trPr>
        <w:tc>
          <w:tcPr>
            <w:tcW w:w="1705" w:type="dxa"/>
            <w:noWrap/>
            <w:vAlign w:val="center"/>
            <w:hideMark/>
          </w:tcPr>
          <w:p w:rsidR="00153BB8" w:rsidRPr="00765073" w:rsidP="00746BEB" w14:paraId="0D63E609" w14:textId="4031F57D">
            <w:pPr>
              <w:widowControl/>
              <w:autoSpaceDE/>
              <w:autoSpaceDN/>
              <w:adjustRightInd/>
              <w:jc w:val="right"/>
              <w:rPr>
                <w:rFonts w:eastAsiaTheme="minorHAnsi"/>
                <w:b/>
                <w:bCs/>
                <w:i/>
                <w:iCs/>
                <w:sz w:val="20"/>
                <w:szCs w:val="20"/>
              </w:rPr>
            </w:pPr>
            <w:r>
              <w:rPr>
                <w:b/>
                <w:bCs/>
                <w:i/>
                <w:iCs/>
                <w:color w:val="000000"/>
                <w:sz w:val="20"/>
                <w:szCs w:val="20"/>
              </w:rPr>
              <w:t>Total (Rounded)</w:t>
            </w:r>
          </w:p>
        </w:tc>
        <w:tc>
          <w:tcPr>
            <w:tcW w:w="2070" w:type="dxa"/>
            <w:vAlign w:val="center"/>
          </w:tcPr>
          <w:p w:rsidR="00153BB8" w:rsidRPr="00F64CA3" w:rsidP="00746BEB" w14:paraId="662F01B1" w14:textId="2986E4D6">
            <w:pPr>
              <w:widowControl/>
              <w:autoSpaceDE/>
              <w:autoSpaceDN/>
              <w:adjustRightInd/>
              <w:jc w:val="right"/>
              <w:rPr>
                <w:rFonts w:eastAsiaTheme="minorHAnsi"/>
                <w:bCs/>
                <w:sz w:val="20"/>
                <w:szCs w:val="20"/>
              </w:rPr>
            </w:pPr>
            <w:r w:rsidRPr="00F64CA3">
              <w:rPr>
                <w:b/>
                <w:bCs/>
                <w:color w:val="000000"/>
                <w:sz w:val="20"/>
                <w:szCs w:val="20"/>
              </w:rPr>
              <w:t> </w:t>
            </w:r>
            <w:r w:rsidRPr="007247CF" w:rsidR="00F64CA3">
              <w:rPr>
                <w:rFonts w:eastAsiaTheme="minorHAnsi"/>
                <w:b/>
                <w:i/>
                <w:iCs/>
                <w:sz w:val="20"/>
                <w:szCs w:val="20"/>
              </w:rPr>
              <w:t>6</w:t>
            </w:r>
          </w:p>
        </w:tc>
        <w:tc>
          <w:tcPr>
            <w:tcW w:w="1710" w:type="dxa"/>
            <w:shd w:val="clear" w:color="auto" w:fill="000000" w:themeFill="text1"/>
            <w:vAlign w:val="center"/>
          </w:tcPr>
          <w:p w:rsidR="00153BB8" w:rsidRPr="00765073" w:rsidP="00746BEB" w14:paraId="3460C7A1" w14:textId="38BF72D2">
            <w:pPr>
              <w:widowControl/>
              <w:autoSpaceDE/>
              <w:autoSpaceDN/>
              <w:adjustRightInd/>
              <w:jc w:val="right"/>
              <w:rPr>
                <w:rFonts w:eastAsiaTheme="minorHAnsi"/>
                <w:b/>
                <w:bCs/>
                <w:sz w:val="20"/>
                <w:szCs w:val="20"/>
              </w:rPr>
            </w:pPr>
            <w:r>
              <w:rPr>
                <w:b/>
                <w:bCs/>
                <w:color w:val="000000"/>
                <w:sz w:val="20"/>
                <w:szCs w:val="20"/>
              </w:rPr>
              <w:t> </w:t>
            </w:r>
          </w:p>
        </w:tc>
        <w:tc>
          <w:tcPr>
            <w:tcW w:w="2610" w:type="dxa"/>
            <w:noWrap/>
            <w:vAlign w:val="center"/>
          </w:tcPr>
          <w:p w:rsidR="00153BB8" w:rsidRPr="000D4093" w:rsidP="00746BEB" w14:paraId="7FD74DA4" w14:textId="04885301">
            <w:pPr>
              <w:widowControl/>
              <w:autoSpaceDE/>
              <w:autoSpaceDN/>
              <w:adjustRightInd/>
              <w:jc w:val="right"/>
              <w:rPr>
                <w:rFonts w:eastAsiaTheme="minorHAnsi"/>
                <w:b/>
                <w:bCs/>
                <w:i/>
                <w:iCs/>
                <w:sz w:val="20"/>
                <w:szCs w:val="20"/>
              </w:rPr>
            </w:pPr>
            <w:r w:rsidRPr="000D4093">
              <w:rPr>
                <w:b/>
                <w:bCs/>
                <w:i/>
                <w:iCs/>
                <w:color w:val="000000"/>
                <w:sz w:val="20"/>
                <w:szCs w:val="20"/>
              </w:rPr>
              <w:t>$30</w:t>
            </w:r>
          </w:p>
        </w:tc>
      </w:tr>
    </w:tbl>
    <w:p w:rsidR="00715424" w:rsidRPr="00765073" w:rsidP="004A22F3" w14:paraId="2E2D0E62" w14:textId="77777777">
      <w:pPr>
        <w:rPr>
          <w:b/>
          <w:bCs/>
        </w:rPr>
      </w:pPr>
    </w:p>
    <w:p w:rsidR="008F7DDE" w:rsidRPr="00765073" w:rsidP="004A22F3" w14:paraId="6154050E" w14:textId="21897786">
      <w:pPr>
        <w:rPr>
          <w:bCs/>
          <w:color w:val="000000"/>
        </w:rPr>
      </w:pPr>
      <w:r w:rsidRPr="00765073">
        <w:rPr>
          <w:b/>
          <w:bCs/>
          <w:color w:val="000000"/>
        </w:rPr>
        <w:t xml:space="preserve">14. Provide estimates of annualized cost to the </w:t>
      </w:r>
      <w:r w:rsidRPr="00765073" w:rsidR="00CD484D">
        <w:rPr>
          <w:b/>
          <w:bCs/>
          <w:color w:val="000000"/>
        </w:rPr>
        <w:t>f</w:t>
      </w:r>
      <w:r w:rsidRPr="00765073">
        <w:rPr>
          <w:b/>
          <w:bCs/>
          <w:color w:val="000000"/>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rsidRPr="00765073" w:rsidP="004A22F3" w14:paraId="7C844DF4" w14:textId="77777777">
      <w:pPr>
        <w:rPr>
          <w:b/>
          <w:bCs/>
          <w:color w:val="000000"/>
          <w:szCs w:val="22"/>
        </w:rPr>
      </w:pPr>
    </w:p>
    <w:p w:rsidR="00F74113" w:rsidRPr="00765073" w:rsidP="004A22F3" w14:paraId="4E8483F0" w14:textId="05DEF098">
      <w:pPr>
        <w:rPr>
          <w:color w:val="000000"/>
        </w:rPr>
      </w:pPr>
      <w:bookmarkStart w:id="45" w:name="_Hlk192769156"/>
      <w:r w:rsidRPr="00765073">
        <w:rPr>
          <w:color w:val="000000"/>
        </w:rPr>
        <w:t xml:space="preserve">MSHA uses data from the FedScope published by the Office of Personnel Management for hourly wage rates of Federal employees and adjusts the rates for benefits and overhead. The occupations listed below in Table 14-1 are those that were determined to be relevant for the </w:t>
      </w:r>
      <w:r w:rsidRPr="00765073" w:rsidR="00B30446">
        <w:rPr>
          <w:color w:val="000000"/>
        </w:rPr>
        <w:t>F</w:t>
      </w:r>
      <w:r w:rsidRPr="00765073">
        <w:rPr>
          <w:color w:val="000000"/>
        </w:rPr>
        <w:t xml:space="preserve">ederal </w:t>
      </w:r>
      <w:r w:rsidRPr="00765073" w:rsidR="00B30446">
        <w:rPr>
          <w:color w:val="000000"/>
        </w:rPr>
        <w:t>G</w:t>
      </w:r>
      <w:r w:rsidRPr="00765073">
        <w:rPr>
          <w:color w:val="000000"/>
        </w:rPr>
        <w:t>overnment cost calculations.</w:t>
      </w:r>
    </w:p>
    <w:p w:rsidR="00F74113" w:rsidRPr="00765073" w:rsidP="004A22F3" w14:paraId="375D8972" w14:textId="77777777">
      <w:pPr>
        <w:rPr>
          <w:b/>
          <w:bCs/>
          <w:color w:val="000000"/>
          <w:szCs w:val="22"/>
        </w:rPr>
      </w:pPr>
    </w:p>
    <w:p w:rsidR="00D22375" w:rsidRPr="00765073" w:rsidP="004A22F3" w14:paraId="76B4F606" w14:textId="5F3E5B0A">
      <w:pPr>
        <w:rPr>
          <w:b/>
          <w:bCs/>
          <w:color w:val="000000"/>
        </w:rPr>
      </w:pPr>
      <w:r w:rsidRPr="00765073">
        <w:rPr>
          <w:b/>
          <w:bCs/>
          <w:color w:val="000000"/>
        </w:rPr>
        <w:t>Table 14-1</w:t>
      </w:r>
      <w:r w:rsidRPr="00765073" w:rsidR="00D73216">
        <w:rPr>
          <w:b/>
          <w:bCs/>
          <w:color w:val="000000"/>
        </w:rPr>
        <w:t>.</w:t>
      </w:r>
      <w:r w:rsidRPr="00765073">
        <w:rPr>
          <w:b/>
          <w:bCs/>
          <w:color w:val="000000"/>
        </w:rPr>
        <w:t xml:space="preserve"> Federal Hourly Wage Rates</w:t>
      </w:r>
    </w:p>
    <w:tbl>
      <w:tblPr>
        <w:tblStyle w:val="TableGrid"/>
        <w:tblW w:w="9445" w:type="dxa"/>
        <w:tblLook w:val="04A0"/>
      </w:tblPr>
      <w:tblGrid>
        <w:gridCol w:w="2965"/>
        <w:gridCol w:w="1350"/>
        <w:gridCol w:w="1260"/>
        <w:gridCol w:w="2070"/>
        <w:gridCol w:w="1800"/>
      </w:tblGrid>
      <w:tr w14:paraId="0F79EAD2" w14:textId="77777777" w:rsidTr="007628FE">
        <w:tblPrEx>
          <w:tblW w:w="9445" w:type="dxa"/>
          <w:tblLook w:val="04A0"/>
        </w:tblPrEx>
        <w:trPr>
          <w:trHeight w:val="478"/>
        </w:trPr>
        <w:tc>
          <w:tcPr>
            <w:tcW w:w="2965" w:type="dxa"/>
            <w:shd w:val="clear" w:color="auto" w:fill="8EAADB" w:themeFill="accent1" w:themeFillTint="99"/>
            <w:vAlign w:val="center"/>
          </w:tcPr>
          <w:p w:rsidR="00D22375" w:rsidRPr="00765073" w:rsidP="004A22F3" w14:paraId="191EF5D1" w14:textId="3FBB28D8">
            <w:pPr>
              <w:rPr>
                <w:iCs/>
                <w:sz w:val="20"/>
              </w:rPr>
            </w:pPr>
            <w:r w:rsidRPr="00765073">
              <w:rPr>
                <w:iCs/>
                <w:sz w:val="20"/>
              </w:rPr>
              <w:t>Occupation</w:t>
            </w:r>
          </w:p>
        </w:tc>
        <w:tc>
          <w:tcPr>
            <w:tcW w:w="1350" w:type="dxa"/>
            <w:shd w:val="clear" w:color="auto" w:fill="8EAADB" w:themeFill="accent1" w:themeFillTint="99"/>
            <w:vAlign w:val="center"/>
          </w:tcPr>
          <w:p w:rsidR="00D22375" w:rsidRPr="00765073" w:rsidP="004A22F3" w14:paraId="53C91EFA" w14:textId="77777777">
            <w:pPr>
              <w:jc w:val="center"/>
              <w:rPr>
                <w:iCs/>
                <w:sz w:val="20"/>
              </w:rPr>
            </w:pPr>
            <w:r w:rsidRPr="00765073">
              <w:rPr>
                <w:iCs/>
                <w:sz w:val="20"/>
              </w:rPr>
              <w:t>Occupation Code</w:t>
            </w:r>
          </w:p>
        </w:tc>
        <w:tc>
          <w:tcPr>
            <w:tcW w:w="1260" w:type="dxa"/>
            <w:shd w:val="clear" w:color="auto" w:fill="8EAADB" w:themeFill="accent1" w:themeFillTint="99"/>
            <w:vAlign w:val="center"/>
          </w:tcPr>
          <w:p w:rsidR="00D22375" w:rsidRPr="00765073" w:rsidP="004A22F3" w14:paraId="65B644AB" w14:textId="23616101">
            <w:pPr>
              <w:jc w:val="center"/>
              <w:rPr>
                <w:iCs/>
                <w:sz w:val="20"/>
              </w:rPr>
            </w:pPr>
            <w:r w:rsidRPr="00765073">
              <w:rPr>
                <w:iCs/>
                <w:sz w:val="20"/>
              </w:rPr>
              <w:t>Average</w:t>
            </w:r>
            <w:r w:rsidRPr="00765073" w:rsidR="00BC2CDC">
              <w:rPr>
                <w:iCs/>
                <w:sz w:val="20"/>
              </w:rPr>
              <w:t xml:space="preserve"> </w:t>
            </w:r>
            <w:r w:rsidRPr="00765073" w:rsidR="0003653B">
              <w:rPr>
                <w:iCs/>
                <w:sz w:val="20"/>
              </w:rPr>
              <w:t xml:space="preserve">Hourly </w:t>
            </w:r>
            <w:r w:rsidRPr="00765073">
              <w:rPr>
                <w:iCs/>
                <w:sz w:val="20"/>
              </w:rPr>
              <w:t>Wage Rate</w:t>
            </w:r>
          </w:p>
        </w:tc>
        <w:tc>
          <w:tcPr>
            <w:tcW w:w="2070" w:type="dxa"/>
            <w:shd w:val="clear" w:color="auto" w:fill="8EAADB" w:themeFill="accent1" w:themeFillTint="99"/>
            <w:vAlign w:val="center"/>
          </w:tcPr>
          <w:p w:rsidR="00D22375" w:rsidRPr="00765073" w:rsidP="004A22F3" w14:paraId="1C754AE3" w14:textId="7AB02101">
            <w:pPr>
              <w:jc w:val="center"/>
              <w:rPr>
                <w:iCs/>
                <w:sz w:val="20"/>
              </w:rPr>
            </w:pPr>
            <w:r w:rsidRPr="00765073">
              <w:rPr>
                <w:iCs/>
                <w:sz w:val="20"/>
              </w:rPr>
              <w:t>Benefit</w:t>
            </w:r>
            <w:r w:rsidRPr="00765073" w:rsidR="00F16D8E">
              <w:rPr>
                <w:iCs/>
                <w:sz w:val="20"/>
              </w:rPr>
              <w:t xml:space="preserve"> &amp; Overhead </w:t>
            </w:r>
            <w:r w:rsidRPr="00765073">
              <w:rPr>
                <w:iCs/>
                <w:sz w:val="20"/>
              </w:rPr>
              <w:t>Multiplier</w:t>
            </w:r>
            <w:r w:rsidRPr="00765073" w:rsidR="00B24B40">
              <w:rPr>
                <w:iCs/>
                <w:sz w:val="20"/>
              </w:rPr>
              <w:t xml:space="preserve"> [a]</w:t>
            </w:r>
          </w:p>
        </w:tc>
        <w:tc>
          <w:tcPr>
            <w:tcW w:w="1800" w:type="dxa"/>
            <w:shd w:val="clear" w:color="auto" w:fill="8EAADB" w:themeFill="accent1" w:themeFillTint="99"/>
            <w:vAlign w:val="center"/>
          </w:tcPr>
          <w:p w:rsidR="00D22375" w:rsidRPr="00765073" w:rsidP="004A22F3" w14:paraId="5AC6961E" w14:textId="77777777">
            <w:pPr>
              <w:jc w:val="center"/>
              <w:rPr>
                <w:iCs/>
                <w:sz w:val="20"/>
              </w:rPr>
            </w:pPr>
            <w:r w:rsidRPr="00765073">
              <w:rPr>
                <w:iCs/>
                <w:sz w:val="20"/>
              </w:rPr>
              <w:t>Loaded Hourly Wage Rate</w:t>
            </w:r>
          </w:p>
        </w:tc>
      </w:tr>
      <w:tr w14:paraId="2DA2475E" w14:textId="77777777" w:rsidTr="007628FE">
        <w:tblPrEx>
          <w:tblW w:w="9445" w:type="dxa"/>
          <w:tblLook w:val="04A0"/>
        </w:tblPrEx>
        <w:trPr>
          <w:trHeight w:val="233"/>
        </w:trPr>
        <w:tc>
          <w:tcPr>
            <w:tcW w:w="2965" w:type="dxa"/>
            <w:shd w:val="clear" w:color="auto" w:fill="8EAADB" w:themeFill="accent1" w:themeFillTint="99"/>
            <w:vAlign w:val="center"/>
          </w:tcPr>
          <w:p w:rsidR="00D75BE4" w:rsidRPr="00765073" w:rsidP="004A22F3" w14:paraId="595E4D13" w14:textId="77777777">
            <w:pPr>
              <w:rPr>
                <w:iCs/>
                <w:sz w:val="20"/>
              </w:rPr>
            </w:pPr>
          </w:p>
        </w:tc>
        <w:tc>
          <w:tcPr>
            <w:tcW w:w="1350" w:type="dxa"/>
            <w:shd w:val="clear" w:color="auto" w:fill="8EAADB" w:themeFill="accent1" w:themeFillTint="99"/>
            <w:vAlign w:val="center"/>
          </w:tcPr>
          <w:p w:rsidR="00D75BE4" w:rsidRPr="00765073" w:rsidP="004A22F3" w14:paraId="11BFAB25" w14:textId="77777777">
            <w:pPr>
              <w:jc w:val="center"/>
              <w:rPr>
                <w:iCs/>
                <w:sz w:val="20"/>
              </w:rPr>
            </w:pPr>
          </w:p>
        </w:tc>
        <w:tc>
          <w:tcPr>
            <w:tcW w:w="1260" w:type="dxa"/>
            <w:shd w:val="clear" w:color="auto" w:fill="8EAADB" w:themeFill="accent1" w:themeFillTint="99"/>
            <w:vAlign w:val="center"/>
          </w:tcPr>
          <w:p w:rsidR="00D75BE4" w:rsidRPr="00765073" w:rsidP="004A22F3" w14:paraId="01156ABC" w14:textId="03605850">
            <w:pPr>
              <w:jc w:val="center"/>
              <w:rPr>
                <w:iCs/>
                <w:sz w:val="20"/>
              </w:rPr>
            </w:pPr>
            <w:r w:rsidRPr="00765073">
              <w:rPr>
                <w:iCs/>
                <w:sz w:val="20"/>
              </w:rPr>
              <w:t>A</w:t>
            </w:r>
          </w:p>
        </w:tc>
        <w:tc>
          <w:tcPr>
            <w:tcW w:w="2070" w:type="dxa"/>
            <w:shd w:val="clear" w:color="auto" w:fill="8EAADB" w:themeFill="accent1" w:themeFillTint="99"/>
            <w:vAlign w:val="center"/>
          </w:tcPr>
          <w:p w:rsidR="00D75BE4" w:rsidRPr="00765073" w:rsidP="004A22F3" w14:paraId="2DAC5BEE" w14:textId="22289476">
            <w:pPr>
              <w:jc w:val="center"/>
              <w:rPr>
                <w:iCs/>
                <w:sz w:val="20"/>
              </w:rPr>
            </w:pPr>
            <w:r w:rsidRPr="00765073">
              <w:rPr>
                <w:iCs/>
                <w:sz w:val="20"/>
              </w:rPr>
              <w:t>B</w:t>
            </w:r>
          </w:p>
        </w:tc>
        <w:tc>
          <w:tcPr>
            <w:tcW w:w="1800" w:type="dxa"/>
            <w:shd w:val="clear" w:color="auto" w:fill="8EAADB" w:themeFill="accent1" w:themeFillTint="99"/>
            <w:vAlign w:val="center"/>
          </w:tcPr>
          <w:p w:rsidR="00D75BE4" w:rsidRPr="00765073" w:rsidP="004A22F3" w14:paraId="484F84B1" w14:textId="748779E7">
            <w:pPr>
              <w:jc w:val="center"/>
              <w:rPr>
                <w:iCs/>
                <w:sz w:val="20"/>
              </w:rPr>
            </w:pPr>
            <w:r w:rsidRPr="00765073">
              <w:rPr>
                <w:iCs/>
                <w:sz w:val="20"/>
              </w:rPr>
              <w:t>A x B</w:t>
            </w:r>
          </w:p>
        </w:tc>
      </w:tr>
      <w:tr w14:paraId="331CBA19" w14:textId="77777777" w:rsidTr="007628FE">
        <w:tblPrEx>
          <w:tblW w:w="9445" w:type="dxa"/>
          <w:tblLook w:val="04A0"/>
        </w:tblPrEx>
        <w:trPr>
          <w:trHeight w:val="246"/>
        </w:trPr>
        <w:tc>
          <w:tcPr>
            <w:tcW w:w="2965" w:type="dxa"/>
            <w:vAlign w:val="center"/>
          </w:tcPr>
          <w:p w:rsidR="00D75BE4" w:rsidRPr="00765073" w:rsidP="004A22F3" w14:paraId="53323FAC" w14:textId="0BF7A0A2">
            <w:pPr>
              <w:rPr>
                <w:iCs/>
                <w:sz w:val="20"/>
              </w:rPr>
            </w:pPr>
            <w:r w:rsidRPr="00765073">
              <w:rPr>
                <w:iCs/>
                <w:sz w:val="20"/>
              </w:rPr>
              <w:t>GS-12 Inspector</w:t>
            </w:r>
            <w:r w:rsidRPr="00765073" w:rsidR="00B24B40">
              <w:rPr>
                <w:iCs/>
                <w:sz w:val="20"/>
              </w:rPr>
              <w:t xml:space="preserve"> [b]</w:t>
            </w:r>
          </w:p>
        </w:tc>
        <w:tc>
          <w:tcPr>
            <w:tcW w:w="1350" w:type="dxa"/>
            <w:vAlign w:val="center"/>
          </w:tcPr>
          <w:p w:rsidR="00D75BE4" w:rsidRPr="00765073" w:rsidP="004A22F3" w14:paraId="49C18AF7" w14:textId="513E69CB">
            <w:pPr>
              <w:jc w:val="center"/>
              <w:rPr>
                <w:iCs/>
                <w:sz w:val="20"/>
              </w:rPr>
            </w:pPr>
            <w:r w:rsidRPr="00765073">
              <w:rPr>
                <w:iCs/>
                <w:sz w:val="20"/>
              </w:rPr>
              <w:t>1822</w:t>
            </w:r>
          </w:p>
        </w:tc>
        <w:tc>
          <w:tcPr>
            <w:tcW w:w="1260" w:type="dxa"/>
            <w:vAlign w:val="center"/>
          </w:tcPr>
          <w:p w:rsidR="00D75BE4" w:rsidRPr="00765073" w:rsidP="004A22F3" w14:paraId="20FD0BA3" w14:textId="533255F8">
            <w:pPr>
              <w:jc w:val="center"/>
              <w:rPr>
                <w:iCs/>
                <w:sz w:val="20"/>
              </w:rPr>
            </w:pPr>
            <w:r w:rsidRPr="00765073">
              <w:rPr>
                <w:iCs/>
                <w:sz w:val="20"/>
              </w:rPr>
              <w:t>$4</w:t>
            </w:r>
            <w:r w:rsidRPr="00765073" w:rsidR="00D70967">
              <w:rPr>
                <w:iCs/>
                <w:sz w:val="20"/>
              </w:rPr>
              <w:t>9.</w:t>
            </w:r>
            <w:r w:rsidRPr="00765073" w:rsidR="00294F2C">
              <w:rPr>
                <w:iCs/>
                <w:sz w:val="20"/>
              </w:rPr>
              <w:t>66</w:t>
            </w:r>
          </w:p>
        </w:tc>
        <w:tc>
          <w:tcPr>
            <w:tcW w:w="2070" w:type="dxa"/>
            <w:vAlign w:val="center"/>
          </w:tcPr>
          <w:p w:rsidR="00D75BE4" w:rsidRPr="00765073" w:rsidP="004A22F3" w14:paraId="26B420E4" w14:textId="54FD556F">
            <w:pPr>
              <w:jc w:val="center"/>
              <w:rPr>
                <w:iCs/>
                <w:sz w:val="20"/>
              </w:rPr>
            </w:pPr>
            <w:r w:rsidRPr="00765073">
              <w:rPr>
                <w:iCs/>
                <w:sz w:val="20"/>
              </w:rPr>
              <w:t>1.</w:t>
            </w:r>
            <w:r w:rsidRPr="00765073" w:rsidR="00C828A4">
              <w:rPr>
                <w:iCs/>
                <w:sz w:val="20"/>
              </w:rPr>
              <w:t>608</w:t>
            </w:r>
          </w:p>
        </w:tc>
        <w:tc>
          <w:tcPr>
            <w:tcW w:w="1800" w:type="dxa"/>
            <w:vAlign w:val="center"/>
          </w:tcPr>
          <w:p w:rsidR="00D75BE4" w:rsidRPr="00765073" w:rsidP="004A22F3" w14:paraId="675E98E7" w14:textId="144C0777">
            <w:pPr>
              <w:jc w:val="center"/>
              <w:rPr>
                <w:iCs/>
                <w:sz w:val="20"/>
              </w:rPr>
            </w:pPr>
            <w:r w:rsidRPr="00765073">
              <w:rPr>
                <w:iCs/>
                <w:sz w:val="20"/>
              </w:rPr>
              <w:t>$79.86</w:t>
            </w:r>
          </w:p>
        </w:tc>
      </w:tr>
    </w:tbl>
    <w:p w:rsidR="00BC2CDC" w:rsidRPr="00765073" w:rsidP="004A22F3" w14:paraId="7020BEF5" w14:textId="568DF8BE">
      <w:pPr>
        <w:rPr>
          <w:color w:val="000000"/>
          <w:sz w:val="20"/>
          <w:szCs w:val="20"/>
        </w:rPr>
      </w:pPr>
      <w:r w:rsidRPr="00765073">
        <w:rPr>
          <w:color w:val="000000"/>
          <w:sz w:val="20"/>
          <w:szCs w:val="20"/>
        </w:rPr>
        <w:t>Note</w:t>
      </w:r>
      <w:r w:rsidRPr="00765073" w:rsidR="00130FC7">
        <w:rPr>
          <w:color w:val="000000"/>
          <w:sz w:val="20"/>
          <w:szCs w:val="20"/>
        </w:rPr>
        <w:t>s</w:t>
      </w:r>
      <w:r w:rsidRPr="00765073">
        <w:rPr>
          <w:color w:val="000000"/>
          <w:sz w:val="20"/>
          <w:szCs w:val="20"/>
        </w:rPr>
        <w:t xml:space="preserve">: Hourly wage rates </w:t>
      </w:r>
      <w:r w:rsidRPr="00765073" w:rsidR="008125AC">
        <w:rPr>
          <w:color w:val="000000"/>
          <w:sz w:val="20"/>
          <w:szCs w:val="20"/>
        </w:rPr>
        <w:t xml:space="preserve">are </w:t>
      </w:r>
      <w:r w:rsidRPr="00765073">
        <w:rPr>
          <w:color w:val="000000"/>
          <w:sz w:val="20"/>
          <w:szCs w:val="20"/>
        </w:rPr>
        <w:t>developed from Office of Personnel Management September 202</w:t>
      </w:r>
      <w:r w:rsidRPr="00765073" w:rsidR="00E67EA6">
        <w:rPr>
          <w:color w:val="000000"/>
          <w:sz w:val="20"/>
          <w:szCs w:val="20"/>
        </w:rPr>
        <w:t>4</w:t>
      </w:r>
      <w:r w:rsidRPr="00765073">
        <w:rPr>
          <w:color w:val="000000"/>
          <w:sz w:val="20"/>
          <w:szCs w:val="20"/>
        </w:rPr>
        <w:t xml:space="preserve"> FedScope Employment Cube, </w:t>
      </w:r>
      <w:hyperlink r:id="rId6" w:history="1">
        <w:r w:rsidRPr="00765073">
          <w:rPr>
            <w:color w:val="0000FF"/>
            <w:sz w:val="20"/>
            <w:szCs w:val="20"/>
            <w:u w:val="single"/>
          </w:rPr>
          <w:t>http://www.fedscope.opm.gov/</w:t>
        </w:r>
      </w:hyperlink>
      <w:r w:rsidRPr="00765073">
        <w:rPr>
          <w:color w:val="000000"/>
          <w:sz w:val="20"/>
          <w:szCs w:val="20"/>
        </w:rPr>
        <w:t xml:space="preserve">. </w:t>
      </w:r>
    </w:p>
    <w:p w:rsidR="00B94D82" w:rsidRPr="00765073" w:rsidP="004A22F3" w14:paraId="6BAFD197" w14:textId="48D7A564">
      <w:pPr>
        <w:rPr>
          <w:color w:val="000000"/>
          <w:sz w:val="20"/>
          <w:szCs w:val="20"/>
        </w:rPr>
      </w:pPr>
      <w:bookmarkStart w:id="46" w:name="_Hlk167360775"/>
      <w:r w:rsidRPr="00765073">
        <w:rPr>
          <w:color w:val="000000"/>
          <w:sz w:val="20"/>
          <w:szCs w:val="20"/>
        </w:rPr>
        <w:t xml:space="preserve">[a] </w:t>
      </w:r>
      <w:r w:rsidRPr="00765073">
        <w:rPr>
          <w:color w:val="000000"/>
          <w:sz w:val="20"/>
          <w:szCs w:val="20"/>
        </w:rPr>
        <w:t>Benefit and overhead multiplier = 1 + (MSHA personnel benefits</w:t>
      </w:r>
      <w:r w:rsidRPr="00765073" w:rsidR="00D70967">
        <w:rPr>
          <w:color w:val="000000"/>
          <w:sz w:val="20"/>
          <w:szCs w:val="20"/>
        </w:rPr>
        <w:t xml:space="preserve"> </w:t>
      </w:r>
      <w:r w:rsidRPr="00765073" w:rsidR="00AC7A6E">
        <w:rPr>
          <w:color w:val="000000"/>
          <w:sz w:val="20"/>
          <w:szCs w:val="20"/>
        </w:rPr>
        <w:t>+ Federal Employees' Compensation Act</w:t>
      </w:r>
      <w:r w:rsidRPr="00765073" w:rsidR="00D70967">
        <w:rPr>
          <w:color w:val="000000"/>
          <w:sz w:val="20"/>
          <w:szCs w:val="20"/>
        </w:rPr>
        <w:t xml:space="preserve"> </w:t>
      </w:r>
      <w:r w:rsidRPr="00765073" w:rsidR="00AC7A6E">
        <w:rPr>
          <w:color w:val="000000"/>
          <w:sz w:val="20"/>
          <w:szCs w:val="20"/>
        </w:rPr>
        <w:t>+</w:t>
      </w:r>
      <w:r w:rsidRPr="00765073" w:rsidR="00D70967">
        <w:rPr>
          <w:color w:val="000000"/>
          <w:sz w:val="20"/>
          <w:szCs w:val="20"/>
        </w:rPr>
        <w:t xml:space="preserve"> </w:t>
      </w:r>
      <w:r w:rsidRPr="00765073" w:rsidR="00AC7A6E">
        <w:rPr>
          <w:color w:val="000000"/>
          <w:sz w:val="20"/>
          <w:szCs w:val="20"/>
        </w:rPr>
        <w:t>benefits for former personnel</w:t>
      </w:r>
      <w:r w:rsidRPr="00765073" w:rsidR="00D70967">
        <w:rPr>
          <w:color w:val="000000"/>
          <w:sz w:val="20"/>
          <w:szCs w:val="20"/>
        </w:rPr>
        <w:t xml:space="preserve"> </w:t>
      </w:r>
      <w:r w:rsidRPr="00765073" w:rsidR="00AC7A6E">
        <w:rPr>
          <w:color w:val="000000"/>
          <w:sz w:val="20"/>
          <w:szCs w:val="20"/>
        </w:rPr>
        <w:t>+</w:t>
      </w:r>
      <w:r w:rsidRPr="00765073">
        <w:rPr>
          <w:color w:val="000000"/>
          <w:sz w:val="20"/>
          <w:szCs w:val="20"/>
        </w:rPr>
        <w:t xml:space="preserve"> travel</w:t>
      </w:r>
      <w:r w:rsidRPr="00765073" w:rsidR="005A0BDD">
        <w:rPr>
          <w:color w:val="000000"/>
          <w:sz w:val="20"/>
          <w:szCs w:val="20"/>
        </w:rPr>
        <w:t xml:space="preserve"> </w:t>
      </w:r>
      <w:bookmarkStart w:id="47" w:name="_Hlk172027222"/>
      <w:r w:rsidRPr="00765073" w:rsidR="005A0BDD">
        <w:rPr>
          <w:color w:val="000000"/>
          <w:sz w:val="20"/>
          <w:szCs w:val="20"/>
        </w:rPr>
        <w:t>and</w:t>
      </w:r>
      <w:r w:rsidRPr="00765073">
        <w:rPr>
          <w:color w:val="000000"/>
          <w:sz w:val="20"/>
          <w:szCs w:val="20"/>
        </w:rPr>
        <w:t xml:space="preserve"> </w:t>
      </w:r>
      <w:r w:rsidRPr="00765073" w:rsidR="005A0BDD">
        <w:rPr>
          <w:color w:val="000000"/>
          <w:sz w:val="20"/>
          <w:szCs w:val="20"/>
        </w:rPr>
        <w:t>transportation</w:t>
      </w:r>
      <w:bookmarkEnd w:id="47"/>
      <w:r w:rsidRPr="00765073" w:rsidR="00AC7A6E">
        <w:rPr>
          <w:color w:val="000000"/>
          <w:sz w:val="20"/>
          <w:szCs w:val="20"/>
        </w:rPr>
        <w:t xml:space="preserve"> (persons and things)</w:t>
      </w:r>
      <w:r w:rsidRPr="00765073" w:rsidR="00D70967">
        <w:rPr>
          <w:color w:val="000000"/>
          <w:sz w:val="20"/>
          <w:szCs w:val="20"/>
        </w:rPr>
        <w:t xml:space="preserve"> </w:t>
      </w:r>
      <w:r w:rsidRPr="00765073" w:rsidR="00AC7A6E">
        <w:rPr>
          <w:color w:val="000000"/>
          <w:sz w:val="20"/>
          <w:szCs w:val="20"/>
        </w:rPr>
        <w:t xml:space="preserve">+ </w:t>
      </w:r>
      <w:r w:rsidRPr="00765073" w:rsidR="00D70967">
        <w:rPr>
          <w:color w:val="000000"/>
          <w:sz w:val="20"/>
          <w:szCs w:val="20"/>
        </w:rPr>
        <w:t>r</w:t>
      </w:r>
      <w:r w:rsidRPr="00765073" w:rsidR="00AC7A6E">
        <w:rPr>
          <w:color w:val="000000"/>
          <w:sz w:val="20"/>
          <w:szCs w:val="20"/>
        </w:rPr>
        <w:t xml:space="preserve">ental </w:t>
      </w:r>
      <w:r w:rsidRPr="00765073" w:rsidR="00D70967">
        <w:rPr>
          <w:color w:val="000000"/>
          <w:sz w:val="20"/>
          <w:szCs w:val="20"/>
        </w:rPr>
        <w:t>p</w:t>
      </w:r>
      <w:r w:rsidRPr="00765073" w:rsidR="00AC7A6E">
        <w:rPr>
          <w:color w:val="000000"/>
          <w:sz w:val="20"/>
          <w:szCs w:val="20"/>
        </w:rPr>
        <w:t>ayments (GSA and others)</w:t>
      </w:r>
      <w:r w:rsidRPr="00765073" w:rsidR="00D70967">
        <w:rPr>
          <w:color w:val="000000"/>
          <w:sz w:val="20"/>
          <w:szCs w:val="20"/>
        </w:rPr>
        <w:t>)</w:t>
      </w:r>
      <w:r w:rsidRPr="00765073" w:rsidR="00E16933">
        <w:rPr>
          <w:color w:val="000000"/>
          <w:sz w:val="20"/>
          <w:szCs w:val="20"/>
        </w:rPr>
        <w:t>/</w:t>
      </w:r>
      <w:r w:rsidRPr="00765073">
        <w:rPr>
          <w:color w:val="000000"/>
          <w:sz w:val="20"/>
          <w:szCs w:val="20"/>
        </w:rPr>
        <w:t xml:space="preserve"> </w:t>
      </w:r>
      <w:r w:rsidRPr="00765073" w:rsidR="00D70967">
        <w:rPr>
          <w:color w:val="000000"/>
          <w:sz w:val="20"/>
          <w:szCs w:val="20"/>
        </w:rPr>
        <w:t>costs of pay adjustments</w:t>
      </w:r>
      <w:bookmarkStart w:id="48" w:name="_Hlk172027172"/>
      <w:r w:rsidRPr="00765073">
        <w:rPr>
          <w:color w:val="000000"/>
          <w:sz w:val="20"/>
          <w:szCs w:val="20"/>
        </w:rPr>
        <w:t xml:space="preserve">, </w:t>
      </w:r>
      <w:r w:rsidRPr="00765073" w:rsidR="00D37B4C">
        <w:rPr>
          <w:color w:val="000000"/>
          <w:sz w:val="20"/>
          <w:szCs w:val="20"/>
        </w:rPr>
        <w:t xml:space="preserve">based on </w:t>
      </w:r>
      <w:r w:rsidRPr="00765073">
        <w:rPr>
          <w:color w:val="000000"/>
          <w:sz w:val="20"/>
          <w:szCs w:val="20"/>
        </w:rPr>
        <w:t>FY202</w:t>
      </w:r>
      <w:r w:rsidRPr="00765073" w:rsidR="00D37B4C">
        <w:rPr>
          <w:color w:val="000000"/>
          <w:sz w:val="20"/>
          <w:szCs w:val="20"/>
        </w:rPr>
        <w:t>5</w:t>
      </w:r>
      <w:r w:rsidRPr="00765073">
        <w:rPr>
          <w:color w:val="000000"/>
          <w:sz w:val="20"/>
          <w:szCs w:val="20"/>
        </w:rPr>
        <w:t xml:space="preserve"> Revised Enacted Budget: </w:t>
      </w:r>
      <w:hyperlink r:id="rId7" w:history="1">
        <w:r w:rsidRPr="00765073" w:rsidR="00D37B4C">
          <w:rPr>
            <w:rStyle w:val="Hyperlink"/>
            <w:sz w:val="20"/>
            <w:szCs w:val="20"/>
          </w:rPr>
          <w:t>https://www.dol.gov/sites/dolgov/files/general/budget/2026/CBJ-2026-V2-13.pdf</w:t>
        </w:r>
      </w:hyperlink>
      <w:r w:rsidRPr="00765073">
        <w:rPr>
          <w:color w:val="000000"/>
          <w:sz w:val="20"/>
          <w:szCs w:val="20"/>
        </w:rPr>
        <w:t>)</w:t>
      </w:r>
      <w:bookmarkEnd w:id="48"/>
      <w:r w:rsidRPr="00765073">
        <w:rPr>
          <w:color w:val="000000"/>
          <w:sz w:val="20"/>
          <w:szCs w:val="20"/>
        </w:rPr>
        <w:t>.</w:t>
      </w:r>
      <w:r w:rsidRPr="00765073" w:rsidR="00D37B4C">
        <w:rPr>
          <w:color w:val="000000"/>
          <w:sz w:val="20"/>
          <w:szCs w:val="20"/>
        </w:rPr>
        <w:t xml:space="preserve"> Benefit and overhead multiplier </w:t>
      </w:r>
      <w:r w:rsidRPr="00765073" w:rsidR="00E272E9">
        <w:rPr>
          <w:color w:val="000000"/>
          <w:sz w:val="20"/>
          <w:szCs w:val="20"/>
        </w:rPr>
        <w:t>= (</w:t>
      </w:r>
      <w:r w:rsidRPr="00765073" w:rsidR="00D37B4C">
        <w:rPr>
          <w:color w:val="000000"/>
          <w:sz w:val="20"/>
          <w:szCs w:val="20"/>
        </w:rPr>
        <w:t>1</w:t>
      </w:r>
      <w:r w:rsidRPr="00765073" w:rsidR="00E272E9">
        <w:rPr>
          <w:color w:val="000000"/>
          <w:sz w:val="20"/>
          <w:szCs w:val="20"/>
        </w:rPr>
        <w:t>+ (</w:t>
      </w:r>
      <w:r w:rsidRPr="00765073" w:rsidR="00D37B4C">
        <w:rPr>
          <w:color w:val="000000"/>
          <w:sz w:val="20"/>
          <w:szCs w:val="20"/>
        </w:rPr>
        <w:t>68,765+6,880+16+10,007+7,000 +15,719+126) / 178,514) = 1.608.</w:t>
      </w:r>
    </w:p>
    <w:p w:rsidR="00FD26C5" w:rsidRPr="00765073" w:rsidP="004A22F3" w14:paraId="00A43573" w14:textId="229CB156">
      <w:pPr>
        <w:rPr>
          <w:color w:val="000000"/>
          <w:sz w:val="20"/>
          <w:szCs w:val="20"/>
        </w:rPr>
      </w:pPr>
      <w:r w:rsidRPr="00765073">
        <w:rPr>
          <w:color w:val="000000"/>
          <w:sz w:val="20"/>
          <w:szCs w:val="20"/>
        </w:rPr>
        <w:t xml:space="preserve">[b] </w:t>
      </w:r>
      <w:r w:rsidRPr="00765073">
        <w:rPr>
          <w:color w:val="000000"/>
          <w:sz w:val="20"/>
          <w:szCs w:val="20"/>
        </w:rPr>
        <w:t xml:space="preserve">Data search qualifiers </w:t>
      </w:r>
      <w:r w:rsidRPr="00765073" w:rsidR="00E16933">
        <w:rPr>
          <w:color w:val="000000"/>
          <w:sz w:val="20"/>
          <w:szCs w:val="20"/>
        </w:rPr>
        <w:t>a</w:t>
      </w:r>
      <w:r w:rsidRPr="00765073">
        <w:rPr>
          <w:color w:val="000000"/>
          <w:sz w:val="20"/>
          <w:szCs w:val="20"/>
        </w:rPr>
        <w:t>re: Agency = DLMS, Occupation = 1822 (Mine Safety and Health Inspection), Work Schedule = Full-Time, Salary Grade = GS-12, Measure = Average Salary. The hourly wage is the annual salary divided by 2,087. In order to include the cost of benefits and overhead, MSHA multiplie</w:t>
      </w:r>
      <w:r w:rsidRPr="00765073" w:rsidR="00E16933">
        <w:rPr>
          <w:color w:val="000000"/>
          <w:sz w:val="20"/>
          <w:szCs w:val="20"/>
        </w:rPr>
        <w:t>s</w:t>
      </w:r>
      <w:r w:rsidRPr="00765073">
        <w:rPr>
          <w:color w:val="000000"/>
          <w:sz w:val="20"/>
          <w:szCs w:val="20"/>
        </w:rPr>
        <w:t xml:space="preserve"> the average annual salary by a </w:t>
      </w:r>
      <w:r w:rsidRPr="00765073" w:rsidR="00725CCD">
        <w:rPr>
          <w:color w:val="000000"/>
          <w:sz w:val="20"/>
          <w:szCs w:val="20"/>
        </w:rPr>
        <w:t>F</w:t>
      </w:r>
      <w:r w:rsidRPr="00765073">
        <w:rPr>
          <w:color w:val="000000"/>
          <w:sz w:val="20"/>
          <w:szCs w:val="20"/>
        </w:rPr>
        <w:t>ederal benefit and overhead multiplier for MSHA of 1.</w:t>
      </w:r>
      <w:r w:rsidRPr="00765073" w:rsidR="00C828A4">
        <w:rPr>
          <w:color w:val="000000"/>
          <w:sz w:val="20"/>
          <w:szCs w:val="20"/>
        </w:rPr>
        <w:t>608</w:t>
      </w:r>
      <w:r w:rsidRPr="00765073">
        <w:rPr>
          <w:color w:val="000000"/>
          <w:sz w:val="20"/>
          <w:szCs w:val="20"/>
        </w:rPr>
        <w:t xml:space="preserve">. </w:t>
      </w:r>
      <w:r w:rsidRPr="00765073" w:rsidR="008125AC">
        <w:rPr>
          <w:color w:val="000000"/>
          <w:sz w:val="20"/>
          <w:szCs w:val="20"/>
        </w:rPr>
        <w:t>Loaded hourly rate is</w:t>
      </w:r>
      <w:r w:rsidRPr="00765073">
        <w:rPr>
          <w:color w:val="000000"/>
          <w:sz w:val="20"/>
          <w:szCs w:val="20"/>
        </w:rPr>
        <w:t xml:space="preserve"> $</w:t>
      </w:r>
      <w:r w:rsidRPr="005366CD" w:rsidR="004823B3">
        <w:rPr>
          <w:color w:val="000000"/>
          <w:sz w:val="20"/>
          <w:szCs w:val="20"/>
        </w:rPr>
        <w:t>7</w:t>
      </w:r>
      <w:r w:rsidRPr="005366CD" w:rsidR="00C828A4">
        <w:rPr>
          <w:color w:val="000000"/>
          <w:sz w:val="20"/>
          <w:szCs w:val="20"/>
        </w:rPr>
        <w:t>9.86</w:t>
      </w:r>
      <w:r w:rsidRPr="005366CD">
        <w:rPr>
          <w:color w:val="000000"/>
          <w:sz w:val="20"/>
          <w:szCs w:val="20"/>
        </w:rPr>
        <w:t xml:space="preserve"> </w:t>
      </w:r>
      <w:r w:rsidRPr="00E272E9" w:rsidR="00E272E9">
        <w:rPr>
          <w:color w:val="000000"/>
          <w:sz w:val="20"/>
          <w:szCs w:val="20"/>
        </w:rPr>
        <w:t>= (</w:t>
      </w:r>
      <w:r w:rsidRPr="005366CD">
        <w:rPr>
          <w:color w:val="000000"/>
          <w:sz w:val="20"/>
          <w:szCs w:val="20"/>
        </w:rPr>
        <w:t>$</w:t>
      </w:r>
      <w:r w:rsidRPr="005366CD" w:rsidR="009C0402">
        <w:rPr>
          <w:color w:val="000000"/>
          <w:sz w:val="20"/>
          <w:szCs w:val="20"/>
        </w:rPr>
        <w:t>103,644</w:t>
      </w:r>
      <w:r w:rsidRPr="00765073">
        <w:rPr>
          <w:color w:val="000000"/>
          <w:sz w:val="20"/>
          <w:szCs w:val="20"/>
        </w:rPr>
        <w:t>/ 2,087</w:t>
      </w:r>
      <w:r w:rsidRPr="00765073" w:rsidR="00404CA4">
        <w:rPr>
          <w:color w:val="000000"/>
          <w:sz w:val="20"/>
          <w:szCs w:val="20"/>
        </w:rPr>
        <w:t>)</w:t>
      </w:r>
      <w:r w:rsidRPr="00765073">
        <w:rPr>
          <w:color w:val="000000"/>
          <w:sz w:val="20"/>
          <w:szCs w:val="20"/>
        </w:rPr>
        <w:t xml:space="preserve"> x 1.</w:t>
      </w:r>
      <w:r w:rsidRPr="00765073" w:rsidR="00C828A4">
        <w:rPr>
          <w:color w:val="000000"/>
          <w:sz w:val="20"/>
          <w:szCs w:val="20"/>
        </w:rPr>
        <w:t>608</w:t>
      </w:r>
      <w:r w:rsidRPr="00765073">
        <w:rPr>
          <w:color w:val="000000"/>
          <w:sz w:val="20"/>
          <w:szCs w:val="20"/>
        </w:rPr>
        <w:t>).</w:t>
      </w:r>
    </w:p>
    <w:bookmarkEnd w:id="45"/>
    <w:bookmarkEnd w:id="46"/>
    <w:p w:rsidR="009A5D1D" w:rsidRPr="00765073" w:rsidP="004A22F3" w14:paraId="3EFD0CCB" w14:textId="77777777">
      <w:pPr>
        <w:rPr>
          <w:color w:val="000000"/>
          <w:sz w:val="18"/>
          <w:szCs w:val="18"/>
        </w:rPr>
      </w:pPr>
    </w:p>
    <w:p w:rsidR="00052BD8" w:rsidRPr="00765073" w:rsidP="005366CD" w14:paraId="5E374D3A" w14:textId="1BBC36DA">
      <w:pPr>
        <w:pStyle w:val="ListParagraph"/>
        <w:numPr>
          <w:ilvl w:val="0"/>
          <w:numId w:val="16"/>
        </w:numPr>
        <w:spacing w:after="0" w:line="240" w:lineRule="auto"/>
        <w:rPr>
          <w:b/>
          <w:color w:val="000000"/>
        </w:rPr>
      </w:pPr>
      <w:r>
        <w:rPr>
          <w:b/>
          <w:color w:val="000000"/>
        </w:rPr>
        <w:t>Review</w:t>
      </w:r>
      <w:r w:rsidR="00A21CF8">
        <w:rPr>
          <w:b/>
          <w:color w:val="000000"/>
        </w:rPr>
        <w:t>ing and Approving</w:t>
      </w:r>
      <w:r>
        <w:rPr>
          <w:b/>
          <w:color w:val="000000"/>
        </w:rPr>
        <w:t xml:space="preserve"> Slope and Shaft Plans</w:t>
      </w:r>
    </w:p>
    <w:p w:rsidR="00765073" w:rsidRPr="005366CD" w:rsidP="00EF1F76" w14:paraId="2817E21B" w14:textId="77777777"/>
    <w:p w:rsidR="00765073" w:rsidP="00EF1F76" w14:paraId="6A9187BB" w14:textId="15A78358">
      <w:r>
        <w:t xml:space="preserve">Under 30 CFR 77.1900, MSHA </w:t>
      </w:r>
      <w:r w:rsidR="007420EB">
        <w:t>must</w:t>
      </w:r>
      <w:r>
        <w:t xml:space="preserve"> review slope and shaft plans submitted by mine operators. </w:t>
      </w:r>
      <w:r w:rsidRPr="005E1F20" w:rsidR="00153BB8">
        <w:t xml:space="preserve">MSHA </w:t>
      </w:r>
      <w:r w:rsidR="007420EB">
        <w:t xml:space="preserve">will review all 50 plans submitted each year and </w:t>
      </w:r>
      <w:r w:rsidRPr="005E1F20" w:rsidR="00153BB8">
        <w:t xml:space="preserve">estimates </w:t>
      </w:r>
      <w:r w:rsidR="00153BB8">
        <w:t xml:space="preserve">that it takes </w:t>
      </w:r>
      <w:r w:rsidRPr="005E1F20" w:rsidR="00153BB8">
        <w:t>a GS-12</w:t>
      </w:r>
      <w:r w:rsidR="00153BB8">
        <w:t xml:space="preserve"> inspector,</w:t>
      </w:r>
      <w:r w:rsidRPr="005E1F20" w:rsidR="00153BB8">
        <w:t xml:space="preserve"> earning </w:t>
      </w:r>
      <w:r w:rsidRPr="005E1F20" w:rsidR="00153BB8">
        <w:rPr>
          <w:bCs/>
        </w:rPr>
        <w:t>$</w:t>
      </w:r>
      <w:r w:rsidR="00153BB8">
        <w:rPr>
          <w:bCs/>
        </w:rPr>
        <w:t>79.86</w:t>
      </w:r>
      <w:r w:rsidRPr="005E1F20" w:rsidR="00153BB8">
        <w:rPr>
          <w:bCs/>
        </w:rPr>
        <w:t xml:space="preserve"> </w:t>
      </w:r>
      <w:r w:rsidRPr="005E1F20" w:rsidR="00153BB8">
        <w:t>per hour</w:t>
      </w:r>
      <w:r w:rsidR="00AA511A">
        <w:t>,</w:t>
      </w:r>
      <w:r w:rsidR="00502237">
        <w:t xml:space="preserve"> </w:t>
      </w:r>
      <w:r w:rsidRPr="00CF1896">
        <w:t>15 hours to review and approve</w:t>
      </w:r>
      <w:r w:rsidR="00AA511A">
        <w:t xml:space="preserve"> a plan</w:t>
      </w:r>
      <w:r w:rsidRPr="00CF1896">
        <w:t xml:space="preserve">.  </w:t>
      </w:r>
    </w:p>
    <w:p w:rsidR="00765073" w:rsidRPr="005366CD" w:rsidP="00EF1F76" w14:paraId="3017AC54" w14:textId="77777777"/>
    <w:p w:rsidR="00D22375" w:rsidRPr="00765073" w:rsidP="004A22F3" w14:paraId="700A7EA9" w14:textId="569FDC3B">
      <w:pPr>
        <w:rPr>
          <w:b/>
          <w:color w:val="000000"/>
        </w:rPr>
      </w:pPr>
      <w:bookmarkStart w:id="49" w:name="_Hlk192769455"/>
      <w:r w:rsidRPr="00765073">
        <w:rPr>
          <w:b/>
          <w:color w:val="000000"/>
        </w:rPr>
        <w:t>Table 14-2</w:t>
      </w:r>
      <w:r w:rsidRPr="00765073" w:rsidR="00D73216">
        <w:rPr>
          <w:b/>
          <w:color w:val="000000"/>
        </w:rPr>
        <w:t>.</w:t>
      </w:r>
      <w:r w:rsidRPr="00765073">
        <w:rPr>
          <w:b/>
          <w:color w:val="000000"/>
        </w:rPr>
        <w:t xml:space="preserve"> Estimated Federal Hour and Cost Burden, </w:t>
      </w:r>
      <w:r w:rsidRPr="00765073" w:rsidR="00EF1F76">
        <w:rPr>
          <w:b/>
          <w:color w:val="000000"/>
        </w:rPr>
        <w:t>Review</w:t>
      </w:r>
      <w:r w:rsidR="00A21CF8">
        <w:rPr>
          <w:b/>
          <w:color w:val="000000"/>
        </w:rPr>
        <w:t>ing and Approving</w:t>
      </w:r>
      <w:r w:rsidRPr="00765073" w:rsidR="00EF1F76">
        <w:rPr>
          <w:b/>
          <w:color w:val="000000"/>
        </w:rPr>
        <w:t xml:space="preserve"> Slope and Shaft Plans</w:t>
      </w:r>
      <w:r w:rsidRPr="00765073" w:rsidR="009F2ECF">
        <w:rPr>
          <w:b/>
          <w:color w:val="000000"/>
        </w:rPr>
        <w:t xml:space="preserve"> (30 CFR </w:t>
      </w:r>
      <w:r w:rsidRPr="00765073" w:rsidR="00EF1F76">
        <w:rPr>
          <w:b/>
          <w:color w:val="000000"/>
        </w:rPr>
        <w:t>77.1900</w:t>
      </w:r>
      <w:r w:rsidRPr="00765073" w:rsidR="009F2ECF">
        <w:rPr>
          <w:b/>
          <w:color w:val="000000"/>
        </w:rPr>
        <w:t>)</w:t>
      </w:r>
    </w:p>
    <w:tbl>
      <w:tblPr>
        <w:tblStyle w:val="TableGrid"/>
        <w:tblW w:w="9245" w:type="dxa"/>
        <w:tblInd w:w="-5" w:type="dxa"/>
        <w:tblLayout w:type="fixed"/>
        <w:tblLook w:val="04A0"/>
      </w:tblPr>
      <w:tblGrid>
        <w:gridCol w:w="2610"/>
        <w:gridCol w:w="1350"/>
        <w:gridCol w:w="1440"/>
        <w:gridCol w:w="1253"/>
        <w:gridCol w:w="1178"/>
        <w:gridCol w:w="1414"/>
      </w:tblGrid>
      <w:tr w14:paraId="3FC83096" w14:textId="77777777" w:rsidTr="0003653B">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E807A0" w:rsidRPr="00765073" w:rsidP="004A22F3" w14:paraId="5F9D18D4" w14:textId="4F003E94">
            <w:pPr>
              <w:widowControl/>
              <w:autoSpaceDE/>
              <w:autoSpaceDN/>
              <w:adjustRightInd/>
              <w:rPr>
                <w:color w:val="000000"/>
                <w:sz w:val="20"/>
                <w:szCs w:val="20"/>
              </w:rPr>
            </w:pPr>
            <w:bookmarkStart w:id="50" w:name="_Hlk115692850"/>
            <w:r w:rsidRPr="00765073">
              <w:rPr>
                <w:color w:val="000000"/>
                <w:sz w:val="20"/>
                <w:szCs w:val="20"/>
              </w:rPr>
              <w:t>Federal Occupation</w:t>
            </w:r>
          </w:p>
        </w:tc>
        <w:tc>
          <w:tcPr>
            <w:tcW w:w="1350" w:type="dxa"/>
            <w:shd w:val="clear" w:color="auto" w:fill="8EAADB" w:themeFill="accent1" w:themeFillTint="99"/>
            <w:vAlign w:val="center"/>
            <w:hideMark/>
          </w:tcPr>
          <w:p w:rsidR="00E807A0" w:rsidRPr="00765073" w:rsidP="004A22F3" w14:paraId="28CE77D3" w14:textId="165967B5">
            <w:pPr>
              <w:widowControl/>
              <w:autoSpaceDE/>
              <w:autoSpaceDN/>
              <w:adjustRightInd/>
              <w:jc w:val="center"/>
              <w:rPr>
                <w:rFonts w:eastAsia="Calibri"/>
                <w:sz w:val="20"/>
                <w:szCs w:val="20"/>
              </w:rPr>
            </w:pPr>
            <w:r w:rsidRPr="00765073">
              <w:rPr>
                <w:color w:val="000000"/>
                <w:sz w:val="20"/>
                <w:szCs w:val="20"/>
              </w:rPr>
              <w:t>Number of Responses (</w:t>
            </w:r>
            <w:r w:rsidR="00292484">
              <w:rPr>
                <w:color w:val="000000"/>
                <w:sz w:val="20"/>
                <w:szCs w:val="20"/>
              </w:rPr>
              <w:t>Plans Reviewed</w:t>
            </w:r>
            <w:r w:rsidRPr="00765073">
              <w:rPr>
                <w:color w:val="000000"/>
                <w:sz w:val="20"/>
                <w:szCs w:val="20"/>
              </w:rPr>
              <w:t>)</w:t>
            </w:r>
          </w:p>
        </w:tc>
        <w:tc>
          <w:tcPr>
            <w:tcW w:w="1440" w:type="dxa"/>
            <w:shd w:val="clear" w:color="auto" w:fill="8EAADB" w:themeFill="accent1" w:themeFillTint="99"/>
            <w:vAlign w:val="center"/>
          </w:tcPr>
          <w:p w:rsidR="00E807A0" w:rsidRPr="00765073" w:rsidP="004A22F3" w14:paraId="13D7A854" w14:textId="63C32418">
            <w:pPr>
              <w:widowControl/>
              <w:autoSpaceDE/>
              <w:autoSpaceDN/>
              <w:adjustRightInd/>
              <w:jc w:val="center"/>
              <w:rPr>
                <w:rFonts w:eastAsia="Calibri"/>
                <w:sz w:val="20"/>
                <w:szCs w:val="20"/>
              </w:rPr>
            </w:pPr>
            <w:r w:rsidRPr="00765073">
              <w:rPr>
                <w:color w:val="000000"/>
                <w:sz w:val="20"/>
                <w:szCs w:val="20"/>
              </w:rPr>
              <w:t>Average Burden (Hours)</w:t>
            </w:r>
          </w:p>
        </w:tc>
        <w:tc>
          <w:tcPr>
            <w:tcW w:w="1253" w:type="dxa"/>
            <w:shd w:val="clear" w:color="auto" w:fill="8EAADB" w:themeFill="accent1" w:themeFillTint="99"/>
            <w:vAlign w:val="center"/>
            <w:hideMark/>
          </w:tcPr>
          <w:p w:rsidR="00E807A0" w:rsidRPr="00765073" w:rsidP="004A22F3" w14:paraId="53616DB7" w14:textId="7A1D9F7E">
            <w:pPr>
              <w:widowControl/>
              <w:autoSpaceDE/>
              <w:autoSpaceDN/>
              <w:adjustRightInd/>
              <w:jc w:val="center"/>
              <w:rPr>
                <w:rFonts w:eastAsia="Calibri"/>
                <w:sz w:val="20"/>
                <w:szCs w:val="20"/>
              </w:rPr>
            </w:pPr>
            <w:r w:rsidRPr="00765073">
              <w:rPr>
                <w:color w:val="000000"/>
                <w:sz w:val="20"/>
                <w:szCs w:val="20"/>
              </w:rPr>
              <w:t>Total Burden (Hours)</w:t>
            </w:r>
          </w:p>
        </w:tc>
        <w:tc>
          <w:tcPr>
            <w:tcW w:w="1178" w:type="dxa"/>
            <w:shd w:val="clear" w:color="auto" w:fill="8EAADB" w:themeFill="accent1" w:themeFillTint="99"/>
            <w:vAlign w:val="center"/>
            <w:hideMark/>
          </w:tcPr>
          <w:p w:rsidR="00E807A0" w:rsidRPr="00765073" w:rsidP="004A22F3" w14:paraId="5BBADF18" w14:textId="0249F3BC">
            <w:pPr>
              <w:widowControl/>
              <w:autoSpaceDE/>
              <w:autoSpaceDN/>
              <w:adjustRightInd/>
              <w:jc w:val="center"/>
              <w:rPr>
                <w:rFonts w:eastAsia="Calibri"/>
                <w:sz w:val="20"/>
                <w:szCs w:val="20"/>
              </w:rPr>
            </w:pPr>
            <w:r w:rsidRPr="00765073">
              <w:rPr>
                <w:color w:val="000000"/>
                <w:sz w:val="20"/>
                <w:szCs w:val="20"/>
              </w:rPr>
              <w:t>Hourly Wage Rate</w:t>
            </w:r>
          </w:p>
        </w:tc>
        <w:tc>
          <w:tcPr>
            <w:tcW w:w="1414" w:type="dxa"/>
            <w:shd w:val="clear" w:color="auto" w:fill="8EAADB" w:themeFill="accent1" w:themeFillTint="99"/>
            <w:vAlign w:val="center"/>
            <w:hideMark/>
          </w:tcPr>
          <w:p w:rsidR="00E807A0" w:rsidRPr="00765073" w:rsidP="004A22F3" w14:paraId="2B0D7EDA" w14:textId="6EC35D94">
            <w:pPr>
              <w:widowControl/>
              <w:autoSpaceDE/>
              <w:autoSpaceDN/>
              <w:adjustRightInd/>
              <w:jc w:val="center"/>
              <w:rPr>
                <w:rFonts w:eastAsia="Calibri"/>
                <w:sz w:val="20"/>
                <w:szCs w:val="20"/>
              </w:rPr>
            </w:pPr>
            <w:r w:rsidRPr="00765073">
              <w:rPr>
                <w:color w:val="000000"/>
                <w:sz w:val="20"/>
                <w:szCs w:val="20"/>
              </w:rPr>
              <w:t>Total Burden Cost</w:t>
            </w:r>
          </w:p>
        </w:tc>
      </w:tr>
      <w:tr w14:paraId="7B4A0381" w14:textId="77777777" w:rsidTr="0003653B">
        <w:tblPrEx>
          <w:tblW w:w="9245" w:type="dxa"/>
          <w:tblInd w:w="-5" w:type="dxa"/>
          <w:tblLayout w:type="fixed"/>
          <w:tblLook w:val="04A0"/>
        </w:tblPrEx>
        <w:trPr>
          <w:trHeight w:val="372"/>
        </w:trPr>
        <w:tc>
          <w:tcPr>
            <w:tcW w:w="2610" w:type="dxa"/>
            <w:noWrap/>
            <w:vAlign w:val="center"/>
          </w:tcPr>
          <w:p w:rsidR="00EA3BBD" w:rsidRPr="00765073" w:rsidP="00EA3BBD" w14:paraId="1F59AE74" w14:textId="6A5CD0FC">
            <w:pPr>
              <w:widowControl/>
              <w:autoSpaceDE/>
              <w:autoSpaceDN/>
              <w:adjustRightInd/>
              <w:rPr>
                <w:rFonts w:eastAsia="Calibri"/>
                <w:bCs/>
                <w:sz w:val="20"/>
                <w:szCs w:val="20"/>
              </w:rPr>
            </w:pPr>
            <w:r w:rsidRPr="00765073">
              <w:rPr>
                <w:rFonts w:eastAsia="Calibri"/>
                <w:bCs/>
                <w:sz w:val="20"/>
                <w:szCs w:val="20"/>
              </w:rPr>
              <w:t xml:space="preserve">GS-12 </w:t>
            </w:r>
            <w:r w:rsidR="00B362EB">
              <w:rPr>
                <w:rFonts w:eastAsia="Calibri"/>
                <w:bCs/>
                <w:sz w:val="20"/>
                <w:szCs w:val="20"/>
              </w:rPr>
              <w:t xml:space="preserve">Inspector </w:t>
            </w:r>
          </w:p>
        </w:tc>
        <w:tc>
          <w:tcPr>
            <w:tcW w:w="1350" w:type="dxa"/>
            <w:noWrap/>
            <w:vAlign w:val="center"/>
          </w:tcPr>
          <w:p w:rsidR="00EA3BBD" w:rsidRPr="00765073" w:rsidP="00EA3BBD" w14:paraId="4E865C40" w14:textId="4D606739">
            <w:pPr>
              <w:widowControl/>
              <w:autoSpaceDE/>
              <w:autoSpaceDN/>
              <w:adjustRightInd/>
              <w:jc w:val="right"/>
              <w:rPr>
                <w:rFonts w:eastAsia="Calibri"/>
                <w:bCs/>
                <w:sz w:val="20"/>
                <w:szCs w:val="20"/>
              </w:rPr>
            </w:pPr>
            <w:r>
              <w:rPr>
                <w:color w:val="000000"/>
                <w:sz w:val="20"/>
                <w:szCs w:val="20"/>
              </w:rPr>
              <w:t>50</w:t>
            </w:r>
          </w:p>
        </w:tc>
        <w:tc>
          <w:tcPr>
            <w:tcW w:w="1440" w:type="dxa"/>
            <w:vAlign w:val="center"/>
          </w:tcPr>
          <w:p w:rsidR="00EA3BBD" w:rsidRPr="00765073" w:rsidP="00EA3BBD" w14:paraId="138DE15D" w14:textId="35887069">
            <w:pPr>
              <w:widowControl/>
              <w:autoSpaceDE/>
              <w:autoSpaceDN/>
              <w:adjustRightInd/>
              <w:jc w:val="right"/>
              <w:rPr>
                <w:rFonts w:eastAsia="Calibri"/>
                <w:bCs/>
                <w:sz w:val="20"/>
                <w:szCs w:val="20"/>
              </w:rPr>
            </w:pPr>
            <w:r>
              <w:rPr>
                <w:color w:val="000000"/>
                <w:sz w:val="20"/>
                <w:szCs w:val="20"/>
              </w:rPr>
              <w:t>15</w:t>
            </w:r>
          </w:p>
        </w:tc>
        <w:tc>
          <w:tcPr>
            <w:tcW w:w="1253" w:type="dxa"/>
            <w:noWrap/>
            <w:vAlign w:val="center"/>
          </w:tcPr>
          <w:p w:rsidR="00EA3BBD" w:rsidRPr="00765073" w:rsidP="00EA3BBD" w14:paraId="450B65A8" w14:textId="674C7F11">
            <w:pPr>
              <w:widowControl/>
              <w:autoSpaceDE/>
              <w:autoSpaceDN/>
              <w:adjustRightInd/>
              <w:jc w:val="right"/>
              <w:rPr>
                <w:rFonts w:eastAsia="Calibri"/>
                <w:bCs/>
                <w:sz w:val="20"/>
                <w:szCs w:val="20"/>
              </w:rPr>
            </w:pPr>
            <w:r>
              <w:rPr>
                <w:color w:val="000000"/>
                <w:sz w:val="20"/>
                <w:szCs w:val="20"/>
              </w:rPr>
              <w:t>750</w:t>
            </w:r>
          </w:p>
        </w:tc>
        <w:tc>
          <w:tcPr>
            <w:tcW w:w="1178" w:type="dxa"/>
            <w:noWrap/>
            <w:vAlign w:val="center"/>
          </w:tcPr>
          <w:p w:rsidR="00EA3BBD" w:rsidRPr="00765073" w:rsidP="00EA3BBD" w14:paraId="6147B2B3" w14:textId="75DD3BB5">
            <w:pPr>
              <w:widowControl/>
              <w:autoSpaceDE/>
              <w:autoSpaceDN/>
              <w:adjustRightInd/>
              <w:jc w:val="right"/>
              <w:rPr>
                <w:rFonts w:eastAsia="Calibri"/>
                <w:bCs/>
                <w:sz w:val="20"/>
                <w:szCs w:val="20"/>
              </w:rPr>
            </w:pPr>
            <w:r>
              <w:rPr>
                <w:color w:val="000000"/>
                <w:sz w:val="20"/>
                <w:szCs w:val="20"/>
              </w:rPr>
              <w:t>$79.86</w:t>
            </w:r>
          </w:p>
        </w:tc>
        <w:tc>
          <w:tcPr>
            <w:tcW w:w="1414" w:type="dxa"/>
            <w:noWrap/>
            <w:vAlign w:val="center"/>
          </w:tcPr>
          <w:p w:rsidR="00EA3BBD" w:rsidRPr="00765073" w:rsidP="00EA3BBD" w14:paraId="169F609C" w14:textId="7EEC524F">
            <w:pPr>
              <w:widowControl/>
              <w:autoSpaceDE/>
              <w:autoSpaceDN/>
              <w:adjustRightInd/>
              <w:jc w:val="right"/>
              <w:rPr>
                <w:rFonts w:eastAsia="Calibri"/>
                <w:bCs/>
                <w:sz w:val="20"/>
                <w:szCs w:val="20"/>
              </w:rPr>
            </w:pPr>
            <w:r>
              <w:rPr>
                <w:color w:val="000000"/>
                <w:sz w:val="20"/>
                <w:szCs w:val="20"/>
              </w:rPr>
              <w:t>$59,895.00</w:t>
            </w:r>
          </w:p>
        </w:tc>
      </w:tr>
      <w:tr w14:paraId="5CEB0AD0" w14:textId="77777777" w:rsidTr="00746BEB">
        <w:tblPrEx>
          <w:tblW w:w="9245" w:type="dxa"/>
          <w:tblInd w:w="-5" w:type="dxa"/>
          <w:tblLayout w:type="fixed"/>
          <w:tblLook w:val="04A0"/>
        </w:tblPrEx>
        <w:trPr>
          <w:trHeight w:val="372"/>
        </w:trPr>
        <w:tc>
          <w:tcPr>
            <w:tcW w:w="2610" w:type="dxa"/>
            <w:noWrap/>
            <w:vAlign w:val="center"/>
            <w:hideMark/>
          </w:tcPr>
          <w:p w:rsidR="00EA3BBD" w:rsidRPr="00765073" w:rsidP="00746BEB" w14:paraId="61756CF7" w14:textId="78EE81B5">
            <w:pPr>
              <w:widowControl/>
              <w:autoSpaceDE/>
              <w:autoSpaceDN/>
              <w:adjustRightInd/>
              <w:jc w:val="right"/>
              <w:rPr>
                <w:rFonts w:eastAsia="Calibri"/>
                <w:b/>
                <w:bCs/>
                <w:i/>
                <w:iCs/>
                <w:sz w:val="20"/>
                <w:szCs w:val="20"/>
              </w:rPr>
            </w:pPr>
            <w:r w:rsidRPr="00765073">
              <w:rPr>
                <w:rFonts w:eastAsia="Calibri"/>
                <w:b/>
                <w:bCs/>
                <w:i/>
                <w:iCs/>
                <w:sz w:val="20"/>
                <w:szCs w:val="20"/>
              </w:rPr>
              <w:t>Subtotal (Rounded)</w:t>
            </w:r>
          </w:p>
        </w:tc>
        <w:tc>
          <w:tcPr>
            <w:tcW w:w="1350" w:type="dxa"/>
            <w:vAlign w:val="center"/>
          </w:tcPr>
          <w:p w:rsidR="00EA3BBD" w:rsidRPr="000D4093" w:rsidP="00EA3BBD" w14:paraId="70E2185E" w14:textId="33A7DD94">
            <w:pPr>
              <w:widowControl/>
              <w:autoSpaceDE/>
              <w:autoSpaceDN/>
              <w:adjustRightInd/>
              <w:jc w:val="right"/>
              <w:rPr>
                <w:rFonts w:eastAsia="Calibri"/>
                <w:b/>
                <w:bCs/>
                <w:i/>
                <w:iCs/>
                <w:sz w:val="20"/>
                <w:szCs w:val="20"/>
              </w:rPr>
            </w:pPr>
            <w:r w:rsidRPr="000D4093">
              <w:rPr>
                <w:b/>
                <w:bCs/>
                <w:i/>
                <w:iCs/>
                <w:color w:val="000000"/>
                <w:sz w:val="20"/>
                <w:szCs w:val="20"/>
              </w:rPr>
              <w:t>50</w:t>
            </w:r>
          </w:p>
        </w:tc>
        <w:tc>
          <w:tcPr>
            <w:tcW w:w="1440" w:type="dxa"/>
            <w:shd w:val="clear" w:color="auto" w:fill="000000"/>
            <w:vAlign w:val="center"/>
          </w:tcPr>
          <w:p w:rsidR="00EA3BBD" w:rsidRPr="000D4093" w:rsidP="00EA3BBD" w14:paraId="2CCDC9C8" w14:textId="49EC43CB">
            <w:pPr>
              <w:widowControl/>
              <w:autoSpaceDE/>
              <w:autoSpaceDN/>
              <w:adjustRightInd/>
              <w:jc w:val="right"/>
              <w:rPr>
                <w:rFonts w:eastAsia="Calibri"/>
                <w:b/>
                <w:bCs/>
                <w:i/>
                <w:iCs/>
                <w:sz w:val="20"/>
                <w:szCs w:val="20"/>
              </w:rPr>
            </w:pPr>
            <w:r w:rsidRPr="000D4093">
              <w:rPr>
                <w:b/>
                <w:bCs/>
                <w:i/>
                <w:iCs/>
                <w:color w:val="000000"/>
                <w:sz w:val="20"/>
                <w:szCs w:val="20"/>
              </w:rPr>
              <w:t> </w:t>
            </w:r>
          </w:p>
        </w:tc>
        <w:tc>
          <w:tcPr>
            <w:tcW w:w="1253" w:type="dxa"/>
            <w:vAlign w:val="center"/>
          </w:tcPr>
          <w:p w:rsidR="00EA3BBD" w:rsidRPr="000D4093" w:rsidP="00EA3BBD" w14:paraId="6DC2CC67" w14:textId="07F19219">
            <w:pPr>
              <w:widowControl/>
              <w:autoSpaceDE/>
              <w:autoSpaceDN/>
              <w:adjustRightInd/>
              <w:jc w:val="right"/>
              <w:rPr>
                <w:rFonts w:eastAsia="Calibri"/>
                <w:b/>
                <w:bCs/>
                <w:i/>
                <w:iCs/>
                <w:sz w:val="20"/>
                <w:szCs w:val="20"/>
              </w:rPr>
            </w:pPr>
            <w:r w:rsidRPr="000D4093">
              <w:rPr>
                <w:b/>
                <w:bCs/>
                <w:i/>
                <w:iCs/>
                <w:color w:val="000000"/>
                <w:sz w:val="20"/>
                <w:szCs w:val="20"/>
              </w:rPr>
              <w:t>750</w:t>
            </w:r>
          </w:p>
        </w:tc>
        <w:tc>
          <w:tcPr>
            <w:tcW w:w="1178" w:type="dxa"/>
            <w:shd w:val="clear" w:color="auto" w:fill="000000"/>
            <w:noWrap/>
            <w:vAlign w:val="center"/>
            <w:hideMark/>
          </w:tcPr>
          <w:p w:rsidR="00EA3BBD" w:rsidRPr="000D4093" w:rsidP="00EA3BBD" w14:paraId="652887F2" w14:textId="597E8A45">
            <w:pPr>
              <w:widowControl/>
              <w:autoSpaceDE/>
              <w:autoSpaceDN/>
              <w:adjustRightInd/>
              <w:jc w:val="right"/>
              <w:rPr>
                <w:rFonts w:eastAsia="Calibri"/>
                <w:b/>
                <w:bCs/>
                <w:i/>
                <w:iCs/>
                <w:sz w:val="20"/>
                <w:szCs w:val="20"/>
              </w:rPr>
            </w:pPr>
            <w:r w:rsidRPr="000D4093">
              <w:rPr>
                <w:b/>
                <w:bCs/>
                <w:i/>
                <w:iCs/>
                <w:color w:val="000000"/>
                <w:sz w:val="20"/>
                <w:szCs w:val="20"/>
              </w:rPr>
              <w:t> </w:t>
            </w:r>
          </w:p>
        </w:tc>
        <w:tc>
          <w:tcPr>
            <w:tcW w:w="1414" w:type="dxa"/>
            <w:noWrap/>
            <w:vAlign w:val="center"/>
            <w:hideMark/>
          </w:tcPr>
          <w:p w:rsidR="00EA3BBD" w:rsidRPr="000D4093" w:rsidP="00EA3BBD" w14:paraId="5EF44AEB" w14:textId="4B1E8C72">
            <w:pPr>
              <w:widowControl/>
              <w:autoSpaceDE/>
              <w:autoSpaceDN/>
              <w:adjustRightInd/>
              <w:jc w:val="right"/>
              <w:rPr>
                <w:rFonts w:eastAsia="Calibri"/>
                <w:b/>
                <w:bCs/>
                <w:i/>
                <w:iCs/>
                <w:sz w:val="20"/>
                <w:szCs w:val="20"/>
              </w:rPr>
            </w:pPr>
            <w:r w:rsidRPr="000D4093">
              <w:rPr>
                <w:b/>
                <w:bCs/>
                <w:i/>
                <w:iCs/>
                <w:color w:val="000000"/>
                <w:sz w:val="20"/>
                <w:szCs w:val="20"/>
              </w:rPr>
              <w:t>$59,895</w:t>
            </w:r>
          </w:p>
        </w:tc>
      </w:tr>
    </w:tbl>
    <w:bookmarkEnd w:id="49"/>
    <w:bookmarkEnd w:id="50"/>
    <w:p w:rsidR="001576A1" w:rsidRPr="00765073" w:rsidP="004A22F3" w14:paraId="09F7F9DE" w14:textId="043D2614">
      <w:pPr>
        <w:tabs>
          <w:tab w:val="left" w:pos="2496"/>
        </w:tabs>
        <w:rPr>
          <w:b/>
          <w:bCs/>
          <w:color w:val="000000"/>
        </w:rPr>
      </w:pPr>
      <w:r w:rsidRPr="00765073">
        <w:rPr>
          <w:b/>
          <w:bCs/>
          <w:color w:val="000000"/>
        </w:rPr>
        <w:tab/>
      </w:r>
    </w:p>
    <w:p w:rsidR="00DB2DFB" w:rsidRPr="00765073" w:rsidP="004A22F3" w14:paraId="2EC81F02" w14:textId="77777777">
      <w:pPr>
        <w:pStyle w:val="Default"/>
        <w:rPr>
          <w:rFonts w:ascii="Times New Roman" w:hAnsi="Times New Roman" w:cs="Times New Roman"/>
          <w:b/>
          <w:bCs/>
        </w:rPr>
      </w:pPr>
      <w:r w:rsidRPr="00765073">
        <w:rPr>
          <w:rFonts w:ascii="Times New Roman" w:hAnsi="Times New Roman" w:cs="Times New Roman"/>
          <w:b/>
          <w:bCs/>
        </w:rPr>
        <w:t>Cost Summary to the Federal Government</w:t>
      </w:r>
    </w:p>
    <w:p w:rsidR="00DB2DFB" w:rsidRPr="00765073" w:rsidP="004A22F3" w14:paraId="4E5A4D2B" w14:textId="77777777">
      <w:pPr>
        <w:pStyle w:val="Default"/>
        <w:tabs>
          <w:tab w:val="left" w:pos="9000"/>
          <w:tab w:val="left" w:pos="9090"/>
        </w:tabs>
        <w:rPr>
          <w:rFonts w:ascii="Times New Roman" w:hAnsi="Times New Roman" w:cs="Times New Roman"/>
          <w:b/>
          <w:bCs/>
        </w:rPr>
      </w:pPr>
    </w:p>
    <w:p w:rsidR="00DB2DFB" w:rsidP="004A22F3" w14:paraId="794F425C" w14:textId="39C0935B">
      <w:pPr>
        <w:widowControl/>
      </w:pPr>
      <w:r w:rsidRPr="00765073">
        <w:t>The annual cost burden to the Federal government is summarized in the table below.</w:t>
      </w:r>
    </w:p>
    <w:p w:rsidR="00EA3BBD" w:rsidP="004A22F3" w14:paraId="6915D3A9" w14:textId="77777777">
      <w:pPr>
        <w:widowControl/>
      </w:pPr>
    </w:p>
    <w:p w:rsidR="00EA3BBD" w:rsidRPr="00765073" w:rsidP="00EA3BBD" w14:paraId="079B5A46" w14:textId="6C6648FB">
      <w:pPr>
        <w:rPr>
          <w:b/>
          <w:color w:val="000000"/>
        </w:rPr>
      </w:pPr>
      <w:r w:rsidRPr="00765073">
        <w:rPr>
          <w:b/>
          <w:color w:val="000000"/>
        </w:rPr>
        <w:t>Table 14-</w:t>
      </w:r>
      <w:r>
        <w:rPr>
          <w:b/>
          <w:color w:val="000000"/>
        </w:rPr>
        <w:t>3</w:t>
      </w:r>
      <w:r w:rsidRPr="00765073">
        <w:rPr>
          <w:b/>
          <w:color w:val="000000"/>
        </w:rPr>
        <w:t xml:space="preserve">. Estimated Federal Hour and Cost Burden, </w:t>
      </w:r>
      <w:r>
        <w:rPr>
          <w:b/>
          <w:color w:val="000000"/>
        </w:rPr>
        <w:t>Summary</w:t>
      </w:r>
    </w:p>
    <w:tbl>
      <w:tblPr>
        <w:tblStyle w:val="TableGrid"/>
        <w:tblW w:w="9245" w:type="dxa"/>
        <w:tblInd w:w="-5" w:type="dxa"/>
        <w:tblLayout w:type="fixed"/>
        <w:tblLook w:val="04A0"/>
      </w:tblPr>
      <w:tblGrid>
        <w:gridCol w:w="2610"/>
        <w:gridCol w:w="1350"/>
        <w:gridCol w:w="1440"/>
        <w:gridCol w:w="1253"/>
        <w:gridCol w:w="1178"/>
        <w:gridCol w:w="1414"/>
      </w:tblGrid>
      <w:tr w14:paraId="54F9617D" w14:textId="77777777" w:rsidTr="00CF1896">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EA3BBD" w:rsidRPr="00765073" w:rsidP="00CF1896" w14:paraId="6DE2F363" w14:textId="57F29ACA">
            <w:pPr>
              <w:widowControl/>
              <w:autoSpaceDE/>
              <w:autoSpaceDN/>
              <w:adjustRightInd/>
              <w:rPr>
                <w:color w:val="000000"/>
                <w:sz w:val="20"/>
                <w:szCs w:val="20"/>
              </w:rPr>
            </w:pPr>
            <w:r>
              <w:rPr>
                <w:color w:val="000000"/>
                <w:sz w:val="20"/>
                <w:szCs w:val="20"/>
              </w:rPr>
              <w:t>Activity</w:t>
            </w:r>
          </w:p>
        </w:tc>
        <w:tc>
          <w:tcPr>
            <w:tcW w:w="1350" w:type="dxa"/>
            <w:shd w:val="clear" w:color="auto" w:fill="8EAADB" w:themeFill="accent1" w:themeFillTint="99"/>
            <w:vAlign w:val="center"/>
            <w:hideMark/>
          </w:tcPr>
          <w:p w:rsidR="00EA3BBD" w:rsidRPr="00765073" w:rsidP="00CF1896" w14:paraId="36A01381" w14:textId="5DD1CE68">
            <w:pPr>
              <w:widowControl/>
              <w:autoSpaceDE/>
              <w:autoSpaceDN/>
              <w:adjustRightInd/>
              <w:jc w:val="center"/>
              <w:rPr>
                <w:rFonts w:eastAsia="Calibri"/>
                <w:sz w:val="20"/>
                <w:szCs w:val="20"/>
              </w:rPr>
            </w:pPr>
            <w:r w:rsidRPr="00765073">
              <w:rPr>
                <w:color w:val="000000"/>
                <w:sz w:val="20"/>
                <w:szCs w:val="20"/>
              </w:rPr>
              <w:t xml:space="preserve">Number of Responses </w:t>
            </w:r>
          </w:p>
        </w:tc>
        <w:tc>
          <w:tcPr>
            <w:tcW w:w="1440" w:type="dxa"/>
            <w:shd w:val="clear" w:color="auto" w:fill="8EAADB" w:themeFill="accent1" w:themeFillTint="99"/>
            <w:vAlign w:val="center"/>
          </w:tcPr>
          <w:p w:rsidR="00EA3BBD" w:rsidRPr="00765073" w:rsidP="00CF1896" w14:paraId="3618FD20" w14:textId="22BD72B0">
            <w:pPr>
              <w:widowControl/>
              <w:autoSpaceDE/>
              <w:autoSpaceDN/>
              <w:adjustRightInd/>
              <w:jc w:val="center"/>
              <w:rPr>
                <w:rFonts w:eastAsia="Calibri"/>
                <w:sz w:val="20"/>
                <w:szCs w:val="20"/>
              </w:rPr>
            </w:pPr>
            <w:r w:rsidRPr="00765073">
              <w:rPr>
                <w:color w:val="000000"/>
                <w:sz w:val="20"/>
                <w:szCs w:val="20"/>
              </w:rPr>
              <w:t xml:space="preserve">Average Burden </w:t>
            </w:r>
          </w:p>
        </w:tc>
        <w:tc>
          <w:tcPr>
            <w:tcW w:w="1253" w:type="dxa"/>
            <w:shd w:val="clear" w:color="auto" w:fill="8EAADB" w:themeFill="accent1" w:themeFillTint="99"/>
            <w:vAlign w:val="center"/>
            <w:hideMark/>
          </w:tcPr>
          <w:p w:rsidR="00EA3BBD" w:rsidRPr="00765073" w:rsidP="00CF1896" w14:paraId="77B3967A" w14:textId="251F717E">
            <w:pPr>
              <w:widowControl/>
              <w:autoSpaceDE/>
              <w:autoSpaceDN/>
              <w:adjustRightInd/>
              <w:jc w:val="center"/>
              <w:rPr>
                <w:rFonts w:eastAsia="Calibri"/>
                <w:sz w:val="20"/>
                <w:szCs w:val="20"/>
              </w:rPr>
            </w:pPr>
            <w:r w:rsidRPr="00765073">
              <w:rPr>
                <w:color w:val="000000"/>
                <w:sz w:val="20"/>
                <w:szCs w:val="20"/>
              </w:rPr>
              <w:t xml:space="preserve">Total Burden </w:t>
            </w:r>
          </w:p>
        </w:tc>
        <w:tc>
          <w:tcPr>
            <w:tcW w:w="1178" w:type="dxa"/>
            <w:shd w:val="clear" w:color="auto" w:fill="8EAADB" w:themeFill="accent1" w:themeFillTint="99"/>
            <w:vAlign w:val="center"/>
            <w:hideMark/>
          </w:tcPr>
          <w:p w:rsidR="00EA3BBD" w:rsidRPr="00765073" w:rsidP="00CF1896" w14:paraId="3FA0CF11" w14:textId="77777777">
            <w:pPr>
              <w:widowControl/>
              <w:autoSpaceDE/>
              <w:autoSpaceDN/>
              <w:adjustRightInd/>
              <w:jc w:val="center"/>
              <w:rPr>
                <w:rFonts w:eastAsia="Calibri"/>
                <w:sz w:val="20"/>
                <w:szCs w:val="20"/>
              </w:rPr>
            </w:pPr>
            <w:r w:rsidRPr="00765073">
              <w:rPr>
                <w:color w:val="000000"/>
                <w:sz w:val="20"/>
                <w:szCs w:val="20"/>
              </w:rPr>
              <w:t>Hourly Wage Rate</w:t>
            </w:r>
          </w:p>
        </w:tc>
        <w:tc>
          <w:tcPr>
            <w:tcW w:w="1414" w:type="dxa"/>
            <w:shd w:val="clear" w:color="auto" w:fill="8EAADB" w:themeFill="accent1" w:themeFillTint="99"/>
            <w:vAlign w:val="center"/>
            <w:hideMark/>
          </w:tcPr>
          <w:p w:rsidR="00EA3BBD" w:rsidRPr="00765073" w:rsidP="00CF1896" w14:paraId="173485B0" w14:textId="77777777">
            <w:pPr>
              <w:widowControl/>
              <w:autoSpaceDE/>
              <w:autoSpaceDN/>
              <w:adjustRightInd/>
              <w:jc w:val="center"/>
              <w:rPr>
                <w:rFonts w:eastAsia="Calibri"/>
                <w:sz w:val="20"/>
                <w:szCs w:val="20"/>
              </w:rPr>
            </w:pPr>
            <w:r w:rsidRPr="00765073">
              <w:rPr>
                <w:color w:val="000000"/>
                <w:sz w:val="20"/>
                <w:szCs w:val="20"/>
              </w:rPr>
              <w:t>Total Burden Cost</w:t>
            </w:r>
          </w:p>
        </w:tc>
      </w:tr>
      <w:tr w14:paraId="154076D7" w14:textId="77777777" w:rsidTr="00CF1896">
        <w:tblPrEx>
          <w:tblW w:w="9245" w:type="dxa"/>
          <w:tblInd w:w="-5" w:type="dxa"/>
          <w:tblLayout w:type="fixed"/>
          <w:tblLook w:val="04A0"/>
        </w:tblPrEx>
        <w:trPr>
          <w:trHeight w:val="372"/>
        </w:trPr>
        <w:tc>
          <w:tcPr>
            <w:tcW w:w="2610" w:type="dxa"/>
            <w:noWrap/>
            <w:vAlign w:val="center"/>
          </w:tcPr>
          <w:p w:rsidR="00EA3BBD" w:rsidRPr="00765073" w:rsidP="00EA3BBD" w14:paraId="7E1DED38" w14:textId="32A05F0A">
            <w:pPr>
              <w:widowControl/>
              <w:autoSpaceDE/>
              <w:autoSpaceDN/>
              <w:adjustRightInd/>
              <w:rPr>
                <w:rFonts w:eastAsia="Calibri"/>
                <w:bCs/>
                <w:sz w:val="20"/>
                <w:szCs w:val="20"/>
              </w:rPr>
            </w:pPr>
            <w:r>
              <w:rPr>
                <w:rFonts w:eastAsia="Calibri"/>
                <w:bCs/>
                <w:sz w:val="20"/>
                <w:szCs w:val="20"/>
              </w:rPr>
              <w:t>I. Review</w:t>
            </w:r>
            <w:r w:rsidR="00A21CF8">
              <w:rPr>
                <w:rFonts w:eastAsia="Calibri"/>
                <w:bCs/>
                <w:sz w:val="20"/>
                <w:szCs w:val="20"/>
              </w:rPr>
              <w:t>ing and Approving</w:t>
            </w:r>
            <w:r>
              <w:rPr>
                <w:rFonts w:eastAsia="Calibri"/>
                <w:bCs/>
                <w:sz w:val="20"/>
                <w:szCs w:val="20"/>
              </w:rPr>
              <w:t xml:space="preserve"> Slope and Shaft Plans</w:t>
            </w:r>
          </w:p>
        </w:tc>
        <w:tc>
          <w:tcPr>
            <w:tcW w:w="1350" w:type="dxa"/>
            <w:noWrap/>
            <w:vAlign w:val="center"/>
          </w:tcPr>
          <w:p w:rsidR="00EA3BBD" w:rsidRPr="00765073" w:rsidP="00EA3BBD" w14:paraId="5D22845D" w14:textId="2ACB32FA">
            <w:pPr>
              <w:widowControl/>
              <w:autoSpaceDE/>
              <w:autoSpaceDN/>
              <w:adjustRightInd/>
              <w:jc w:val="right"/>
              <w:rPr>
                <w:rFonts w:eastAsia="Calibri"/>
                <w:bCs/>
                <w:sz w:val="20"/>
                <w:szCs w:val="20"/>
              </w:rPr>
            </w:pPr>
            <w:r>
              <w:rPr>
                <w:rFonts w:eastAsia="Calibri"/>
                <w:bCs/>
                <w:sz w:val="20"/>
                <w:szCs w:val="20"/>
              </w:rPr>
              <w:t>50</w:t>
            </w:r>
          </w:p>
        </w:tc>
        <w:tc>
          <w:tcPr>
            <w:tcW w:w="1440" w:type="dxa"/>
            <w:vAlign w:val="center"/>
          </w:tcPr>
          <w:p w:rsidR="00EA3BBD" w:rsidRPr="00765073" w:rsidP="00EA3BBD" w14:paraId="103CC9EA" w14:textId="7516BFBA">
            <w:pPr>
              <w:widowControl/>
              <w:autoSpaceDE/>
              <w:autoSpaceDN/>
              <w:adjustRightInd/>
              <w:jc w:val="right"/>
              <w:rPr>
                <w:rFonts w:eastAsia="Calibri"/>
                <w:bCs/>
                <w:sz w:val="20"/>
                <w:szCs w:val="20"/>
              </w:rPr>
            </w:pPr>
            <w:r>
              <w:rPr>
                <w:rFonts w:eastAsia="Calibri"/>
                <w:bCs/>
                <w:sz w:val="20"/>
                <w:szCs w:val="20"/>
              </w:rPr>
              <w:t>15</w:t>
            </w:r>
          </w:p>
        </w:tc>
        <w:tc>
          <w:tcPr>
            <w:tcW w:w="1253" w:type="dxa"/>
            <w:noWrap/>
            <w:vAlign w:val="center"/>
          </w:tcPr>
          <w:p w:rsidR="00EA3BBD" w:rsidRPr="00765073" w:rsidP="00EA3BBD" w14:paraId="071ADF97" w14:textId="6E5E84F8">
            <w:pPr>
              <w:widowControl/>
              <w:autoSpaceDE/>
              <w:autoSpaceDN/>
              <w:adjustRightInd/>
              <w:jc w:val="right"/>
              <w:rPr>
                <w:rFonts w:eastAsia="Calibri"/>
                <w:bCs/>
                <w:sz w:val="20"/>
                <w:szCs w:val="20"/>
              </w:rPr>
            </w:pPr>
            <w:r>
              <w:rPr>
                <w:rFonts w:eastAsia="Calibri"/>
                <w:bCs/>
                <w:sz w:val="20"/>
                <w:szCs w:val="20"/>
              </w:rPr>
              <w:t>750</w:t>
            </w:r>
          </w:p>
        </w:tc>
        <w:tc>
          <w:tcPr>
            <w:tcW w:w="1178" w:type="dxa"/>
            <w:noWrap/>
            <w:vAlign w:val="center"/>
          </w:tcPr>
          <w:p w:rsidR="00EA3BBD" w:rsidRPr="00765073" w:rsidP="00EA3BBD" w14:paraId="2D006592" w14:textId="45CCC28B">
            <w:pPr>
              <w:widowControl/>
              <w:autoSpaceDE/>
              <w:autoSpaceDN/>
              <w:adjustRightInd/>
              <w:jc w:val="right"/>
              <w:rPr>
                <w:rFonts w:eastAsia="Calibri"/>
                <w:bCs/>
                <w:sz w:val="20"/>
                <w:szCs w:val="20"/>
              </w:rPr>
            </w:pPr>
            <w:r w:rsidRPr="00765073">
              <w:rPr>
                <w:rFonts w:eastAsia="Calibri"/>
                <w:bCs/>
                <w:sz w:val="20"/>
                <w:szCs w:val="20"/>
              </w:rPr>
              <w:t>$</w:t>
            </w:r>
            <w:r>
              <w:rPr>
                <w:rFonts w:eastAsia="Calibri"/>
                <w:bCs/>
                <w:sz w:val="20"/>
                <w:szCs w:val="20"/>
              </w:rPr>
              <w:t>79.86</w:t>
            </w:r>
          </w:p>
        </w:tc>
        <w:tc>
          <w:tcPr>
            <w:tcW w:w="1414" w:type="dxa"/>
            <w:noWrap/>
            <w:vAlign w:val="center"/>
          </w:tcPr>
          <w:p w:rsidR="00EA3BBD" w:rsidRPr="00765073" w:rsidP="00EA3BBD" w14:paraId="034550FC" w14:textId="18DD7E6C">
            <w:pPr>
              <w:widowControl/>
              <w:autoSpaceDE/>
              <w:autoSpaceDN/>
              <w:adjustRightInd/>
              <w:jc w:val="right"/>
              <w:rPr>
                <w:rFonts w:eastAsia="Calibri"/>
                <w:bCs/>
                <w:sz w:val="20"/>
                <w:szCs w:val="20"/>
              </w:rPr>
            </w:pPr>
            <w:r>
              <w:rPr>
                <w:color w:val="000000"/>
                <w:sz w:val="20"/>
                <w:szCs w:val="20"/>
              </w:rPr>
              <w:t>$59,895.00</w:t>
            </w:r>
          </w:p>
        </w:tc>
      </w:tr>
      <w:tr w14:paraId="69E129E0" w14:textId="77777777" w:rsidTr="00746BEB">
        <w:tblPrEx>
          <w:tblW w:w="9245" w:type="dxa"/>
          <w:tblInd w:w="-5" w:type="dxa"/>
          <w:tblLayout w:type="fixed"/>
          <w:tblLook w:val="04A0"/>
        </w:tblPrEx>
        <w:trPr>
          <w:trHeight w:val="372"/>
        </w:trPr>
        <w:tc>
          <w:tcPr>
            <w:tcW w:w="2610" w:type="dxa"/>
            <w:noWrap/>
            <w:vAlign w:val="center"/>
            <w:hideMark/>
          </w:tcPr>
          <w:p w:rsidR="00EA3BBD" w:rsidRPr="00765073" w:rsidP="00746BEB" w14:paraId="651BDEC9" w14:textId="5025F168">
            <w:pPr>
              <w:widowControl/>
              <w:autoSpaceDE/>
              <w:autoSpaceDN/>
              <w:adjustRightInd/>
              <w:jc w:val="right"/>
              <w:rPr>
                <w:rFonts w:eastAsia="Calibri"/>
                <w:b/>
                <w:bCs/>
                <w:i/>
                <w:iCs/>
                <w:sz w:val="20"/>
                <w:szCs w:val="20"/>
              </w:rPr>
            </w:pPr>
            <w:r>
              <w:rPr>
                <w:rFonts w:eastAsia="Calibri"/>
                <w:b/>
                <w:bCs/>
                <w:i/>
                <w:iCs/>
                <w:sz w:val="20"/>
                <w:szCs w:val="20"/>
              </w:rPr>
              <w:t>Total</w:t>
            </w:r>
            <w:r w:rsidRPr="00765073">
              <w:rPr>
                <w:rFonts w:eastAsia="Calibri"/>
                <w:b/>
                <w:bCs/>
                <w:i/>
                <w:iCs/>
                <w:sz w:val="20"/>
                <w:szCs w:val="20"/>
              </w:rPr>
              <w:t xml:space="preserve"> </w:t>
            </w:r>
            <w:r w:rsidRPr="00765073">
              <w:rPr>
                <w:rFonts w:eastAsia="Calibri"/>
                <w:b/>
                <w:bCs/>
                <w:i/>
                <w:iCs/>
                <w:sz w:val="20"/>
                <w:szCs w:val="20"/>
              </w:rPr>
              <w:t>(Rounded)</w:t>
            </w:r>
          </w:p>
        </w:tc>
        <w:tc>
          <w:tcPr>
            <w:tcW w:w="1350" w:type="dxa"/>
            <w:vAlign w:val="center"/>
          </w:tcPr>
          <w:p w:rsidR="00EA3BBD" w:rsidRPr="000D4093" w:rsidP="00EA3BBD" w14:paraId="793EBD34" w14:textId="5C2FFC50">
            <w:pPr>
              <w:widowControl/>
              <w:autoSpaceDE/>
              <w:autoSpaceDN/>
              <w:adjustRightInd/>
              <w:jc w:val="right"/>
              <w:rPr>
                <w:rFonts w:eastAsia="Calibri"/>
                <w:b/>
                <w:bCs/>
                <w:i/>
                <w:iCs/>
                <w:sz w:val="20"/>
                <w:szCs w:val="20"/>
              </w:rPr>
            </w:pPr>
            <w:r w:rsidRPr="000D4093">
              <w:rPr>
                <w:rFonts w:eastAsia="Calibri"/>
                <w:b/>
                <w:bCs/>
                <w:i/>
                <w:iCs/>
                <w:sz w:val="20"/>
                <w:szCs w:val="20"/>
              </w:rPr>
              <w:t>50</w:t>
            </w:r>
          </w:p>
        </w:tc>
        <w:tc>
          <w:tcPr>
            <w:tcW w:w="1440" w:type="dxa"/>
            <w:shd w:val="clear" w:color="auto" w:fill="000000"/>
            <w:vAlign w:val="center"/>
          </w:tcPr>
          <w:p w:rsidR="00EA3BBD" w:rsidRPr="000D4093" w:rsidP="00EA3BBD" w14:paraId="76ED5B37" w14:textId="77777777">
            <w:pPr>
              <w:widowControl/>
              <w:autoSpaceDE/>
              <w:autoSpaceDN/>
              <w:adjustRightInd/>
              <w:jc w:val="right"/>
              <w:rPr>
                <w:rFonts w:eastAsia="Calibri"/>
                <w:b/>
                <w:bCs/>
                <w:i/>
                <w:iCs/>
                <w:sz w:val="20"/>
                <w:szCs w:val="20"/>
              </w:rPr>
            </w:pPr>
          </w:p>
        </w:tc>
        <w:tc>
          <w:tcPr>
            <w:tcW w:w="1253" w:type="dxa"/>
            <w:vAlign w:val="center"/>
          </w:tcPr>
          <w:p w:rsidR="00EA3BBD" w:rsidRPr="000D4093" w:rsidP="00EA3BBD" w14:paraId="0AD13968" w14:textId="03AE9ABE">
            <w:pPr>
              <w:widowControl/>
              <w:autoSpaceDE/>
              <w:autoSpaceDN/>
              <w:adjustRightInd/>
              <w:jc w:val="right"/>
              <w:rPr>
                <w:rFonts w:eastAsia="Calibri"/>
                <w:b/>
                <w:bCs/>
                <w:i/>
                <w:iCs/>
                <w:sz w:val="20"/>
                <w:szCs w:val="20"/>
              </w:rPr>
            </w:pPr>
            <w:r w:rsidRPr="000D4093">
              <w:rPr>
                <w:rFonts w:eastAsia="Calibri"/>
                <w:b/>
                <w:bCs/>
                <w:i/>
                <w:iCs/>
                <w:sz w:val="20"/>
                <w:szCs w:val="20"/>
              </w:rPr>
              <w:t>750</w:t>
            </w:r>
          </w:p>
        </w:tc>
        <w:tc>
          <w:tcPr>
            <w:tcW w:w="1178" w:type="dxa"/>
            <w:shd w:val="clear" w:color="auto" w:fill="000000"/>
            <w:noWrap/>
            <w:vAlign w:val="center"/>
            <w:hideMark/>
          </w:tcPr>
          <w:p w:rsidR="00EA3BBD" w:rsidRPr="000D4093" w:rsidP="00EA3BBD" w14:paraId="1793F7F7" w14:textId="77777777">
            <w:pPr>
              <w:widowControl/>
              <w:autoSpaceDE/>
              <w:autoSpaceDN/>
              <w:adjustRightInd/>
              <w:jc w:val="right"/>
              <w:rPr>
                <w:rFonts w:eastAsia="Calibri"/>
                <w:b/>
                <w:bCs/>
                <w:i/>
                <w:iCs/>
                <w:sz w:val="20"/>
                <w:szCs w:val="20"/>
              </w:rPr>
            </w:pPr>
          </w:p>
        </w:tc>
        <w:tc>
          <w:tcPr>
            <w:tcW w:w="1414" w:type="dxa"/>
            <w:noWrap/>
            <w:vAlign w:val="center"/>
            <w:hideMark/>
          </w:tcPr>
          <w:p w:rsidR="00EA3BBD" w:rsidRPr="000D4093" w:rsidP="00EA3BBD" w14:paraId="229C8684" w14:textId="4D061571">
            <w:pPr>
              <w:widowControl/>
              <w:autoSpaceDE/>
              <w:autoSpaceDN/>
              <w:adjustRightInd/>
              <w:jc w:val="right"/>
              <w:rPr>
                <w:rFonts w:eastAsia="Calibri"/>
                <w:b/>
                <w:bCs/>
                <w:i/>
                <w:iCs/>
                <w:sz w:val="20"/>
                <w:szCs w:val="20"/>
              </w:rPr>
            </w:pPr>
            <w:r w:rsidRPr="000D4093">
              <w:rPr>
                <w:b/>
                <w:bCs/>
                <w:i/>
                <w:iCs/>
                <w:color w:val="000000"/>
                <w:sz w:val="20"/>
                <w:szCs w:val="20"/>
              </w:rPr>
              <w:t>$59,895</w:t>
            </w:r>
          </w:p>
        </w:tc>
      </w:tr>
    </w:tbl>
    <w:p w:rsidR="00DB2DFB" w:rsidRPr="00765073" w:rsidP="004A22F3" w14:paraId="6096B359" w14:textId="77777777">
      <w:pPr>
        <w:tabs>
          <w:tab w:val="left" w:pos="2496"/>
        </w:tabs>
        <w:rPr>
          <w:b/>
          <w:bCs/>
          <w:color w:val="000000"/>
        </w:rPr>
      </w:pPr>
    </w:p>
    <w:p w:rsidR="008F7DDE" w:rsidRPr="00765073" w:rsidP="004A22F3" w14:paraId="59DEF6F8" w14:textId="49652E5B">
      <w:pPr>
        <w:rPr>
          <w:b/>
          <w:bCs/>
          <w:color w:val="000000"/>
        </w:rPr>
      </w:pPr>
      <w:r w:rsidRPr="00765073">
        <w:rPr>
          <w:b/>
          <w:bCs/>
          <w:color w:val="000000"/>
        </w:rPr>
        <w:t>15. Explain the reasons for any program changes or adjustments on the burden worksheet.</w:t>
      </w:r>
    </w:p>
    <w:p w:rsidR="00D73216" w:rsidRPr="00765073" w:rsidP="004A22F3" w14:paraId="606F6AFA" w14:textId="77777777">
      <w:pPr>
        <w:rPr>
          <w:b/>
          <w:bCs/>
          <w:color w:val="000000"/>
        </w:rPr>
      </w:pPr>
    </w:p>
    <w:p w:rsidR="008F7DDE" w:rsidRPr="00765073" w:rsidP="004A22F3" w14:paraId="59B56D9F" w14:textId="684BE5A1">
      <w:pPr>
        <w:widowControl/>
        <w:rPr>
          <w:iCs/>
        </w:rPr>
      </w:pPr>
      <w:bookmarkStart w:id="51" w:name="_Hlk192769701"/>
      <w:r w:rsidRPr="00765073">
        <w:rPr>
          <w:iCs/>
          <w:u w:val="single"/>
        </w:rPr>
        <w:t xml:space="preserve">Number of </w:t>
      </w:r>
      <w:r w:rsidRPr="00765073">
        <w:rPr>
          <w:iCs/>
          <w:u w:val="single"/>
        </w:rPr>
        <w:t>Respondents</w:t>
      </w:r>
      <w:r w:rsidRPr="00765073">
        <w:rPr>
          <w:iCs/>
        </w:rPr>
        <w:t xml:space="preserve">: The </w:t>
      </w:r>
      <w:r w:rsidRPr="00765073" w:rsidR="00EA6474">
        <w:rPr>
          <w:iCs/>
        </w:rPr>
        <w:t xml:space="preserve">estimated </w:t>
      </w:r>
      <w:r w:rsidRPr="00765073">
        <w:rPr>
          <w:iCs/>
        </w:rPr>
        <w:t xml:space="preserve">number of </w:t>
      </w:r>
      <w:r w:rsidRPr="005366CD">
        <w:rPr>
          <w:iCs/>
          <w:color w:val="000000" w:themeColor="text1"/>
        </w:rPr>
        <w:t xml:space="preserve">respondents </w:t>
      </w:r>
      <w:bookmarkStart w:id="52" w:name="_Hlk125973945"/>
      <w:r w:rsidRPr="005366CD" w:rsidR="001D2A78">
        <w:rPr>
          <w:iCs/>
          <w:color w:val="000000" w:themeColor="text1"/>
        </w:rPr>
        <w:t xml:space="preserve">decreased from 24 to </w:t>
      </w:r>
      <w:r w:rsidR="00CC557D">
        <w:rPr>
          <w:iCs/>
          <w:color w:val="000000" w:themeColor="text1"/>
        </w:rPr>
        <w:t>20</w:t>
      </w:r>
      <w:r w:rsidRPr="005366CD" w:rsidR="001D2A78">
        <w:rPr>
          <w:iCs/>
          <w:color w:val="000000" w:themeColor="text1"/>
        </w:rPr>
        <w:t xml:space="preserve"> due to a decrease in the number of underground </w:t>
      </w:r>
      <w:r w:rsidRPr="008B633A" w:rsidR="00A21CF8">
        <w:rPr>
          <w:iCs/>
          <w:color w:val="000000" w:themeColor="text1"/>
        </w:rPr>
        <w:t>coal mines</w:t>
      </w:r>
      <w:r w:rsidRPr="00A21CF8" w:rsidR="00A21CF8">
        <w:rPr>
          <w:iCs/>
          <w:color w:val="000000" w:themeColor="text1"/>
        </w:rPr>
        <w:t xml:space="preserve"> </w:t>
      </w:r>
      <w:r w:rsidR="00A21CF8">
        <w:rPr>
          <w:iCs/>
          <w:color w:val="000000" w:themeColor="text1"/>
        </w:rPr>
        <w:t xml:space="preserve">with </w:t>
      </w:r>
      <w:r w:rsidRPr="005366CD" w:rsidR="001D2A78">
        <w:rPr>
          <w:iCs/>
          <w:color w:val="000000" w:themeColor="text1"/>
        </w:rPr>
        <w:t>slope</w:t>
      </w:r>
      <w:r w:rsidR="00A21CF8">
        <w:rPr>
          <w:iCs/>
          <w:color w:val="000000" w:themeColor="text1"/>
        </w:rPr>
        <w:t>s</w:t>
      </w:r>
      <w:r w:rsidRPr="005366CD" w:rsidR="001D2A78">
        <w:rPr>
          <w:iCs/>
          <w:color w:val="000000" w:themeColor="text1"/>
        </w:rPr>
        <w:t xml:space="preserve"> and shaft</w:t>
      </w:r>
      <w:r w:rsidR="00A21CF8">
        <w:rPr>
          <w:iCs/>
          <w:color w:val="000000" w:themeColor="text1"/>
        </w:rPr>
        <w:t>s</w:t>
      </w:r>
      <w:r w:rsidRPr="005366CD" w:rsidR="001D2A78">
        <w:rPr>
          <w:iCs/>
          <w:color w:val="000000" w:themeColor="text1"/>
        </w:rPr>
        <w:t>.</w:t>
      </w:r>
    </w:p>
    <w:p w:rsidR="008F7DDE" w:rsidRPr="00765073" w:rsidP="004A22F3" w14:paraId="203B4B53" w14:textId="77777777">
      <w:pPr>
        <w:widowControl/>
        <w:rPr>
          <w:iCs/>
        </w:rPr>
      </w:pPr>
    </w:p>
    <w:p w:rsidR="008F7DDE" w:rsidRPr="00765073" w:rsidP="004A22F3" w14:paraId="1DC56B79" w14:textId="4F1731BC">
      <w:pPr>
        <w:widowControl/>
        <w:rPr>
          <w:iCs/>
        </w:rPr>
      </w:pPr>
      <w:r w:rsidRPr="00765073">
        <w:rPr>
          <w:iCs/>
          <w:u w:val="single"/>
        </w:rPr>
        <w:t xml:space="preserve">Number of </w:t>
      </w:r>
      <w:r w:rsidRPr="00765073">
        <w:rPr>
          <w:iCs/>
          <w:u w:val="single"/>
        </w:rPr>
        <w:t>Responses</w:t>
      </w:r>
      <w:r w:rsidRPr="00765073">
        <w:rPr>
          <w:iCs/>
        </w:rPr>
        <w:t xml:space="preserve">: The </w:t>
      </w:r>
      <w:r w:rsidRPr="00765073" w:rsidR="00EA6474">
        <w:rPr>
          <w:iCs/>
        </w:rPr>
        <w:t xml:space="preserve">estimated </w:t>
      </w:r>
      <w:r w:rsidRPr="00765073">
        <w:rPr>
          <w:iCs/>
        </w:rPr>
        <w:t xml:space="preserve">number of responses </w:t>
      </w:r>
      <w:r w:rsidR="00CC557D">
        <w:rPr>
          <w:iCs/>
        </w:rPr>
        <w:t>de</w:t>
      </w:r>
      <w:r w:rsidR="007247AB">
        <w:rPr>
          <w:iCs/>
        </w:rPr>
        <w:t>crease</w:t>
      </w:r>
      <w:r w:rsidR="00CC557D">
        <w:rPr>
          <w:iCs/>
        </w:rPr>
        <w:t>d</w:t>
      </w:r>
      <w:r w:rsidR="007247AB">
        <w:rPr>
          <w:iCs/>
        </w:rPr>
        <w:t xml:space="preserve"> </w:t>
      </w:r>
      <w:r w:rsidRPr="00CF1896" w:rsidR="007247AB">
        <w:rPr>
          <w:iCs/>
          <w:color w:val="000000" w:themeColor="text1"/>
        </w:rPr>
        <w:t xml:space="preserve">from </w:t>
      </w:r>
      <w:r w:rsidR="007247AB">
        <w:rPr>
          <w:iCs/>
          <w:color w:val="000000" w:themeColor="text1"/>
        </w:rPr>
        <w:t>55</w:t>
      </w:r>
      <w:r w:rsidRPr="00CF1896" w:rsidR="007247AB">
        <w:rPr>
          <w:iCs/>
          <w:color w:val="000000" w:themeColor="text1"/>
        </w:rPr>
        <w:t xml:space="preserve"> to </w:t>
      </w:r>
      <w:r w:rsidR="007247AB">
        <w:rPr>
          <w:iCs/>
          <w:color w:val="000000" w:themeColor="text1"/>
        </w:rPr>
        <w:t>5</w:t>
      </w:r>
      <w:r w:rsidR="00CC557D">
        <w:rPr>
          <w:iCs/>
          <w:color w:val="000000" w:themeColor="text1"/>
        </w:rPr>
        <w:t>0</w:t>
      </w:r>
      <w:r w:rsidR="007247AB">
        <w:rPr>
          <w:iCs/>
          <w:color w:val="000000" w:themeColor="text1"/>
        </w:rPr>
        <w:t xml:space="preserve"> </w:t>
      </w:r>
      <w:r w:rsidRPr="00CF1896" w:rsidR="007247AB">
        <w:rPr>
          <w:iCs/>
          <w:color w:val="000000" w:themeColor="text1"/>
        </w:rPr>
        <w:t xml:space="preserve">due to a </w:t>
      </w:r>
      <w:r w:rsidRPr="00EE6A7A" w:rsidR="00CC557D">
        <w:rPr>
          <w:iCs/>
          <w:color w:val="000000" w:themeColor="text1"/>
        </w:rPr>
        <w:t>decrease in the number of respondents</w:t>
      </w:r>
      <w:r w:rsidRPr="00CF1896" w:rsidR="007247AB">
        <w:rPr>
          <w:iCs/>
          <w:color w:val="000000" w:themeColor="text1"/>
        </w:rPr>
        <w:t>.</w:t>
      </w:r>
      <w:r w:rsidR="00CC557D">
        <w:rPr>
          <w:iCs/>
          <w:color w:val="000000" w:themeColor="text1"/>
        </w:rPr>
        <w:t xml:space="preserve"> </w:t>
      </w:r>
    </w:p>
    <w:p w:rsidR="008F7DDE" w:rsidRPr="005366CD" w:rsidP="004A22F3" w14:paraId="39B8BCE6" w14:textId="77777777">
      <w:pPr>
        <w:widowControl/>
        <w:rPr>
          <w:iCs/>
          <w:color w:val="000000" w:themeColor="text1"/>
        </w:rPr>
      </w:pPr>
    </w:p>
    <w:p w:rsidR="008F7DDE" w:rsidRPr="005366CD" w:rsidP="004A22F3" w14:paraId="7F33A961" w14:textId="364BFDE0">
      <w:pPr>
        <w:widowControl/>
        <w:rPr>
          <w:iCs/>
          <w:color w:val="000000" w:themeColor="text1"/>
        </w:rPr>
      </w:pPr>
      <w:r w:rsidRPr="005366CD">
        <w:rPr>
          <w:iCs/>
          <w:color w:val="000000" w:themeColor="text1"/>
          <w:u w:val="single"/>
        </w:rPr>
        <w:t xml:space="preserve">Annual </w:t>
      </w:r>
      <w:r w:rsidRPr="005366CD" w:rsidR="00EA6474">
        <w:rPr>
          <w:iCs/>
          <w:color w:val="000000" w:themeColor="text1"/>
          <w:u w:val="single"/>
        </w:rPr>
        <w:t xml:space="preserve">Time </w:t>
      </w:r>
      <w:r w:rsidRPr="005366CD">
        <w:rPr>
          <w:iCs/>
          <w:color w:val="000000" w:themeColor="text1"/>
          <w:u w:val="single"/>
        </w:rPr>
        <w:t>Burden</w:t>
      </w:r>
      <w:r w:rsidRPr="005366CD">
        <w:rPr>
          <w:iCs/>
          <w:color w:val="000000" w:themeColor="text1"/>
        </w:rPr>
        <w:t xml:space="preserve">: The </w:t>
      </w:r>
      <w:r w:rsidRPr="005366CD" w:rsidR="00EA6474">
        <w:rPr>
          <w:iCs/>
          <w:color w:val="000000" w:themeColor="text1"/>
        </w:rPr>
        <w:t>estimated annual time</w:t>
      </w:r>
      <w:r w:rsidRPr="005366CD">
        <w:rPr>
          <w:iCs/>
          <w:color w:val="000000" w:themeColor="text1"/>
        </w:rPr>
        <w:t xml:space="preserve"> burden </w:t>
      </w:r>
      <w:r w:rsidRPr="005366CD" w:rsidR="007247AB">
        <w:rPr>
          <w:iCs/>
          <w:color w:val="000000" w:themeColor="text1"/>
        </w:rPr>
        <w:t>decreased from 1,100 hour</w:t>
      </w:r>
      <w:r w:rsidR="00A20E71">
        <w:rPr>
          <w:iCs/>
          <w:color w:val="000000" w:themeColor="text1"/>
        </w:rPr>
        <w:t>s</w:t>
      </w:r>
      <w:r w:rsidRPr="005366CD" w:rsidR="007247AB">
        <w:rPr>
          <w:iCs/>
          <w:color w:val="000000" w:themeColor="text1"/>
        </w:rPr>
        <w:t xml:space="preserve"> to 1,001 due to a decrease in the number of respon</w:t>
      </w:r>
      <w:r w:rsidR="00CC557D">
        <w:rPr>
          <w:iCs/>
          <w:color w:val="000000" w:themeColor="text1"/>
        </w:rPr>
        <w:t>se</w:t>
      </w:r>
      <w:r w:rsidRPr="005366CD" w:rsidR="007247AB">
        <w:rPr>
          <w:iCs/>
          <w:color w:val="000000" w:themeColor="text1"/>
        </w:rPr>
        <w:t xml:space="preserve">s. </w:t>
      </w:r>
    </w:p>
    <w:p w:rsidR="008F7DDE" w:rsidRPr="005366CD" w:rsidP="004A22F3" w14:paraId="7BF5E8AB" w14:textId="77777777">
      <w:pPr>
        <w:widowControl/>
        <w:rPr>
          <w:iCs/>
          <w:color w:val="000000" w:themeColor="text1"/>
        </w:rPr>
      </w:pPr>
    </w:p>
    <w:p w:rsidR="008F7DDE" w:rsidRPr="005366CD" w:rsidP="004A22F3" w14:paraId="23EBE0D5" w14:textId="1B9053EB">
      <w:pPr>
        <w:widowControl/>
        <w:rPr>
          <w:iCs/>
          <w:color w:val="000000" w:themeColor="text1"/>
        </w:rPr>
      </w:pPr>
      <w:bookmarkStart w:id="53" w:name="_Hlk161302820"/>
      <w:r w:rsidRPr="005366CD">
        <w:rPr>
          <w:iCs/>
          <w:color w:val="000000" w:themeColor="text1"/>
          <w:u w:val="single"/>
        </w:rPr>
        <w:t xml:space="preserve">Annual </w:t>
      </w:r>
      <w:r w:rsidRPr="005366CD" w:rsidR="002E69F9">
        <w:rPr>
          <w:iCs/>
          <w:color w:val="000000" w:themeColor="text1"/>
          <w:u w:val="single"/>
        </w:rPr>
        <w:t>Recordkeep</w:t>
      </w:r>
      <w:r w:rsidR="000E408B">
        <w:rPr>
          <w:iCs/>
          <w:color w:val="000000" w:themeColor="text1"/>
          <w:u w:val="single"/>
        </w:rPr>
        <w:t>ing</w:t>
      </w:r>
      <w:r w:rsidRPr="005366CD" w:rsidR="002E69F9">
        <w:rPr>
          <w:iCs/>
          <w:color w:val="000000" w:themeColor="text1"/>
          <w:u w:val="single"/>
        </w:rPr>
        <w:t xml:space="preserve"> </w:t>
      </w:r>
      <w:r w:rsidRPr="005366CD">
        <w:rPr>
          <w:iCs/>
          <w:color w:val="000000" w:themeColor="text1"/>
          <w:u w:val="single"/>
        </w:rPr>
        <w:t>Costs</w:t>
      </w:r>
      <w:bookmarkEnd w:id="53"/>
      <w:r w:rsidRPr="005366CD">
        <w:rPr>
          <w:iCs/>
          <w:color w:val="000000" w:themeColor="text1"/>
        </w:rPr>
        <w:t xml:space="preserve">: The estimated annual </w:t>
      </w:r>
      <w:r w:rsidRPr="005366CD" w:rsidR="00EA6474">
        <w:rPr>
          <w:iCs/>
          <w:color w:val="000000" w:themeColor="text1"/>
        </w:rPr>
        <w:t xml:space="preserve">other burden </w:t>
      </w:r>
      <w:r w:rsidRPr="005366CD">
        <w:rPr>
          <w:iCs/>
          <w:color w:val="000000" w:themeColor="text1"/>
        </w:rPr>
        <w:t xml:space="preserve">cost </w:t>
      </w:r>
      <w:r w:rsidRPr="005366CD" w:rsidR="007D670D">
        <w:rPr>
          <w:iCs/>
          <w:color w:val="000000" w:themeColor="text1"/>
        </w:rPr>
        <w:t xml:space="preserve">decreased from $35 to $30 due to a decrease in the number of </w:t>
      </w:r>
      <w:r w:rsidR="00A21CF8">
        <w:rPr>
          <w:iCs/>
          <w:color w:val="000000" w:themeColor="text1"/>
        </w:rPr>
        <w:t>mailed plan</w:t>
      </w:r>
      <w:r w:rsidRPr="005366CD" w:rsidR="007D670D">
        <w:rPr>
          <w:iCs/>
          <w:color w:val="000000" w:themeColor="text1"/>
        </w:rPr>
        <w:t xml:space="preserve">s. </w:t>
      </w:r>
    </w:p>
    <w:bookmarkEnd w:id="0"/>
    <w:p w:rsidR="00DC6F28" w14:paraId="30C26D60" w14:textId="671509D6">
      <w:pPr>
        <w:widowControl/>
        <w:autoSpaceDE/>
        <w:autoSpaceDN/>
        <w:adjustRightInd/>
        <w:spacing w:after="160" w:line="259" w:lineRule="auto"/>
        <w:rPr>
          <w:b/>
          <w:bCs/>
        </w:rPr>
      </w:pPr>
    </w:p>
    <w:p w:rsidR="00EA6474" w:rsidRPr="00765073" w:rsidP="004A22F3" w14:paraId="00732E73" w14:textId="1AA7C1CC">
      <w:pPr>
        <w:rPr>
          <w:b/>
          <w:bCs/>
          <w:szCs w:val="22"/>
        </w:rPr>
      </w:pPr>
      <w:r w:rsidRPr="00765073">
        <w:rPr>
          <w:b/>
          <w:bCs/>
        </w:rPr>
        <w:t>Table 15-1</w:t>
      </w:r>
      <w:r w:rsidRPr="00765073">
        <w:rPr>
          <w:b/>
          <w:bCs/>
        </w:rPr>
        <w:t>. Summary of Changes</w:t>
      </w:r>
      <w:r w:rsidRPr="00765073">
        <w:rPr>
          <w:b/>
          <w:bCs/>
        </w:rPr>
        <w:t xml:space="preserve"> </w:t>
      </w:r>
    </w:p>
    <w:tbl>
      <w:tblPr>
        <w:tblStyle w:val="TableGrid"/>
        <w:tblW w:w="8447" w:type="dxa"/>
        <w:tblLook w:val="04A0"/>
      </w:tblPr>
      <w:tblGrid>
        <w:gridCol w:w="3505"/>
        <w:gridCol w:w="1816"/>
        <w:gridCol w:w="1694"/>
        <w:gridCol w:w="1432"/>
      </w:tblGrid>
      <w:tr w14:paraId="32319052" w14:textId="77777777" w:rsidTr="00E57216">
        <w:tblPrEx>
          <w:tblW w:w="8447" w:type="dxa"/>
          <w:tblLook w:val="04A0"/>
        </w:tblPrEx>
        <w:trPr>
          <w:trHeight w:val="306"/>
        </w:trPr>
        <w:tc>
          <w:tcPr>
            <w:tcW w:w="3505" w:type="dxa"/>
            <w:shd w:val="clear" w:color="auto" w:fill="8EAADB" w:themeFill="accent1" w:themeFillTint="99"/>
            <w:noWrap/>
            <w:hideMark/>
          </w:tcPr>
          <w:p w:rsidR="009B782E" w:rsidRPr="00765073" w:rsidP="004A22F3" w14:paraId="512D63FD"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9B782E" w:rsidRPr="00765073" w:rsidP="004A22F3" w14:paraId="5561B474" w14:textId="0216570E">
            <w:pPr>
              <w:pStyle w:val="Default"/>
              <w:jc w:val="center"/>
              <w:rPr>
                <w:rFonts w:ascii="Times New Roman" w:hAnsi="Times New Roman" w:cs="Times New Roman"/>
                <w:sz w:val="20"/>
                <w:szCs w:val="20"/>
              </w:rPr>
            </w:pPr>
            <w:r w:rsidRPr="00765073">
              <w:rPr>
                <w:rFonts w:ascii="Times New Roman" w:hAnsi="Times New Roman" w:cs="Times New Roman"/>
                <w:sz w:val="20"/>
                <w:szCs w:val="20"/>
              </w:rPr>
              <w:t>Currently Approved ICR</w:t>
            </w:r>
          </w:p>
        </w:tc>
        <w:tc>
          <w:tcPr>
            <w:tcW w:w="1694" w:type="dxa"/>
            <w:shd w:val="clear" w:color="auto" w:fill="8EAADB" w:themeFill="accent1" w:themeFillTint="99"/>
            <w:vAlign w:val="bottom"/>
          </w:tcPr>
          <w:p w:rsidR="009B782E" w:rsidRPr="00765073" w:rsidP="00E57216" w14:paraId="2054B44A" w14:textId="1C9BAA5F">
            <w:pPr>
              <w:pStyle w:val="Default"/>
              <w:jc w:val="center"/>
              <w:rPr>
                <w:rFonts w:ascii="Times New Roman" w:hAnsi="Times New Roman" w:cs="Times New Roman"/>
                <w:sz w:val="20"/>
                <w:szCs w:val="20"/>
              </w:rPr>
            </w:pPr>
            <w:r w:rsidRPr="00765073">
              <w:rPr>
                <w:rFonts w:ascii="Times New Roman" w:hAnsi="Times New Roman" w:cs="Times New Roman"/>
                <w:sz w:val="20"/>
                <w:szCs w:val="20"/>
              </w:rPr>
              <w:t>Update</w:t>
            </w:r>
            <w:r w:rsidRPr="00765073">
              <w:rPr>
                <w:rFonts w:ascii="Times New Roman" w:hAnsi="Times New Roman" w:cs="Times New Roman"/>
                <w:sz w:val="20"/>
                <w:szCs w:val="20"/>
              </w:rPr>
              <w:t>d ICR</w:t>
            </w:r>
          </w:p>
        </w:tc>
        <w:tc>
          <w:tcPr>
            <w:tcW w:w="1432" w:type="dxa"/>
            <w:shd w:val="clear" w:color="auto" w:fill="8EAADB" w:themeFill="accent1" w:themeFillTint="99"/>
            <w:noWrap/>
            <w:vAlign w:val="bottom"/>
            <w:hideMark/>
          </w:tcPr>
          <w:p w:rsidR="009B782E" w:rsidRPr="00765073" w:rsidP="00E57216" w14:paraId="6C952ECE" w14:textId="20B83079">
            <w:pPr>
              <w:pStyle w:val="Default"/>
              <w:jc w:val="center"/>
              <w:rPr>
                <w:rFonts w:ascii="Times New Roman" w:hAnsi="Times New Roman" w:cs="Times New Roman"/>
                <w:sz w:val="20"/>
                <w:szCs w:val="20"/>
              </w:rPr>
            </w:pPr>
            <w:r w:rsidRPr="00765073">
              <w:rPr>
                <w:rFonts w:ascii="Times New Roman" w:hAnsi="Times New Roman" w:cs="Times New Roman"/>
                <w:sz w:val="20"/>
                <w:szCs w:val="20"/>
              </w:rPr>
              <w:t>Difference</w:t>
            </w:r>
          </w:p>
        </w:tc>
      </w:tr>
      <w:tr w14:paraId="4457D028" w14:textId="77777777" w:rsidTr="007628FE">
        <w:tblPrEx>
          <w:tblW w:w="8447" w:type="dxa"/>
          <w:tblLook w:val="04A0"/>
        </w:tblPrEx>
        <w:trPr>
          <w:trHeight w:val="322"/>
        </w:trPr>
        <w:tc>
          <w:tcPr>
            <w:tcW w:w="3505" w:type="dxa"/>
            <w:noWrap/>
            <w:vAlign w:val="center"/>
            <w:hideMark/>
          </w:tcPr>
          <w:p w:rsidR="009F1D6B" w:rsidRPr="00765073" w:rsidP="009F1D6B" w14:paraId="327A5A74" w14:textId="77777777">
            <w:pPr>
              <w:pStyle w:val="Default"/>
              <w:rPr>
                <w:rFonts w:ascii="Times New Roman" w:hAnsi="Times New Roman" w:cs="Times New Roman"/>
                <w:sz w:val="20"/>
                <w:szCs w:val="20"/>
              </w:rPr>
            </w:pPr>
            <w:r w:rsidRPr="00765073">
              <w:rPr>
                <w:rFonts w:ascii="Times New Roman" w:hAnsi="Times New Roman" w:cs="Times New Roman"/>
                <w:sz w:val="20"/>
                <w:szCs w:val="20"/>
              </w:rPr>
              <w:t>Number of Respondents</w:t>
            </w:r>
          </w:p>
        </w:tc>
        <w:tc>
          <w:tcPr>
            <w:tcW w:w="1816" w:type="dxa"/>
            <w:noWrap/>
            <w:vAlign w:val="center"/>
          </w:tcPr>
          <w:p w:rsidR="009F1D6B" w:rsidRPr="009F1D6B" w:rsidP="009F1D6B" w14:paraId="1AECE49E" w14:textId="182BC7AF">
            <w:pPr>
              <w:pStyle w:val="Default"/>
              <w:jc w:val="right"/>
              <w:rPr>
                <w:rFonts w:ascii="Times New Roman" w:hAnsi="Times New Roman" w:cs="Times New Roman"/>
                <w:sz w:val="20"/>
                <w:szCs w:val="20"/>
              </w:rPr>
            </w:pPr>
            <w:r w:rsidRPr="005366CD">
              <w:rPr>
                <w:rFonts w:ascii="Times New Roman" w:hAnsi="Times New Roman" w:cs="Times New Roman"/>
                <w:sz w:val="20"/>
                <w:szCs w:val="20"/>
              </w:rPr>
              <w:t>24</w:t>
            </w:r>
          </w:p>
        </w:tc>
        <w:tc>
          <w:tcPr>
            <w:tcW w:w="1694" w:type="dxa"/>
            <w:vAlign w:val="center"/>
          </w:tcPr>
          <w:p w:rsidR="009F1D6B" w:rsidRPr="009F1D6B" w:rsidP="009F1D6B" w14:paraId="0D0B3806" w14:textId="08E9AB83">
            <w:pPr>
              <w:pStyle w:val="Default"/>
              <w:jc w:val="right"/>
              <w:rPr>
                <w:rFonts w:ascii="Times New Roman" w:hAnsi="Times New Roman" w:cs="Times New Roman"/>
                <w:sz w:val="20"/>
                <w:szCs w:val="20"/>
              </w:rPr>
            </w:pPr>
            <w:r w:rsidRPr="005366CD">
              <w:rPr>
                <w:rFonts w:ascii="Times New Roman" w:hAnsi="Times New Roman" w:cs="Times New Roman"/>
                <w:sz w:val="20"/>
                <w:szCs w:val="20"/>
              </w:rPr>
              <w:t>20</w:t>
            </w:r>
          </w:p>
        </w:tc>
        <w:tc>
          <w:tcPr>
            <w:tcW w:w="1432" w:type="dxa"/>
            <w:noWrap/>
            <w:vAlign w:val="center"/>
          </w:tcPr>
          <w:p w:rsidR="009F1D6B" w:rsidRPr="009F1D6B" w:rsidP="009F1D6B" w14:paraId="0271019F" w14:textId="5C55E880">
            <w:pPr>
              <w:pStyle w:val="Default"/>
              <w:jc w:val="right"/>
              <w:rPr>
                <w:rFonts w:ascii="Times New Roman" w:hAnsi="Times New Roman" w:cs="Times New Roman"/>
                <w:sz w:val="20"/>
                <w:szCs w:val="20"/>
              </w:rPr>
            </w:pPr>
            <w:r w:rsidRPr="005366CD">
              <w:rPr>
                <w:rFonts w:ascii="Times New Roman" w:hAnsi="Times New Roman" w:cs="Times New Roman"/>
                <w:sz w:val="20"/>
                <w:szCs w:val="20"/>
              </w:rPr>
              <w:t>-4</w:t>
            </w:r>
          </w:p>
        </w:tc>
      </w:tr>
      <w:tr w14:paraId="764610AB" w14:textId="77777777" w:rsidTr="007628FE">
        <w:tblPrEx>
          <w:tblW w:w="8447" w:type="dxa"/>
          <w:tblLook w:val="04A0"/>
        </w:tblPrEx>
        <w:trPr>
          <w:trHeight w:val="322"/>
        </w:trPr>
        <w:tc>
          <w:tcPr>
            <w:tcW w:w="3505" w:type="dxa"/>
            <w:noWrap/>
            <w:vAlign w:val="center"/>
            <w:hideMark/>
          </w:tcPr>
          <w:p w:rsidR="009F1D6B" w:rsidRPr="00765073" w:rsidP="009F1D6B" w14:paraId="77D96C7E" w14:textId="77777777">
            <w:pPr>
              <w:pStyle w:val="Default"/>
              <w:rPr>
                <w:rFonts w:ascii="Times New Roman" w:hAnsi="Times New Roman" w:cs="Times New Roman"/>
                <w:sz w:val="20"/>
                <w:szCs w:val="20"/>
              </w:rPr>
            </w:pPr>
            <w:r w:rsidRPr="00765073">
              <w:rPr>
                <w:rFonts w:ascii="Times New Roman" w:hAnsi="Times New Roman" w:cs="Times New Roman"/>
                <w:sz w:val="20"/>
                <w:szCs w:val="20"/>
              </w:rPr>
              <w:t>Number of Responses</w:t>
            </w:r>
          </w:p>
        </w:tc>
        <w:tc>
          <w:tcPr>
            <w:tcW w:w="1816" w:type="dxa"/>
            <w:noWrap/>
            <w:vAlign w:val="center"/>
          </w:tcPr>
          <w:p w:rsidR="009F1D6B" w:rsidRPr="009F1D6B" w:rsidP="009F1D6B" w14:paraId="6B240612" w14:textId="3A462FAD">
            <w:pPr>
              <w:pStyle w:val="Default"/>
              <w:jc w:val="right"/>
              <w:rPr>
                <w:rFonts w:ascii="Times New Roman" w:hAnsi="Times New Roman" w:cs="Times New Roman"/>
                <w:sz w:val="20"/>
                <w:szCs w:val="20"/>
              </w:rPr>
            </w:pPr>
            <w:r w:rsidRPr="005366CD">
              <w:rPr>
                <w:rFonts w:ascii="Times New Roman" w:hAnsi="Times New Roman" w:cs="Times New Roman"/>
                <w:sz w:val="20"/>
                <w:szCs w:val="20"/>
              </w:rPr>
              <w:t>55</w:t>
            </w:r>
          </w:p>
        </w:tc>
        <w:tc>
          <w:tcPr>
            <w:tcW w:w="1694" w:type="dxa"/>
            <w:vAlign w:val="center"/>
          </w:tcPr>
          <w:p w:rsidR="009F1D6B" w:rsidRPr="009F1D6B" w:rsidP="009F1D6B" w14:paraId="6009DABF" w14:textId="5A5E1E67">
            <w:pPr>
              <w:pStyle w:val="Default"/>
              <w:jc w:val="right"/>
              <w:rPr>
                <w:rFonts w:ascii="Times New Roman" w:hAnsi="Times New Roman" w:cs="Times New Roman"/>
                <w:sz w:val="20"/>
                <w:szCs w:val="20"/>
              </w:rPr>
            </w:pPr>
            <w:r w:rsidRPr="005366CD">
              <w:rPr>
                <w:rFonts w:ascii="Times New Roman" w:hAnsi="Times New Roman" w:cs="Times New Roman"/>
                <w:sz w:val="20"/>
                <w:szCs w:val="20"/>
              </w:rPr>
              <w:t>50</w:t>
            </w:r>
          </w:p>
        </w:tc>
        <w:tc>
          <w:tcPr>
            <w:tcW w:w="1432" w:type="dxa"/>
            <w:noWrap/>
            <w:vAlign w:val="center"/>
          </w:tcPr>
          <w:p w:rsidR="009F1D6B" w:rsidRPr="009F1D6B" w:rsidP="009F1D6B" w14:paraId="7519B51D" w14:textId="7D9456BA">
            <w:pPr>
              <w:pStyle w:val="Default"/>
              <w:jc w:val="right"/>
              <w:rPr>
                <w:rFonts w:ascii="Times New Roman" w:hAnsi="Times New Roman" w:cs="Times New Roman"/>
                <w:sz w:val="20"/>
                <w:szCs w:val="20"/>
              </w:rPr>
            </w:pPr>
            <w:r w:rsidRPr="005366CD">
              <w:rPr>
                <w:rFonts w:ascii="Times New Roman" w:hAnsi="Times New Roman" w:cs="Times New Roman"/>
                <w:sz w:val="20"/>
                <w:szCs w:val="20"/>
              </w:rPr>
              <w:t>-5</w:t>
            </w:r>
          </w:p>
        </w:tc>
      </w:tr>
      <w:tr w14:paraId="191D5E22" w14:textId="77777777" w:rsidTr="007628FE">
        <w:tblPrEx>
          <w:tblW w:w="8447" w:type="dxa"/>
          <w:tblLook w:val="04A0"/>
        </w:tblPrEx>
        <w:trPr>
          <w:trHeight w:val="322"/>
        </w:trPr>
        <w:tc>
          <w:tcPr>
            <w:tcW w:w="3505" w:type="dxa"/>
            <w:noWrap/>
            <w:vAlign w:val="center"/>
            <w:hideMark/>
          </w:tcPr>
          <w:p w:rsidR="009F1D6B" w:rsidRPr="00765073" w:rsidP="009F1D6B" w14:paraId="78FA6921" w14:textId="77777777">
            <w:pPr>
              <w:pStyle w:val="Default"/>
              <w:rPr>
                <w:rFonts w:ascii="Times New Roman" w:hAnsi="Times New Roman" w:cs="Times New Roman"/>
                <w:sz w:val="20"/>
                <w:szCs w:val="20"/>
              </w:rPr>
            </w:pPr>
            <w:r w:rsidRPr="00765073">
              <w:rPr>
                <w:rFonts w:ascii="Times New Roman" w:hAnsi="Times New Roman" w:cs="Times New Roman"/>
                <w:sz w:val="20"/>
                <w:szCs w:val="20"/>
              </w:rPr>
              <w:t>Annual Time Burden</w:t>
            </w:r>
          </w:p>
        </w:tc>
        <w:tc>
          <w:tcPr>
            <w:tcW w:w="1816" w:type="dxa"/>
            <w:noWrap/>
            <w:vAlign w:val="center"/>
          </w:tcPr>
          <w:p w:rsidR="009F1D6B" w:rsidRPr="009F1D6B" w:rsidP="009F1D6B" w14:paraId="399FFE51" w14:textId="4E55A63B">
            <w:pPr>
              <w:pStyle w:val="Default"/>
              <w:jc w:val="right"/>
              <w:rPr>
                <w:rFonts w:ascii="Times New Roman" w:hAnsi="Times New Roman" w:cs="Times New Roman"/>
                <w:sz w:val="20"/>
                <w:szCs w:val="20"/>
              </w:rPr>
            </w:pPr>
            <w:r w:rsidRPr="005366CD">
              <w:rPr>
                <w:rFonts w:ascii="Times New Roman" w:hAnsi="Times New Roman" w:cs="Times New Roman"/>
                <w:sz w:val="20"/>
                <w:szCs w:val="20"/>
              </w:rPr>
              <w:t>1,100</w:t>
            </w:r>
          </w:p>
        </w:tc>
        <w:tc>
          <w:tcPr>
            <w:tcW w:w="1694" w:type="dxa"/>
            <w:vAlign w:val="center"/>
          </w:tcPr>
          <w:p w:rsidR="009F1D6B" w:rsidRPr="009F1D6B" w:rsidP="009F1D6B" w14:paraId="49EC2F7C" w14:textId="433C78E2">
            <w:pPr>
              <w:pStyle w:val="Default"/>
              <w:jc w:val="right"/>
              <w:rPr>
                <w:rFonts w:ascii="Times New Roman" w:hAnsi="Times New Roman" w:cs="Times New Roman"/>
                <w:sz w:val="20"/>
                <w:szCs w:val="20"/>
              </w:rPr>
            </w:pPr>
            <w:r w:rsidRPr="005366CD">
              <w:rPr>
                <w:rFonts w:ascii="Times New Roman" w:hAnsi="Times New Roman" w:cs="Times New Roman"/>
                <w:sz w:val="20"/>
                <w:szCs w:val="20"/>
              </w:rPr>
              <w:t>1,001</w:t>
            </w:r>
          </w:p>
        </w:tc>
        <w:tc>
          <w:tcPr>
            <w:tcW w:w="1432" w:type="dxa"/>
            <w:noWrap/>
            <w:vAlign w:val="center"/>
          </w:tcPr>
          <w:p w:rsidR="009F1D6B" w:rsidRPr="009F1D6B" w:rsidP="009F1D6B" w14:paraId="04E67B85" w14:textId="1ED3EDCE">
            <w:pPr>
              <w:pStyle w:val="Default"/>
              <w:jc w:val="right"/>
              <w:rPr>
                <w:rFonts w:ascii="Times New Roman" w:hAnsi="Times New Roman" w:cs="Times New Roman"/>
                <w:sz w:val="20"/>
                <w:szCs w:val="20"/>
              </w:rPr>
            </w:pPr>
            <w:r w:rsidRPr="005366CD">
              <w:rPr>
                <w:rFonts w:ascii="Times New Roman" w:hAnsi="Times New Roman" w:cs="Times New Roman"/>
                <w:sz w:val="20"/>
                <w:szCs w:val="20"/>
              </w:rPr>
              <w:t>-99</w:t>
            </w:r>
          </w:p>
        </w:tc>
      </w:tr>
      <w:tr w14:paraId="57E25265" w14:textId="77777777" w:rsidTr="007628FE">
        <w:tblPrEx>
          <w:tblW w:w="8447" w:type="dxa"/>
          <w:tblLook w:val="04A0"/>
        </w:tblPrEx>
        <w:trPr>
          <w:trHeight w:val="322"/>
        </w:trPr>
        <w:tc>
          <w:tcPr>
            <w:tcW w:w="3505" w:type="dxa"/>
            <w:noWrap/>
            <w:vAlign w:val="center"/>
            <w:hideMark/>
          </w:tcPr>
          <w:p w:rsidR="009F1D6B" w:rsidRPr="00765073" w:rsidP="009F1D6B" w14:paraId="43397790" w14:textId="361D6CB0">
            <w:pPr>
              <w:pStyle w:val="Default"/>
              <w:rPr>
                <w:rFonts w:ascii="Times New Roman" w:hAnsi="Times New Roman" w:cs="Times New Roman"/>
                <w:sz w:val="20"/>
                <w:szCs w:val="20"/>
              </w:rPr>
            </w:pPr>
            <w:r w:rsidRPr="00765073">
              <w:rPr>
                <w:rFonts w:ascii="Times New Roman" w:hAnsi="Times New Roman" w:cs="Times New Roman"/>
                <w:sz w:val="20"/>
                <w:szCs w:val="20"/>
              </w:rPr>
              <w:t>Annual Recordkeep</w:t>
            </w:r>
            <w:r w:rsidR="000E408B">
              <w:rPr>
                <w:rFonts w:ascii="Times New Roman" w:hAnsi="Times New Roman" w:cs="Times New Roman"/>
                <w:sz w:val="20"/>
                <w:szCs w:val="20"/>
              </w:rPr>
              <w:t>ing</w:t>
            </w:r>
            <w:r w:rsidRPr="00765073">
              <w:rPr>
                <w:rFonts w:ascii="Times New Roman" w:hAnsi="Times New Roman" w:cs="Times New Roman"/>
                <w:sz w:val="20"/>
                <w:szCs w:val="20"/>
              </w:rPr>
              <w:t xml:space="preserve"> Costs </w:t>
            </w:r>
          </w:p>
        </w:tc>
        <w:tc>
          <w:tcPr>
            <w:tcW w:w="1816" w:type="dxa"/>
            <w:noWrap/>
            <w:vAlign w:val="center"/>
            <w:hideMark/>
          </w:tcPr>
          <w:p w:rsidR="009F1D6B" w:rsidRPr="009F1D6B" w:rsidP="009F1D6B" w14:paraId="0EACAF73" w14:textId="712728AA">
            <w:pPr>
              <w:pStyle w:val="Default"/>
              <w:jc w:val="right"/>
              <w:rPr>
                <w:rFonts w:ascii="Times New Roman" w:hAnsi="Times New Roman" w:cs="Times New Roman"/>
                <w:sz w:val="20"/>
                <w:szCs w:val="20"/>
              </w:rPr>
            </w:pPr>
            <w:r w:rsidRPr="005366CD">
              <w:rPr>
                <w:rFonts w:ascii="Times New Roman" w:hAnsi="Times New Roman" w:cs="Times New Roman"/>
                <w:sz w:val="20"/>
                <w:szCs w:val="20"/>
              </w:rPr>
              <w:t>$35</w:t>
            </w:r>
          </w:p>
        </w:tc>
        <w:tc>
          <w:tcPr>
            <w:tcW w:w="1694" w:type="dxa"/>
            <w:vAlign w:val="center"/>
          </w:tcPr>
          <w:p w:rsidR="009F1D6B" w:rsidRPr="009F1D6B" w:rsidP="009F1D6B" w14:paraId="11D383FB" w14:textId="69E80914">
            <w:pPr>
              <w:pStyle w:val="Default"/>
              <w:jc w:val="right"/>
              <w:rPr>
                <w:rFonts w:ascii="Times New Roman" w:hAnsi="Times New Roman" w:cs="Times New Roman"/>
                <w:sz w:val="20"/>
                <w:szCs w:val="20"/>
              </w:rPr>
            </w:pPr>
            <w:r w:rsidRPr="005366CD">
              <w:rPr>
                <w:rFonts w:ascii="Times New Roman" w:hAnsi="Times New Roman" w:cs="Times New Roman"/>
                <w:sz w:val="20"/>
                <w:szCs w:val="20"/>
              </w:rPr>
              <w:t>$30</w:t>
            </w:r>
          </w:p>
        </w:tc>
        <w:tc>
          <w:tcPr>
            <w:tcW w:w="1432" w:type="dxa"/>
            <w:noWrap/>
            <w:vAlign w:val="center"/>
            <w:hideMark/>
          </w:tcPr>
          <w:p w:rsidR="009F1D6B" w:rsidRPr="009F1D6B" w:rsidP="009F1D6B" w14:paraId="7A7AE64F" w14:textId="54F6EE79">
            <w:pPr>
              <w:pStyle w:val="Default"/>
              <w:jc w:val="right"/>
              <w:rPr>
                <w:rFonts w:ascii="Times New Roman" w:hAnsi="Times New Roman" w:cs="Times New Roman"/>
                <w:sz w:val="20"/>
                <w:szCs w:val="20"/>
              </w:rPr>
            </w:pPr>
            <w:r w:rsidRPr="005366CD">
              <w:rPr>
                <w:rFonts w:ascii="Times New Roman" w:hAnsi="Times New Roman" w:cs="Times New Roman"/>
                <w:sz w:val="20"/>
                <w:szCs w:val="20"/>
              </w:rPr>
              <w:t>-$5</w:t>
            </w:r>
          </w:p>
        </w:tc>
      </w:tr>
      <w:bookmarkEnd w:id="51"/>
      <w:bookmarkEnd w:id="52"/>
    </w:tbl>
    <w:p w:rsidR="00440FD0" w:rsidRPr="00765073" w:rsidP="004A22F3" w14:paraId="13D6483B" w14:textId="2C462059"/>
    <w:p w:rsidR="00BF6E22" w:rsidRPr="00765073" w:rsidP="004A22F3" w14:paraId="6FFB8F25" w14:textId="3AEB4E2F">
      <w:pPr>
        <w:rPr>
          <w:b/>
          <w:bCs/>
        </w:rPr>
      </w:pPr>
      <w:r w:rsidRPr="00765073">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765073" w:rsidP="004A22F3" w14:paraId="20AF7A3A" w14:textId="77777777"/>
    <w:p w:rsidR="00BF6E22" w:rsidRPr="00765073" w:rsidP="004A22F3" w14:paraId="06F0B93F" w14:textId="77777777">
      <w:r w:rsidRPr="00765073">
        <w:t>MSHA does not intend to publish the results of this information collection.</w:t>
      </w:r>
    </w:p>
    <w:p w:rsidR="00BF6E22" w:rsidRPr="00765073" w:rsidP="004A22F3" w14:paraId="5BFF65E0" w14:textId="77777777"/>
    <w:p w:rsidR="008C6AE0" w14:paraId="544E8C7D" w14:textId="77777777">
      <w:pPr>
        <w:widowControl/>
        <w:autoSpaceDE/>
        <w:autoSpaceDN/>
        <w:adjustRightInd/>
        <w:spacing w:after="160" w:line="259" w:lineRule="auto"/>
        <w:rPr>
          <w:b/>
          <w:bCs/>
        </w:rPr>
      </w:pPr>
      <w:r>
        <w:rPr>
          <w:b/>
          <w:bCs/>
        </w:rPr>
        <w:br w:type="page"/>
      </w:r>
    </w:p>
    <w:p w:rsidR="00BF6E22" w:rsidRPr="00765073" w:rsidP="004A22F3" w14:paraId="6FF420DB" w14:textId="2D2735FA">
      <w:pPr>
        <w:rPr>
          <w:b/>
          <w:bCs/>
        </w:rPr>
      </w:pPr>
      <w:r w:rsidRPr="00765073">
        <w:rPr>
          <w:b/>
          <w:bCs/>
        </w:rPr>
        <w:t>17. If seeking approval to not display the expiration date for OMB approval of the information collection, explain the reasons that display would be inappropriate.</w:t>
      </w:r>
    </w:p>
    <w:p w:rsidR="00BF6E22" w:rsidRPr="00765073" w:rsidP="004A22F3" w14:paraId="039D73A3" w14:textId="77777777"/>
    <w:p w:rsidR="00BF6E22" w:rsidRPr="00765073" w:rsidP="004A22F3" w14:paraId="4A69F447" w14:textId="77777777">
      <w:r w:rsidRPr="00765073">
        <w:t xml:space="preserve">MSHA is not seeking approval to not display the expiration date for OMB approval of this information collection </w:t>
      </w:r>
      <w:bookmarkStart w:id="54" w:name="_Hlk196824350"/>
      <w:r w:rsidRPr="00765073">
        <w:t>and there is no form associated with this collection</w:t>
      </w:r>
      <w:bookmarkEnd w:id="54"/>
      <w:r w:rsidRPr="00765073">
        <w:t>.</w:t>
      </w:r>
    </w:p>
    <w:p w:rsidR="00BF6E22" w:rsidRPr="00765073" w:rsidP="004A22F3" w14:paraId="5DCD2D3F" w14:textId="77777777"/>
    <w:p w:rsidR="00BF6E22" w:rsidRPr="00765073" w:rsidP="004A22F3" w14:paraId="234DA17B" w14:textId="77777777">
      <w:pPr>
        <w:rPr>
          <w:b/>
          <w:bCs/>
        </w:rPr>
      </w:pPr>
      <w:r w:rsidRPr="00765073">
        <w:rPr>
          <w:b/>
          <w:bCs/>
        </w:rPr>
        <w:t>18. Explain each exception to the topics of the certification statement identified in “Certification for Paperwork Reduction Act Submissions.”</w:t>
      </w:r>
    </w:p>
    <w:p w:rsidR="00BF6E22" w:rsidRPr="00765073" w:rsidP="004A22F3" w14:paraId="7438AC1E" w14:textId="77777777"/>
    <w:p w:rsidR="00BF6E22" w:rsidRPr="00765073" w:rsidP="004A22F3" w14:paraId="3D300332" w14:textId="77777777">
      <w:r w:rsidRPr="00765073">
        <w:t>There are no certification exceptions identified with this information collection.</w:t>
      </w:r>
    </w:p>
    <w:p w:rsidR="00BF6E22" w:rsidRPr="00765073" w:rsidP="004A22F3" w14:paraId="75F75839" w14:textId="77777777"/>
    <w:p w:rsidR="00BF6E22" w:rsidRPr="00765073" w:rsidP="004A22F3" w14:paraId="2D00725A" w14:textId="4C3A230C">
      <w:pPr>
        <w:rPr>
          <w:b/>
          <w:bCs/>
        </w:rPr>
      </w:pPr>
      <w:r w:rsidRPr="00765073">
        <w:rPr>
          <w:b/>
          <w:bCs/>
        </w:rPr>
        <w:t xml:space="preserve">B. Collections of </w:t>
      </w:r>
      <w:r w:rsidRPr="00765073" w:rsidR="009D7943">
        <w:rPr>
          <w:b/>
          <w:bCs/>
        </w:rPr>
        <w:t>i</w:t>
      </w:r>
      <w:r w:rsidRPr="00765073">
        <w:rPr>
          <w:b/>
          <w:bCs/>
        </w:rPr>
        <w:t xml:space="preserve">nformation </w:t>
      </w:r>
      <w:r w:rsidRPr="00765073" w:rsidR="009D7943">
        <w:rPr>
          <w:b/>
          <w:bCs/>
        </w:rPr>
        <w:t>e</w:t>
      </w:r>
      <w:r w:rsidRPr="00765073">
        <w:rPr>
          <w:b/>
          <w:bCs/>
        </w:rPr>
        <w:t xml:space="preserve">mploying </w:t>
      </w:r>
      <w:r w:rsidRPr="00765073" w:rsidR="009D7943">
        <w:rPr>
          <w:b/>
          <w:bCs/>
        </w:rPr>
        <w:t>s</w:t>
      </w:r>
      <w:r w:rsidRPr="00765073">
        <w:rPr>
          <w:b/>
          <w:bCs/>
        </w:rPr>
        <w:t xml:space="preserve">tatistical </w:t>
      </w:r>
      <w:r w:rsidRPr="00765073" w:rsidR="009D7943">
        <w:rPr>
          <w:b/>
          <w:bCs/>
        </w:rPr>
        <w:t>m</w:t>
      </w:r>
      <w:r w:rsidRPr="00765073">
        <w:rPr>
          <w:b/>
          <w:bCs/>
        </w:rPr>
        <w:t>ethods</w:t>
      </w:r>
    </w:p>
    <w:p w:rsidR="00BF6E22" w:rsidRPr="00765073" w:rsidP="004A22F3" w14:paraId="052FB30D" w14:textId="77777777"/>
    <w:p w:rsidR="00BF6E22" w:rsidRPr="00765073" w:rsidP="004A22F3" w14:paraId="1953C05D" w14:textId="11F4B0B9">
      <w:r w:rsidRPr="00765073">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TUR">
    <w:altName w:val="Courier New"/>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noProof/>
      </w:rPr>
    </w:sdtEndPr>
    <w:sdtContent>
      <w:p w:rsidR="00486656" w:rsidRPr="007628FE" w14:paraId="2E67DFAF" w14:textId="30071FF2">
        <w:pPr>
          <w:pStyle w:val="Footer"/>
          <w:jc w:val="center"/>
        </w:pPr>
        <w:r w:rsidRPr="007628FE">
          <w:fldChar w:fldCharType="begin"/>
        </w:r>
        <w:r w:rsidRPr="007628FE">
          <w:instrText xml:space="preserve"> PAGE   \* MERGEFORMAT </w:instrText>
        </w:r>
        <w:r w:rsidRPr="007628FE">
          <w:fldChar w:fldCharType="separate"/>
        </w:r>
        <w:r w:rsidRPr="007628FE">
          <w:rPr>
            <w:noProof/>
          </w:rPr>
          <w:t>2</w:t>
        </w:r>
        <w:r w:rsidRPr="007628FE">
          <w:rPr>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20FD" w:rsidP="008F7DDE" w14:paraId="4CBC9615" w14:textId="77777777">
      <w:r>
        <w:separator/>
      </w:r>
    </w:p>
  </w:footnote>
  <w:footnote w:type="continuationSeparator" w:id="1">
    <w:p w:rsidR="002820FD" w:rsidP="008F7DDE" w14:paraId="32FA48E4" w14:textId="77777777">
      <w:r>
        <w:continuationSeparator/>
      </w:r>
    </w:p>
  </w:footnote>
  <w:footnote w:type="continuationNotice" w:id="2">
    <w:p w:rsidR="002820FD" w14:paraId="7864117C" w14:textId="77777777"/>
  </w:footnote>
  <w:footnote w:id="3">
    <w:p w:rsidR="00B227F0" w:rsidRPr="00F72BA5" w:rsidP="00B227F0" w14:paraId="77A2222C" w14:textId="3D551C31">
      <w:pPr>
        <w:pStyle w:val="FootnoteText"/>
      </w:pPr>
      <w:bookmarkStart w:id="16" w:name="_Hlk189055246"/>
      <w:bookmarkStart w:id="17" w:name="_Hlk189055216"/>
      <w:r w:rsidRPr="00F72BA5">
        <w:rPr>
          <w:rStyle w:val="FootnoteReference"/>
        </w:rPr>
        <w:footnoteRef/>
      </w:r>
      <w:r w:rsidRPr="00F72BA5">
        <w:t xml:space="preserve"> </w:t>
      </w:r>
      <w:bookmarkEnd w:id="16"/>
      <w:r w:rsidRPr="00F72BA5">
        <w:t>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w:t>
      </w:r>
      <w:r w:rsidR="005C7FCF">
        <w:t xml:space="preserve">value of </w:t>
      </w:r>
      <w:r w:rsidRPr="00F72BA5">
        <w:t>final rate reflects the correct rounding and final estimate.</w:t>
      </w:r>
    </w:p>
    <w:bookmarkEnd w:id="17"/>
    <w:p w:rsidR="00B227F0" w:rsidRPr="00F72BA5" w:rsidP="00B227F0" w14:paraId="2205EF57" w14:textId="77777777">
      <w:pPr>
        <w:pStyle w:val="FootnoteText"/>
      </w:pPr>
    </w:p>
  </w:footnote>
  <w:footnote w:id="4">
    <w:p w:rsidR="00B227F0" w:rsidRPr="00F72BA5" w:rsidP="00B227F0" w14:paraId="58BBB219" w14:textId="3818483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history="1">
        <w:r w:rsidRPr="00A51E72" w:rsidR="00A51E72">
          <w:rPr>
            <w:rStyle w:val="Hyperlink"/>
          </w:rPr>
          <w:t>https://www.bls.gov/oes/oes_ques.htm</w:t>
        </w:r>
      </w:hyperlink>
      <w:r w:rsidRPr="00F72BA5">
        <w:t xml:space="preserve">. </w:t>
      </w:r>
      <w:bookmarkStart w:id="19" w:name="_Hlk172026849"/>
      <w:r w:rsidRPr="002A01B1" w:rsidR="002A01B1">
        <w:t>The average wage rate is calculated as the employment-weighted average of hourly mean wages for the occupation.</w:t>
      </w:r>
    </w:p>
    <w:bookmarkEnd w:id="19"/>
    <w:p w:rsidR="00B227F0" w:rsidRPr="00F72BA5" w:rsidP="00B227F0" w14:paraId="33AC4C96" w14:textId="77777777">
      <w:pPr>
        <w:pStyle w:val="FootnoteText"/>
      </w:pPr>
    </w:p>
  </w:footnote>
  <w:footnote w:id="5">
    <w:p w:rsidR="00B227F0" w:rsidRPr="00F72BA5" w:rsidP="00B227F0" w14:paraId="7402F8B8" w14:textId="4B4B484D">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5A369F6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5ECCE751">
      <w:pPr>
        <w:pStyle w:val="FootnoteText"/>
      </w:pPr>
      <w:r w:rsidRPr="00F72BA5">
        <w:rPr>
          <w:rStyle w:val="FootnoteReference"/>
        </w:rPr>
        <w:footnoteRef/>
      </w:r>
      <w:r w:rsidRPr="00F72BA5">
        <w:t xml:space="preserve"> </w:t>
      </w:r>
      <w:r w:rsidRPr="00F72BA5" w:rsidR="00901B8E">
        <w:t>MSHA use</w:t>
      </w:r>
      <w:r w:rsidR="00166CB1">
        <w:t>s</w:t>
      </w:r>
      <w:r w:rsidRPr="00F72BA5" w:rsidR="00901B8E">
        <w:t xml:space="preserve"> an overhead rate of 17 percent. This overhead rate is based on a 2002 EPA report by Cody Rice, "Wage Rates for Economic Analysis of the Toxics Release Inventory Program", available at </w:t>
      </w:r>
      <w:hyperlink r:id="rId5" w:history="1">
        <w:r w:rsidRPr="00F72BA5" w:rsidR="00901B8E">
          <w:rPr>
            <w:rStyle w:val="Hyperlink"/>
          </w:rPr>
          <w:t>https://www.regulations.gov/document/EPA-HQ-OPPT-2016-0387-0064</w:t>
        </w:r>
      </w:hyperlink>
      <w:r w:rsidRPr="00F72BA5" w:rsidR="00901B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4A4" w:rsidP="00A354A4" w14:paraId="6210DC95" w14:textId="78159193">
    <w:pPr>
      <w:pStyle w:val="Header"/>
    </w:pPr>
    <w:r w:rsidRPr="00861AC8">
      <w:t>Slope and Shaft Sinking Plans</w:t>
    </w:r>
    <w:r w:rsidRPr="00441CD3" w:rsidR="00441CD3">
      <w:t>, 30 CFR 77.1900 (Pertains to the Surface Work Areas of Underground Coal Mines)</w:t>
    </w:r>
  </w:p>
  <w:p w:rsidR="00A354A4" w:rsidRPr="005F2600" w:rsidP="00A354A4" w14:paraId="3BEB182C" w14:textId="77777777">
    <w:pPr>
      <w:pStyle w:val="Header"/>
    </w:pPr>
    <w:r w:rsidRPr="005F2600">
      <w:t>OMB Control N</w:t>
    </w:r>
    <w:r>
      <w:t>umber</w:t>
    </w:r>
    <w:r w:rsidRPr="005F2600">
      <w:t>: 1219-</w:t>
    </w:r>
    <w:r>
      <w:t>0019</w:t>
    </w:r>
  </w:p>
  <w:p w:rsidR="00A354A4" w:rsidRPr="005F2600" w:rsidP="00A354A4" w14:paraId="450B13DF" w14:textId="77777777">
    <w:pPr>
      <w:pStyle w:val="Header"/>
    </w:pPr>
    <w:r w:rsidRPr="005F2600">
      <w:t xml:space="preserve">OMB Expiration Date: </w:t>
    </w:r>
    <w:r>
      <w:t>7</w:t>
    </w:r>
    <w:r w:rsidRPr="005F2600">
      <w:t>/</w:t>
    </w:r>
    <w:r>
      <w:t>31</w:t>
    </w:r>
    <w:r w:rsidRPr="005F2600">
      <w:t>/202</w:t>
    </w:r>
    <w:r>
      <w:t>6</w:t>
    </w:r>
    <w:r w:rsidRPr="005F2600">
      <w:t xml:space="preserve"> </w:t>
    </w:r>
  </w:p>
  <w:p w:rsidR="005F2600" w14:paraId="3A8C5B1D" w14:textId="34DF1DDB">
    <w:pPr>
      <w:pStyle w:val="Header"/>
    </w:pPr>
  </w:p>
  <w:p w:rsidR="005F2600" w:rsidP="00D151F3"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C126D"/>
    <w:multiLevelType w:val="hybridMultilevel"/>
    <w:tmpl w:val="40406156"/>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37F5D"/>
    <w:multiLevelType w:val="hybridMultilevel"/>
    <w:tmpl w:val="EA2E7542"/>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715C4C"/>
    <w:multiLevelType w:val="hybridMultilevel"/>
    <w:tmpl w:val="52C0EDDC"/>
    <w:lvl w:ilvl="0">
      <w:start w:val="1"/>
      <w:numFmt w:val="upperRoman"/>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5">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C52BFB"/>
    <w:multiLevelType w:val="hybridMultilevel"/>
    <w:tmpl w:val="E74E1D2A"/>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6352D1"/>
    <w:multiLevelType w:val="hybridMultilevel"/>
    <w:tmpl w:val="2190F6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F74FB0"/>
    <w:multiLevelType w:val="hybridMultilevel"/>
    <w:tmpl w:val="CAB8764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0F78BB"/>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5"/>
  </w:num>
  <w:num w:numId="2" w16cid:durableId="150290488">
    <w:abstractNumId w:val="8"/>
  </w:num>
  <w:num w:numId="3" w16cid:durableId="1674651207">
    <w:abstractNumId w:val="3"/>
  </w:num>
  <w:num w:numId="4" w16cid:durableId="1621256169">
    <w:abstractNumId w:val="6"/>
  </w:num>
  <w:num w:numId="5" w16cid:durableId="510918898">
    <w:abstractNumId w:val="2"/>
  </w:num>
  <w:num w:numId="6" w16cid:durableId="579600951">
    <w:abstractNumId w:val="5"/>
  </w:num>
  <w:num w:numId="7" w16cid:durableId="1133324415">
    <w:abstractNumId w:val="16"/>
  </w:num>
  <w:num w:numId="8" w16cid:durableId="1291131469">
    <w:abstractNumId w:val="11"/>
  </w:num>
  <w:num w:numId="9" w16cid:durableId="1525441457">
    <w:abstractNumId w:val="14"/>
  </w:num>
  <w:num w:numId="10" w16cid:durableId="1831020027">
    <w:abstractNumId w:val="12"/>
  </w:num>
  <w:num w:numId="11" w16cid:durableId="251738593">
    <w:abstractNumId w:val="9"/>
  </w:num>
  <w:num w:numId="12" w16cid:durableId="2036078086">
    <w:abstractNumId w:val="17"/>
  </w:num>
  <w:num w:numId="13" w16cid:durableId="101001967">
    <w:abstractNumId w:val="13"/>
  </w:num>
  <w:num w:numId="14" w16cid:durableId="1576207530">
    <w:abstractNumId w:val="4"/>
  </w:num>
  <w:num w:numId="15" w16cid:durableId="126506709">
    <w:abstractNumId w:val="10"/>
  </w:num>
  <w:num w:numId="16" w16cid:durableId="458693566">
    <w:abstractNumId w:val="0"/>
  </w:num>
  <w:num w:numId="17" w16cid:durableId="454324855">
    <w:abstractNumId w:val="1"/>
  </w:num>
  <w:num w:numId="18" w16cid:durableId="282079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49FD"/>
    <w:rsid w:val="00005B1A"/>
    <w:rsid w:val="00013AE9"/>
    <w:rsid w:val="00013F80"/>
    <w:rsid w:val="00023728"/>
    <w:rsid w:val="0003653B"/>
    <w:rsid w:val="00046AA4"/>
    <w:rsid w:val="00047D03"/>
    <w:rsid w:val="00050108"/>
    <w:rsid w:val="00052BD8"/>
    <w:rsid w:val="00057069"/>
    <w:rsid w:val="00067776"/>
    <w:rsid w:val="00076CF1"/>
    <w:rsid w:val="0008102E"/>
    <w:rsid w:val="000810A2"/>
    <w:rsid w:val="00091FDE"/>
    <w:rsid w:val="000A1F21"/>
    <w:rsid w:val="000B1BBB"/>
    <w:rsid w:val="000C385C"/>
    <w:rsid w:val="000C4082"/>
    <w:rsid w:val="000D05B4"/>
    <w:rsid w:val="000D4093"/>
    <w:rsid w:val="000D5FB5"/>
    <w:rsid w:val="000E39D5"/>
    <w:rsid w:val="000E408B"/>
    <w:rsid w:val="000E4866"/>
    <w:rsid w:val="000E4ABD"/>
    <w:rsid w:val="000E4CA6"/>
    <w:rsid w:val="000E54A8"/>
    <w:rsid w:val="000F3AB4"/>
    <w:rsid w:val="000F6D56"/>
    <w:rsid w:val="000F724B"/>
    <w:rsid w:val="0010136C"/>
    <w:rsid w:val="00102205"/>
    <w:rsid w:val="00104F92"/>
    <w:rsid w:val="00107B8D"/>
    <w:rsid w:val="00116BCF"/>
    <w:rsid w:val="001173F9"/>
    <w:rsid w:val="00120AC2"/>
    <w:rsid w:val="001231DD"/>
    <w:rsid w:val="00130FC7"/>
    <w:rsid w:val="00133698"/>
    <w:rsid w:val="00133719"/>
    <w:rsid w:val="001411A7"/>
    <w:rsid w:val="001475F6"/>
    <w:rsid w:val="001477F7"/>
    <w:rsid w:val="00153BB8"/>
    <w:rsid w:val="0015585D"/>
    <w:rsid w:val="001567E1"/>
    <w:rsid w:val="001576A1"/>
    <w:rsid w:val="00166CB1"/>
    <w:rsid w:val="00171932"/>
    <w:rsid w:val="0017790E"/>
    <w:rsid w:val="00181DD6"/>
    <w:rsid w:val="00182BF3"/>
    <w:rsid w:val="001935AE"/>
    <w:rsid w:val="00193CF3"/>
    <w:rsid w:val="00194904"/>
    <w:rsid w:val="001A28D4"/>
    <w:rsid w:val="001A2F49"/>
    <w:rsid w:val="001B0307"/>
    <w:rsid w:val="001B2868"/>
    <w:rsid w:val="001B41E5"/>
    <w:rsid w:val="001B6016"/>
    <w:rsid w:val="001D2A78"/>
    <w:rsid w:val="001D40A5"/>
    <w:rsid w:val="001D7E02"/>
    <w:rsid w:val="001E0CC8"/>
    <w:rsid w:val="001E63E8"/>
    <w:rsid w:val="002002AA"/>
    <w:rsid w:val="00200E84"/>
    <w:rsid w:val="002146DB"/>
    <w:rsid w:val="002172D4"/>
    <w:rsid w:val="00225075"/>
    <w:rsid w:val="00225F4B"/>
    <w:rsid w:val="00226C01"/>
    <w:rsid w:val="0023107C"/>
    <w:rsid w:val="00232594"/>
    <w:rsid w:val="00236BA7"/>
    <w:rsid w:val="0024329C"/>
    <w:rsid w:val="00244765"/>
    <w:rsid w:val="002601E2"/>
    <w:rsid w:val="00263924"/>
    <w:rsid w:val="00267F6E"/>
    <w:rsid w:val="002820FD"/>
    <w:rsid w:val="00282329"/>
    <w:rsid w:val="00292484"/>
    <w:rsid w:val="0029325D"/>
    <w:rsid w:val="00294924"/>
    <w:rsid w:val="00294F2C"/>
    <w:rsid w:val="00296458"/>
    <w:rsid w:val="002A01B1"/>
    <w:rsid w:val="002A413D"/>
    <w:rsid w:val="002A4C25"/>
    <w:rsid w:val="002A6775"/>
    <w:rsid w:val="002B663F"/>
    <w:rsid w:val="002B7F3A"/>
    <w:rsid w:val="002D0F05"/>
    <w:rsid w:val="002D2B84"/>
    <w:rsid w:val="002D76E8"/>
    <w:rsid w:val="002E2754"/>
    <w:rsid w:val="002E435F"/>
    <w:rsid w:val="002E6374"/>
    <w:rsid w:val="002E69F9"/>
    <w:rsid w:val="002F57C6"/>
    <w:rsid w:val="00300D82"/>
    <w:rsid w:val="003049D9"/>
    <w:rsid w:val="00305993"/>
    <w:rsid w:val="00315F9D"/>
    <w:rsid w:val="0031756F"/>
    <w:rsid w:val="00325267"/>
    <w:rsid w:val="00327885"/>
    <w:rsid w:val="0033291C"/>
    <w:rsid w:val="00337135"/>
    <w:rsid w:val="0034283F"/>
    <w:rsid w:val="003447B5"/>
    <w:rsid w:val="0035106A"/>
    <w:rsid w:val="00355BCC"/>
    <w:rsid w:val="00360326"/>
    <w:rsid w:val="00360E57"/>
    <w:rsid w:val="00370D01"/>
    <w:rsid w:val="00372EC7"/>
    <w:rsid w:val="003752D3"/>
    <w:rsid w:val="00381CA8"/>
    <w:rsid w:val="00381FB4"/>
    <w:rsid w:val="003930C8"/>
    <w:rsid w:val="003B213F"/>
    <w:rsid w:val="003B4ACE"/>
    <w:rsid w:val="003C3E7A"/>
    <w:rsid w:val="003D117D"/>
    <w:rsid w:val="003D671C"/>
    <w:rsid w:val="003D7437"/>
    <w:rsid w:val="003E3F19"/>
    <w:rsid w:val="003E5A01"/>
    <w:rsid w:val="003E5DB2"/>
    <w:rsid w:val="003E630B"/>
    <w:rsid w:val="003F0141"/>
    <w:rsid w:val="003F2F28"/>
    <w:rsid w:val="003F52BC"/>
    <w:rsid w:val="003F5981"/>
    <w:rsid w:val="003F7F35"/>
    <w:rsid w:val="00404CA4"/>
    <w:rsid w:val="004070C7"/>
    <w:rsid w:val="004115C4"/>
    <w:rsid w:val="00412D31"/>
    <w:rsid w:val="004149A4"/>
    <w:rsid w:val="00415311"/>
    <w:rsid w:val="0042640E"/>
    <w:rsid w:val="00427BF3"/>
    <w:rsid w:val="00430C56"/>
    <w:rsid w:val="004334FA"/>
    <w:rsid w:val="00434266"/>
    <w:rsid w:val="00435E3D"/>
    <w:rsid w:val="00435EBD"/>
    <w:rsid w:val="00440FD0"/>
    <w:rsid w:val="00441CD3"/>
    <w:rsid w:val="00447252"/>
    <w:rsid w:val="00450899"/>
    <w:rsid w:val="0045114A"/>
    <w:rsid w:val="00451920"/>
    <w:rsid w:val="00452BDA"/>
    <w:rsid w:val="00474881"/>
    <w:rsid w:val="0048171D"/>
    <w:rsid w:val="004823B3"/>
    <w:rsid w:val="004826E9"/>
    <w:rsid w:val="00486656"/>
    <w:rsid w:val="00495D0A"/>
    <w:rsid w:val="00496E3B"/>
    <w:rsid w:val="004A22F3"/>
    <w:rsid w:val="004A3DC9"/>
    <w:rsid w:val="004B0ECC"/>
    <w:rsid w:val="004B41A1"/>
    <w:rsid w:val="004B66F7"/>
    <w:rsid w:val="004C01B4"/>
    <w:rsid w:val="004C1BB9"/>
    <w:rsid w:val="004C6E90"/>
    <w:rsid w:val="004D00D5"/>
    <w:rsid w:val="004D3B38"/>
    <w:rsid w:val="004E22B2"/>
    <w:rsid w:val="004E6A42"/>
    <w:rsid w:val="004E7140"/>
    <w:rsid w:val="004F1BB3"/>
    <w:rsid w:val="004F2736"/>
    <w:rsid w:val="004F5226"/>
    <w:rsid w:val="00500148"/>
    <w:rsid w:val="00502237"/>
    <w:rsid w:val="005039B1"/>
    <w:rsid w:val="005079F5"/>
    <w:rsid w:val="00511E47"/>
    <w:rsid w:val="00522EC1"/>
    <w:rsid w:val="00523CC5"/>
    <w:rsid w:val="00523EA8"/>
    <w:rsid w:val="00526725"/>
    <w:rsid w:val="00526A8C"/>
    <w:rsid w:val="00526DF2"/>
    <w:rsid w:val="00530F37"/>
    <w:rsid w:val="005366CD"/>
    <w:rsid w:val="005405E4"/>
    <w:rsid w:val="00541732"/>
    <w:rsid w:val="005435AA"/>
    <w:rsid w:val="005448B0"/>
    <w:rsid w:val="0054597C"/>
    <w:rsid w:val="00547B51"/>
    <w:rsid w:val="005512BE"/>
    <w:rsid w:val="00567826"/>
    <w:rsid w:val="00570372"/>
    <w:rsid w:val="005821B3"/>
    <w:rsid w:val="005829AD"/>
    <w:rsid w:val="005829C7"/>
    <w:rsid w:val="0058734D"/>
    <w:rsid w:val="00587619"/>
    <w:rsid w:val="0059136E"/>
    <w:rsid w:val="005972E0"/>
    <w:rsid w:val="005A0497"/>
    <w:rsid w:val="005A0BDD"/>
    <w:rsid w:val="005A27F6"/>
    <w:rsid w:val="005B37DA"/>
    <w:rsid w:val="005B55F7"/>
    <w:rsid w:val="005C0294"/>
    <w:rsid w:val="005C335D"/>
    <w:rsid w:val="005C4DD0"/>
    <w:rsid w:val="005C6CA9"/>
    <w:rsid w:val="005C7A82"/>
    <w:rsid w:val="005C7FCF"/>
    <w:rsid w:val="005D1278"/>
    <w:rsid w:val="005D15DB"/>
    <w:rsid w:val="005D7993"/>
    <w:rsid w:val="005E0AC8"/>
    <w:rsid w:val="005E1F20"/>
    <w:rsid w:val="005E589E"/>
    <w:rsid w:val="005F06E9"/>
    <w:rsid w:val="005F2070"/>
    <w:rsid w:val="005F2600"/>
    <w:rsid w:val="005F65AD"/>
    <w:rsid w:val="0061652D"/>
    <w:rsid w:val="00623AF3"/>
    <w:rsid w:val="00625D93"/>
    <w:rsid w:val="00627511"/>
    <w:rsid w:val="006302FA"/>
    <w:rsid w:val="00632834"/>
    <w:rsid w:val="006328CD"/>
    <w:rsid w:val="00641F0B"/>
    <w:rsid w:val="00643DA8"/>
    <w:rsid w:val="00646F89"/>
    <w:rsid w:val="0065264F"/>
    <w:rsid w:val="006538C1"/>
    <w:rsid w:val="006543ED"/>
    <w:rsid w:val="00670251"/>
    <w:rsid w:val="00670FC8"/>
    <w:rsid w:val="00673B68"/>
    <w:rsid w:val="00675C9A"/>
    <w:rsid w:val="00676C62"/>
    <w:rsid w:val="0067779A"/>
    <w:rsid w:val="00685C7E"/>
    <w:rsid w:val="00686001"/>
    <w:rsid w:val="0069248F"/>
    <w:rsid w:val="006967C0"/>
    <w:rsid w:val="00696DE6"/>
    <w:rsid w:val="0069721B"/>
    <w:rsid w:val="006A05E7"/>
    <w:rsid w:val="006A7860"/>
    <w:rsid w:val="006B4401"/>
    <w:rsid w:val="006B44B0"/>
    <w:rsid w:val="006C29C4"/>
    <w:rsid w:val="006C4124"/>
    <w:rsid w:val="006C46A7"/>
    <w:rsid w:val="006D266D"/>
    <w:rsid w:val="006D354B"/>
    <w:rsid w:val="006D762F"/>
    <w:rsid w:val="006D77D4"/>
    <w:rsid w:val="006E46BE"/>
    <w:rsid w:val="006E5535"/>
    <w:rsid w:val="006E6E0F"/>
    <w:rsid w:val="00706037"/>
    <w:rsid w:val="00715424"/>
    <w:rsid w:val="0071655A"/>
    <w:rsid w:val="00717914"/>
    <w:rsid w:val="00717A2F"/>
    <w:rsid w:val="0072223B"/>
    <w:rsid w:val="00722598"/>
    <w:rsid w:val="00724531"/>
    <w:rsid w:val="007247AB"/>
    <w:rsid w:val="007247CF"/>
    <w:rsid w:val="00725CCD"/>
    <w:rsid w:val="00726FE8"/>
    <w:rsid w:val="007318E3"/>
    <w:rsid w:val="00731BB3"/>
    <w:rsid w:val="007420EB"/>
    <w:rsid w:val="00746AFB"/>
    <w:rsid w:val="00746BEB"/>
    <w:rsid w:val="00760C09"/>
    <w:rsid w:val="007628FE"/>
    <w:rsid w:val="00765073"/>
    <w:rsid w:val="00765B25"/>
    <w:rsid w:val="007734DB"/>
    <w:rsid w:val="00774109"/>
    <w:rsid w:val="0077517A"/>
    <w:rsid w:val="0077559A"/>
    <w:rsid w:val="0078084A"/>
    <w:rsid w:val="007844C9"/>
    <w:rsid w:val="007863E3"/>
    <w:rsid w:val="00787226"/>
    <w:rsid w:val="007940B6"/>
    <w:rsid w:val="007A1540"/>
    <w:rsid w:val="007A32EA"/>
    <w:rsid w:val="007A6FD8"/>
    <w:rsid w:val="007B1873"/>
    <w:rsid w:val="007B3111"/>
    <w:rsid w:val="007B61CA"/>
    <w:rsid w:val="007C50C3"/>
    <w:rsid w:val="007C69B4"/>
    <w:rsid w:val="007C7BCB"/>
    <w:rsid w:val="007D250C"/>
    <w:rsid w:val="007D670D"/>
    <w:rsid w:val="007D6934"/>
    <w:rsid w:val="007E17D2"/>
    <w:rsid w:val="007E25D1"/>
    <w:rsid w:val="007E3200"/>
    <w:rsid w:val="007E5D54"/>
    <w:rsid w:val="007E6F31"/>
    <w:rsid w:val="007F14C4"/>
    <w:rsid w:val="007F7B38"/>
    <w:rsid w:val="00804B87"/>
    <w:rsid w:val="0080539E"/>
    <w:rsid w:val="008114B1"/>
    <w:rsid w:val="008125AC"/>
    <w:rsid w:val="00815310"/>
    <w:rsid w:val="00817660"/>
    <w:rsid w:val="0082378A"/>
    <w:rsid w:val="00831DFE"/>
    <w:rsid w:val="008354DA"/>
    <w:rsid w:val="00842921"/>
    <w:rsid w:val="00844D63"/>
    <w:rsid w:val="00850E32"/>
    <w:rsid w:val="00856424"/>
    <w:rsid w:val="00861AC8"/>
    <w:rsid w:val="00861B3F"/>
    <w:rsid w:val="00866831"/>
    <w:rsid w:val="00867990"/>
    <w:rsid w:val="00874C9C"/>
    <w:rsid w:val="00877AAC"/>
    <w:rsid w:val="00883AE8"/>
    <w:rsid w:val="00887A82"/>
    <w:rsid w:val="00893934"/>
    <w:rsid w:val="00896AAE"/>
    <w:rsid w:val="008A0297"/>
    <w:rsid w:val="008A1158"/>
    <w:rsid w:val="008A37DA"/>
    <w:rsid w:val="008B0138"/>
    <w:rsid w:val="008B3861"/>
    <w:rsid w:val="008B3F57"/>
    <w:rsid w:val="008B633A"/>
    <w:rsid w:val="008C0F50"/>
    <w:rsid w:val="008C1F83"/>
    <w:rsid w:val="008C3F7A"/>
    <w:rsid w:val="008C6AE0"/>
    <w:rsid w:val="008D0FFD"/>
    <w:rsid w:val="008D7A7D"/>
    <w:rsid w:val="008E0692"/>
    <w:rsid w:val="008E2EF6"/>
    <w:rsid w:val="008E680F"/>
    <w:rsid w:val="008E6AFA"/>
    <w:rsid w:val="008F149A"/>
    <w:rsid w:val="008F28B3"/>
    <w:rsid w:val="008F3B31"/>
    <w:rsid w:val="008F7DDE"/>
    <w:rsid w:val="00901B46"/>
    <w:rsid w:val="00901B8E"/>
    <w:rsid w:val="00907AF8"/>
    <w:rsid w:val="00912D9F"/>
    <w:rsid w:val="00931E96"/>
    <w:rsid w:val="00942C27"/>
    <w:rsid w:val="00952C31"/>
    <w:rsid w:val="00953221"/>
    <w:rsid w:val="00962503"/>
    <w:rsid w:val="00962C59"/>
    <w:rsid w:val="00963311"/>
    <w:rsid w:val="00965B90"/>
    <w:rsid w:val="0097052A"/>
    <w:rsid w:val="009706F4"/>
    <w:rsid w:val="009729A0"/>
    <w:rsid w:val="0098144C"/>
    <w:rsid w:val="00981AFF"/>
    <w:rsid w:val="009872AE"/>
    <w:rsid w:val="009977BF"/>
    <w:rsid w:val="00997877"/>
    <w:rsid w:val="009A1D89"/>
    <w:rsid w:val="009A3114"/>
    <w:rsid w:val="009A3438"/>
    <w:rsid w:val="009A3492"/>
    <w:rsid w:val="009A5D1D"/>
    <w:rsid w:val="009B6E04"/>
    <w:rsid w:val="009B782E"/>
    <w:rsid w:val="009B7D62"/>
    <w:rsid w:val="009C0402"/>
    <w:rsid w:val="009C501D"/>
    <w:rsid w:val="009C6DE3"/>
    <w:rsid w:val="009D7057"/>
    <w:rsid w:val="009D75F5"/>
    <w:rsid w:val="009D7943"/>
    <w:rsid w:val="009E31B2"/>
    <w:rsid w:val="009E65A6"/>
    <w:rsid w:val="009F163B"/>
    <w:rsid w:val="009F1D6B"/>
    <w:rsid w:val="009F2198"/>
    <w:rsid w:val="009F2ECF"/>
    <w:rsid w:val="009F40F2"/>
    <w:rsid w:val="009F621E"/>
    <w:rsid w:val="009F708E"/>
    <w:rsid w:val="009F7699"/>
    <w:rsid w:val="009F79D6"/>
    <w:rsid w:val="00A06511"/>
    <w:rsid w:val="00A0687E"/>
    <w:rsid w:val="00A1327C"/>
    <w:rsid w:val="00A15850"/>
    <w:rsid w:val="00A20E71"/>
    <w:rsid w:val="00A20EC9"/>
    <w:rsid w:val="00A21CF8"/>
    <w:rsid w:val="00A2452E"/>
    <w:rsid w:val="00A25F30"/>
    <w:rsid w:val="00A354A4"/>
    <w:rsid w:val="00A35679"/>
    <w:rsid w:val="00A50780"/>
    <w:rsid w:val="00A51E72"/>
    <w:rsid w:val="00A53C9A"/>
    <w:rsid w:val="00A54CAD"/>
    <w:rsid w:val="00A65412"/>
    <w:rsid w:val="00A6623F"/>
    <w:rsid w:val="00A663DB"/>
    <w:rsid w:val="00A737E6"/>
    <w:rsid w:val="00A906C0"/>
    <w:rsid w:val="00A908FE"/>
    <w:rsid w:val="00A91990"/>
    <w:rsid w:val="00A92727"/>
    <w:rsid w:val="00A94123"/>
    <w:rsid w:val="00A97690"/>
    <w:rsid w:val="00AA2F65"/>
    <w:rsid w:val="00AA3DC8"/>
    <w:rsid w:val="00AA3F77"/>
    <w:rsid w:val="00AA511A"/>
    <w:rsid w:val="00AA68DD"/>
    <w:rsid w:val="00AB76BD"/>
    <w:rsid w:val="00AC1377"/>
    <w:rsid w:val="00AC3344"/>
    <w:rsid w:val="00AC609E"/>
    <w:rsid w:val="00AC65AC"/>
    <w:rsid w:val="00AC7A6E"/>
    <w:rsid w:val="00AD5061"/>
    <w:rsid w:val="00AD607F"/>
    <w:rsid w:val="00AD7549"/>
    <w:rsid w:val="00AD7C7F"/>
    <w:rsid w:val="00AE1134"/>
    <w:rsid w:val="00AE4A36"/>
    <w:rsid w:val="00AF4FB1"/>
    <w:rsid w:val="00AF7379"/>
    <w:rsid w:val="00B03537"/>
    <w:rsid w:val="00B108CA"/>
    <w:rsid w:val="00B1307A"/>
    <w:rsid w:val="00B157B5"/>
    <w:rsid w:val="00B16B53"/>
    <w:rsid w:val="00B227F0"/>
    <w:rsid w:val="00B24B40"/>
    <w:rsid w:val="00B25BA3"/>
    <w:rsid w:val="00B30446"/>
    <w:rsid w:val="00B362EB"/>
    <w:rsid w:val="00B41CDC"/>
    <w:rsid w:val="00B45374"/>
    <w:rsid w:val="00B6376A"/>
    <w:rsid w:val="00B6778E"/>
    <w:rsid w:val="00B73C0A"/>
    <w:rsid w:val="00B814CC"/>
    <w:rsid w:val="00B81873"/>
    <w:rsid w:val="00B8413C"/>
    <w:rsid w:val="00B8503A"/>
    <w:rsid w:val="00B94D82"/>
    <w:rsid w:val="00B9733C"/>
    <w:rsid w:val="00B974C8"/>
    <w:rsid w:val="00BA12DF"/>
    <w:rsid w:val="00BA77EF"/>
    <w:rsid w:val="00BB26EE"/>
    <w:rsid w:val="00BB39FC"/>
    <w:rsid w:val="00BB4F67"/>
    <w:rsid w:val="00BB69F6"/>
    <w:rsid w:val="00BC060A"/>
    <w:rsid w:val="00BC2748"/>
    <w:rsid w:val="00BC2CDC"/>
    <w:rsid w:val="00BC5485"/>
    <w:rsid w:val="00BD2A4C"/>
    <w:rsid w:val="00BD3D2C"/>
    <w:rsid w:val="00BD7BA9"/>
    <w:rsid w:val="00BE0A15"/>
    <w:rsid w:val="00BE1604"/>
    <w:rsid w:val="00BE3949"/>
    <w:rsid w:val="00BE3CB3"/>
    <w:rsid w:val="00BF32A1"/>
    <w:rsid w:val="00BF3A3A"/>
    <w:rsid w:val="00BF6551"/>
    <w:rsid w:val="00BF65BF"/>
    <w:rsid w:val="00BF6E22"/>
    <w:rsid w:val="00C0163B"/>
    <w:rsid w:val="00C07C20"/>
    <w:rsid w:val="00C1442C"/>
    <w:rsid w:val="00C16F75"/>
    <w:rsid w:val="00C17B0C"/>
    <w:rsid w:val="00C3342A"/>
    <w:rsid w:val="00C33930"/>
    <w:rsid w:val="00C37B7A"/>
    <w:rsid w:val="00C44ACD"/>
    <w:rsid w:val="00C44AFB"/>
    <w:rsid w:val="00C45AE6"/>
    <w:rsid w:val="00C540AB"/>
    <w:rsid w:val="00C57125"/>
    <w:rsid w:val="00C63EB9"/>
    <w:rsid w:val="00C6558D"/>
    <w:rsid w:val="00C71E7C"/>
    <w:rsid w:val="00C73040"/>
    <w:rsid w:val="00C75CDF"/>
    <w:rsid w:val="00C76236"/>
    <w:rsid w:val="00C828A4"/>
    <w:rsid w:val="00C914E5"/>
    <w:rsid w:val="00C91CC1"/>
    <w:rsid w:val="00C91F5E"/>
    <w:rsid w:val="00C9513A"/>
    <w:rsid w:val="00C95E9B"/>
    <w:rsid w:val="00CA7EB9"/>
    <w:rsid w:val="00CB05C9"/>
    <w:rsid w:val="00CB0A6B"/>
    <w:rsid w:val="00CB30F1"/>
    <w:rsid w:val="00CB3898"/>
    <w:rsid w:val="00CB5144"/>
    <w:rsid w:val="00CB5D35"/>
    <w:rsid w:val="00CC557D"/>
    <w:rsid w:val="00CD484D"/>
    <w:rsid w:val="00CE0C07"/>
    <w:rsid w:val="00CE2C64"/>
    <w:rsid w:val="00CF1896"/>
    <w:rsid w:val="00CF18DC"/>
    <w:rsid w:val="00CF5302"/>
    <w:rsid w:val="00D00B16"/>
    <w:rsid w:val="00D02861"/>
    <w:rsid w:val="00D04952"/>
    <w:rsid w:val="00D07A35"/>
    <w:rsid w:val="00D10DDA"/>
    <w:rsid w:val="00D151F3"/>
    <w:rsid w:val="00D20DD6"/>
    <w:rsid w:val="00D21700"/>
    <w:rsid w:val="00D21E4C"/>
    <w:rsid w:val="00D22375"/>
    <w:rsid w:val="00D22CA0"/>
    <w:rsid w:val="00D2377B"/>
    <w:rsid w:val="00D23EC5"/>
    <w:rsid w:val="00D3155B"/>
    <w:rsid w:val="00D34EF6"/>
    <w:rsid w:val="00D35F15"/>
    <w:rsid w:val="00D364A9"/>
    <w:rsid w:val="00D37B4C"/>
    <w:rsid w:val="00D40D2C"/>
    <w:rsid w:val="00D4149C"/>
    <w:rsid w:val="00D4281C"/>
    <w:rsid w:val="00D47557"/>
    <w:rsid w:val="00D56763"/>
    <w:rsid w:val="00D57375"/>
    <w:rsid w:val="00D60D9E"/>
    <w:rsid w:val="00D642F1"/>
    <w:rsid w:val="00D660D7"/>
    <w:rsid w:val="00D70967"/>
    <w:rsid w:val="00D72082"/>
    <w:rsid w:val="00D73216"/>
    <w:rsid w:val="00D74549"/>
    <w:rsid w:val="00D757FD"/>
    <w:rsid w:val="00D75BE4"/>
    <w:rsid w:val="00D772BA"/>
    <w:rsid w:val="00D80F79"/>
    <w:rsid w:val="00D87B90"/>
    <w:rsid w:val="00DA3417"/>
    <w:rsid w:val="00DA3696"/>
    <w:rsid w:val="00DB025E"/>
    <w:rsid w:val="00DB29B6"/>
    <w:rsid w:val="00DB2DFB"/>
    <w:rsid w:val="00DC0CB7"/>
    <w:rsid w:val="00DC2CAF"/>
    <w:rsid w:val="00DC3EBC"/>
    <w:rsid w:val="00DC6F28"/>
    <w:rsid w:val="00DD2C9C"/>
    <w:rsid w:val="00DD39BA"/>
    <w:rsid w:val="00DD674B"/>
    <w:rsid w:val="00DD7116"/>
    <w:rsid w:val="00DE4161"/>
    <w:rsid w:val="00DE7817"/>
    <w:rsid w:val="00DE79FA"/>
    <w:rsid w:val="00DF3B0C"/>
    <w:rsid w:val="00E01FF0"/>
    <w:rsid w:val="00E07CFF"/>
    <w:rsid w:val="00E11557"/>
    <w:rsid w:val="00E132C9"/>
    <w:rsid w:val="00E16933"/>
    <w:rsid w:val="00E22270"/>
    <w:rsid w:val="00E249B9"/>
    <w:rsid w:val="00E24C36"/>
    <w:rsid w:val="00E272E9"/>
    <w:rsid w:val="00E31DFC"/>
    <w:rsid w:val="00E35FA7"/>
    <w:rsid w:val="00E40071"/>
    <w:rsid w:val="00E41CF0"/>
    <w:rsid w:val="00E53FBC"/>
    <w:rsid w:val="00E545FE"/>
    <w:rsid w:val="00E57216"/>
    <w:rsid w:val="00E65C0E"/>
    <w:rsid w:val="00E6699F"/>
    <w:rsid w:val="00E66DB8"/>
    <w:rsid w:val="00E67A23"/>
    <w:rsid w:val="00E67EA6"/>
    <w:rsid w:val="00E70329"/>
    <w:rsid w:val="00E765A2"/>
    <w:rsid w:val="00E807A0"/>
    <w:rsid w:val="00E81EA8"/>
    <w:rsid w:val="00E87A6F"/>
    <w:rsid w:val="00E90FAA"/>
    <w:rsid w:val="00E95830"/>
    <w:rsid w:val="00E97A80"/>
    <w:rsid w:val="00EA3744"/>
    <w:rsid w:val="00EA383A"/>
    <w:rsid w:val="00EA3BBD"/>
    <w:rsid w:val="00EA4E5E"/>
    <w:rsid w:val="00EA6474"/>
    <w:rsid w:val="00EB28C6"/>
    <w:rsid w:val="00EB338F"/>
    <w:rsid w:val="00EB362F"/>
    <w:rsid w:val="00EC1441"/>
    <w:rsid w:val="00EC1EC3"/>
    <w:rsid w:val="00EC24F3"/>
    <w:rsid w:val="00EC351F"/>
    <w:rsid w:val="00ED3D06"/>
    <w:rsid w:val="00EE10CF"/>
    <w:rsid w:val="00EE18E4"/>
    <w:rsid w:val="00EE1944"/>
    <w:rsid w:val="00EE47F7"/>
    <w:rsid w:val="00EE6A7A"/>
    <w:rsid w:val="00EF10C1"/>
    <w:rsid w:val="00EF1F76"/>
    <w:rsid w:val="00F01153"/>
    <w:rsid w:val="00F04D24"/>
    <w:rsid w:val="00F110CF"/>
    <w:rsid w:val="00F13390"/>
    <w:rsid w:val="00F15B5F"/>
    <w:rsid w:val="00F16D5F"/>
    <w:rsid w:val="00F16D8E"/>
    <w:rsid w:val="00F20786"/>
    <w:rsid w:val="00F33F86"/>
    <w:rsid w:val="00F34930"/>
    <w:rsid w:val="00F36DF8"/>
    <w:rsid w:val="00F430D7"/>
    <w:rsid w:val="00F44576"/>
    <w:rsid w:val="00F47B39"/>
    <w:rsid w:val="00F50585"/>
    <w:rsid w:val="00F60373"/>
    <w:rsid w:val="00F60BA3"/>
    <w:rsid w:val="00F61623"/>
    <w:rsid w:val="00F6257A"/>
    <w:rsid w:val="00F64CA3"/>
    <w:rsid w:val="00F70C76"/>
    <w:rsid w:val="00F72BA5"/>
    <w:rsid w:val="00F74113"/>
    <w:rsid w:val="00F762F1"/>
    <w:rsid w:val="00F762F8"/>
    <w:rsid w:val="00F7659F"/>
    <w:rsid w:val="00F81EE1"/>
    <w:rsid w:val="00F8300D"/>
    <w:rsid w:val="00F85220"/>
    <w:rsid w:val="00F92F23"/>
    <w:rsid w:val="00FA0B6E"/>
    <w:rsid w:val="00FA22EB"/>
    <w:rsid w:val="00FA5AB7"/>
    <w:rsid w:val="00FB1C38"/>
    <w:rsid w:val="00FC02D5"/>
    <w:rsid w:val="00FC198D"/>
    <w:rsid w:val="00FC513D"/>
    <w:rsid w:val="00FD0301"/>
    <w:rsid w:val="00FD10A6"/>
    <w:rsid w:val="00FD26C5"/>
    <w:rsid w:val="00FD3C82"/>
    <w:rsid w:val="00FD762F"/>
    <w:rsid w:val="00FE0536"/>
    <w:rsid w:val="00FE0E7A"/>
    <w:rsid w:val="00FE5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7461AF95-59B8-4408-B7AA-F48FEDE2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7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F2736"/>
    <w:pPr>
      <w:keepNext/>
      <w:spacing w:before="240" w:after="60"/>
      <w:outlineLvl w:val="0"/>
    </w:pPr>
    <w:rPr>
      <w:b/>
      <w:bCs/>
      <w:kern w:val="32"/>
      <w:szCs w:val="32"/>
    </w:rPr>
  </w:style>
  <w:style w:type="paragraph" w:styleId="Heading2">
    <w:name w:val="heading 2"/>
    <w:basedOn w:val="Normal"/>
    <w:next w:val="Normal"/>
    <w:link w:val="Heading2Char"/>
    <w:uiPriority w:val="9"/>
    <w:semiHidden/>
    <w:unhideWhenUsed/>
    <w:qFormat/>
    <w:rsid w:val="004F2736"/>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2736"/>
    <w:rPr>
      <w:rFonts w:ascii="Times New Roman" w:eastAsia="Times New Roman" w:hAnsi="Times New Roman" w:cs="Times New Roman"/>
      <w:b/>
      <w:bCs/>
      <w:kern w:val="32"/>
      <w:sz w:val="24"/>
      <w:szCs w:val="32"/>
    </w:rPr>
  </w:style>
  <w:style w:type="paragraph" w:styleId="FootnoteText">
    <w:name w:val="footnote text"/>
    <w:basedOn w:val="Normal"/>
    <w:link w:val="FootnoteTextChar"/>
    <w:rsid w:val="008F7DDE"/>
    <w:pPr>
      <w:widowControl/>
      <w:autoSpaceDE/>
      <w:autoSpaceDN/>
      <w:adjustRightInd/>
    </w:pPr>
    <w:rPr>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736"/>
    <w:pPr>
      <w:widowControl/>
      <w:autoSpaceDE/>
      <w:autoSpaceDN/>
      <w:adjustRightInd/>
      <w:spacing w:after="200" w:line="276" w:lineRule="auto"/>
      <w:ind w:left="720"/>
      <w:contextualSpacing/>
    </w:pPr>
    <w:rPr>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 w:type="paragraph" w:styleId="NoSpacing">
    <w:name w:val="No Spacing"/>
    <w:uiPriority w:val="1"/>
    <w:qFormat/>
    <w:rsid w:val="004F27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2736"/>
    <w:rPr>
      <w:rFonts w:ascii="Times New Roman" w:hAnsi="Times New Roman" w:eastAsiaTheme="majorEastAsia" w:cstheme="majorBidi"/>
      <w:color w:val="000000" w:themeColor="text1"/>
      <w:sz w:val="24"/>
      <w:szCs w:val="26"/>
    </w:rPr>
  </w:style>
  <w:style w:type="character" w:styleId="Strong">
    <w:name w:val="Strong"/>
    <w:basedOn w:val="DefaultParagraphFont"/>
    <w:uiPriority w:val="22"/>
    <w:qFormat/>
    <w:rsid w:val="004F2736"/>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6/CBJ-2026-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4571</Words>
  <Characters>24912</Characters>
  <Application>Microsoft Office Word</Application>
  <DocSecurity>0</DocSecurity>
  <Lines>830</Lines>
  <Paragraphs>409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9</cp:revision>
  <dcterms:created xsi:type="dcterms:W3CDTF">2025-09-23T13:58:00Z</dcterms:created>
  <dcterms:modified xsi:type="dcterms:W3CDTF">2026-02-10T13:10:00Z</dcterms:modified>
</cp:coreProperties>
</file>