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093E" w:rsidRPr="008268EE" w:rsidP="00A8093E" w14:paraId="6F145C29" w14:textId="77777777">
      <w:pPr>
        <w:jc w:val="center"/>
      </w:pPr>
      <w:r w:rsidRPr="008268EE">
        <w:t>Department of the Treasury</w:t>
      </w:r>
    </w:p>
    <w:p w:rsidR="00A8093E" w:rsidRPr="008268EE" w:rsidP="00A8093E" w14:paraId="7B207B70" w14:textId="77777777">
      <w:pPr>
        <w:jc w:val="center"/>
      </w:pPr>
      <w:r w:rsidRPr="008268EE">
        <w:t>Information Collection Request – Supporting Statement</w:t>
      </w:r>
    </w:p>
    <w:p w:rsidR="00A8093E" w:rsidRPr="008268EE" w:rsidP="00A8093E" w14:paraId="282C8348" w14:textId="77777777">
      <w:pPr>
        <w:jc w:val="center"/>
      </w:pPr>
    </w:p>
    <w:p w:rsidR="00A8093E" w:rsidRPr="008268EE" w:rsidP="00A8093E" w14:paraId="4EB523EB" w14:textId="5A85E548">
      <w:pPr>
        <w:jc w:val="center"/>
      </w:pPr>
      <w:r>
        <w:t>Homeowner Assistance Fund</w:t>
      </w:r>
    </w:p>
    <w:p w:rsidR="00A8093E" w:rsidRPr="008268EE" w:rsidP="00A8093E" w14:paraId="162FC225" w14:textId="5FC51E1C">
      <w:pPr>
        <w:jc w:val="center"/>
      </w:pPr>
      <w:r w:rsidRPr="00F42B4D">
        <w:t xml:space="preserve">OMB No. </w:t>
      </w:r>
      <w:r w:rsidR="00F42B4D">
        <w:t>1505-0269</w:t>
      </w:r>
    </w:p>
    <w:p w:rsidR="00A8093E" w:rsidRPr="008268EE" w:rsidP="00A8093E" w14:paraId="4137BBC4" w14:textId="77777777">
      <w:pPr>
        <w:jc w:val="center"/>
      </w:pPr>
    </w:p>
    <w:p w:rsidR="00A8093E" w:rsidRPr="006C6A9C" w14:paraId="122B1C22" w14:textId="0A4CA112">
      <w:pPr>
        <w:rPr>
          <w:b/>
          <w:bCs/>
        </w:rPr>
      </w:pPr>
      <w:r w:rsidRPr="000558E0">
        <w:rPr>
          <w:b/>
          <w:bCs/>
        </w:rPr>
        <w:t xml:space="preserve">Part </w:t>
      </w:r>
      <w:r w:rsidRPr="000558E0">
        <w:rPr>
          <w:b/>
          <w:bCs/>
        </w:rPr>
        <w:t>A</w:t>
      </w:r>
      <w:r w:rsidRPr="00232594">
        <w:rPr>
          <w:b/>
          <w:bCs/>
        </w:rPr>
        <w:t>.  Justification</w:t>
      </w:r>
    </w:p>
    <w:p w:rsidR="00A8093E" w:rsidRPr="008268EE" w:rsidP="00A8093E" w14:paraId="1AE2F43C" w14:textId="77777777">
      <w:pPr>
        <w:pStyle w:val="ListParagraph"/>
      </w:pPr>
    </w:p>
    <w:p w:rsidR="00A8093E" w:rsidRPr="008268EE" w:rsidP="00A8093E" w14:paraId="0FC057E6" w14:textId="77777777">
      <w:pPr>
        <w:numPr>
          <w:ilvl w:val="0"/>
          <w:numId w:val="1"/>
        </w:numPr>
        <w:tabs>
          <w:tab w:val="clear" w:pos="720"/>
        </w:tabs>
        <w:ind w:left="270" w:hanging="270"/>
        <w:rPr>
          <w:u w:val="single"/>
        </w:rPr>
      </w:pPr>
      <w:r w:rsidRPr="008268EE">
        <w:t xml:space="preserve"> </w:t>
      </w:r>
      <w:r w:rsidRPr="008268EE">
        <w:rPr>
          <w:u w:val="single"/>
        </w:rPr>
        <w:t>Circumstances necessitating the collection of information</w:t>
      </w:r>
    </w:p>
    <w:p w:rsidR="00A8093E" w:rsidRPr="008268EE" w:rsidP="00A8093E" w14:paraId="60F8CB93" w14:textId="77777777">
      <w:pPr>
        <w:ind w:left="360"/>
        <w:rPr>
          <w:u w:val="single"/>
        </w:rPr>
      </w:pPr>
    </w:p>
    <w:p w:rsidR="00A8093E" w:rsidRPr="008268EE" w:rsidP="142FF58F" w14:paraId="226688C3" w14:textId="1AD2A59F">
      <w:bookmarkStart w:id="0" w:name="_Hlk60659475"/>
      <w:r w:rsidRPr="008268EE">
        <w:t xml:space="preserve">On </w:t>
      </w:r>
      <w:r>
        <w:t>March 11, 2021</w:t>
      </w:r>
      <w:r w:rsidRPr="008268EE">
        <w:t xml:space="preserve">, the President signed </w:t>
      </w:r>
      <w:bookmarkStart w:id="1" w:name="_Hlk68615408"/>
      <w:r w:rsidRPr="008268EE">
        <w:t xml:space="preserve">the </w:t>
      </w:r>
      <w:r>
        <w:t>American Rescue Plan Act of 2021</w:t>
      </w:r>
      <w:bookmarkEnd w:id="1"/>
      <w:r w:rsidRPr="008268EE">
        <w:t xml:space="preserve"> (the “Act”)</w:t>
      </w:r>
      <w:r w:rsidR="00F73E7F">
        <w:t>,</w:t>
      </w:r>
      <w:r w:rsidRPr="00F73E7F" w:rsidR="00F73E7F">
        <w:t xml:space="preserve"> </w:t>
      </w:r>
      <w:r w:rsidR="00F73E7F">
        <w:t>Pub. L. No. 117-2</w:t>
      </w:r>
      <w:r w:rsidRPr="008268EE">
        <w:t xml:space="preserve">.  Title </w:t>
      </w:r>
      <w:r>
        <w:t>III</w:t>
      </w:r>
      <w:r w:rsidRPr="008268EE">
        <w:t xml:space="preserve">, </w:t>
      </w:r>
      <w:r>
        <w:t xml:space="preserve">Subtitle B, </w:t>
      </w:r>
      <w:r w:rsidRPr="008268EE">
        <w:t xml:space="preserve">Section </w:t>
      </w:r>
      <w:r>
        <w:t xml:space="preserve">3206 </w:t>
      </w:r>
      <w:r w:rsidRPr="008268EE">
        <w:t xml:space="preserve">of the Act </w:t>
      </w:r>
      <w:r w:rsidR="00F73E7F">
        <w:t xml:space="preserve">established the </w:t>
      </w:r>
      <w:r w:rsidRPr="00232594" w:rsidR="00F73E7F">
        <w:t>Homeowner Assistance Fund and</w:t>
      </w:r>
      <w:r w:rsidRPr="008268EE" w:rsidR="00F73E7F">
        <w:t xml:space="preserve"> </w:t>
      </w:r>
      <w:r w:rsidRPr="008268EE">
        <w:t>provides $</w:t>
      </w:r>
      <w:r>
        <w:t>9.96</w:t>
      </w:r>
      <w:r w:rsidR="00F73E7F">
        <w:t>1</w:t>
      </w:r>
      <w:r w:rsidRPr="008268EE">
        <w:t xml:space="preserve"> billion for</w:t>
      </w:r>
      <w:r w:rsidR="003A5E0D">
        <w:t xml:space="preserve"> </w:t>
      </w:r>
      <w:r w:rsidRPr="008268EE">
        <w:t xml:space="preserve">the U.S. Department of the Treasury (Treasury) to make payments </w:t>
      </w:r>
      <w:bookmarkStart w:id="2" w:name="_Hlk68606391"/>
      <w:bookmarkStart w:id="3" w:name="_Hlk68613802"/>
      <w:r w:rsidRPr="008268EE">
        <w:t>to States</w:t>
      </w:r>
      <w:r w:rsidR="00640EE2">
        <w:t xml:space="preserve"> </w:t>
      </w:r>
      <w:r w:rsidRPr="008268EE">
        <w:t>(defined to include the District of Columbia</w:t>
      </w:r>
      <w:r w:rsidR="00322FC6">
        <w:t xml:space="preserve">, </w:t>
      </w:r>
      <w:r w:rsidRPr="008268EE">
        <w:t xml:space="preserve">Puerto Rico, U.S. Virgin Islands, Guam, Northern Mariana Islands, and American Samoa), </w:t>
      </w:r>
      <w:bookmarkStart w:id="4" w:name="_Hlk68615042"/>
      <w:r w:rsidRPr="008268EE">
        <w:t xml:space="preserve">Indian tribes or tribally designated housing entities, as applicable, </w:t>
      </w:r>
      <w:r w:rsidR="00776F61">
        <w:t xml:space="preserve">and </w:t>
      </w:r>
      <w:r w:rsidRPr="008268EE">
        <w:t>the Department of Hawaiian Home</w:t>
      </w:r>
      <w:r w:rsidR="00322FC6">
        <w:t xml:space="preserve"> L</w:t>
      </w:r>
      <w:r w:rsidRPr="008268EE">
        <w:t xml:space="preserve">ands </w:t>
      </w:r>
      <w:bookmarkEnd w:id="4"/>
      <w:r w:rsidRPr="008268EE" w:rsidR="00CD2C74">
        <w:t xml:space="preserve">(collectively the “eligible </w:t>
      </w:r>
      <w:r w:rsidR="00CD2C74">
        <w:t>entities</w:t>
      </w:r>
      <w:r w:rsidRPr="008268EE" w:rsidR="00CD2C74">
        <w:t>”)</w:t>
      </w:r>
      <w:bookmarkEnd w:id="2"/>
      <w:r w:rsidRPr="008268EE" w:rsidR="00CD2C74">
        <w:t xml:space="preserve"> </w:t>
      </w:r>
      <w:bookmarkEnd w:id="3"/>
      <w:r w:rsidRPr="008268EE">
        <w:t>to</w:t>
      </w:r>
      <w:r w:rsidR="003A5E0D">
        <w:t xml:space="preserve"> mitigate financial hardships associated with the coronavirus pandemic</w:t>
      </w:r>
      <w:r w:rsidR="00745C21">
        <w:t>,</w:t>
      </w:r>
      <w:r w:rsidR="00322FC6">
        <w:t xml:space="preserve"> including </w:t>
      </w:r>
      <w:r w:rsidR="00C9156C">
        <w:t>for the purposes of preventing homeowner mortgage delinquencies, defaults, foreclosures, loss of utilities or home</w:t>
      </w:r>
      <w:r w:rsidR="00322FC6">
        <w:t xml:space="preserve"> </w:t>
      </w:r>
      <w:r w:rsidR="00C9156C">
        <w:t>energy services, and displacements of homeowners experiencing financial hardship after January 21, 2020</w:t>
      </w:r>
      <w:r w:rsidR="00745C21">
        <w:t>,</w:t>
      </w:r>
      <w:r w:rsidR="00C9156C">
        <w:t xml:space="preserve"> through qualified expenses related to mortgages and housing</w:t>
      </w:r>
      <w:r w:rsidR="003A5E0D">
        <w:t>.</w:t>
      </w:r>
    </w:p>
    <w:bookmarkEnd w:id="0"/>
    <w:p w:rsidR="0E94CE6F" w14:paraId="003D2AA5" w14:textId="2F904AE4"/>
    <w:p w:rsidR="0E94CE6F" w14:paraId="144EEFFF" w14:textId="6085DBA8">
      <w:r w:rsidRPr="0E94CE6F">
        <w:t xml:space="preserve">Section 3206(c)(1) requires the eligible entities to use the funds for the purpose of preventing homeowner mortgage delinquencies, defaults, foreclosures, loss of utilities or home energy services, and displacements of homeowners experiencing financial hardship after January 21, 2020, through qualified expenses related to mortgages and housing.  Section 3206(e)(1) provides that not later than 45 days after March 11, 2021, the Secretary shall pay each eligible entity. To date, eligible entities have generally received 10% of their allocations.  </w:t>
      </w:r>
    </w:p>
    <w:p w:rsidR="00A8093E" w:rsidRPr="008268EE" w:rsidP="00A8093E" w14:paraId="529974AF" w14:textId="77777777"/>
    <w:p w:rsidR="002563AB" w:rsidP="06340596" w14:paraId="122E7A1F" w14:textId="7F5BD62E">
      <w:r>
        <w:t xml:space="preserve">As of July 2025, HAF recipients </w:t>
      </w:r>
      <w:r w:rsidR="75394B46">
        <w:t xml:space="preserve">with outstanding reporting requirements </w:t>
      </w:r>
      <w:r>
        <w:t xml:space="preserve">include </w:t>
      </w:r>
      <w:r w:rsidR="001D4739">
        <w:t>64</w:t>
      </w:r>
      <w:r>
        <w:t xml:space="preserve"> States</w:t>
      </w:r>
      <w:r w:rsidR="006A2CBC">
        <w:t>, U.S. Territories,</w:t>
      </w:r>
      <w:r>
        <w:t xml:space="preserve"> or Tribal Governments with HAF allocations of greater than $5 million and </w:t>
      </w:r>
      <w:r w:rsidR="001D4739">
        <w:t>296</w:t>
      </w:r>
      <w:r>
        <w:t xml:space="preserve"> Tribal Governments and the Department of Hawaiian </w:t>
      </w:r>
      <w:r>
        <w:t>Home Lands</w:t>
      </w:r>
      <w:r>
        <w:t xml:space="preserve"> with HAF allocations of less than $5 million.  </w:t>
      </w:r>
    </w:p>
    <w:p w:rsidR="002563AB" w:rsidP="00A8093E" w14:paraId="704941E1" w14:textId="77777777"/>
    <w:p w:rsidR="002563AB" w:rsidP="57C62976" w14:paraId="6FB96F8A" w14:textId="7CFA8999">
      <w:r>
        <w:t xml:space="preserve">It is anticipated that one </w:t>
      </w:r>
      <w:r w:rsidR="00E251BB">
        <w:t xml:space="preserve">additional </w:t>
      </w:r>
      <w:r>
        <w:t>Trib</w:t>
      </w:r>
      <w:r w:rsidR="00FB4032">
        <w:t>al Government</w:t>
      </w:r>
      <w:r>
        <w:t xml:space="preserve"> will request access to </w:t>
      </w:r>
      <w:r w:rsidR="00E251BB">
        <w:t xml:space="preserve">its </w:t>
      </w:r>
      <w:r>
        <w:t xml:space="preserve">HAF allocation for the first time in 2025 or </w:t>
      </w:r>
      <w:r w:rsidR="00FB4032">
        <w:t xml:space="preserve">early </w:t>
      </w:r>
      <w:r>
        <w:t>2026.</w:t>
      </w:r>
      <w:r w:rsidR="00E251BB">
        <w:t xml:space="preserve">  </w:t>
      </w:r>
    </w:p>
    <w:p w:rsidR="002563AB" w:rsidP="00A8093E" w14:paraId="6F3577E6" w14:textId="77777777"/>
    <w:p w:rsidR="00A8093E" w:rsidRPr="008268EE" w:rsidP="00A8093E" w14:paraId="3A7A2B3C" w14:textId="53C60833">
      <w:pPr>
        <w:rPr>
          <w:rStyle w:val="Strong"/>
          <w:b w:val="0"/>
          <w:bCs w:val="0"/>
        </w:rPr>
      </w:pPr>
      <w:r>
        <w:t>The period of performance for all HAF recipients will end on September 30, 2026.</w:t>
      </w:r>
    </w:p>
    <w:p w:rsidR="005018DE" w:rsidP="00A8093E" w14:paraId="594AFBEF" w14:textId="77777777">
      <w:pPr>
        <w:rPr>
          <w:b/>
          <w:bCs/>
          <w:u w:val="single"/>
        </w:rPr>
      </w:pPr>
    </w:p>
    <w:p w:rsidR="00BF7587" w:rsidP="00A8093E" w14:paraId="72ABD94C" w14:textId="77777777">
      <w:pPr>
        <w:rPr>
          <w:b/>
          <w:u w:val="single"/>
        </w:rPr>
      </w:pPr>
    </w:p>
    <w:p w:rsidR="00252F37" w:rsidRPr="006C6A9C" w14:paraId="214D2826" w14:textId="01349714">
      <w:pPr>
        <w:rPr>
          <w:b/>
          <w:bCs/>
          <w:u w:val="single"/>
        </w:rPr>
      </w:pPr>
      <w:r w:rsidRPr="00232594">
        <w:rPr>
          <w:b/>
          <w:bCs/>
          <w:u w:val="single"/>
        </w:rPr>
        <w:t>Quarterly Compliance Reports</w:t>
      </w:r>
    </w:p>
    <w:p w:rsidR="00252F37" w:rsidP="00A8093E" w14:paraId="022063CA" w14:textId="77777777">
      <w:pPr>
        <w:rPr>
          <w:b/>
          <w:u w:val="single"/>
        </w:rPr>
      </w:pPr>
    </w:p>
    <w:p w:rsidR="0044627A" w:rsidP="142FF58F" w14:paraId="64D35481" w14:textId="59C4CE2E">
      <w:pPr>
        <w:rPr>
          <w:bCs/>
        </w:rPr>
      </w:pPr>
      <w:r w:rsidRPr="00232594">
        <w:t xml:space="preserve">Treasury will collect </w:t>
      </w:r>
      <w:r w:rsidRPr="00232594" w:rsidR="00D3504F">
        <w:t>Quarterly Report</w:t>
      </w:r>
      <w:r w:rsidRPr="00232594">
        <w:t xml:space="preserve">s </w:t>
      </w:r>
      <w:r w:rsidRPr="00232594" w:rsidR="00D3504F">
        <w:t xml:space="preserve">at the end of </w:t>
      </w:r>
      <w:r w:rsidRPr="00232594">
        <w:t xml:space="preserve">each </w:t>
      </w:r>
      <w:r w:rsidRPr="00232594" w:rsidR="00D3504F">
        <w:t>calendar year quarter</w:t>
      </w:r>
      <w:r w:rsidR="00202DDE">
        <w:t xml:space="preserve"> for </w:t>
      </w:r>
      <w:r w:rsidRPr="00232594" w:rsidR="00D3504F">
        <w:t xml:space="preserve">eligible entities </w:t>
      </w:r>
      <w:r w:rsidRPr="00232594" w:rsidR="006D2EA7">
        <w:t xml:space="preserve">that are a </w:t>
      </w:r>
      <w:r w:rsidRPr="00232594" w:rsidR="004E4CE3">
        <w:t>State</w:t>
      </w:r>
      <w:r w:rsidRPr="00232594" w:rsidR="5B445B39">
        <w:t>, U.S. Territor</w:t>
      </w:r>
      <w:r w:rsidR="00047692">
        <w:t>y</w:t>
      </w:r>
      <w:r w:rsidRPr="00232594" w:rsidR="5B445B39">
        <w:t xml:space="preserve">, </w:t>
      </w:r>
      <w:r w:rsidR="126F4708">
        <w:t>or</w:t>
      </w:r>
      <w:r w:rsidRPr="126F4708" w:rsidR="004E4CE3">
        <w:t xml:space="preserve"> </w:t>
      </w:r>
      <w:r w:rsidRPr="00232594" w:rsidR="000E6BD1">
        <w:t>Tribal Government with a HAF a</w:t>
      </w:r>
      <w:r w:rsidRPr="00232594" w:rsidR="008503B2">
        <w:t xml:space="preserve">llocation </w:t>
      </w:r>
      <w:r w:rsidRPr="00232594" w:rsidR="000E6BD1">
        <w:t>greater than $5 million</w:t>
      </w:r>
      <w:r w:rsidR="00202DDE">
        <w:t xml:space="preserve"> through Quarter 2</w:t>
      </w:r>
      <w:r w:rsidR="00047692">
        <w:t xml:space="preserve"> of</w:t>
      </w:r>
      <w:r w:rsidR="00202DDE">
        <w:t xml:space="preserve"> 2026</w:t>
      </w:r>
      <w:r w:rsidRPr="126F4708" w:rsidR="00232594">
        <w:t>.</w:t>
      </w:r>
    </w:p>
    <w:p w:rsidR="0044627A" w:rsidP="00A8093E" w14:paraId="61FBE279" w14:textId="77777777">
      <w:pPr>
        <w:rPr>
          <w:bCs/>
        </w:rPr>
      </w:pPr>
    </w:p>
    <w:p w:rsidR="00252F37" w:rsidP="142FF58F" w14:paraId="1ED8D033" w14:textId="7535330E">
      <w:pPr>
        <w:rPr>
          <w:bCs/>
        </w:rPr>
      </w:pPr>
      <w:r w:rsidRPr="00232594">
        <w:t xml:space="preserve">The Department of Hawaiian </w:t>
      </w:r>
      <w:r w:rsidRPr="00232594">
        <w:t>Home Lands</w:t>
      </w:r>
      <w:r w:rsidRPr="00232594">
        <w:t xml:space="preserve"> and </w:t>
      </w:r>
      <w:r w:rsidRPr="00232594" w:rsidR="007B0E07">
        <w:t xml:space="preserve">all </w:t>
      </w:r>
      <w:r w:rsidRPr="00232594" w:rsidR="00176731">
        <w:t xml:space="preserve">Tribal Governments with a HAF </w:t>
      </w:r>
      <w:r w:rsidRPr="00232594" w:rsidR="008503B2">
        <w:t>allocation</w:t>
      </w:r>
      <w:r w:rsidRPr="00232594" w:rsidR="00176731">
        <w:t xml:space="preserve"> less than $5 million will be required to submit </w:t>
      </w:r>
      <w:r w:rsidR="00202DDE">
        <w:t>one quarterly report in the Quarter 3 2025 Reporting Period</w:t>
      </w:r>
      <w:r w:rsidRPr="00232594" w:rsidR="0044627A">
        <w:t>.</w:t>
      </w:r>
      <w:r w:rsidRPr="00232594" w:rsidR="000B0FD4">
        <w:t xml:space="preserve"> </w:t>
      </w:r>
      <w:r w:rsidRPr="00232594">
        <w:t xml:space="preserve"> </w:t>
      </w:r>
    </w:p>
    <w:p w:rsidR="000B0FD4" w:rsidP="00A8093E" w14:paraId="34931E04" w14:textId="77777777">
      <w:pPr>
        <w:rPr>
          <w:bCs/>
        </w:rPr>
      </w:pPr>
    </w:p>
    <w:p w:rsidR="000B0FD4" w:rsidRPr="008B6749" w:rsidP="00A8093E" w14:paraId="33737267" w14:textId="6AF18444">
      <w:r>
        <w:t>The HAF Quarterly reports include,</w:t>
      </w:r>
      <w:r w:rsidRPr="00490EE2" w:rsidR="00FC1715">
        <w:t xml:space="preserve"> among other things, </w:t>
      </w:r>
      <w:r w:rsidR="00FC1715">
        <w:t xml:space="preserve">details on </w:t>
      </w:r>
      <w:r w:rsidR="00334841">
        <w:t xml:space="preserve">program budget; HAF Homeowner </w:t>
      </w:r>
      <w:r w:rsidR="00FC1715">
        <w:t>applications approved;</w:t>
      </w:r>
      <w:r w:rsidRPr="00490EE2" w:rsidR="00FC1715">
        <w:t xml:space="preserve"> </w:t>
      </w:r>
      <w:r w:rsidR="00015664">
        <w:t>targeting metrics</w:t>
      </w:r>
      <w:r w:rsidR="00A926C4">
        <w:t xml:space="preserve"> around Homeowners assisted</w:t>
      </w:r>
      <w:r w:rsidR="00015664">
        <w:t xml:space="preserve">; </w:t>
      </w:r>
      <w:r w:rsidR="00482CDA">
        <w:t xml:space="preserve">individual program information; </w:t>
      </w:r>
      <w:r w:rsidR="00906F23">
        <w:t>and</w:t>
      </w:r>
      <w:r w:rsidR="0045309F">
        <w:t xml:space="preserve"> </w:t>
      </w:r>
      <w:r w:rsidR="00482CDA">
        <w:t>individual program design element information</w:t>
      </w:r>
      <w:r w:rsidR="0045309F">
        <w:t>.</w:t>
      </w:r>
    </w:p>
    <w:p w:rsidR="009849D7" w:rsidP="00A8093E" w14:paraId="779E1292" w14:textId="77777777">
      <w:pPr>
        <w:rPr>
          <w:b/>
          <w:u w:val="single"/>
        </w:rPr>
      </w:pPr>
    </w:p>
    <w:p w:rsidR="00252F37" w:rsidRPr="006C6A9C" w14:paraId="4EAE161B" w14:textId="39AC12B5">
      <w:pPr>
        <w:rPr>
          <w:b/>
          <w:bCs/>
          <w:u w:val="single"/>
        </w:rPr>
      </w:pPr>
      <w:r w:rsidRPr="00232594">
        <w:rPr>
          <w:b/>
          <w:bCs/>
          <w:u w:val="single"/>
        </w:rPr>
        <w:t xml:space="preserve">Annual </w:t>
      </w:r>
      <w:r w:rsidRPr="00232594" w:rsidR="00F12954">
        <w:rPr>
          <w:b/>
          <w:bCs/>
          <w:u w:val="single"/>
        </w:rPr>
        <w:t>Performance</w:t>
      </w:r>
      <w:r w:rsidRPr="00232594">
        <w:rPr>
          <w:b/>
          <w:bCs/>
          <w:u w:val="single"/>
        </w:rPr>
        <w:t xml:space="preserve"> Reports</w:t>
      </w:r>
    </w:p>
    <w:p w:rsidR="00252F37" w:rsidP="00A8093E" w14:paraId="1AD2B243" w14:textId="77777777">
      <w:pPr>
        <w:rPr>
          <w:b/>
          <w:u w:val="single"/>
        </w:rPr>
      </w:pPr>
    </w:p>
    <w:p w:rsidR="00252F37" w:rsidRPr="00786D45" w:rsidP="142FF58F" w14:paraId="41A08BEC" w14:textId="64CAC786">
      <w:pPr>
        <w:rPr>
          <w:bCs/>
        </w:rPr>
      </w:pPr>
      <w:r w:rsidRPr="00232594">
        <w:t xml:space="preserve">Treasury will collect </w:t>
      </w:r>
      <w:r w:rsidRPr="00232594" w:rsidR="007B0E07">
        <w:t xml:space="preserve">2025 </w:t>
      </w:r>
      <w:r w:rsidRPr="00232594" w:rsidR="007A290E">
        <w:t xml:space="preserve">Annual </w:t>
      </w:r>
      <w:r w:rsidRPr="00232594">
        <w:t>Report</w:t>
      </w:r>
      <w:r w:rsidRPr="00232594" w:rsidR="007B0E07">
        <w:t xml:space="preserve">s </w:t>
      </w:r>
      <w:r w:rsidRPr="00232594" w:rsidR="00FC64B9">
        <w:t>that provide Treasury with high-level information on how the HAF participant is performing relative to their forecasted goals noted in their HAF Grantee Plan.</w:t>
      </w:r>
    </w:p>
    <w:p w:rsidR="00252F37" w:rsidP="00A8093E" w14:paraId="3739DB58" w14:textId="77777777">
      <w:pPr>
        <w:rPr>
          <w:b/>
          <w:u w:val="single"/>
        </w:rPr>
      </w:pPr>
    </w:p>
    <w:p w:rsidR="00EE6750" w:rsidRPr="006C6A9C" w14:paraId="7C7BD7BC" w14:textId="037DB370">
      <w:pPr>
        <w:rPr>
          <w:b/>
          <w:bCs/>
          <w:u w:val="single"/>
        </w:rPr>
      </w:pPr>
      <w:r w:rsidRPr="00232594">
        <w:rPr>
          <w:b/>
          <w:bCs/>
          <w:u w:val="single"/>
        </w:rPr>
        <w:t>Final Reports</w:t>
      </w:r>
    </w:p>
    <w:p w:rsidR="00EE6750" w:rsidP="00A8093E" w14:paraId="381B2984" w14:textId="77777777">
      <w:pPr>
        <w:rPr>
          <w:b/>
          <w:u w:val="single"/>
        </w:rPr>
      </w:pPr>
    </w:p>
    <w:p w:rsidR="00EE6750" w14:paraId="23BB59D3" w14:textId="54342436">
      <w:r w:rsidRPr="00232594">
        <w:t xml:space="preserve">Treasury will collect Final Reports from each Recipient to close out their HAF award.  </w:t>
      </w:r>
      <w:r w:rsidRPr="006A2CBC" w:rsidR="006A2CBC">
        <w:t>The Final Reports consist of two reports, the HAF Annual Report and the HAF Quarterly Report, which contains a new section to report on tangible personal property acquired with the HAF award.</w:t>
      </w:r>
    </w:p>
    <w:p w:rsidR="00047692" w:rsidRPr="00F0683D" w14:paraId="5B487DEF" w14:textId="77777777">
      <w:pPr>
        <w:rPr>
          <w:b/>
          <w:bCs/>
        </w:rPr>
      </w:pPr>
    </w:p>
    <w:p w:rsidR="00A8093E" w:rsidRPr="008268EE" w:rsidP="00A8093E" w14:paraId="4E1C0300" w14:textId="77777777">
      <w:pPr>
        <w:numPr>
          <w:ilvl w:val="0"/>
          <w:numId w:val="1"/>
        </w:numPr>
        <w:tabs>
          <w:tab w:val="num" w:pos="270"/>
          <w:tab w:val="clear" w:pos="720"/>
        </w:tabs>
        <w:ind w:hanging="720"/>
      </w:pPr>
      <w:r w:rsidRPr="008268EE">
        <w:rPr>
          <w:u w:val="single"/>
        </w:rPr>
        <w:t>Use of the data</w:t>
      </w:r>
    </w:p>
    <w:p w:rsidR="00A8093E" w:rsidRPr="008268EE" w:rsidP="00A8093E" w14:paraId="23ABF32A" w14:textId="77777777">
      <w:pPr>
        <w:rPr>
          <w:u w:val="single"/>
        </w:rPr>
      </w:pPr>
    </w:p>
    <w:p w:rsidR="00A8093E" w:rsidRPr="008268EE" w:rsidP="00A8093E" w14:paraId="169C55C5" w14:textId="25A00A96">
      <w:r w:rsidRPr="008268EE">
        <w:t xml:space="preserve">The information reported will allow Treasury to ensure proper payments to the eligible </w:t>
      </w:r>
      <w:r w:rsidR="00593523">
        <w:t>entities</w:t>
      </w:r>
      <w:r w:rsidRPr="008268EE">
        <w:t>.</w:t>
      </w:r>
    </w:p>
    <w:p w:rsidR="00A8093E" w:rsidP="00A8093E" w14:paraId="0693334C" w14:textId="73895B5A"/>
    <w:p w:rsidR="00AF47A3" w:rsidP="00A8093E" w14:paraId="77828CB8" w14:textId="368F8A89">
      <w:r>
        <w:t xml:space="preserve">Further, the information will permit Treasury to confirm an eligible entity has engaged in appropriate planning and adopted implementation policies that will ensure compliance with legal requirements and facilitate the most effective use of program funds.  These confirmations will include </w:t>
      </w:r>
      <w:r w:rsidR="002028E4">
        <w:t xml:space="preserve">the eligible’ entity’s </w:t>
      </w:r>
      <w:r w:rsidRPr="0E71AB1E">
        <w:t>(</w:t>
      </w:r>
      <w:r>
        <w:t xml:space="preserve">i)  completion of appropriate outreach activities to determine the jurisdiction’s relative needs for assistance to meet mortgage loan, utility, and property charge (e.g. taxes; condominium fees; common area assessments) expenses; (ii) that assistance will be awarded in </w:t>
      </w:r>
      <w:r w:rsidR="002028E4">
        <w:t xml:space="preserve">a </w:t>
      </w:r>
      <w:r>
        <w:t>fair</w:t>
      </w:r>
      <w:r w:rsidRPr="0E71AB1E" w:rsidR="002028E4">
        <w:t xml:space="preserve">, </w:t>
      </w:r>
      <w:r>
        <w:t>equitable</w:t>
      </w:r>
      <w:r w:rsidR="002028E4">
        <w:t>, and effective</w:t>
      </w:r>
      <w:r>
        <w:t xml:space="preserve"> manner </w:t>
      </w:r>
      <w:r w:rsidR="002028E4">
        <w:t>to meet such</w:t>
      </w:r>
      <w:r>
        <w:t xml:space="preserve"> needs;</w:t>
      </w:r>
      <w:r w:rsidR="002028E4">
        <w:t xml:space="preserve"> (i</w:t>
      </w:r>
      <w:r w:rsidR="0E71AB1E">
        <w:t>ii</w:t>
      </w:r>
      <w:r w:rsidR="002028E4">
        <w:t>)  adoption of meaningful performance metrics to ensure program effectiveness; and (</w:t>
      </w:r>
      <w:r w:rsidR="0E71AB1E">
        <w:t>iv</w:t>
      </w:r>
      <w:r w:rsidR="002028E4">
        <w:t xml:space="preserve">)  cognizance of budgetary restraints.    </w:t>
      </w:r>
      <w:r w:rsidRPr="0E71AB1E">
        <w:t xml:space="preserve"> </w:t>
      </w:r>
    </w:p>
    <w:p w:rsidR="00AF47A3" w:rsidRPr="008268EE" w:rsidP="00A8093E" w14:paraId="677D2325" w14:textId="77777777"/>
    <w:p w:rsidR="00A8093E" w:rsidRPr="008268EE" w:rsidP="00A8093E" w14:paraId="58239E15" w14:textId="77777777">
      <w:pPr>
        <w:keepNext/>
        <w:ind w:left="360" w:hanging="360"/>
      </w:pPr>
      <w:r w:rsidRPr="008268EE">
        <w:t xml:space="preserve">3.  </w:t>
      </w:r>
      <w:r w:rsidRPr="008268EE">
        <w:rPr>
          <w:u w:val="single"/>
        </w:rPr>
        <w:t>Use of information technology</w:t>
      </w:r>
      <w:r w:rsidRPr="008268EE">
        <w:t xml:space="preserve"> </w:t>
      </w:r>
    </w:p>
    <w:p w:rsidR="00A8093E" w:rsidRPr="008268EE" w:rsidP="00A8093E" w14:paraId="697483A9" w14:textId="77777777">
      <w:pPr>
        <w:keepNext/>
      </w:pPr>
    </w:p>
    <w:p w:rsidR="00A8093E" w:rsidRPr="008268EE" w:rsidP="00A8093E" w14:paraId="35EBEA26" w14:textId="77777777">
      <w:r w:rsidRPr="008268EE">
        <w:t xml:space="preserve">Treasury will manage the submission process with the use of existing and widely available technology such as a web portal and e-mail. </w:t>
      </w:r>
    </w:p>
    <w:p w:rsidR="00A8093E" w:rsidRPr="008268EE" w:rsidP="00A8093E" w14:paraId="36828208" w14:textId="77777777"/>
    <w:p w:rsidR="00A8093E" w:rsidRPr="008268EE" w:rsidP="00A8093E" w14:paraId="47C338A9" w14:textId="77777777">
      <w:pPr>
        <w:ind w:left="720" w:hanging="720"/>
      </w:pPr>
      <w:r w:rsidRPr="008268EE">
        <w:t xml:space="preserve">4.  </w:t>
      </w:r>
      <w:r w:rsidRPr="008268EE">
        <w:rPr>
          <w:u w:val="single"/>
        </w:rPr>
        <w:t>Efforts to identify duplication</w:t>
      </w:r>
      <w:r w:rsidRPr="008268EE">
        <w:t xml:space="preserve">   </w:t>
      </w:r>
    </w:p>
    <w:p w:rsidR="00A8093E" w:rsidRPr="008268EE" w:rsidP="00A8093E" w14:paraId="27617760" w14:textId="77777777"/>
    <w:p w:rsidR="00A8093E" w:rsidRPr="008268EE" w:rsidP="00A8093E" w14:paraId="612D5864" w14:textId="61BBC7B0">
      <w:r w:rsidRPr="008268EE">
        <w:t>The information collections are under statutory mandates. The information is not known to overlap with any other data collected under any other information collections at Treasury. Furthermore, the information collection is tailored to leverage data that already exists and require only additional data that is necessary.</w:t>
      </w:r>
    </w:p>
    <w:p w:rsidR="00A8093E" w:rsidP="00A8093E" w14:paraId="23A4EF36" w14:textId="77777777"/>
    <w:p w:rsidR="009849D7" w:rsidRPr="008268EE" w:rsidP="00A8093E" w14:paraId="7D67D4E3" w14:textId="77777777"/>
    <w:p w:rsidR="00A8093E" w:rsidRPr="008268EE" w:rsidP="00A8093E" w14:paraId="0979C044" w14:textId="77777777">
      <w:pPr>
        <w:rPr>
          <w:u w:val="single"/>
        </w:rPr>
      </w:pPr>
      <w:r w:rsidRPr="008268EE">
        <w:t xml:space="preserve">5.  </w:t>
      </w:r>
      <w:r w:rsidRPr="008268EE">
        <w:rPr>
          <w:u w:val="single"/>
        </w:rPr>
        <w:t>Impact on small entities</w:t>
      </w:r>
    </w:p>
    <w:p w:rsidR="00A8093E" w:rsidRPr="008268EE" w:rsidP="00A8093E" w14:paraId="1ED1956C" w14:textId="77777777"/>
    <w:p w:rsidR="00A8093E" w:rsidRPr="008268EE" w:rsidP="00A8093E" w14:paraId="695E03DC" w14:textId="3BC281A9">
      <w:r w:rsidRPr="008268EE">
        <w:t xml:space="preserve">This collection of information will minimally affect small entities. However, Treasury will attempt to minimize burden on small entities to the greatest extent practicable. </w:t>
      </w:r>
      <w:r w:rsidR="002028E4">
        <w:t xml:space="preserve"> Note the Template captioned “Homeowner Assistance Fund Plan </w:t>
      </w:r>
      <w:r w:rsidR="00FF6461">
        <w:t>f</w:t>
      </w:r>
      <w:r w:rsidR="002028E4">
        <w:t xml:space="preserve">or Participants </w:t>
      </w:r>
      <w:r w:rsidR="002028E4">
        <w:t>With</w:t>
      </w:r>
      <w:r w:rsidR="002028E4">
        <w:t xml:space="preserve"> Allocations Under $5M” has been developed specifically for this purpose.  </w:t>
      </w:r>
    </w:p>
    <w:p w:rsidR="00A8093E" w:rsidRPr="008268EE" w:rsidP="00A8093E" w14:paraId="56C6EE88" w14:textId="77777777">
      <w:r w:rsidRPr="008268EE">
        <w:t xml:space="preserve"> </w:t>
      </w:r>
    </w:p>
    <w:p w:rsidR="00A8093E" w:rsidRPr="008268EE" w:rsidP="00A8093E" w14:paraId="28B9A88E" w14:textId="77777777">
      <w:pPr>
        <w:rPr>
          <w:u w:val="single"/>
        </w:rPr>
      </w:pPr>
      <w:r w:rsidRPr="008268EE">
        <w:t xml:space="preserve">6.  </w:t>
      </w:r>
      <w:r w:rsidRPr="008268EE">
        <w:rPr>
          <w:u w:val="single"/>
        </w:rPr>
        <w:t>Consequences of less frequent collection and obstacles to burden reduction</w:t>
      </w:r>
    </w:p>
    <w:p w:rsidR="00A8093E" w:rsidRPr="008268EE" w:rsidP="00A8093E" w14:paraId="75841E8F" w14:textId="77777777"/>
    <w:p w:rsidR="00A8093E" w:rsidRPr="008268EE" w:rsidP="00A8093E" w14:paraId="68953F05" w14:textId="5DCE42EB">
      <w:r w:rsidRPr="008268EE">
        <w:t xml:space="preserve">Treasury will collect only the information required to make any payments to the eligible </w:t>
      </w:r>
      <w:r w:rsidR="00C813F0">
        <w:t>entitie</w:t>
      </w:r>
      <w:r w:rsidRPr="008268EE" w:rsidR="00C813F0">
        <w:t>s</w:t>
      </w:r>
      <w:r w:rsidRPr="008268EE">
        <w:t xml:space="preserve">.  The eligible </w:t>
      </w:r>
      <w:r w:rsidR="00593523">
        <w:t>entitie</w:t>
      </w:r>
      <w:r w:rsidRPr="008268EE" w:rsidR="00593523">
        <w:t xml:space="preserve">s </w:t>
      </w:r>
      <w:r w:rsidRPr="008268EE">
        <w:t xml:space="preserve">will submit a limited amount of information that should be readily available to the entity in the ordinary course of business. If the eligible </w:t>
      </w:r>
      <w:r w:rsidR="00593523">
        <w:t>entitie</w:t>
      </w:r>
      <w:r w:rsidRPr="008268EE" w:rsidR="00593523">
        <w:t xml:space="preserve">s </w:t>
      </w:r>
      <w:r w:rsidRPr="008268EE">
        <w:t xml:space="preserve">are unable to provide their completed </w:t>
      </w:r>
      <w:r w:rsidR="002028E4">
        <w:t>Templates</w:t>
      </w:r>
      <w:r w:rsidRPr="008268EE">
        <w:t xml:space="preserve">, Treasury would not be able to make payment to those eligible </w:t>
      </w:r>
      <w:r w:rsidR="00593523">
        <w:t>entitie</w:t>
      </w:r>
      <w:r w:rsidRPr="008268EE" w:rsidR="00593523">
        <w:t>s</w:t>
      </w:r>
      <w:r w:rsidR="002028E4">
        <w:t xml:space="preserve"> of their remaining allocations of HAF Funds</w:t>
      </w:r>
      <w:r w:rsidRPr="008268EE">
        <w:t xml:space="preserve">. </w:t>
      </w:r>
      <w:r w:rsidR="002028E4">
        <w:t xml:space="preserve">  </w:t>
      </w:r>
    </w:p>
    <w:p w:rsidR="00A8093E" w:rsidRPr="008268EE" w:rsidP="00A8093E" w14:paraId="409F9263" w14:textId="77777777">
      <w:r w:rsidRPr="008268EE">
        <w:t xml:space="preserve">  </w:t>
      </w:r>
    </w:p>
    <w:p w:rsidR="00A8093E" w:rsidRPr="008268EE" w:rsidP="00A8093E" w14:paraId="44BFA533" w14:textId="77777777">
      <w:pPr>
        <w:rPr>
          <w:u w:val="single"/>
        </w:rPr>
      </w:pPr>
      <w:r w:rsidRPr="008268EE">
        <w:t xml:space="preserve">7.  </w:t>
      </w:r>
      <w:r w:rsidRPr="008268EE">
        <w:rPr>
          <w:u w:val="single"/>
        </w:rPr>
        <w:t>Circumstances requiring special information collection</w:t>
      </w:r>
    </w:p>
    <w:p w:rsidR="00A8093E" w:rsidRPr="008268EE" w:rsidP="00A8093E" w14:paraId="07316914" w14:textId="77777777">
      <w:pPr>
        <w:rPr>
          <w:u w:val="single"/>
        </w:rPr>
      </w:pPr>
    </w:p>
    <w:p w:rsidR="00A8093E" w:rsidRPr="008268EE" w:rsidP="00A8093E" w14:paraId="0D98C5B0" w14:textId="77777777">
      <w:r w:rsidRPr="008268EE">
        <w:t>There are no special circumstances that require the collection to be conducted in a manner inconsistent with OMB guidelines.</w:t>
      </w:r>
    </w:p>
    <w:p w:rsidR="00A8093E" w:rsidRPr="008268EE" w:rsidP="00A8093E" w14:paraId="38E4A4DD" w14:textId="77777777"/>
    <w:p w:rsidR="00A8093E" w:rsidRPr="008268EE" w:rsidP="00A8093E" w14:paraId="36958768" w14:textId="77777777">
      <w:pPr>
        <w:rPr>
          <w:u w:val="single"/>
        </w:rPr>
      </w:pPr>
      <w:r w:rsidRPr="008268EE">
        <w:t xml:space="preserve">8.  </w:t>
      </w:r>
      <w:r w:rsidRPr="008268EE">
        <w:rPr>
          <w:u w:val="single"/>
        </w:rPr>
        <w:t>Solicitation of comments on information collection and justification for expedited processing pursuant to 5 C.F.R. § 1320.13</w:t>
      </w:r>
    </w:p>
    <w:p w:rsidR="00A8093E" w:rsidRPr="008268EE" w:rsidP="00A8093E" w14:paraId="21786172" w14:textId="77777777"/>
    <w:p w:rsidR="00CD1048" w:rsidP="006F76B7" w14:paraId="4BEC321A" w14:textId="57F3019F">
      <w:pPr>
        <w:rPr>
          <w:sz w:val="22"/>
          <w:szCs w:val="22"/>
        </w:rPr>
      </w:pPr>
      <w:r>
        <w:t xml:space="preserve">Treasury solicited public comment for 60 days on the quarterly and annual reports on </w:t>
      </w:r>
      <w:r w:rsidRPr="006800EB">
        <w:t>May 8, 2025 (</w:t>
      </w:r>
      <w:r w:rsidRPr="00564C9C" w:rsidR="00564C9C">
        <w:t>90 FR 19792</w:t>
      </w:r>
      <w:r w:rsidRPr="06340596">
        <w:t>).</w:t>
      </w:r>
      <w:r>
        <w:t xml:space="preserve">  Treasury received no public comments.</w:t>
      </w:r>
    </w:p>
    <w:p w:rsidR="006F76B7" w:rsidRPr="008268EE" w:rsidP="00A8093E" w14:paraId="090EC643" w14:textId="77777777">
      <w:pPr>
        <w:rPr>
          <w:rStyle w:val="CommentReference"/>
          <w:sz w:val="24"/>
          <w:szCs w:val="24"/>
        </w:rPr>
      </w:pPr>
    </w:p>
    <w:p w:rsidR="00A8093E" w:rsidRPr="008268EE" w:rsidP="00A8093E" w14:paraId="4E379493" w14:textId="77777777">
      <w:pPr>
        <w:keepNext/>
      </w:pPr>
      <w:r w:rsidRPr="008268EE">
        <w:t xml:space="preserve">9.  </w:t>
      </w:r>
      <w:r w:rsidRPr="008268EE">
        <w:rPr>
          <w:u w:val="single"/>
        </w:rPr>
        <w:t>Provision of payments to respondents</w:t>
      </w:r>
    </w:p>
    <w:p w:rsidR="00A8093E" w:rsidRPr="008268EE" w:rsidP="00A8093E" w14:paraId="454BB786" w14:textId="77777777">
      <w:pPr>
        <w:keepNext/>
      </w:pPr>
    </w:p>
    <w:p w:rsidR="00A8093E" w:rsidRPr="008268EE" w:rsidP="00A8093E" w14:paraId="04CC6DA5" w14:textId="77777777">
      <w:r w:rsidRPr="008268EE">
        <w:t>No payments or gifts are provided to respondents.</w:t>
      </w:r>
    </w:p>
    <w:p w:rsidR="00A8093E" w:rsidRPr="008268EE" w:rsidP="00A8093E" w14:paraId="3196FDE0" w14:textId="77777777"/>
    <w:p w:rsidR="00A8093E" w:rsidRPr="008268EE" w:rsidP="00A8093E" w14:paraId="0896574A" w14:textId="77777777">
      <w:pPr>
        <w:keepNext/>
      </w:pPr>
      <w:r w:rsidRPr="008268EE">
        <w:t xml:space="preserve">10.  </w:t>
      </w:r>
      <w:r w:rsidRPr="008268EE">
        <w:rPr>
          <w:u w:val="single"/>
        </w:rPr>
        <w:t>Assurance of confidentiality</w:t>
      </w:r>
    </w:p>
    <w:p w:rsidR="00A8093E" w:rsidRPr="008268EE" w:rsidP="00A8093E" w14:paraId="0A9F6E5B" w14:textId="77777777">
      <w:pPr>
        <w:keepNext/>
      </w:pPr>
    </w:p>
    <w:p w:rsidR="00A8093E" w:rsidRPr="008268EE" w:rsidP="00A8093E" w14:paraId="21593C94" w14:textId="77777777">
      <w:pPr>
        <w:autoSpaceDE w:val="0"/>
        <w:autoSpaceDN w:val="0"/>
      </w:pPr>
      <w:r w:rsidRPr="008268EE">
        <w:t>Information collected will be kept confidential to the extent appropriate and consistent with the Freedom of Information Act and other applicable laws.</w:t>
      </w:r>
    </w:p>
    <w:p w:rsidR="00A8093E" w:rsidRPr="008268EE" w:rsidP="00A8093E" w14:paraId="7775B0FC" w14:textId="77777777"/>
    <w:p w:rsidR="00A8093E" w:rsidRPr="008268EE" w:rsidP="00A8093E" w14:paraId="7913AEBA" w14:textId="77777777">
      <w:pPr>
        <w:rPr>
          <w:u w:val="single"/>
        </w:rPr>
      </w:pPr>
      <w:r w:rsidRPr="008268EE">
        <w:t xml:space="preserve">11.  </w:t>
      </w:r>
      <w:r w:rsidRPr="008268EE">
        <w:rPr>
          <w:u w:val="single"/>
        </w:rPr>
        <w:t>Justification of sensitive questions</w:t>
      </w:r>
    </w:p>
    <w:p w:rsidR="00A8093E" w:rsidRPr="008268EE" w:rsidP="00A8093E" w14:paraId="03230717" w14:textId="77777777"/>
    <w:p w:rsidR="00A8093E" w:rsidRPr="008268EE" w:rsidP="00A8093E" w14:paraId="71D3B806" w14:textId="7ECF8C1E">
      <w:r w:rsidRPr="008268EE">
        <w:t xml:space="preserve">No sensitive questions will be asked of eligible </w:t>
      </w:r>
      <w:r w:rsidR="00593523">
        <w:t>entitie</w:t>
      </w:r>
      <w:r w:rsidRPr="008268EE" w:rsidR="00593523">
        <w:t>s</w:t>
      </w:r>
      <w:r w:rsidRPr="008268EE">
        <w:t xml:space="preserve">. </w:t>
      </w:r>
    </w:p>
    <w:p w:rsidR="00A8093E" w:rsidRPr="008268EE" w:rsidP="00A8093E" w14:paraId="6247A0A3" w14:textId="77777777"/>
    <w:p w:rsidR="00A8093E" w:rsidRPr="008268EE" w:rsidP="00A8093E" w14:paraId="70EA71B1" w14:textId="77777777">
      <w:pPr>
        <w:rPr>
          <w:u w:val="single"/>
        </w:rPr>
      </w:pPr>
      <w:r w:rsidRPr="008268EE">
        <w:t xml:space="preserve">12.  </w:t>
      </w:r>
      <w:r w:rsidRPr="008268EE">
        <w:rPr>
          <w:u w:val="single"/>
        </w:rPr>
        <w:t xml:space="preserve">Estimate of the hour burden of information collection. </w:t>
      </w:r>
    </w:p>
    <w:p w:rsidR="00A8093E" w:rsidRPr="008268EE" w:rsidP="00A8093E" w14:paraId="6D188364" w14:textId="77777777">
      <w:pPr>
        <w:rPr>
          <w:u w:val="single"/>
        </w:rPr>
      </w:pPr>
    </w:p>
    <w:p w:rsidR="00A8093E" w:rsidRPr="008268EE" w:rsidP="00A8093E" w14:paraId="60758957" w14:textId="299D8402">
      <w:pPr>
        <w:rPr>
          <w:color w:val="FF0000"/>
          <w:u w:val="single"/>
        </w:rPr>
      </w:pPr>
      <w:r w:rsidRPr="008268EE">
        <w:t>The</w:t>
      </w:r>
      <w:r w:rsidR="00745C21">
        <w:t xml:space="preserve"> estimated burden for collecting and reviewing the</w:t>
      </w:r>
      <w:r w:rsidR="00AC7643">
        <w:t xml:space="preserve"> </w:t>
      </w:r>
      <w:r w:rsidR="007B0E07">
        <w:t xml:space="preserve">HAF remaining 2025 and 2026 </w:t>
      </w:r>
      <w:r w:rsidR="00652946">
        <w:t xml:space="preserve">Quarterly </w:t>
      </w:r>
      <w:r w:rsidR="007B0E07">
        <w:t xml:space="preserve">Reports, the 2025 </w:t>
      </w:r>
      <w:r w:rsidR="00652946">
        <w:t>Annual Reports</w:t>
      </w:r>
      <w:r w:rsidR="006800EB">
        <w:t xml:space="preserve"> and the </w:t>
      </w:r>
      <w:r w:rsidR="007B0E07">
        <w:t xml:space="preserve">required </w:t>
      </w:r>
      <w:r w:rsidR="006800EB">
        <w:t>Final Reports</w:t>
      </w:r>
      <w:r w:rsidR="3E0735C0">
        <w:t xml:space="preserve"> </w:t>
      </w:r>
      <w:r w:rsidRPr="008268EE">
        <w:t>are as follows</w:t>
      </w:r>
      <w:r w:rsidR="00726C6A">
        <w:t>*</w:t>
      </w:r>
      <w:r w:rsidR="00764132">
        <w:t>:</w:t>
      </w:r>
    </w:p>
    <w:p w:rsidR="00A8093E" w:rsidRPr="008268EE" w:rsidP="00A8093E" w14:paraId="1822ABBE" w14:textId="77777777">
      <w:pPr>
        <w:ind w:firstLine="360"/>
        <w:rPr>
          <w:b/>
          <w:u w:val="single"/>
        </w:rPr>
      </w:pPr>
    </w:p>
    <w:tbl>
      <w:tblPr>
        <w:tblW w:w="9468" w:type="dxa"/>
        <w:tblInd w:w="-118" w:type="dxa"/>
        <w:tblLayout w:type="fixed"/>
        <w:tblLook w:val="04A0"/>
      </w:tblPr>
      <w:tblGrid>
        <w:gridCol w:w="1548"/>
        <w:gridCol w:w="1542"/>
        <w:gridCol w:w="1391"/>
        <w:gridCol w:w="1309"/>
        <w:gridCol w:w="1170"/>
        <w:gridCol w:w="990"/>
        <w:gridCol w:w="1518"/>
      </w:tblGrid>
      <w:tr w14:paraId="6741E3DD" w14:textId="77777777" w:rsidTr="00F0683D">
        <w:tblPrEx>
          <w:tblW w:w="9468" w:type="dxa"/>
          <w:tblInd w:w="-118" w:type="dxa"/>
          <w:tblLayout w:type="fixed"/>
          <w:tblLook w:val="04A0"/>
        </w:tblPrEx>
        <w:trPr>
          <w:trHeight w:val="1110"/>
        </w:trPr>
        <w:tc>
          <w:tcPr>
            <w:tcW w:w="1548"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A8093E" w:rsidRPr="008268EE" w:rsidP="0070364D" w14:paraId="05236966" w14:textId="77777777">
            <w:pPr>
              <w:rPr>
                <w:b/>
                <w:bCs/>
                <w:color w:val="000000"/>
              </w:rPr>
            </w:pPr>
            <w:bookmarkStart w:id="5" w:name="RANGE!A1:G18"/>
            <w:r w:rsidRPr="008268EE">
              <w:rPr>
                <w:b/>
                <w:bCs/>
                <w:color w:val="000000"/>
              </w:rPr>
              <w:t>Reporting</w:t>
            </w:r>
            <w:bookmarkEnd w:id="5"/>
          </w:p>
        </w:tc>
        <w:tc>
          <w:tcPr>
            <w:tcW w:w="1542" w:type="dxa"/>
            <w:tcBorders>
              <w:top w:val="single" w:sz="8" w:space="0" w:color="auto"/>
              <w:left w:val="nil"/>
              <w:bottom w:val="single" w:sz="8" w:space="0" w:color="auto"/>
              <w:right w:val="single" w:sz="8" w:space="0" w:color="auto"/>
            </w:tcBorders>
            <w:shd w:val="clear" w:color="auto" w:fill="FFFFFF" w:themeFill="background1"/>
            <w:vAlign w:val="center"/>
            <w:hideMark/>
          </w:tcPr>
          <w:p w:rsidR="00A8093E" w:rsidRPr="008268EE" w:rsidP="0070364D" w14:paraId="3A8F2B92" w14:textId="77777777">
            <w:pPr>
              <w:jc w:val="center"/>
              <w:rPr>
                <w:color w:val="000000"/>
              </w:rPr>
            </w:pPr>
            <w:r w:rsidRPr="008268EE">
              <w:rPr>
                <w:color w:val="000000"/>
              </w:rPr>
              <w:t># Respondents</w:t>
            </w:r>
          </w:p>
        </w:tc>
        <w:tc>
          <w:tcPr>
            <w:tcW w:w="1391" w:type="dxa"/>
            <w:tcBorders>
              <w:top w:val="single" w:sz="8" w:space="0" w:color="auto"/>
              <w:left w:val="nil"/>
              <w:bottom w:val="single" w:sz="8" w:space="0" w:color="auto"/>
              <w:right w:val="single" w:sz="8" w:space="0" w:color="auto"/>
            </w:tcBorders>
            <w:shd w:val="clear" w:color="auto" w:fill="FFFFFF" w:themeFill="background1"/>
            <w:vAlign w:val="center"/>
            <w:hideMark/>
          </w:tcPr>
          <w:p w:rsidR="00A8093E" w:rsidRPr="008268EE" w:rsidP="0070364D" w14:paraId="21875EC0" w14:textId="77777777">
            <w:pPr>
              <w:jc w:val="center"/>
              <w:rPr>
                <w:color w:val="000000"/>
              </w:rPr>
            </w:pPr>
            <w:r w:rsidRPr="008268EE">
              <w:rPr>
                <w:color w:val="000000"/>
              </w:rPr>
              <w:t># Responses Per Respondent</w:t>
            </w:r>
          </w:p>
          <w:p w:rsidR="00A8093E" w:rsidRPr="008268EE" w:rsidP="0070364D" w14:paraId="614AB601" w14:textId="77777777">
            <w:pPr>
              <w:jc w:val="center"/>
              <w:rPr>
                <w:color w:val="000000"/>
              </w:rPr>
            </w:pPr>
          </w:p>
        </w:tc>
        <w:tc>
          <w:tcPr>
            <w:tcW w:w="1309" w:type="dxa"/>
            <w:tcBorders>
              <w:top w:val="single" w:sz="8" w:space="0" w:color="auto"/>
              <w:left w:val="nil"/>
              <w:bottom w:val="single" w:sz="8" w:space="0" w:color="auto"/>
              <w:right w:val="single" w:sz="8" w:space="0" w:color="auto"/>
            </w:tcBorders>
            <w:shd w:val="clear" w:color="auto" w:fill="FFFFFF" w:themeFill="background1"/>
            <w:vAlign w:val="center"/>
            <w:hideMark/>
          </w:tcPr>
          <w:p w:rsidR="00A8093E" w:rsidRPr="008268EE" w:rsidP="0070364D" w14:paraId="0A351E6E" w14:textId="77777777">
            <w:pPr>
              <w:jc w:val="center"/>
              <w:rPr>
                <w:color w:val="000000"/>
              </w:rPr>
            </w:pPr>
            <w:r w:rsidRPr="008268EE">
              <w:rPr>
                <w:color w:val="000000"/>
              </w:rPr>
              <w:t>Total Responses</w:t>
            </w:r>
          </w:p>
        </w:tc>
        <w:tc>
          <w:tcPr>
            <w:tcW w:w="1170" w:type="dxa"/>
            <w:tcBorders>
              <w:top w:val="single" w:sz="8" w:space="0" w:color="auto"/>
              <w:left w:val="nil"/>
              <w:bottom w:val="single" w:sz="8" w:space="0" w:color="auto"/>
              <w:right w:val="single" w:sz="8" w:space="0" w:color="auto"/>
            </w:tcBorders>
            <w:shd w:val="clear" w:color="auto" w:fill="FFFFFF" w:themeFill="background1"/>
            <w:vAlign w:val="center"/>
            <w:hideMark/>
          </w:tcPr>
          <w:p w:rsidR="00A8093E" w:rsidRPr="008268EE" w:rsidP="0070364D" w14:paraId="32DD222D" w14:textId="77777777">
            <w:pPr>
              <w:jc w:val="center"/>
              <w:rPr>
                <w:color w:val="000000"/>
              </w:rPr>
            </w:pPr>
            <w:r w:rsidRPr="008268EE">
              <w:rPr>
                <w:color w:val="000000"/>
              </w:rPr>
              <w:t>Hours per response</w:t>
            </w:r>
          </w:p>
        </w:tc>
        <w:tc>
          <w:tcPr>
            <w:tcW w:w="990" w:type="dxa"/>
            <w:tcBorders>
              <w:top w:val="single" w:sz="8" w:space="0" w:color="auto"/>
              <w:left w:val="nil"/>
              <w:bottom w:val="single" w:sz="8" w:space="0" w:color="auto"/>
              <w:right w:val="single" w:sz="8" w:space="0" w:color="auto"/>
            </w:tcBorders>
            <w:shd w:val="clear" w:color="auto" w:fill="FFFFFF" w:themeFill="background1"/>
            <w:vAlign w:val="center"/>
            <w:hideMark/>
          </w:tcPr>
          <w:p w:rsidR="00A8093E" w:rsidRPr="008268EE" w:rsidP="0070364D" w14:paraId="6874E55F" w14:textId="77777777">
            <w:pPr>
              <w:jc w:val="center"/>
              <w:rPr>
                <w:color w:val="000000"/>
              </w:rPr>
            </w:pPr>
            <w:r w:rsidRPr="008268EE">
              <w:rPr>
                <w:color w:val="000000"/>
              </w:rPr>
              <w:t>Total Burden in Hours</w:t>
            </w:r>
          </w:p>
        </w:tc>
        <w:tc>
          <w:tcPr>
            <w:tcW w:w="1518" w:type="dxa"/>
            <w:tcBorders>
              <w:top w:val="single" w:sz="8" w:space="0" w:color="auto"/>
              <w:left w:val="nil"/>
              <w:bottom w:val="single" w:sz="8" w:space="0" w:color="auto"/>
              <w:right w:val="single" w:sz="8" w:space="0" w:color="auto"/>
            </w:tcBorders>
            <w:shd w:val="clear" w:color="auto" w:fill="FFFFFF" w:themeFill="background1"/>
            <w:vAlign w:val="center"/>
            <w:hideMark/>
          </w:tcPr>
          <w:p w:rsidR="00A8093E" w:rsidRPr="008268EE" w:rsidP="0070364D" w14:paraId="67906339" w14:textId="77777777">
            <w:pPr>
              <w:jc w:val="center"/>
              <w:rPr>
                <w:color w:val="000000"/>
              </w:rPr>
            </w:pPr>
            <w:r w:rsidRPr="008268EE">
              <w:rPr>
                <w:color w:val="000000"/>
              </w:rPr>
              <w:t>Cost to Respondent</w:t>
            </w:r>
          </w:p>
          <w:p w:rsidR="00A8093E" w:rsidRPr="008268EE" w:rsidP="0070364D" w14:paraId="293B6942" w14:textId="2FF50CB5">
            <w:pPr>
              <w:jc w:val="center"/>
              <w:rPr>
                <w:color w:val="000000"/>
              </w:rPr>
            </w:pPr>
            <w:r w:rsidRPr="008268EE">
              <w:rPr>
                <w:color w:val="000000"/>
              </w:rPr>
              <w:t>($</w:t>
            </w:r>
            <w:r w:rsidR="00E801FC">
              <w:rPr>
                <w:color w:val="000000"/>
              </w:rPr>
              <w:t>54.19</w:t>
            </w:r>
            <w:r w:rsidRPr="008268EE">
              <w:rPr>
                <w:color w:val="000000"/>
              </w:rPr>
              <w:t xml:space="preserve"> per hour</w:t>
            </w:r>
            <w:r w:rsidR="00726C6A">
              <w:rPr>
                <w:color w:val="000000"/>
              </w:rPr>
              <w:t>*</w:t>
            </w:r>
            <w:r w:rsidRPr="008268EE">
              <w:rPr>
                <w:color w:val="000000"/>
              </w:rPr>
              <w:t>*)</w:t>
            </w:r>
          </w:p>
        </w:tc>
      </w:tr>
      <w:tr w14:paraId="055727B7" w14:textId="77777777" w:rsidTr="00F0683D">
        <w:tblPrEx>
          <w:tblW w:w="9468" w:type="dxa"/>
          <w:tblInd w:w="-118" w:type="dxa"/>
          <w:tblLayout w:type="fixed"/>
          <w:tblLook w:val="04A0"/>
        </w:tblPrEx>
        <w:trPr>
          <w:trHeight w:val="830"/>
        </w:trPr>
        <w:tc>
          <w:tcPr>
            <w:tcW w:w="1548" w:type="dxa"/>
            <w:tcBorders>
              <w:top w:val="nil"/>
              <w:left w:val="single" w:sz="8" w:space="0" w:color="auto"/>
              <w:bottom w:val="single" w:sz="8" w:space="0" w:color="auto"/>
              <w:right w:val="single" w:sz="8" w:space="0" w:color="auto"/>
            </w:tcBorders>
            <w:shd w:val="clear" w:color="auto" w:fill="FFFFFF" w:themeFill="background1"/>
            <w:vAlign w:val="center"/>
          </w:tcPr>
          <w:p w:rsidR="00CC684A" w:rsidP="0070364D" w14:paraId="1574EB7A" w14:textId="2663B5CE">
            <w:r>
              <w:t>Term Sheet</w:t>
            </w:r>
          </w:p>
        </w:tc>
        <w:tc>
          <w:tcPr>
            <w:tcW w:w="1542" w:type="dxa"/>
            <w:tcBorders>
              <w:top w:val="nil"/>
              <w:left w:val="nil"/>
              <w:bottom w:val="single" w:sz="8" w:space="0" w:color="auto"/>
              <w:right w:val="single" w:sz="8" w:space="0" w:color="auto"/>
            </w:tcBorders>
            <w:shd w:val="clear" w:color="auto" w:fill="FFFFFF" w:themeFill="background1"/>
            <w:noWrap/>
            <w:vAlign w:val="center"/>
          </w:tcPr>
          <w:p w:rsidR="00CC684A" w:rsidP="0070364D" w14:paraId="417A5B8C" w14:textId="0046EACF">
            <w:pPr>
              <w:jc w:val="center"/>
              <w:rPr>
                <w:color w:val="000000"/>
              </w:rPr>
            </w:pPr>
            <w:r>
              <w:rPr>
                <w:color w:val="000000"/>
              </w:rPr>
              <w:t>1</w:t>
            </w:r>
          </w:p>
        </w:tc>
        <w:tc>
          <w:tcPr>
            <w:tcW w:w="1391" w:type="dxa"/>
            <w:tcBorders>
              <w:top w:val="nil"/>
              <w:left w:val="nil"/>
              <w:bottom w:val="single" w:sz="8" w:space="0" w:color="auto"/>
              <w:right w:val="single" w:sz="8" w:space="0" w:color="auto"/>
            </w:tcBorders>
            <w:shd w:val="clear" w:color="auto" w:fill="FFFFFF" w:themeFill="background1"/>
            <w:noWrap/>
            <w:vAlign w:val="center"/>
          </w:tcPr>
          <w:p w:rsidR="00CC684A" w:rsidP="0070364D" w14:paraId="0E16D47E" w14:textId="6A92CBDD">
            <w:pPr>
              <w:jc w:val="center"/>
              <w:rPr>
                <w:color w:val="000000"/>
              </w:rPr>
            </w:pPr>
            <w:r>
              <w:rPr>
                <w:color w:val="000000"/>
              </w:rPr>
              <w:t>1</w:t>
            </w:r>
          </w:p>
        </w:tc>
        <w:tc>
          <w:tcPr>
            <w:tcW w:w="1309" w:type="dxa"/>
            <w:tcBorders>
              <w:top w:val="nil"/>
              <w:left w:val="nil"/>
              <w:bottom w:val="single" w:sz="8" w:space="0" w:color="auto"/>
              <w:right w:val="single" w:sz="8" w:space="0" w:color="auto"/>
            </w:tcBorders>
            <w:shd w:val="clear" w:color="auto" w:fill="FFFFFF" w:themeFill="background1"/>
            <w:noWrap/>
            <w:vAlign w:val="center"/>
          </w:tcPr>
          <w:p w:rsidR="00CC684A" w:rsidP="0070364D" w14:paraId="1CE295F4" w14:textId="3BAAB62E">
            <w:pPr>
              <w:jc w:val="center"/>
              <w:rPr>
                <w:color w:val="000000"/>
              </w:rPr>
            </w:pPr>
            <w:r>
              <w:rPr>
                <w:color w:val="000000"/>
              </w:rPr>
              <w:t>1</w:t>
            </w:r>
          </w:p>
        </w:tc>
        <w:tc>
          <w:tcPr>
            <w:tcW w:w="1170" w:type="dxa"/>
            <w:tcBorders>
              <w:top w:val="nil"/>
              <w:left w:val="nil"/>
              <w:bottom w:val="single" w:sz="8" w:space="0" w:color="auto"/>
              <w:right w:val="single" w:sz="8" w:space="0" w:color="auto"/>
            </w:tcBorders>
            <w:shd w:val="clear" w:color="auto" w:fill="FFFFFF" w:themeFill="background1"/>
            <w:noWrap/>
            <w:vAlign w:val="center"/>
          </w:tcPr>
          <w:p w:rsidR="00CC684A" w:rsidRPr="006C6A9C" w14:paraId="3B9F839D" w14:textId="4502B7C2">
            <w:pPr>
              <w:jc w:val="center"/>
              <w:rPr>
                <w:color w:val="000000"/>
              </w:rPr>
            </w:pPr>
            <w:r w:rsidRPr="00232594">
              <w:rPr>
                <w:color w:val="000000"/>
              </w:rPr>
              <w:t>1 hour</w:t>
            </w:r>
          </w:p>
        </w:tc>
        <w:tc>
          <w:tcPr>
            <w:tcW w:w="990" w:type="dxa"/>
            <w:tcBorders>
              <w:top w:val="nil"/>
              <w:left w:val="nil"/>
              <w:bottom w:val="single" w:sz="8" w:space="0" w:color="auto"/>
              <w:right w:val="single" w:sz="8" w:space="0" w:color="auto"/>
            </w:tcBorders>
            <w:shd w:val="clear" w:color="auto" w:fill="FFFFFF" w:themeFill="background1"/>
            <w:noWrap/>
            <w:vAlign w:val="center"/>
          </w:tcPr>
          <w:p w:rsidR="00CC684A" w:rsidP="0070364D" w14:paraId="7188ECEF" w14:textId="1F1BD848">
            <w:pPr>
              <w:jc w:val="center"/>
              <w:rPr>
                <w:color w:val="000000"/>
              </w:rPr>
            </w:pPr>
            <w:r>
              <w:rPr>
                <w:color w:val="000000"/>
              </w:rPr>
              <w:t>1</w:t>
            </w:r>
          </w:p>
        </w:tc>
        <w:tc>
          <w:tcPr>
            <w:tcW w:w="1518" w:type="dxa"/>
            <w:tcBorders>
              <w:top w:val="nil"/>
              <w:left w:val="nil"/>
              <w:bottom w:val="single" w:sz="8" w:space="0" w:color="auto"/>
              <w:right w:val="single" w:sz="8" w:space="0" w:color="auto"/>
            </w:tcBorders>
            <w:shd w:val="clear" w:color="auto" w:fill="FFFFFF" w:themeFill="background1"/>
            <w:noWrap/>
            <w:vAlign w:val="center"/>
          </w:tcPr>
          <w:p w:rsidR="00CC684A" w:rsidP="0070364D" w14:paraId="2CF670EE" w14:textId="66F54D33">
            <w:pPr>
              <w:jc w:val="center"/>
              <w:rPr>
                <w:color w:val="000000"/>
              </w:rPr>
            </w:pPr>
            <w:r>
              <w:rPr>
                <w:color w:val="000000"/>
              </w:rPr>
              <w:t>$</w:t>
            </w:r>
            <w:r w:rsidR="00E801FC">
              <w:rPr>
                <w:color w:val="000000"/>
              </w:rPr>
              <w:t>54.19</w:t>
            </w:r>
          </w:p>
        </w:tc>
      </w:tr>
      <w:tr w14:paraId="341B8C54" w14:textId="77777777" w:rsidTr="00F0683D">
        <w:tblPrEx>
          <w:tblW w:w="9468" w:type="dxa"/>
          <w:tblInd w:w="-118" w:type="dxa"/>
          <w:tblLayout w:type="fixed"/>
          <w:tblLook w:val="04A0"/>
        </w:tblPrEx>
        <w:trPr>
          <w:trHeight w:val="830"/>
        </w:trPr>
        <w:tc>
          <w:tcPr>
            <w:tcW w:w="1548" w:type="dxa"/>
            <w:tcBorders>
              <w:top w:val="nil"/>
              <w:left w:val="single" w:sz="8" w:space="0" w:color="auto"/>
              <w:bottom w:val="single" w:sz="8" w:space="0" w:color="auto"/>
              <w:right w:val="single" w:sz="8" w:space="0" w:color="auto"/>
            </w:tcBorders>
            <w:shd w:val="clear" w:color="auto" w:fill="FFFFFF" w:themeFill="background1"/>
            <w:vAlign w:val="center"/>
          </w:tcPr>
          <w:p w:rsidR="00547423" w:rsidP="0070364D" w14:paraId="04A5DADB" w14:textId="66ED0AB8">
            <w:r>
              <w:t>HAF Plan</w:t>
            </w:r>
            <w:r w:rsidR="00D8400F">
              <w:t xml:space="preserve"> Templates</w:t>
            </w:r>
          </w:p>
        </w:tc>
        <w:tc>
          <w:tcPr>
            <w:tcW w:w="1542" w:type="dxa"/>
            <w:tcBorders>
              <w:top w:val="nil"/>
              <w:left w:val="nil"/>
              <w:bottom w:val="single" w:sz="8" w:space="0" w:color="auto"/>
              <w:right w:val="single" w:sz="8" w:space="0" w:color="auto"/>
            </w:tcBorders>
            <w:shd w:val="clear" w:color="auto" w:fill="FFFFFF" w:themeFill="background1"/>
            <w:noWrap/>
            <w:vAlign w:val="center"/>
          </w:tcPr>
          <w:p w:rsidR="0052260C" w:rsidP="0070364D" w14:paraId="69C9B11D" w14:textId="173623FC">
            <w:pPr>
              <w:jc w:val="center"/>
              <w:rPr>
                <w:color w:val="000000"/>
              </w:rPr>
            </w:pPr>
            <w:r>
              <w:rPr>
                <w:color w:val="000000"/>
              </w:rPr>
              <w:t>1</w:t>
            </w:r>
          </w:p>
        </w:tc>
        <w:tc>
          <w:tcPr>
            <w:tcW w:w="1391" w:type="dxa"/>
            <w:tcBorders>
              <w:top w:val="nil"/>
              <w:left w:val="nil"/>
              <w:bottom w:val="single" w:sz="8" w:space="0" w:color="auto"/>
              <w:right w:val="single" w:sz="8" w:space="0" w:color="auto"/>
            </w:tcBorders>
            <w:shd w:val="clear" w:color="auto" w:fill="FFFFFF" w:themeFill="background1"/>
            <w:noWrap/>
            <w:vAlign w:val="center"/>
          </w:tcPr>
          <w:p w:rsidR="0052260C" w:rsidP="00547423" w14:paraId="799C9028" w14:textId="0A0D05BE">
            <w:pPr>
              <w:jc w:val="center"/>
              <w:rPr>
                <w:color w:val="000000"/>
              </w:rPr>
            </w:pPr>
            <w:r>
              <w:rPr>
                <w:color w:val="000000"/>
              </w:rPr>
              <w:t xml:space="preserve">1 </w:t>
            </w:r>
          </w:p>
        </w:tc>
        <w:tc>
          <w:tcPr>
            <w:tcW w:w="1309" w:type="dxa"/>
            <w:tcBorders>
              <w:top w:val="nil"/>
              <w:left w:val="nil"/>
              <w:bottom w:val="single" w:sz="8" w:space="0" w:color="auto"/>
              <w:right w:val="single" w:sz="8" w:space="0" w:color="auto"/>
            </w:tcBorders>
            <w:shd w:val="clear" w:color="auto" w:fill="FFFFFF" w:themeFill="background1"/>
            <w:noWrap/>
            <w:vAlign w:val="center"/>
          </w:tcPr>
          <w:p w:rsidR="0052260C" w:rsidP="008B6749" w14:paraId="06533A95" w14:textId="130F41CF">
            <w:pPr>
              <w:jc w:val="center"/>
              <w:rPr>
                <w:color w:val="000000"/>
              </w:rPr>
            </w:pPr>
            <w:r>
              <w:rPr>
                <w:color w:val="000000"/>
              </w:rPr>
              <w:t>1</w:t>
            </w:r>
          </w:p>
        </w:tc>
        <w:tc>
          <w:tcPr>
            <w:tcW w:w="1170" w:type="dxa"/>
            <w:tcBorders>
              <w:top w:val="nil"/>
              <w:left w:val="nil"/>
              <w:bottom w:val="single" w:sz="8" w:space="0" w:color="auto"/>
              <w:right w:val="single" w:sz="8" w:space="0" w:color="auto"/>
            </w:tcBorders>
            <w:shd w:val="clear" w:color="auto" w:fill="FFFFFF" w:themeFill="background1"/>
            <w:noWrap/>
            <w:vAlign w:val="center"/>
          </w:tcPr>
          <w:p w:rsidR="0052260C" w:rsidRPr="006C6A9C" w14:paraId="41FB16E8" w14:textId="3F0E3160">
            <w:pPr>
              <w:jc w:val="center"/>
              <w:rPr>
                <w:color w:val="000000"/>
              </w:rPr>
            </w:pPr>
            <w:r w:rsidRPr="00232594">
              <w:rPr>
                <w:color w:val="000000"/>
              </w:rPr>
              <w:t>2</w:t>
            </w:r>
            <w:r w:rsidRPr="00232594" w:rsidR="00D8400F">
              <w:rPr>
                <w:color w:val="000000"/>
              </w:rPr>
              <w:t xml:space="preserve"> </w:t>
            </w:r>
            <w:r w:rsidRPr="00232594">
              <w:rPr>
                <w:color w:val="000000"/>
              </w:rPr>
              <w:t>hour</w:t>
            </w:r>
            <w:r w:rsidRPr="00232594" w:rsidR="009549CE">
              <w:rPr>
                <w:color w:val="000000"/>
              </w:rPr>
              <w:t>s</w:t>
            </w:r>
          </w:p>
        </w:tc>
        <w:tc>
          <w:tcPr>
            <w:tcW w:w="990" w:type="dxa"/>
            <w:tcBorders>
              <w:top w:val="nil"/>
              <w:left w:val="nil"/>
              <w:bottom w:val="single" w:sz="8" w:space="0" w:color="auto"/>
              <w:right w:val="single" w:sz="8" w:space="0" w:color="auto"/>
            </w:tcBorders>
            <w:shd w:val="clear" w:color="auto" w:fill="FFFFFF" w:themeFill="background1"/>
            <w:noWrap/>
            <w:vAlign w:val="center"/>
          </w:tcPr>
          <w:p w:rsidR="0052260C" w:rsidP="0070364D" w14:paraId="58AAA5A3" w14:textId="74DB6502">
            <w:pPr>
              <w:jc w:val="center"/>
              <w:rPr>
                <w:color w:val="000000"/>
              </w:rPr>
            </w:pPr>
            <w:r>
              <w:rPr>
                <w:color w:val="000000"/>
              </w:rPr>
              <w:t xml:space="preserve"> </w:t>
            </w:r>
            <w:r w:rsidR="3875626C">
              <w:rPr>
                <w:color w:val="000000"/>
              </w:rPr>
              <w:t>2</w:t>
            </w:r>
          </w:p>
        </w:tc>
        <w:tc>
          <w:tcPr>
            <w:tcW w:w="1518" w:type="dxa"/>
            <w:tcBorders>
              <w:top w:val="nil"/>
              <w:left w:val="nil"/>
              <w:bottom w:val="single" w:sz="8" w:space="0" w:color="auto"/>
              <w:right w:val="single" w:sz="8" w:space="0" w:color="auto"/>
            </w:tcBorders>
            <w:shd w:val="clear" w:color="auto" w:fill="FFFFFF" w:themeFill="background1"/>
            <w:noWrap/>
            <w:vAlign w:val="center"/>
          </w:tcPr>
          <w:p w:rsidR="0052260C" w:rsidP="0070364D" w14:paraId="04A6C961" w14:textId="6B9F885F">
            <w:pPr>
              <w:jc w:val="center"/>
              <w:rPr>
                <w:color w:val="000000"/>
              </w:rPr>
            </w:pPr>
            <w:r>
              <w:rPr>
                <w:color w:val="000000"/>
              </w:rPr>
              <w:t>$</w:t>
            </w:r>
            <w:r w:rsidR="00E801FC">
              <w:rPr>
                <w:color w:val="000000"/>
              </w:rPr>
              <w:t>108.38</w:t>
            </w:r>
          </w:p>
          <w:p w:rsidR="00547423" w:rsidP="0070364D" w14:paraId="25A13283" w14:textId="07F6083D">
            <w:pPr>
              <w:jc w:val="center"/>
              <w:rPr>
                <w:color w:val="000000"/>
              </w:rPr>
            </w:pPr>
          </w:p>
        </w:tc>
      </w:tr>
      <w:tr w14:paraId="6BEF7701" w14:textId="77777777" w:rsidTr="00F0683D">
        <w:tblPrEx>
          <w:tblW w:w="9468" w:type="dxa"/>
          <w:tblInd w:w="-118" w:type="dxa"/>
          <w:tblLayout w:type="fixed"/>
          <w:tblLook w:val="04A0"/>
        </w:tblPrEx>
        <w:trPr>
          <w:trHeight w:val="830"/>
        </w:trPr>
        <w:tc>
          <w:tcPr>
            <w:tcW w:w="1548" w:type="dxa"/>
            <w:tcBorders>
              <w:top w:val="nil"/>
              <w:left w:val="single" w:sz="8" w:space="0" w:color="auto"/>
              <w:bottom w:val="single" w:sz="8" w:space="0" w:color="auto"/>
              <w:right w:val="single" w:sz="8" w:space="0" w:color="auto"/>
            </w:tcBorders>
            <w:shd w:val="clear" w:color="auto" w:fill="FFFFFF" w:themeFill="background1"/>
            <w:vAlign w:val="center"/>
          </w:tcPr>
          <w:p w:rsidR="005C7832" w:rsidRPr="007D482A" w:rsidP="00786D45" w14:paraId="31279AA4" w14:textId="73DF5FF3">
            <w:r w:rsidRPr="007D482A">
              <w:t>Quarterly Compliance Report</w:t>
            </w:r>
            <w:r w:rsidRPr="007D482A" w:rsidR="00C80C9C">
              <w:t xml:space="preserve"> </w:t>
            </w:r>
            <w:r w:rsidRPr="007D482A" w:rsidR="008B21EA">
              <w:t>– State or &gt;$5M Allocation</w:t>
            </w:r>
          </w:p>
        </w:tc>
        <w:tc>
          <w:tcPr>
            <w:tcW w:w="1542" w:type="dxa"/>
            <w:tcBorders>
              <w:top w:val="nil"/>
              <w:left w:val="nil"/>
              <w:bottom w:val="single" w:sz="8" w:space="0" w:color="auto"/>
              <w:right w:val="single" w:sz="8" w:space="0" w:color="auto"/>
            </w:tcBorders>
            <w:shd w:val="clear" w:color="auto" w:fill="FFFFFF" w:themeFill="background1"/>
            <w:noWrap/>
            <w:vAlign w:val="center"/>
          </w:tcPr>
          <w:p w:rsidR="005C7832" w:rsidRPr="007D482A" w:rsidP="004DC069" w14:paraId="5764565A" w14:textId="6FDB94C1">
            <w:pPr>
              <w:jc w:val="center"/>
              <w:rPr>
                <w:color w:val="000000"/>
              </w:rPr>
            </w:pPr>
            <w:r w:rsidRPr="006C6A9C">
              <w:rPr>
                <w:color w:val="000000" w:themeColor="text1"/>
              </w:rPr>
              <w:t>64</w:t>
            </w:r>
          </w:p>
        </w:tc>
        <w:tc>
          <w:tcPr>
            <w:tcW w:w="1391" w:type="dxa"/>
            <w:tcBorders>
              <w:top w:val="nil"/>
              <w:left w:val="nil"/>
              <w:bottom w:val="single" w:sz="8" w:space="0" w:color="auto"/>
              <w:right w:val="single" w:sz="8" w:space="0" w:color="auto"/>
            </w:tcBorders>
            <w:shd w:val="clear" w:color="auto" w:fill="FFFFFF" w:themeFill="background1"/>
            <w:noWrap/>
            <w:vAlign w:val="center"/>
          </w:tcPr>
          <w:p w:rsidR="005C7832" w:rsidRPr="007D482A" w:rsidP="00786D45" w14:paraId="3F518D31" w14:textId="55E69B56">
            <w:pPr>
              <w:jc w:val="center"/>
              <w:rPr>
                <w:color w:val="000000"/>
              </w:rPr>
            </w:pPr>
            <w:r w:rsidRPr="007D482A">
              <w:rPr>
                <w:color w:val="000000"/>
              </w:rPr>
              <w:t>5</w:t>
            </w:r>
          </w:p>
        </w:tc>
        <w:tc>
          <w:tcPr>
            <w:tcW w:w="1309" w:type="dxa"/>
            <w:tcBorders>
              <w:top w:val="nil"/>
              <w:left w:val="nil"/>
              <w:bottom w:val="single" w:sz="8" w:space="0" w:color="auto"/>
              <w:right w:val="single" w:sz="8" w:space="0" w:color="auto"/>
            </w:tcBorders>
            <w:shd w:val="clear" w:color="auto" w:fill="FFFFFF" w:themeFill="background1"/>
            <w:noWrap/>
            <w:vAlign w:val="center"/>
          </w:tcPr>
          <w:p w:rsidR="005C7832" w:rsidRPr="007D482A" w:rsidP="00786D45" w14:paraId="36A26A1E" w14:textId="1C8ED7F5">
            <w:pPr>
              <w:jc w:val="center"/>
              <w:rPr>
                <w:color w:val="000000"/>
              </w:rPr>
            </w:pPr>
            <w:r w:rsidRPr="007D482A">
              <w:rPr>
                <w:color w:val="000000"/>
              </w:rPr>
              <w:t>320</w:t>
            </w:r>
          </w:p>
        </w:tc>
        <w:tc>
          <w:tcPr>
            <w:tcW w:w="1170" w:type="dxa"/>
            <w:tcBorders>
              <w:top w:val="nil"/>
              <w:left w:val="nil"/>
              <w:bottom w:val="single" w:sz="8" w:space="0" w:color="auto"/>
              <w:right w:val="single" w:sz="8" w:space="0" w:color="auto"/>
            </w:tcBorders>
            <w:shd w:val="clear" w:color="auto" w:fill="FFFFFF" w:themeFill="background1"/>
            <w:noWrap/>
            <w:vAlign w:val="center"/>
          </w:tcPr>
          <w:p w:rsidR="005C7832" w:rsidRPr="006C6A9C" w14:paraId="0FCDC829" w14:textId="6AA3EA88">
            <w:pPr>
              <w:jc w:val="center"/>
              <w:rPr>
                <w:color w:val="000000"/>
              </w:rPr>
            </w:pPr>
            <w:r w:rsidRPr="00232594">
              <w:rPr>
                <w:color w:val="000000"/>
              </w:rPr>
              <w:t>4 hours</w:t>
            </w:r>
          </w:p>
        </w:tc>
        <w:tc>
          <w:tcPr>
            <w:tcW w:w="990" w:type="dxa"/>
            <w:tcBorders>
              <w:top w:val="nil"/>
              <w:left w:val="nil"/>
              <w:bottom w:val="single" w:sz="8" w:space="0" w:color="auto"/>
              <w:right w:val="single" w:sz="8" w:space="0" w:color="auto"/>
            </w:tcBorders>
            <w:shd w:val="clear" w:color="auto" w:fill="FFFFFF" w:themeFill="background1"/>
            <w:noWrap/>
            <w:vAlign w:val="center"/>
          </w:tcPr>
          <w:p w:rsidR="005C7832" w:rsidRPr="007D482A" w:rsidP="00786D45" w14:paraId="64847667" w14:textId="2EFFA64D">
            <w:pPr>
              <w:jc w:val="center"/>
              <w:rPr>
                <w:color w:val="000000"/>
              </w:rPr>
            </w:pPr>
            <w:r w:rsidRPr="007D482A">
              <w:rPr>
                <w:color w:val="000000"/>
              </w:rPr>
              <w:t>1,280</w:t>
            </w:r>
          </w:p>
        </w:tc>
        <w:tc>
          <w:tcPr>
            <w:tcW w:w="1518" w:type="dxa"/>
            <w:tcBorders>
              <w:top w:val="nil"/>
              <w:left w:val="nil"/>
              <w:bottom w:val="single" w:sz="8" w:space="0" w:color="auto"/>
              <w:right w:val="single" w:sz="8" w:space="0" w:color="auto"/>
            </w:tcBorders>
            <w:shd w:val="clear" w:color="auto" w:fill="FFFFFF" w:themeFill="background1"/>
            <w:noWrap/>
            <w:vAlign w:val="center"/>
          </w:tcPr>
          <w:p w:rsidR="00487394" w:rsidRPr="007D482A" w14:paraId="48BF3F62" w14:textId="3CB3FE56">
            <w:pPr>
              <w:jc w:val="center"/>
              <w:rPr>
                <w:color w:val="000000"/>
              </w:rPr>
            </w:pPr>
            <w:r w:rsidRPr="007D482A">
              <w:rPr>
                <w:color w:val="000000"/>
              </w:rPr>
              <w:t>$</w:t>
            </w:r>
            <w:r w:rsidR="00E801FC">
              <w:rPr>
                <w:color w:val="000000"/>
              </w:rPr>
              <w:t>69,363.20</w:t>
            </w:r>
          </w:p>
        </w:tc>
      </w:tr>
      <w:tr w14:paraId="7516BC40" w14:textId="77777777" w:rsidTr="00F0683D">
        <w:tblPrEx>
          <w:tblW w:w="9468" w:type="dxa"/>
          <w:tblInd w:w="-118" w:type="dxa"/>
          <w:tblLayout w:type="fixed"/>
          <w:tblLook w:val="04A0"/>
        </w:tblPrEx>
        <w:trPr>
          <w:trHeight w:val="830"/>
        </w:trPr>
        <w:tc>
          <w:tcPr>
            <w:tcW w:w="1548" w:type="dxa"/>
            <w:tcBorders>
              <w:top w:val="nil"/>
              <w:left w:val="single" w:sz="8" w:space="0" w:color="auto"/>
              <w:bottom w:val="single" w:sz="8" w:space="0" w:color="auto"/>
              <w:right w:val="single" w:sz="8" w:space="0" w:color="auto"/>
            </w:tcBorders>
            <w:shd w:val="clear" w:color="auto" w:fill="FFFFFF" w:themeFill="background1"/>
            <w:vAlign w:val="center"/>
          </w:tcPr>
          <w:p w:rsidR="00C80C9C" w:rsidRPr="007D482A" w:rsidP="00786D45" w14:paraId="24BD1227" w14:textId="6B621C1F">
            <w:r w:rsidRPr="007D482A">
              <w:t>Quarterly Compliance Report</w:t>
            </w:r>
            <w:r w:rsidRPr="007D482A" w:rsidR="007A22A1">
              <w:t xml:space="preserve"> – DHHL or &lt;$5M Allocation</w:t>
            </w:r>
          </w:p>
        </w:tc>
        <w:tc>
          <w:tcPr>
            <w:tcW w:w="1542" w:type="dxa"/>
            <w:tcBorders>
              <w:top w:val="nil"/>
              <w:left w:val="nil"/>
              <w:bottom w:val="single" w:sz="8" w:space="0" w:color="auto"/>
              <w:right w:val="single" w:sz="8" w:space="0" w:color="auto"/>
            </w:tcBorders>
            <w:shd w:val="clear" w:color="auto" w:fill="FFFFFF" w:themeFill="background1"/>
            <w:noWrap/>
            <w:vAlign w:val="center"/>
          </w:tcPr>
          <w:p w:rsidR="00C80C9C" w:rsidRPr="007D482A" w:rsidP="00786D45" w14:paraId="046E380A" w14:textId="0C3E5590">
            <w:pPr>
              <w:jc w:val="center"/>
              <w:rPr>
                <w:color w:val="000000"/>
              </w:rPr>
            </w:pPr>
            <w:r w:rsidRPr="007D482A">
              <w:rPr>
                <w:color w:val="000000"/>
              </w:rPr>
              <w:t>296</w:t>
            </w:r>
          </w:p>
        </w:tc>
        <w:tc>
          <w:tcPr>
            <w:tcW w:w="1391" w:type="dxa"/>
            <w:tcBorders>
              <w:top w:val="nil"/>
              <w:left w:val="nil"/>
              <w:bottom w:val="single" w:sz="8" w:space="0" w:color="auto"/>
              <w:right w:val="single" w:sz="8" w:space="0" w:color="auto"/>
            </w:tcBorders>
            <w:shd w:val="clear" w:color="auto" w:fill="FFFFFF" w:themeFill="background1"/>
            <w:noWrap/>
            <w:vAlign w:val="center"/>
          </w:tcPr>
          <w:p w:rsidR="00C80C9C" w:rsidRPr="007D482A" w:rsidP="00786D45" w14:paraId="13689141" w14:textId="611B4599">
            <w:pPr>
              <w:jc w:val="center"/>
              <w:rPr>
                <w:color w:val="000000"/>
              </w:rPr>
            </w:pPr>
            <w:r w:rsidRPr="007D482A">
              <w:rPr>
                <w:color w:val="000000"/>
              </w:rPr>
              <w:t>1</w:t>
            </w:r>
          </w:p>
        </w:tc>
        <w:tc>
          <w:tcPr>
            <w:tcW w:w="1309" w:type="dxa"/>
            <w:tcBorders>
              <w:top w:val="nil"/>
              <w:left w:val="nil"/>
              <w:bottom w:val="single" w:sz="8" w:space="0" w:color="auto"/>
              <w:right w:val="single" w:sz="8" w:space="0" w:color="auto"/>
            </w:tcBorders>
            <w:shd w:val="clear" w:color="auto" w:fill="FFFFFF" w:themeFill="background1"/>
            <w:noWrap/>
            <w:vAlign w:val="center"/>
          </w:tcPr>
          <w:p w:rsidR="00C80C9C" w:rsidRPr="007D482A" w:rsidP="00786D45" w14:paraId="2D99383E" w14:textId="4E6527D0">
            <w:pPr>
              <w:jc w:val="center"/>
              <w:rPr>
                <w:color w:val="000000"/>
              </w:rPr>
            </w:pPr>
            <w:r w:rsidRPr="006C6A9C">
              <w:rPr>
                <w:color w:val="000000" w:themeColor="text1"/>
              </w:rPr>
              <w:t>296</w:t>
            </w:r>
          </w:p>
        </w:tc>
        <w:tc>
          <w:tcPr>
            <w:tcW w:w="1170" w:type="dxa"/>
            <w:tcBorders>
              <w:top w:val="nil"/>
              <w:left w:val="nil"/>
              <w:bottom w:val="single" w:sz="8" w:space="0" w:color="auto"/>
              <w:right w:val="single" w:sz="8" w:space="0" w:color="auto"/>
            </w:tcBorders>
            <w:shd w:val="clear" w:color="auto" w:fill="FFFFFF" w:themeFill="background1"/>
            <w:noWrap/>
            <w:vAlign w:val="center"/>
          </w:tcPr>
          <w:p w:rsidR="00C80C9C" w:rsidRPr="006C6A9C" w14:paraId="6A0F5CE4" w14:textId="5A0643FE">
            <w:pPr>
              <w:jc w:val="center"/>
              <w:rPr>
                <w:color w:val="000000"/>
              </w:rPr>
            </w:pPr>
            <w:r w:rsidRPr="00232594">
              <w:rPr>
                <w:color w:val="000000"/>
              </w:rPr>
              <w:t>4 hours</w:t>
            </w:r>
          </w:p>
        </w:tc>
        <w:tc>
          <w:tcPr>
            <w:tcW w:w="990" w:type="dxa"/>
            <w:tcBorders>
              <w:top w:val="nil"/>
              <w:left w:val="nil"/>
              <w:bottom w:val="single" w:sz="8" w:space="0" w:color="auto"/>
              <w:right w:val="single" w:sz="8" w:space="0" w:color="auto"/>
            </w:tcBorders>
            <w:shd w:val="clear" w:color="auto" w:fill="FFFFFF" w:themeFill="background1"/>
            <w:noWrap/>
            <w:vAlign w:val="center"/>
          </w:tcPr>
          <w:p w:rsidR="00C80C9C" w:rsidRPr="007D482A" w:rsidP="00786D45" w14:paraId="6A6B83C6" w14:textId="0473615D">
            <w:pPr>
              <w:jc w:val="center"/>
              <w:rPr>
                <w:color w:val="000000"/>
              </w:rPr>
            </w:pPr>
            <w:r w:rsidRPr="007D482A">
              <w:rPr>
                <w:color w:val="000000"/>
              </w:rPr>
              <w:t>1,184</w:t>
            </w:r>
          </w:p>
        </w:tc>
        <w:tc>
          <w:tcPr>
            <w:tcW w:w="1518" w:type="dxa"/>
            <w:tcBorders>
              <w:top w:val="nil"/>
              <w:left w:val="nil"/>
              <w:bottom w:val="single" w:sz="8" w:space="0" w:color="auto"/>
              <w:right w:val="single" w:sz="8" w:space="0" w:color="auto"/>
            </w:tcBorders>
            <w:shd w:val="clear" w:color="auto" w:fill="FFFFFF" w:themeFill="background1"/>
            <w:noWrap/>
            <w:vAlign w:val="center"/>
          </w:tcPr>
          <w:p w:rsidR="00C80C9C" w:rsidRPr="007D482A" w:rsidP="00487394" w14:paraId="39AB20D1" w14:textId="6030F717">
            <w:pPr>
              <w:jc w:val="center"/>
              <w:rPr>
                <w:color w:val="000000"/>
              </w:rPr>
            </w:pPr>
            <w:r w:rsidRPr="007D482A">
              <w:rPr>
                <w:color w:val="000000"/>
              </w:rPr>
              <w:t>$</w:t>
            </w:r>
            <w:r w:rsidR="00E801FC">
              <w:rPr>
                <w:color w:val="000000"/>
              </w:rPr>
              <w:t>64,160.96</w:t>
            </w:r>
          </w:p>
        </w:tc>
      </w:tr>
      <w:tr w14:paraId="0B4D075A" w14:textId="77777777" w:rsidTr="00F0683D">
        <w:tblPrEx>
          <w:tblW w:w="9468" w:type="dxa"/>
          <w:tblInd w:w="-118" w:type="dxa"/>
          <w:tblLayout w:type="fixed"/>
          <w:tblLook w:val="04A0"/>
        </w:tblPrEx>
        <w:trPr>
          <w:trHeight w:val="830"/>
        </w:trPr>
        <w:tc>
          <w:tcPr>
            <w:tcW w:w="1548" w:type="dxa"/>
            <w:tcBorders>
              <w:top w:val="nil"/>
              <w:left w:val="single" w:sz="8" w:space="0" w:color="auto"/>
              <w:bottom w:val="single" w:sz="8" w:space="0" w:color="auto"/>
              <w:right w:val="single" w:sz="8" w:space="0" w:color="auto"/>
            </w:tcBorders>
            <w:shd w:val="clear" w:color="auto" w:fill="FFFFFF" w:themeFill="background1"/>
            <w:vAlign w:val="center"/>
          </w:tcPr>
          <w:p w:rsidR="005C7832" w:rsidP="00786D45" w14:paraId="1EF1F16B" w14:textId="10C90E3D">
            <w:r>
              <w:t xml:space="preserve">2025 </w:t>
            </w:r>
            <w:r>
              <w:t>Annual Performance Report</w:t>
            </w:r>
          </w:p>
        </w:tc>
        <w:tc>
          <w:tcPr>
            <w:tcW w:w="1542" w:type="dxa"/>
            <w:tcBorders>
              <w:top w:val="nil"/>
              <w:left w:val="nil"/>
              <w:bottom w:val="single" w:sz="8" w:space="0" w:color="auto"/>
              <w:right w:val="single" w:sz="8" w:space="0" w:color="auto"/>
            </w:tcBorders>
            <w:shd w:val="clear" w:color="auto" w:fill="FFFFFF" w:themeFill="background1"/>
            <w:noWrap/>
            <w:vAlign w:val="center"/>
          </w:tcPr>
          <w:p w:rsidR="005C7832" w:rsidP="00786D45" w14:paraId="42C7631F" w14:textId="598154E5">
            <w:pPr>
              <w:jc w:val="center"/>
              <w:rPr>
                <w:color w:val="000000"/>
              </w:rPr>
            </w:pPr>
            <w:r w:rsidRPr="006C6A9C">
              <w:rPr>
                <w:color w:val="000000" w:themeColor="text1"/>
              </w:rPr>
              <w:t>36</w:t>
            </w:r>
            <w:r w:rsidRPr="006C6A9C" w:rsidR="692589BE">
              <w:rPr>
                <w:color w:val="000000" w:themeColor="text1"/>
              </w:rPr>
              <w:t>0</w:t>
            </w:r>
          </w:p>
        </w:tc>
        <w:tc>
          <w:tcPr>
            <w:tcW w:w="1391" w:type="dxa"/>
            <w:tcBorders>
              <w:top w:val="nil"/>
              <w:left w:val="nil"/>
              <w:bottom w:val="single" w:sz="8" w:space="0" w:color="auto"/>
              <w:right w:val="single" w:sz="8" w:space="0" w:color="auto"/>
            </w:tcBorders>
            <w:shd w:val="clear" w:color="auto" w:fill="FFFFFF" w:themeFill="background1"/>
            <w:noWrap/>
            <w:vAlign w:val="center"/>
          </w:tcPr>
          <w:p w:rsidR="005C7832" w:rsidP="00786D45" w14:paraId="76328083" w14:textId="677B100A">
            <w:pPr>
              <w:jc w:val="center"/>
              <w:rPr>
                <w:color w:val="000000"/>
              </w:rPr>
            </w:pPr>
            <w:r>
              <w:rPr>
                <w:color w:val="000000"/>
              </w:rPr>
              <w:t>1</w:t>
            </w:r>
          </w:p>
        </w:tc>
        <w:tc>
          <w:tcPr>
            <w:tcW w:w="1309" w:type="dxa"/>
            <w:tcBorders>
              <w:top w:val="nil"/>
              <w:left w:val="nil"/>
              <w:bottom w:val="single" w:sz="8" w:space="0" w:color="auto"/>
              <w:right w:val="single" w:sz="8" w:space="0" w:color="auto"/>
            </w:tcBorders>
            <w:shd w:val="clear" w:color="auto" w:fill="FFFFFF" w:themeFill="background1"/>
            <w:noWrap/>
            <w:vAlign w:val="center"/>
          </w:tcPr>
          <w:p w:rsidR="005C7832" w:rsidP="00786D45" w14:paraId="0A792325" w14:textId="75E15331">
            <w:pPr>
              <w:jc w:val="center"/>
              <w:rPr>
                <w:color w:val="000000"/>
              </w:rPr>
            </w:pPr>
            <w:r>
              <w:rPr>
                <w:color w:val="000000"/>
              </w:rPr>
              <w:t>360</w:t>
            </w:r>
          </w:p>
        </w:tc>
        <w:tc>
          <w:tcPr>
            <w:tcW w:w="1170" w:type="dxa"/>
            <w:tcBorders>
              <w:top w:val="nil"/>
              <w:left w:val="nil"/>
              <w:bottom w:val="single" w:sz="8" w:space="0" w:color="auto"/>
              <w:right w:val="single" w:sz="8" w:space="0" w:color="auto"/>
            </w:tcBorders>
            <w:shd w:val="clear" w:color="auto" w:fill="FFFFFF" w:themeFill="background1"/>
            <w:noWrap/>
            <w:vAlign w:val="center"/>
          </w:tcPr>
          <w:p w:rsidR="005C7832" w:rsidRPr="006C6A9C" w14:paraId="6445F82A" w14:textId="01DCD611">
            <w:pPr>
              <w:jc w:val="center"/>
              <w:rPr>
                <w:color w:val="000000"/>
              </w:rPr>
            </w:pPr>
            <w:r w:rsidRPr="00232594">
              <w:rPr>
                <w:color w:val="000000"/>
              </w:rPr>
              <w:t>2</w:t>
            </w:r>
            <w:r w:rsidRPr="00232594" w:rsidR="009B007D">
              <w:rPr>
                <w:color w:val="000000"/>
              </w:rPr>
              <w:t xml:space="preserve"> hours</w:t>
            </w:r>
          </w:p>
        </w:tc>
        <w:tc>
          <w:tcPr>
            <w:tcW w:w="990" w:type="dxa"/>
            <w:tcBorders>
              <w:top w:val="nil"/>
              <w:left w:val="nil"/>
              <w:bottom w:val="single" w:sz="8" w:space="0" w:color="auto"/>
              <w:right w:val="single" w:sz="8" w:space="0" w:color="auto"/>
            </w:tcBorders>
            <w:shd w:val="clear" w:color="auto" w:fill="FFFFFF" w:themeFill="background1"/>
            <w:noWrap/>
            <w:vAlign w:val="center"/>
          </w:tcPr>
          <w:p w:rsidR="005C7832" w:rsidP="00786D45" w14:paraId="6B4E4629" w14:textId="66DD4BBB">
            <w:pPr>
              <w:jc w:val="center"/>
              <w:rPr>
                <w:color w:val="000000"/>
              </w:rPr>
            </w:pPr>
            <w:r>
              <w:rPr>
                <w:color w:val="000000"/>
              </w:rPr>
              <w:t>720</w:t>
            </w:r>
          </w:p>
        </w:tc>
        <w:tc>
          <w:tcPr>
            <w:tcW w:w="1518" w:type="dxa"/>
            <w:tcBorders>
              <w:top w:val="nil"/>
              <w:left w:val="nil"/>
              <w:bottom w:val="single" w:sz="8" w:space="0" w:color="auto"/>
              <w:right w:val="single" w:sz="8" w:space="0" w:color="auto"/>
            </w:tcBorders>
            <w:shd w:val="clear" w:color="auto" w:fill="FFFFFF" w:themeFill="background1"/>
            <w:noWrap/>
            <w:vAlign w:val="center"/>
          </w:tcPr>
          <w:p w:rsidR="005C7832" w:rsidP="00786D45" w14:paraId="34E68A1B" w14:textId="518422FE">
            <w:pPr>
              <w:jc w:val="center"/>
              <w:rPr>
                <w:color w:val="000000"/>
              </w:rPr>
            </w:pPr>
            <w:r>
              <w:rPr>
                <w:color w:val="000000"/>
              </w:rPr>
              <w:t>$</w:t>
            </w:r>
            <w:r w:rsidR="00E801FC">
              <w:rPr>
                <w:color w:val="000000"/>
              </w:rPr>
              <w:t>39,016.80</w:t>
            </w:r>
          </w:p>
        </w:tc>
      </w:tr>
      <w:tr w14:paraId="2395A416" w14:textId="77777777" w:rsidTr="00F0683D">
        <w:tblPrEx>
          <w:tblW w:w="9468" w:type="dxa"/>
          <w:tblInd w:w="-118" w:type="dxa"/>
          <w:tblLayout w:type="fixed"/>
          <w:tblLook w:val="04A0"/>
        </w:tblPrEx>
        <w:trPr>
          <w:trHeight w:val="830"/>
        </w:trPr>
        <w:tc>
          <w:tcPr>
            <w:tcW w:w="1548" w:type="dxa"/>
            <w:tcBorders>
              <w:top w:val="nil"/>
              <w:left w:val="single" w:sz="8" w:space="0" w:color="auto"/>
              <w:bottom w:val="single" w:sz="8" w:space="0" w:color="auto"/>
              <w:right w:val="single" w:sz="8" w:space="0" w:color="auto"/>
            </w:tcBorders>
            <w:shd w:val="clear" w:color="auto" w:fill="FFFFFF" w:themeFill="background1"/>
            <w:vAlign w:val="center"/>
          </w:tcPr>
          <w:p w:rsidR="00792BFF" w:rsidRPr="006C6A9C" w:rsidP="006C6A9C" w14:paraId="56680862" w14:textId="78279291">
            <w:pPr>
              <w:rPr>
                <w:color w:val="000000" w:themeColor="text1"/>
              </w:rPr>
            </w:pPr>
            <w:r w:rsidRPr="006C6A9C">
              <w:rPr>
                <w:color w:val="000000"/>
              </w:rPr>
              <w:t xml:space="preserve">Final </w:t>
            </w:r>
            <w:r w:rsidRPr="006C6A9C" w:rsidR="009115E3">
              <w:rPr>
                <w:color w:val="000000"/>
              </w:rPr>
              <w:t xml:space="preserve">Quarterly </w:t>
            </w:r>
            <w:r w:rsidRPr="006C6A9C">
              <w:rPr>
                <w:color w:val="000000"/>
              </w:rPr>
              <w:t>Report</w:t>
            </w:r>
          </w:p>
        </w:tc>
        <w:tc>
          <w:tcPr>
            <w:tcW w:w="1542" w:type="dxa"/>
            <w:tcBorders>
              <w:top w:val="nil"/>
              <w:left w:val="nil"/>
              <w:bottom w:val="single" w:sz="8" w:space="0" w:color="auto"/>
              <w:right w:val="single" w:sz="8" w:space="0" w:color="auto"/>
            </w:tcBorders>
            <w:shd w:val="clear" w:color="auto" w:fill="FFFFFF" w:themeFill="background1"/>
            <w:noWrap/>
            <w:vAlign w:val="center"/>
          </w:tcPr>
          <w:p w:rsidR="00792BFF" w:rsidRPr="006C6A9C" w14:paraId="70168B37" w14:textId="1111AA3B">
            <w:pPr>
              <w:jc w:val="center"/>
              <w:rPr>
                <w:color w:val="000000" w:themeColor="text1"/>
              </w:rPr>
            </w:pPr>
            <w:r w:rsidRPr="006C6A9C">
              <w:rPr>
                <w:color w:val="000000"/>
              </w:rPr>
              <w:t>360</w:t>
            </w:r>
          </w:p>
        </w:tc>
        <w:tc>
          <w:tcPr>
            <w:tcW w:w="1391" w:type="dxa"/>
            <w:tcBorders>
              <w:top w:val="nil"/>
              <w:left w:val="nil"/>
              <w:bottom w:val="single" w:sz="8" w:space="0" w:color="auto"/>
              <w:right w:val="single" w:sz="8" w:space="0" w:color="auto"/>
            </w:tcBorders>
            <w:shd w:val="clear" w:color="auto" w:fill="auto"/>
            <w:noWrap/>
            <w:vAlign w:val="center"/>
          </w:tcPr>
          <w:p w:rsidR="00792BFF" w:rsidRPr="006C6A9C" w14:paraId="2BE7A13C" w14:textId="0751A630">
            <w:pPr>
              <w:jc w:val="center"/>
              <w:rPr>
                <w:color w:val="000000" w:themeColor="text1"/>
              </w:rPr>
            </w:pPr>
            <w:r w:rsidRPr="006C6A9C">
              <w:rPr>
                <w:color w:val="000000"/>
              </w:rPr>
              <w:t>1</w:t>
            </w:r>
          </w:p>
        </w:tc>
        <w:tc>
          <w:tcPr>
            <w:tcW w:w="1309" w:type="dxa"/>
            <w:tcBorders>
              <w:top w:val="nil"/>
              <w:left w:val="nil"/>
              <w:bottom w:val="single" w:sz="8" w:space="0" w:color="auto"/>
              <w:right w:val="single" w:sz="8" w:space="0" w:color="auto"/>
            </w:tcBorders>
            <w:shd w:val="clear" w:color="auto" w:fill="FFFFFF" w:themeFill="background1"/>
            <w:noWrap/>
            <w:vAlign w:val="center"/>
          </w:tcPr>
          <w:p w:rsidR="00792BFF" w:rsidRPr="006C6A9C" w14:paraId="70215622" w14:textId="36BBF106">
            <w:pPr>
              <w:jc w:val="center"/>
              <w:rPr>
                <w:color w:val="000000" w:themeColor="text1"/>
              </w:rPr>
            </w:pPr>
            <w:r w:rsidRPr="006C6A9C">
              <w:rPr>
                <w:color w:val="000000"/>
              </w:rPr>
              <w:t>360</w:t>
            </w:r>
          </w:p>
        </w:tc>
        <w:tc>
          <w:tcPr>
            <w:tcW w:w="1170" w:type="dxa"/>
            <w:tcBorders>
              <w:top w:val="nil"/>
              <w:left w:val="nil"/>
              <w:bottom w:val="single" w:sz="8" w:space="0" w:color="auto"/>
              <w:right w:val="single" w:sz="8" w:space="0" w:color="auto"/>
            </w:tcBorders>
            <w:shd w:val="clear" w:color="auto" w:fill="auto"/>
            <w:noWrap/>
            <w:vAlign w:val="center"/>
          </w:tcPr>
          <w:p w:rsidR="00792BFF" w:rsidRPr="006C6A9C" w14:paraId="49F2404D" w14:textId="212EAACE">
            <w:pPr>
              <w:jc w:val="center"/>
              <w:rPr>
                <w:color w:val="000000" w:themeColor="text1"/>
              </w:rPr>
            </w:pPr>
            <w:r w:rsidRPr="006C6A9C">
              <w:rPr>
                <w:color w:val="000000"/>
              </w:rPr>
              <w:t>4.</w:t>
            </w:r>
            <w:r w:rsidR="00E801FC">
              <w:rPr>
                <w:color w:val="000000"/>
              </w:rPr>
              <w:t>5</w:t>
            </w:r>
            <w:r w:rsidRPr="006C6A9C" w:rsidR="3E0735C0">
              <w:rPr>
                <w:color w:val="000000"/>
              </w:rPr>
              <w:t xml:space="preserve"> hours</w:t>
            </w:r>
          </w:p>
        </w:tc>
        <w:tc>
          <w:tcPr>
            <w:tcW w:w="990" w:type="dxa"/>
            <w:tcBorders>
              <w:top w:val="nil"/>
              <w:left w:val="nil"/>
              <w:bottom w:val="single" w:sz="8" w:space="0" w:color="auto"/>
              <w:right w:val="single" w:sz="8" w:space="0" w:color="auto"/>
            </w:tcBorders>
            <w:shd w:val="clear" w:color="auto" w:fill="FFFFFF" w:themeFill="background1"/>
            <w:noWrap/>
            <w:vAlign w:val="center"/>
          </w:tcPr>
          <w:p w:rsidR="00792BFF" w:rsidRPr="006C6A9C" w14:paraId="6D999DD1" w14:textId="165B6A7E">
            <w:pPr>
              <w:jc w:val="center"/>
              <w:rPr>
                <w:color w:val="000000" w:themeColor="text1"/>
              </w:rPr>
            </w:pPr>
            <w:r>
              <w:rPr>
                <w:color w:val="000000"/>
              </w:rPr>
              <w:t>1,620</w:t>
            </w:r>
          </w:p>
        </w:tc>
        <w:tc>
          <w:tcPr>
            <w:tcW w:w="1518" w:type="dxa"/>
            <w:tcBorders>
              <w:top w:val="nil"/>
              <w:left w:val="nil"/>
              <w:bottom w:val="single" w:sz="8" w:space="0" w:color="auto"/>
              <w:right w:val="single" w:sz="8" w:space="0" w:color="auto"/>
            </w:tcBorders>
            <w:shd w:val="clear" w:color="auto" w:fill="FFFFFF" w:themeFill="background1"/>
            <w:noWrap/>
            <w:vAlign w:val="center"/>
          </w:tcPr>
          <w:p w:rsidR="00792BFF" w:rsidRPr="006C6A9C" w14:paraId="39483E95" w14:textId="4C112C74">
            <w:pPr>
              <w:jc w:val="center"/>
              <w:rPr>
                <w:color w:val="000000" w:themeColor="text1"/>
              </w:rPr>
            </w:pPr>
            <w:r w:rsidRPr="006C6A9C">
              <w:rPr>
                <w:color w:val="000000"/>
              </w:rPr>
              <w:t>$</w:t>
            </w:r>
            <w:r w:rsidR="00E801FC">
              <w:rPr>
                <w:color w:val="000000"/>
              </w:rPr>
              <w:t>87,787.80</w:t>
            </w:r>
          </w:p>
        </w:tc>
      </w:tr>
      <w:tr w14:paraId="4010743A" w14:textId="77777777" w:rsidTr="00F0683D">
        <w:tblPrEx>
          <w:tblW w:w="9468" w:type="dxa"/>
          <w:tblInd w:w="-118" w:type="dxa"/>
          <w:tblLayout w:type="fixed"/>
          <w:tblLook w:val="04A0"/>
        </w:tblPrEx>
        <w:trPr>
          <w:trHeight w:val="830"/>
        </w:trPr>
        <w:tc>
          <w:tcPr>
            <w:tcW w:w="1548" w:type="dxa"/>
            <w:tcBorders>
              <w:top w:val="nil"/>
              <w:left w:val="single" w:sz="8" w:space="0" w:color="auto"/>
              <w:bottom w:val="single" w:sz="8" w:space="0" w:color="auto"/>
              <w:right w:val="single" w:sz="8" w:space="0" w:color="auto"/>
            </w:tcBorders>
            <w:shd w:val="clear" w:color="auto" w:fill="FFFFFF" w:themeFill="background1"/>
            <w:vAlign w:val="center"/>
          </w:tcPr>
          <w:p w:rsidR="00792BFF" w:rsidRPr="006C6A9C" w:rsidP="006C6A9C" w14:paraId="31517987" w14:textId="49E33F53">
            <w:pPr>
              <w:rPr>
                <w:color w:val="000000"/>
              </w:rPr>
            </w:pPr>
            <w:r w:rsidRPr="006C6A9C">
              <w:rPr>
                <w:color w:val="000000"/>
              </w:rPr>
              <w:t xml:space="preserve">Final </w:t>
            </w:r>
            <w:r w:rsidRPr="006C6A9C" w:rsidR="009115E3">
              <w:rPr>
                <w:color w:val="000000"/>
              </w:rPr>
              <w:t xml:space="preserve">Annual </w:t>
            </w:r>
            <w:r w:rsidRPr="006C6A9C">
              <w:rPr>
                <w:color w:val="000000"/>
              </w:rPr>
              <w:t>Report</w:t>
            </w:r>
          </w:p>
        </w:tc>
        <w:tc>
          <w:tcPr>
            <w:tcW w:w="1542" w:type="dxa"/>
            <w:tcBorders>
              <w:top w:val="nil"/>
              <w:left w:val="nil"/>
              <w:bottom w:val="single" w:sz="8" w:space="0" w:color="auto"/>
              <w:right w:val="single" w:sz="8" w:space="0" w:color="auto"/>
            </w:tcBorders>
            <w:shd w:val="clear" w:color="auto" w:fill="FFFFFF" w:themeFill="background1"/>
            <w:noWrap/>
            <w:vAlign w:val="center"/>
          </w:tcPr>
          <w:p w:rsidR="00792BFF" w:rsidRPr="006C6A9C" w14:paraId="1DAFF07C" w14:textId="3C6DCD05">
            <w:pPr>
              <w:jc w:val="center"/>
              <w:rPr>
                <w:color w:val="000000" w:themeColor="text1"/>
              </w:rPr>
            </w:pPr>
            <w:r w:rsidRPr="006C6A9C">
              <w:rPr>
                <w:color w:val="000000"/>
              </w:rPr>
              <w:t>3</w:t>
            </w:r>
            <w:r w:rsidRPr="006C6A9C" w:rsidR="3875626C">
              <w:rPr>
                <w:color w:val="000000"/>
              </w:rPr>
              <w:t>6</w:t>
            </w:r>
            <w:r w:rsidRPr="006C6A9C" w:rsidR="692589BE">
              <w:rPr>
                <w:color w:val="000000"/>
              </w:rPr>
              <w:t>0</w:t>
            </w:r>
          </w:p>
        </w:tc>
        <w:tc>
          <w:tcPr>
            <w:tcW w:w="1391" w:type="dxa"/>
            <w:tcBorders>
              <w:top w:val="nil"/>
              <w:left w:val="nil"/>
              <w:bottom w:val="single" w:sz="8" w:space="0" w:color="auto"/>
              <w:right w:val="single" w:sz="8" w:space="0" w:color="auto"/>
            </w:tcBorders>
            <w:shd w:val="clear" w:color="auto" w:fill="auto"/>
            <w:noWrap/>
            <w:vAlign w:val="center"/>
          </w:tcPr>
          <w:p w:rsidR="00792BFF" w:rsidRPr="006C6A9C" w14:paraId="01A9809E" w14:textId="1DAE0FC1">
            <w:pPr>
              <w:jc w:val="center"/>
              <w:rPr>
                <w:color w:val="000000" w:themeColor="text1"/>
              </w:rPr>
            </w:pPr>
            <w:r w:rsidRPr="006C6A9C">
              <w:rPr>
                <w:color w:val="000000"/>
              </w:rPr>
              <w:t>1</w:t>
            </w:r>
          </w:p>
        </w:tc>
        <w:tc>
          <w:tcPr>
            <w:tcW w:w="1309" w:type="dxa"/>
            <w:tcBorders>
              <w:top w:val="nil"/>
              <w:left w:val="nil"/>
              <w:bottom w:val="single" w:sz="8" w:space="0" w:color="auto"/>
              <w:right w:val="single" w:sz="8" w:space="0" w:color="auto"/>
            </w:tcBorders>
            <w:shd w:val="clear" w:color="auto" w:fill="FFFFFF" w:themeFill="background1"/>
            <w:noWrap/>
            <w:vAlign w:val="center"/>
          </w:tcPr>
          <w:p w:rsidR="00792BFF" w:rsidRPr="006C6A9C" w14:paraId="5EB7F062" w14:textId="1019E5DF">
            <w:pPr>
              <w:jc w:val="center"/>
              <w:rPr>
                <w:color w:val="000000" w:themeColor="text1"/>
              </w:rPr>
            </w:pPr>
            <w:r w:rsidRPr="006C6A9C">
              <w:rPr>
                <w:color w:val="000000"/>
              </w:rPr>
              <w:t>360</w:t>
            </w:r>
          </w:p>
        </w:tc>
        <w:tc>
          <w:tcPr>
            <w:tcW w:w="1170" w:type="dxa"/>
            <w:tcBorders>
              <w:top w:val="nil"/>
              <w:left w:val="nil"/>
              <w:bottom w:val="single" w:sz="8" w:space="0" w:color="auto"/>
              <w:right w:val="single" w:sz="8" w:space="0" w:color="auto"/>
            </w:tcBorders>
            <w:shd w:val="clear" w:color="auto" w:fill="auto"/>
            <w:noWrap/>
            <w:vAlign w:val="center"/>
          </w:tcPr>
          <w:p w:rsidR="00792BFF" w:rsidRPr="006C6A9C" w14:paraId="518DC847" w14:textId="3016D539">
            <w:pPr>
              <w:jc w:val="center"/>
              <w:rPr>
                <w:color w:val="000000" w:themeColor="text1"/>
              </w:rPr>
            </w:pPr>
            <w:r w:rsidRPr="006C6A9C">
              <w:rPr>
                <w:color w:val="000000"/>
              </w:rPr>
              <w:t>2</w:t>
            </w:r>
            <w:r w:rsidRPr="006C6A9C" w:rsidR="3E0735C0">
              <w:rPr>
                <w:color w:val="000000"/>
              </w:rPr>
              <w:t xml:space="preserve"> hours</w:t>
            </w:r>
          </w:p>
        </w:tc>
        <w:tc>
          <w:tcPr>
            <w:tcW w:w="990" w:type="dxa"/>
            <w:tcBorders>
              <w:top w:val="nil"/>
              <w:left w:val="nil"/>
              <w:bottom w:val="single" w:sz="8" w:space="0" w:color="auto"/>
              <w:right w:val="single" w:sz="8" w:space="0" w:color="auto"/>
            </w:tcBorders>
            <w:shd w:val="clear" w:color="auto" w:fill="FFFFFF" w:themeFill="background1"/>
            <w:noWrap/>
            <w:vAlign w:val="center"/>
          </w:tcPr>
          <w:p w:rsidR="00792BFF" w:rsidRPr="006C6A9C" w14:paraId="47492794" w14:textId="478A63F4">
            <w:pPr>
              <w:jc w:val="center"/>
              <w:rPr>
                <w:color w:val="000000" w:themeColor="text1"/>
              </w:rPr>
            </w:pPr>
            <w:r w:rsidRPr="006C6A9C">
              <w:rPr>
                <w:color w:val="000000"/>
              </w:rPr>
              <w:t>720</w:t>
            </w:r>
          </w:p>
        </w:tc>
        <w:tc>
          <w:tcPr>
            <w:tcW w:w="1518" w:type="dxa"/>
            <w:tcBorders>
              <w:top w:val="nil"/>
              <w:left w:val="nil"/>
              <w:bottom w:val="single" w:sz="8" w:space="0" w:color="auto"/>
              <w:right w:val="single" w:sz="8" w:space="0" w:color="auto"/>
            </w:tcBorders>
            <w:shd w:val="clear" w:color="auto" w:fill="FFFFFF" w:themeFill="background1"/>
            <w:noWrap/>
            <w:vAlign w:val="center"/>
          </w:tcPr>
          <w:p w:rsidR="00792BFF" w:rsidRPr="006C6A9C" w14:paraId="5C804629" w14:textId="2E011D2F">
            <w:pPr>
              <w:jc w:val="center"/>
              <w:rPr>
                <w:color w:val="000000" w:themeColor="text1"/>
              </w:rPr>
            </w:pPr>
            <w:r w:rsidRPr="006C6A9C">
              <w:rPr>
                <w:color w:val="000000"/>
              </w:rPr>
              <w:t>$</w:t>
            </w:r>
            <w:r w:rsidR="00E801FC">
              <w:rPr>
                <w:color w:val="000000"/>
              </w:rPr>
              <w:t>39,016.80</w:t>
            </w:r>
          </w:p>
        </w:tc>
      </w:tr>
      <w:tr w14:paraId="58B463DE" w14:textId="77777777" w:rsidTr="00F0683D">
        <w:tblPrEx>
          <w:tblW w:w="9468" w:type="dxa"/>
          <w:tblInd w:w="-118" w:type="dxa"/>
          <w:tblLayout w:type="fixed"/>
          <w:tblLook w:val="04A0"/>
        </w:tblPrEx>
        <w:trPr>
          <w:trHeight w:val="830"/>
        </w:trPr>
        <w:tc>
          <w:tcPr>
            <w:tcW w:w="1548" w:type="dxa"/>
            <w:tcBorders>
              <w:top w:val="nil"/>
              <w:left w:val="single" w:sz="8" w:space="0" w:color="auto"/>
              <w:bottom w:val="single" w:sz="8" w:space="0" w:color="auto"/>
              <w:right w:val="single" w:sz="8" w:space="0" w:color="auto"/>
            </w:tcBorders>
            <w:shd w:val="clear" w:color="auto" w:fill="FFFFFF" w:themeFill="background1"/>
            <w:vAlign w:val="center"/>
          </w:tcPr>
          <w:p w:rsidR="00A8093E" w:rsidRPr="006C6A9C" w14:paraId="7C0D78E3" w14:textId="77777777">
            <w:pPr>
              <w:jc w:val="center"/>
              <w:rPr>
                <w:color w:val="000000"/>
              </w:rPr>
            </w:pPr>
            <w:r w:rsidRPr="006C6A9C">
              <w:rPr>
                <w:color w:val="000000"/>
              </w:rPr>
              <w:t>Total</w:t>
            </w:r>
          </w:p>
        </w:tc>
        <w:tc>
          <w:tcPr>
            <w:tcW w:w="1542" w:type="dxa"/>
            <w:tcBorders>
              <w:top w:val="nil"/>
              <w:left w:val="nil"/>
              <w:bottom w:val="single" w:sz="8" w:space="0" w:color="auto"/>
              <w:right w:val="single" w:sz="8" w:space="0" w:color="auto"/>
            </w:tcBorders>
            <w:shd w:val="clear" w:color="auto" w:fill="FFFFFF" w:themeFill="background1"/>
            <w:noWrap/>
            <w:vAlign w:val="center"/>
          </w:tcPr>
          <w:p w:rsidR="00A8093E" w:rsidRPr="006C6A9C" w14:paraId="2BE39759" w14:textId="090C1D69">
            <w:pPr>
              <w:jc w:val="center"/>
              <w:rPr>
                <w:color w:val="000000" w:themeColor="text1"/>
              </w:rPr>
            </w:pPr>
            <w:r w:rsidRPr="006C6A9C">
              <w:rPr>
                <w:color w:val="000000"/>
              </w:rPr>
              <w:t>Varies</w:t>
            </w:r>
          </w:p>
        </w:tc>
        <w:tc>
          <w:tcPr>
            <w:tcW w:w="1391" w:type="dxa"/>
            <w:tcBorders>
              <w:top w:val="nil"/>
              <w:left w:val="nil"/>
              <w:bottom w:val="single" w:sz="8" w:space="0" w:color="auto"/>
              <w:right w:val="single" w:sz="8" w:space="0" w:color="auto"/>
            </w:tcBorders>
            <w:shd w:val="clear" w:color="auto" w:fill="auto"/>
            <w:noWrap/>
            <w:vAlign w:val="center"/>
          </w:tcPr>
          <w:p w:rsidR="00A8093E" w:rsidRPr="006C6A9C" w14:paraId="553206F9" w14:textId="5B774217">
            <w:pPr>
              <w:jc w:val="center"/>
              <w:rPr>
                <w:color w:val="000000"/>
              </w:rPr>
            </w:pPr>
            <w:r w:rsidRPr="006C6A9C">
              <w:rPr>
                <w:color w:val="000000"/>
              </w:rPr>
              <w:t>Varies</w:t>
            </w:r>
          </w:p>
        </w:tc>
        <w:tc>
          <w:tcPr>
            <w:tcW w:w="1309" w:type="dxa"/>
            <w:tcBorders>
              <w:top w:val="nil"/>
              <w:left w:val="nil"/>
              <w:bottom w:val="single" w:sz="8" w:space="0" w:color="auto"/>
              <w:right w:val="single" w:sz="8" w:space="0" w:color="auto"/>
            </w:tcBorders>
            <w:shd w:val="clear" w:color="auto" w:fill="FFFFFF" w:themeFill="background1"/>
            <w:noWrap/>
            <w:vAlign w:val="center"/>
          </w:tcPr>
          <w:p w:rsidR="00A8093E" w:rsidRPr="006C6A9C" w14:paraId="7B426FE5" w14:textId="6BB8F838">
            <w:pPr>
              <w:jc w:val="center"/>
              <w:rPr>
                <w:color w:val="000000" w:themeColor="text1"/>
              </w:rPr>
            </w:pPr>
            <w:r w:rsidRPr="006C6A9C">
              <w:rPr>
                <w:color w:val="000000" w:themeColor="text1"/>
              </w:rPr>
              <w:t>1,698</w:t>
            </w:r>
          </w:p>
        </w:tc>
        <w:tc>
          <w:tcPr>
            <w:tcW w:w="1170" w:type="dxa"/>
            <w:tcBorders>
              <w:top w:val="nil"/>
              <w:left w:val="nil"/>
              <w:bottom w:val="single" w:sz="8" w:space="0" w:color="auto"/>
              <w:right w:val="single" w:sz="8" w:space="0" w:color="auto"/>
            </w:tcBorders>
            <w:shd w:val="clear" w:color="auto" w:fill="auto"/>
            <w:noWrap/>
            <w:vAlign w:val="center"/>
          </w:tcPr>
          <w:p w:rsidR="00A8093E" w:rsidRPr="006C6A9C" w14:paraId="3ECBA48B" w14:textId="730B6312">
            <w:pPr>
              <w:jc w:val="center"/>
              <w:rPr>
                <w:color w:val="000000"/>
              </w:rPr>
            </w:pPr>
            <w:r w:rsidRPr="006C6A9C">
              <w:rPr>
                <w:color w:val="000000"/>
              </w:rPr>
              <w:t>Varies</w:t>
            </w:r>
          </w:p>
        </w:tc>
        <w:tc>
          <w:tcPr>
            <w:tcW w:w="990" w:type="dxa"/>
            <w:tcBorders>
              <w:top w:val="nil"/>
              <w:left w:val="nil"/>
              <w:bottom w:val="single" w:sz="8" w:space="0" w:color="auto"/>
              <w:right w:val="single" w:sz="8" w:space="0" w:color="auto"/>
            </w:tcBorders>
            <w:shd w:val="clear" w:color="auto" w:fill="FFFFFF" w:themeFill="background1"/>
            <w:noWrap/>
            <w:vAlign w:val="center"/>
          </w:tcPr>
          <w:p w:rsidR="00A8093E" w:rsidRPr="006C6A9C" w14:paraId="2574482E" w14:textId="7BC9593B">
            <w:pPr>
              <w:jc w:val="center"/>
              <w:rPr>
                <w:color w:val="000000" w:themeColor="text1"/>
              </w:rPr>
            </w:pPr>
            <w:r>
              <w:rPr>
                <w:color w:val="000000"/>
              </w:rPr>
              <w:t>5,527</w:t>
            </w:r>
          </w:p>
        </w:tc>
        <w:tc>
          <w:tcPr>
            <w:tcW w:w="1518" w:type="dxa"/>
            <w:tcBorders>
              <w:top w:val="nil"/>
              <w:left w:val="nil"/>
              <w:bottom w:val="single" w:sz="8" w:space="0" w:color="auto"/>
              <w:right w:val="single" w:sz="8" w:space="0" w:color="auto"/>
            </w:tcBorders>
            <w:shd w:val="clear" w:color="auto" w:fill="FFFFFF" w:themeFill="background1"/>
            <w:noWrap/>
            <w:vAlign w:val="center"/>
          </w:tcPr>
          <w:p w:rsidR="00547423" w:rsidRPr="006C6A9C" w14:paraId="7901E4D3" w14:textId="1467B2A0">
            <w:pPr>
              <w:jc w:val="center"/>
              <w:rPr>
                <w:color w:val="000000" w:themeColor="text1"/>
              </w:rPr>
            </w:pPr>
            <w:r w:rsidRPr="006C6A9C">
              <w:rPr>
                <w:color w:val="000000"/>
              </w:rPr>
              <w:t>$</w:t>
            </w:r>
            <w:r w:rsidR="00E801FC">
              <w:rPr>
                <w:color w:val="000000"/>
              </w:rPr>
              <w:t>299,508.13</w:t>
            </w:r>
          </w:p>
        </w:tc>
      </w:tr>
    </w:tbl>
    <w:p w:rsidR="00764132" w:rsidRPr="00624081" w:rsidP="00A8093E" w14:paraId="4E72501F" w14:textId="1E2A40D6">
      <w:pPr>
        <w:rPr>
          <w:sz w:val="16"/>
          <w:szCs w:val="16"/>
        </w:rPr>
      </w:pPr>
      <w:r>
        <w:rPr>
          <w:sz w:val="20"/>
          <w:szCs w:val="20"/>
        </w:rPr>
        <w:t>*</w:t>
      </w:r>
      <w:r w:rsidRPr="00624081">
        <w:rPr>
          <w:sz w:val="20"/>
          <w:szCs w:val="20"/>
        </w:rPr>
        <w:t>All time estimates include the time for Participants to collect data from the recipient and to report the data to Treasury.</w:t>
      </w:r>
    </w:p>
    <w:p w:rsidR="001A1123" w:rsidRPr="006C6A9C" w14:paraId="7DA1AE5F" w14:textId="74D8F446">
      <w:pPr>
        <w:rPr>
          <w:b/>
          <w:bCs/>
        </w:rPr>
      </w:pPr>
      <w:r w:rsidRPr="00232594">
        <w:rPr>
          <w:sz w:val="20"/>
          <w:szCs w:val="20"/>
        </w:rPr>
        <w:t>**</w:t>
      </w:r>
      <w:r w:rsidRPr="00232594" w:rsidR="00A8093E">
        <w:rPr>
          <w:sz w:val="20"/>
          <w:szCs w:val="20"/>
        </w:rPr>
        <w:t>Bureau of Labor Statistics (BLS), U.S. Department of Labor, Occupational Outlook Handbook, Accountants and Auditors, on the Internet at https://www.bls.gov/ooh/business-and-financial/accountants-and-auditors.htm (</w:t>
      </w:r>
      <w:r w:rsidRPr="00232594" w:rsidR="00D909F6">
        <w:rPr>
          <w:sz w:val="20"/>
          <w:szCs w:val="20"/>
        </w:rPr>
        <w:t>visited</w:t>
      </w:r>
      <w:r w:rsidR="00D909F6">
        <w:rPr>
          <w:sz w:val="20"/>
          <w:szCs w:val="20"/>
        </w:rPr>
        <w:t xml:space="preserve"> July 25, 2025</w:t>
      </w:r>
      <w:r w:rsidRPr="00232594" w:rsidR="00A8093E">
        <w:rPr>
          <w:sz w:val="20"/>
          <w:szCs w:val="20"/>
        </w:rPr>
        <w:t>).</w:t>
      </w:r>
      <w:r w:rsidRPr="008268EE" w:rsidR="00A8093E">
        <w:rPr>
          <w:sz w:val="20"/>
          <w:szCs w:val="20"/>
        </w:rPr>
        <w:t xml:space="preserve"> In </w:t>
      </w:r>
      <w:r w:rsidR="00D909F6">
        <w:rPr>
          <w:sz w:val="20"/>
          <w:szCs w:val="20"/>
        </w:rPr>
        <w:t>2024</w:t>
      </w:r>
      <w:r w:rsidRPr="008268EE" w:rsidR="00A8093E">
        <w:rPr>
          <w:sz w:val="20"/>
          <w:szCs w:val="20"/>
        </w:rPr>
        <w:t>, the median pay for accounts and auditors was $</w:t>
      </w:r>
      <w:r w:rsidR="00D909F6">
        <w:rPr>
          <w:sz w:val="20"/>
          <w:szCs w:val="20"/>
        </w:rPr>
        <w:t>39.27</w:t>
      </w:r>
      <w:r w:rsidRPr="008268EE" w:rsidR="00A8093E">
        <w:rPr>
          <w:sz w:val="20"/>
          <w:szCs w:val="20"/>
        </w:rPr>
        <w:t xml:space="preserve">/hour. To account for the </w:t>
      </w:r>
      <w:r w:rsidRPr="008268EE" w:rsidR="00A8093E">
        <w:rPr>
          <w:sz w:val="20"/>
          <w:szCs w:val="20"/>
        </w:rPr>
        <w:t>fully-loaded</w:t>
      </w:r>
      <w:r w:rsidRPr="008268EE" w:rsidR="00A8093E">
        <w:rPr>
          <w:sz w:val="20"/>
          <w:szCs w:val="20"/>
        </w:rPr>
        <w:t xml:space="preserve"> employer cost of employee compensation, the median pay is increased by 38%, resulting in a fully-loaded wage rate of $</w:t>
      </w:r>
      <w:r w:rsidR="00D909F6">
        <w:rPr>
          <w:sz w:val="20"/>
          <w:szCs w:val="20"/>
        </w:rPr>
        <w:t>54.19</w:t>
      </w:r>
      <w:r w:rsidRPr="008268EE" w:rsidR="00A8093E">
        <w:rPr>
          <w:sz w:val="20"/>
          <w:szCs w:val="20"/>
        </w:rPr>
        <w:t xml:space="preserve">. According to BLS’s Employer Cost for Employee Compensation from </w:t>
      </w:r>
      <w:r w:rsidR="00E801FC">
        <w:rPr>
          <w:sz w:val="20"/>
          <w:szCs w:val="20"/>
        </w:rPr>
        <w:t>March 2025</w:t>
      </w:r>
      <w:r w:rsidRPr="008268EE" w:rsidR="00A8093E">
        <w:rPr>
          <w:sz w:val="20"/>
          <w:szCs w:val="20"/>
        </w:rPr>
        <w:t xml:space="preserve"> (released on </w:t>
      </w:r>
      <w:r w:rsidR="00E801FC">
        <w:rPr>
          <w:sz w:val="20"/>
          <w:szCs w:val="20"/>
        </w:rPr>
        <w:t>June 13, 2025</w:t>
      </w:r>
      <w:r w:rsidRPr="008268EE" w:rsidR="00A8093E">
        <w:rPr>
          <w:sz w:val="20"/>
          <w:szCs w:val="20"/>
        </w:rPr>
        <w:t xml:space="preserve">: https://www.bls.gov/news.release/pdf/ecec.pdf), employers provided 38% of total employee compensation in the form of non-wage compensation (i.e., benefits such as paid leave, health insurance, etc.) for state and local government workers. </w:t>
      </w:r>
    </w:p>
    <w:p w:rsidR="001A1123" w:rsidP="00A8093E" w14:paraId="505CFF3F" w14:textId="77777777">
      <w:pPr>
        <w:rPr>
          <w:b/>
        </w:rPr>
      </w:pPr>
    </w:p>
    <w:p w:rsidR="00F0683D" w:rsidP="00A8093E" w14:paraId="33C4D861" w14:textId="77777777">
      <w:pPr>
        <w:rPr>
          <w:b/>
        </w:rPr>
      </w:pPr>
    </w:p>
    <w:p w:rsidR="00F0683D" w:rsidP="00A8093E" w14:paraId="256423D2" w14:textId="77777777">
      <w:pPr>
        <w:rPr>
          <w:b/>
        </w:rPr>
      </w:pPr>
    </w:p>
    <w:p w:rsidR="00A8093E" w:rsidRPr="008268EE" w:rsidP="00A8093E" w14:paraId="1B68272C" w14:textId="3EAB6561">
      <w:r w:rsidRPr="008268EE">
        <w:t xml:space="preserve">13.  </w:t>
      </w:r>
      <w:r w:rsidRPr="008268EE">
        <w:rPr>
          <w:u w:val="single"/>
        </w:rPr>
        <w:t>Estimated total annual cost burden to respondents </w:t>
      </w:r>
      <w:r w:rsidRPr="008268EE">
        <w:t> </w:t>
      </w:r>
    </w:p>
    <w:p w:rsidR="00A8093E" w:rsidRPr="008268EE" w:rsidP="00A8093E" w14:paraId="05B38F91" w14:textId="77777777"/>
    <w:p w:rsidR="00A8093E" w:rsidRPr="008268EE" w:rsidP="00A8093E" w14:paraId="54975337" w14:textId="330E54C0">
      <w:r w:rsidRPr="008268EE">
        <w:t xml:space="preserve">There are no annualized capital/startup costs for the eligible </w:t>
      </w:r>
      <w:r w:rsidR="00C813F0">
        <w:t>entitie</w:t>
      </w:r>
      <w:r w:rsidRPr="008268EE" w:rsidR="00C813F0">
        <w:t xml:space="preserve">s </w:t>
      </w:r>
      <w:r w:rsidRPr="008268EE">
        <w:t xml:space="preserve">to provide the information in the form or certification.  </w:t>
      </w:r>
    </w:p>
    <w:p w:rsidR="00A8093E" w:rsidRPr="008268EE" w:rsidP="00A8093E" w14:paraId="4C603EE5" w14:textId="77777777"/>
    <w:p w:rsidR="00A8093E" w:rsidRPr="008268EE" w:rsidP="00A8093E" w14:paraId="2359AFD5" w14:textId="77777777">
      <w:r w:rsidRPr="008268EE">
        <w:t xml:space="preserve">14.  </w:t>
      </w:r>
      <w:r w:rsidRPr="008268EE">
        <w:rPr>
          <w:u w:val="single"/>
        </w:rPr>
        <w:t>Estimated cost to the federal government</w:t>
      </w:r>
      <w:r w:rsidRPr="008268EE">
        <w:t>.</w:t>
      </w:r>
    </w:p>
    <w:p w:rsidR="00A8093E" w:rsidRPr="008268EE" w:rsidP="00A8093E" w14:paraId="42BB53A6" w14:textId="77777777"/>
    <w:p w:rsidR="00732838" w:rsidP="00732838" w14:paraId="1C1E75DF" w14:textId="44ECB4A1">
      <w:r>
        <w:t xml:space="preserve">There will be no annualized capital/start-up costs for the government to receive this information.   The below table reflects the estimated time for a GS-13, Step 1 to review the </w:t>
      </w:r>
      <w:r w:rsidR="00B21A76">
        <w:t xml:space="preserve">remaining </w:t>
      </w:r>
      <w:r>
        <w:t>information</w:t>
      </w:r>
      <w:r w:rsidR="00B21A76">
        <w:t xml:space="preserve"> to be</w:t>
      </w:r>
      <w:r>
        <w:t xml:space="preserve"> collected. </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0"/>
        <w:gridCol w:w="1620"/>
        <w:gridCol w:w="1170"/>
        <w:gridCol w:w="1170"/>
        <w:gridCol w:w="1440"/>
        <w:gridCol w:w="1710"/>
      </w:tblGrid>
      <w:tr w14:paraId="6AE1D3EB" w14:textId="77777777" w:rsidTr="00F0683D">
        <w:tblPrEx>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430" w:type="dxa"/>
            <w:tcBorders>
              <w:top w:val="single" w:sz="4" w:space="0" w:color="auto"/>
              <w:left w:val="single" w:sz="4" w:space="0" w:color="auto"/>
              <w:bottom w:val="single" w:sz="4" w:space="0" w:color="auto"/>
              <w:right w:val="single" w:sz="4" w:space="0" w:color="auto"/>
            </w:tcBorders>
            <w:vAlign w:val="bottom"/>
            <w:hideMark/>
          </w:tcPr>
          <w:p w:rsidR="00732838" w:rsidRPr="00F0683D" w14:paraId="579CB3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eastAsiaTheme="minorEastAsia"/>
                <w:sz w:val="22"/>
                <w:szCs w:val="22"/>
              </w:rPr>
            </w:pPr>
            <w:r w:rsidRPr="00232594">
              <w:t>Collection Instrument</w:t>
            </w:r>
          </w:p>
        </w:tc>
        <w:tc>
          <w:tcPr>
            <w:tcW w:w="1620" w:type="dxa"/>
            <w:tcBorders>
              <w:top w:val="single" w:sz="4" w:space="0" w:color="auto"/>
              <w:left w:val="single" w:sz="4" w:space="0" w:color="auto"/>
              <w:bottom w:val="single" w:sz="4" w:space="0" w:color="auto"/>
              <w:right w:val="single" w:sz="4" w:space="0" w:color="auto"/>
            </w:tcBorders>
            <w:vAlign w:val="bottom"/>
            <w:hideMark/>
          </w:tcPr>
          <w:p w:rsidR="00732838" w:rsidP="142FF58F" w14:paraId="31906E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232594">
              <w:t>Number of Responses</w:t>
            </w:r>
          </w:p>
        </w:tc>
        <w:tc>
          <w:tcPr>
            <w:tcW w:w="1170" w:type="dxa"/>
            <w:tcBorders>
              <w:top w:val="single" w:sz="4" w:space="0" w:color="auto"/>
              <w:left w:val="single" w:sz="4" w:space="0" w:color="auto"/>
              <w:bottom w:val="single" w:sz="4" w:space="0" w:color="auto"/>
              <w:right w:val="single" w:sz="4" w:space="0" w:color="auto"/>
            </w:tcBorders>
            <w:vAlign w:val="bottom"/>
            <w:hideMark/>
          </w:tcPr>
          <w:p w:rsidR="00732838" w:rsidP="142FF58F" w14:paraId="0CE06E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232594">
              <w:t>Average Review Time per Response (in hours)</w:t>
            </w:r>
          </w:p>
        </w:tc>
        <w:tc>
          <w:tcPr>
            <w:tcW w:w="1170" w:type="dxa"/>
            <w:tcBorders>
              <w:top w:val="single" w:sz="4" w:space="0" w:color="auto"/>
              <w:left w:val="single" w:sz="4" w:space="0" w:color="auto"/>
              <w:bottom w:val="single" w:sz="4" w:space="0" w:color="auto"/>
              <w:right w:val="single" w:sz="4" w:space="0" w:color="auto"/>
            </w:tcBorders>
            <w:vAlign w:val="bottom"/>
            <w:hideMark/>
          </w:tcPr>
          <w:p w:rsidR="00732838" w:rsidP="142FF58F" w14:paraId="18F716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232594">
              <w:t>Total Time to Review (in hours)</w:t>
            </w:r>
          </w:p>
        </w:tc>
        <w:tc>
          <w:tcPr>
            <w:tcW w:w="1440" w:type="dxa"/>
            <w:tcBorders>
              <w:top w:val="single" w:sz="4" w:space="0" w:color="auto"/>
              <w:left w:val="single" w:sz="4" w:space="0" w:color="auto"/>
              <w:bottom w:val="single" w:sz="4" w:space="0" w:color="auto"/>
              <w:right w:val="single" w:sz="4" w:space="0" w:color="auto"/>
            </w:tcBorders>
            <w:vAlign w:val="bottom"/>
            <w:hideMark/>
          </w:tcPr>
          <w:p w:rsidR="00732838" w:rsidP="142FF58F" w14:paraId="5A1A39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232594">
              <w:t>Average Hourly Wage Rate</w:t>
            </w:r>
            <w:r>
              <w:rPr>
                <w:rStyle w:val="FootnoteReference"/>
              </w:rPr>
              <w:footnoteReference w:id="3"/>
            </w:r>
          </w:p>
        </w:tc>
        <w:tc>
          <w:tcPr>
            <w:tcW w:w="1710" w:type="dxa"/>
            <w:tcBorders>
              <w:top w:val="single" w:sz="4" w:space="0" w:color="auto"/>
              <w:left w:val="single" w:sz="4" w:space="0" w:color="auto"/>
              <w:bottom w:val="single" w:sz="4" w:space="0" w:color="auto"/>
              <w:right w:val="single" w:sz="4" w:space="0" w:color="auto"/>
            </w:tcBorders>
            <w:vAlign w:val="bottom"/>
            <w:hideMark/>
          </w:tcPr>
          <w:p w:rsidR="00732838" w:rsidP="142FF58F" w14:paraId="3B19E1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232594">
              <w:t>Total Annual Government Cost</w:t>
            </w:r>
          </w:p>
        </w:tc>
      </w:tr>
      <w:tr w14:paraId="2CC017BA" w14:textId="77777777" w:rsidTr="00F0683D">
        <w:tblPrEx>
          <w:tblW w:w="9540" w:type="dxa"/>
          <w:tblInd w:w="-5" w:type="dxa"/>
          <w:tblLayout w:type="fixed"/>
          <w:tblLook w:val="01E0"/>
        </w:tblPrEx>
        <w:tc>
          <w:tcPr>
            <w:tcW w:w="2430" w:type="dxa"/>
            <w:tcBorders>
              <w:top w:val="single" w:sz="4" w:space="0" w:color="auto"/>
              <w:left w:val="single" w:sz="4" w:space="0" w:color="auto"/>
              <w:bottom w:val="single" w:sz="4" w:space="0" w:color="auto"/>
              <w:right w:val="single" w:sz="4" w:space="0" w:color="auto"/>
            </w:tcBorders>
          </w:tcPr>
          <w:p w:rsidR="008C07BE" w:rsidRPr="009849D7" w:rsidP="142FF58F" w14:paraId="3BD0FB42" w14:textId="62E3E5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rPr>
            </w:pPr>
            <w:r w:rsidRPr="00232594">
              <w:t>Homeowner Assistance Fund Compliance Reporting and Recordkeeping -Quarterly</w:t>
            </w:r>
          </w:p>
        </w:tc>
        <w:tc>
          <w:tcPr>
            <w:tcW w:w="1620" w:type="dxa"/>
            <w:tcBorders>
              <w:top w:val="single" w:sz="4" w:space="0" w:color="auto"/>
              <w:left w:val="single" w:sz="4" w:space="0" w:color="auto"/>
              <w:bottom w:val="single" w:sz="4" w:space="0" w:color="auto"/>
              <w:right w:val="single" w:sz="4" w:space="0" w:color="auto"/>
            </w:tcBorders>
            <w:vAlign w:val="center"/>
          </w:tcPr>
          <w:p w:rsidR="008C07BE" w:rsidRPr="009849D7" w:rsidP="142FF58F" w14:paraId="5B43DAE8" w14:textId="722FD9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t>616</w:t>
            </w:r>
          </w:p>
        </w:tc>
        <w:tc>
          <w:tcPr>
            <w:tcW w:w="1170" w:type="dxa"/>
            <w:tcBorders>
              <w:top w:val="single" w:sz="4" w:space="0" w:color="auto"/>
              <w:left w:val="single" w:sz="4" w:space="0" w:color="auto"/>
              <w:bottom w:val="single" w:sz="4" w:space="0" w:color="auto"/>
              <w:right w:val="single" w:sz="4" w:space="0" w:color="auto"/>
            </w:tcBorders>
            <w:vAlign w:val="center"/>
          </w:tcPr>
          <w:p w:rsidR="008C07BE" w:rsidRPr="009849D7" w:rsidP="142FF58F" w14:paraId="5531DE81" w14:textId="4F90FA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232594">
              <w:t>40</w:t>
            </w:r>
          </w:p>
        </w:tc>
        <w:tc>
          <w:tcPr>
            <w:tcW w:w="1170" w:type="dxa"/>
            <w:tcBorders>
              <w:top w:val="single" w:sz="4" w:space="0" w:color="auto"/>
              <w:left w:val="single" w:sz="4" w:space="0" w:color="auto"/>
              <w:bottom w:val="single" w:sz="4" w:space="0" w:color="auto"/>
              <w:right w:val="single" w:sz="4" w:space="0" w:color="auto"/>
            </w:tcBorders>
            <w:vAlign w:val="center"/>
          </w:tcPr>
          <w:p w:rsidR="004230A6" w:rsidRPr="009849D7" w:rsidP="142FF58F" w14:paraId="7531EE1A" w14:textId="10F42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t>24,640</w:t>
            </w:r>
          </w:p>
        </w:tc>
        <w:tc>
          <w:tcPr>
            <w:tcW w:w="1440" w:type="dxa"/>
            <w:tcBorders>
              <w:top w:val="single" w:sz="4" w:space="0" w:color="auto"/>
              <w:left w:val="single" w:sz="4" w:space="0" w:color="auto"/>
              <w:bottom w:val="single" w:sz="4" w:space="0" w:color="auto"/>
              <w:right w:val="single" w:sz="4" w:space="0" w:color="auto"/>
            </w:tcBorders>
            <w:vAlign w:val="center"/>
          </w:tcPr>
          <w:p w:rsidR="008C07BE" w:rsidRPr="009849D7" w:rsidP="142FF58F" w14:paraId="17884339" w14:textId="018F11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232594">
              <w:t>$</w:t>
            </w:r>
            <w:r w:rsidR="00E801FC">
              <w:t>57.78</w:t>
            </w:r>
          </w:p>
        </w:tc>
        <w:tc>
          <w:tcPr>
            <w:tcW w:w="1710" w:type="dxa"/>
            <w:tcBorders>
              <w:top w:val="single" w:sz="4" w:space="0" w:color="auto"/>
              <w:left w:val="single" w:sz="4" w:space="0" w:color="auto"/>
              <w:bottom w:val="single" w:sz="4" w:space="0" w:color="auto"/>
              <w:right w:val="single" w:sz="4" w:space="0" w:color="auto"/>
            </w:tcBorders>
            <w:vAlign w:val="center"/>
          </w:tcPr>
          <w:p w:rsidR="008C07BE" w:rsidRPr="009849D7" w:rsidP="142FF58F" w14:paraId="6187AB36" w14:textId="647D58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232594">
              <w:t>$</w:t>
            </w:r>
            <w:r w:rsidR="00202DDE">
              <w:t>1,423,699.20</w:t>
            </w:r>
          </w:p>
        </w:tc>
      </w:tr>
      <w:tr w14:paraId="2749D9D1" w14:textId="77777777" w:rsidTr="00F0683D">
        <w:tblPrEx>
          <w:tblW w:w="9540" w:type="dxa"/>
          <w:tblInd w:w="-5" w:type="dxa"/>
          <w:tblLayout w:type="fixed"/>
          <w:tblLook w:val="01E0"/>
        </w:tblPrEx>
        <w:tc>
          <w:tcPr>
            <w:tcW w:w="2430" w:type="dxa"/>
            <w:tcBorders>
              <w:top w:val="single" w:sz="4" w:space="0" w:color="auto"/>
              <w:left w:val="single" w:sz="4" w:space="0" w:color="auto"/>
              <w:bottom w:val="single" w:sz="4" w:space="0" w:color="auto"/>
              <w:right w:val="single" w:sz="4" w:space="0" w:color="auto"/>
            </w:tcBorders>
          </w:tcPr>
          <w:p w:rsidR="008C07BE" w:rsidP="142FF58F" w14:paraId="3336278C" w14:textId="66908B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rPr>
            </w:pPr>
            <w:r w:rsidRPr="00232594">
              <w:t>Homeowner Assistance Fund Compliance Reporting and Recordkeeping - Annual</w:t>
            </w:r>
          </w:p>
        </w:tc>
        <w:tc>
          <w:tcPr>
            <w:tcW w:w="1620" w:type="dxa"/>
            <w:tcBorders>
              <w:top w:val="single" w:sz="4" w:space="0" w:color="auto"/>
              <w:left w:val="single" w:sz="4" w:space="0" w:color="auto"/>
              <w:bottom w:val="single" w:sz="4" w:space="0" w:color="auto"/>
              <w:right w:val="single" w:sz="4" w:space="0" w:color="auto"/>
            </w:tcBorders>
            <w:vAlign w:val="center"/>
          </w:tcPr>
          <w:p w:rsidR="008C07BE" w:rsidP="142FF58F" w14:paraId="3F97E865" w14:textId="37AA7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t>360</w:t>
            </w:r>
          </w:p>
        </w:tc>
        <w:tc>
          <w:tcPr>
            <w:tcW w:w="1170" w:type="dxa"/>
            <w:tcBorders>
              <w:top w:val="single" w:sz="4" w:space="0" w:color="auto"/>
              <w:left w:val="single" w:sz="4" w:space="0" w:color="auto"/>
              <w:bottom w:val="single" w:sz="4" w:space="0" w:color="auto"/>
              <w:right w:val="single" w:sz="4" w:space="0" w:color="auto"/>
            </w:tcBorders>
            <w:vAlign w:val="center"/>
          </w:tcPr>
          <w:p w:rsidR="008C07BE" w:rsidP="142FF58F" w14:paraId="41BB4FEB" w14:textId="6E230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232594">
              <w:t>40</w:t>
            </w:r>
          </w:p>
        </w:tc>
        <w:tc>
          <w:tcPr>
            <w:tcW w:w="1170" w:type="dxa"/>
            <w:tcBorders>
              <w:top w:val="single" w:sz="4" w:space="0" w:color="auto"/>
              <w:left w:val="single" w:sz="4" w:space="0" w:color="auto"/>
              <w:bottom w:val="single" w:sz="4" w:space="0" w:color="auto"/>
              <w:right w:val="single" w:sz="4" w:space="0" w:color="auto"/>
            </w:tcBorders>
            <w:vAlign w:val="center"/>
          </w:tcPr>
          <w:p w:rsidR="008C07BE" w:rsidP="142FF58F" w14:paraId="49F5D36C" w14:textId="211DF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t>14,400</w:t>
            </w:r>
          </w:p>
        </w:tc>
        <w:tc>
          <w:tcPr>
            <w:tcW w:w="1440" w:type="dxa"/>
            <w:tcBorders>
              <w:top w:val="single" w:sz="4" w:space="0" w:color="auto"/>
              <w:left w:val="single" w:sz="4" w:space="0" w:color="auto"/>
              <w:bottom w:val="single" w:sz="4" w:space="0" w:color="auto"/>
              <w:right w:val="single" w:sz="4" w:space="0" w:color="auto"/>
            </w:tcBorders>
            <w:vAlign w:val="center"/>
          </w:tcPr>
          <w:p w:rsidR="008C07BE" w:rsidP="142FF58F" w14:paraId="76BCA308" w14:textId="15CC6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232594">
              <w:t>$</w:t>
            </w:r>
            <w:r w:rsidR="00E801FC">
              <w:t>57.78</w:t>
            </w:r>
          </w:p>
        </w:tc>
        <w:tc>
          <w:tcPr>
            <w:tcW w:w="1710" w:type="dxa"/>
            <w:tcBorders>
              <w:top w:val="single" w:sz="4" w:space="0" w:color="auto"/>
              <w:left w:val="single" w:sz="4" w:space="0" w:color="auto"/>
              <w:bottom w:val="single" w:sz="4" w:space="0" w:color="auto"/>
              <w:right w:val="single" w:sz="4" w:space="0" w:color="auto"/>
            </w:tcBorders>
            <w:vAlign w:val="center"/>
          </w:tcPr>
          <w:p w:rsidR="008C07BE" w:rsidP="142FF58F" w14:paraId="3DC77114" w14:textId="1022C4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sidRPr="00232594">
              <w:t>$</w:t>
            </w:r>
            <w:r w:rsidR="00202DDE">
              <w:t>832,032.00</w:t>
            </w:r>
          </w:p>
        </w:tc>
      </w:tr>
      <w:tr w14:paraId="79F5F81A" w14:textId="77777777" w:rsidTr="00F0683D">
        <w:tblPrEx>
          <w:tblW w:w="9540" w:type="dxa"/>
          <w:tblInd w:w="-5" w:type="dxa"/>
          <w:tblLayout w:type="fixed"/>
          <w:tblLook w:val="01E0"/>
        </w:tblPrEx>
        <w:tc>
          <w:tcPr>
            <w:tcW w:w="2430" w:type="dxa"/>
            <w:tcBorders>
              <w:top w:val="single" w:sz="4" w:space="0" w:color="auto"/>
              <w:left w:val="single" w:sz="4" w:space="0" w:color="auto"/>
              <w:bottom w:val="single" w:sz="4" w:space="0" w:color="auto"/>
              <w:right w:val="single" w:sz="4" w:space="0" w:color="auto"/>
            </w:tcBorders>
          </w:tcPr>
          <w:p w:rsidR="00B21A76" w:rsidRPr="00232594" w:rsidP="142FF58F" w14:paraId="7F31269F" w14:textId="3FC4EB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pPr>
            <w:r>
              <w:t>Final Quarterly</w:t>
            </w:r>
            <w:r w:rsidR="00E801FC">
              <w:t xml:space="preserve"> Report</w:t>
            </w:r>
          </w:p>
        </w:tc>
        <w:tc>
          <w:tcPr>
            <w:tcW w:w="1620" w:type="dxa"/>
            <w:tcBorders>
              <w:top w:val="single" w:sz="4" w:space="0" w:color="auto"/>
              <w:left w:val="single" w:sz="4" w:space="0" w:color="auto"/>
              <w:bottom w:val="single" w:sz="4" w:space="0" w:color="auto"/>
              <w:right w:val="single" w:sz="4" w:space="0" w:color="auto"/>
            </w:tcBorders>
            <w:vAlign w:val="center"/>
          </w:tcPr>
          <w:p w:rsidR="00B21A76" w:rsidRPr="00232594" w:rsidP="142FF58F" w14:paraId="1BA3B00E" w14:textId="0883D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pPr>
            <w:r>
              <w:t>360</w:t>
            </w:r>
          </w:p>
        </w:tc>
        <w:tc>
          <w:tcPr>
            <w:tcW w:w="1170" w:type="dxa"/>
            <w:tcBorders>
              <w:top w:val="single" w:sz="4" w:space="0" w:color="auto"/>
              <w:left w:val="single" w:sz="4" w:space="0" w:color="auto"/>
              <w:bottom w:val="single" w:sz="4" w:space="0" w:color="auto"/>
              <w:right w:val="single" w:sz="4" w:space="0" w:color="auto"/>
            </w:tcBorders>
            <w:vAlign w:val="center"/>
          </w:tcPr>
          <w:p w:rsidR="00B21A76" w:rsidRPr="00232594" w:rsidP="142FF58F" w14:paraId="71A5BA29" w14:textId="403A8C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pPr>
            <w:r>
              <w:t>40</w:t>
            </w:r>
          </w:p>
        </w:tc>
        <w:tc>
          <w:tcPr>
            <w:tcW w:w="1170" w:type="dxa"/>
            <w:tcBorders>
              <w:top w:val="single" w:sz="4" w:space="0" w:color="auto"/>
              <w:left w:val="single" w:sz="4" w:space="0" w:color="auto"/>
              <w:bottom w:val="single" w:sz="4" w:space="0" w:color="auto"/>
              <w:right w:val="single" w:sz="4" w:space="0" w:color="auto"/>
            </w:tcBorders>
            <w:vAlign w:val="center"/>
          </w:tcPr>
          <w:p w:rsidR="00B21A76" w:rsidRPr="00232594" w:rsidP="142FF58F" w14:paraId="7DE3B61F" w14:textId="7C0E85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pPr>
            <w:r>
              <w:t>14,400</w:t>
            </w:r>
          </w:p>
        </w:tc>
        <w:tc>
          <w:tcPr>
            <w:tcW w:w="1440" w:type="dxa"/>
            <w:tcBorders>
              <w:top w:val="single" w:sz="4" w:space="0" w:color="auto"/>
              <w:left w:val="single" w:sz="4" w:space="0" w:color="auto"/>
              <w:bottom w:val="single" w:sz="4" w:space="0" w:color="auto"/>
              <w:right w:val="single" w:sz="4" w:space="0" w:color="auto"/>
            </w:tcBorders>
            <w:vAlign w:val="center"/>
          </w:tcPr>
          <w:p w:rsidR="00B21A76" w:rsidRPr="00232594" w:rsidP="142FF58F" w14:paraId="23CEAD96" w14:textId="20DBC2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pPr>
            <w:r>
              <w:t>$</w:t>
            </w:r>
            <w:r w:rsidR="00E801FC">
              <w:t>57.78</w:t>
            </w:r>
          </w:p>
        </w:tc>
        <w:tc>
          <w:tcPr>
            <w:tcW w:w="1710" w:type="dxa"/>
            <w:tcBorders>
              <w:top w:val="single" w:sz="4" w:space="0" w:color="auto"/>
              <w:left w:val="single" w:sz="4" w:space="0" w:color="auto"/>
              <w:bottom w:val="single" w:sz="4" w:space="0" w:color="auto"/>
              <w:right w:val="single" w:sz="4" w:space="0" w:color="auto"/>
            </w:tcBorders>
            <w:vAlign w:val="center"/>
          </w:tcPr>
          <w:p w:rsidR="00B21A76" w:rsidRPr="00232594" w:rsidP="142FF58F" w14:paraId="4AE623BD" w14:textId="29BC8C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pPr>
            <w:r>
              <w:t>$</w:t>
            </w:r>
            <w:r w:rsidR="00202DDE">
              <w:t>832,032.00</w:t>
            </w:r>
          </w:p>
        </w:tc>
      </w:tr>
      <w:tr w14:paraId="633C290F" w14:textId="77777777" w:rsidTr="00F0683D">
        <w:tblPrEx>
          <w:tblW w:w="9540" w:type="dxa"/>
          <w:tblInd w:w="-5" w:type="dxa"/>
          <w:tblLayout w:type="fixed"/>
          <w:tblLook w:val="01E0"/>
        </w:tblPrEx>
        <w:tc>
          <w:tcPr>
            <w:tcW w:w="2430" w:type="dxa"/>
            <w:tcBorders>
              <w:top w:val="single" w:sz="4" w:space="0" w:color="auto"/>
              <w:left w:val="single" w:sz="4" w:space="0" w:color="auto"/>
              <w:bottom w:val="single" w:sz="4" w:space="0" w:color="auto"/>
              <w:right w:val="single" w:sz="4" w:space="0" w:color="auto"/>
            </w:tcBorders>
          </w:tcPr>
          <w:p w:rsidR="00B21A76" w:rsidRPr="00232594" w:rsidP="142FF58F" w14:paraId="4420A064" w14:textId="255A0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pPr>
            <w:r>
              <w:t>Final Annual</w:t>
            </w:r>
            <w:r w:rsidR="00E801FC">
              <w:t xml:space="preserve"> Report</w:t>
            </w:r>
          </w:p>
        </w:tc>
        <w:tc>
          <w:tcPr>
            <w:tcW w:w="1620" w:type="dxa"/>
            <w:tcBorders>
              <w:top w:val="single" w:sz="4" w:space="0" w:color="auto"/>
              <w:left w:val="single" w:sz="4" w:space="0" w:color="auto"/>
              <w:bottom w:val="single" w:sz="4" w:space="0" w:color="auto"/>
              <w:right w:val="single" w:sz="4" w:space="0" w:color="auto"/>
            </w:tcBorders>
            <w:vAlign w:val="center"/>
          </w:tcPr>
          <w:p w:rsidR="00B21A76" w:rsidRPr="00232594" w:rsidP="142FF58F" w14:paraId="32B5F45F" w14:textId="42E529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pPr>
            <w:r>
              <w:t>360</w:t>
            </w:r>
          </w:p>
        </w:tc>
        <w:tc>
          <w:tcPr>
            <w:tcW w:w="1170" w:type="dxa"/>
            <w:tcBorders>
              <w:top w:val="single" w:sz="4" w:space="0" w:color="auto"/>
              <w:left w:val="single" w:sz="4" w:space="0" w:color="auto"/>
              <w:bottom w:val="single" w:sz="4" w:space="0" w:color="auto"/>
              <w:right w:val="single" w:sz="4" w:space="0" w:color="auto"/>
            </w:tcBorders>
            <w:vAlign w:val="center"/>
          </w:tcPr>
          <w:p w:rsidR="00B21A76" w:rsidRPr="00232594" w:rsidP="142FF58F" w14:paraId="096CA467" w14:textId="549E30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pPr>
            <w:r>
              <w:t>40</w:t>
            </w:r>
          </w:p>
        </w:tc>
        <w:tc>
          <w:tcPr>
            <w:tcW w:w="1170" w:type="dxa"/>
            <w:tcBorders>
              <w:top w:val="single" w:sz="4" w:space="0" w:color="auto"/>
              <w:left w:val="single" w:sz="4" w:space="0" w:color="auto"/>
              <w:bottom w:val="single" w:sz="4" w:space="0" w:color="auto"/>
              <w:right w:val="single" w:sz="4" w:space="0" w:color="auto"/>
            </w:tcBorders>
            <w:vAlign w:val="center"/>
          </w:tcPr>
          <w:p w:rsidR="00B21A76" w:rsidRPr="00232594" w:rsidP="142FF58F" w14:paraId="27EBA643" w14:textId="3D7F0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pPr>
            <w:r>
              <w:t>14,400</w:t>
            </w:r>
          </w:p>
        </w:tc>
        <w:tc>
          <w:tcPr>
            <w:tcW w:w="1440" w:type="dxa"/>
            <w:tcBorders>
              <w:top w:val="single" w:sz="4" w:space="0" w:color="auto"/>
              <w:left w:val="single" w:sz="4" w:space="0" w:color="auto"/>
              <w:bottom w:val="single" w:sz="4" w:space="0" w:color="auto"/>
              <w:right w:val="single" w:sz="4" w:space="0" w:color="auto"/>
            </w:tcBorders>
            <w:vAlign w:val="center"/>
          </w:tcPr>
          <w:p w:rsidR="00B21A76" w:rsidRPr="00232594" w:rsidP="142FF58F" w14:paraId="16561D94" w14:textId="415C85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pPr>
            <w:r>
              <w:t>$</w:t>
            </w:r>
            <w:r w:rsidR="00E801FC">
              <w:t>57.78</w:t>
            </w:r>
          </w:p>
        </w:tc>
        <w:tc>
          <w:tcPr>
            <w:tcW w:w="1710" w:type="dxa"/>
            <w:tcBorders>
              <w:top w:val="single" w:sz="4" w:space="0" w:color="auto"/>
              <w:left w:val="single" w:sz="4" w:space="0" w:color="auto"/>
              <w:bottom w:val="single" w:sz="4" w:space="0" w:color="auto"/>
              <w:right w:val="single" w:sz="4" w:space="0" w:color="auto"/>
            </w:tcBorders>
            <w:vAlign w:val="center"/>
          </w:tcPr>
          <w:p w:rsidR="00B21A76" w:rsidRPr="00232594" w:rsidP="142FF58F" w14:paraId="00B963F4" w14:textId="15799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pPr>
            <w:r>
              <w:t>$</w:t>
            </w:r>
            <w:r w:rsidR="00202DDE">
              <w:t>832,032.00</w:t>
            </w:r>
          </w:p>
        </w:tc>
      </w:tr>
      <w:tr w14:paraId="04E20738" w14:textId="77777777" w:rsidTr="00F0683D">
        <w:tblPrEx>
          <w:tblW w:w="9540" w:type="dxa"/>
          <w:tblInd w:w="-5" w:type="dxa"/>
          <w:tblLayout w:type="fixed"/>
          <w:tblLook w:val="01E0"/>
        </w:tblPrEx>
        <w:trPr>
          <w:trHeight w:val="98"/>
        </w:trPr>
        <w:tc>
          <w:tcPr>
            <w:tcW w:w="2430" w:type="dxa"/>
            <w:tcBorders>
              <w:top w:val="single" w:sz="4" w:space="0" w:color="auto"/>
              <w:left w:val="single" w:sz="4" w:space="0" w:color="auto"/>
              <w:bottom w:val="single" w:sz="4" w:space="0" w:color="auto"/>
              <w:right w:val="single" w:sz="4" w:space="0" w:color="auto"/>
            </w:tcBorders>
            <w:hideMark/>
          </w:tcPr>
          <w:p w:rsidR="00732838" w14:paraId="2BB8D4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
                <w:bCs/>
              </w:rPr>
            </w:pPr>
            <w:r>
              <w:rPr>
                <w:b/>
                <w:bCs/>
              </w:rPr>
              <w:t>Total</w:t>
            </w:r>
          </w:p>
        </w:tc>
        <w:tc>
          <w:tcPr>
            <w:tcW w:w="1620" w:type="dxa"/>
            <w:tcBorders>
              <w:top w:val="single" w:sz="4" w:space="0" w:color="auto"/>
              <w:left w:val="single" w:sz="4" w:space="0" w:color="auto"/>
              <w:bottom w:val="single" w:sz="4" w:space="0" w:color="auto"/>
              <w:right w:val="single" w:sz="4" w:space="0" w:color="auto"/>
            </w:tcBorders>
            <w:vAlign w:val="center"/>
            <w:hideMark/>
          </w:tcPr>
          <w:p w:rsidR="00732838" w14:paraId="6CBA7273" w14:textId="4D0C18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bCs/>
              </w:rPr>
            </w:pPr>
            <w:r>
              <w:rPr>
                <w:b/>
                <w:bCs/>
              </w:rPr>
              <w:t>1,696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32838" w14:paraId="47C594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bCs/>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732838" w14:paraId="01E27DF0" w14:textId="64235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bCs/>
              </w:rPr>
            </w:pPr>
            <w:r>
              <w:rPr>
                <w:b/>
                <w:bCs/>
              </w:rPr>
              <w:t>67,840</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32838" w14:paraId="690617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bCs/>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732838" w:rsidRPr="003929CE" w14:paraId="29B44C5B" w14:textId="6D95A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bCs/>
              </w:rPr>
            </w:pPr>
            <w:r>
              <w:rPr>
                <w:b/>
                <w:bCs/>
              </w:rPr>
              <w:t>$</w:t>
            </w:r>
            <w:r w:rsidR="00202DDE">
              <w:rPr>
                <w:b/>
                <w:bCs/>
              </w:rPr>
              <w:t>3,919,795.20</w:t>
            </w:r>
          </w:p>
        </w:tc>
      </w:tr>
    </w:tbl>
    <w:p w:rsidR="00732838" w:rsidP="00732838" w14:paraId="6E3B9FBF" w14:textId="77777777">
      <w:pPr>
        <w:rPr>
          <w:rFonts w:asciiTheme="minorHAnsi" w:hAnsiTheme="minorHAnsi" w:cstheme="minorBidi"/>
          <w:sz w:val="22"/>
          <w:szCs w:val="22"/>
        </w:rPr>
      </w:pPr>
    </w:p>
    <w:p w:rsidR="00A8093E" w:rsidRPr="008268EE" w:rsidP="00A8093E" w14:paraId="2E0EED83" w14:textId="77777777"/>
    <w:p w:rsidR="00A8093E" w:rsidRPr="008268EE" w:rsidP="00A8093E" w14:paraId="0DBA9854" w14:textId="77777777">
      <w:pPr>
        <w:keepNext/>
      </w:pPr>
      <w:r w:rsidRPr="008268EE">
        <w:t xml:space="preserve">15.  </w:t>
      </w:r>
      <w:r w:rsidRPr="008268EE">
        <w:rPr>
          <w:u w:val="single"/>
        </w:rPr>
        <w:t>Reasons for change in burden</w:t>
      </w:r>
    </w:p>
    <w:p w:rsidR="00A8093E" w:rsidRPr="008268EE" w:rsidP="00A8093E" w14:paraId="4A728AE8" w14:textId="77777777">
      <w:pPr>
        <w:keepNext/>
      </w:pPr>
    </w:p>
    <w:p w:rsidR="7105B305" w:rsidP="142FF58F" w14:paraId="63B9D1AA" w14:textId="578BCB23">
      <w:r w:rsidRPr="7105B305">
        <w:t>Acceptance of Award Terms Form, Notice of Funds Request Form, Participant Payment Information Form, and Title VI Assurances have been removed as the HAF program application deadline has passed. Overall number of respondents has declined because some entities that were allocated HAF funds did not participate in the HAF program and others have expended most of their HAF funds and have closed out of the program.</w:t>
      </w:r>
    </w:p>
    <w:p w:rsidR="7105B305" w14:paraId="5B7EC825" w14:textId="25EFD260"/>
    <w:p w:rsidR="00A8093E" w:rsidRPr="008268EE" w:rsidP="00A8093E" w14:paraId="54CB7DB0" w14:textId="29B24B14">
      <w:pPr>
        <w:keepNext/>
      </w:pPr>
      <w:r w:rsidRPr="008268EE">
        <w:t xml:space="preserve">16.  </w:t>
      </w:r>
      <w:r w:rsidRPr="008268EE">
        <w:rPr>
          <w:u w:val="single"/>
        </w:rPr>
        <w:t>Plans for tabulation, statistical analysis</w:t>
      </w:r>
      <w:r w:rsidR="00745C21">
        <w:rPr>
          <w:u w:val="single"/>
        </w:rPr>
        <w:t>,</w:t>
      </w:r>
      <w:r w:rsidRPr="008268EE">
        <w:rPr>
          <w:u w:val="single"/>
        </w:rPr>
        <w:t xml:space="preserve"> and publication</w:t>
      </w:r>
    </w:p>
    <w:p w:rsidR="00A8093E" w:rsidRPr="008268EE" w:rsidP="00A8093E" w14:paraId="1DA1BDFA" w14:textId="77777777"/>
    <w:p w:rsidR="00A8093E" w:rsidRPr="008268EE" w:rsidP="00A8093E" w14:paraId="6101EF05" w14:textId="77777777">
      <w:r w:rsidRPr="008268EE">
        <w:t xml:space="preserve">Treasury plans to publish the data for disbursements. </w:t>
      </w:r>
    </w:p>
    <w:p w:rsidR="00A8093E" w:rsidP="00A8093E" w14:paraId="223B6C6F" w14:textId="77777777"/>
    <w:p w:rsidR="00F0683D" w:rsidRPr="008268EE" w:rsidP="00A8093E" w14:paraId="7044BCE8" w14:textId="77777777"/>
    <w:p w:rsidR="00A8093E" w:rsidRPr="008268EE" w:rsidP="00A8093E" w14:paraId="5CBB9B17" w14:textId="77777777">
      <w:r w:rsidRPr="008268EE">
        <w:t xml:space="preserve">17. </w:t>
      </w:r>
      <w:r w:rsidRPr="008268EE">
        <w:rPr>
          <w:u w:val="single"/>
        </w:rPr>
        <w:t>Display of the expiration date for OMB approval</w:t>
      </w:r>
    </w:p>
    <w:p w:rsidR="00A8093E" w:rsidRPr="008268EE" w:rsidP="00A8093E" w14:paraId="2439A71C" w14:textId="77777777"/>
    <w:p w:rsidR="00A8093E" w:rsidRPr="008268EE" w:rsidP="00A8093E" w14:paraId="52CCAA46" w14:textId="77777777">
      <w:r w:rsidRPr="008268EE">
        <w:t>Treasury plans to display the expiration date for OMB approval of the information collection on all instruments.</w:t>
      </w:r>
    </w:p>
    <w:p w:rsidR="00A8093E" w:rsidRPr="008268EE" w:rsidP="00A8093E" w14:paraId="10AD15C0" w14:textId="77777777"/>
    <w:p w:rsidR="00A8093E" w:rsidRPr="008268EE" w:rsidP="00A8093E" w14:paraId="5B2823D1" w14:textId="77777777">
      <w:r w:rsidRPr="008268EE">
        <w:t xml:space="preserve">18.  </w:t>
      </w:r>
      <w:r w:rsidRPr="008268EE">
        <w:rPr>
          <w:u w:val="single"/>
        </w:rPr>
        <w:t>Exceptions to submission requirements</w:t>
      </w:r>
    </w:p>
    <w:p w:rsidR="00A8093E" w:rsidRPr="008268EE" w:rsidP="00A8093E" w14:paraId="2DF2E431" w14:textId="77777777"/>
    <w:p w:rsidR="00A8093E" w:rsidRPr="008268EE" w:rsidP="00A8093E" w14:paraId="5A28E86B" w14:textId="77777777">
      <w:r w:rsidRPr="008268EE">
        <w:t>There are no exceptions to the submission requirements.</w:t>
      </w:r>
    </w:p>
    <w:p w:rsidR="00A8093E" w:rsidRPr="008268EE" w:rsidP="00A8093E" w14:paraId="6E6928AF" w14:textId="77777777"/>
    <w:p w:rsidR="00A8093E" w:rsidRPr="008268EE" w:rsidP="00A8093E" w14:paraId="534ABD48" w14:textId="77777777"/>
    <w:p w:rsidR="00A8093E" w:rsidRPr="008268EE" w:rsidP="00A8093E" w14:paraId="754C48CC" w14:textId="77777777">
      <w:pPr>
        <w:rPr>
          <w:u w:val="single"/>
        </w:rPr>
      </w:pPr>
      <w:r w:rsidRPr="008268EE">
        <w:rPr>
          <w:u w:val="single"/>
        </w:rPr>
        <w:t>Part B.  Describe the use of statistical methods such as sampling or imputation.</w:t>
      </w:r>
    </w:p>
    <w:p w:rsidR="00A8093E" w:rsidRPr="008268EE" w:rsidP="00A8093E" w14:paraId="0A91AB8E" w14:textId="77777777">
      <w:pPr>
        <w:rPr>
          <w:u w:val="single"/>
        </w:rPr>
      </w:pPr>
    </w:p>
    <w:p w:rsidR="00A8093E" w:rsidRPr="006C6A9C" w14:paraId="116F1A5D" w14:textId="77777777">
      <w:pPr>
        <w:rPr>
          <w:b/>
          <w:bCs/>
        </w:rPr>
      </w:pPr>
      <w:r w:rsidRPr="008268EE">
        <w:t>This collection does not employ statistical methods.</w:t>
      </w:r>
    </w:p>
    <w:p w:rsidR="0070364D" w14:paraId="5E6F524D" w14:textId="77777777"/>
    <w:sectPr w:rsidSect="00EB1172">
      <w:footerReference w:type="even" r:id="rId10"/>
      <w:footerReference w:type="defaul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364D" w:rsidP="0070364D" w14:paraId="07577B0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0364D" w14:paraId="42167E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364D" w:rsidP="0070364D" w14:paraId="6F1A4B5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0364D" w14:paraId="5EC8E4B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27FA7" w14:paraId="55825FF8" w14:textId="77777777">
      <w:r>
        <w:separator/>
      </w:r>
    </w:p>
  </w:footnote>
  <w:footnote w:type="continuationSeparator" w:id="1">
    <w:p w:rsidR="00F27FA7" w14:paraId="2E55C499" w14:textId="77777777">
      <w:r>
        <w:continuationSeparator/>
      </w:r>
    </w:p>
  </w:footnote>
  <w:footnote w:type="continuationNotice" w:id="2">
    <w:p w:rsidR="00F27FA7" w14:paraId="364C68EC" w14:textId="77777777"/>
  </w:footnote>
  <w:footnote w:id="3">
    <w:p w:rsidR="00732838" w:rsidP="00732838" w14:paraId="6F4AB15E" w14:textId="46E4AEB4">
      <w:pPr>
        <w:pStyle w:val="FootnoteText"/>
      </w:pPr>
      <w:r>
        <w:rPr>
          <w:rStyle w:val="FootnoteReference"/>
        </w:rPr>
        <w:footnoteRef/>
      </w:r>
      <w:r>
        <w:t>GS-13 wage rate from the 202</w:t>
      </w:r>
      <w:r w:rsidR="00E801FC">
        <w:t>5</w:t>
      </w:r>
      <w:r>
        <w:t xml:space="preserve"> GS-pay scale table for Washington-Baltimore-Arlington, DC-MD-VA-WV-PA, </w:t>
      </w:r>
      <w:hyperlink r:id="rId1" w:history="1">
        <w:r w:rsidR="00E801FC">
          <w:rPr>
            <w:rStyle w:val="Hyperlink"/>
          </w:rPr>
          <w:t>https://www.opm.gov/policy-data-oversight/pay-leave/salaries-wages/salary-tables/pdf/2025/DCB_h.pdf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D273B6D"/>
    <w:multiLevelType w:val="hybridMultilevel"/>
    <w:tmpl w:val="81F89D36"/>
    <w:lvl w:ilvl="0">
      <w:start w:val="1"/>
      <w:numFmt w:val="decimal"/>
      <w:lvlText w:val="%1."/>
      <w:lvlJc w:val="left"/>
      <w:pPr>
        <w:tabs>
          <w:tab w:val="num" w:pos="720"/>
        </w:tabs>
        <w:ind w:left="720" w:hanging="360"/>
      </w:pPr>
      <w:rPr>
        <w:rFonts w:hint="default"/>
        <w:u w:val="none"/>
      </w:rPr>
    </w:lvl>
    <w:lvl w:ilvl="1">
      <w:start w:val="2"/>
      <w:numFmt w:val="decimal"/>
      <w:lvlText w:val="%2"/>
      <w:lvlJc w:val="left"/>
      <w:pPr>
        <w:tabs>
          <w:tab w:val="num" w:pos="1440"/>
        </w:tabs>
        <w:ind w:left="1440" w:hanging="360"/>
      </w:pPr>
      <w:rPr>
        <w:rFonts w:hint="default"/>
        <w:u w:val="singl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67190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3E"/>
    <w:rsid w:val="00010596"/>
    <w:rsid w:val="00010B0F"/>
    <w:rsid w:val="00014198"/>
    <w:rsid w:val="00015664"/>
    <w:rsid w:val="00024D6C"/>
    <w:rsid w:val="00030C39"/>
    <w:rsid w:val="00047692"/>
    <w:rsid w:val="000558E0"/>
    <w:rsid w:val="000652A9"/>
    <w:rsid w:val="00065A87"/>
    <w:rsid w:val="00071FE8"/>
    <w:rsid w:val="00072103"/>
    <w:rsid w:val="000761CC"/>
    <w:rsid w:val="00082684"/>
    <w:rsid w:val="000B0FD4"/>
    <w:rsid w:val="000E1A25"/>
    <w:rsid w:val="000E6BD1"/>
    <w:rsid w:val="000F3EFF"/>
    <w:rsid w:val="000F736B"/>
    <w:rsid w:val="00113ADC"/>
    <w:rsid w:val="00121C9D"/>
    <w:rsid w:val="00130B25"/>
    <w:rsid w:val="00173073"/>
    <w:rsid w:val="00175E49"/>
    <w:rsid w:val="00176731"/>
    <w:rsid w:val="001A1066"/>
    <w:rsid w:val="001A1123"/>
    <w:rsid w:val="001B09B0"/>
    <w:rsid w:val="001B2D5A"/>
    <w:rsid w:val="001B6780"/>
    <w:rsid w:val="001C38C7"/>
    <w:rsid w:val="001D3149"/>
    <w:rsid w:val="001D4739"/>
    <w:rsid w:val="001E677E"/>
    <w:rsid w:val="001E7389"/>
    <w:rsid w:val="001F43AE"/>
    <w:rsid w:val="002028E4"/>
    <w:rsid w:val="00202DDE"/>
    <w:rsid w:val="00210531"/>
    <w:rsid w:val="00223A82"/>
    <w:rsid w:val="00232594"/>
    <w:rsid w:val="00236CAA"/>
    <w:rsid w:val="00252F37"/>
    <w:rsid w:val="002563AB"/>
    <w:rsid w:val="002760DF"/>
    <w:rsid w:val="00286F9E"/>
    <w:rsid w:val="00295607"/>
    <w:rsid w:val="00297F17"/>
    <w:rsid w:val="002B2540"/>
    <w:rsid w:val="002E5359"/>
    <w:rsid w:val="0030100E"/>
    <w:rsid w:val="003011D8"/>
    <w:rsid w:val="00312078"/>
    <w:rsid w:val="003206C7"/>
    <w:rsid w:val="00322FC6"/>
    <w:rsid w:val="0032528B"/>
    <w:rsid w:val="00334841"/>
    <w:rsid w:val="003376AF"/>
    <w:rsid w:val="00337D85"/>
    <w:rsid w:val="003436CA"/>
    <w:rsid w:val="003654DE"/>
    <w:rsid w:val="00374FE1"/>
    <w:rsid w:val="00381256"/>
    <w:rsid w:val="00387030"/>
    <w:rsid w:val="003929CE"/>
    <w:rsid w:val="00394BCB"/>
    <w:rsid w:val="003A273D"/>
    <w:rsid w:val="003A4EC8"/>
    <w:rsid w:val="003A5AF5"/>
    <w:rsid w:val="003A5E0D"/>
    <w:rsid w:val="003B2B27"/>
    <w:rsid w:val="003C5351"/>
    <w:rsid w:val="003D31D6"/>
    <w:rsid w:val="003F1932"/>
    <w:rsid w:val="004142C4"/>
    <w:rsid w:val="004230A6"/>
    <w:rsid w:val="00423290"/>
    <w:rsid w:val="004328D0"/>
    <w:rsid w:val="004332DF"/>
    <w:rsid w:val="00434A80"/>
    <w:rsid w:val="0044627A"/>
    <w:rsid w:val="004508D1"/>
    <w:rsid w:val="00451020"/>
    <w:rsid w:val="0045309F"/>
    <w:rsid w:val="00482BB6"/>
    <w:rsid w:val="00482CDA"/>
    <w:rsid w:val="00487394"/>
    <w:rsid w:val="00490EE2"/>
    <w:rsid w:val="0049295A"/>
    <w:rsid w:val="00492A38"/>
    <w:rsid w:val="004DC069"/>
    <w:rsid w:val="004E4CE3"/>
    <w:rsid w:val="005018DE"/>
    <w:rsid w:val="00510B28"/>
    <w:rsid w:val="0052260C"/>
    <w:rsid w:val="00532D43"/>
    <w:rsid w:val="00547423"/>
    <w:rsid w:val="00551657"/>
    <w:rsid w:val="0055175E"/>
    <w:rsid w:val="00560326"/>
    <w:rsid w:val="00564C9C"/>
    <w:rsid w:val="005770D7"/>
    <w:rsid w:val="0058433C"/>
    <w:rsid w:val="00593523"/>
    <w:rsid w:val="005A0BAF"/>
    <w:rsid w:val="005A1604"/>
    <w:rsid w:val="005B1AE4"/>
    <w:rsid w:val="005B5E1F"/>
    <w:rsid w:val="005C7832"/>
    <w:rsid w:val="005E543A"/>
    <w:rsid w:val="0061076C"/>
    <w:rsid w:val="00624081"/>
    <w:rsid w:val="00640EE2"/>
    <w:rsid w:val="00641FC0"/>
    <w:rsid w:val="00652946"/>
    <w:rsid w:val="00655DF1"/>
    <w:rsid w:val="00656B33"/>
    <w:rsid w:val="00672446"/>
    <w:rsid w:val="006800EB"/>
    <w:rsid w:val="00684BA6"/>
    <w:rsid w:val="006960E6"/>
    <w:rsid w:val="006A2CBC"/>
    <w:rsid w:val="006A738E"/>
    <w:rsid w:val="006B15DB"/>
    <w:rsid w:val="006C6A9C"/>
    <w:rsid w:val="006C70D2"/>
    <w:rsid w:val="006D1FE2"/>
    <w:rsid w:val="006D2EA7"/>
    <w:rsid w:val="006D5842"/>
    <w:rsid w:val="006D7E01"/>
    <w:rsid w:val="006E6E8F"/>
    <w:rsid w:val="006F76B7"/>
    <w:rsid w:val="007021B8"/>
    <w:rsid w:val="0070364D"/>
    <w:rsid w:val="007106DB"/>
    <w:rsid w:val="00717115"/>
    <w:rsid w:val="00726C6A"/>
    <w:rsid w:val="00732838"/>
    <w:rsid w:val="00736B04"/>
    <w:rsid w:val="0074173D"/>
    <w:rsid w:val="00745C21"/>
    <w:rsid w:val="00750821"/>
    <w:rsid w:val="0076339E"/>
    <w:rsid w:val="00764132"/>
    <w:rsid w:val="00766252"/>
    <w:rsid w:val="00770329"/>
    <w:rsid w:val="00776F61"/>
    <w:rsid w:val="00786D45"/>
    <w:rsid w:val="00792A01"/>
    <w:rsid w:val="00792BFF"/>
    <w:rsid w:val="007936FF"/>
    <w:rsid w:val="007A22A1"/>
    <w:rsid w:val="007A290E"/>
    <w:rsid w:val="007B0E07"/>
    <w:rsid w:val="007B7E99"/>
    <w:rsid w:val="007C4E2F"/>
    <w:rsid w:val="007D482A"/>
    <w:rsid w:val="007E13C6"/>
    <w:rsid w:val="007E58D4"/>
    <w:rsid w:val="007E6035"/>
    <w:rsid w:val="007E6798"/>
    <w:rsid w:val="00803FAE"/>
    <w:rsid w:val="00816B2A"/>
    <w:rsid w:val="00821C5F"/>
    <w:rsid w:val="008256DD"/>
    <w:rsid w:val="008268EE"/>
    <w:rsid w:val="00837CDC"/>
    <w:rsid w:val="00840849"/>
    <w:rsid w:val="008503B2"/>
    <w:rsid w:val="00850B1F"/>
    <w:rsid w:val="00872C2D"/>
    <w:rsid w:val="00875A1C"/>
    <w:rsid w:val="0088218D"/>
    <w:rsid w:val="008B21EA"/>
    <w:rsid w:val="008B6749"/>
    <w:rsid w:val="008C07BE"/>
    <w:rsid w:val="008C3793"/>
    <w:rsid w:val="008E3DFE"/>
    <w:rsid w:val="008E404C"/>
    <w:rsid w:val="00906F23"/>
    <w:rsid w:val="009115E3"/>
    <w:rsid w:val="00941CF2"/>
    <w:rsid w:val="009549CE"/>
    <w:rsid w:val="00971505"/>
    <w:rsid w:val="009755C4"/>
    <w:rsid w:val="0098076B"/>
    <w:rsid w:val="009849D7"/>
    <w:rsid w:val="009A7107"/>
    <w:rsid w:val="009B007D"/>
    <w:rsid w:val="009B4CC6"/>
    <w:rsid w:val="009C7059"/>
    <w:rsid w:val="009D4C10"/>
    <w:rsid w:val="009F7B80"/>
    <w:rsid w:val="00A0412C"/>
    <w:rsid w:val="00A3209F"/>
    <w:rsid w:val="00A364C0"/>
    <w:rsid w:val="00A6045F"/>
    <w:rsid w:val="00A7407A"/>
    <w:rsid w:val="00A8093E"/>
    <w:rsid w:val="00A91121"/>
    <w:rsid w:val="00A926C4"/>
    <w:rsid w:val="00AB44CC"/>
    <w:rsid w:val="00AC223D"/>
    <w:rsid w:val="00AC7643"/>
    <w:rsid w:val="00AF47A3"/>
    <w:rsid w:val="00B21A76"/>
    <w:rsid w:val="00B21F23"/>
    <w:rsid w:val="00B453EC"/>
    <w:rsid w:val="00B47D43"/>
    <w:rsid w:val="00B60CA7"/>
    <w:rsid w:val="00B66207"/>
    <w:rsid w:val="00B76C46"/>
    <w:rsid w:val="00B8393C"/>
    <w:rsid w:val="00B93692"/>
    <w:rsid w:val="00BC0FE6"/>
    <w:rsid w:val="00BC7941"/>
    <w:rsid w:val="00BC7AC3"/>
    <w:rsid w:val="00BD12FA"/>
    <w:rsid w:val="00BD1B5D"/>
    <w:rsid w:val="00BE62E7"/>
    <w:rsid w:val="00BF4EC9"/>
    <w:rsid w:val="00BF7587"/>
    <w:rsid w:val="00C03C94"/>
    <w:rsid w:val="00C069EC"/>
    <w:rsid w:val="00C249BE"/>
    <w:rsid w:val="00C27D61"/>
    <w:rsid w:val="00C36E04"/>
    <w:rsid w:val="00C641E3"/>
    <w:rsid w:val="00C70ADA"/>
    <w:rsid w:val="00C80C9C"/>
    <w:rsid w:val="00C813F0"/>
    <w:rsid w:val="00C9156C"/>
    <w:rsid w:val="00CA170A"/>
    <w:rsid w:val="00CA59A2"/>
    <w:rsid w:val="00CC684A"/>
    <w:rsid w:val="00CD1048"/>
    <w:rsid w:val="00CD2C74"/>
    <w:rsid w:val="00CD2EB5"/>
    <w:rsid w:val="00D010D3"/>
    <w:rsid w:val="00D15945"/>
    <w:rsid w:val="00D23DA6"/>
    <w:rsid w:val="00D3504F"/>
    <w:rsid w:val="00D50B5F"/>
    <w:rsid w:val="00D55943"/>
    <w:rsid w:val="00D6501F"/>
    <w:rsid w:val="00D7775F"/>
    <w:rsid w:val="00D8400F"/>
    <w:rsid w:val="00D909F6"/>
    <w:rsid w:val="00D912DB"/>
    <w:rsid w:val="00DC3901"/>
    <w:rsid w:val="00DC6E9B"/>
    <w:rsid w:val="00DD0C5B"/>
    <w:rsid w:val="00DD1ECF"/>
    <w:rsid w:val="00DD27D2"/>
    <w:rsid w:val="00DD37FC"/>
    <w:rsid w:val="00DD51D8"/>
    <w:rsid w:val="00DF0008"/>
    <w:rsid w:val="00DF4142"/>
    <w:rsid w:val="00E251BB"/>
    <w:rsid w:val="00E602A0"/>
    <w:rsid w:val="00E71F75"/>
    <w:rsid w:val="00E7349F"/>
    <w:rsid w:val="00E801FC"/>
    <w:rsid w:val="00E81106"/>
    <w:rsid w:val="00EA30EF"/>
    <w:rsid w:val="00EA68BD"/>
    <w:rsid w:val="00EA782A"/>
    <w:rsid w:val="00EB1172"/>
    <w:rsid w:val="00EC6DCF"/>
    <w:rsid w:val="00ED0B0F"/>
    <w:rsid w:val="00ED42DB"/>
    <w:rsid w:val="00ED43BE"/>
    <w:rsid w:val="00EE6750"/>
    <w:rsid w:val="00F0683D"/>
    <w:rsid w:val="00F06A3F"/>
    <w:rsid w:val="00F12954"/>
    <w:rsid w:val="00F22702"/>
    <w:rsid w:val="00F270B7"/>
    <w:rsid w:val="00F27FA7"/>
    <w:rsid w:val="00F30D96"/>
    <w:rsid w:val="00F35CFD"/>
    <w:rsid w:val="00F4199B"/>
    <w:rsid w:val="00F42B4D"/>
    <w:rsid w:val="00F5696C"/>
    <w:rsid w:val="00F628EF"/>
    <w:rsid w:val="00F73E7F"/>
    <w:rsid w:val="00F76B69"/>
    <w:rsid w:val="00F8296A"/>
    <w:rsid w:val="00F869BC"/>
    <w:rsid w:val="00F90035"/>
    <w:rsid w:val="00F97193"/>
    <w:rsid w:val="00F97E09"/>
    <w:rsid w:val="00FB3AB9"/>
    <w:rsid w:val="00FB4032"/>
    <w:rsid w:val="00FC1715"/>
    <w:rsid w:val="00FC64B9"/>
    <w:rsid w:val="00FF6461"/>
    <w:rsid w:val="03D485DF"/>
    <w:rsid w:val="06340596"/>
    <w:rsid w:val="0DCCB2D0"/>
    <w:rsid w:val="0E71AB1E"/>
    <w:rsid w:val="0E94CE6F"/>
    <w:rsid w:val="0F36D582"/>
    <w:rsid w:val="126F4708"/>
    <w:rsid w:val="142FF58F"/>
    <w:rsid w:val="18034470"/>
    <w:rsid w:val="27648B43"/>
    <w:rsid w:val="3030FA31"/>
    <w:rsid w:val="3875626C"/>
    <w:rsid w:val="3E0735C0"/>
    <w:rsid w:val="3EC2119C"/>
    <w:rsid w:val="3FE8D86C"/>
    <w:rsid w:val="402A2D5B"/>
    <w:rsid w:val="4AAF1FE1"/>
    <w:rsid w:val="4CBD31CC"/>
    <w:rsid w:val="53981FE0"/>
    <w:rsid w:val="57C62976"/>
    <w:rsid w:val="5B445B39"/>
    <w:rsid w:val="620BFDAF"/>
    <w:rsid w:val="648AA4A8"/>
    <w:rsid w:val="66682824"/>
    <w:rsid w:val="692589BE"/>
    <w:rsid w:val="7105B305"/>
    <w:rsid w:val="714470C8"/>
    <w:rsid w:val="72C108D4"/>
    <w:rsid w:val="75394B46"/>
    <w:rsid w:val="786B607F"/>
    <w:rsid w:val="7928D7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DBB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9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8093E"/>
    <w:pPr>
      <w:tabs>
        <w:tab w:val="center" w:pos="4320"/>
        <w:tab w:val="right" w:pos="8640"/>
      </w:tabs>
    </w:pPr>
  </w:style>
  <w:style w:type="character" w:customStyle="1" w:styleId="FooterChar">
    <w:name w:val="Footer Char"/>
    <w:basedOn w:val="DefaultParagraphFont"/>
    <w:link w:val="Footer"/>
    <w:rsid w:val="00A8093E"/>
    <w:rPr>
      <w:rFonts w:ascii="Times New Roman" w:eastAsia="Times New Roman" w:hAnsi="Times New Roman" w:cs="Times New Roman"/>
      <w:sz w:val="24"/>
      <w:szCs w:val="24"/>
    </w:rPr>
  </w:style>
  <w:style w:type="character" w:styleId="PageNumber">
    <w:name w:val="page number"/>
    <w:basedOn w:val="DefaultParagraphFont"/>
    <w:rsid w:val="00A8093E"/>
  </w:style>
  <w:style w:type="character" w:styleId="CommentReference">
    <w:name w:val="annotation reference"/>
    <w:rsid w:val="00A8093E"/>
    <w:rPr>
      <w:sz w:val="16"/>
      <w:szCs w:val="16"/>
    </w:rPr>
  </w:style>
  <w:style w:type="paragraph" w:styleId="CommentText">
    <w:name w:val="annotation text"/>
    <w:basedOn w:val="Normal"/>
    <w:link w:val="CommentTextChar"/>
    <w:rsid w:val="00A8093E"/>
    <w:rPr>
      <w:sz w:val="20"/>
      <w:szCs w:val="20"/>
    </w:rPr>
  </w:style>
  <w:style w:type="character" w:customStyle="1" w:styleId="CommentTextChar">
    <w:name w:val="Comment Text Char"/>
    <w:basedOn w:val="DefaultParagraphFont"/>
    <w:link w:val="CommentText"/>
    <w:rsid w:val="00A8093E"/>
    <w:rPr>
      <w:rFonts w:ascii="Times New Roman" w:eastAsia="Times New Roman" w:hAnsi="Times New Roman" w:cs="Times New Roman"/>
      <w:sz w:val="20"/>
      <w:szCs w:val="20"/>
    </w:rPr>
  </w:style>
  <w:style w:type="paragraph" w:styleId="ListParagraph">
    <w:name w:val="List Paragraph"/>
    <w:basedOn w:val="Normal"/>
    <w:uiPriority w:val="34"/>
    <w:qFormat/>
    <w:rsid w:val="00A8093E"/>
    <w:pPr>
      <w:ind w:left="720"/>
      <w:contextualSpacing/>
    </w:pPr>
    <w:rPr>
      <w:rFonts w:eastAsiaTheme="minorHAnsi"/>
    </w:rPr>
  </w:style>
  <w:style w:type="character" w:styleId="Strong">
    <w:name w:val="Strong"/>
    <w:qFormat/>
    <w:rsid w:val="00A8093E"/>
    <w:rPr>
      <w:rFonts w:cs="Times New Roman"/>
      <w:b/>
      <w:bCs/>
    </w:rPr>
  </w:style>
  <w:style w:type="paragraph" w:styleId="BalloonText">
    <w:name w:val="Balloon Text"/>
    <w:basedOn w:val="Normal"/>
    <w:link w:val="BalloonTextChar"/>
    <w:uiPriority w:val="99"/>
    <w:semiHidden/>
    <w:unhideWhenUsed/>
    <w:rsid w:val="00A809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93E"/>
    <w:rPr>
      <w:rFonts w:ascii="Segoe UI" w:eastAsia="Times New Roman" w:hAnsi="Segoe UI" w:cs="Segoe UI"/>
      <w:sz w:val="18"/>
      <w:szCs w:val="18"/>
    </w:rPr>
  </w:style>
  <w:style w:type="paragraph" w:styleId="Header">
    <w:name w:val="header"/>
    <w:basedOn w:val="Normal"/>
    <w:link w:val="HeaderChar"/>
    <w:uiPriority w:val="99"/>
    <w:unhideWhenUsed/>
    <w:rsid w:val="00DD0C5B"/>
    <w:pPr>
      <w:tabs>
        <w:tab w:val="center" w:pos="4680"/>
        <w:tab w:val="right" w:pos="9360"/>
      </w:tabs>
    </w:pPr>
  </w:style>
  <w:style w:type="character" w:customStyle="1" w:styleId="HeaderChar">
    <w:name w:val="Header Char"/>
    <w:basedOn w:val="DefaultParagraphFont"/>
    <w:link w:val="Header"/>
    <w:uiPriority w:val="99"/>
    <w:rsid w:val="00DD0C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D0C5B"/>
    <w:rPr>
      <w:b/>
      <w:bCs/>
    </w:rPr>
  </w:style>
  <w:style w:type="character" w:customStyle="1" w:styleId="CommentSubjectChar">
    <w:name w:val="Comment Subject Char"/>
    <w:basedOn w:val="CommentTextChar"/>
    <w:link w:val="CommentSubject"/>
    <w:uiPriority w:val="99"/>
    <w:semiHidden/>
    <w:rsid w:val="00DD0C5B"/>
    <w:rPr>
      <w:rFonts w:ascii="Times New Roman" w:eastAsia="Times New Roman" w:hAnsi="Times New Roman" w:cs="Times New Roman"/>
      <w:b/>
      <w:bCs/>
      <w:sz w:val="20"/>
      <w:szCs w:val="20"/>
    </w:rPr>
  </w:style>
  <w:style w:type="paragraph" w:styleId="Revision">
    <w:name w:val="Revision"/>
    <w:hidden/>
    <w:uiPriority w:val="99"/>
    <w:semiHidden/>
    <w:rsid w:val="00DD0C5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semiHidden/>
    <w:unhideWhenUsed/>
    <w:rsid w:val="00732838"/>
    <w:rPr>
      <w:color w:val="0563C1" w:themeColor="hyperlink"/>
      <w:u w:val="single"/>
    </w:rPr>
  </w:style>
  <w:style w:type="paragraph" w:styleId="FootnoteText">
    <w:name w:val="footnote text"/>
    <w:basedOn w:val="Normal"/>
    <w:link w:val="FootnoteTextChar"/>
    <w:semiHidden/>
    <w:unhideWhenUsed/>
    <w:rsid w:val="0073283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732838"/>
    <w:rPr>
      <w:sz w:val="20"/>
      <w:szCs w:val="20"/>
    </w:rPr>
  </w:style>
  <w:style w:type="character" w:styleId="FootnoteReference">
    <w:name w:val="footnote reference"/>
    <w:basedOn w:val="DefaultParagraphFont"/>
    <w:semiHidden/>
    <w:unhideWhenUsed/>
    <w:rsid w:val="00732838"/>
    <w:rPr>
      <w:vertAlign w:val="superscript"/>
    </w:rPr>
  </w:style>
  <w:style w:type="character" w:styleId="FollowedHyperlink">
    <w:name w:val="FollowedHyperlink"/>
    <w:basedOn w:val="DefaultParagraphFont"/>
    <w:uiPriority w:val="99"/>
    <w:semiHidden/>
    <w:unhideWhenUsed/>
    <w:rsid w:val="00E801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5/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9CD10B6C24742ACAD1BAB63041E42" ma:contentTypeVersion="2" ma:contentTypeDescription="Create a new document." ma:contentTypeScope="" ma:versionID="ecd4f3dc3a0c67e42f699fa25109fbc4">
  <xsd:schema xmlns:xsd="http://www.w3.org/2001/XMLSchema" xmlns:xs="http://www.w3.org/2001/XMLSchema" xmlns:p="http://schemas.microsoft.com/office/2006/metadata/properties" xmlns:ns2="354ab5d5-3917-4d2c-a72e-c43f200ca589" xmlns:ns3="f70e41de-0fe8-47d8-bae5-96f488b1d7ac" targetNamespace="http://schemas.microsoft.com/office/2006/metadata/properties" ma:root="true" ma:fieldsID="b5e13e19a0681f100fbf734119b36e61" ns2:_="" ns3:_="">
    <xsd:import namespace="354ab5d5-3917-4d2c-a72e-c43f200ca589"/>
    <xsd:import namespace="f70e41de-0fe8-47d8-bae5-96f488b1d7ac"/>
    <xsd:element name="properties">
      <xsd:complexType>
        <xsd:sequence>
          <xsd:element name="documentManagement">
            <xsd:complexType>
              <xsd:all>
                <xsd:element ref="ns2:_dlc_DocId" minOccurs="0"/>
                <xsd:element ref="ns2:_dlc_DocIdUrl" minOccurs="0"/>
                <xsd:element ref="ns2:_dlc_DocIdPersistId" minOccurs="0"/>
                <xsd:element ref="ns3:ARP_x0020_Progra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11" nillable="true" ma:displayName="ARP Program"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P_x0020_Program xmlns="f70e41de-0fe8-47d8-bae5-96f488b1d7ac"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5B45F0-13FC-40C4-A422-049A248E4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b5d5-3917-4d2c-a72e-c43f200ca589"/>
    <ds:schemaRef ds:uri="f70e41de-0fe8-47d8-bae5-96f488b1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F93F2-283B-4164-860C-1714ADE712B2}">
  <ds:schemaRefs>
    <ds:schemaRef ds:uri="http://schemas.openxmlformats.org/officeDocument/2006/bibliography"/>
  </ds:schemaRefs>
</ds:datastoreItem>
</file>

<file path=customXml/itemProps3.xml><?xml version="1.0" encoding="utf-8"?>
<ds:datastoreItem xmlns:ds="http://schemas.openxmlformats.org/officeDocument/2006/customXml" ds:itemID="{158FC385-C566-42D6-A7A1-219EF56CE421}">
  <ds:schemaRefs>
    <ds:schemaRef ds:uri="http://schemas.microsoft.com/sharepoint/v3/contenttype/forms"/>
  </ds:schemaRefs>
</ds:datastoreItem>
</file>

<file path=customXml/itemProps4.xml><?xml version="1.0" encoding="utf-8"?>
<ds:datastoreItem xmlns:ds="http://schemas.openxmlformats.org/officeDocument/2006/customXml" ds:itemID="{4AB46EFF-8305-45FA-97E5-AAC1E4A2A6A2}">
  <ds:schemaRefs>
    <ds:schemaRef ds:uri="http://purl.org/dc/elements/1.1/"/>
    <ds:schemaRef ds:uri="354ab5d5-3917-4d2c-a72e-c43f200ca58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f70e41de-0fe8-47d8-bae5-96f488b1d7ac"/>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A4A7E5DC-9B72-4276-9D48-15180C81D7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2025-07-31T21:10:00Z</dcterms:created>
  <dcterms:modified xsi:type="dcterms:W3CDTF">2025-07-31T21:10:00Z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0x0101009069CD10B6C24742ACAD1BAB63041E42</vt:lpwstr>
  </property>
</Properties>
</file>