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17D57" w:rsidRPr="00A87019" w:rsidP="006B6FEE" w14:paraId="4514D745" w14:textId="77777777">
      <w:pPr>
        <w:pStyle w:val="BodyText"/>
        <w:spacing w:before="71"/>
        <w:ind w:left="0"/>
        <w:jc w:val="center"/>
        <w:rPr>
          <w:rFonts w:cs="Times New Roman"/>
          <w:sz w:val="24"/>
          <w:szCs w:val="24"/>
          <w:u w:val="single"/>
        </w:rPr>
      </w:pPr>
      <w:r w:rsidRPr="00A87019">
        <w:rPr>
          <w:rFonts w:cs="Times New Roman"/>
          <w:sz w:val="24"/>
          <w:szCs w:val="24"/>
          <w:u w:val="single"/>
        </w:rPr>
        <w:t>Supporting</w:t>
      </w:r>
      <w:r w:rsidRPr="00A87019">
        <w:rPr>
          <w:rFonts w:cs="Times New Roman"/>
          <w:spacing w:val="54"/>
          <w:sz w:val="24"/>
          <w:szCs w:val="24"/>
          <w:u w:val="single"/>
        </w:rPr>
        <w:t xml:space="preserve"> </w:t>
      </w:r>
      <w:r w:rsidRPr="00A87019" w:rsidR="00CD22D4">
        <w:rPr>
          <w:rFonts w:cs="Times New Roman"/>
          <w:sz w:val="24"/>
          <w:szCs w:val="24"/>
          <w:u w:val="single"/>
        </w:rPr>
        <w:t>Statement</w:t>
      </w:r>
    </w:p>
    <w:p w:rsidR="00D17D57" w:rsidRPr="00A87019" w:rsidP="006B6FEE" w14:paraId="6D15F1FA" w14:textId="77777777">
      <w:pPr>
        <w:pStyle w:val="BodyText"/>
        <w:spacing w:before="16"/>
        <w:ind w:left="0"/>
        <w:jc w:val="center"/>
        <w:rPr>
          <w:rFonts w:cs="Times New Roman"/>
          <w:sz w:val="24"/>
          <w:szCs w:val="24"/>
          <w:u w:val="single"/>
        </w:rPr>
      </w:pPr>
      <w:r w:rsidRPr="00A87019">
        <w:rPr>
          <w:rFonts w:cs="Times New Roman"/>
          <w:sz w:val="24"/>
          <w:szCs w:val="24"/>
          <w:u w:val="single"/>
        </w:rPr>
        <w:t>OMB</w:t>
      </w:r>
      <w:r w:rsidRPr="00A87019">
        <w:rPr>
          <w:rFonts w:cs="Times New Roman"/>
          <w:spacing w:val="21"/>
          <w:sz w:val="24"/>
          <w:szCs w:val="24"/>
          <w:u w:val="single"/>
        </w:rPr>
        <w:t xml:space="preserve"> </w:t>
      </w:r>
      <w:r w:rsidRPr="00A87019">
        <w:rPr>
          <w:rFonts w:cs="Times New Roman"/>
          <w:sz w:val="24"/>
          <w:szCs w:val="24"/>
          <w:u w:val="single"/>
        </w:rPr>
        <w:t>Control</w:t>
      </w:r>
      <w:r w:rsidRPr="00A87019">
        <w:rPr>
          <w:rFonts w:cs="Times New Roman"/>
          <w:spacing w:val="20"/>
          <w:sz w:val="24"/>
          <w:szCs w:val="24"/>
          <w:u w:val="single"/>
        </w:rPr>
        <w:t xml:space="preserve"> </w:t>
      </w:r>
      <w:r w:rsidRPr="00A87019">
        <w:rPr>
          <w:rFonts w:cs="Times New Roman"/>
          <w:sz w:val="24"/>
          <w:szCs w:val="24"/>
          <w:u w:val="single"/>
        </w:rPr>
        <w:t>Number 1506-0055</w:t>
      </w:r>
    </w:p>
    <w:p w:rsidR="00E84EFB" w:rsidRPr="00A87019" w:rsidP="006B6FEE" w14:paraId="1F6E2BCC" w14:textId="6A9E83C3">
      <w:pPr>
        <w:pStyle w:val="BodyText"/>
        <w:spacing w:before="16"/>
        <w:ind w:left="0"/>
        <w:jc w:val="center"/>
        <w:rPr>
          <w:rFonts w:cs="Times New Roman"/>
          <w:sz w:val="24"/>
          <w:szCs w:val="24"/>
        </w:rPr>
      </w:pPr>
      <w:r w:rsidRPr="00A87019">
        <w:rPr>
          <w:rFonts w:cs="Times New Roman"/>
          <w:sz w:val="24"/>
          <w:szCs w:val="24"/>
          <w:u w:val="single"/>
        </w:rPr>
        <w:t>Reports</w:t>
      </w:r>
      <w:r w:rsidRPr="00A87019">
        <w:rPr>
          <w:rFonts w:cs="Times New Roman"/>
          <w:sz w:val="24"/>
          <w:szCs w:val="24"/>
          <w:u w:val="single"/>
        </w:rPr>
        <w:t xml:space="preserve"> </w:t>
      </w:r>
      <w:r w:rsidRPr="00A87019">
        <w:rPr>
          <w:rFonts w:cs="Times New Roman"/>
          <w:sz w:val="24"/>
          <w:szCs w:val="24"/>
          <w:u w:val="single"/>
        </w:rPr>
        <w:t>of</w:t>
      </w:r>
      <w:r w:rsidRPr="00A87019">
        <w:rPr>
          <w:rFonts w:cs="Times New Roman"/>
          <w:sz w:val="24"/>
          <w:szCs w:val="24"/>
          <w:u w:val="single"/>
        </w:rPr>
        <w:t xml:space="preserve"> Transactions with Foreign Financial Agencies</w:t>
      </w:r>
    </w:p>
    <w:p w:rsidR="00D17D57" w:rsidRPr="00A87019" w:rsidP="00DA4035" w14:paraId="6092F8AA" w14:textId="77777777">
      <w:pPr>
        <w:spacing w:before="7"/>
        <w:rPr>
          <w:rFonts w:ascii="Times New Roman" w:eastAsia="Times New Roman" w:hAnsi="Times New Roman" w:cs="Times New Roman"/>
          <w:sz w:val="24"/>
          <w:szCs w:val="24"/>
        </w:rPr>
      </w:pPr>
    </w:p>
    <w:p w:rsidR="00D17D57" w:rsidRPr="00A87019" w:rsidP="00C17F05" w14:paraId="015A7D82" w14:textId="2C21DA5F">
      <w:pPr>
        <w:pStyle w:val="BodyText"/>
        <w:tabs>
          <w:tab w:val="left" w:pos="440"/>
        </w:tabs>
        <w:ind w:left="0"/>
        <w:rPr>
          <w:rFonts w:cs="Times New Roman"/>
          <w:sz w:val="24"/>
          <w:szCs w:val="24"/>
        </w:rPr>
      </w:pPr>
      <w:r w:rsidRPr="00A87019">
        <w:rPr>
          <w:rFonts w:cs="Times New Roman"/>
          <w:sz w:val="24"/>
          <w:szCs w:val="24"/>
          <w:u w:color="000000"/>
        </w:rPr>
        <w:t xml:space="preserve">1. </w:t>
      </w:r>
      <w:r w:rsidRPr="00A87019" w:rsidR="00046F42">
        <w:rPr>
          <w:rFonts w:cs="Times New Roman"/>
          <w:sz w:val="24"/>
          <w:szCs w:val="24"/>
          <w:u w:val="single"/>
        </w:rPr>
        <w:t>Circumstances necessitating collection of information.</w:t>
      </w:r>
    </w:p>
    <w:p w:rsidR="00D17D57" w:rsidRPr="00A87019" w:rsidP="00DA4035" w14:paraId="078D9F59" w14:textId="77777777">
      <w:pPr>
        <w:spacing w:before="2"/>
        <w:rPr>
          <w:rFonts w:ascii="Times New Roman" w:eastAsia="Times New Roman" w:hAnsi="Times New Roman" w:cs="Times New Roman"/>
          <w:sz w:val="24"/>
          <w:szCs w:val="24"/>
        </w:rPr>
      </w:pPr>
    </w:p>
    <w:p w:rsidR="002D0081" w:rsidRPr="00A87019" w:rsidP="002D0081" w14:paraId="2D50B111" w14:textId="6E1D0A0D">
      <w:pPr>
        <w:spacing w:before="2"/>
        <w:ind w:firstLine="720"/>
        <w:rPr>
          <w:rFonts w:ascii="Times New Roman" w:eastAsia="Times New Roman" w:hAnsi="Times New Roman" w:cs="Times New Roman"/>
          <w:sz w:val="24"/>
          <w:szCs w:val="24"/>
        </w:rPr>
      </w:pPr>
      <w:r w:rsidRPr="00A87019">
        <w:rPr>
          <w:rFonts w:ascii="Times New Roman" w:eastAsia="Times New Roman" w:hAnsi="Times New Roman" w:cs="Times New Roman"/>
          <w:sz w:val="24"/>
          <w:szCs w:val="24"/>
        </w:rPr>
        <w:t>The legislative framework generally referred to as the Bank Secrecy Act (BSA) consists of the Currency and Foreign Transactions Reporting Act of 1970</w:t>
      </w:r>
      <w:r w:rsidRPr="00A87019" w:rsidR="72734A27">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
      </w:r>
      <w:r w:rsidRPr="00A87019">
        <w:rPr>
          <w:rFonts w:ascii="Times New Roman" w:eastAsia="Times New Roman" w:hAnsi="Times New Roman" w:cs="Times New Roman"/>
          <w:sz w:val="24"/>
          <w:szCs w:val="24"/>
        </w:rPr>
        <w:t xml:space="preserve"> as amended by the Uniting and Strengthening America by Providing Appropriate Tools Required to Intercept and Obstruct Terrorism Act of 2001 (USA PATRIOT Act),</w:t>
      </w:r>
      <w:r>
        <w:rPr>
          <w:rFonts w:ascii="Times New Roman" w:eastAsia="Times New Roman" w:hAnsi="Times New Roman" w:cs="Times New Roman"/>
          <w:sz w:val="24"/>
          <w:szCs w:val="24"/>
          <w:vertAlign w:val="superscript"/>
        </w:rPr>
        <w:footnoteReference w:id="3"/>
      </w:r>
      <w:r w:rsidRPr="00A87019">
        <w:rPr>
          <w:rFonts w:ascii="Times New Roman" w:eastAsia="Times New Roman" w:hAnsi="Times New Roman" w:cs="Times New Roman"/>
          <w:sz w:val="24"/>
          <w:szCs w:val="24"/>
        </w:rPr>
        <w:t xml:space="preserve"> and other legislation, including the Anti-Money Laundering Act of 2020 (AML Act).</w:t>
      </w:r>
      <w:r>
        <w:rPr>
          <w:rFonts w:ascii="Times New Roman" w:eastAsia="Times New Roman" w:hAnsi="Times New Roman" w:cs="Times New Roman"/>
          <w:sz w:val="24"/>
          <w:szCs w:val="24"/>
          <w:vertAlign w:val="superscript"/>
        </w:rPr>
        <w:footnoteReference w:id="4"/>
      </w:r>
      <w:r w:rsidRPr="00A87019">
        <w:rPr>
          <w:rFonts w:ascii="Times New Roman" w:eastAsia="Times New Roman" w:hAnsi="Times New Roman" w:cs="Times New Roman"/>
          <w:sz w:val="24"/>
          <w:szCs w:val="24"/>
        </w:rPr>
        <w:t xml:space="preserve">  The BSA is codified at 12 U.S.C. 1829b, and 1951–1960; 31 U.S.C. 5311–5314, and 5316–5336, including notes thereto; with implementing regulations at 31 CFR chapter X.   </w:t>
      </w:r>
    </w:p>
    <w:p w:rsidR="002D0081" w:rsidRPr="00A87019" w:rsidP="002D0081" w14:paraId="4A650AC5" w14:textId="77777777">
      <w:pPr>
        <w:spacing w:before="2"/>
        <w:ind w:firstLine="720"/>
        <w:rPr>
          <w:rFonts w:ascii="Times New Roman" w:eastAsia="Times New Roman" w:hAnsi="Times New Roman" w:cs="Times New Roman"/>
          <w:sz w:val="24"/>
          <w:szCs w:val="24"/>
        </w:rPr>
      </w:pPr>
    </w:p>
    <w:p w:rsidR="002D0081" w:rsidRPr="00A87019" w:rsidP="002D0081" w14:paraId="0BA59259" w14:textId="4A8DAFD9">
      <w:pPr>
        <w:spacing w:before="2"/>
        <w:ind w:firstLine="720"/>
        <w:rPr>
          <w:rFonts w:ascii="Times New Roman" w:eastAsia="Times New Roman" w:hAnsi="Times New Roman" w:cs="Times New Roman"/>
          <w:sz w:val="24"/>
          <w:szCs w:val="24"/>
        </w:rPr>
      </w:pPr>
      <w:r w:rsidRPr="00A87019">
        <w:rPr>
          <w:rFonts w:ascii="Times New Roman" w:eastAsia="Times New Roman" w:hAnsi="Times New Roman" w:cs="Times New Roman"/>
          <w:sz w:val="24"/>
          <w:szCs w:val="24"/>
        </w:rPr>
        <w:t xml:space="preserve">The BSA authorizes the Secretary of the Treasury (Secretary) to, </w:t>
      </w:r>
      <w:r w:rsidRPr="00A87019">
        <w:rPr>
          <w:rFonts w:ascii="Times New Roman" w:eastAsia="Times New Roman" w:hAnsi="Times New Roman" w:cs="Times New Roman"/>
          <w:i/>
          <w:iCs/>
          <w:sz w:val="24"/>
          <w:szCs w:val="24"/>
        </w:rPr>
        <w:t>inter alia</w:t>
      </w:r>
      <w:r w:rsidRPr="00A87019">
        <w:rPr>
          <w:rFonts w:ascii="Times New Roman" w:eastAsia="Times New Roman" w:hAnsi="Times New Roman" w:cs="Times New Roman"/>
          <w:sz w:val="24"/>
          <w:szCs w:val="24"/>
        </w:rPr>
        <w:t>, require financial institutions to keep records and file reports that are determined to have a high degree of usefulness in criminal, tax, or regulatory matters, risk assessments or proceedings, or in intelligence or counter-intelligence activities, including analysis, to protect against terrorism, and to implement anti-money laundering/countering the financing of terrorism (AML/CFT) programs and compliance procedures.</w:t>
      </w:r>
      <w:r>
        <w:rPr>
          <w:rFonts w:ascii="Times New Roman" w:eastAsia="Times New Roman" w:hAnsi="Times New Roman" w:cs="Times New Roman"/>
          <w:sz w:val="24"/>
          <w:szCs w:val="24"/>
          <w:vertAlign w:val="superscript"/>
        </w:rPr>
        <w:footnoteReference w:id="5"/>
      </w:r>
      <w:r w:rsidRPr="00A87019">
        <w:rPr>
          <w:rFonts w:ascii="Times New Roman" w:eastAsia="Times New Roman" w:hAnsi="Times New Roman" w:cs="Times New Roman"/>
          <w:sz w:val="24"/>
          <w:szCs w:val="24"/>
        </w:rPr>
        <w:t xml:space="preserve">  The Secretary has delegated to the Director of FinCEN (Director) the authority to administer the BSA.</w:t>
      </w:r>
      <w:r>
        <w:rPr>
          <w:rFonts w:ascii="Times New Roman" w:eastAsia="Times New Roman" w:hAnsi="Times New Roman" w:cs="Times New Roman"/>
          <w:sz w:val="24"/>
          <w:szCs w:val="24"/>
          <w:vertAlign w:val="superscript"/>
        </w:rPr>
        <w:footnoteReference w:id="6"/>
      </w:r>
    </w:p>
    <w:p w:rsidR="002D0081" w:rsidRPr="00A87019" w:rsidP="002D0081" w14:paraId="618B9C17" w14:textId="77777777">
      <w:pPr>
        <w:spacing w:before="2"/>
        <w:ind w:firstLine="720"/>
        <w:rPr>
          <w:rFonts w:ascii="Times New Roman" w:eastAsia="Times New Roman" w:hAnsi="Times New Roman" w:cs="Times New Roman"/>
          <w:sz w:val="24"/>
          <w:szCs w:val="24"/>
        </w:rPr>
      </w:pPr>
    </w:p>
    <w:p w:rsidR="002D0081" w:rsidRPr="00A87019" w:rsidP="002D0081" w14:paraId="69EC2A82" w14:textId="0984B55D">
      <w:pPr>
        <w:spacing w:before="2"/>
        <w:ind w:firstLine="720"/>
        <w:rPr>
          <w:rFonts w:ascii="Times New Roman" w:eastAsia="Times New Roman" w:hAnsi="Times New Roman" w:cs="Times New Roman"/>
          <w:sz w:val="24"/>
          <w:szCs w:val="24"/>
        </w:rPr>
      </w:pPr>
      <w:r w:rsidRPr="00A87019">
        <w:rPr>
          <w:rFonts w:ascii="Times New Roman" w:eastAsia="Times New Roman" w:hAnsi="Times New Roman" w:cs="Times New Roman"/>
          <w:sz w:val="24"/>
          <w:szCs w:val="24"/>
        </w:rPr>
        <w:t>The Secretary is authorized to require any “resident or citizen of the United States or a person in, and doing business in, the United States, to keep records, file reports, or keep records and file reports, when the resident, citizen, or person makes a transaction or maintains a relation for any person with a foreign financial agency.”</w:t>
      </w:r>
      <w:r>
        <w:rPr>
          <w:rFonts w:ascii="Times New Roman" w:eastAsia="Times New Roman" w:hAnsi="Times New Roman" w:cs="Times New Roman"/>
          <w:sz w:val="24"/>
          <w:szCs w:val="24"/>
          <w:vertAlign w:val="superscript"/>
        </w:rPr>
        <w:footnoteReference w:id="7"/>
      </w:r>
      <w:r w:rsidRPr="00A87019">
        <w:rPr>
          <w:rFonts w:ascii="Times New Roman" w:eastAsia="Times New Roman" w:hAnsi="Times New Roman" w:cs="Times New Roman"/>
          <w:sz w:val="24"/>
          <w:szCs w:val="24"/>
        </w:rPr>
        <w:t xml:space="preserve">  The term “foreign financial agency”</w:t>
      </w:r>
      <w:r>
        <w:rPr>
          <w:rFonts w:ascii="Times New Roman" w:eastAsia="Times New Roman" w:hAnsi="Times New Roman" w:cs="Times New Roman"/>
          <w:sz w:val="24"/>
          <w:szCs w:val="24"/>
          <w:vertAlign w:val="superscript"/>
        </w:rPr>
        <w:footnoteReference w:id="8"/>
      </w:r>
      <w:r w:rsidRPr="00A87019">
        <w:rPr>
          <w:rFonts w:ascii="Times New Roman" w:eastAsia="Times New Roman" w:hAnsi="Times New Roman" w:cs="Times New Roman"/>
          <w:sz w:val="24"/>
          <w:szCs w:val="24"/>
        </w:rPr>
        <w:t xml:space="preserve"> (FFA) applies to an action outside the United States of a “financial agency,” which the statute defines as “a person acting for a person . . . as a financial institution, bailee, depository trustee, or agent, or acting in a similar way related to money, credit, securities, gold, a transaction in money, credit, securities or gold, or a service provided with respect to money, securities, futures, precious </w:t>
      </w:r>
      <w:r w:rsidRPr="00A87019">
        <w:rPr>
          <w:rFonts w:ascii="Times New Roman" w:eastAsia="Times New Roman" w:hAnsi="Times New Roman" w:cs="Times New Roman"/>
          <w:sz w:val="24"/>
          <w:szCs w:val="24"/>
        </w:rPr>
        <w:t>metals, stones and jewels, or value that substitutes for currency.”</w:t>
      </w:r>
      <w:r>
        <w:rPr>
          <w:rFonts w:ascii="Times New Roman" w:eastAsia="Times New Roman" w:hAnsi="Times New Roman" w:cs="Times New Roman"/>
          <w:sz w:val="24"/>
          <w:szCs w:val="24"/>
          <w:vertAlign w:val="superscript"/>
        </w:rPr>
        <w:footnoteReference w:id="9"/>
      </w:r>
      <w:r w:rsidRPr="00A87019">
        <w:rPr>
          <w:rFonts w:ascii="Times New Roman" w:eastAsia="Times New Roman" w:hAnsi="Times New Roman" w:cs="Times New Roman"/>
          <w:sz w:val="24"/>
          <w:szCs w:val="24"/>
        </w:rPr>
        <w:t xml:space="preserve">  The Secretary is also authorized to prescribe exemptions to the reporting requirement and to prescribe other matters the Secretary considers necessary to carry out 31 U.S.C. 5314.</w:t>
      </w:r>
      <w:r>
        <w:rPr>
          <w:rFonts w:ascii="Times New Roman" w:eastAsia="Times New Roman" w:hAnsi="Times New Roman" w:cs="Times New Roman"/>
          <w:sz w:val="24"/>
          <w:szCs w:val="24"/>
          <w:vertAlign w:val="superscript"/>
        </w:rPr>
        <w:footnoteReference w:id="10"/>
      </w:r>
      <w:r w:rsidRPr="00A87019">
        <w:rPr>
          <w:rFonts w:ascii="Times New Roman" w:eastAsia="Times New Roman" w:hAnsi="Times New Roman" w:cs="Times New Roman"/>
          <w:sz w:val="24"/>
          <w:szCs w:val="24"/>
        </w:rPr>
        <w:t xml:space="preserve">  The regulations implementing these authorities are found at 31 CFR 1010.360.</w:t>
      </w:r>
      <w:r w:rsidRPr="00A87019">
        <w:rPr>
          <w:rFonts w:ascii="Times New Roman" w:eastAsia="Times New Roman" w:hAnsi="Times New Roman" w:cs="Times New Roman"/>
          <w:sz w:val="24"/>
          <w:szCs w:val="24"/>
        </w:rPr>
        <w:t xml:space="preserve"> </w:t>
      </w:r>
      <w:r w:rsidRPr="00A87019">
        <w:rPr>
          <w:rFonts w:ascii="Times New Roman" w:eastAsia="Times New Roman" w:hAnsi="Times New Roman" w:cs="Times New Roman"/>
          <w:sz w:val="24"/>
          <w:szCs w:val="24"/>
        </w:rPr>
        <w:t xml:space="preserve"> </w:t>
      </w:r>
    </w:p>
    <w:p w:rsidR="002D0081" w:rsidRPr="00A87019" w:rsidP="002D0081" w14:paraId="7E4036DC" w14:textId="77777777">
      <w:pPr>
        <w:spacing w:before="2"/>
        <w:ind w:firstLine="720"/>
        <w:rPr>
          <w:rFonts w:ascii="Times New Roman" w:eastAsia="Times New Roman" w:hAnsi="Times New Roman" w:cs="Times New Roman"/>
          <w:bCs/>
          <w:sz w:val="24"/>
          <w:szCs w:val="24"/>
        </w:rPr>
      </w:pPr>
    </w:p>
    <w:p w:rsidR="002D0081" w:rsidRPr="00A87019" w:rsidP="002D0081" w14:paraId="2427B6B0" w14:textId="13234263">
      <w:pPr>
        <w:spacing w:before="2"/>
        <w:ind w:firstLine="720"/>
        <w:rPr>
          <w:rFonts w:ascii="Times New Roman" w:eastAsia="Times New Roman" w:hAnsi="Times New Roman" w:cs="Times New Roman"/>
          <w:sz w:val="24"/>
          <w:szCs w:val="24"/>
        </w:rPr>
      </w:pPr>
      <w:r w:rsidRPr="00A87019">
        <w:rPr>
          <w:rFonts w:ascii="Times New Roman" w:eastAsia="Times New Roman" w:hAnsi="Times New Roman" w:cs="Times New Roman"/>
          <w:sz w:val="24"/>
          <w:szCs w:val="24"/>
        </w:rPr>
        <w:t>Briefly, 31 CFR 1010.360(a) generally authorizes the Secretary, when the Secretary deems appropriate, to promulgate specific regulations (FFA Regulations) under which specified financial institutions</w:t>
      </w:r>
      <w:r w:rsidRPr="00A87019" w:rsidR="003C51C3">
        <w:rPr>
          <w:rFonts w:ascii="Times New Roman" w:eastAsia="Times New Roman" w:hAnsi="Times New Roman" w:cs="Times New Roman"/>
          <w:sz w:val="24"/>
          <w:szCs w:val="24"/>
        </w:rPr>
        <w:t>,</w:t>
      </w:r>
      <w:r w:rsidRPr="00A87019">
        <w:rPr>
          <w:rFonts w:ascii="Times New Roman" w:eastAsia="Times New Roman" w:hAnsi="Times New Roman" w:cs="Times New Roman"/>
          <w:sz w:val="24"/>
          <w:szCs w:val="24"/>
        </w:rPr>
        <w:t xml:space="preserve"> </w:t>
      </w:r>
      <w:r w:rsidRPr="00A87019" w:rsidR="003C51C3">
        <w:rPr>
          <w:rFonts w:ascii="Times New Roman" w:eastAsia="Times New Roman" w:hAnsi="Times New Roman" w:cs="Times New Roman"/>
          <w:sz w:val="24"/>
          <w:szCs w:val="24"/>
        </w:rPr>
        <w:t xml:space="preserve">also referred to as </w:t>
      </w:r>
      <w:r w:rsidRPr="00A87019" w:rsidR="00765EB1">
        <w:rPr>
          <w:rFonts w:ascii="Times New Roman" w:eastAsia="Times New Roman" w:hAnsi="Times New Roman" w:cs="Times New Roman"/>
          <w:sz w:val="24"/>
          <w:szCs w:val="24"/>
        </w:rPr>
        <w:t>“</w:t>
      </w:r>
      <w:r w:rsidRPr="00A87019" w:rsidR="003C51C3">
        <w:rPr>
          <w:rFonts w:ascii="Times New Roman" w:eastAsia="Times New Roman" w:hAnsi="Times New Roman" w:cs="Times New Roman"/>
          <w:sz w:val="24"/>
          <w:szCs w:val="24"/>
        </w:rPr>
        <w:t>covered financial institutions,</w:t>
      </w:r>
      <w:r w:rsidRPr="00A87019" w:rsidR="00765EB1">
        <w:rPr>
          <w:rFonts w:ascii="Times New Roman" w:eastAsia="Times New Roman" w:hAnsi="Times New Roman" w:cs="Times New Roman"/>
          <w:sz w:val="24"/>
          <w:szCs w:val="24"/>
        </w:rPr>
        <w:t>”</w:t>
      </w:r>
      <w:r w:rsidRPr="00A87019" w:rsidR="003C51C3">
        <w:rPr>
          <w:rFonts w:ascii="Times New Roman" w:eastAsia="Times New Roman" w:hAnsi="Times New Roman" w:cs="Times New Roman"/>
          <w:sz w:val="24"/>
          <w:szCs w:val="24"/>
        </w:rPr>
        <w:t xml:space="preserve"> </w:t>
      </w:r>
      <w:r w:rsidRPr="00A87019">
        <w:rPr>
          <w:rFonts w:ascii="Times New Roman" w:eastAsia="Times New Roman" w:hAnsi="Times New Roman" w:cs="Times New Roman"/>
          <w:sz w:val="24"/>
          <w:szCs w:val="24"/>
        </w:rPr>
        <w:t>must file reports of certain transactions with designated FFAs</w:t>
      </w:r>
      <w:r w:rsidRPr="00A87019" w:rsidR="00765EB1">
        <w:rPr>
          <w:rFonts w:ascii="Times New Roman" w:eastAsia="Times New Roman" w:hAnsi="Times New Roman" w:cs="Times New Roman"/>
          <w:sz w:val="24"/>
          <w:szCs w:val="24"/>
        </w:rPr>
        <w:t>, also referred to as “reportable transactions</w:t>
      </w:r>
      <w:r w:rsidRPr="00A87019">
        <w:rPr>
          <w:rFonts w:ascii="Times New Roman" w:eastAsia="Times New Roman" w:hAnsi="Times New Roman" w:cs="Times New Roman"/>
          <w:sz w:val="24"/>
          <w:szCs w:val="24"/>
        </w:rPr>
        <w:t>.</w:t>
      </w:r>
      <w:r w:rsidRPr="00A87019" w:rsidR="00765EB1">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1"/>
      </w:r>
      <w:r w:rsidRPr="00A87019">
        <w:rPr>
          <w:rFonts w:ascii="Times New Roman" w:eastAsia="Times New Roman" w:hAnsi="Times New Roman" w:cs="Times New Roman"/>
          <w:sz w:val="24"/>
          <w:szCs w:val="24"/>
        </w:rPr>
        <w:t xml:space="preserve">  An FFA Regulation must designate one or more of the following categories of information to be reported by the </w:t>
      </w:r>
      <w:r w:rsidRPr="00A87019" w:rsidR="003C51C3">
        <w:rPr>
          <w:rFonts w:ascii="Times New Roman" w:eastAsia="Times New Roman" w:hAnsi="Times New Roman" w:cs="Times New Roman"/>
          <w:sz w:val="24"/>
          <w:szCs w:val="24"/>
        </w:rPr>
        <w:t xml:space="preserve">covered </w:t>
      </w:r>
      <w:r w:rsidRPr="00A87019">
        <w:rPr>
          <w:rFonts w:ascii="Times New Roman" w:eastAsia="Times New Roman" w:hAnsi="Times New Roman" w:cs="Times New Roman"/>
          <w:sz w:val="24"/>
          <w:szCs w:val="24"/>
        </w:rPr>
        <w:t xml:space="preserve">financial institution(s):  </w:t>
      </w:r>
    </w:p>
    <w:p w:rsidR="002D0081" w:rsidRPr="00A87019" w:rsidP="002D0081" w14:paraId="22984246" w14:textId="6298F825">
      <w:pPr>
        <w:numPr>
          <w:ilvl w:val="0"/>
          <w:numId w:val="6"/>
        </w:numPr>
        <w:spacing w:before="2"/>
        <w:rPr>
          <w:rFonts w:ascii="Times New Roman" w:eastAsia="Times New Roman" w:hAnsi="Times New Roman" w:cs="Times New Roman"/>
          <w:sz w:val="24"/>
          <w:szCs w:val="24"/>
        </w:rPr>
      </w:pPr>
      <w:r w:rsidRPr="00A87019">
        <w:rPr>
          <w:rFonts w:ascii="Times New Roman" w:eastAsia="Times New Roman" w:hAnsi="Times New Roman" w:cs="Times New Roman"/>
          <w:sz w:val="24"/>
          <w:szCs w:val="24"/>
        </w:rPr>
        <w:t xml:space="preserve">checks or drafts, including traveler’s checks, received by a respondent financial institution for collection or credit to the account of a designated FFA, sent by </w:t>
      </w:r>
      <w:r w:rsidRPr="00A87019" w:rsidR="003C51C3">
        <w:rPr>
          <w:rFonts w:ascii="Times New Roman" w:eastAsia="Times New Roman" w:hAnsi="Times New Roman" w:cs="Times New Roman"/>
          <w:sz w:val="24"/>
          <w:szCs w:val="24"/>
        </w:rPr>
        <w:t xml:space="preserve">a </w:t>
      </w:r>
      <w:r w:rsidRPr="00A87019">
        <w:rPr>
          <w:rFonts w:ascii="Times New Roman" w:eastAsia="Times New Roman" w:hAnsi="Times New Roman" w:cs="Times New Roman"/>
          <w:sz w:val="24"/>
          <w:szCs w:val="24"/>
        </w:rPr>
        <w:t xml:space="preserve">respondent financial institution to a foreign country for collection or payment, drawn by </w:t>
      </w:r>
      <w:r w:rsidRPr="00A87019" w:rsidR="003C51C3">
        <w:rPr>
          <w:rFonts w:ascii="Times New Roman" w:eastAsia="Times New Roman" w:hAnsi="Times New Roman" w:cs="Times New Roman"/>
          <w:sz w:val="24"/>
          <w:szCs w:val="24"/>
        </w:rPr>
        <w:t xml:space="preserve">a </w:t>
      </w:r>
      <w:r w:rsidRPr="00A87019">
        <w:rPr>
          <w:rFonts w:ascii="Times New Roman" w:eastAsia="Times New Roman" w:hAnsi="Times New Roman" w:cs="Times New Roman"/>
          <w:sz w:val="24"/>
          <w:szCs w:val="24"/>
        </w:rPr>
        <w:t xml:space="preserve">respondent financial institution on a designated FFA, drawn by a designated FFA on </w:t>
      </w:r>
      <w:r w:rsidRPr="00A87019" w:rsidR="003C51C3">
        <w:rPr>
          <w:rFonts w:ascii="Times New Roman" w:eastAsia="Times New Roman" w:hAnsi="Times New Roman" w:cs="Times New Roman"/>
          <w:sz w:val="24"/>
          <w:szCs w:val="24"/>
        </w:rPr>
        <w:t xml:space="preserve">a </w:t>
      </w:r>
      <w:r w:rsidRPr="00A87019">
        <w:rPr>
          <w:rFonts w:ascii="Times New Roman" w:eastAsia="Times New Roman" w:hAnsi="Times New Roman" w:cs="Times New Roman"/>
          <w:sz w:val="24"/>
          <w:szCs w:val="24"/>
        </w:rPr>
        <w:t>respondent financial institution, including the following information: name of maker or drawer; name of drawee or drawee financial institution; name of payee; date and amount of instrument; and names of all endorsers;</w:t>
      </w:r>
      <w:r>
        <w:rPr>
          <w:rFonts w:ascii="Times New Roman" w:eastAsia="Times New Roman" w:hAnsi="Times New Roman" w:cs="Times New Roman"/>
          <w:sz w:val="24"/>
          <w:szCs w:val="24"/>
          <w:vertAlign w:val="superscript"/>
        </w:rPr>
        <w:footnoteReference w:id="12"/>
      </w:r>
    </w:p>
    <w:p w:rsidR="002D0081" w:rsidRPr="00A87019" w:rsidP="002D0081" w14:paraId="46334415" w14:textId="4A755885">
      <w:pPr>
        <w:numPr>
          <w:ilvl w:val="0"/>
          <w:numId w:val="7"/>
        </w:numPr>
        <w:spacing w:before="2"/>
        <w:rPr>
          <w:rFonts w:ascii="Times New Roman" w:eastAsia="Times New Roman" w:hAnsi="Times New Roman" w:cs="Times New Roman"/>
          <w:sz w:val="24"/>
          <w:szCs w:val="24"/>
        </w:rPr>
      </w:pPr>
      <w:r w:rsidRPr="00A87019">
        <w:rPr>
          <w:rFonts w:ascii="Times New Roman" w:eastAsia="Times New Roman" w:hAnsi="Times New Roman" w:cs="Times New Roman"/>
          <w:sz w:val="24"/>
          <w:szCs w:val="24"/>
        </w:rPr>
        <w:t xml:space="preserve">transmittal orders received by a respondent financial institution from a designated FFA or sent by </w:t>
      </w:r>
      <w:r w:rsidRPr="00A87019" w:rsidR="003C51C3">
        <w:rPr>
          <w:rFonts w:ascii="Times New Roman" w:eastAsia="Times New Roman" w:hAnsi="Times New Roman" w:cs="Times New Roman"/>
          <w:sz w:val="24"/>
          <w:szCs w:val="24"/>
        </w:rPr>
        <w:t xml:space="preserve">a </w:t>
      </w:r>
      <w:r w:rsidRPr="00A87019">
        <w:rPr>
          <w:rFonts w:ascii="Times New Roman" w:eastAsia="Times New Roman" w:hAnsi="Times New Roman" w:cs="Times New Roman"/>
          <w:sz w:val="24"/>
          <w:szCs w:val="24"/>
        </w:rPr>
        <w:t xml:space="preserve">respondent financial institution to a designated FFA, including all information maintained by that </w:t>
      </w:r>
      <w:r w:rsidRPr="00A87019" w:rsidR="00765EB1">
        <w:rPr>
          <w:rFonts w:ascii="Times New Roman" w:eastAsia="Times New Roman" w:hAnsi="Times New Roman" w:cs="Times New Roman"/>
          <w:sz w:val="24"/>
          <w:szCs w:val="24"/>
        </w:rPr>
        <w:t xml:space="preserve">respondent </w:t>
      </w:r>
      <w:r w:rsidRPr="00A87019">
        <w:rPr>
          <w:rFonts w:ascii="Times New Roman" w:eastAsia="Times New Roman" w:hAnsi="Times New Roman" w:cs="Times New Roman"/>
          <w:sz w:val="24"/>
          <w:szCs w:val="24"/>
        </w:rPr>
        <w:t xml:space="preserve">institution pursuant to 31 CFR </w:t>
      </w:r>
      <w:r w:rsidRPr="007A0F97" w:rsidR="00D9414C">
        <w:rPr>
          <w:rFonts w:ascii="Times New Roman" w:hAnsi="Times New Roman" w:cs="Times New Roman"/>
          <w:sz w:val="24"/>
          <w:szCs w:val="24"/>
        </w:rPr>
        <w:t>1010.410</w:t>
      </w:r>
      <w:r w:rsidRPr="00A87019">
        <w:rPr>
          <w:rFonts w:ascii="Times New Roman" w:eastAsia="Times New Roman" w:hAnsi="Times New Roman" w:cs="Times New Roman"/>
          <w:sz w:val="24"/>
          <w:szCs w:val="24"/>
        </w:rPr>
        <w:t xml:space="preserve"> and </w:t>
      </w:r>
      <w:r w:rsidRPr="007A0F97" w:rsidR="00D9414C">
        <w:rPr>
          <w:rFonts w:ascii="Times New Roman" w:hAnsi="Times New Roman" w:cs="Times New Roman"/>
          <w:sz w:val="24"/>
          <w:szCs w:val="24"/>
        </w:rPr>
        <w:t>1020.410</w:t>
      </w:r>
      <w:r w:rsidRPr="00A87019">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3"/>
      </w:r>
      <w:r w:rsidRPr="00A87019">
        <w:rPr>
          <w:rFonts w:ascii="Times New Roman" w:eastAsia="Times New Roman" w:hAnsi="Times New Roman" w:cs="Times New Roman"/>
          <w:sz w:val="24"/>
          <w:szCs w:val="24"/>
        </w:rPr>
        <w:t xml:space="preserve"> </w:t>
      </w:r>
    </w:p>
    <w:p w:rsidR="002D0081" w:rsidRPr="00A87019" w:rsidP="002D0081" w14:paraId="37C7AC80" w14:textId="302612B7">
      <w:pPr>
        <w:numPr>
          <w:ilvl w:val="0"/>
          <w:numId w:val="8"/>
        </w:numPr>
        <w:spacing w:before="2"/>
        <w:rPr>
          <w:rFonts w:ascii="Times New Roman" w:eastAsia="Times New Roman" w:hAnsi="Times New Roman" w:cs="Times New Roman"/>
          <w:sz w:val="24"/>
          <w:szCs w:val="24"/>
        </w:rPr>
      </w:pPr>
      <w:r w:rsidRPr="00A87019">
        <w:rPr>
          <w:rFonts w:ascii="Times New Roman" w:eastAsia="Times New Roman" w:hAnsi="Times New Roman" w:cs="Times New Roman"/>
          <w:sz w:val="24"/>
          <w:szCs w:val="24"/>
        </w:rPr>
        <w:t xml:space="preserve">loans made by </w:t>
      </w:r>
      <w:r w:rsidRPr="00A87019" w:rsidR="006D7591">
        <w:rPr>
          <w:rFonts w:ascii="Times New Roman" w:eastAsia="Times New Roman" w:hAnsi="Times New Roman" w:cs="Times New Roman"/>
          <w:sz w:val="24"/>
          <w:szCs w:val="24"/>
        </w:rPr>
        <w:t xml:space="preserve">a </w:t>
      </w:r>
      <w:r w:rsidRPr="00A87019">
        <w:rPr>
          <w:rFonts w:ascii="Times New Roman" w:eastAsia="Times New Roman" w:hAnsi="Times New Roman" w:cs="Times New Roman"/>
          <w:sz w:val="24"/>
          <w:szCs w:val="24"/>
        </w:rPr>
        <w:t>respondent financial institution to or through a designated FFA, including the following information: name of borrower; name of person acting for borrower; date and amount of loan; terms of repayment; name of guarantor; rate of interest; method of disbursing proceeds; and collateral for loan;</w:t>
      </w:r>
      <w:r>
        <w:rPr>
          <w:rFonts w:ascii="Times New Roman" w:eastAsia="Times New Roman" w:hAnsi="Times New Roman" w:cs="Times New Roman"/>
          <w:sz w:val="24"/>
          <w:szCs w:val="24"/>
          <w:vertAlign w:val="superscript"/>
        </w:rPr>
        <w:footnoteReference w:id="14"/>
      </w:r>
      <w:r w:rsidRPr="00A87019">
        <w:rPr>
          <w:rFonts w:ascii="Times New Roman" w:eastAsia="Times New Roman" w:hAnsi="Times New Roman" w:cs="Times New Roman"/>
          <w:sz w:val="24"/>
          <w:szCs w:val="24"/>
        </w:rPr>
        <w:t xml:space="preserve"> </w:t>
      </w:r>
    </w:p>
    <w:p w:rsidR="002D0081" w:rsidRPr="00A87019" w:rsidP="002D0081" w14:paraId="0231804C" w14:textId="21748620">
      <w:pPr>
        <w:numPr>
          <w:ilvl w:val="0"/>
          <w:numId w:val="8"/>
        </w:numPr>
        <w:spacing w:before="2"/>
        <w:rPr>
          <w:rFonts w:ascii="Times New Roman" w:eastAsia="Times New Roman" w:hAnsi="Times New Roman" w:cs="Times New Roman"/>
          <w:sz w:val="24"/>
          <w:szCs w:val="24"/>
        </w:rPr>
      </w:pPr>
      <w:r w:rsidRPr="00A87019">
        <w:rPr>
          <w:rFonts w:ascii="Times New Roman" w:eastAsia="Times New Roman" w:hAnsi="Times New Roman" w:cs="Times New Roman"/>
          <w:sz w:val="24"/>
          <w:szCs w:val="24"/>
        </w:rPr>
        <w:t xml:space="preserve">commercial paper received or shipped by </w:t>
      </w:r>
      <w:r w:rsidRPr="00A87019" w:rsidR="00DE5BE8">
        <w:rPr>
          <w:rFonts w:ascii="Times New Roman" w:eastAsia="Times New Roman" w:hAnsi="Times New Roman" w:cs="Times New Roman"/>
          <w:sz w:val="24"/>
          <w:szCs w:val="24"/>
        </w:rPr>
        <w:t xml:space="preserve">a </w:t>
      </w:r>
      <w:r w:rsidRPr="00A87019">
        <w:rPr>
          <w:rFonts w:ascii="Times New Roman" w:eastAsia="Times New Roman" w:hAnsi="Times New Roman" w:cs="Times New Roman"/>
          <w:sz w:val="24"/>
          <w:szCs w:val="24"/>
        </w:rPr>
        <w:t>respondent financial institution, including the following information: name of maker; date and amount of paper; due date; certificate number; and amount of transaction;</w:t>
      </w:r>
      <w:r>
        <w:rPr>
          <w:rFonts w:ascii="Times New Roman" w:eastAsia="Times New Roman" w:hAnsi="Times New Roman" w:cs="Times New Roman"/>
          <w:sz w:val="24"/>
          <w:szCs w:val="24"/>
          <w:vertAlign w:val="superscript"/>
        </w:rPr>
        <w:footnoteReference w:id="15"/>
      </w:r>
      <w:r w:rsidRPr="00A87019">
        <w:rPr>
          <w:rFonts w:ascii="Times New Roman" w:eastAsia="Times New Roman" w:hAnsi="Times New Roman" w:cs="Times New Roman"/>
          <w:sz w:val="24"/>
          <w:szCs w:val="24"/>
        </w:rPr>
        <w:t xml:space="preserve"> </w:t>
      </w:r>
    </w:p>
    <w:p w:rsidR="002D0081" w:rsidRPr="00A87019" w:rsidP="002D0081" w14:paraId="40139643" w14:textId="64EE4A45">
      <w:pPr>
        <w:numPr>
          <w:ilvl w:val="0"/>
          <w:numId w:val="9"/>
        </w:numPr>
        <w:spacing w:before="2"/>
        <w:rPr>
          <w:rFonts w:ascii="Times New Roman" w:eastAsia="Times New Roman" w:hAnsi="Times New Roman" w:cs="Times New Roman"/>
          <w:sz w:val="24"/>
          <w:szCs w:val="24"/>
        </w:rPr>
      </w:pPr>
      <w:r w:rsidRPr="00A87019">
        <w:rPr>
          <w:rFonts w:ascii="Times New Roman" w:eastAsia="Times New Roman" w:hAnsi="Times New Roman" w:cs="Times New Roman"/>
          <w:sz w:val="24"/>
          <w:szCs w:val="24"/>
        </w:rPr>
        <w:t xml:space="preserve">stocks received or shipped by </w:t>
      </w:r>
      <w:r w:rsidRPr="00A87019" w:rsidR="00DE5BE8">
        <w:rPr>
          <w:rFonts w:ascii="Times New Roman" w:eastAsia="Times New Roman" w:hAnsi="Times New Roman" w:cs="Times New Roman"/>
          <w:sz w:val="24"/>
          <w:szCs w:val="24"/>
        </w:rPr>
        <w:t xml:space="preserve">a </w:t>
      </w:r>
      <w:r w:rsidRPr="00A87019">
        <w:rPr>
          <w:rFonts w:ascii="Times New Roman" w:eastAsia="Times New Roman" w:hAnsi="Times New Roman" w:cs="Times New Roman"/>
          <w:sz w:val="24"/>
          <w:szCs w:val="24"/>
        </w:rPr>
        <w:t>respondent financial institution, including the following information: name of corporation; type of stock; certificate number; number of shares; date of certificate; name of registered holder; and amount of transaction;</w:t>
      </w:r>
      <w:r>
        <w:rPr>
          <w:rFonts w:ascii="Times New Roman" w:eastAsia="Times New Roman" w:hAnsi="Times New Roman" w:cs="Times New Roman"/>
          <w:sz w:val="24"/>
          <w:szCs w:val="24"/>
          <w:vertAlign w:val="superscript"/>
        </w:rPr>
        <w:footnoteReference w:id="16"/>
      </w:r>
    </w:p>
    <w:p w:rsidR="002D0081" w:rsidRPr="00A87019" w:rsidP="002D0081" w14:paraId="4A785A17" w14:textId="66867ADD">
      <w:pPr>
        <w:numPr>
          <w:ilvl w:val="0"/>
          <w:numId w:val="9"/>
        </w:numPr>
        <w:spacing w:before="2"/>
        <w:rPr>
          <w:rFonts w:ascii="Times New Roman" w:eastAsia="Times New Roman" w:hAnsi="Times New Roman" w:cs="Times New Roman"/>
          <w:sz w:val="24"/>
          <w:szCs w:val="24"/>
        </w:rPr>
      </w:pPr>
      <w:r w:rsidRPr="00A87019">
        <w:rPr>
          <w:rFonts w:ascii="Times New Roman" w:eastAsia="Times New Roman" w:hAnsi="Times New Roman" w:cs="Times New Roman"/>
          <w:sz w:val="24"/>
          <w:szCs w:val="24"/>
        </w:rPr>
        <w:t xml:space="preserve">bonds received or shipped by </w:t>
      </w:r>
      <w:r w:rsidRPr="00A87019" w:rsidR="006D33A0">
        <w:rPr>
          <w:rFonts w:ascii="Times New Roman" w:eastAsia="Times New Roman" w:hAnsi="Times New Roman" w:cs="Times New Roman"/>
          <w:sz w:val="24"/>
          <w:szCs w:val="24"/>
        </w:rPr>
        <w:t xml:space="preserve">a </w:t>
      </w:r>
      <w:r w:rsidRPr="00A87019">
        <w:rPr>
          <w:rFonts w:ascii="Times New Roman" w:eastAsia="Times New Roman" w:hAnsi="Times New Roman" w:cs="Times New Roman"/>
          <w:sz w:val="24"/>
          <w:szCs w:val="24"/>
        </w:rPr>
        <w:t>respondent financial institution, including the following information: name of issuer; bond number; type of bond series; date issued; due date; rate of interest; amount of transaction; and name of registered holder;</w:t>
      </w:r>
      <w:r>
        <w:rPr>
          <w:rFonts w:ascii="Times New Roman" w:eastAsia="Times New Roman" w:hAnsi="Times New Roman" w:cs="Times New Roman"/>
          <w:sz w:val="24"/>
          <w:szCs w:val="24"/>
          <w:vertAlign w:val="superscript"/>
        </w:rPr>
        <w:footnoteReference w:id="17"/>
      </w:r>
    </w:p>
    <w:p w:rsidR="002D0081" w:rsidRPr="00A87019" w:rsidP="002D0081" w14:paraId="0624F55B" w14:textId="7E6E5154">
      <w:pPr>
        <w:numPr>
          <w:ilvl w:val="0"/>
          <w:numId w:val="10"/>
        </w:numPr>
        <w:spacing w:before="2"/>
        <w:rPr>
          <w:rFonts w:ascii="Times New Roman" w:eastAsia="Times New Roman" w:hAnsi="Times New Roman" w:cs="Times New Roman"/>
          <w:sz w:val="24"/>
          <w:szCs w:val="24"/>
        </w:rPr>
      </w:pPr>
      <w:r w:rsidRPr="00A87019">
        <w:rPr>
          <w:rFonts w:ascii="Times New Roman" w:eastAsia="Times New Roman" w:hAnsi="Times New Roman" w:cs="Times New Roman"/>
          <w:sz w:val="24"/>
          <w:szCs w:val="24"/>
        </w:rPr>
        <w:t xml:space="preserve">certificates of deposit received or shipped by </w:t>
      </w:r>
      <w:r w:rsidRPr="00A87019" w:rsidR="006D33A0">
        <w:rPr>
          <w:rFonts w:ascii="Times New Roman" w:eastAsia="Times New Roman" w:hAnsi="Times New Roman" w:cs="Times New Roman"/>
          <w:sz w:val="24"/>
          <w:szCs w:val="24"/>
        </w:rPr>
        <w:t xml:space="preserve">a </w:t>
      </w:r>
      <w:r w:rsidRPr="00A87019">
        <w:rPr>
          <w:rFonts w:ascii="Times New Roman" w:eastAsia="Times New Roman" w:hAnsi="Times New Roman" w:cs="Times New Roman"/>
          <w:sz w:val="24"/>
          <w:szCs w:val="24"/>
        </w:rPr>
        <w:t>respondent financial institution, including the following information: name and address of issuer; date issued; dollar amount; name of registered holder; due date; rate of interest; certificate number; and name and address of issuing agent.</w:t>
      </w:r>
      <w:r>
        <w:rPr>
          <w:rFonts w:ascii="Times New Roman" w:eastAsia="Times New Roman" w:hAnsi="Times New Roman" w:cs="Times New Roman"/>
          <w:sz w:val="24"/>
          <w:szCs w:val="24"/>
          <w:vertAlign w:val="superscript"/>
        </w:rPr>
        <w:footnoteReference w:id="18"/>
      </w:r>
      <w:r w:rsidRPr="00A87019">
        <w:rPr>
          <w:rFonts w:ascii="Times New Roman" w:eastAsia="Times New Roman" w:hAnsi="Times New Roman" w:cs="Times New Roman"/>
          <w:sz w:val="24"/>
          <w:szCs w:val="24"/>
        </w:rPr>
        <w:t xml:space="preserve">  </w:t>
      </w:r>
    </w:p>
    <w:p w:rsidR="002D0081" w:rsidRPr="00A87019" w:rsidP="002D0081" w14:paraId="3496079E" w14:textId="77777777">
      <w:pPr>
        <w:spacing w:before="2"/>
        <w:ind w:firstLine="720"/>
        <w:rPr>
          <w:rFonts w:ascii="Times New Roman" w:eastAsia="Times New Roman" w:hAnsi="Times New Roman" w:cs="Times New Roman"/>
          <w:sz w:val="24"/>
          <w:szCs w:val="24"/>
        </w:rPr>
      </w:pPr>
    </w:p>
    <w:p w:rsidR="002D0081" w:rsidRPr="00A87019" w:rsidP="002D0081" w14:paraId="52E56518" w14:textId="60E93AC3">
      <w:pPr>
        <w:spacing w:before="2"/>
        <w:ind w:firstLine="720"/>
        <w:rPr>
          <w:rFonts w:ascii="Times New Roman" w:eastAsia="Times New Roman" w:hAnsi="Times New Roman" w:cs="Times New Roman"/>
          <w:sz w:val="24"/>
          <w:szCs w:val="24"/>
        </w:rPr>
      </w:pPr>
      <w:r w:rsidRPr="00A87019">
        <w:rPr>
          <w:rFonts w:ascii="Times New Roman" w:eastAsia="Times New Roman" w:hAnsi="Times New Roman" w:cs="Times New Roman"/>
          <w:sz w:val="24"/>
          <w:szCs w:val="24"/>
        </w:rPr>
        <w:t xml:space="preserve">In issuing FFA Regulations, the Secretary must prescribe: a reasonable classification of </w:t>
      </w:r>
      <w:r w:rsidRPr="00A87019" w:rsidR="003C51C3">
        <w:rPr>
          <w:rFonts w:ascii="Times New Roman" w:eastAsia="Times New Roman" w:hAnsi="Times New Roman" w:cs="Times New Roman"/>
          <w:sz w:val="24"/>
          <w:szCs w:val="24"/>
        </w:rPr>
        <w:t xml:space="preserve">covered </w:t>
      </w:r>
      <w:r w:rsidRPr="00A87019">
        <w:rPr>
          <w:rFonts w:ascii="Times New Roman" w:eastAsia="Times New Roman" w:hAnsi="Times New Roman" w:cs="Times New Roman"/>
          <w:sz w:val="24"/>
          <w:szCs w:val="24"/>
        </w:rPr>
        <w:t>financial institutions subject to or exempt from a reporting requirement; a foreign country to which a reporting requirement applies if the Secretary decides that applying the requirement to all foreign countries is unnecessary or undesirable; the magnitude of transactions subject to a reporting requirement; and the kind of transaction subject to or exempt from a reporting requirement.</w:t>
      </w:r>
      <w:r>
        <w:rPr>
          <w:rFonts w:ascii="Times New Roman" w:eastAsia="Times New Roman" w:hAnsi="Times New Roman" w:cs="Times New Roman"/>
          <w:sz w:val="24"/>
          <w:szCs w:val="24"/>
          <w:vertAlign w:val="superscript"/>
        </w:rPr>
        <w:footnoteReference w:id="19"/>
      </w:r>
      <w:r w:rsidRPr="00A87019">
        <w:rPr>
          <w:rFonts w:ascii="Times New Roman" w:eastAsia="Times New Roman" w:hAnsi="Times New Roman" w:cs="Times New Roman"/>
          <w:sz w:val="24"/>
          <w:szCs w:val="24"/>
        </w:rPr>
        <w:t xml:space="preserve">  </w:t>
      </w:r>
    </w:p>
    <w:p w:rsidR="002D0081" w:rsidRPr="00A87019" w:rsidP="002D0081" w14:paraId="3B18034C" w14:textId="77777777">
      <w:pPr>
        <w:spacing w:before="2"/>
        <w:ind w:firstLine="720"/>
        <w:rPr>
          <w:rFonts w:ascii="Times New Roman" w:eastAsia="Times New Roman" w:hAnsi="Times New Roman" w:cs="Times New Roman"/>
          <w:sz w:val="24"/>
          <w:szCs w:val="24"/>
        </w:rPr>
      </w:pPr>
    </w:p>
    <w:p w:rsidR="002D0081" w:rsidRPr="00A87019" w:rsidP="002D0081" w14:paraId="45643D09" w14:textId="579396F4">
      <w:pPr>
        <w:spacing w:before="2"/>
        <w:ind w:firstLine="720"/>
        <w:rPr>
          <w:rFonts w:ascii="Times New Roman" w:eastAsia="Times New Roman" w:hAnsi="Times New Roman" w:cs="Times New Roman"/>
          <w:sz w:val="24"/>
          <w:szCs w:val="24"/>
        </w:rPr>
      </w:pPr>
      <w:r w:rsidRPr="00A87019">
        <w:rPr>
          <w:rFonts w:ascii="Times New Roman" w:eastAsia="Times New Roman" w:hAnsi="Times New Roman" w:cs="Times New Roman"/>
          <w:sz w:val="24"/>
          <w:szCs w:val="24"/>
        </w:rPr>
        <w:t xml:space="preserve">FFA Regulations may prescribe the </w:t>
      </w:r>
      <w:r w:rsidRPr="00A87019">
        <w:rPr>
          <w:rFonts w:ascii="Times New Roman" w:eastAsia="Times New Roman" w:hAnsi="Times New Roman" w:cs="Times New Roman"/>
          <w:sz w:val="24"/>
          <w:szCs w:val="24"/>
        </w:rPr>
        <w:t>manner in which</w:t>
      </w:r>
      <w:r w:rsidRPr="00A87019">
        <w:rPr>
          <w:rFonts w:ascii="Times New Roman" w:eastAsia="Times New Roman" w:hAnsi="Times New Roman" w:cs="Times New Roman"/>
          <w:sz w:val="24"/>
          <w:szCs w:val="24"/>
        </w:rPr>
        <w:t xml:space="preserve"> the information is to be reported.  However, the Secretary may authorize a </w:t>
      </w:r>
      <w:r w:rsidRPr="00A87019" w:rsidR="00765EB1">
        <w:rPr>
          <w:rFonts w:ascii="Times New Roman" w:eastAsia="Times New Roman" w:hAnsi="Times New Roman" w:cs="Times New Roman"/>
          <w:sz w:val="24"/>
          <w:szCs w:val="24"/>
        </w:rPr>
        <w:t xml:space="preserve">covered </w:t>
      </w:r>
      <w:r w:rsidRPr="00A87019">
        <w:rPr>
          <w:rFonts w:ascii="Times New Roman" w:eastAsia="Times New Roman" w:hAnsi="Times New Roman" w:cs="Times New Roman"/>
          <w:sz w:val="24"/>
          <w:szCs w:val="24"/>
        </w:rPr>
        <w:t xml:space="preserve">financial institution to report in a different manner if the </w:t>
      </w:r>
      <w:r w:rsidRPr="00A87019" w:rsidR="00765EB1">
        <w:rPr>
          <w:rFonts w:ascii="Times New Roman" w:eastAsia="Times New Roman" w:hAnsi="Times New Roman" w:cs="Times New Roman"/>
          <w:sz w:val="24"/>
          <w:szCs w:val="24"/>
        </w:rPr>
        <w:t xml:space="preserve">covered </w:t>
      </w:r>
      <w:r w:rsidRPr="00A87019" w:rsidR="005155ED">
        <w:rPr>
          <w:rFonts w:ascii="Times New Roman" w:eastAsia="Times New Roman" w:hAnsi="Times New Roman" w:cs="Times New Roman"/>
          <w:sz w:val="24"/>
          <w:szCs w:val="24"/>
        </w:rPr>
        <w:t xml:space="preserve">financial </w:t>
      </w:r>
      <w:r w:rsidRPr="00A87019">
        <w:rPr>
          <w:rFonts w:ascii="Times New Roman" w:eastAsia="Times New Roman" w:hAnsi="Times New Roman" w:cs="Times New Roman"/>
          <w:sz w:val="24"/>
          <w:szCs w:val="24"/>
        </w:rPr>
        <w:t xml:space="preserve">institution demonstrates to the Secretary that the form of the required report is unnecessarily burdensome on the </w:t>
      </w:r>
      <w:r w:rsidRPr="00A87019" w:rsidR="00765EB1">
        <w:rPr>
          <w:rFonts w:ascii="Times New Roman" w:eastAsia="Times New Roman" w:hAnsi="Times New Roman" w:cs="Times New Roman"/>
          <w:sz w:val="24"/>
          <w:szCs w:val="24"/>
        </w:rPr>
        <w:t xml:space="preserve">covered </w:t>
      </w:r>
      <w:r w:rsidRPr="00A87019" w:rsidR="005155ED">
        <w:rPr>
          <w:rFonts w:ascii="Times New Roman" w:eastAsia="Times New Roman" w:hAnsi="Times New Roman" w:cs="Times New Roman"/>
          <w:sz w:val="24"/>
          <w:szCs w:val="24"/>
        </w:rPr>
        <w:t xml:space="preserve">financial </w:t>
      </w:r>
      <w:r w:rsidRPr="00A87019">
        <w:rPr>
          <w:rFonts w:ascii="Times New Roman" w:eastAsia="Times New Roman" w:hAnsi="Times New Roman" w:cs="Times New Roman"/>
          <w:sz w:val="24"/>
          <w:szCs w:val="24"/>
        </w:rPr>
        <w:t>institution as prescribed; that a report in a different form will provide all the information the Secretary deems necessary; and that submission of the information in a different manner will not unduly hinder the effective administration of 31 CFR chapter X.</w:t>
      </w:r>
      <w:r>
        <w:rPr>
          <w:rFonts w:ascii="Times New Roman" w:eastAsia="Times New Roman" w:hAnsi="Times New Roman" w:cs="Times New Roman"/>
          <w:sz w:val="24"/>
          <w:szCs w:val="24"/>
          <w:vertAlign w:val="superscript"/>
        </w:rPr>
        <w:footnoteReference w:id="20"/>
      </w:r>
    </w:p>
    <w:p w:rsidR="002D0081" w:rsidRPr="00A87019" w:rsidP="002D0081" w14:paraId="2B26EFC7" w14:textId="77777777">
      <w:pPr>
        <w:spacing w:before="2"/>
        <w:ind w:firstLine="720"/>
        <w:rPr>
          <w:rFonts w:ascii="Times New Roman" w:eastAsia="Times New Roman" w:hAnsi="Times New Roman" w:cs="Times New Roman"/>
          <w:sz w:val="24"/>
          <w:szCs w:val="24"/>
        </w:rPr>
      </w:pPr>
    </w:p>
    <w:p w:rsidR="002D0081" w:rsidRPr="00A87019" w:rsidP="002D0081" w14:paraId="31864AA7" w14:textId="069232D3">
      <w:pPr>
        <w:spacing w:before="2"/>
        <w:ind w:firstLine="720"/>
        <w:rPr>
          <w:rFonts w:ascii="Times New Roman" w:eastAsia="Times New Roman" w:hAnsi="Times New Roman" w:cs="Times New Roman"/>
          <w:sz w:val="24"/>
          <w:szCs w:val="24"/>
        </w:rPr>
      </w:pPr>
      <w:r w:rsidRPr="00A87019">
        <w:rPr>
          <w:rFonts w:ascii="Times New Roman" w:eastAsia="Times New Roman" w:hAnsi="Times New Roman" w:cs="Times New Roman"/>
          <w:sz w:val="24"/>
          <w:szCs w:val="24"/>
        </w:rPr>
        <w:t>Pursuant to 31 CFR 1010.360(e), the Secretary: (</w:t>
      </w:r>
      <w:r w:rsidRPr="00A87019">
        <w:rPr>
          <w:rFonts w:ascii="Times New Roman" w:eastAsia="Times New Roman" w:hAnsi="Times New Roman" w:cs="Times New Roman"/>
          <w:sz w:val="24"/>
          <w:szCs w:val="24"/>
        </w:rPr>
        <w:t>i</w:t>
      </w:r>
      <w:r w:rsidRPr="00A87019">
        <w:rPr>
          <w:rFonts w:ascii="Times New Roman" w:eastAsia="Times New Roman" w:hAnsi="Times New Roman" w:cs="Times New Roman"/>
          <w:sz w:val="24"/>
          <w:szCs w:val="24"/>
        </w:rPr>
        <w:t>) in issuing FFA Regulations must consider the need to avoid impeding or controlling the export or import of monetary instruments and the need to avoid burdening unreasonably a person making a transaction with a designated FFA; (ii) must not issue an FFA Regulation for the purpose of obtaining individually identifiable account information concerning a customer, as defined by the Right to Financial Privacy Act,</w:t>
      </w:r>
      <w:r>
        <w:rPr>
          <w:rFonts w:ascii="Times New Roman" w:eastAsia="Times New Roman" w:hAnsi="Times New Roman" w:cs="Times New Roman"/>
          <w:sz w:val="24"/>
          <w:szCs w:val="24"/>
          <w:vertAlign w:val="superscript"/>
        </w:rPr>
        <w:footnoteReference w:id="21"/>
      </w:r>
      <w:r w:rsidRPr="00A87019">
        <w:rPr>
          <w:rFonts w:ascii="Times New Roman" w:eastAsia="Times New Roman" w:hAnsi="Times New Roman" w:cs="Times New Roman"/>
          <w:sz w:val="24"/>
          <w:szCs w:val="24"/>
        </w:rPr>
        <w:t xml:space="preserve"> where that customer is already the subject of an ongoing investigation for possible violation of the BSA, or is known by the Secretary to be the subject of an investigation for possible violation of any other Federal law; and (iii)</w:t>
      </w:r>
      <w:r w:rsidRPr="00A87019" w:rsidR="005155ED">
        <w:rPr>
          <w:rFonts w:ascii="Times New Roman" w:eastAsia="Times New Roman" w:hAnsi="Times New Roman" w:cs="Times New Roman"/>
          <w:sz w:val="24"/>
          <w:szCs w:val="24"/>
        </w:rPr>
        <w:t xml:space="preserve"> </w:t>
      </w:r>
      <w:r w:rsidRPr="00A87019">
        <w:rPr>
          <w:rFonts w:ascii="Times New Roman" w:eastAsia="Times New Roman" w:hAnsi="Times New Roman" w:cs="Times New Roman"/>
          <w:sz w:val="24"/>
          <w:szCs w:val="24"/>
        </w:rPr>
        <w:t xml:space="preserve">may issue an FFA Regulation requiring a financial institution to report transactions completed prior to the date it received notice of the reporting requirement.  However, with respect to completed transactions, a </w:t>
      </w:r>
      <w:r w:rsidRPr="00A87019" w:rsidR="00765EB1">
        <w:rPr>
          <w:rFonts w:ascii="Times New Roman" w:eastAsia="Times New Roman" w:hAnsi="Times New Roman" w:cs="Times New Roman"/>
          <w:sz w:val="24"/>
          <w:szCs w:val="24"/>
        </w:rPr>
        <w:t xml:space="preserve">covered </w:t>
      </w:r>
      <w:r w:rsidRPr="00A87019">
        <w:rPr>
          <w:rFonts w:ascii="Times New Roman" w:eastAsia="Times New Roman" w:hAnsi="Times New Roman" w:cs="Times New Roman"/>
          <w:sz w:val="24"/>
          <w:szCs w:val="24"/>
        </w:rPr>
        <w:t>financial institution may be required to provide information only from records required to be maintained pursuant to the requirements of 31 CFR chapter X, or any other provision of state or Federal law, or otherwise maintained in the regular course of business.</w:t>
      </w:r>
      <w:r>
        <w:rPr>
          <w:rFonts w:ascii="Times New Roman" w:eastAsia="Times New Roman" w:hAnsi="Times New Roman" w:cs="Times New Roman"/>
          <w:sz w:val="24"/>
          <w:szCs w:val="24"/>
          <w:vertAlign w:val="superscript"/>
        </w:rPr>
        <w:footnoteReference w:id="22"/>
      </w:r>
      <w:r w:rsidRPr="00A87019">
        <w:rPr>
          <w:rFonts w:ascii="Times New Roman" w:eastAsia="Times New Roman" w:hAnsi="Times New Roman" w:cs="Times New Roman"/>
          <w:sz w:val="24"/>
          <w:szCs w:val="24"/>
        </w:rPr>
        <w:t xml:space="preserve">  All records that are required to be retained by </w:t>
      </w:r>
      <w:r w:rsidRPr="00A87019" w:rsidR="00984FB9">
        <w:rPr>
          <w:rFonts w:ascii="Times New Roman" w:eastAsia="Times New Roman" w:hAnsi="Times New Roman" w:cs="Times New Roman"/>
          <w:sz w:val="24"/>
          <w:szCs w:val="24"/>
        </w:rPr>
        <w:t xml:space="preserve">31 CFR </w:t>
      </w:r>
      <w:r w:rsidRPr="00A87019">
        <w:rPr>
          <w:rFonts w:ascii="Times New Roman" w:eastAsia="Times New Roman" w:hAnsi="Times New Roman" w:cs="Times New Roman"/>
          <w:sz w:val="24"/>
          <w:szCs w:val="24"/>
        </w:rPr>
        <w:t>chapter X shall be retained for a period of five years, including those records required to be created under 31 CFR 1010.360.</w:t>
      </w:r>
      <w:r>
        <w:rPr>
          <w:rFonts w:ascii="Times New Roman" w:eastAsia="Times New Roman" w:hAnsi="Times New Roman" w:cs="Times New Roman"/>
          <w:sz w:val="24"/>
          <w:szCs w:val="24"/>
          <w:vertAlign w:val="superscript"/>
        </w:rPr>
        <w:footnoteReference w:id="23"/>
      </w:r>
    </w:p>
    <w:p w:rsidR="00D369F6" w:rsidRPr="00A87019" w:rsidP="00DA4035" w14:paraId="6470BCB2" w14:textId="77777777">
      <w:pPr>
        <w:rPr>
          <w:rFonts w:ascii="Times New Roman" w:eastAsia="Times New Roman" w:hAnsi="Times New Roman" w:cs="Times New Roman"/>
          <w:sz w:val="24"/>
          <w:szCs w:val="24"/>
        </w:rPr>
      </w:pPr>
    </w:p>
    <w:p w:rsidR="00D17D57" w:rsidRPr="00A87019" w:rsidP="00C17F05" w14:paraId="715B4AE9" w14:textId="0BBBFE61">
      <w:pPr>
        <w:pStyle w:val="BodyText"/>
        <w:tabs>
          <w:tab w:val="left" w:pos="404"/>
        </w:tabs>
        <w:ind w:left="0"/>
        <w:rPr>
          <w:rFonts w:cs="Times New Roman"/>
          <w:sz w:val="24"/>
          <w:szCs w:val="24"/>
          <w:u w:val="single"/>
        </w:rPr>
      </w:pPr>
      <w:r w:rsidRPr="00A87019">
        <w:rPr>
          <w:rFonts w:cs="Times New Roman"/>
          <w:sz w:val="24"/>
          <w:szCs w:val="24"/>
        </w:rPr>
        <w:t xml:space="preserve">2. </w:t>
      </w:r>
      <w:r w:rsidRPr="00A87019" w:rsidR="00046F42">
        <w:rPr>
          <w:rFonts w:cs="Times New Roman"/>
          <w:bCs/>
          <w:sz w:val="24"/>
          <w:szCs w:val="24"/>
          <w:u w:val="single"/>
        </w:rPr>
        <w:t>Method of collection and use of data.</w:t>
      </w:r>
    </w:p>
    <w:p w:rsidR="00D17D57" w:rsidRPr="00A87019" w:rsidP="00DA4035" w14:paraId="5655C79A" w14:textId="77777777">
      <w:pPr>
        <w:spacing w:before="7"/>
        <w:rPr>
          <w:rFonts w:ascii="Times New Roman" w:eastAsia="Times New Roman" w:hAnsi="Times New Roman" w:cs="Times New Roman"/>
          <w:sz w:val="24"/>
          <w:szCs w:val="24"/>
        </w:rPr>
      </w:pPr>
    </w:p>
    <w:p w:rsidR="00A9543F" w:rsidRPr="00A87019" w:rsidP="00743A4B" w14:paraId="1A145CD5" w14:textId="2F3D7590">
      <w:pPr>
        <w:pStyle w:val="BodyText"/>
        <w:ind w:left="0" w:firstLine="720"/>
        <w:rPr>
          <w:rFonts w:cs="Times New Roman"/>
          <w:sz w:val="24"/>
          <w:szCs w:val="24"/>
        </w:rPr>
      </w:pPr>
      <w:r w:rsidRPr="00A87019">
        <w:rPr>
          <w:rFonts w:cs="Times New Roman"/>
          <w:sz w:val="24"/>
          <w:szCs w:val="24"/>
        </w:rPr>
        <w:t xml:space="preserve">As noted </w:t>
      </w:r>
      <w:r w:rsidRPr="00A87019" w:rsidR="00A75DE2">
        <w:rPr>
          <w:rFonts w:cs="Times New Roman"/>
          <w:sz w:val="24"/>
          <w:szCs w:val="24"/>
        </w:rPr>
        <w:t>in Section 1</w:t>
      </w:r>
      <w:r w:rsidRPr="00A87019">
        <w:rPr>
          <w:rFonts w:cs="Times New Roman"/>
          <w:sz w:val="24"/>
          <w:szCs w:val="24"/>
        </w:rPr>
        <w:t xml:space="preserve">, </w:t>
      </w:r>
      <w:r w:rsidRPr="00A87019" w:rsidR="00C54190">
        <w:rPr>
          <w:rFonts w:cs="Times New Roman"/>
          <w:sz w:val="24"/>
          <w:szCs w:val="24"/>
        </w:rPr>
        <w:t xml:space="preserve">under </w:t>
      </w:r>
      <w:r w:rsidRPr="00A87019" w:rsidR="009E1752">
        <w:rPr>
          <w:rFonts w:cs="Times New Roman"/>
          <w:sz w:val="24"/>
          <w:szCs w:val="24"/>
        </w:rPr>
        <w:t>the relevant</w:t>
      </w:r>
      <w:r w:rsidRPr="00A87019" w:rsidR="00C54190">
        <w:rPr>
          <w:rFonts w:cs="Times New Roman"/>
          <w:sz w:val="24"/>
          <w:szCs w:val="24"/>
        </w:rPr>
        <w:t xml:space="preserve"> statutory and regulatory authorities, </w:t>
      </w:r>
      <w:r w:rsidRPr="00A87019" w:rsidR="00761A53">
        <w:rPr>
          <w:rFonts w:cs="Times New Roman"/>
          <w:sz w:val="24"/>
          <w:szCs w:val="24"/>
        </w:rPr>
        <w:t xml:space="preserve">FinCEN </w:t>
      </w:r>
      <w:r w:rsidRPr="00A87019" w:rsidR="00C96937">
        <w:rPr>
          <w:rFonts w:cs="Times New Roman"/>
          <w:sz w:val="24"/>
          <w:szCs w:val="24"/>
        </w:rPr>
        <w:t>may</w:t>
      </w:r>
      <w:r w:rsidRPr="00A87019" w:rsidR="00761A53">
        <w:rPr>
          <w:rFonts w:cs="Times New Roman"/>
          <w:sz w:val="24"/>
          <w:szCs w:val="24"/>
        </w:rPr>
        <w:t xml:space="preserve"> specify the form and method for reporting and typically provides a reporting schedule to each </w:t>
      </w:r>
      <w:r w:rsidRPr="00A87019" w:rsidR="00765EB1">
        <w:rPr>
          <w:rFonts w:cs="Times New Roman"/>
          <w:sz w:val="24"/>
          <w:szCs w:val="24"/>
        </w:rPr>
        <w:t xml:space="preserve">covered </w:t>
      </w:r>
      <w:r w:rsidRPr="00A87019" w:rsidR="00761A53">
        <w:rPr>
          <w:rFonts w:cs="Times New Roman"/>
          <w:sz w:val="24"/>
          <w:szCs w:val="24"/>
        </w:rPr>
        <w:t xml:space="preserve">financial institution.  </w:t>
      </w:r>
      <w:r w:rsidRPr="00A87019" w:rsidR="00C54190">
        <w:rPr>
          <w:rFonts w:cs="Times New Roman"/>
          <w:sz w:val="24"/>
          <w:szCs w:val="24"/>
        </w:rPr>
        <w:t xml:space="preserve">With respect to reportable transactions, FinCEN collects the required information electronically.  </w:t>
      </w:r>
      <w:r w:rsidRPr="00A87019" w:rsidR="00761A53">
        <w:rPr>
          <w:rFonts w:cs="Times New Roman"/>
          <w:sz w:val="24"/>
          <w:szCs w:val="24"/>
        </w:rPr>
        <w:t xml:space="preserve">If </w:t>
      </w:r>
      <w:r w:rsidRPr="00A87019" w:rsidR="006853A2">
        <w:rPr>
          <w:rFonts w:cs="Times New Roman"/>
          <w:sz w:val="24"/>
          <w:szCs w:val="24"/>
        </w:rPr>
        <w:t xml:space="preserve">a </w:t>
      </w:r>
      <w:r w:rsidRPr="00A87019" w:rsidR="00765EB1">
        <w:rPr>
          <w:rFonts w:cs="Times New Roman"/>
          <w:sz w:val="24"/>
          <w:szCs w:val="24"/>
        </w:rPr>
        <w:t xml:space="preserve">covered </w:t>
      </w:r>
      <w:r w:rsidRPr="00A87019" w:rsidR="00761A53">
        <w:rPr>
          <w:rFonts w:cs="Times New Roman"/>
          <w:sz w:val="24"/>
          <w:szCs w:val="24"/>
        </w:rPr>
        <w:t xml:space="preserve">financial institution does not have any reportable transactions, </w:t>
      </w:r>
      <w:r w:rsidRPr="00A87019" w:rsidR="006853A2">
        <w:rPr>
          <w:rFonts w:cs="Times New Roman"/>
          <w:sz w:val="24"/>
          <w:szCs w:val="24"/>
        </w:rPr>
        <w:t xml:space="preserve">a </w:t>
      </w:r>
      <w:r w:rsidRPr="00A87019" w:rsidR="00765EB1">
        <w:rPr>
          <w:rFonts w:cs="Times New Roman"/>
          <w:sz w:val="24"/>
          <w:szCs w:val="24"/>
        </w:rPr>
        <w:t>covered financial institution</w:t>
      </w:r>
      <w:r w:rsidRPr="00A87019" w:rsidR="006853A2">
        <w:rPr>
          <w:rFonts w:cs="Times New Roman"/>
          <w:sz w:val="24"/>
          <w:szCs w:val="24"/>
        </w:rPr>
        <w:t xml:space="preserve"> </w:t>
      </w:r>
      <w:r w:rsidRPr="00A87019" w:rsidR="00C54190">
        <w:rPr>
          <w:rFonts w:cs="Times New Roman"/>
          <w:sz w:val="24"/>
          <w:szCs w:val="24"/>
        </w:rPr>
        <w:t xml:space="preserve">is still </w:t>
      </w:r>
      <w:r w:rsidRPr="00A87019" w:rsidR="006853A2">
        <w:rPr>
          <w:rFonts w:cs="Times New Roman"/>
          <w:sz w:val="24"/>
          <w:szCs w:val="24"/>
        </w:rPr>
        <w:t xml:space="preserve">required to </w:t>
      </w:r>
      <w:r w:rsidRPr="00A87019" w:rsidR="00765EB1">
        <w:rPr>
          <w:rFonts w:cs="Times New Roman"/>
          <w:sz w:val="24"/>
          <w:szCs w:val="24"/>
        </w:rPr>
        <w:t xml:space="preserve">report the lack of any reportable transactions to </w:t>
      </w:r>
      <w:r w:rsidRPr="00A87019" w:rsidR="00761A53">
        <w:rPr>
          <w:rFonts w:cs="Times New Roman"/>
          <w:sz w:val="24"/>
          <w:szCs w:val="24"/>
        </w:rPr>
        <w:t xml:space="preserve">FinCEN. </w:t>
      </w:r>
      <w:r w:rsidRPr="00A87019" w:rsidR="00CE3613">
        <w:rPr>
          <w:rFonts w:cs="Times New Roman"/>
          <w:sz w:val="24"/>
          <w:szCs w:val="24"/>
        </w:rPr>
        <w:t xml:space="preserve"> </w:t>
      </w:r>
    </w:p>
    <w:p w:rsidR="00667513" w:rsidRPr="00A87019" w:rsidP="008415CE" w14:paraId="083CDB0F" w14:textId="77777777">
      <w:pPr>
        <w:pStyle w:val="BodyText"/>
        <w:ind w:left="0"/>
        <w:rPr>
          <w:rFonts w:cs="Times New Roman"/>
          <w:sz w:val="24"/>
          <w:szCs w:val="24"/>
        </w:rPr>
      </w:pPr>
    </w:p>
    <w:p w:rsidR="00850719" w:rsidRPr="00A87019" w:rsidP="006B6FEE" w14:paraId="146771D0" w14:textId="2E62DD53">
      <w:pPr>
        <w:pStyle w:val="BodyText"/>
        <w:ind w:left="0" w:firstLine="720"/>
        <w:rPr>
          <w:rFonts w:cs="Times New Roman"/>
          <w:sz w:val="24"/>
          <w:szCs w:val="24"/>
        </w:rPr>
      </w:pPr>
      <w:r w:rsidRPr="00A87019">
        <w:rPr>
          <w:rFonts w:eastAsia="MS Mincho" w:cs="Times New Roman"/>
          <w:sz w:val="24"/>
          <w:szCs w:val="24"/>
        </w:rPr>
        <w:t>The information collected</w:t>
      </w:r>
      <w:r w:rsidRPr="00A87019" w:rsidR="00EB3251">
        <w:rPr>
          <w:rFonts w:eastAsia="MS Mincho" w:cs="Times New Roman"/>
          <w:sz w:val="24"/>
          <w:szCs w:val="24"/>
        </w:rPr>
        <w:t xml:space="preserve"> may be used for purposes consistent with the BSA</w:t>
      </w:r>
      <w:r>
        <w:rPr>
          <w:rStyle w:val="FootnoteReference"/>
          <w:rFonts w:eastAsia="MS Mincho" w:cs="Times New Roman"/>
          <w:sz w:val="24"/>
          <w:szCs w:val="24"/>
        </w:rPr>
        <w:footnoteReference w:id="24"/>
      </w:r>
      <w:r w:rsidRPr="00A87019" w:rsidR="00EB3251">
        <w:rPr>
          <w:rFonts w:eastAsia="MS Mincho" w:cs="Times New Roman"/>
          <w:sz w:val="24"/>
          <w:szCs w:val="24"/>
        </w:rPr>
        <w:t xml:space="preserve"> including such purposes as</w:t>
      </w:r>
      <w:r w:rsidRPr="00A87019">
        <w:rPr>
          <w:rFonts w:eastAsia="MS Mincho" w:cs="Times New Roman"/>
          <w:sz w:val="24"/>
          <w:szCs w:val="24"/>
        </w:rPr>
        <w:t xml:space="preserve"> assist</w:t>
      </w:r>
      <w:r w:rsidRPr="00A87019" w:rsidR="00EB3251">
        <w:rPr>
          <w:rFonts w:eastAsia="MS Mincho" w:cs="Times New Roman"/>
          <w:sz w:val="24"/>
          <w:szCs w:val="24"/>
        </w:rPr>
        <w:t>ing</w:t>
      </w:r>
      <w:r w:rsidRPr="00A87019">
        <w:rPr>
          <w:rFonts w:eastAsia="MS Mincho" w:cs="Times New Roman"/>
          <w:sz w:val="24"/>
          <w:szCs w:val="24"/>
        </w:rPr>
        <w:t xml:space="preserve"> law enforcement in anti-money laundering, tax, and other financial investigations; advanc</w:t>
      </w:r>
      <w:r w:rsidRPr="00A87019" w:rsidR="00EB3251">
        <w:rPr>
          <w:rFonts w:eastAsia="MS Mincho" w:cs="Times New Roman"/>
          <w:sz w:val="24"/>
          <w:szCs w:val="24"/>
        </w:rPr>
        <w:t>ing</w:t>
      </w:r>
      <w:r w:rsidRPr="00A87019">
        <w:rPr>
          <w:rFonts w:eastAsia="MS Mincho" w:cs="Times New Roman"/>
          <w:sz w:val="24"/>
          <w:szCs w:val="24"/>
        </w:rPr>
        <w:t xml:space="preserve"> counterterrorism, counter-proliferation, and broader national security and intelligence interests; improv</w:t>
      </w:r>
      <w:r w:rsidRPr="00A87019" w:rsidR="00EB3251">
        <w:rPr>
          <w:rFonts w:eastAsia="MS Mincho" w:cs="Times New Roman"/>
          <w:sz w:val="24"/>
          <w:szCs w:val="24"/>
        </w:rPr>
        <w:t>ing</w:t>
      </w:r>
      <w:r w:rsidRPr="00A87019">
        <w:rPr>
          <w:rFonts w:eastAsia="MS Mincho" w:cs="Times New Roman"/>
          <w:sz w:val="24"/>
          <w:szCs w:val="24"/>
        </w:rPr>
        <w:t xml:space="preserve"> financial institutions’ ability to assess and mitigate risk; help</w:t>
      </w:r>
      <w:r w:rsidRPr="00A87019" w:rsidR="00EB3251">
        <w:rPr>
          <w:rFonts w:eastAsia="MS Mincho" w:cs="Times New Roman"/>
          <w:sz w:val="24"/>
          <w:szCs w:val="24"/>
        </w:rPr>
        <w:t>ing</w:t>
      </w:r>
      <w:r w:rsidRPr="00A87019">
        <w:rPr>
          <w:rFonts w:eastAsia="MS Mincho" w:cs="Times New Roman"/>
          <w:sz w:val="24"/>
          <w:szCs w:val="24"/>
        </w:rPr>
        <w:t xml:space="preserve"> prevent evasion of financial sanctions; facilitat</w:t>
      </w:r>
      <w:r w:rsidRPr="00A87019" w:rsidR="00EB3251">
        <w:rPr>
          <w:rFonts w:eastAsia="MS Mincho" w:cs="Times New Roman"/>
          <w:sz w:val="24"/>
          <w:szCs w:val="24"/>
        </w:rPr>
        <w:t>ing</w:t>
      </w:r>
      <w:r w:rsidRPr="00A87019">
        <w:rPr>
          <w:rFonts w:eastAsia="MS Mincho" w:cs="Times New Roman"/>
          <w:sz w:val="24"/>
          <w:szCs w:val="24"/>
        </w:rPr>
        <w:t xml:space="preserve"> tax compliance; enhanc</w:t>
      </w:r>
      <w:r w:rsidRPr="00A87019" w:rsidR="00EB3251">
        <w:rPr>
          <w:rFonts w:eastAsia="MS Mincho" w:cs="Times New Roman"/>
          <w:sz w:val="24"/>
          <w:szCs w:val="24"/>
        </w:rPr>
        <w:t>ing</w:t>
      </w:r>
      <w:r w:rsidRPr="00A87019">
        <w:rPr>
          <w:rFonts w:eastAsia="MS Mincho" w:cs="Times New Roman"/>
          <w:sz w:val="24"/>
          <w:szCs w:val="24"/>
        </w:rPr>
        <w:t xml:space="preserve"> financial transparency; and advanc</w:t>
      </w:r>
      <w:r w:rsidRPr="00A87019" w:rsidR="00EB3251">
        <w:rPr>
          <w:rFonts w:eastAsia="MS Mincho" w:cs="Times New Roman"/>
          <w:sz w:val="24"/>
          <w:szCs w:val="24"/>
        </w:rPr>
        <w:t>ing</w:t>
      </w:r>
      <w:r w:rsidRPr="00A87019">
        <w:rPr>
          <w:rFonts w:eastAsia="MS Mincho" w:cs="Times New Roman"/>
          <w:sz w:val="24"/>
          <w:szCs w:val="24"/>
        </w:rPr>
        <w:t xml:space="preserve"> U.S. compliance with international standards and information sharing commitments.  </w:t>
      </w:r>
    </w:p>
    <w:p w:rsidR="00D17D57" w:rsidRPr="00A87019" w:rsidP="00DA4035" w14:paraId="631783C6" w14:textId="77777777">
      <w:pPr>
        <w:spacing w:before="2"/>
        <w:rPr>
          <w:rFonts w:ascii="Times New Roman" w:eastAsia="Times New Roman" w:hAnsi="Times New Roman" w:cs="Times New Roman"/>
          <w:sz w:val="24"/>
          <w:szCs w:val="24"/>
        </w:rPr>
      </w:pPr>
    </w:p>
    <w:p w:rsidR="00046F42" w:rsidRPr="00A87019" w:rsidP="00046F42" w14:paraId="18273F8A" w14:textId="77777777">
      <w:pPr>
        <w:pStyle w:val="BodyText"/>
        <w:tabs>
          <w:tab w:val="left" w:pos="397"/>
        </w:tabs>
        <w:ind w:left="0"/>
        <w:rPr>
          <w:rFonts w:cs="Times New Roman"/>
          <w:sz w:val="24"/>
          <w:szCs w:val="24"/>
          <w:u w:val="single"/>
        </w:rPr>
      </w:pPr>
      <w:r w:rsidRPr="00A87019">
        <w:rPr>
          <w:rFonts w:cs="Times New Roman"/>
          <w:sz w:val="24"/>
          <w:szCs w:val="24"/>
        </w:rPr>
        <w:t xml:space="preserve">3. </w:t>
      </w:r>
      <w:r w:rsidRPr="00A87019">
        <w:rPr>
          <w:rFonts w:cs="Times New Roman"/>
          <w:sz w:val="24"/>
          <w:szCs w:val="24"/>
          <w:u w:val="single"/>
        </w:rPr>
        <w:t>Use of improved information technology to reduce burden.</w:t>
      </w:r>
    </w:p>
    <w:p w:rsidR="00D17D57" w:rsidRPr="00A87019" w:rsidP="00046F42" w14:paraId="5C6281D1" w14:textId="77777777">
      <w:pPr>
        <w:pStyle w:val="BodyText"/>
        <w:tabs>
          <w:tab w:val="left" w:pos="397"/>
        </w:tabs>
        <w:ind w:left="0"/>
        <w:rPr>
          <w:rFonts w:cs="Times New Roman"/>
          <w:sz w:val="24"/>
          <w:szCs w:val="24"/>
        </w:rPr>
      </w:pPr>
    </w:p>
    <w:p w:rsidR="00D17D57" w:rsidRPr="00A87019" w:rsidP="008415CE" w14:paraId="4A1B1188" w14:textId="6A342D2A">
      <w:pPr>
        <w:pStyle w:val="BodyText"/>
        <w:ind w:left="0"/>
        <w:rPr>
          <w:rFonts w:cs="Times New Roman"/>
          <w:sz w:val="24"/>
          <w:szCs w:val="24"/>
        </w:rPr>
      </w:pPr>
      <w:r w:rsidRPr="00A87019">
        <w:rPr>
          <w:rFonts w:cs="Times New Roman"/>
          <w:spacing w:val="15"/>
          <w:sz w:val="24"/>
          <w:szCs w:val="24"/>
        </w:rPr>
        <w:tab/>
      </w:r>
      <w:r w:rsidRPr="00A87019" w:rsidR="00850719">
        <w:rPr>
          <w:rFonts w:cs="Times New Roman"/>
          <w:sz w:val="24"/>
          <w:szCs w:val="24"/>
        </w:rPr>
        <w:t xml:space="preserve">As noted </w:t>
      </w:r>
      <w:r w:rsidRPr="00A87019" w:rsidR="006853A2">
        <w:rPr>
          <w:rFonts w:cs="Times New Roman"/>
          <w:sz w:val="24"/>
          <w:szCs w:val="24"/>
        </w:rPr>
        <w:t>in Section 2</w:t>
      </w:r>
      <w:r w:rsidRPr="00A87019" w:rsidR="00850719">
        <w:rPr>
          <w:rFonts w:cs="Times New Roman"/>
          <w:sz w:val="24"/>
          <w:szCs w:val="24"/>
        </w:rPr>
        <w:t xml:space="preserve">, </w:t>
      </w:r>
      <w:r w:rsidRPr="00A87019" w:rsidR="00C54190">
        <w:rPr>
          <w:rFonts w:cs="Times New Roman"/>
          <w:sz w:val="24"/>
          <w:szCs w:val="24"/>
        </w:rPr>
        <w:t xml:space="preserve">FinCEN collects the required FFA information electronically.  Specifically, to </w:t>
      </w:r>
      <w:r w:rsidRPr="00A87019" w:rsidR="006853A2">
        <w:rPr>
          <w:rFonts w:cs="Times New Roman"/>
          <w:sz w:val="24"/>
          <w:szCs w:val="24"/>
        </w:rPr>
        <w:t xml:space="preserve">reduce burden, a covered financial institution can </w:t>
      </w:r>
      <w:r w:rsidRPr="00A87019" w:rsidR="00587166">
        <w:rPr>
          <w:rFonts w:cs="Times New Roman"/>
          <w:sz w:val="24"/>
          <w:szCs w:val="24"/>
        </w:rPr>
        <w:t xml:space="preserve">typically </w:t>
      </w:r>
      <w:r w:rsidRPr="00A87019" w:rsidR="006853A2">
        <w:rPr>
          <w:rFonts w:cs="Times New Roman"/>
          <w:sz w:val="24"/>
          <w:szCs w:val="24"/>
        </w:rPr>
        <w:t xml:space="preserve">report </w:t>
      </w:r>
      <w:r w:rsidRPr="00A87019" w:rsidR="0001798C">
        <w:rPr>
          <w:rFonts w:cs="Times New Roman"/>
          <w:sz w:val="24"/>
          <w:szCs w:val="24"/>
        </w:rPr>
        <w:t>FFA information</w:t>
      </w:r>
      <w:r w:rsidRPr="00A87019" w:rsidR="00587166">
        <w:rPr>
          <w:rFonts w:cs="Times New Roman"/>
          <w:sz w:val="24"/>
          <w:szCs w:val="24"/>
        </w:rPr>
        <w:t xml:space="preserve"> by </w:t>
      </w:r>
      <w:r w:rsidRPr="00A87019" w:rsidR="0001798C">
        <w:rPr>
          <w:rFonts w:cs="Times New Roman"/>
          <w:sz w:val="24"/>
          <w:szCs w:val="24"/>
        </w:rPr>
        <w:t xml:space="preserve">uploading a comma-separated value spreadsheet through FinCEN’s </w:t>
      </w:r>
      <w:r w:rsidRPr="00A87019" w:rsidR="00C54190">
        <w:rPr>
          <w:rFonts w:cs="Times New Roman"/>
          <w:sz w:val="24"/>
          <w:szCs w:val="24"/>
        </w:rPr>
        <w:t xml:space="preserve">electronic submission portal, known as the </w:t>
      </w:r>
      <w:r w:rsidRPr="00A87019" w:rsidR="00587166">
        <w:rPr>
          <w:rFonts w:cs="Times New Roman"/>
          <w:sz w:val="24"/>
          <w:szCs w:val="24"/>
        </w:rPr>
        <w:t>Financial Institution (</w:t>
      </w:r>
      <w:r w:rsidRPr="00A87019" w:rsidR="00567280">
        <w:rPr>
          <w:rFonts w:cs="Times New Roman"/>
          <w:sz w:val="24"/>
          <w:szCs w:val="24"/>
        </w:rPr>
        <w:t>FI</w:t>
      </w:r>
      <w:r w:rsidRPr="00A87019" w:rsidR="00587166">
        <w:rPr>
          <w:rFonts w:cs="Times New Roman"/>
          <w:sz w:val="24"/>
          <w:szCs w:val="24"/>
        </w:rPr>
        <w:t>)</w:t>
      </w:r>
      <w:r w:rsidRPr="00A87019" w:rsidR="00567280">
        <w:rPr>
          <w:rFonts w:cs="Times New Roman"/>
          <w:sz w:val="24"/>
          <w:szCs w:val="24"/>
        </w:rPr>
        <w:t xml:space="preserve"> Portal</w:t>
      </w:r>
      <w:r w:rsidRPr="00A87019" w:rsidR="0001798C">
        <w:rPr>
          <w:rFonts w:cs="Times New Roman"/>
          <w:sz w:val="24"/>
          <w:szCs w:val="24"/>
        </w:rPr>
        <w:t xml:space="preserve">, which </w:t>
      </w:r>
      <w:r w:rsidRPr="00A87019" w:rsidR="00587166">
        <w:rPr>
          <w:rFonts w:cs="Times New Roman"/>
          <w:sz w:val="24"/>
          <w:szCs w:val="24"/>
        </w:rPr>
        <w:t xml:space="preserve">also </w:t>
      </w:r>
      <w:r w:rsidRPr="00A87019" w:rsidR="0001798C">
        <w:rPr>
          <w:rFonts w:cs="Times New Roman"/>
          <w:sz w:val="24"/>
          <w:szCs w:val="24"/>
        </w:rPr>
        <w:t xml:space="preserve">allows </w:t>
      </w:r>
      <w:r w:rsidRPr="00A87019" w:rsidR="00587166">
        <w:rPr>
          <w:rFonts w:cs="Times New Roman"/>
          <w:sz w:val="24"/>
          <w:szCs w:val="24"/>
        </w:rPr>
        <w:t xml:space="preserve">a covered financial institution </w:t>
      </w:r>
      <w:r w:rsidRPr="00A87019" w:rsidR="0001798C">
        <w:rPr>
          <w:rFonts w:cs="Times New Roman"/>
          <w:sz w:val="24"/>
          <w:szCs w:val="24"/>
        </w:rPr>
        <w:t xml:space="preserve">to </w:t>
      </w:r>
      <w:r w:rsidRPr="00A87019" w:rsidR="00587166">
        <w:rPr>
          <w:rFonts w:cs="Times New Roman"/>
          <w:sz w:val="24"/>
          <w:szCs w:val="24"/>
        </w:rPr>
        <w:t xml:space="preserve">retain </w:t>
      </w:r>
      <w:r w:rsidRPr="00A87019" w:rsidR="0001798C">
        <w:rPr>
          <w:rFonts w:cs="Times New Roman"/>
          <w:sz w:val="24"/>
          <w:szCs w:val="24"/>
        </w:rPr>
        <w:t xml:space="preserve">an electronic version of </w:t>
      </w:r>
      <w:r w:rsidRPr="00A87019" w:rsidR="00587166">
        <w:rPr>
          <w:rFonts w:cs="Times New Roman"/>
          <w:sz w:val="24"/>
          <w:szCs w:val="24"/>
        </w:rPr>
        <w:t>any reportable transactions</w:t>
      </w:r>
      <w:r w:rsidRPr="00A87019" w:rsidR="00C54190">
        <w:rPr>
          <w:rFonts w:cs="Times New Roman"/>
          <w:sz w:val="24"/>
          <w:szCs w:val="24"/>
        </w:rPr>
        <w:t xml:space="preserve"> that can be used to </w:t>
      </w:r>
      <w:r w:rsidRPr="00A87019" w:rsidR="0001798C">
        <w:rPr>
          <w:rFonts w:cs="Times New Roman"/>
          <w:sz w:val="24"/>
          <w:szCs w:val="24"/>
        </w:rPr>
        <w:t xml:space="preserve">satisfy </w:t>
      </w:r>
      <w:r w:rsidRPr="00A87019" w:rsidR="00C54190">
        <w:rPr>
          <w:rFonts w:cs="Times New Roman"/>
          <w:sz w:val="24"/>
          <w:szCs w:val="24"/>
        </w:rPr>
        <w:t xml:space="preserve">the covered financial institution’s </w:t>
      </w:r>
      <w:r w:rsidRPr="00A87019" w:rsidR="0001798C">
        <w:rPr>
          <w:rFonts w:cs="Times New Roman"/>
          <w:sz w:val="24"/>
          <w:szCs w:val="24"/>
        </w:rPr>
        <w:t xml:space="preserve">recordkeeping </w:t>
      </w:r>
      <w:r w:rsidRPr="00A87019" w:rsidR="00C54190">
        <w:rPr>
          <w:rFonts w:cs="Times New Roman"/>
          <w:sz w:val="24"/>
          <w:szCs w:val="24"/>
        </w:rPr>
        <w:t>obligations</w:t>
      </w:r>
      <w:r w:rsidRPr="00A87019" w:rsidR="0001798C">
        <w:rPr>
          <w:rFonts w:cs="Times New Roman"/>
          <w:sz w:val="24"/>
          <w:szCs w:val="24"/>
        </w:rPr>
        <w:t>.</w:t>
      </w:r>
    </w:p>
    <w:p w:rsidR="00D17D57" w:rsidRPr="00A87019" w:rsidP="00DA4035" w14:paraId="0B7C69BF" w14:textId="77777777">
      <w:pPr>
        <w:spacing w:before="1"/>
        <w:rPr>
          <w:rFonts w:ascii="Times New Roman" w:eastAsia="Times New Roman" w:hAnsi="Times New Roman" w:cs="Times New Roman"/>
          <w:sz w:val="24"/>
          <w:szCs w:val="24"/>
        </w:rPr>
      </w:pPr>
    </w:p>
    <w:p w:rsidR="003B0AEB" w:rsidRPr="00A87019" w:rsidP="009610E2" w14:paraId="3EF187F9" w14:textId="2C9087BD">
      <w:pPr>
        <w:pStyle w:val="BodyText"/>
        <w:tabs>
          <w:tab w:val="left" w:pos="383"/>
        </w:tabs>
        <w:ind w:left="0"/>
        <w:rPr>
          <w:rFonts w:cs="Times New Roman"/>
          <w:sz w:val="24"/>
          <w:szCs w:val="24"/>
        </w:rPr>
      </w:pPr>
      <w:r w:rsidRPr="00A87019">
        <w:rPr>
          <w:rFonts w:cs="Times New Roman"/>
          <w:sz w:val="24"/>
          <w:szCs w:val="24"/>
        </w:rPr>
        <w:t xml:space="preserve">4. </w:t>
      </w:r>
      <w:r w:rsidRPr="00A87019" w:rsidR="00046F42">
        <w:rPr>
          <w:rFonts w:cs="Times New Roman"/>
          <w:sz w:val="24"/>
          <w:szCs w:val="24"/>
          <w:u w:val="single"/>
        </w:rPr>
        <w:t>Efforts to identify duplication.</w:t>
      </w:r>
    </w:p>
    <w:p w:rsidR="00366684" w:rsidRPr="00A87019" w:rsidP="00366684" w14:paraId="6FF46105" w14:textId="77777777">
      <w:pPr>
        <w:pStyle w:val="BodyText"/>
        <w:tabs>
          <w:tab w:val="left" w:pos="397"/>
        </w:tabs>
        <w:ind w:left="0"/>
        <w:rPr>
          <w:rFonts w:cs="Times New Roman"/>
          <w:sz w:val="24"/>
          <w:szCs w:val="24"/>
        </w:rPr>
      </w:pPr>
    </w:p>
    <w:p w:rsidR="003B0AEB" w:rsidRPr="007A0F97" w:rsidP="0039393E" w14:paraId="22C79683" w14:textId="586A62F7">
      <w:pPr>
        <w:keepNext/>
        <w:keepLines/>
        <w:spacing w:after="240"/>
        <w:ind w:firstLine="720"/>
        <w:rPr>
          <w:rFonts w:ascii="Times New Roman" w:hAnsi="Times New Roman" w:cs="Times New Roman"/>
          <w:sz w:val="24"/>
          <w:szCs w:val="24"/>
        </w:rPr>
      </w:pPr>
      <w:r w:rsidRPr="00A87019">
        <w:rPr>
          <w:rFonts w:ascii="Times New Roman" w:hAnsi="Times New Roman" w:cs="Times New Roman"/>
          <w:sz w:val="24"/>
          <w:szCs w:val="24"/>
        </w:rPr>
        <w:t>FinCEN has reviewed government and commercial databases to identify duplication</w:t>
      </w:r>
      <w:r w:rsidRPr="00A87019" w:rsidR="005B45D8">
        <w:rPr>
          <w:rFonts w:ascii="Times New Roman" w:hAnsi="Times New Roman" w:cs="Times New Roman"/>
          <w:sz w:val="24"/>
          <w:szCs w:val="24"/>
        </w:rPr>
        <w:t xml:space="preserve">.  FinCEN has determined there are no government or commercially available sources of information that could be used or modified by FinCEN </w:t>
      </w:r>
      <w:r w:rsidRPr="00A87019" w:rsidR="007D0E86">
        <w:rPr>
          <w:rFonts w:ascii="Times New Roman" w:hAnsi="Times New Roman" w:cs="Times New Roman"/>
          <w:sz w:val="24"/>
          <w:szCs w:val="24"/>
        </w:rPr>
        <w:t>in</w:t>
      </w:r>
      <w:r w:rsidRPr="00A87019" w:rsidR="007D0E86">
        <w:rPr>
          <w:rFonts w:ascii="Times New Roman" w:hAnsi="Times New Roman" w:cs="Times New Roman"/>
          <w:sz w:val="24"/>
          <w:szCs w:val="24"/>
        </w:rPr>
        <w:t xml:space="preserve"> </w:t>
      </w:r>
      <w:r w:rsidRPr="00A87019" w:rsidR="005B45D8">
        <w:rPr>
          <w:rFonts w:ascii="Times New Roman" w:hAnsi="Times New Roman" w:cs="Times New Roman"/>
          <w:sz w:val="24"/>
          <w:szCs w:val="24"/>
        </w:rPr>
        <w:t xml:space="preserve">duplicating the information provided by specified financial institutions on </w:t>
      </w:r>
      <w:r w:rsidRPr="00A87019" w:rsidR="005B45D8">
        <w:rPr>
          <w:rFonts w:ascii="Times New Roman" w:eastAsia="Times New Roman" w:hAnsi="Times New Roman" w:cs="Times New Roman"/>
          <w:sz w:val="24"/>
          <w:szCs w:val="24"/>
        </w:rPr>
        <w:t>reports of transactions with FFAs.</w:t>
      </w:r>
      <w:r w:rsidRPr="00A87019" w:rsidR="005B45D8">
        <w:rPr>
          <w:rFonts w:ascii="Times New Roman" w:hAnsi="Times New Roman" w:cs="Times New Roman"/>
          <w:sz w:val="24"/>
          <w:szCs w:val="24"/>
        </w:rPr>
        <w:t xml:space="preserve"> </w:t>
      </w:r>
      <w:r w:rsidRPr="00A87019">
        <w:rPr>
          <w:rFonts w:ascii="Times New Roman" w:hAnsi="Times New Roman" w:cs="Times New Roman"/>
          <w:sz w:val="24"/>
          <w:szCs w:val="24"/>
        </w:rPr>
        <w:t xml:space="preserve"> </w:t>
      </w:r>
      <w:r w:rsidRPr="00A87019">
        <w:rPr>
          <w:rFonts w:ascii="Times New Roman" w:eastAsia="Times New Roman" w:hAnsi="Times New Roman" w:cs="Times New Roman"/>
          <w:sz w:val="24"/>
          <w:szCs w:val="24"/>
        </w:rPr>
        <w:t xml:space="preserve">There are </w:t>
      </w:r>
      <w:r w:rsidRPr="00A87019" w:rsidR="007D0E86">
        <w:rPr>
          <w:rFonts w:ascii="Times New Roman" w:eastAsia="Times New Roman" w:hAnsi="Times New Roman" w:cs="Times New Roman"/>
          <w:sz w:val="24"/>
          <w:szCs w:val="24"/>
        </w:rPr>
        <w:t xml:space="preserve">also </w:t>
      </w:r>
      <w:r w:rsidRPr="00A87019">
        <w:rPr>
          <w:rFonts w:ascii="Times New Roman" w:eastAsia="Times New Roman" w:hAnsi="Times New Roman" w:cs="Times New Roman"/>
          <w:sz w:val="24"/>
          <w:szCs w:val="24"/>
        </w:rPr>
        <w:t xml:space="preserve">no Federal rules that directly or fully duplicate or overlap with the information that may be collected </w:t>
      </w:r>
      <w:r w:rsidRPr="00A87019" w:rsidR="005B45D8">
        <w:rPr>
          <w:rFonts w:ascii="Times New Roman" w:eastAsia="Times New Roman" w:hAnsi="Times New Roman" w:cs="Times New Roman"/>
          <w:sz w:val="24"/>
          <w:szCs w:val="24"/>
        </w:rPr>
        <w:t xml:space="preserve">and provided by </w:t>
      </w:r>
      <w:r w:rsidRPr="00A87019" w:rsidR="007D0E86">
        <w:rPr>
          <w:rFonts w:ascii="Times New Roman" w:eastAsia="Times New Roman" w:hAnsi="Times New Roman" w:cs="Times New Roman"/>
          <w:sz w:val="24"/>
          <w:szCs w:val="24"/>
        </w:rPr>
        <w:t xml:space="preserve">covered </w:t>
      </w:r>
      <w:r w:rsidRPr="00A87019" w:rsidR="005B45D8">
        <w:rPr>
          <w:rFonts w:ascii="Times New Roman" w:eastAsia="Times New Roman" w:hAnsi="Times New Roman" w:cs="Times New Roman"/>
          <w:sz w:val="24"/>
          <w:szCs w:val="24"/>
        </w:rPr>
        <w:t xml:space="preserve">financial institutions of </w:t>
      </w:r>
      <w:r w:rsidRPr="00A87019">
        <w:rPr>
          <w:rFonts w:ascii="Times New Roman" w:eastAsia="Times New Roman" w:hAnsi="Times New Roman" w:cs="Times New Roman"/>
          <w:sz w:val="24"/>
          <w:szCs w:val="24"/>
        </w:rPr>
        <w:t xml:space="preserve">reports of transactions with FFAs </w:t>
      </w:r>
      <w:r w:rsidRPr="00A87019" w:rsidR="005B45D8">
        <w:rPr>
          <w:rFonts w:ascii="Times New Roman" w:eastAsia="Times New Roman" w:hAnsi="Times New Roman" w:cs="Times New Roman"/>
          <w:sz w:val="24"/>
          <w:szCs w:val="24"/>
        </w:rPr>
        <w:t xml:space="preserve">pursuant to </w:t>
      </w:r>
      <w:r w:rsidRPr="00A87019" w:rsidR="003F5793">
        <w:rPr>
          <w:rFonts w:ascii="Times New Roman" w:eastAsia="Times New Roman" w:hAnsi="Times New Roman" w:cs="Times New Roman"/>
          <w:sz w:val="24"/>
          <w:szCs w:val="24"/>
        </w:rPr>
        <w:t xml:space="preserve">FFA </w:t>
      </w:r>
      <w:r w:rsidRPr="00A87019">
        <w:rPr>
          <w:rFonts w:ascii="Times New Roman" w:eastAsia="Times New Roman" w:hAnsi="Times New Roman" w:cs="Times New Roman"/>
          <w:sz w:val="24"/>
          <w:szCs w:val="24"/>
        </w:rPr>
        <w:t xml:space="preserve">regulations, or that require the reporting of the same information.  Therefore, there is no information already available to the Federal government that could be used or modified </w:t>
      </w:r>
      <w:r w:rsidRPr="00A87019" w:rsidR="005B45D8">
        <w:rPr>
          <w:rFonts w:ascii="Times New Roman" w:eastAsia="Times New Roman" w:hAnsi="Times New Roman" w:cs="Times New Roman"/>
          <w:sz w:val="24"/>
          <w:szCs w:val="24"/>
        </w:rPr>
        <w:t xml:space="preserve">by FinCEN </w:t>
      </w:r>
      <w:r w:rsidRPr="00A87019">
        <w:rPr>
          <w:rFonts w:ascii="Times New Roman" w:eastAsia="Times New Roman" w:hAnsi="Times New Roman" w:cs="Times New Roman"/>
          <w:sz w:val="24"/>
          <w:szCs w:val="24"/>
        </w:rPr>
        <w:t xml:space="preserve">to fully satisfy the statutory </w:t>
      </w:r>
      <w:r w:rsidRPr="00A87019" w:rsidR="007D0E86">
        <w:rPr>
          <w:rFonts w:ascii="Times New Roman" w:eastAsia="Times New Roman" w:hAnsi="Times New Roman" w:cs="Times New Roman"/>
          <w:sz w:val="24"/>
          <w:szCs w:val="24"/>
        </w:rPr>
        <w:t xml:space="preserve">and regulatory </w:t>
      </w:r>
      <w:r w:rsidRPr="00A87019">
        <w:rPr>
          <w:rFonts w:ascii="Times New Roman" w:eastAsia="Times New Roman" w:hAnsi="Times New Roman" w:cs="Times New Roman"/>
          <w:sz w:val="24"/>
          <w:szCs w:val="24"/>
        </w:rPr>
        <w:t xml:space="preserve">requirements identified in Section 1 above or that fully serve the uses identified in Section 2 above.  </w:t>
      </w:r>
    </w:p>
    <w:p w:rsidR="00DA4035" w:rsidRPr="00A87019" w:rsidP="009610E2" w14:paraId="5DE5F575" w14:textId="0D2A6218">
      <w:pPr>
        <w:pStyle w:val="BodyText"/>
        <w:tabs>
          <w:tab w:val="left" w:pos="376"/>
        </w:tabs>
        <w:ind w:left="0"/>
        <w:rPr>
          <w:rFonts w:cs="Times New Roman"/>
          <w:sz w:val="24"/>
          <w:szCs w:val="24"/>
        </w:rPr>
      </w:pPr>
      <w:r w:rsidRPr="00A87019">
        <w:rPr>
          <w:rFonts w:cs="Times New Roman"/>
          <w:sz w:val="24"/>
          <w:szCs w:val="24"/>
          <w:u w:color="000000"/>
        </w:rPr>
        <w:t xml:space="preserve">5. </w:t>
      </w:r>
      <w:r w:rsidRPr="00A87019" w:rsidR="00046F42">
        <w:rPr>
          <w:rFonts w:cs="Times New Roman"/>
          <w:sz w:val="24"/>
          <w:szCs w:val="24"/>
          <w:u w:val="single"/>
        </w:rPr>
        <w:t>Methods to minimize burden on small businesses or other small entities.</w:t>
      </w:r>
      <w:r w:rsidRPr="00A87019" w:rsidR="00CD22D4">
        <w:rPr>
          <w:rFonts w:cs="Times New Roman"/>
          <w:w w:val="102"/>
          <w:sz w:val="24"/>
          <w:szCs w:val="24"/>
        </w:rPr>
        <w:t xml:space="preserve"> </w:t>
      </w:r>
    </w:p>
    <w:p w:rsidR="00FD6F34" w:rsidRPr="00A87019" w:rsidP="00DA4035" w14:paraId="4309AE09" w14:textId="77777777">
      <w:pPr>
        <w:pStyle w:val="BodyText"/>
        <w:tabs>
          <w:tab w:val="left" w:pos="376"/>
        </w:tabs>
        <w:spacing w:before="18"/>
        <w:ind w:left="843" w:right="1364"/>
        <w:jc w:val="right"/>
        <w:rPr>
          <w:rFonts w:cs="Times New Roman"/>
          <w:sz w:val="24"/>
          <w:szCs w:val="24"/>
        </w:rPr>
      </w:pPr>
    </w:p>
    <w:p w:rsidR="00321E95" w:rsidRPr="00A87019" w:rsidP="71E559B3" w14:paraId="3E93927B" w14:textId="3E5C3283">
      <w:pPr>
        <w:pStyle w:val="BodyText"/>
        <w:tabs>
          <w:tab w:val="left" w:pos="376"/>
        </w:tabs>
        <w:ind w:left="0"/>
        <w:rPr>
          <w:rFonts w:cs="Times New Roman"/>
          <w:sz w:val="24"/>
          <w:szCs w:val="24"/>
          <w:lang w:val="en-GB"/>
        </w:rPr>
      </w:pPr>
      <w:r w:rsidRPr="00A87019">
        <w:rPr>
          <w:rFonts w:cs="Times New Roman"/>
          <w:w w:val="102"/>
          <w:sz w:val="24"/>
          <w:szCs w:val="24"/>
        </w:rPr>
        <w:tab/>
      </w:r>
      <w:r w:rsidRPr="00A87019">
        <w:rPr>
          <w:rFonts w:cs="Times New Roman"/>
          <w:w w:val="102"/>
          <w:sz w:val="24"/>
          <w:szCs w:val="24"/>
        </w:rPr>
        <w:tab/>
      </w:r>
      <w:r w:rsidRPr="00A87019" w:rsidR="006F3812">
        <w:rPr>
          <w:rFonts w:cs="Times New Roman"/>
          <w:w w:val="102"/>
          <w:sz w:val="24"/>
          <w:szCs w:val="24"/>
        </w:rPr>
        <w:t xml:space="preserve">The reporting and recordkeeping requirements of </w:t>
      </w:r>
      <w:r w:rsidRPr="00A87019" w:rsidR="00775E77">
        <w:rPr>
          <w:rFonts w:cs="Times New Roman"/>
          <w:w w:val="102"/>
          <w:sz w:val="24"/>
          <w:szCs w:val="24"/>
        </w:rPr>
        <w:t>FFA regulations</w:t>
      </w:r>
      <w:r w:rsidRPr="00A87019" w:rsidR="006F3812">
        <w:rPr>
          <w:rFonts w:cs="Times New Roman"/>
          <w:w w:val="102"/>
          <w:sz w:val="24"/>
          <w:szCs w:val="24"/>
        </w:rPr>
        <w:t xml:space="preserve"> </w:t>
      </w:r>
      <w:r w:rsidRPr="00A87019" w:rsidR="00C679DC">
        <w:rPr>
          <w:rFonts w:cs="Times New Roman"/>
          <w:w w:val="102"/>
          <w:sz w:val="24"/>
          <w:szCs w:val="24"/>
        </w:rPr>
        <w:t>are not</w:t>
      </w:r>
      <w:r w:rsidRPr="00A87019" w:rsidR="004A7127">
        <w:rPr>
          <w:rFonts w:cs="Times New Roman"/>
          <w:w w:val="102"/>
          <w:sz w:val="24"/>
          <w:szCs w:val="24"/>
        </w:rPr>
        <w:t xml:space="preserve"> expected to impose</w:t>
      </w:r>
      <w:r w:rsidRPr="00A87019" w:rsidR="00430796">
        <w:rPr>
          <w:rFonts w:cs="Times New Roman"/>
          <w:w w:val="102"/>
          <w:sz w:val="24"/>
          <w:szCs w:val="24"/>
        </w:rPr>
        <w:t xml:space="preserve"> </w:t>
      </w:r>
      <w:r w:rsidRPr="00A87019" w:rsidR="00135F9E">
        <w:rPr>
          <w:rFonts w:cs="Times New Roman"/>
          <w:w w:val="102"/>
          <w:sz w:val="24"/>
          <w:szCs w:val="24"/>
        </w:rPr>
        <w:t>material</w:t>
      </w:r>
      <w:r w:rsidRPr="00A87019" w:rsidR="006F3812">
        <w:rPr>
          <w:rFonts w:cs="Times New Roman"/>
          <w:w w:val="102"/>
          <w:sz w:val="24"/>
          <w:szCs w:val="24"/>
        </w:rPr>
        <w:t xml:space="preserve"> adverse impact</w:t>
      </w:r>
      <w:r w:rsidRPr="00A87019" w:rsidR="00A17D4B">
        <w:rPr>
          <w:rFonts w:cs="Times New Roman"/>
          <w:w w:val="102"/>
          <w:sz w:val="24"/>
          <w:szCs w:val="24"/>
        </w:rPr>
        <w:t>s</w:t>
      </w:r>
      <w:r w:rsidRPr="00A87019" w:rsidR="006F3812">
        <w:rPr>
          <w:rFonts w:cs="Times New Roman"/>
          <w:w w:val="102"/>
          <w:sz w:val="24"/>
          <w:szCs w:val="24"/>
        </w:rPr>
        <w:t xml:space="preserve"> on small businesses</w:t>
      </w:r>
      <w:r w:rsidRPr="00A87019" w:rsidR="00A17D4B">
        <w:rPr>
          <w:rFonts w:cs="Times New Roman"/>
          <w:w w:val="102"/>
          <w:sz w:val="24"/>
          <w:szCs w:val="24"/>
        </w:rPr>
        <w:t>.</w:t>
      </w:r>
      <w:r w:rsidRPr="00A87019" w:rsidR="006F3812">
        <w:rPr>
          <w:rFonts w:cs="Times New Roman"/>
          <w:w w:val="102"/>
          <w:sz w:val="24"/>
          <w:szCs w:val="24"/>
        </w:rPr>
        <w:t xml:space="preserve"> </w:t>
      </w:r>
      <w:r w:rsidRPr="00A87019" w:rsidR="003A608D">
        <w:rPr>
          <w:rFonts w:cs="Times New Roman"/>
          <w:w w:val="102"/>
          <w:sz w:val="24"/>
          <w:szCs w:val="24"/>
        </w:rPr>
        <w:t xml:space="preserve"> </w:t>
      </w:r>
      <w:r w:rsidRPr="00A87019" w:rsidR="00A17D4B">
        <w:rPr>
          <w:rFonts w:cs="Times New Roman"/>
          <w:w w:val="102"/>
          <w:sz w:val="24"/>
          <w:szCs w:val="24"/>
        </w:rPr>
        <w:t>T</w:t>
      </w:r>
      <w:r w:rsidRPr="00A87019" w:rsidR="006F3812">
        <w:rPr>
          <w:rFonts w:cs="Times New Roman"/>
          <w:w w:val="102"/>
          <w:sz w:val="24"/>
          <w:szCs w:val="24"/>
        </w:rPr>
        <w:t>he information required to be reported is information</w:t>
      </w:r>
      <w:r w:rsidRPr="00A87019" w:rsidR="002C2D6E">
        <w:rPr>
          <w:rFonts w:cs="Times New Roman"/>
          <w:w w:val="102"/>
          <w:sz w:val="24"/>
          <w:szCs w:val="24"/>
        </w:rPr>
        <w:t xml:space="preserve"> </w:t>
      </w:r>
      <w:r w:rsidRPr="00A87019" w:rsidR="007D2925">
        <w:rPr>
          <w:rFonts w:cs="Times New Roman"/>
          <w:w w:val="102"/>
          <w:sz w:val="24"/>
          <w:szCs w:val="24"/>
        </w:rPr>
        <w:t xml:space="preserve">that </w:t>
      </w:r>
      <w:r w:rsidRPr="00A87019" w:rsidR="00A72715">
        <w:rPr>
          <w:rFonts w:cs="Times New Roman"/>
          <w:sz w:val="24"/>
          <w:szCs w:val="24"/>
        </w:rPr>
        <w:t>covered</w:t>
      </w:r>
      <w:r w:rsidRPr="00A87019" w:rsidR="7BA38074">
        <w:rPr>
          <w:rFonts w:cs="Times New Roman"/>
          <w:w w:val="102"/>
          <w:sz w:val="24"/>
          <w:szCs w:val="24"/>
        </w:rPr>
        <w:t xml:space="preserve"> </w:t>
      </w:r>
      <w:r w:rsidRPr="00A87019" w:rsidR="006F3812">
        <w:rPr>
          <w:rFonts w:cs="Times New Roman"/>
          <w:w w:val="102"/>
          <w:sz w:val="24"/>
          <w:szCs w:val="24"/>
        </w:rPr>
        <w:t>financial institutions</w:t>
      </w:r>
      <w:r w:rsidRPr="00A87019" w:rsidR="195DDF71">
        <w:rPr>
          <w:rFonts w:cs="Times New Roman"/>
          <w:w w:val="102"/>
          <w:sz w:val="24"/>
          <w:szCs w:val="24"/>
        </w:rPr>
        <w:t xml:space="preserve">, including respondent financial institutions, </w:t>
      </w:r>
      <w:r w:rsidRPr="00A87019" w:rsidR="006F3812">
        <w:rPr>
          <w:rFonts w:cs="Times New Roman"/>
          <w:w w:val="102"/>
          <w:sz w:val="24"/>
          <w:szCs w:val="24"/>
        </w:rPr>
        <w:t xml:space="preserve">would </w:t>
      </w:r>
      <w:r w:rsidRPr="00A87019" w:rsidR="00416BFA">
        <w:rPr>
          <w:rFonts w:cs="Times New Roman"/>
          <w:w w:val="102"/>
          <w:sz w:val="24"/>
          <w:szCs w:val="24"/>
        </w:rPr>
        <w:t xml:space="preserve">generally </w:t>
      </w:r>
      <w:r w:rsidRPr="00A87019" w:rsidR="007E6A05">
        <w:rPr>
          <w:rFonts w:cs="Times New Roman"/>
          <w:w w:val="102"/>
          <w:sz w:val="24"/>
          <w:szCs w:val="24"/>
        </w:rPr>
        <w:t>be expected to</w:t>
      </w:r>
      <w:r w:rsidRPr="00A87019" w:rsidR="00B83C98">
        <w:rPr>
          <w:rFonts w:cs="Times New Roman"/>
          <w:w w:val="102"/>
          <w:sz w:val="24"/>
          <w:szCs w:val="24"/>
        </w:rPr>
        <w:t xml:space="preserve"> </w:t>
      </w:r>
      <w:r w:rsidRPr="00A87019" w:rsidR="006F3812">
        <w:rPr>
          <w:rFonts w:cs="Times New Roman"/>
          <w:w w:val="102"/>
          <w:sz w:val="24"/>
          <w:szCs w:val="24"/>
        </w:rPr>
        <w:t>collect</w:t>
      </w:r>
      <w:r w:rsidRPr="00A87019" w:rsidR="007A1352">
        <w:rPr>
          <w:rFonts w:cs="Times New Roman"/>
          <w:w w:val="102"/>
          <w:sz w:val="24"/>
          <w:szCs w:val="24"/>
        </w:rPr>
        <w:t xml:space="preserve"> and retain</w:t>
      </w:r>
      <w:r w:rsidRPr="00A87019" w:rsidR="006F3812">
        <w:rPr>
          <w:rFonts w:cs="Times New Roman"/>
          <w:w w:val="102"/>
          <w:sz w:val="24"/>
          <w:szCs w:val="24"/>
        </w:rPr>
        <w:t xml:space="preserve"> in the </w:t>
      </w:r>
      <w:r w:rsidRPr="00A87019" w:rsidR="00355D2B">
        <w:rPr>
          <w:rFonts w:cs="Times New Roman"/>
          <w:w w:val="102"/>
          <w:sz w:val="24"/>
          <w:szCs w:val="24"/>
        </w:rPr>
        <w:t xml:space="preserve">ordinary </w:t>
      </w:r>
      <w:r w:rsidRPr="00A87019" w:rsidR="006F3812">
        <w:rPr>
          <w:rFonts w:cs="Times New Roman"/>
          <w:w w:val="102"/>
          <w:sz w:val="24"/>
          <w:szCs w:val="24"/>
        </w:rPr>
        <w:t>course of business.</w:t>
      </w:r>
      <w:r w:rsidRPr="00A87019" w:rsidR="00116C59">
        <w:rPr>
          <w:rFonts w:eastAsiaTheme="minorEastAsia" w:cs="Times New Roman"/>
          <w:sz w:val="24"/>
          <w:szCs w:val="24"/>
          <w:lang w:val="en-GB"/>
        </w:rPr>
        <w:t xml:space="preserve"> </w:t>
      </w:r>
      <w:r w:rsidRPr="00A87019">
        <w:rPr>
          <w:rFonts w:cs="Times New Roman"/>
          <w:sz w:val="24"/>
          <w:szCs w:val="24"/>
          <w:lang w:val="en-GB"/>
        </w:rPr>
        <w:t xml:space="preserve"> </w:t>
      </w:r>
    </w:p>
    <w:p w:rsidR="00F83FCB" w:rsidRPr="00A87019" w:rsidP="71E559B3" w14:paraId="06DE43C9" w14:textId="77777777">
      <w:pPr>
        <w:pStyle w:val="BodyText"/>
        <w:tabs>
          <w:tab w:val="left" w:pos="376"/>
        </w:tabs>
        <w:ind w:left="0"/>
        <w:rPr>
          <w:rFonts w:cs="Times New Roman"/>
          <w:sz w:val="24"/>
          <w:szCs w:val="24"/>
          <w:lang w:val="en-GB"/>
        </w:rPr>
      </w:pPr>
    </w:p>
    <w:p w:rsidR="00A24438" w:rsidRPr="00A87019" w:rsidP="71E559B3" w14:paraId="426BAE79" w14:textId="4D367918">
      <w:pPr>
        <w:pStyle w:val="BodyText"/>
        <w:tabs>
          <w:tab w:val="left" w:pos="376"/>
        </w:tabs>
        <w:ind w:left="0"/>
        <w:rPr>
          <w:rFonts w:cs="Times New Roman"/>
          <w:sz w:val="24"/>
          <w:szCs w:val="24"/>
        </w:rPr>
      </w:pPr>
      <w:r w:rsidRPr="00A87019">
        <w:rPr>
          <w:rFonts w:cs="Times New Roman"/>
          <w:sz w:val="24"/>
          <w:szCs w:val="24"/>
          <w:lang w:val="en-GB"/>
        </w:rPr>
        <w:tab/>
      </w:r>
      <w:r w:rsidRPr="00A87019" w:rsidR="00775E77">
        <w:rPr>
          <w:rFonts w:cs="Times New Roman"/>
          <w:sz w:val="24"/>
          <w:szCs w:val="24"/>
          <w:lang w:val="en-GB"/>
        </w:rPr>
        <w:tab/>
      </w:r>
      <w:r w:rsidRPr="00A87019" w:rsidR="00363275">
        <w:rPr>
          <w:rFonts w:cs="Times New Roman"/>
          <w:sz w:val="24"/>
          <w:szCs w:val="24"/>
          <w:lang w:val="en-GB"/>
        </w:rPr>
        <w:t>T</w:t>
      </w:r>
      <w:r w:rsidRPr="00A87019" w:rsidR="009B2114">
        <w:rPr>
          <w:rFonts w:cs="Times New Roman"/>
          <w:sz w:val="24"/>
          <w:szCs w:val="24"/>
          <w:lang w:val="en-GB"/>
        </w:rPr>
        <w:t>he information required to be reported pursuant to an FFA Regulation is information that a</w:t>
      </w:r>
      <w:r w:rsidRPr="00A87019" w:rsidR="47BB75C6">
        <w:rPr>
          <w:rFonts w:cs="Times New Roman"/>
          <w:sz w:val="24"/>
          <w:szCs w:val="24"/>
          <w:lang w:val="en-GB"/>
        </w:rPr>
        <w:t>ny</w:t>
      </w:r>
      <w:r w:rsidRPr="00A87019" w:rsidR="009874A1">
        <w:rPr>
          <w:rFonts w:cs="Times New Roman"/>
          <w:sz w:val="24"/>
          <w:szCs w:val="24"/>
          <w:lang w:val="en-GB"/>
        </w:rPr>
        <w:t xml:space="preserve"> </w:t>
      </w:r>
      <w:r w:rsidRPr="00A87019" w:rsidR="009B2114">
        <w:rPr>
          <w:rFonts w:cs="Times New Roman"/>
          <w:sz w:val="24"/>
          <w:szCs w:val="24"/>
          <w:lang w:val="en-GB"/>
        </w:rPr>
        <w:t xml:space="preserve">financial institution must already maintain to comply with </w:t>
      </w:r>
      <w:r w:rsidRPr="00A87019" w:rsidR="00A43B98">
        <w:rPr>
          <w:rFonts w:cs="Times New Roman"/>
          <w:sz w:val="24"/>
          <w:szCs w:val="24"/>
          <w:lang w:val="en-GB"/>
        </w:rPr>
        <w:t>general</w:t>
      </w:r>
      <w:r w:rsidRPr="00A87019" w:rsidR="009B2114">
        <w:rPr>
          <w:rFonts w:cs="Times New Roman"/>
          <w:sz w:val="24"/>
          <w:szCs w:val="24"/>
          <w:lang w:val="en-GB"/>
        </w:rPr>
        <w:t xml:space="preserve"> BSA recordkeeping requirements</w:t>
      </w:r>
      <w:r w:rsidRPr="00A87019" w:rsidR="0006744F">
        <w:rPr>
          <w:rFonts w:cs="Times New Roman"/>
          <w:sz w:val="24"/>
          <w:szCs w:val="24"/>
          <w:lang w:val="en-GB"/>
        </w:rPr>
        <w:t xml:space="preserve"> that exist independently of, and in many cases </w:t>
      </w:r>
      <w:r w:rsidRPr="00A87019" w:rsidR="00526F1D">
        <w:rPr>
          <w:rFonts w:cs="Times New Roman"/>
          <w:sz w:val="24"/>
          <w:szCs w:val="24"/>
          <w:lang w:val="en-GB"/>
        </w:rPr>
        <w:t>predate, the regulations</w:t>
      </w:r>
      <w:r w:rsidRPr="00A87019" w:rsidR="00CA0EA2">
        <w:rPr>
          <w:rFonts w:cs="Times New Roman"/>
          <w:sz w:val="24"/>
          <w:szCs w:val="24"/>
          <w:lang w:val="en-GB"/>
        </w:rPr>
        <w:t xml:space="preserve"> covered by this OMB control number</w:t>
      </w:r>
      <w:r w:rsidRPr="00A87019" w:rsidR="009B2114">
        <w:rPr>
          <w:rFonts w:cs="Times New Roman"/>
          <w:sz w:val="24"/>
          <w:szCs w:val="24"/>
          <w:lang w:val="en-GB"/>
        </w:rPr>
        <w:t>.</w:t>
      </w:r>
      <w:r>
        <w:rPr>
          <w:rStyle w:val="FootnoteReference"/>
          <w:rFonts w:cs="Times New Roman"/>
          <w:sz w:val="24"/>
          <w:szCs w:val="24"/>
          <w:lang w:val="en-GB"/>
        </w:rPr>
        <w:footnoteReference w:id="25"/>
      </w:r>
      <w:r w:rsidRPr="00A87019" w:rsidR="009B2114">
        <w:rPr>
          <w:rFonts w:cs="Times New Roman"/>
          <w:sz w:val="24"/>
          <w:szCs w:val="24"/>
          <w:lang w:val="en-GB"/>
        </w:rPr>
        <w:t xml:space="preserve">  For example, a financial institution sending or receiving transmittal orders (funds transfers) with a designated FFA would have access </w:t>
      </w:r>
      <w:r w:rsidRPr="00A87019" w:rsidR="009B2114">
        <w:rPr>
          <w:rFonts w:cs="Times New Roman"/>
          <w:sz w:val="24"/>
          <w:szCs w:val="24"/>
        </w:rPr>
        <w:t>to the information required to be reported.</w:t>
      </w:r>
      <w:r w:rsidRPr="00A87019" w:rsidR="009B2114">
        <w:rPr>
          <w:rFonts w:cs="Times New Roman"/>
          <w:color w:val="0070C0"/>
          <w:sz w:val="24"/>
          <w:szCs w:val="24"/>
        </w:rPr>
        <w:t xml:space="preserve">  </w:t>
      </w:r>
      <w:r w:rsidRPr="00A87019" w:rsidR="009B2114">
        <w:rPr>
          <w:rFonts w:cs="Times New Roman"/>
          <w:sz w:val="24"/>
          <w:szCs w:val="24"/>
        </w:rPr>
        <w:t xml:space="preserve">Although FFA Regulations may concern any </w:t>
      </w:r>
      <w:r w:rsidRPr="00A87019" w:rsidR="008E654D">
        <w:rPr>
          <w:rFonts w:cs="Times New Roman"/>
          <w:sz w:val="24"/>
          <w:szCs w:val="24"/>
        </w:rPr>
        <w:t>covered</w:t>
      </w:r>
      <w:r w:rsidRPr="00A87019" w:rsidR="009B2114">
        <w:rPr>
          <w:rFonts w:cs="Times New Roman"/>
          <w:sz w:val="24"/>
          <w:szCs w:val="24"/>
        </w:rPr>
        <w:t xml:space="preserve"> transactions,</w:t>
      </w:r>
      <w:r>
        <w:rPr>
          <w:rStyle w:val="FootnoteReference"/>
          <w:rFonts w:cs="Times New Roman"/>
          <w:sz w:val="24"/>
          <w:szCs w:val="24"/>
        </w:rPr>
        <w:footnoteReference w:id="26"/>
      </w:r>
      <w:r w:rsidRPr="00A87019" w:rsidR="009B2114">
        <w:rPr>
          <w:rFonts w:cs="Times New Roman"/>
          <w:sz w:val="24"/>
          <w:szCs w:val="24"/>
        </w:rPr>
        <w:t xml:space="preserve"> in general, over the past three years, FinCEN has only promulgated regulations associated with funds transfers. </w:t>
      </w:r>
      <w:r w:rsidRPr="007A0F97" w:rsidR="009B2114">
        <w:rPr>
          <w:rFonts w:cs="Times New Roman"/>
          <w:sz w:val="24"/>
          <w:szCs w:val="24"/>
        </w:rPr>
        <w:t xml:space="preserve"> </w:t>
      </w:r>
      <w:r w:rsidRPr="00A87019" w:rsidR="00FD6F34">
        <w:rPr>
          <w:rFonts w:cs="Times New Roman"/>
          <w:sz w:val="24"/>
          <w:szCs w:val="24"/>
        </w:rPr>
        <w:t>No special accounting or legal skills are necessary to report the basic information required.</w:t>
      </w:r>
    </w:p>
    <w:p w:rsidR="00D17D57" w:rsidRPr="00A87019" w:rsidP="008415CE" w14:paraId="2808CDCD" w14:textId="62207F34">
      <w:pPr>
        <w:pStyle w:val="BodyText"/>
        <w:tabs>
          <w:tab w:val="left" w:pos="376"/>
        </w:tabs>
        <w:ind w:left="0"/>
        <w:rPr>
          <w:rFonts w:cs="Times New Roman"/>
          <w:sz w:val="24"/>
          <w:szCs w:val="24"/>
        </w:rPr>
      </w:pPr>
    </w:p>
    <w:p w:rsidR="00D17D57" w:rsidRPr="00A87019" w:rsidP="009610E2" w14:paraId="37AEFF85" w14:textId="4B2FC55C">
      <w:pPr>
        <w:pStyle w:val="BodyText"/>
        <w:tabs>
          <w:tab w:val="left" w:pos="472"/>
        </w:tabs>
        <w:ind w:left="0"/>
        <w:rPr>
          <w:rFonts w:cs="Times New Roman"/>
          <w:sz w:val="24"/>
          <w:szCs w:val="24"/>
          <w:u w:val="single"/>
        </w:rPr>
      </w:pPr>
      <w:r w:rsidRPr="00A87019">
        <w:rPr>
          <w:rFonts w:cs="Times New Roman"/>
          <w:color w:val="2B2A28"/>
          <w:sz w:val="24"/>
          <w:szCs w:val="24"/>
        </w:rPr>
        <w:t xml:space="preserve">6. </w:t>
      </w:r>
      <w:r w:rsidRPr="00A87019" w:rsidR="00046F42">
        <w:rPr>
          <w:rFonts w:cs="Times New Roman"/>
          <w:sz w:val="24"/>
          <w:szCs w:val="24"/>
          <w:u w:val="single"/>
        </w:rPr>
        <w:t>Consequences to the Federal government of not collecting the information.</w:t>
      </w:r>
    </w:p>
    <w:p w:rsidR="00D17D57" w:rsidRPr="00A87019" w:rsidP="00DA4035" w14:paraId="4F8D64B6" w14:textId="77777777">
      <w:pPr>
        <w:spacing w:before="7"/>
        <w:rPr>
          <w:rFonts w:ascii="Times New Roman" w:eastAsia="Times New Roman" w:hAnsi="Times New Roman" w:cs="Times New Roman"/>
          <w:sz w:val="24"/>
          <w:szCs w:val="24"/>
        </w:rPr>
      </w:pPr>
    </w:p>
    <w:p w:rsidR="00D17D57" w:rsidRPr="00A87019" w:rsidP="00A00DEB" w14:paraId="7E5D7A52" w14:textId="7F78C7DF">
      <w:pPr>
        <w:pStyle w:val="BodyText"/>
        <w:spacing w:after="120"/>
        <w:ind w:left="0" w:firstLine="720"/>
        <w:rPr>
          <w:rFonts w:cs="Times New Roman"/>
          <w:color w:val="2B2A28"/>
          <w:sz w:val="24"/>
          <w:szCs w:val="24"/>
        </w:rPr>
      </w:pPr>
      <w:r w:rsidRPr="00A87019">
        <w:rPr>
          <w:rFonts w:cs="Times New Roman"/>
          <w:sz w:val="24"/>
          <w:szCs w:val="24"/>
        </w:rPr>
        <w:t xml:space="preserve">The reporting and recordkeeping requirements of </w:t>
      </w:r>
      <w:r w:rsidRPr="00A87019" w:rsidR="005011DA">
        <w:rPr>
          <w:rFonts w:cs="Times New Roman"/>
          <w:sz w:val="24"/>
          <w:szCs w:val="24"/>
        </w:rPr>
        <w:t>FFA Regulations</w:t>
      </w:r>
      <w:r w:rsidRPr="00A87019">
        <w:rPr>
          <w:rFonts w:cs="Times New Roman"/>
          <w:sz w:val="24"/>
          <w:szCs w:val="24"/>
        </w:rPr>
        <w:t xml:space="preserve"> are</w:t>
      </w:r>
      <w:r w:rsidRPr="00A87019" w:rsidR="00A23ED6">
        <w:rPr>
          <w:rFonts w:cs="Times New Roman"/>
          <w:sz w:val="24"/>
          <w:szCs w:val="24"/>
        </w:rPr>
        <w:t xml:space="preserve"> generally</w:t>
      </w:r>
      <w:r w:rsidRPr="00A87019">
        <w:rPr>
          <w:rFonts w:cs="Times New Roman"/>
          <w:sz w:val="24"/>
          <w:szCs w:val="24"/>
        </w:rPr>
        <w:t xml:space="preserve"> intended to help law enforcement and regulatory authorities detect, investigate, and prosecute money laundering and other financial crimes by preserving an information trail about reportable transactions involving designated FFAs.  </w:t>
      </w:r>
      <w:r w:rsidRPr="00A87019" w:rsidR="00E74852">
        <w:rPr>
          <w:rFonts w:cs="Times New Roman"/>
          <w:sz w:val="24"/>
          <w:szCs w:val="24"/>
        </w:rPr>
        <w:t>A</w:t>
      </w:r>
      <w:r w:rsidRPr="00A87019" w:rsidR="00B2443A">
        <w:rPr>
          <w:rFonts w:cs="Times New Roman"/>
          <w:sz w:val="24"/>
          <w:szCs w:val="24"/>
        </w:rPr>
        <w:t xml:space="preserve"> failure to collect this information could hamper FinCEN and law enforcement efforts to detect and deter illegal activity while it is still ongoing and discernible. </w:t>
      </w:r>
      <w:r w:rsidRPr="00A87019" w:rsidR="008F189E">
        <w:rPr>
          <w:rFonts w:cs="Times New Roman"/>
          <w:sz w:val="24"/>
          <w:szCs w:val="24"/>
        </w:rPr>
        <w:t xml:space="preserve"> </w:t>
      </w:r>
      <w:r w:rsidRPr="00A87019" w:rsidR="00A75DE2">
        <w:rPr>
          <w:rFonts w:cs="Times New Roman"/>
          <w:sz w:val="24"/>
          <w:szCs w:val="24"/>
        </w:rPr>
        <w:t xml:space="preserve">As noted in Section 2, the </w:t>
      </w:r>
      <w:r w:rsidRPr="00A87019" w:rsidR="00B2443A">
        <w:rPr>
          <w:rFonts w:cs="Times New Roman"/>
          <w:sz w:val="24"/>
          <w:szCs w:val="24"/>
        </w:rPr>
        <w:t xml:space="preserve">timely reporting of this information </w:t>
      </w:r>
      <w:r w:rsidRPr="00A87019" w:rsidR="00A75DE2">
        <w:rPr>
          <w:rFonts w:cs="Times New Roman"/>
          <w:sz w:val="24"/>
          <w:szCs w:val="24"/>
        </w:rPr>
        <w:t xml:space="preserve">may </w:t>
      </w:r>
      <w:r w:rsidRPr="00A87019" w:rsidR="00B2443A">
        <w:rPr>
          <w:rFonts w:cs="Times New Roman"/>
          <w:sz w:val="24"/>
          <w:szCs w:val="24"/>
        </w:rPr>
        <w:t>provide law enforcement with important investigative leads to take appropriate action, including tracing criminal proceeds, gathering additional evidence, seizing funds, and stopping the movement of funds before criminal elements can change their schemes for disposing of the profits of illegal activity.</w:t>
      </w:r>
    </w:p>
    <w:p w:rsidR="00B2443A" w:rsidRPr="00A87019" w:rsidP="00A00DEB" w14:paraId="632AA4AE" w14:textId="77777777">
      <w:pPr>
        <w:pStyle w:val="BodyText"/>
        <w:ind w:left="0" w:right="445"/>
        <w:rPr>
          <w:rFonts w:cs="Times New Roman"/>
          <w:sz w:val="24"/>
          <w:szCs w:val="24"/>
        </w:rPr>
      </w:pPr>
    </w:p>
    <w:p w:rsidR="002E2037" w:rsidRPr="00A87019" w:rsidP="009610E2" w14:paraId="75FCA204" w14:textId="12BB36AD">
      <w:pPr>
        <w:pStyle w:val="BodyText"/>
        <w:tabs>
          <w:tab w:val="left" w:pos="457"/>
        </w:tabs>
        <w:ind w:left="0"/>
        <w:rPr>
          <w:rFonts w:cs="Times New Roman"/>
          <w:sz w:val="24"/>
          <w:szCs w:val="24"/>
          <w:u w:val="single"/>
        </w:rPr>
      </w:pPr>
      <w:r w:rsidRPr="00A87019">
        <w:rPr>
          <w:rFonts w:cs="Times New Roman"/>
          <w:color w:val="2B2A28"/>
          <w:sz w:val="24"/>
          <w:szCs w:val="24"/>
        </w:rPr>
        <w:t xml:space="preserve">7. </w:t>
      </w:r>
      <w:r w:rsidRPr="00A87019">
        <w:rPr>
          <w:rFonts w:cs="Times New Roman"/>
          <w:sz w:val="24"/>
          <w:szCs w:val="24"/>
          <w:u w:val="single"/>
        </w:rPr>
        <w:t xml:space="preserve">Special circumstances requiring data collection </w:t>
      </w:r>
      <w:r w:rsidRPr="00A87019">
        <w:rPr>
          <w:rFonts w:cs="Times New Roman"/>
          <w:sz w:val="24"/>
          <w:szCs w:val="24"/>
          <w:u w:val="single"/>
        </w:rPr>
        <w:t>inconsistent</w:t>
      </w:r>
      <w:r w:rsidRPr="00A87019">
        <w:rPr>
          <w:rFonts w:cs="Times New Roman"/>
          <w:sz w:val="24"/>
          <w:szCs w:val="24"/>
          <w:u w:val="single"/>
        </w:rPr>
        <w:t xml:space="preserve"> with guidelines.</w:t>
      </w:r>
    </w:p>
    <w:p w:rsidR="002E2037" w:rsidRPr="00A87019" w:rsidP="002E2037" w14:paraId="77E0687D" w14:textId="77777777">
      <w:pPr>
        <w:pStyle w:val="BodyText"/>
        <w:tabs>
          <w:tab w:val="left" w:pos="457"/>
        </w:tabs>
        <w:spacing w:before="48"/>
        <w:ind w:left="910" w:right="445"/>
        <w:jc w:val="center"/>
        <w:rPr>
          <w:rFonts w:cs="Times New Roman"/>
          <w:sz w:val="24"/>
          <w:szCs w:val="24"/>
        </w:rPr>
      </w:pPr>
      <w:r w:rsidRPr="00A87019">
        <w:rPr>
          <w:rFonts w:cs="Times New Roman"/>
          <w:color w:val="2B2A28"/>
          <w:w w:val="101"/>
          <w:sz w:val="24"/>
          <w:szCs w:val="24"/>
        </w:rPr>
        <w:t xml:space="preserve"> </w:t>
      </w:r>
    </w:p>
    <w:p w:rsidR="00C42992" w:rsidRPr="007A0F97" w:rsidP="00D85F30" w14:paraId="7715791F" w14:textId="14EF0DD8">
      <w:pPr>
        <w:pStyle w:val="CommentText"/>
        <w:ind w:firstLine="720"/>
        <w:rPr>
          <w:rFonts w:ascii="Times New Roman" w:hAnsi="Times New Roman" w:cs="Times New Roman"/>
          <w:w w:val="101"/>
          <w:sz w:val="24"/>
          <w:szCs w:val="24"/>
        </w:rPr>
      </w:pPr>
      <w:r w:rsidRPr="00A87019">
        <w:rPr>
          <w:rFonts w:ascii="Times New Roman" w:eastAsia="Times New Roman" w:hAnsi="Times New Roman" w:cs="Times New Roman"/>
          <w:sz w:val="24"/>
          <w:szCs w:val="24"/>
        </w:rPr>
        <w:t xml:space="preserve">As noted in Section 1, pursuant </w:t>
      </w:r>
      <w:r w:rsidRPr="00A87019">
        <w:rPr>
          <w:rFonts w:ascii="Times New Roman" w:eastAsia="Times New Roman" w:hAnsi="Times New Roman" w:cs="Times New Roman"/>
          <w:sz w:val="24"/>
          <w:szCs w:val="24"/>
        </w:rPr>
        <w:t xml:space="preserve">to 31 CFR 1010.430(d), </w:t>
      </w:r>
      <w:r w:rsidRPr="00A87019">
        <w:rPr>
          <w:rFonts w:ascii="Times New Roman" w:eastAsia="Times New Roman" w:hAnsi="Times New Roman" w:cs="Times New Roman"/>
          <w:sz w:val="24"/>
          <w:szCs w:val="24"/>
          <w:lang w:val="en"/>
        </w:rPr>
        <w:t xml:space="preserve">all records that are required to be retained by 31 CFR </w:t>
      </w:r>
      <w:r w:rsidRPr="00A87019" w:rsidR="00984FB9">
        <w:rPr>
          <w:rFonts w:ascii="Times New Roman" w:eastAsia="Times New Roman" w:hAnsi="Times New Roman" w:cs="Times New Roman"/>
          <w:sz w:val="24"/>
          <w:szCs w:val="24"/>
          <w:lang w:val="en"/>
        </w:rPr>
        <w:t xml:space="preserve">chapter </w:t>
      </w:r>
      <w:r w:rsidRPr="00A87019">
        <w:rPr>
          <w:rFonts w:ascii="Times New Roman" w:eastAsia="Times New Roman" w:hAnsi="Times New Roman" w:cs="Times New Roman"/>
          <w:sz w:val="24"/>
          <w:szCs w:val="24"/>
          <w:lang w:val="en"/>
        </w:rPr>
        <w:t xml:space="preserve">X must be retained for a period of five years. </w:t>
      </w:r>
      <w:r w:rsidRPr="00A87019" w:rsidR="00656328">
        <w:rPr>
          <w:rFonts w:ascii="Times New Roman" w:eastAsia="Times New Roman" w:hAnsi="Times New Roman" w:cs="Times New Roman"/>
          <w:sz w:val="24"/>
          <w:szCs w:val="24"/>
          <w:lang w:val="en"/>
        </w:rPr>
        <w:t xml:space="preserve"> </w:t>
      </w:r>
      <w:r w:rsidRPr="00A87019" w:rsidR="00460E88">
        <w:rPr>
          <w:rFonts w:ascii="Times New Roman" w:hAnsi="Times New Roman" w:cs="Times New Roman"/>
          <w:sz w:val="24"/>
          <w:szCs w:val="24"/>
        </w:rPr>
        <w:t xml:space="preserve">The retention period </w:t>
      </w:r>
      <w:r w:rsidRPr="00A87019" w:rsidR="00460E88">
        <w:rPr>
          <w:rFonts w:ascii="Times New Roman" w:hAnsi="Times New Roman" w:cs="Times New Roman"/>
          <w:sz w:val="24"/>
          <w:szCs w:val="24"/>
          <w:lang w:val="en"/>
        </w:rPr>
        <w:t>is necessary</w:t>
      </w:r>
      <w:r w:rsidRPr="00A87019" w:rsidR="00460E88">
        <w:rPr>
          <w:rFonts w:ascii="Times New Roman" w:hAnsi="Times New Roman" w:cs="Times New Roman"/>
          <w:sz w:val="24"/>
          <w:szCs w:val="24"/>
        </w:rPr>
        <w:t xml:space="preserve"> because such records may relate to substantive violations of law that are subject to statutes of limitation longer than three years.  </w:t>
      </w:r>
      <w:r w:rsidRPr="00A87019">
        <w:rPr>
          <w:rFonts w:ascii="Times New Roman" w:eastAsia="Times New Roman" w:hAnsi="Times New Roman" w:cs="Times New Roman"/>
          <w:sz w:val="24"/>
          <w:szCs w:val="24"/>
          <w:lang w:val="en"/>
        </w:rPr>
        <w:t>The five</w:t>
      </w:r>
      <w:r w:rsidRPr="00A87019" w:rsidR="0010631E">
        <w:rPr>
          <w:rFonts w:ascii="Times New Roman" w:eastAsia="Times New Roman" w:hAnsi="Times New Roman" w:cs="Times New Roman"/>
          <w:sz w:val="24"/>
          <w:szCs w:val="24"/>
          <w:lang w:val="en"/>
        </w:rPr>
        <w:t>-</w:t>
      </w:r>
      <w:r w:rsidRPr="00A87019">
        <w:rPr>
          <w:rFonts w:ascii="Times New Roman" w:eastAsia="Times New Roman" w:hAnsi="Times New Roman" w:cs="Times New Roman"/>
          <w:sz w:val="24"/>
          <w:szCs w:val="24"/>
          <w:lang w:val="en"/>
        </w:rPr>
        <w:t xml:space="preserve">year retention period ensures that law enforcement </w:t>
      </w:r>
      <w:r w:rsidRPr="00A87019" w:rsidR="00E74852">
        <w:rPr>
          <w:rFonts w:ascii="Times New Roman" w:eastAsia="Times New Roman" w:hAnsi="Times New Roman" w:cs="Times New Roman"/>
          <w:sz w:val="24"/>
          <w:szCs w:val="24"/>
          <w:lang w:val="en"/>
        </w:rPr>
        <w:t xml:space="preserve">and other appropriate government agencies </w:t>
      </w:r>
      <w:r w:rsidRPr="00A87019">
        <w:rPr>
          <w:rFonts w:ascii="Times New Roman" w:eastAsia="Times New Roman" w:hAnsi="Times New Roman" w:cs="Times New Roman"/>
          <w:sz w:val="24"/>
          <w:szCs w:val="24"/>
          <w:lang w:val="en"/>
        </w:rPr>
        <w:t xml:space="preserve">will have access to records for a reasonable </w:t>
      </w:r>
      <w:r w:rsidRPr="00A87019">
        <w:rPr>
          <w:rFonts w:ascii="Times New Roman" w:eastAsia="Times New Roman" w:hAnsi="Times New Roman" w:cs="Times New Roman"/>
          <w:sz w:val="24"/>
          <w:szCs w:val="24"/>
          <w:lang w:val="en"/>
        </w:rPr>
        <w:t>period of time</w:t>
      </w:r>
      <w:r w:rsidRPr="00A87019" w:rsidR="00984FB9">
        <w:rPr>
          <w:rFonts w:ascii="Times New Roman" w:eastAsia="Times New Roman" w:hAnsi="Times New Roman" w:cs="Times New Roman"/>
          <w:sz w:val="24"/>
          <w:szCs w:val="24"/>
          <w:lang w:val="en"/>
        </w:rPr>
        <w:t xml:space="preserve">, enables law enforcement and other appropriate government agencies to “follow the money” and </w:t>
      </w:r>
      <w:r w:rsidRPr="00A87019" w:rsidR="00420C50">
        <w:rPr>
          <w:rFonts w:ascii="Times New Roman" w:eastAsia="Times New Roman" w:hAnsi="Times New Roman" w:cs="Times New Roman"/>
          <w:sz w:val="24"/>
          <w:szCs w:val="24"/>
          <w:lang w:val="en"/>
        </w:rPr>
        <w:t xml:space="preserve">permit reconstruction of individual transactions </w:t>
      </w:r>
      <w:r w:rsidRPr="00A87019" w:rsidR="00C143C1">
        <w:rPr>
          <w:rFonts w:ascii="Times New Roman" w:eastAsia="Times New Roman" w:hAnsi="Times New Roman" w:cs="Times New Roman"/>
          <w:sz w:val="24"/>
          <w:szCs w:val="24"/>
          <w:lang w:val="en"/>
        </w:rPr>
        <w:t xml:space="preserve">that may be </w:t>
      </w:r>
      <w:r w:rsidRPr="00A87019" w:rsidR="00420C50">
        <w:rPr>
          <w:rFonts w:ascii="Times New Roman" w:eastAsia="Times New Roman" w:hAnsi="Times New Roman" w:cs="Times New Roman"/>
          <w:sz w:val="24"/>
          <w:szCs w:val="24"/>
          <w:lang w:val="en"/>
        </w:rPr>
        <w:t>indicative of illicit finance,</w:t>
      </w:r>
      <w:r w:rsidRPr="00A87019">
        <w:rPr>
          <w:rFonts w:ascii="Times New Roman" w:eastAsia="Times New Roman" w:hAnsi="Times New Roman" w:cs="Times New Roman"/>
          <w:sz w:val="24"/>
          <w:szCs w:val="24"/>
          <w:lang w:val="en"/>
        </w:rPr>
        <w:t xml:space="preserve"> and allows for verification of </w:t>
      </w:r>
      <w:r w:rsidRPr="00A87019">
        <w:rPr>
          <w:rFonts w:ascii="Times New Roman" w:eastAsia="Times New Roman" w:hAnsi="Times New Roman" w:cs="Times New Roman"/>
          <w:sz w:val="24"/>
          <w:szCs w:val="24"/>
        </w:rPr>
        <w:t xml:space="preserve">compliance </w:t>
      </w:r>
      <w:r w:rsidRPr="00A87019" w:rsidR="00C143C1">
        <w:rPr>
          <w:rFonts w:ascii="Times New Roman" w:eastAsia="Times New Roman" w:hAnsi="Times New Roman" w:cs="Times New Roman"/>
          <w:sz w:val="24"/>
          <w:szCs w:val="24"/>
        </w:rPr>
        <w:t xml:space="preserve">by covered financial institutions </w:t>
      </w:r>
      <w:r w:rsidRPr="00A87019">
        <w:rPr>
          <w:rFonts w:ascii="Times New Roman" w:eastAsia="Times New Roman" w:hAnsi="Times New Roman" w:cs="Times New Roman"/>
          <w:sz w:val="24"/>
          <w:szCs w:val="24"/>
        </w:rPr>
        <w:t xml:space="preserve">with specific </w:t>
      </w:r>
      <w:r w:rsidRPr="00A87019" w:rsidR="00C143C1">
        <w:rPr>
          <w:rFonts w:ascii="Times New Roman" w:eastAsia="Times New Roman" w:hAnsi="Times New Roman" w:cs="Times New Roman"/>
          <w:sz w:val="24"/>
          <w:szCs w:val="24"/>
        </w:rPr>
        <w:t xml:space="preserve">regulatory </w:t>
      </w:r>
      <w:r w:rsidRPr="00A87019">
        <w:rPr>
          <w:rFonts w:ascii="Times New Roman" w:eastAsia="Times New Roman" w:hAnsi="Times New Roman" w:cs="Times New Roman"/>
          <w:sz w:val="24"/>
          <w:szCs w:val="24"/>
        </w:rPr>
        <w:t>requirements.</w:t>
      </w:r>
      <w:r w:rsidRPr="00A87019" w:rsidR="00AE687A">
        <w:rPr>
          <w:rFonts w:ascii="Times New Roman" w:eastAsia="Times New Roman" w:hAnsi="Times New Roman" w:cs="Times New Roman"/>
          <w:sz w:val="24"/>
          <w:szCs w:val="24"/>
        </w:rPr>
        <w:t xml:space="preserve">  </w:t>
      </w:r>
      <w:r w:rsidRPr="00A87019" w:rsidR="00AE687A">
        <w:rPr>
          <w:rFonts w:ascii="Times New Roman" w:hAnsi="Times New Roman" w:cs="Times New Roman"/>
          <w:iCs/>
          <w:sz w:val="24"/>
          <w:szCs w:val="24"/>
        </w:rPr>
        <w:t xml:space="preserve">FinCEN may require </w:t>
      </w:r>
      <w:r w:rsidRPr="00A87019" w:rsidR="00E362ED">
        <w:rPr>
          <w:rFonts w:ascii="Times New Roman" w:hAnsi="Times New Roman" w:cs="Times New Roman"/>
          <w:iCs/>
          <w:sz w:val="24"/>
          <w:szCs w:val="24"/>
        </w:rPr>
        <w:t xml:space="preserve">financial institutions to </w:t>
      </w:r>
      <w:r w:rsidRPr="00A87019" w:rsidR="00AE687A">
        <w:rPr>
          <w:rFonts w:ascii="Times New Roman" w:hAnsi="Times New Roman" w:cs="Times New Roman"/>
          <w:iCs/>
          <w:sz w:val="24"/>
          <w:szCs w:val="24"/>
        </w:rPr>
        <w:t>report</w:t>
      </w:r>
      <w:r w:rsidRPr="00A87019" w:rsidR="00E362ED">
        <w:rPr>
          <w:rFonts w:ascii="Times New Roman" w:hAnsi="Times New Roman" w:cs="Times New Roman"/>
          <w:iCs/>
          <w:sz w:val="24"/>
          <w:szCs w:val="24"/>
        </w:rPr>
        <w:t xml:space="preserve"> FFA data </w:t>
      </w:r>
      <w:r w:rsidRPr="00A87019" w:rsidR="00AE687A">
        <w:rPr>
          <w:rFonts w:ascii="Times New Roman" w:hAnsi="Times New Roman" w:cs="Times New Roman"/>
          <w:iCs/>
          <w:sz w:val="24"/>
          <w:szCs w:val="24"/>
        </w:rPr>
        <w:t>more frequently than quarterly depending on the circumstance</w:t>
      </w:r>
      <w:r w:rsidRPr="00A87019" w:rsidR="00190B62">
        <w:rPr>
          <w:rFonts w:ascii="Times New Roman" w:hAnsi="Times New Roman" w:cs="Times New Roman"/>
          <w:iCs/>
          <w:sz w:val="24"/>
          <w:szCs w:val="24"/>
        </w:rPr>
        <w:t>s,</w:t>
      </w:r>
      <w:r w:rsidRPr="00A87019" w:rsidR="00AE687A">
        <w:rPr>
          <w:rFonts w:ascii="Times New Roman" w:hAnsi="Times New Roman" w:cs="Times New Roman"/>
          <w:iCs/>
          <w:sz w:val="24"/>
          <w:szCs w:val="24"/>
        </w:rPr>
        <w:t xml:space="preserve"> to enable law enforcement to take appropriate investigative action and for FinCEN and other </w:t>
      </w:r>
      <w:r w:rsidRPr="00A87019" w:rsidR="00A23ED6">
        <w:rPr>
          <w:rFonts w:ascii="Times New Roman" w:hAnsi="Times New Roman" w:cs="Times New Roman"/>
          <w:iCs/>
          <w:sz w:val="24"/>
          <w:szCs w:val="24"/>
        </w:rPr>
        <w:t xml:space="preserve">authorized </w:t>
      </w:r>
      <w:r w:rsidRPr="00A87019" w:rsidR="00AE687A">
        <w:rPr>
          <w:rFonts w:ascii="Times New Roman" w:hAnsi="Times New Roman" w:cs="Times New Roman"/>
          <w:iCs/>
          <w:sz w:val="24"/>
          <w:szCs w:val="24"/>
        </w:rPr>
        <w:t>government agencies to analyze the data in a timely manner to support appropriate follow-on actions.</w:t>
      </w:r>
    </w:p>
    <w:p w:rsidR="00D17D57" w:rsidRPr="00A87019" w:rsidP="00DA4035" w14:paraId="2C87C366" w14:textId="77777777">
      <w:pPr>
        <w:spacing w:before="10"/>
        <w:rPr>
          <w:rFonts w:ascii="Times New Roman" w:eastAsia="Times New Roman" w:hAnsi="Times New Roman" w:cs="Times New Roman"/>
          <w:sz w:val="24"/>
          <w:szCs w:val="24"/>
        </w:rPr>
      </w:pPr>
    </w:p>
    <w:p w:rsidR="00D17D57" w:rsidRPr="00A87019" w:rsidP="009610E2" w14:paraId="6F5FE30A" w14:textId="310724B0">
      <w:pPr>
        <w:pStyle w:val="BodyText"/>
        <w:tabs>
          <w:tab w:val="left" w:pos="436"/>
        </w:tabs>
        <w:ind w:left="0"/>
        <w:rPr>
          <w:rFonts w:cs="Times New Roman"/>
          <w:sz w:val="24"/>
          <w:szCs w:val="24"/>
        </w:rPr>
      </w:pPr>
      <w:r w:rsidRPr="00A87019">
        <w:rPr>
          <w:rFonts w:cs="Times New Roman"/>
          <w:color w:val="2B2A28"/>
          <w:sz w:val="24"/>
          <w:szCs w:val="24"/>
        </w:rPr>
        <w:t xml:space="preserve">8. </w:t>
      </w:r>
      <w:r w:rsidRPr="00A87019">
        <w:rPr>
          <w:rFonts w:cs="Times New Roman"/>
          <w:sz w:val="24"/>
          <w:szCs w:val="24"/>
          <w:u w:val="single"/>
        </w:rPr>
        <w:t xml:space="preserve">Consultation with individuals outside of the agency on availability of data, frequency of </w:t>
      </w:r>
      <w:r w:rsidRPr="00A87019">
        <w:rPr>
          <w:rFonts w:cs="Times New Roman"/>
          <w:sz w:val="24"/>
          <w:szCs w:val="24"/>
          <w:u w:val="single"/>
        </w:rPr>
        <w:t>collection, clarity of instructions and forms, and data elements.</w:t>
      </w:r>
    </w:p>
    <w:p w:rsidR="00D17D57" w:rsidRPr="00A87019" w:rsidP="00DA4035" w14:paraId="4C95DF4F" w14:textId="77777777">
      <w:pPr>
        <w:spacing w:before="2"/>
        <w:rPr>
          <w:rFonts w:ascii="Times New Roman" w:eastAsia="Times New Roman" w:hAnsi="Times New Roman" w:cs="Times New Roman"/>
          <w:sz w:val="24"/>
          <w:szCs w:val="24"/>
        </w:rPr>
      </w:pPr>
    </w:p>
    <w:p w:rsidR="009C4F8F" w:rsidRPr="00A87019" w:rsidP="00D322D0" w14:paraId="3E6028BF" w14:textId="603726B4">
      <w:pPr>
        <w:ind w:firstLine="720"/>
        <w:rPr>
          <w:rFonts w:ascii="Times New Roman" w:eastAsia="Times New Roman" w:hAnsi="Times New Roman" w:cs="Times New Roman"/>
          <w:sz w:val="24"/>
          <w:szCs w:val="24"/>
        </w:rPr>
      </w:pPr>
      <w:r w:rsidRPr="00A87019">
        <w:rPr>
          <w:rFonts w:ascii="Times New Roman" w:eastAsia="Times New Roman" w:hAnsi="Times New Roman" w:cs="Times New Roman"/>
          <w:sz w:val="24"/>
          <w:szCs w:val="24"/>
        </w:rPr>
        <w:t>O</w:t>
      </w:r>
      <w:r w:rsidRPr="00A87019" w:rsidR="5016D3C2">
        <w:rPr>
          <w:rFonts w:ascii="Times New Roman" w:eastAsia="Times New Roman" w:hAnsi="Times New Roman" w:cs="Times New Roman"/>
          <w:sz w:val="24"/>
          <w:szCs w:val="24"/>
        </w:rPr>
        <w:t xml:space="preserve">n </w:t>
      </w:r>
      <w:r w:rsidRPr="00A87019" w:rsidR="2C9FFC3C">
        <w:rPr>
          <w:rFonts w:ascii="Times New Roman" w:eastAsia="Times New Roman" w:hAnsi="Times New Roman" w:cs="Times New Roman"/>
          <w:sz w:val="24"/>
          <w:szCs w:val="24"/>
        </w:rPr>
        <w:t>May 23, 2025</w:t>
      </w:r>
      <w:r w:rsidRPr="00A87019">
        <w:rPr>
          <w:rFonts w:ascii="Times New Roman" w:eastAsia="Times New Roman" w:hAnsi="Times New Roman" w:cs="Times New Roman"/>
          <w:sz w:val="24"/>
          <w:szCs w:val="24"/>
        </w:rPr>
        <w:t xml:space="preserve">, FinCEN published in the Federal Register a notice and request for comments </w:t>
      </w:r>
      <w:r w:rsidRPr="00A87019">
        <w:rPr>
          <w:rFonts w:ascii="Times New Roman" w:eastAsia="Times New Roman" w:hAnsi="Times New Roman" w:cs="Times New Roman"/>
          <w:sz w:val="24"/>
          <w:szCs w:val="24"/>
        </w:rPr>
        <w:t>of</w:t>
      </w:r>
      <w:r w:rsidRPr="00A87019">
        <w:rPr>
          <w:rFonts w:ascii="Times New Roman" w:eastAsia="Times New Roman" w:hAnsi="Times New Roman" w:cs="Times New Roman"/>
          <w:sz w:val="24"/>
          <w:szCs w:val="24"/>
        </w:rPr>
        <w:t xml:space="preserve"> its intent</w:t>
      </w:r>
      <w:r w:rsidRPr="00A87019" w:rsidR="0CCDB3CE">
        <w:rPr>
          <w:rFonts w:ascii="Times New Roman" w:eastAsia="Times New Roman" w:hAnsi="Times New Roman" w:cs="Times New Roman"/>
          <w:sz w:val="24"/>
          <w:szCs w:val="24"/>
        </w:rPr>
        <w:t xml:space="preserve">ion to renew, without change, </w:t>
      </w:r>
      <w:r w:rsidRPr="00A87019" w:rsidR="3AC57A88">
        <w:rPr>
          <w:rFonts w:ascii="Times New Roman" w:hAnsi="Times New Roman" w:cs="Times New Roman"/>
          <w:sz w:val="24"/>
          <w:szCs w:val="24"/>
        </w:rPr>
        <w:t>information collection</w:t>
      </w:r>
      <w:r w:rsidRPr="00A87019" w:rsidR="005A1E1C">
        <w:rPr>
          <w:rFonts w:ascii="Times New Roman" w:hAnsi="Times New Roman" w:cs="Times New Roman"/>
          <w:sz w:val="24"/>
          <w:szCs w:val="24"/>
        </w:rPr>
        <w:t xml:space="preserve"> requirement</w:t>
      </w:r>
      <w:r w:rsidRPr="00A87019" w:rsidR="3AC57A88">
        <w:rPr>
          <w:rFonts w:ascii="Times New Roman" w:hAnsi="Times New Roman" w:cs="Times New Roman"/>
          <w:sz w:val="24"/>
          <w:szCs w:val="24"/>
        </w:rPr>
        <w:t>s relating</w:t>
      </w:r>
      <w:r w:rsidRPr="00A87019" w:rsidR="3AC57A88">
        <w:rPr>
          <w:rFonts w:ascii="Times New Roman" w:eastAsia="Times New Roman" w:hAnsi="Times New Roman" w:cs="Times New Roman"/>
          <w:sz w:val="24"/>
          <w:szCs w:val="24"/>
        </w:rPr>
        <w:t xml:space="preserve"> to </w:t>
      </w:r>
      <w:r w:rsidRPr="00A87019" w:rsidR="6606E920">
        <w:rPr>
          <w:rFonts w:ascii="Times New Roman" w:eastAsia="Times New Roman" w:hAnsi="Times New Roman" w:cs="Times New Roman"/>
          <w:sz w:val="24"/>
          <w:szCs w:val="24"/>
        </w:rPr>
        <w:t xml:space="preserve">regulations </w:t>
      </w:r>
      <w:r w:rsidRPr="00A87019" w:rsidR="6606E920">
        <w:rPr>
          <w:rFonts w:ascii="Times New Roman" w:hAnsi="Times New Roman" w:cs="Times New Roman"/>
          <w:color w:val="000000"/>
          <w:sz w:val="24"/>
          <w:szCs w:val="24"/>
        </w:rPr>
        <w:t>requiring specified financial institutions to file reports of certain transactions with designated FFAs</w:t>
      </w:r>
      <w:r w:rsidRPr="00A87019" w:rsidR="3AC57A88">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27"/>
      </w:r>
      <w:r w:rsidRPr="00A87019" w:rsidR="3AC57A88">
        <w:rPr>
          <w:rFonts w:ascii="Times New Roman" w:eastAsia="Times New Roman" w:hAnsi="Times New Roman" w:cs="Times New Roman"/>
          <w:sz w:val="24"/>
          <w:szCs w:val="24"/>
        </w:rPr>
        <w:t xml:space="preserve"> </w:t>
      </w:r>
      <w:r w:rsidRPr="00A87019" w:rsidR="5E3322F5">
        <w:rPr>
          <w:rFonts w:ascii="Times New Roman" w:eastAsia="Times New Roman" w:hAnsi="Times New Roman" w:cs="Times New Roman"/>
          <w:sz w:val="24"/>
          <w:szCs w:val="24"/>
        </w:rPr>
        <w:t xml:space="preserve"> </w:t>
      </w:r>
      <w:r w:rsidRPr="00A87019" w:rsidR="43E3AC72">
        <w:rPr>
          <w:rFonts w:ascii="Times New Roman" w:eastAsia="Times New Roman" w:hAnsi="Times New Roman" w:cs="Times New Roman"/>
          <w:sz w:val="24"/>
          <w:szCs w:val="24"/>
        </w:rPr>
        <w:t xml:space="preserve">The comment period closed on July 22, 2025.  </w:t>
      </w:r>
      <w:r w:rsidRPr="00A87019" w:rsidR="009528EB">
        <w:rPr>
          <w:rFonts w:ascii="Times New Roman" w:eastAsia="Times New Roman" w:hAnsi="Times New Roman" w:cs="Times New Roman"/>
          <w:sz w:val="24"/>
          <w:szCs w:val="24"/>
        </w:rPr>
        <w:t>In response to the notice, FinCEN received</w:t>
      </w:r>
      <w:r w:rsidRPr="00A87019" w:rsidR="00B74453">
        <w:rPr>
          <w:rFonts w:ascii="Times New Roman" w:eastAsia="Times New Roman" w:hAnsi="Times New Roman" w:cs="Times New Roman"/>
          <w:sz w:val="24"/>
          <w:szCs w:val="24"/>
        </w:rPr>
        <w:t xml:space="preserve"> 1</w:t>
      </w:r>
      <w:r w:rsidRPr="00A87019" w:rsidR="007E259E">
        <w:rPr>
          <w:rFonts w:ascii="Times New Roman" w:eastAsia="Times New Roman" w:hAnsi="Times New Roman" w:cs="Times New Roman"/>
          <w:sz w:val="24"/>
          <w:szCs w:val="24"/>
        </w:rPr>
        <w:t>2</w:t>
      </w:r>
      <w:r w:rsidRPr="00A87019" w:rsidR="009528EB">
        <w:rPr>
          <w:rFonts w:ascii="Times New Roman" w:eastAsia="Times New Roman" w:hAnsi="Times New Roman" w:cs="Times New Roman"/>
          <w:sz w:val="24"/>
          <w:szCs w:val="24"/>
        </w:rPr>
        <w:t xml:space="preserve"> comments</w:t>
      </w:r>
      <w:r w:rsidRPr="00A87019" w:rsidR="00B74453">
        <w:rPr>
          <w:rFonts w:ascii="Times New Roman" w:eastAsia="Times New Roman" w:hAnsi="Times New Roman" w:cs="Times New Roman"/>
          <w:sz w:val="24"/>
          <w:szCs w:val="24"/>
        </w:rPr>
        <w:t>.</w:t>
      </w:r>
      <w:r w:rsidRPr="00A87019">
        <w:rPr>
          <w:rFonts w:ascii="Times New Roman" w:eastAsia="Times New Roman" w:hAnsi="Times New Roman" w:cs="Times New Roman"/>
          <w:sz w:val="24"/>
          <w:szCs w:val="24"/>
        </w:rPr>
        <w:t xml:space="preserve"> </w:t>
      </w:r>
      <w:r w:rsidRPr="00A87019" w:rsidR="00A75DE2">
        <w:rPr>
          <w:rFonts w:ascii="Times New Roman" w:eastAsia="Times New Roman" w:hAnsi="Times New Roman" w:cs="Times New Roman"/>
          <w:sz w:val="24"/>
          <w:szCs w:val="24"/>
        </w:rPr>
        <w:t xml:space="preserve"> </w:t>
      </w:r>
      <w:r w:rsidRPr="00A87019" w:rsidR="00D56059">
        <w:rPr>
          <w:rFonts w:ascii="Times New Roman" w:eastAsia="Times New Roman" w:hAnsi="Times New Roman" w:cs="Times New Roman"/>
          <w:sz w:val="24"/>
          <w:szCs w:val="24"/>
        </w:rPr>
        <w:t>Five</w:t>
      </w:r>
      <w:r w:rsidRPr="00A87019">
        <w:rPr>
          <w:rFonts w:ascii="Times New Roman" w:eastAsia="Times New Roman" w:hAnsi="Times New Roman" w:cs="Times New Roman"/>
          <w:sz w:val="24"/>
          <w:szCs w:val="24"/>
        </w:rPr>
        <w:t xml:space="preserve"> commenters </w:t>
      </w:r>
      <w:r w:rsidRPr="00A87019" w:rsidR="00655BCB">
        <w:rPr>
          <w:rFonts w:ascii="Times New Roman" w:eastAsia="Times New Roman" w:hAnsi="Times New Roman" w:cs="Times New Roman"/>
          <w:sz w:val="24"/>
          <w:szCs w:val="24"/>
        </w:rPr>
        <w:t xml:space="preserve">appeared to suggest </w:t>
      </w:r>
      <w:r w:rsidRPr="00A87019">
        <w:rPr>
          <w:rFonts w:ascii="Times New Roman" w:eastAsia="Times New Roman" w:hAnsi="Times New Roman" w:cs="Times New Roman"/>
          <w:sz w:val="24"/>
          <w:szCs w:val="24"/>
        </w:rPr>
        <w:t xml:space="preserve">support for the </w:t>
      </w:r>
      <w:r w:rsidRPr="00A87019" w:rsidR="005A1E1C">
        <w:rPr>
          <w:rFonts w:ascii="Times New Roman" w:eastAsia="Times New Roman" w:hAnsi="Times New Roman" w:cs="Times New Roman"/>
          <w:sz w:val="24"/>
          <w:szCs w:val="24"/>
        </w:rPr>
        <w:t xml:space="preserve">information collection </w:t>
      </w:r>
      <w:r w:rsidRPr="00A87019">
        <w:rPr>
          <w:rFonts w:ascii="Times New Roman" w:eastAsia="Times New Roman" w:hAnsi="Times New Roman" w:cs="Times New Roman"/>
          <w:sz w:val="24"/>
          <w:szCs w:val="24"/>
        </w:rPr>
        <w:t>being renewed</w:t>
      </w:r>
      <w:r w:rsidRPr="00A87019" w:rsidR="00D56059">
        <w:rPr>
          <w:rFonts w:ascii="Times New Roman" w:eastAsia="Times New Roman" w:hAnsi="Times New Roman" w:cs="Times New Roman"/>
          <w:sz w:val="24"/>
          <w:szCs w:val="24"/>
        </w:rPr>
        <w:t xml:space="preserve">.  Two of those commenters </w:t>
      </w:r>
      <w:r w:rsidRPr="00A87019" w:rsidR="00655BCB">
        <w:rPr>
          <w:rFonts w:ascii="Times New Roman" w:eastAsia="Times New Roman" w:hAnsi="Times New Roman" w:cs="Times New Roman"/>
          <w:sz w:val="24"/>
          <w:szCs w:val="24"/>
        </w:rPr>
        <w:t xml:space="preserve">appeared to suggest </w:t>
      </w:r>
      <w:r w:rsidRPr="00A87019" w:rsidR="00D56059">
        <w:rPr>
          <w:rFonts w:ascii="Times New Roman" w:eastAsia="Times New Roman" w:hAnsi="Times New Roman" w:cs="Times New Roman"/>
          <w:sz w:val="24"/>
          <w:szCs w:val="24"/>
        </w:rPr>
        <w:t xml:space="preserve">further expansion of the </w:t>
      </w:r>
      <w:r w:rsidRPr="00A87019" w:rsidR="009804EB">
        <w:rPr>
          <w:rFonts w:ascii="Times New Roman" w:eastAsia="Times New Roman" w:hAnsi="Times New Roman" w:cs="Times New Roman"/>
          <w:sz w:val="24"/>
          <w:szCs w:val="24"/>
        </w:rPr>
        <w:t>information collection related to the FFA R</w:t>
      </w:r>
      <w:r w:rsidRPr="00A87019" w:rsidR="00D56059">
        <w:rPr>
          <w:rFonts w:ascii="Times New Roman" w:eastAsia="Times New Roman" w:hAnsi="Times New Roman" w:cs="Times New Roman"/>
          <w:sz w:val="24"/>
          <w:szCs w:val="24"/>
        </w:rPr>
        <w:t xml:space="preserve">egulations.  One of those commenters </w:t>
      </w:r>
      <w:r w:rsidRPr="00A87019" w:rsidR="00655BCB">
        <w:rPr>
          <w:rFonts w:ascii="Times New Roman" w:eastAsia="Times New Roman" w:hAnsi="Times New Roman" w:cs="Times New Roman"/>
          <w:sz w:val="24"/>
          <w:szCs w:val="24"/>
        </w:rPr>
        <w:t xml:space="preserve">appeared to </w:t>
      </w:r>
      <w:r w:rsidRPr="00A87019" w:rsidR="00FB5A43">
        <w:rPr>
          <w:rFonts w:ascii="Times New Roman" w:eastAsia="Times New Roman" w:hAnsi="Times New Roman" w:cs="Times New Roman"/>
          <w:sz w:val="24"/>
          <w:szCs w:val="24"/>
        </w:rPr>
        <w:t>suggest that</w:t>
      </w:r>
      <w:r w:rsidRPr="00A87019" w:rsidR="00655BCB">
        <w:rPr>
          <w:rFonts w:ascii="Times New Roman" w:eastAsia="Times New Roman" w:hAnsi="Times New Roman" w:cs="Times New Roman"/>
          <w:sz w:val="24"/>
          <w:szCs w:val="24"/>
        </w:rPr>
        <w:t xml:space="preserve"> </w:t>
      </w:r>
      <w:r w:rsidRPr="00A87019" w:rsidR="00D56059">
        <w:rPr>
          <w:rFonts w:ascii="Times New Roman" w:eastAsia="Times New Roman" w:hAnsi="Times New Roman" w:cs="Times New Roman"/>
          <w:sz w:val="24"/>
          <w:szCs w:val="24"/>
        </w:rPr>
        <w:t xml:space="preserve">the </w:t>
      </w:r>
      <w:r w:rsidRPr="00A87019" w:rsidR="009804EB">
        <w:rPr>
          <w:rFonts w:ascii="Times New Roman" w:eastAsia="Times New Roman" w:hAnsi="Times New Roman" w:cs="Times New Roman"/>
          <w:sz w:val="24"/>
          <w:szCs w:val="24"/>
        </w:rPr>
        <w:t>FFA R</w:t>
      </w:r>
      <w:r w:rsidRPr="00A87019" w:rsidR="00D56059">
        <w:rPr>
          <w:rFonts w:ascii="Times New Roman" w:eastAsia="Times New Roman" w:hAnsi="Times New Roman" w:cs="Times New Roman"/>
          <w:sz w:val="24"/>
          <w:szCs w:val="24"/>
        </w:rPr>
        <w:t xml:space="preserve">egulations </w:t>
      </w:r>
      <w:r w:rsidRPr="00A87019" w:rsidR="00170052">
        <w:rPr>
          <w:rFonts w:ascii="Times New Roman" w:eastAsia="Times New Roman" w:hAnsi="Times New Roman" w:cs="Times New Roman"/>
          <w:sz w:val="24"/>
          <w:szCs w:val="24"/>
        </w:rPr>
        <w:t xml:space="preserve">be </w:t>
      </w:r>
      <w:r w:rsidRPr="00A87019" w:rsidR="00D56059">
        <w:rPr>
          <w:rFonts w:ascii="Times New Roman" w:eastAsia="Times New Roman" w:hAnsi="Times New Roman" w:cs="Times New Roman"/>
          <w:sz w:val="24"/>
          <w:szCs w:val="24"/>
        </w:rPr>
        <w:t>revised t</w:t>
      </w:r>
      <w:r w:rsidRPr="00A87019" w:rsidR="002F0366">
        <w:rPr>
          <w:rFonts w:ascii="Times New Roman" w:eastAsia="Times New Roman" w:hAnsi="Times New Roman" w:cs="Times New Roman"/>
          <w:sz w:val="24"/>
          <w:szCs w:val="24"/>
        </w:rPr>
        <w:t xml:space="preserve">o require </w:t>
      </w:r>
      <w:r w:rsidRPr="00A87019" w:rsidR="009804EB">
        <w:rPr>
          <w:rFonts w:ascii="Times New Roman" w:eastAsia="Times New Roman" w:hAnsi="Times New Roman" w:cs="Times New Roman"/>
          <w:sz w:val="24"/>
          <w:szCs w:val="24"/>
        </w:rPr>
        <w:t xml:space="preserve">respondent </w:t>
      </w:r>
      <w:r w:rsidRPr="00A87019" w:rsidR="002F0366">
        <w:rPr>
          <w:rFonts w:ascii="Times New Roman" w:eastAsia="Times New Roman" w:hAnsi="Times New Roman" w:cs="Times New Roman"/>
          <w:sz w:val="24"/>
          <w:szCs w:val="24"/>
        </w:rPr>
        <w:t>financial institution</w:t>
      </w:r>
      <w:r w:rsidRPr="00A87019" w:rsidR="006E006B">
        <w:rPr>
          <w:rFonts w:ascii="Times New Roman" w:eastAsia="Times New Roman" w:hAnsi="Times New Roman" w:cs="Times New Roman"/>
          <w:sz w:val="24"/>
          <w:szCs w:val="24"/>
        </w:rPr>
        <w:t>s</w:t>
      </w:r>
      <w:r w:rsidRPr="00A87019" w:rsidR="002F0366">
        <w:rPr>
          <w:rFonts w:ascii="Times New Roman" w:eastAsia="Times New Roman" w:hAnsi="Times New Roman" w:cs="Times New Roman"/>
          <w:sz w:val="24"/>
          <w:szCs w:val="24"/>
        </w:rPr>
        <w:t xml:space="preserve"> to </w:t>
      </w:r>
      <w:r w:rsidRPr="00A87019" w:rsidR="00170052">
        <w:rPr>
          <w:rFonts w:ascii="Times New Roman" w:eastAsia="Times New Roman" w:hAnsi="Times New Roman" w:cs="Times New Roman"/>
          <w:sz w:val="24"/>
          <w:szCs w:val="24"/>
        </w:rPr>
        <w:t xml:space="preserve">report all foreign financial transactions </w:t>
      </w:r>
      <w:r w:rsidRPr="00A87019" w:rsidR="009804EB">
        <w:rPr>
          <w:rFonts w:ascii="Times New Roman" w:eastAsia="Times New Roman" w:hAnsi="Times New Roman" w:cs="Times New Roman"/>
          <w:sz w:val="24"/>
          <w:szCs w:val="24"/>
        </w:rPr>
        <w:t xml:space="preserve">on behalf of an individual </w:t>
      </w:r>
      <w:r w:rsidRPr="00A87019" w:rsidR="00170052">
        <w:rPr>
          <w:rFonts w:ascii="Times New Roman" w:eastAsia="Times New Roman" w:hAnsi="Times New Roman" w:cs="Times New Roman"/>
          <w:sz w:val="24"/>
          <w:szCs w:val="24"/>
        </w:rPr>
        <w:t xml:space="preserve">to prevent financial crimes. </w:t>
      </w:r>
      <w:r w:rsidRPr="00A87019" w:rsidR="00F04A9F">
        <w:rPr>
          <w:rFonts w:ascii="Times New Roman" w:eastAsia="Times New Roman" w:hAnsi="Times New Roman" w:cs="Times New Roman"/>
          <w:sz w:val="24"/>
          <w:szCs w:val="24"/>
        </w:rPr>
        <w:t xml:space="preserve"> Two commenters </w:t>
      </w:r>
      <w:r w:rsidRPr="00A87019" w:rsidR="00655BCB">
        <w:rPr>
          <w:rFonts w:ascii="Times New Roman" w:eastAsia="Times New Roman" w:hAnsi="Times New Roman" w:cs="Times New Roman"/>
          <w:sz w:val="24"/>
          <w:szCs w:val="24"/>
        </w:rPr>
        <w:t xml:space="preserve">seemed to suggest </w:t>
      </w:r>
      <w:r w:rsidRPr="00A87019" w:rsidR="00F04A9F">
        <w:rPr>
          <w:rFonts w:ascii="Times New Roman" w:eastAsia="Times New Roman" w:hAnsi="Times New Roman" w:cs="Times New Roman"/>
          <w:sz w:val="24"/>
          <w:szCs w:val="24"/>
        </w:rPr>
        <w:t xml:space="preserve">they are not in favor of the </w:t>
      </w:r>
      <w:r w:rsidRPr="00A87019" w:rsidR="009804EB">
        <w:rPr>
          <w:rFonts w:ascii="Times New Roman" w:eastAsia="Times New Roman" w:hAnsi="Times New Roman" w:cs="Times New Roman"/>
          <w:sz w:val="24"/>
          <w:szCs w:val="24"/>
        </w:rPr>
        <w:t>information collection being renewed</w:t>
      </w:r>
      <w:r w:rsidRPr="00A87019" w:rsidR="00F04A9F">
        <w:rPr>
          <w:rFonts w:ascii="Times New Roman" w:eastAsia="Times New Roman" w:hAnsi="Times New Roman" w:cs="Times New Roman"/>
          <w:sz w:val="24"/>
          <w:szCs w:val="24"/>
        </w:rPr>
        <w:t xml:space="preserve">.  </w:t>
      </w:r>
      <w:r w:rsidRPr="00A87019" w:rsidR="005D1F3D">
        <w:rPr>
          <w:rFonts w:ascii="Times New Roman" w:eastAsia="Times New Roman" w:hAnsi="Times New Roman" w:cs="Times New Roman"/>
          <w:sz w:val="24"/>
          <w:szCs w:val="24"/>
        </w:rPr>
        <w:t>Two</w:t>
      </w:r>
      <w:r w:rsidRPr="00A87019">
        <w:rPr>
          <w:rFonts w:ascii="Times New Roman" w:eastAsia="Times New Roman" w:hAnsi="Times New Roman" w:cs="Times New Roman"/>
          <w:sz w:val="24"/>
          <w:szCs w:val="24"/>
        </w:rPr>
        <w:t xml:space="preserve"> commenter</w:t>
      </w:r>
      <w:r w:rsidRPr="00A87019" w:rsidR="005D1F3D">
        <w:rPr>
          <w:rFonts w:ascii="Times New Roman" w:eastAsia="Times New Roman" w:hAnsi="Times New Roman" w:cs="Times New Roman"/>
          <w:sz w:val="24"/>
          <w:szCs w:val="24"/>
        </w:rPr>
        <w:t>s</w:t>
      </w:r>
      <w:r w:rsidRPr="00A87019">
        <w:rPr>
          <w:rFonts w:ascii="Times New Roman" w:eastAsia="Times New Roman" w:hAnsi="Times New Roman" w:cs="Times New Roman"/>
          <w:sz w:val="24"/>
          <w:szCs w:val="24"/>
        </w:rPr>
        <w:t xml:space="preserve"> did not </w:t>
      </w:r>
      <w:r w:rsidRPr="00A87019" w:rsidR="00655BCB">
        <w:rPr>
          <w:rFonts w:ascii="Times New Roman" w:eastAsia="Times New Roman" w:hAnsi="Times New Roman" w:cs="Times New Roman"/>
          <w:sz w:val="24"/>
          <w:szCs w:val="24"/>
        </w:rPr>
        <w:t xml:space="preserve">appear to </w:t>
      </w:r>
      <w:r w:rsidRPr="00A87019">
        <w:rPr>
          <w:rFonts w:ascii="Times New Roman" w:eastAsia="Times New Roman" w:hAnsi="Times New Roman" w:cs="Times New Roman"/>
          <w:sz w:val="24"/>
          <w:szCs w:val="24"/>
        </w:rPr>
        <w:t xml:space="preserve">address the </w:t>
      </w:r>
      <w:r w:rsidRPr="00A87019" w:rsidR="009804EB">
        <w:rPr>
          <w:rFonts w:ascii="Times New Roman" w:eastAsia="Times New Roman" w:hAnsi="Times New Roman" w:cs="Times New Roman"/>
          <w:sz w:val="24"/>
          <w:szCs w:val="24"/>
        </w:rPr>
        <w:t xml:space="preserve">information collection </w:t>
      </w:r>
      <w:r w:rsidRPr="00A87019">
        <w:rPr>
          <w:rFonts w:ascii="Times New Roman" w:eastAsia="Times New Roman" w:hAnsi="Times New Roman" w:cs="Times New Roman"/>
          <w:sz w:val="24"/>
          <w:szCs w:val="24"/>
        </w:rPr>
        <w:t xml:space="preserve">being </w:t>
      </w:r>
      <w:r w:rsidRPr="00A87019">
        <w:rPr>
          <w:rFonts w:ascii="Times New Roman" w:eastAsia="Times New Roman" w:hAnsi="Times New Roman" w:cs="Times New Roman"/>
          <w:sz w:val="24"/>
          <w:szCs w:val="24"/>
        </w:rPr>
        <w:t>renewed</w:t>
      </w:r>
      <w:r w:rsidRPr="00A87019" w:rsidR="00655BCB">
        <w:rPr>
          <w:rFonts w:ascii="Times New Roman" w:eastAsia="Times New Roman" w:hAnsi="Times New Roman" w:cs="Times New Roman"/>
          <w:sz w:val="24"/>
          <w:szCs w:val="24"/>
        </w:rPr>
        <w:t>,</w:t>
      </w:r>
      <w:r w:rsidRPr="00A87019">
        <w:rPr>
          <w:rFonts w:ascii="Times New Roman" w:eastAsia="Times New Roman" w:hAnsi="Times New Roman" w:cs="Times New Roman"/>
          <w:sz w:val="24"/>
          <w:szCs w:val="24"/>
        </w:rPr>
        <w:t xml:space="preserve"> but</w:t>
      </w:r>
      <w:r w:rsidRPr="00A87019">
        <w:rPr>
          <w:rFonts w:ascii="Times New Roman" w:eastAsia="Times New Roman" w:hAnsi="Times New Roman" w:cs="Times New Roman"/>
          <w:sz w:val="24"/>
          <w:szCs w:val="24"/>
        </w:rPr>
        <w:t xml:space="preserve"> </w:t>
      </w:r>
      <w:r w:rsidRPr="00A87019" w:rsidR="00655BCB">
        <w:rPr>
          <w:rFonts w:ascii="Times New Roman" w:eastAsia="Times New Roman" w:hAnsi="Times New Roman" w:cs="Times New Roman"/>
          <w:sz w:val="24"/>
          <w:szCs w:val="24"/>
        </w:rPr>
        <w:t xml:space="preserve">made policy recommendations concerning </w:t>
      </w:r>
      <w:r w:rsidRPr="00A87019" w:rsidR="00F04A9F">
        <w:rPr>
          <w:rFonts w:ascii="Times New Roman" w:eastAsia="Times New Roman" w:hAnsi="Times New Roman" w:cs="Times New Roman"/>
          <w:sz w:val="24"/>
          <w:szCs w:val="24"/>
        </w:rPr>
        <w:t>regulatory guidelines and regular audits of insurance companies</w:t>
      </w:r>
      <w:r w:rsidRPr="00A87019" w:rsidR="005D1F3D">
        <w:rPr>
          <w:rFonts w:ascii="Times New Roman" w:eastAsia="Times New Roman" w:hAnsi="Times New Roman" w:cs="Times New Roman"/>
          <w:sz w:val="24"/>
          <w:szCs w:val="24"/>
        </w:rPr>
        <w:t>, and a recommendation to delay the implementation of the Beneficial Ownership Information Reporting Requirement Revisions and Deadline Interim Final Rule,</w:t>
      </w:r>
      <w:r>
        <w:rPr>
          <w:rStyle w:val="FootnoteReference"/>
          <w:rFonts w:ascii="Times New Roman" w:eastAsia="Times New Roman" w:hAnsi="Times New Roman" w:cs="Times New Roman"/>
          <w:sz w:val="24"/>
          <w:szCs w:val="24"/>
        </w:rPr>
        <w:footnoteReference w:id="28"/>
      </w:r>
      <w:r w:rsidRPr="00A87019" w:rsidR="005D1F3D">
        <w:rPr>
          <w:rFonts w:ascii="Times New Roman" w:eastAsia="Times New Roman" w:hAnsi="Times New Roman" w:cs="Times New Roman"/>
          <w:sz w:val="24"/>
          <w:szCs w:val="24"/>
        </w:rPr>
        <w:t xml:space="preserve"> respectively.</w:t>
      </w:r>
      <w:r w:rsidRPr="00A87019" w:rsidR="006E006B">
        <w:rPr>
          <w:rFonts w:ascii="Times New Roman" w:eastAsia="Times New Roman" w:hAnsi="Times New Roman" w:cs="Times New Roman"/>
          <w:sz w:val="24"/>
          <w:szCs w:val="24"/>
        </w:rPr>
        <w:t xml:space="preserve">  Three</w:t>
      </w:r>
      <w:r w:rsidRPr="00A87019">
        <w:rPr>
          <w:rFonts w:ascii="Times New Roman" w:eastAsia="Times New Roman" w:hAnsi="Times New Roman" w:cs="Times New Roman"/>
          <w:sz w:val="24"/>
          <w:szCs w:val="24"/>
        </w:rPr>
        <w:t xml:space="preserve"> additional commenters did not </w:t>
      </w:r>
      <w:r w:rsidRPr="00A87019" w:rsidR="00655BCB">
        <w:rPr>
          <w:rFonts w:ascii="Times New Roman" w:eastAsia="Times New Roman" w:hAnsi="Times New Roman" w:cs="Times New Roman"/>
          <w:sz w:val="24"/>
          <w:szCs w:val="24"/>
        </w:rPr>
        <w:t xml:space="preserve">appear to </w:t>
      </w:r>
      <w:r w:rsidRPr="00A87019">
        <w:rPr>
          <w:rFonts w:ascii="Times New Roman" w:eastAsia="Times New Roman" w:hAnsi="Times New Roman" w:cs="Times New Roman"/>
          <w:sz w:val="24"/>
          <w:szCs w:val="24"/>
        </w:rPr>
        <w:t xml:space="preserve">raise any </w:t>
      </w:r>
      <w:r w:rsidRPr="00A87019" w:rsidR="00655BCB">
        <w:rPr>
          <w:rFonts w:ascii="Times New Roman" w:eastAsia="Times New Roman" w:hAnsi="Times New Roman" w:cs="Times New Roman"/>
          <w:sz w:val="24"/>
          <w:szCs w:val="24"/>
        </w:rPr>
        <w:t xml:space="preserve">relevant </w:t>
      </w:r>
      <w:r w:rsidRPr="00A87019">
        <w:rPr>
          <w:rFonts w:ascii="Times New Roman" w:eastAsia="Times New Roman" w:hAnsi="Times New Roman" w:cs="Times New Roman"/>
          <w:sz w:val="24"/>
          <w:szCs w:val="24"/>
        </w:rPr>
        <w:t>points.</w:t>
      </w:r>
    </w:p>
    <w:p w:rsidR="009C4F8F" w:rsidRPr="00A87019" w:rsidP="009C4F8F" w14:paraId="063A524D" w14:textId="77777777">
      <w:pPr>
        <w:rPr>
          <w:rFonts w:ascii="Times New Roman" w:eastAsia="Times New Roman" w:hAnsi="Times New Roman" w:cs="Times New Roman"/>
          <w:sz w:val="24"/>
          <w:szCs w:val="24"/>
        </w:rPr>
      </w:pPr>
    </w:p>
    <w:p w:rsidR="009C4F8F" w:rsidRPr="00A87019" w:rsidP="009C4F8F" w14:paraId="01BE2843" w14:textId="74691DD2">
      <w:pPr>
        <w:ind w:firstLine="720"/>
        <w:rPr>
          <w:rFonts w:ascii="Times New Roman" w:eastAsia="Times New Roman" w:hAnsi="Times New Roman" w:cs="Times New Roman"/>
          <w:sz w:val="24"/>
          <w:szCs w:val="24"/>
        </w:rPr>
      </w:pPr>
      <w:r w:rsidRPr="00A87019">
        <w:rPr>
          <w:rFonts w:ascii="Times New Roman" w:eastAsia="Times New Roman" w:hAnsi="Times New Roman" w:cs="Times New Roman"/>
          <w:sz w:val="24"/>
          <w:szCs w:val="24"/>
        </w:rPr>
        <w:t xml:space="preserve">Overall, FinCEN determined there were no recommendations or objections with respect to the </w:t>
      </w:r>
      <w:r w:rsidRPr="00A87019" w:rsidR="00F15A44">
        <w:rPr>
          <w:rFonts w:ascii="Times New Roman" w:eastAsia="Times New Roman" w:hAnsi="Times New Roman" w:cs="Times New Roman"/>
          <w:sz w:val="24"/>
          <w:szCs w:val="24"/>
        </w:rPr>
        <w:t xml:space="preserve">information collection </w:t>
      </w:r>
      <w:r w:rsidRPr="00A87019">
        <w:rPr>
          <w:rFonts w:ascii="Times New Roman" w:eastAsia="Times New Roman" w:hAnsi="Times New Roman" w:cs="Times New Roman"/>
          <w:sz w:val="24"/>
          <w:szCs w:val="24"/>
        </w:rPr>
        <w:t xml:space="preserve">being renewed or comments associated with the estimated burden or cost of the </w:t>
      </w:r>
      <w:r w:rsidRPr="00A87019" w:rsidR="00655BCB">
        <w:rPr>
          <w:rFonts w:ascii="Times New Roman" w:eastAsia="Times New Roman" w:hAnsi="Times New Roman" w:cs="Times New Roman"/>
          <w:sz w:val="24"/>
          <w:szCs w:val="24"/>
        </w:rPr>
        <w:t>information collection being renewed</w:t>
      </w:r>
      <w:r w:rsidRPr="00A87019">
        <w:rPr>
          <w:rFonts w:ascii="Times New Roman" w:eastAsia="Times New Roman" w:hAnsi="Times New Roman" w:cs="Times New Roman"/>
          <w:sz w:val="24"/>
          <w:szCs w:val="24"/>
        </w:rPr>
        <w:t>.</w:t>
      </w:r>
    </w:p>
    <w:p w:rsidR="00D17D57" w:rsidRPr="00A87019" w:rsidP="00DA4035" w14:paraId="5B004800" w14:textId="77777777">
      <w:pPr>
        <w:rPr>
          <w:rFonts w:ascii="Times New Roman" w:eastAsia="Times New Roman" w:hAnsi="Times New Roman" w:cs="Times New Roman"/>
          <w:i/>
          <w:sz w:val="24"/>
          <w:szCs w:val="24"/>
        </w:rPr>
      </w:pPr>
    </w:p>
    <w:p w:rsidR="00046F42" w:rsidRPr="00A87019" w:rsidP="00DA4035" w14:paraId="34D713BF" w14:textId="77777777">
      <w:pPr>
        <w:spacing w:before="5"/>
        <w:rPr>
          <w:rFonts w:ascii="Times New Roman" w:hAnsi="Times New Roman" w:cs="Times New Roman"/>
          <w:sz w:val="24"/>
          <w:szCs w:val="24"/>
          <w:u w:val="single"/>
        </w:rPr>
      </w:pPr>
      <w:r w:rsidRPr="00A87019">
        <w:rPr>
          <w:rFonts w:ascii="Times New Roman" w:hAnsi="Times New Roman" w:cs="Times New Roman"/>
          <w:sz w:val="24"/>
          <w:szCs w:val="24"/>
        </w:rPr>
        <w:t xml:space="preserve">9. </w:t>
      </w:r>
      <w:r w:rsidRPr="00A87019">
        <w:rPr>
          <w:rFonts w:ascii="Times New Roman" w:hAnsi="Times New Roman" w:cs="Times New Roman"/>
          <w:sz w:val="24"/>
          <w:szCs w:val="24"/>
          <w:u w:val="single"/>
        </w:rPr>
        <w:t>Explanation of decision to provide any payment or gift to respondents.</w:t>
      </w:r>
    </w:p>
    <w:p w:rsidR="00D17D57" w:rsidRPr="00A87019" w:rsidP="00DA4035" w14:paraId="1526958E" w14:textId="77777777">
      <w:pPr>
        <w:spacing w:before="5"/>
        <w:rPr>
          <w:rFonts w:ascii="Times New Roman" w:eastAsia="Times New Roman" w:hAnsi="Times New Roman" w:cs="Times New Roman"/>
          <w:color w:val="2B2A28"/>
          <w:sz w:val="24"/>
          <w:szCs w:val="24"/>
        </w:rPr>
      </w:pPr>
    </w:p>
    <w:p w:rsidR="00C42992" w:rsidRPr="00A87019" w:rsidP="009610E2" w14:paraId="04441D44" w14:textId="77777777">
      <w:pPr>
        <w:ind w:firstLine="720"/>
        <w:rPr>
          <w:rFonts w:ascii="Times New Roman" w:hAnsi="Times New Roman" w:cs="Times New Roman"/>
          <w:color w:val="2B2A28"/>
          <w:sz w:val="24"/>
          <w:szCs w:val="24"/>
        </w:rPr>
      </w:pPr>
      <w:r w:rsidRPr="00A87019">
        <w:rPr>
          <w:rFonts w:ascii="Times New Roman" w:eastAsia="Times New Roman" w:hAnsi="Times New Roman" w:cs="Times New Roman"/>
          <w:sz w:val="24"/>
          <w:szCs w:val="24"/>
        </w:rPr>
        <w:t>No payments or gifts were made to respondents.</w:t>
      </w:r>
    </w:p>
    <w:p w:rsidR="00D17D57" w:rsidRPr="00A87019" w:rsidP="00DA4035" w14:paraId="1C5D03B0" w14:textId="77777777">
      <w:pPr>
        <w:spacing w:before="2"/>
        <w:rPr>
          <w:rFonts w:ascii="Times New Roman" w:eastAsia="Times New Roman" w:hAnsi="Times New Roman" w:cs="Times New Roman"/>
          <w:sz w:val="24"/>
          <w:szCs w:val="24"/>
        </w:rPr>
      </w:pPr>
    </w:p>
    <w:p w:rsidR="00D17D57" w:rsidRPr="00A87019" w:rsidP="009610E2" w14:paraId="37634B28" w14:textId="56BA8252">
      <w:pPr>
        <w:pStyle w:val="BodyText"/>
        <w:tabs>
          <w:tab w:val="left" w:pos="522"/>
        </w:tabs>
        <w:ind w:left="0"/>
        <w:rPr>
          <w:rFonts w:cs="Times New Roman"/>
          <w:sz w:val="24"/>
          <w:szCs w:val="24"/>
          <w:u w:val="single"/>
        </w:rPr>
      </w:pPr>
      <w:r w:rsidRPr="00A87019">
        <w:rPr>
          <w:rFonts w:cs="Times New Roman"/>
          <w:sz w:val="24"/>
          <w:szCs w:val="24"/>
        </w:rPr>
        <w:t xml:space="preserve">10. </w:t>
      </w:r>
      <w:r w:rsidRPr="00A87019">
        <w:rPr>
          <w:rFonts w:cs="Times New Roman"/>
          <w:sz w:val="24"/>
          <w:szCs w:val="24"/>
          <w:u w:val="single"/>
        </w:rPr>
        <w:t>Assurance of confidentiality of responses.</w:t>
      </w:r>
    </w:p>
    <w:p w:rsidR="00D17D57" w:rsidRPr="00A87019" w:rsidP="00DA4035" w14:paraId="77471DA9" w14:textId="77777777">
      <w:pPr>
        <w:spacing w:before="4"/>
        <w:rPr>
          <w:rFonts w:ascii="Times New Roman" w:eastAsia="Times New Roman" w:hAnsi="Times New Roman" w:cs="Times New Roman"/>
          <w:sz w:val="24"/>
          <w:szCs w:val="24"/>
        </w:rPr>
      </w:pPr>
    </w:p>
    <w:p w:rsidR="0078237D" w:rsidRPr="00A87019" w:rsidP="00041268" w14:paraId="12A0C481" w14:textId="11401E2A">
      <w:pPr>
        <w:tabs>
          <w:tab w:val="left" w:pos="0"/>
        </w:tabs>
        <w:rPr>
          <w:rFonts w:ascii="Times New Roman" w:hAnsi="Times New Roman" w:cs="Times New Roman"/>
          <w:sz w:val="24"/>
          <w:szCs w:val="24"/>
          <w:vertAlign w:val="superscript"/>
        </w:rPr>
      </w:pPr>
      <w:r w:rsidRPr="007A0F97">
        <w:rPr>
          <w:rFonts w:ascii="Times New Roman" w:hAnsi="Times New Roman" w:cs="Times New Roman"/>
          <w:sz w:val="24"/>
          <w:szCs w:val="24"/>
        </w:rPr>
        <w:tab/>
      </w:r>
      <w:r w:rsidRPr="00A87019" w:rsidR="00EC2D5D">
        <w:rPr>
          <w:rFonts w:ascii="Times New Roman" w:hAnsi="Times New Roman" w:cs="Times New Roman"/>
          <w:sz w:val="24"/>
          <w:szCs w:val="24"/>
        </w:rPr>
        <w:t>The information collected will be made available to</w:t>
      </w:r>
      <w:r w:rsidRPr="00A87019" w:rsidR="00FB5A43">
        <w:rPr>
          <w:rFonts w:ascii="Times New Roman" w:hAnsi="Times New Roman" w:cs="Times New Roman"/>
          <w:sz w:val="24"/>
          <w:szCs w:val="24"/>
        </w:rPr>
        <w:t xml:space="preserve"> the Department of the</w:t>
      </w:r>
      <w:r w:rsidRPr="00A87019" w:rsidR="00EC2D5D">
        <w:rPr>
          <w:rFonts w:ascii="Times New Roman" w:hAnsi="Times New Roman" w:cs="Times New Roman"/>
          <w:sz w:val="24"/>
          <w:szCs w:val="24"/>
        </w:rPr>
        <w:t xml:space="preserve"> Treasury, its </w:t>
      </w:r>
      <w:r w:rsidRPr="00A87019" w:rsidR="00EC2D5D">
        <w:rPr>
          <w:rFonts w:ascii="Times New Roman" w:hAnsi="Times New Roman" w:cs="Times New Roman"/>
          <w:sz w:val="24"/>
          <w:szCs w:val="24"/>
        </w:rPr>
        <w:t>designee</w:t>
      </w:r>
      <w:r w:rsidRPr="00A87019" w:rsidR="00EC2D5D">
        <w:rPr>
          <w:rFonts w:ascii="Times New Roman" w:hAnsi="Times New Roman" w:cs="Times New Roman"/>
          <w:sz w:val="24"/>
          <w:szCs w:val="24"/>
        </w:rPr>
        <w:t>, and other authorized agencies</w:t>
      </w:r>
      <w:r w:rsidRPr="00A87019" w:rsidR="002000E4">
        <w:rPr>
          <w:rFonts w:ascii="Times New Roman" w:hAnsi="Times New Roman" w:cs="Times New Roman"/>
          <w:sz w:val="24"/>
          <w:szCs w:val="24"/>
        </w:rPr>
        <w:t xml:space="preserve">.  Such information </w:t>
      </w:r>
      <w:r w:rsidRPr="00A87019" w:rsidR="00F07D97">
        <w:rPr>
          <w:rFonts w:ascii="Times New Roman" w:hAnsi="Times New Roman" w:cs="Times New Roman"/>
          <w:sz w:val="24"/>
          <w:szCs w:val="24"/>
        </w:rPr>
        <w:t>will be used</w:t>
      </w:r>
      <w:r w:rsidRPr="00A87019" w:rsidR="002000E4">
        <w:rPr>
          <w:rFonts w:ascii="Times New Roman" w:hAnsi="Times New Roman" w:cs="Times New Roman"/>
          <w:sz w:val="24"/>
          <w:szCs w:val="24"/>
        </w:rPr>
        <w:t xml:space="preserve"> for purposes</w:t>
      </w:r>
      <w:r w:rsidRPr="00A87019" w:rsidR="00EC2D5D">
        <w:rPr>
          <w:rFonts w:ascii="Times New Roman" w:hAnsi="Times New Roman" w:cs="Times New Roman"/>
          <w:sz w:val="24"/>
          <w:szCs w:val="24"/>
        </w:rPr>
        <w:t xml:space="preserve"> consistent with the purposes set forth in 31 U.S.C. 5311, including but not limited to furthering a criminal, tax, or regulatory investigation, risk assessment, or proceeding, or use in intelligence or counterintelligence activities, including analysis, to protect against terrorism.</w:t>
      </w:r>
      <w:bookmarkStart w:id="0" w:name="_Hlk204344849"/>
    </w:p>
    <w:bookmarkEnd w:id="0"/>
    <w:p w:rsidR="00D17D57" w:rsidRPr="00A87019" w:rsidP="00DA4035" w14:paraId="72E2C86D" w14:textId="77777777">
      <w:pPr>
        <w:spacing w:before="10"/>
        <w:rPr>
          <w:rFonts w:ascii="Times New Roman" w:eastAsia="Times New Roman" w:hAnsi="Times New Roman" w:cs="Times New Roman"/>
          <w:sz w:val="24"/>
          <w:szCs w:val="24"/>
        </w:rPr>
      </w:pPr>
    </w:p>
    <w:p w:rsidR="00D17D57" w:rsidRPr="00A87019" w:rsidP="00C14283" w14:paraId="012FF94F" w14:textId="25805360">
      <w:pPr>
        <w:pStyle w:val="BodyText"/>
        <w:tabs>
          <w:tab w:val="left" w:pos="500"/>
        </w:tabs>
        <w:ind w:left="0"/>
        <w:rPr>
          <w:rFonts w:cs="Times New Roman"/>
          <w:sz w:val="24"/>
          <w:szCs w:val="24"/>
          <w:u w:val="single"/>
        </w:rPr>
      </w:pPr>
      <w:r w:rsidRPr="00A87019">
        <w:rPr>
          <w:rFonts w:cs="Times New Roman"/>
          <w:sz w:val="24"/>
          <w:szCs w:val="24"/>
        </w:rPr>
        <w:t xml:space="preserve">11. </w:t>
      </w:r>
      <w:r w:rsidRPr="00A87019">
        <w:rPr>
          <w:rFonts w:cs="Times New Roman"/>
          <w:sz w:val="24"/>
          <w:szCs w:val="24"/>
          <w:u w:val="single"/>
        </w:rPr>
        <w:t>Justification of sensitive questions.</w:t>
      </w:r>
    </w:p>
    <w:p w:rsidR="00D17D57" w:rsidRPr="00C14283" w:rsidP="00DA4035" w14:paraId="287BFAFB" w14:textId="77777777">
      <w:pPr>
        <w:spacing w:before="1"/>
        <w:rPr>
          <w:rFonts w:ascii="Times New Roman" w:eastAsia="Times New Roman" w:hAnsi="Times New Roman" w:cs="Times New Roman"/>
          <w:sz w:val="24"/>
          <w:szCs w:val="24"/>
        </w:rPr>
      </w:pPr>
    </w:p>
    <w:p w:rsidR="00D17D57" w:rsidRPr="00742321" w:rsidP="00742321" w14:paraId="4EC001D4" w14:textId="13A0C439">
      <w:pPr>
        <w:rPr>
          <w:rFonts w:ascii="Times New Roman" w:hAnsi="Times New Roman" w:cs="Times New Roman"/>
          <w:sz w:val="24"/>
          <w:szCs w:val="24"/>
        </w:rPr>
      </w:pPr>
      <w:r>
        <w:rPr>
          <w:rFonts w:ascii="Times New Roman" w:hAnsi="Times New Roman" w:cs="Times New Roman"/>
          <w:sz w:val="24"/>
          <w:szCs w:val="24"/>
        </w:rPr>
        <w:tab/>
      </w:r>
      <w:r w:rsidRPr="009B0659" w:rsidR="450D02C1">
        <w:rPr>
          <w:rFonts w:ascii="Times New Roman" w:hAnsi="Times New Roman" w:cs="Times New Roman"/>
          <w:sz w:val="24"/>
          <w:szCs w:val="24"/>
        </w:rPr>
        <w:t>There are no questions of a sensitive nature in the collection of information, such as sexual behavior and attitudes, religious beliefs, and other matters that are commonly considered private.  Any personally identifiable information collected under the BSA</w:t>
      </w:r>
      <w:r w:rsidR="005F1496">
        <w:rPr>
          <w:rFonts w:ascii="Times New Roman" w:hAnsi="Times New Roman" w:cs="Times New Roman"/>
          <w:sz w:val="24"/>
          <w:szCs w:val="24"/>
        </w:rPr>
        <w:t xml:space="preserve">, including the </w:t>
      </w:r>
      <w:r w:rsidR="005F1496">
        <w:rPr>
          <w:rFonts w:ascii="Times New Roman" w:hAnsi="Times New Roman" w:cs="Times New Roman"/>
          <w:sz w:val="24"/>
          <w:szCs w:val="24"/>
        </w:rPr>
        <w:t>provision that authorizes FFAs,</w:t>
      </w:r>
      <w:r w:rsidRPr="009B0659" w:rsidR="450D02C1">
        <w:rPr>
          <w:rFonts w:ascii="Times New Roman" w:hAnsi="Times New Roman" w:cs="Times New Roman"/>
          <w:sz w:val="24"/>
          <w:szCs w:val="24"/>
        </w:rPr>
        <w:t xml:space="preserve"> is strictly controlled as outlined in </w:t>
      </w:r>
      <w:r w:rsidR="005F1496">
        <w:rPr>
          <w:rFonts w:ascii="Times New Roman" w:hAnsi="Times New Roman" w:cs="Times New Roman"/>
          <w:sz w:val="24"/>
          <w:szCs w:val="24"/>
        </w:rPr>
        <w:t xml:space="preserve">the relevant </w:t>
      </w:r>
      <w:r w:rsidRPr="009B0659" w:rsidR="450D02C1">
        <w:rPr>
          <w:rFonts w:ascii="Times New Roman" w:hAnsi="Times New Roman" w:cs="Times New Roman"/>
          <w:sz w:val="24"/>
          <w:szCs w:val="24"/>
        </w:rPr>
        <w:t>FinCEN Privacy Act Systems of Records Notice for BSA reports</w:t>
      </w:r>
      <w:r w:rsidRPr="009B0659" w:rsidR="450D02C1">
        <w:rPr>
          <w:rFonts w:ascii="Times New Roman" w:hAnsi="Times New Roman" w:cs="Times New Roman"/>
          <w:color w:val="1F497D"/>
          <w:sz w:val="24"/>
          <w:szCs w:val="24"/>
        </w:rPr>
        <w:t>.</w:t>
      </w:r>
      <w:r>
        <w:rPr>
          <w:rStyle w:val="FootnoteReference"/>
          <w:rFonts w:ascii="Times New Roman" w:hAnsi="Times New Roman" w:eastAsiaTheme="majorEastAsia" w:cs="Times New Roman"/>
          <w:sz w:val="24"/>
          <w:szCs w:val="24"/>
        </w:rPr>
        <w:footnoteReference w:id="29"/>
      </w:r>
    </w:p>
    <w:p w:rsidR="0009442F" w:rsidP="0009442F" w14:paraId="37131050" w14:textId="77777777">
      <w:pPr>
        <w:pStyle w:val="BodyText"/>
        <w:tabs>
          <w:tab w:val="left" w:pos="486"/>
        </w:tabs>
        <w:ind w:left="360"/>
        <w:jc w:val="right"/>
        <w:rPr>
          <w:rFonts w:cs="Times New Roman"/>
          <w:sz w:val="24"/>
          <w:szCs w:val="24"/>
          <w:u w:val="single"/>
        </w:rPr>
      </w:pPr>
    </w:p>
    <w:p w:rsidR="00046F42" w:rsidRPr="00A87019" w:rsidP="00046F42" w14:paraId="71658EEC" w14:textId="38987759">
      <w:pPr>
        <w:rPr>
          <w:rFonts w:ascii="Times New Roman" w:hAnsi="Times New Roman" w:cs="Times New Roman"/>
          <w:sz w:val="24"/>
          <w:szCs w:val="24"/>
          <w:u w:val="single"/>
        </w:rPr>
      </w:pPr>
      <w:r w:rsidRPr="00A87019">
        <w:rPr>
          <w:rFonts w:ascii="Times New Roman" w:hAnsi="Times New Roman" w:cs="Times New Roman"/>
          <w:sz w:val="24"/>
          <w:szCs w:val="24"/>
        </w:rPr>
        <w:t xml:space="preserve">12. </w:t>
      </w:r>
      <w:r w:rsidRPr="00A87019">
        <w:rPr>
          <w:rFonts w:ascii="Times New Roman" w:hAnsi="Times New Roman" w:cs="Times New Roman"/>
          <w:sz w:val="24"/>
          <w:szCs w:val="24"/>
          <w:u w:val="single"/>
        </w:rPr>
        <w:t>Estimated</w:t>
      </w:r>
      <w:r w:rsidRPr="00A87019" w:rsidR="008869DB">
        <w:rPr>
          <w:rFonts w:ascii="Times New Roman" w:hAnsi="Times New Roman" w:cs="Times New Roman"/>
          <w:sz w:val="24"/>
          <w:szCs w:val="24"/>
          <w:u w:val="single"/>
        </w:rPr>
        <w:t xml:space="preserve"> annual hourly </w:t>
      </w:r>
      <w:r w:rsidRPr="00A87019">
        <w:rPr>
          <w:rFonts w:ascii="Times New Roman" w:hAnsi="Times New Roman" w:cs="Times New Roman"/>
          <w:sz w:val="24"/>
          <w:szCs w:val="24"/>
          <w:u w:val="single"/>
        </w:rPr>
        <w:t>burden.</w:t>
      </w:r>
    </w:p>
    <w:p w:rsidR="00615A88" w:rsidRPr="00A87019" w:rsidP="00DA4035" w14:paraId="3C9474F8" w14:textId="77777777">
      <w:pPr>
        <w:pStyle w:val="BodyText"/>
        <w:ind w:left="0"/>
        <w:rPr>
          <w:rFonts w:cs="Times New Roman"/>
          <w:sz w:val="24"/>
          <w:szCs w:val="24"/>
        </w:rPr>
      </w:pPr>
    </w:p>
    <w:p w:rsidR="00AB0459" w:rsidRPr="00A87019" w:rsidP="006C4ED1" w14:paraId="742B4094" w14:textId="025630A8">
      <w:pPr>
        <w:pStyle w:val="BodyText"/>
        <w:ind w:left="0"/>
        <w:rPr>
          <w:rFonts w:cs="Times New Roman"/>
          <w:sz w:val="24"/>
          <w:szCs w:val="24"/>
        </w:rPr>
      </w:pPr>
      <w:r w:rsidRPr="00A87019">
        <w:rPr>
          <w:rFonts w:cs="Times New Roman"/>
          <w:sz w:val="24"/>
          <w:szCs w:val="24"/>
          <w:u w:val="single"/>
        </w:rPr>
        <w:t>Frequency</w:t>
      </w:r>
      <w:r w:rsidRPr="00A87019">
        <w:rPr>
          <w:rFonts w:cs="Times New Roman"/>
          <w:sz w:val="24"/>
          <w:szCs w:val="24"/>
        </w:rPr>
        <w:t>: As required.</w:t>
      </w:r>
    </w:p>
    <w:p w:rsidR="00AB0459" w:rsidRPr="00A87019" w:rsidP="006C4ED1" w14:paraId="3F9542B8" w14:textId="77777777">
      <w:pPr>
        <w:pStyle w:val="BodyText"/>
        <w:ind w:left="0"/>
        <w:rPr>
          <w:rFonts w:cs="Times New Roman"/>
          <w:sz w:val="24"/>
          <w:szCs w:val="24"/>
        </w:rPr>
      </w:pPr>
    </w:p>
    <w:p w:rsidR="007E3A5C" w:rsidRPr="00A87019" w:rsidP="007E3A5C" w14:paraId="66E0FD27" w14:textId="288E88DD">
      <w:pPr>
        <w:spacing w:line="480" w:lineRule="auto"/>
        <w:rPr>
          <w:rFonts w:ascii="Times New Roman" w:eastAsia="MS Mincho" w:hAnsi="Times New Roman" w:cs="Times New Roman"/>
          <w:sz w:val="24"/>
          <w:szCs w:val="24"/>
        </w:rPr>
      </w:pPr>
      <w:r w:rsidRPr="00A87019">
        <w:rPr>
          <w:rFonts w:ascii="Times New Roman" w:hAnsi="Times New Roman" w:cs="Times New Roman"/>
          <w:sz w:val="24"/>
          <w:szCs w:val="24"/>
          <w:u w:val="single"/>
        </w:rPr>
        <w:t>Estimated Number of Potential Respondents</w:t>
      </w:r>
      <w:r w:rsidRPr="00A87019">
        <w:rPr>
          <w:rFonts w:ascii="Times New Roman" w:hAnsi="Times New Roman" w:cs="Times New Roman"/>
          <w:sz w:val="24"/>
          <w:szCs w:val="24"/>
        </w:rPr>
        <w:t xml:space="preserve">:  </w:t>
      </w:r>
      <w:r w:rsidRPr="00A87019" w:rsidR="5E3CFCE4">
        <w:rPr>
          <w:rFonts w:ascii="Times New Roman" w:hAnsi="Times New Roman" w:cs="Times New Roman"/>
          <w:sz w:val="24"/>
          <w:szCs w:val="24"/>
        </w:rPr>
        <w:t>46,158 financial institutions.</w:t>
      </w:r>
      <w:r>
        <w:rPr>
          <w:rStyle w:val="FootnoteReference"/>
          <w:rFonts w:ascii="Times New Roman" w:hAnsi="Times New Roman" w:cs="Times New Roman"/>
          <w:sz w:val="24"/>
          <w:szCs w:val="24"/>
        </w:rPr>
        <w:footnoteReference w:id="30"/>
      </w:r>
    </w:p>
    <w:p w:rsidR="00CA7948" w14:paraId="22DC655A" w14:textId="285EB66C">
      <w:pPr>
        <w:rPr>
          <w:rFonts w:ascii="Times New Roman" w:hAnsi="Times New Roman" w:cs="Times New Roman"/>
          <w:b/>
          <w:bCs/>
          <w:color w:val="000000"/>
          <w:sz w:val="24"/>
          <w:szCs w:val="24"/>
        </w:rPr>
      </w:pPr>
      <w:r>
        <w:rPr>
          <w:rFonts w:ascii="Times New Roman" w:hAnsi="Times New Roman" w:cs="Times New Roman"/>
          <w:sz w:val="24"/>
          <w:szCs w:val="24"/>
        </w:rPr>
        <w:pict>
          <v:rect id="_x0000_i1025" style="width:0;height:1.5pt" o:hralign="center" o:hrstd="t" o:hr="t" fillcolor="#a0a0a0" stroked="f"/>
        </w:pict>
      </w:r>
    </w:p>
    <w:p w:rsidR="002A033B" w:rsidRPr="00B25791" w14:paraId="505FB100" w14:textId="5F74E75B">
      <w:pPr>
        <w:rPr>
          <w:rFonts w:ascii="Times New Roman" w:hAnsi="Times New Roman" w:cs="Times New Roman"/>
          <w:b/>
          <w:bCs/>
          <w:color w:val="000000"/>
        </w:rPr>
      </w:pPr>
      <w:r w:rsidRPr="00B25791">
        <w:rPr>
          <w:rFonts w:ascii="Times New Roman" w:hAnsi="Times New Roman" w:cs="Times New Roman"/>
          <w:b/>
          <w:bCs/>
          <w:color w:val="000000"/>
          <w:sz w:val="24"/>
          <w:szCs w:val="24"/>
        </w:rPr>
        <w:t>Table 1. Distribution of financial institutions covered by this</w:t>
      </w:r>
      <w:r>
        <w:rPr>
          <w:rFonts w:ascii="Times New Roman" w:hAnsi="Times New Roman" w:cs="Times New Roman"/>
          <w:b/>
          <w:bCs/>
          <w:color w:val="000000"/>
          <w:sz w:val="24"/>
          <w:szCs w:val="24"/>
        </w:rPr>
        <w:t xml:space="preserve"> statement</w:t>
      </w:r>
      <w:r w:rsidRPr="00B25791">
        <w:rPr>
          <w:rFonts w:ascii="Times New Roman" w:hAnsi="Times New Roman" w:cs="Times New Roman"/>
          <w:b/>
          <w:bCs/>
          <w:color w:val="000000"/>
          <w:sz w:val="24"/>
          <w:szCs w:val="24"/>
        </w:rPr>
        <w:t xml:space="preserve">, by type of financial institution </w:t>
      </w:r>
    </w:p>
    <w:tbl>
      <w:tblPr>
        <w:tblW w:w="5000" w:type="pct"/>
        <w:tblLayout w:type="fixed"/>
        <w:tblLook w:val="04A0"/>
      </w:tblPr>
      <w:tblGrid>
        <w:gridCol w:w="6792"/>
        <w:gridCol w:w="2558"/>
      </w:tblGrid>
      <w:tr w14:paraId="5BDA8F5B" w14:textId="77777777" w:rsidTr="00E938AB">
        <w:tblPrEx>
          <w:tblW w:w="5000" w:type="pct"/>
          <w:tblLayout w:type="fixed"/>
          <w:tblLook w:val="04A0"/>
        </w:tblPrEx>
        <w:trPr>
          <w:trHeight w:val="20"/>
          <w:tblHeader/>
        </w:trPr>
        <w:tc>
          <w:tcPr>
            <w:tcW w:w="3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303E" w:rsidRPr="00E938AB" w:rsidP="00C66B0B" w14:paraId="3FA047BE" w14:textId="77777777">
            <w:pPr>
              <w:jc w:val="center"/>
              <w:rPr>
                <w:rFonts w:ascii="Times New Roman" w:hAnsi="Times New Roman" w:cs="Times New Roman"/>
                <w:b/>
                <w:bCs/>
                <w:color w:val="000000"/>
                <w:sz w:val="24"/>
                <w:szCs w:val="24"/>
              </w:rPr>
            </w:pPr>
            <w:r w:rsidRPr="00E938AB">
              <w:rPr>
                <w:rFonts w:ascii="Times New Roman" w:hAnsi="Times New Roman" w:cs="Times New Roman"/>
                <w:b/>
                <w:bCs/>
                <w:color w:val="000000"/>
                <w:sz w:val="24"/>
                <w:szCs w:val="24"/>
              </w:rPr>
              <w:t xml:space="preserve">Financial Institution </w:t>
            </w:r>
            <w:r w:rsidRPr="00E938AB">
              <w:rPr>
                <w:rFonts w:ascii="Times New Roman" w:hAnsi="Times New Roman" w:cs="Times New Roman"/>
                <w:b/>
                <w:bCs/>
                <w:color w:val="000000"/>
                <w:sz w:val="24"/>
                <w:szCs w:val="24"/>
              </w:rPr>
              <w:t>Type</w:t>
            </w:r>
            <w:r w:rsidRPr="00E938AB">
              <w:rPr>
                <w:rFonts w:ascii="Times New Roman" w:hAnsi="Times New Roman" w:cs="Times New Roman"/>
                <w:color w:val="000000"/>
                <w:sz w:val="24"/>
                <w:szCs w:val="24"/>
                <w:vertAlign w:val="superscript"/>
              </w:rPr>
              <w:t>a</w:t>
            </w:r>
          </w:p>
        </w:tc>
        <w:tc>
          <w:tcPr>
            <w:tcW w:w="1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303E" w:rsidRPr="00E938AB" w:rsidP="00E938AB" w14:paraId="02ED1210" w14:textId="77777777">
            <w:pPr>
              <w:jc w:val="center"/>
              <w:rPr>
                <w:rFonts w:ascii="Times New Roman" w:hAnsi="Times New Roman" w:cs="Times New Roman"/>
                <w:b/>
                <w:bCs/>
                <w:color w:val="000000"/>
                <w:sz w:val="24"/>
                <w:szCs w:val="24"/>
              </w:rPr>
            </w:pPr>
            <w:r w:rsidRPr="00E938AB">
              <w:rPr>
                <w:rFonts w:ascii="Times New Roman" w:hAnsi="Times New Roman" w:cs="Times New Roman"/>
                <w:b/>
                <w:bCs/>
                <w:color w:val="000000"/>
                <w:sz w:val="24"/>
                <w:szCs w:val="24"/>
              </w:rPr>
              <w:t>Number of Entities</w:t>
            </w:r>
          </w:p>
        </w:tc>
      </w:tr>
      <w:tr w14:paraId="15295E69" w14:textId="77777777" w:rsidTr="00E938AB">
        <w:tblPrEx>
          <w:tblW w:w="5000" w:type="pct"/>
          <w:tblLayout w:type="fixed"/>
          <w:tblLook w:val="04A0"/>
        </w:tblPrEx>
        <w:trPr>
          <w:trHeight w:val="20"/>
        </w:trPr>
        <w:tc>
          <w:tcPr>
            <w:tcW w:w="3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303E" w:rsidRPr="00E938AB" w14:paraId="6ABA81F5" w14:textId="77777777">
            <w:pPr>
              <w:rPr>
                <w:rFonts w:ascii="Times New Roman" w:hAnsi="Times New Roman" w:cs="Times New Roman"/>
                <w:color w:val="000000"/>
                <w:sz w:val="24"/>
                <w:szCs w:val="24"/>
              </w:rPr>
            </w:pPr>
            <w:r w:rsidRPr="00E938AB">
              <w:rPr>
                <w:rFonts w:ascii="Times New Roman" w:hAnsi="Times New Roman" w:cs="Times New Roman"/>
                <w:color w:val="000000"/>
                <w:sz w:val="24"/>
                <w:szCs w:val="24"/>
              </w:rPr>
              <w:t>Bank</w:t>
            </w:r>
            <w:r w:rsidRPr="00E938AB">
              <w:rPr>
                <w:rFonts w:ascii="Times New Roman" w:hAnsi="Times New Roman" w:cs="Times New Roman"/>
                <w:color w:val="000000"/>
                <w:sz w:val="24"/>
                <w:szCs w:val="24"/>
                <w:vertAlign w:val="superscript"/>
              </w:rPr>
              <w:t>b</w:t>
            </w:r>
          </w:p>
        </w:tc>
        <w:tc>
          <w:tcPr>
            <w:tcW w:w="1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303E" w:rsidRPr="00E938AB" w14:paraId="10187411" w14:textId="77777777">
            <w:pPr>
              <w:jc w:val="center"/>
              <w:rPr>
                <w:rFonts w:ascii="Times New Roman" w:hAnsi="Times New Roman" w:cs="Times New Roman"/>
                <w:color w:val="000000"/>
                <w:sz w:val="24"/>
                <w:szCs w:val="24"/>
              </w:rPr>
            </w:pPr>
            <w:r w:rsidRPr="00E938AB">
              <w:rPr>
                <w:rFonts w:ascii="Times New Roman" w:hAnsi="Times New Roman" w:cs="Times New Roman"/>
                <w:color w:val="000000"/>
                <w:sz w:val="24"/>
                <w:szCs w:val="24"/>
              </w:rPr>
              <w:t>9,384</w:t>
            </w:r>
            <w:r w:rsidRPr="00E938AB">
              <w:rPr>
                <w:rFonts w:ascii="Times New Roman" w:hAnsi="Times New Roman" w:cs="Times New Roman"/>
                <w:color w:val="000000"/>
                <w:sz w:val="24"/>
                <w:szCs w:val="24"/>
                <w:vertAlign w:val="superscript"/>
              </w:rPr>
              <w:t>c</w:t>
            </w:r>
          </w:p>
        </w:tc>
      </w:tr>
      <w:tr w14:paraId="2E9ED728" w14:textId="77777777" w:rsidTr="00E938AB">
        <w:tblPrEx>
          <w:tblW w:w="5000" w:type="pct"/>
          <w:tblLayout w:type="fixed"/>
          <w:tblLook w:val="04A0"/>
        </w:tblPrEx>
        <w:trPr>
          <w:trHeight w:val="20"/>
        </w:trPr>
        <w:tc>
          <w:tcPr>
            <w:tcW w:w="3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6B0B" w:rsidRPr="00E938AB" w:rsidP="00E938AB" w14:paraId="773E21A5" w14:textId="6C4A47DD">
            <w:pPr>
              <w:ind w:left="720"/>
              <w:rPr>
                <w:rFonts w:ascii="Times New Roman" w:hAnsi="Times New Roman" w:cs="Times New Roman"/>
                <w:color w:val="000000"/>
                <w:sz w:val="24"/>
                <w:szCs w:val="24"/>
              </w:rPr>
            </w:pPr>
            <w:r w:rsidRPr="00E938AB">
              <w:rPr>
                <w:rFonts w:ascii="Times New Roman" w:hAnsi="Times New Roman" w:cs="Times New Roman"/>
                <w:color w:val="000000" w:themeColor="text1"/>
                <w:sz w:val="24"/>
                <w:szCs w:val="24"/>
              </w:rPr>
              <w:t>Bank with a Federal Functional Regulator (FFR)</w:t>
            </w:r>
          </w:p>
        </w:tc>
        <w:tc>
          <w:tcPr>
            <w:tcW w:w="1368" w:type="pct"/>
            <w:tcBorders>
              <w:top w:val="single" w:sz="4" w:space="0" w:color="auto"/>
              <w:left w:val="nil"/>
              <w:bottom w:val="single" w:sz="4" w:space="0" w:color="auto"/>
              <w:right w:val="single" w:sz="4" w:space="0" w:color="auto"/>
            </w:tcBorders>
            <w:shd w:val="clear" w:color="auto" w:fill="auto"/>
            <w:noWrap/>
            <w:vAlign w:val="bottom"/>
            <w:hideMark/>
          </w:tcPr>
          <w:p w:rsidR="00C66B0B" w:rsidRPr="00E938AB" w14:paraId="259DB7BF" w14:textId="77777777">
            <w:pPr>
              <w:jc w:val="center"/>
              <w:rPr>
                <w:rFonts w:ascii="Times New Roman" w:hAnsi="Times New Roman" w:cs="Times New Roman"/>
                <w:color w:val="000000"/>
                <w:sz w:val="24"/>
                <w:szCs w:val="24"/>
              </w:rPr>
            </w:pPr>
            <w:r w:rsidRPr="00E938AB">
              <w:rPr>
                <w:rFonts w:ascii="Times New Roman" w:hAnsi="Times New Roman" w:cs="Times New Roman"/>
                <w:sz w:val="24"/>
                <w:szCs w:val="24"/>
              </w:rPr>
              <w:t>8,989</w:t>
            </w:r>
          </w:p>
        </w:tc>
      </w:tr>
      <w:tr w14:paraId="2CD69CE2" w14:textId="77777777" w:rsidTr="00E938AB">
        <w:tblPrEx>
          <w:tblW w:w="5000" w:type="pct"/>
          <w:tblLayout w:type="fixed"/>
          <w:tblLook w:val="04A0"/>
        </w:tblPrEx>
        <w:trPr>
          <w:trHeight w:val="20"/>
        </w:trPr>
        <w:tc>
          <w:tcPr>
            <w:tcW w:w="3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6B0B" w:rsidRPr="00E938AB" w:rsidP="00E938AB" w14:paraId="017EA2D7" w14:textId="4C5D748A">
            <w:pPr>
              <w:ind w:left="720"/>
              <w:rPr>
                <w:rFonts w:ascii="Times New Roman" w:hAnsi="Times New Roman" w:cs="Times New Roman"/>
                <w:color w:val="000000"/>
                <w:sz w:val="24"/>
                <w:szCs w:val="24"/>
              </w:rPr>
            </w:pPr>
            <w:r w:rsidRPr="00E938AB">
              <w:rPr>
                <w:rFonts w:ascii="Times New Roman" w:hAnsi="Times New Roman" w:cs="Times New Roman"/>
                <w:color w:val="000000"/>
                <w:sz w:val="24"/>
                <w:szCs w:val="24"/>
              </w:rPr>
              <w:t>Bank without an FFR</w:t>
            </w:r>
          </w:p>
        </w:tc>
        <w:tc>
          <w:tcPr>
            <w:tcW w:w="1368" w:type="pct"/>
            <w:tcBorders>
              <w:top w:val="single" w:sz="4" w:space="0" w:color="auto"/>
              <w:left w:val="nil"/>
              <w:bottom w:val="single" w:sz="4" w:space="0" w:color="auto"/>
              <w:right w:val="single" w:sz="4" w:space="0" w:color="auto"/>
            </w:tcBorders>
            <w:shd w:val="clear" w:color="auto" w:fill="auto"/>
            <w:noWrap/>
            <w:vAlign w:val="bottom"/>
            <w:hideMark/>
          </w:tcPr>
          <w:p w:rsidR="00C66B0B" w:rsidRPr="00E938AB" w14:paraId="7239C20F" w14:textId="77777777">
            <w:pPr>
              <w:jc w:val="center"/>
              <w:rPr>
                <w:rFonts w:ascii="Times New Roman" w:hAnsi="Times New Roman" w:cs="Times New Roman"/>
                <w:color w:val="000000"/>
                <w:sz w:val="24"/>
                <w:szCs w:val="24"/>
              </w:rPr>
            </w:pPr>
            <w:r w:rsidRPr="00E938AB">
              <w:rPr>
                <w:rFonts w:ascii="Times New Roman" w:hAnsi="Times New Roman" w:cs="Times New Roman"/>
                <w:sz w:val="24"/>
                <w:szCs w:val="24"/>
              </w:rPr>
              <w:t>395</w:t>
            </w:r>
          </w:p>
        </w:tc>
      </w:tr>
      <w:tr w14:paraId="2238230E" w14:textId="77777777" w:rsidTr="00E938AB">
        <w:tblPrEx>
          <w:tblW w:w="5000" w:type="pct"/>
          <w:tblLayout w:type="fixed"/>
          <w:tblLook w:val="04A0"/>
        </w:tblPrEx>
        <w:trPr>
          <w:trHeight w:val="20"/>
        </w:trPr>
        <w:tc>
          <w:tcPr>
            <w:tcW w:w="3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303E" w:rsidRPr="00E938AB" w14:paraId="404D4A9D" w14:textId="77777777">
            <w:pPr>
              <w:rPr>
                <w:rFonts w:ascii="Times New Roman" w:hAnsi="Times New Roman" w:cs="Times New Roman"/>
                <w:color w:val="000000"/>
                <w:sz w:val="24"/>
                <w:szCs w:val="24"/>
              </w:rPr>
            </w:pPr>
            <w:r w:rsidRPr="00E938AB">
              <w:rPr>
                <w:rFonts w:ascii="Times New Roman" w:hAnsi="Times New Roman" w:cs="Times New Roman"/>
                <w:color w:val="000000" w:themeColor="text1"/>
                <w:sz w:val="24"/>
                <w:szCs w:val="24"/>
              </w:rPr>
              <w:t>Broker or dealer in securities (broker-dealer)</w:t>
            </w:r>
            <w:r w:rsidRPr="00E938AB">
              <w:rPr>
                <w:rFonts w:ascii="Times New Roman" w:hAnsi="Times New Roman" w:cs="Times New Roman"/>
                <w:color w:val="000000" w:themeColor="text1"/>
                <w:sz w:val="24"/>
                <w:szCs w:val="24"/>
                <w:vertAlign w:val="superscript"/>
              </w:rPr>
              <w:t>d</w:t>
            </w:r>
          </w:p>
        </w:tc>
        <w:tc>
          <w:tcPr>
            <w:tcW w:w="1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303E" w:rsidRPr="00E938AB" w14:paraId="703451EF" w14:textId="77777777">
            <w:pPr>
              <w:jc w:val="center"/>
              <w:rPr>
                <w:rFonts w:ascii="Times New Roman" w:hAnsi="Times New Roman" w:cs="Times New Roman"/>
                <w:color w:val="000000"/>
                <w:sz w:val="24"/>
                <w:szCs w:val="24"/>
              </w:rPr>
            </w:pPr>
            <w:r w:rsidRPr="00E938AB">
              <w:rPr>
                <w:rFonts w:ascii="Times New Roman" w:hAnsi="Times New Roman" w:cs="Times New Roman"/>
                <w:color w:val="000000"/>
                <w:sz w:val="24"/>
                <w:szCs w:val="24"/>
              </w:rPr>
              <w:t>3,306</w:t>
            </w:r>
            <w:r w:rsidRPr="00E938AB">
              <w:rPr>
                <w:rFonts w:ascii="Times New Roman" w:hAnsi="Times New Roman" w:cs="Times New Roman"/>
                <w:color w:val="000000"/>
                <w:sz w:val="24"/>
                <w:szCs w:val="24"/>
                <w:vertAlign w:val="superscript"/>
              </w:rPr>
              <w:t>e</w:t>
            </w:r>
          </w:p>
        </w:tc>
      </w:tr>
      <w:tr w14:paraId="30768AA2" w14:textId="77777777" w:rsidTr="00E938AB">
        <w:tblPrEx>
          <w:tblW w:w="5000" w:type="pct"/>
          <w:tblLayout w:type="fixed"/>
          <w:tblLook w:val="04A0"/>
        </w:tblPrEx>
        <w:trPr>
          <w:trHeight w:val="20"/>
        </w:trPr>
        <w:tc>
          <w:tcPr>
            <w:tcW w:w="3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303E" w:rsidRPr="00E938AB" w14:paraId="5EA592D8" w14:textId="28160E53">
            <w:pPr>
              <w:rPr>
                <w:rFonts w:ascii="Times New Roman" w:hAnsi="Times New Roman" w:cs="Times New Roman"/>
                <w:color w:val="000000"/>
                <w:sz w:val="24"/>
                <w:szCs w:val="24"/>
              </w:rPr>
            </w:pPr>
            <w:r w:rsidRPr="00E938AB">
              <w:rPr>
                <w:rFonts w:ascii="Times New Roman" w:hAnsi="Times New Roman" w:cs="Times New Roman"/>
                <w:color w:val="000000"/>
                <w:sz w:val="24"/>
                <w:szCs w:val="24"/>
              </w:rPr>
              <w:t>Money Services Business</w:t>
            </w:r>
            <w:r w:rsidRPr="00E938AB" w:rsidR="005F1E92">
              <w:rPr>
                <w:rFonts w:ascii="Times New Roman" w:hAnsi="Times New Roman" w:cs="Times New Roman"/>
                <w:color w:val="000000"/>
                <w:sz w:val="24"/>
                <w:szCs w:val="24"/>
              </w:rPr>
              <w:t xml:space="preserve"> (MSB)</w:t>
            </w:r>
            <w:r w:rsidRPr="00E938AB">
              <w:rPr>
                <w:rFonts w:ascii="Times New Roman" w:hAnsi="Times New Roman" w:cs="Times New Roman"/>
                <w:color w:val="000000"/>
                <w:sz w:val="24"/>
                <w:szCs w:val="24"/>
                <w:vertAlign w:val="superscript"/>
              </w:rPr>
              <w:t>f</w:t>
            </w:r>
            <w:r w:rsidRPr="00E938AB">
              <w:rPr>
                <w:rFonts w:ascii="Times New Roman" w:hAnsi="Times New Roman" w:cs="Times New Roman"/>
                <w:color w:val="000000"/>
                <w:sz w:val="24"/>
                <w:szCs w:val="24"/>
              </w:rPr>
              <w:t xml:space="preserve"> </w:t>
            </w:r>
          </w:p>
        </w:tc>
        <w:tc>
          <w:tcPr>
            <w:tcW w:w="1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303E" w:rsidRPr="00E938AB" w14:paraId="10FF629B" w14:textId="77777777">
            <w:pPr>
              <w:jc w:val="center"/>
              <w:rPr>
                <w:rFonts w:ascii="Times New Roman" w:hAnsi="Times New Roman" w:cs="Times New Roman"/>
                <w:color w:val="000000"/>
                <w:sz w:val="24"/>
                <w:szCs w:val="24"/>
              </w:rPr>
            </w:pPr>
            <w:r w:rsidRPr="00E938AB">
              <w:rPr>
                <w:rFonts w:ascii="Times New Roman" w:hAnsi="Times New Roman" w:cs="Times New Roman"/>
                <w:color w:val="000000"/>
                <w:sz w:val="24"/>
                <w:szCs w:val="24"/>
              </w:rPr>
              <w:t>28,456</w:t>
            </w:r>
            <w:r w:rsidRPr="00E938AB">
              <w:rPr>
                <w:rFonts w:ascii="Times New Roman" w:hAnsi="Times New Roman" w:cs="Times New Roman"/>
                <w:color w:val="000000"/>
                <w:sz w:val="24"/>
                <w:szCs w:val="24"/>
                <w:vertAlign w:val="superscript"/>
              </w:rPr>
              <w:t>g</w:t>
            </w:r>
          </w:p>
        </w:tc>
      </w:tr>
      <w:tr w14:paraId="133B00F8" w14:textId="77777777" w:rsidTr="00E938AB">
        <w:tblPrEx>
          <w:tblW w:w="5000" w:type="pct"/>
          <w:tblLayout w:type="fixed"/>
          <w:tblLook w:val="04A0"/>
        </w:tblPrEx>
        <w:trPr>
          <w:trHeight w:val="20"/>
        </w:trPr>
        <w:tc>
          <w:tcPr>
            <w:tcW w:w="36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6B0B" w:rsidRPr="00E938AB" w:rsidP="00E938AB" w14:paraId="7F8F4688" w14:textId="3D4F5DAA">
            <w:pPr>
              <w:ind w:left="720"/>
              <w:rPr>
                <w:rFonts w:ascii="Times New Roman" w:hAnsi="Times New Roman" w:cs="Times New Roman"/>
                <w:color w:val="000000"/>
                <w:sz w:val="24"/>
                <w:szCs w:val="24"/>
              </w:rPr>
            </w:pPr>
            <w:r w:rsidRPr="00E938AB">
              <w:rPr>
                <w:rFonts w:ascii="Times New Roman" w:hAnsi="Times New Roman" w:cs="Times New Roman"/>
                <w:color w:val="000000"/>
                <w:sz w:val="24"/>
                <w:szCs w:val="24"/>
              </w:rPr>
              <w:t xml:space="preserve"> Dealer in Foreign </w:t>
            </w:r>
            <w:r w:rsidRPr="00E938AB">
              <w:rPr>
                <w:rFonts w:ascii="Times New Roman" w:hAnsi="Times New Roman" w:cs="Times New Roman"/>
                <w:color w:val="000000"/>
                <w:sz w:val="24"/>
                <w:szCs w:val="24"/>
              </w:rPr>
              <w:t>Exchange</w:t>
            </w:r>
            <w:r w:rsidRPr="00E938AB">
              <w:rPr>
                <w:rFonts w:ascii="Times New Roman" w:hAnsi="Times New Roman" w:cs="Times New Roman"/>
                <w:color w:val="000000"/>
                <w:sz w:val="24"/>
                <w:szCs w:val="24"/>
                <w:vertAlign w:val="superscript"/>
              </w:rPr>
              <w:t>h</w:t>
            </w:r>
          </w:p>
        </w:tc>
        <w:tc>
          <w:tcPr>
            <w:tcW w:w="1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6B0B" w:rsidRPr="00E938AB" w14:paraId="3691D23B" w14:textId="77777777">
            <w:pPr>
              <w:jc w:val="center"/>
              <w:rPr>
                <w:rFonts w:ascii="Times New Roman" w:hAnsi="Times New Roman" w:cs="Times New Roman"/>
                <w:color w:val="000000"/>
                <w:sz w:val="24"/>
                <w:szCs w:val="24"/>
              </w:rPr>
            </w:pPr>
            <w:r w:rsidRPr="00E938AB">
              <w:rPr>
                <w:rFonts w:ascii="Times New Roman" w:hAnsi="Times New Roman" w:cs="Times New Roman"/>
                <w:color w:val="000000"/>
                <w:sz w:val="24"/>
                <w:szCs w:val="24"/>
              </w:rPr>
              <w:t>4,974</w:t>
            </w:r>
            <w:r w:rsidRPr="00E938AB">
              <w:rPr>
                <w:rFonts w:ascii="Times New Roman" w:hAnsi="Times New Roman" w:cs="Times New Roman"/>
                <w:color w:val="000000"/>
                <w:sz w:val="24"/>
                <w:szCs w:val="24"/>
                <w:vertAlign w:val="superscript"/>
              </w:rPr>
              <w:t>i</w:t>
            </w:r>
          </w:p>
        </w:tc>
      </w:tr>
      <w:tr w14:paraId="22148CE4" w14:textId="77777777" w:rsidTr="00E938AB">
        <w:tblPrEx>
          <w:tblW w:w="5000" w:type="pct"/>
          <w:tblLayout w:type="fixed"/>
          <w:tblLook w:val="04A0"/>
        </w:tblPrEx>
        <w:trPr>
          <w:trHeight w:val="20"/>
        </w:trPr>
        <w:tc>
          <w:tcPr>
            <w:tcW w:w="36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6B0B" w:rsidRPr="00E938AB" w:rsidP="00E938AB" w14:paraId="0EC7F487" w14:textId="3ADA6AA6">
            <w:pPr>
              <w:ind w:left="720"/>
              <w:rPr>
                <w:rFonts w:ascii="Times New Roman" w:hAnsi="Times New Roman" w:cs="Times New Roman"/>
                <w:color w:val="000000"/>
                <w:sz w:val="24"/>
                <w:szCs w:val="24"/>
              </w:rPr>
            </w:pPr>
            <w:r w:rsidRPr="00E938AB">
              <w:rPr>
                <w:rFonts w:ascii="Times New Roman" w:hAnsi="Times New Roman" w:cs="Times New Roman"/>
                <w:color w:val="000000"/>
                <w:sz w:val="24"/>
                <w:szCs w:val="24"/>
              </w:rPr>
              <w:t xml:space="preserve">Check </w:t>
            </w:r>
            <w:r w:rsidRPr="00E938AB">
              <w:rPr>
                <w:rFonts w:ascii="Times New Roman" w:hAnsi="Times New Roman" w:cs="Times New Roman"/>
                <w:color w:val="000000"/>
                <w:sz w:val="24"/>
                <w:szCs w:val="24"/>
              </w:rPr>
              <w:t>Casher</w:t>
            </w:r>
            <w:r w:rsidRPr="00E938AB">
              <w:rPr>
                <w:rFonts w:ascii="Times New Roman" w:hAnsi="Times New Roman" w:cs="Times New Roman"/>
                <w:color w:val="000000"/>
                <w:sz w:val="24"/>
                <w:szCs w:val="24"/>
                <w:vertAlign w:val="superscript"/>
              </w:rPr>
              <w:t>j</w:t>
            </w:r>
          </w:p>
        </w:tc>
        <w:tc>
          <w:tcPr>
            <w:tcW w:w="1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6B0B" w:rsidRPr="00E938AB" w14:paraId="27FCA361" w14:textId="77777777">
            <w:pPr>
              <w:jc w:val="center"/>
              <w:rPr>
                <w:rFonts w:ascii="Times New Roman" w:hAnsi="Times New Roman" w:cs="Times New Roman"/>
                <w:color w:val="000000"/>
                <w:sz w:val="24"/>
                <w:szCs w:val="24"/>
              </w:rPr>
            </w:pPr>
            <w:r w:rsidRPr="00E938AB">
              <w:rPr>
                <w:rFonts w:ascii="Times New Roman" w:hAnsi="Times New Roman" w:cs="Times New Roman"/>
                <w:color w:val="000000"/>
                <w:sz w:val="24"/>
                <w:szCs w:val="24"/>
              </w:rPr>
              <w:t>22,773</w:t>
            </w:r>
            <w:r w:rsidRPr="00E938AB">
              <w:rPr>
                <w:rFonts w:ascii="Times New Roman" w:hAnsi="Times New Roman" w:cs="Times New Roman"/>
                <w:color w:val="000000"/>
                <w:sz w:val="24"/>
                <w:szCs w:val="24"/>
                <w:vertAlign w:val="superscript"/>
              </w:rPr>
              <w:t>k</w:t>
            </w:r>
          </w:p>
        </w:tc>
      </w:tr>
      <w:tr w14:paraId="5B101415" w14:textId="77777777" w:rsidTr="00E938AB">
        <w:tblPrEx>
          <w:tblW w:w="5000" w:type="pct"/>
          <w:tblLayout w:type="fixed"/>
          <w:tblLook w:val="04A0"/>
        </w:tblPrEx>
        <w:trPr>
          <w:trHeight w:val="20"/>
        </w:trPr>
        <w:tc>
          <w:tcPr>
            <w:tcW w:w="36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6B0B" w:rsidRPr="00E938AB" w:rsidP="00E938AB" w14:paraId="56457DD2" w14:textId="5E7D2E7E">
            <w:pPr>
              <w:ind w:left="720"/>
              <w:rPr>
                <w:rFonts w:ascii="Times New Roman" w:hAnsi="Times New Roman" w:cs="Times New Roman"/>
                <w:color w:val="000000"/>
                <w:sz w:val="24"/>
                <w:szCs w:val="24"/>
              </w:rPr>
            </w:pPr>
            <w:r w:rsidRPr="00E938AB">
              <w:rPr>
                <w:rFonts w:ascii="Times New Roman" w:hAnsi="Times New Roman" w:cs="Times New Roman"/>
                <w:color w:val="000000"/>
                <w:sz w:val="24"/>
                <w:szCs w:val="24"/>
              </w:rPr>
              <w:t xml:space="preserve">Issuer/Seller of Traveler’s </w:t>
            </w:r>
            <w:r w:rsidRPr="00E938AB">
              <w:rPr>
                <w:rFonts w:ascii="Times New Roman" w:hAnsi="Times New Roman" w:cs="Times New Roman"/>
                <w:color w:val="000000"/>
                <w:sz w:val="24"/>
                <w:szCs w:val="24"/>
              </w:rPr>
              <w:t>Checks</w:t>
            </w:r>
            <w:r w:rsidRPr="00E938AB">
              <w:rPr>
                <w:rFonts w:ascii="Times New Roman" w:hAnsi="Times New Roman" w:cs="Times New Roman"/>
                <w:color w:val="000000"/>
                <w:sz w:val="24"/>
                <w:szCs w:val="24"/>
                <w:vertAlign w:val="superscript"/>
              </w:rPr>
              <w:t>l</w:t>
            </w:r>
          </w:p>
        </w:tc>
        <w:tc>
          <w:tcPr>
            <w:tcW w:w="1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6B0B" w:rsidRPr="00E938AB" w14:paraId="42F8BA4E" w14:textId="77777777">
            <w:pPr>
              <w:jc w:val="center"/>
              <w:rPr>
                <w:rFonts w:ascii="Times New Roman" w:hAnsi="Times New Roman" w:cs="Times New Roman"/>
                <w:color w:val="000000"/>
                <w:sz w:val="24"/>
                <w:szCs w:val="24"/>
              </w:rPr>
            </w:pPr>
            <w:r w:rsidRPr="00E938AB">
              <w:rPr>
                <w:rFonts w:ascii="Times New Roman" w:hAnsi="Times New Roman" w:cs="Times New Roman"/>
                <w:color w:val="000000"/>
                <w:sz w:val="24"/>
                <w:szCs w:val="24"/>
              </w:rPr>
              <w:t>2,801</w:t>
            </w:r>
            <w:r w:rsidRPr="00E938AB">
              <w:rPr>
                <w:rFonts w:ascii="Times New Roman" w:hAnsi="Times New Roman" w:cs="Times New Roman"/>
                <w:color w:val="000000"/>
                <w:sz w:val="24"/>
                <w:szCs w:val="24"/>
                <w:vertAlign w:val="superscript"/>
              </w:rPr>
              <w:t>m</w:t>
            </w:r>
          </w:p>
        </w:tc>
      </w:tr>
      <w:tr w14:paraId="7C168E95" w14:textId="77777777" w:rsidTr="00E938AB">
        <w:tblPrEx>
          <w:tblW w:w="5000" w:type="pct"/>
          <w:tblLayout w:type="fixed"/>
          <w:tblLook w:val="04A0"/>
        </w:tblPrEx>
        <w:trPr>
          <w:trHeight w:val="20"/>
        </w:trPr>
        <w:tc>
          <w:tcPr>
            <w:tcW w:w="36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6B0B" w:rsidRPr="00E938AB" w:rsidP="00E938AB" w14:paraId="1B263904" w14:textId="77777777">
            <w:pPr>
              <w:ind w:left="720"/>
              <w:rPr>
                <w:rFonts w:ascii="Times New Roman" w:hAnsi="Times New Roman" w:cs="Times New Roman"/>
                <w:color w:val="000000"/>
                <w:sz w:val="24"/>
                <w:szCs w:val="24"/>
              </w:rPr>
            </w:pPr>
            <w:r w:rsidRPr="00E938AB">
              <w:rPr>
                <w:rFonts w:ascii="Times New Roman" w:hAnsi="Times New Roman" w:cs="Times New Roman"/>
                <w:color w:val="000000"/>
                <w:sz w:val="24"/>
                <w:szCs w:val="24"/>
              </w:rPr>
              <w:t xml:space="preserve">Issuer/Seller of Money </w:t>
            </w:r>
            <w:r w:rsidRPr="00E938AB">
              <w:rPr>
                <w:rFonts w:ascii="Times New Roman" w:hAnsi="Times New Roman" w:cs="Times New Roman"/>
                <w:color w:val="000000"/>
                <w:sz w:val="24"/>
                <w:szCs w:val="24"/>
              </w:rPr>
              <w:t>Orders</w:t>
            </w:r>
            <w:r w:rsidRPr="00E938AB">
              <w:rPr>
                <w:rFonts w:ascii="Times New Roman" w:hAnsi="Times New Roman" w:cs="Times New Roman"/>
                <w:color w:val="000000"/>
                <w:sz w:val="24"/>
                <w:szCs w:val="24"/>
                <w:vertAlign w:val="superscript"/>
              </w:rPr>
              <w:t>n</w:t>
            </w:r>
          </w:p>
        </w:tc>
        <w:tc>
          <w:tcPr>
            <w:tcW w:w="13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6B0B" w:rsidRPr="00E938AB" w14:paraId="24661A95" w14:textId="77777777">
            <w:pPr>
              <w:jc w:val="center"/>
              <w:rPr>
                <w:rFonts w:ascii="Times New Roman" w:hAnsi="Times New Roman" w:cs="Times New Roman"/>
                <w:color w:val="000000"/>
                <w:sz w:val="24"/>
                <w:szCs w:val="24"/>
              </w:rPr>
            </w:pPr>
            <w:r w:rsidRPr="00E938AB">
              <w:rPr>
                <w:rFonts w:ascii="Times New Roman" w:hAnsi="Times New Roman" w:cs="Times New Roman"/>
                <w:color w:val="000000"/>
                <w:sz w:val="24"/>
                <w:szCs w:val="24"/>
              </w:rPr>
              <w:t>14,295</w:t>
            </w:r>
            <w:r w:rsidRPr="00E938AB">
              <w:rPr>
                <w:rFonts w:ascii="Times New Roman" w:hAnsi="Times New Roman" w:cs="Times New Roman"/>
                <w:color w:val="000000"/>
                <w:sz w:val="24"/>
                <w:szCs w:val="24"/>
                <w:vertAlign w:val="superscript"/>
              </w:rPr>
              <w:t>o</w:t>
            </w:r>
          </w:p>
        </w:tc>
      </w:tr>
      <w:tr w14:paraId="1EF35658" w14:textId="77777777" w:rsidTr="00E938AB">
        <w:tblPrEx>
          <w:tblW w:w="5000" w:type="pct"/>
          <w:tblLayout w:type="fixed"/>
          <w:tblLook w:val="04A0"/>
        </w:tblPrEx>
        <w:trPr>
          <w:trHeight w:val="20"/>
        </w:trPr>
        <w:tc>
          <w:tcPr>
            <w:tcW w:w="36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6B0B" w:rsidRPr="00E938AB" w:rsidP="00E938AB" w14:paraId="39EA481C" w14:textId="064CB603">
            <w:pPr>
              <w:ind w:left="720"/>
              <w:rPr>
                <w:rFonts w:ascii="Times New Roman" w:hAnsi="Times New Roman" w:cs="Times New Roman"/>
                <w:color w:val="000000"/>
                <w:sz w:val="24"/>
                <w:szCs w:val="24"/>
              </w:rPr>
            </w:pPr>
            <w:r w:rsidRPr="00E938AB">
              <w:rPr>
                <w:rFonts w:ascii="Times New Roman" w:hAnsi="Times New Roman" w:cs="Times New Roman"/>
                <w:color w:val="000000"/>
                <w:sz w:val="24"/>
                <w:szCs w:val="24"/>
              </w:rPr>
              <w:t xml:space="preserve">Provider or Seller of Prepaid </w:t>
            </w:r>
            <w:r w:rsidRPr="00E938AB">
              <w:rPr>
                <w:rFonts w:ascii="Times New Roman" w:hAnsi="Times New Roman" w:cs="Times New Roman"/>
                <w:color w:val="000000"/>
                <w:sz w:val="24"/>
                <w:szCs w:val="24"/>
              </w:rPr>
              <w:t>Access</w:t>
            </w:r>
            <w:r w:rsidRPr="00E938AB">
              <w:rPr>
                <w:rFonts w:ascii="Times New Roman" w:hAnsi="Times New Roman" w:cs="Times New Roman"/>
                <w:color w:val="000000"/>
                <w:sz w:val="24"/>
                <w:szCs w:val="24"/>
                <w:vertAlign w:val="superscript"/>
              </w:rPr>
              <w:t>p</w:t>
            </w:r>
          </w:p>
        </w:tc>
        <w:tc>
          <w:tcPr>
            <w:tcW w:w="1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6B0B" w:rsidRPr="00E938AB" w14:paraId="6BDD2C24" w14:textId="77777777">
            <w:pPr>
              <w:jc w:val="center"/>
              <w:rPr>
                <w:rFonts w:ascii="Times New Roman" w:hAnsi="Times New Roman" w:cs="Times New Roman"/>
                <w:color w:val="000000"/>
                <w:sz w:val="24"/>
                <w:szCs w:val="24"/>
              </w:rPr>
            </w:pPr>
            <w:r w:rsidRPr="00E938AB">
              <w:rPr>
                <w:rFonts w:ascii="Times New Roman" w:hAnsi="Times New Roman" w:cs="Times New Roman"/>
                <w:color w:val="000000"/>
                <w:sz w:val="24"/>
                <w:szCs w:val="24"/>
              </w:rPr>
              <w:t xml:space="preserve"> </w:t>
            </w:r>
            <w:r w:rsidRPr="00E938AB">
              <w:rPr>
                <w:rFonts w:ascii="Times New Roman" w:hAnsi="Times New Roman" w:cs="Times New Roman"/>
                <w:color w:val="000000"/>
                <w:sz w:val="24"/>
                <w:szCs w:val="24"/>
              </w:rPr>
              <w:t>3,985</w:t>
            </w:r>
            <w:r w:rsidRPr="00E938AB">
              <w:rPr>
                <w:rFonts w:ascii="Times New Roman" w:hAnsi="Times New Roman" w:cs="Times New Roman"/>
                <w:color w:val="000000"/>
                <w:sz w:val="24"/>
                <w:szCs w:val="24"/>
                <w:vertAlign w:val="superscript"/>
              </w:rPr>
              <w:t>q</w:t>
            </w:r>
          </w:p>
        </w:tc>
      </w:tr>
      <w:tr w14:paraId="19BC2ED0" w14:textId="77777777" w:rsidTr="00E938AB">
        <w:tblPrEx>
          <w:tblW w:w="5000" w:type="pct"/>
          <w:tblLayout w:type="fixed"/>
          <w:tblLook w:val="04A0"/>
        </w:tblPrEx>
        <w:trPr>
          <w:trHeight w:val="20"/>
        </w:trPr>
        <w:tc>
          <w:tcPr>
            <w:tcW w:w="3632"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6B0B" w:rsidRPr="00E938AB" w:rsidP="00E938AB" w14:paraId="6A50923D" w14:textId="77777777">
            <w:pPr>
              <w:ind w:left="720"/>
              <w:rPr>
                <w:rFonts w:ascii="Times New Roman" w:hAnsi="Times New Roman" w:cs="Times New Roman"/>
                <w:color w:val="000000"/>
                <w:sz w:val="24"/>
                <w:szCs w:val="24"/>
                <w:vertAlign w:val="superscript"/>
              </w:rPr>
            </w:pPr>
            <w:r w:rsidRPr="00E938AB">
              <w:rPr>
                <w:rFonts w:ascii="Times New Roman" w:hAnsi="Times New Roman" w:cs="Times New Roman"/>
                <w:color w:val="000000"/>
                <w:sz w:val="24"/>
                <w:szCs w:val="24"/>
              </w:rPr>
              <w:t xml:space="preserve">Money </w:t>
            </w:r>
            <w:r w:rsidRPr="00E938AB">
              <w:rPr>
                <w:rFonts w:ascii="Times New Roman" w:hAnsi="Times New Roman" w:cs="Times New Roman"/>
                <w:color w:val="000000"/>
                <w:sz w:val="24"/>
                <w:szCs w:val="24"/>
              </w:rPr>
              <w:t>Transmitter</w:t>
            </w:r>
            <w:r w:rsidRPr="00E938AB">
              <w:rPr>
                <w:rFonts w:ascii="Times New Roman" w:hAnsi="Times New Roman" w:cs="Times New Roman"/>
                <w:color w:val="000000"/>
                <w:sz w:val="24"/>
                <w:szCs w:val="24"/>
                <w:vertAlign w:val="superscript"/>
              </w:rPr>
              <w:t>r</w:t>
            </w:r>
          </w:p>
        </w:tc>
        <w:tc>
          <w:tcPr>
            <w:tcW w:w="13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6B0B" w:rsidRPr="00E938AB" w14:paraId="30070E4B" w14:textId="77777777">
            <w:pPr>
              <w:jc w:val="center"/>
              <w:rPr>
                <w:rFonts w:ascii="Times New Roman" w:hAnsi="Times New Roman" w:cs="Times New Roman"/>
                <w:color w:val="000000"/>
                <w:sz w:val="24"/>
                <w:szCs w:val="24"/>
                <w:vertAlign w:val="superscript"/>
              </w:rPr>
            </w:pPr>
            <w:r w:rsidRPr="00E938AB">
              <w:rPr>
                <w:rFonts w:ascii="Times New Roman" w:hAnsi="Times New Roman" w:cs="Times New Roman"/>
                <w:color w:val="000000"/>
                <w:sz w:val="24"/>
                <w:szCs w:val="24"/>
              </w:rPr>
              <w:t>17,944</w:t>
            </w:r>
            <w:r w:rsidRPr="00E938AB">
              <w:rPr>
                <w:rFonts w:ascii="Times New Roman" w:hAnsi="Times New Roman" w:cs="Times New Roman"/>
                <w:color w:val="000000"/>
                <w:sz w:val="24"/>
                <w:szCs w:val="24"/>
                <w:vertAlign w:val="superscript"/>
              </w:rPr>
              <w:t>s</w:t>
            </w:r>
          </w:p>
        </w:tc>
      </w:tr>
      <w:tr w14:paraId="2F4C5139" w14:textId="77777777" w:rsidTr="00E938AB">
        <w:tblPrEx>
          <w:tblW w:w="5000" w:type="pct"/>
          <w:tblLayout w:type="fixed"/>
          <w:tblLook w:val="04A0"/>
        </w:tblPrEx>
        <w:trPr>
          <w:trHeight w:val="20"/>
        </w:trPr>
        <w:tc>
          <w:tcPr>
            <w:tcW w:w="36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6B0B" w:rsidRPr="00E938AB" w:rsidP="00E938AB" w14:paraId="719AB4A1" w14:textId="4956F0E8">
            <w:pPr>
              <w:ind w:left="720"/>
              <w:rPr>
                <w:rFonts w:ascii="Times New Roman" w:hAnsi="Times New Roman" w:cs="Times New Roman"/>
                <w:color w:val="000000"/>
                <w:sz w:val="24"/>
                <w:szCs w:val="24"/>
              </w:rPr>
            </w:pPr>
            <w:r w:rsidRPr="00E938AB">
              <w:rPr>
                <w:rFonts w:ascii="Times New Roman" w:hAnsi="Times New Roman" w:cs="Times New Roman"/>
                <w:color w:val="000000"/>
                <w:sz w:val="24"/>
                <w:szCs w:val="24"/>
              </w:rPr>
              <w:t xml:space="preserve">U.S. Postal </w:t>
            </w:r>
            <w:r w:rsidRPr="00E938AB">
              <w:rPr>
                <w:rFonts w:ascii="Times New Roman" w:hAnsi="Times New Roman" w:cs="Times New Roman"/>
                <w:color w:val="000000"/>
                <w:sz w:val="24"/>
                <w:szCs w:val="24"/>
              </w:rPr>
              <w:t>Service</w:t>
            </w:r>
            <w:r w:rsidRPr="00E938AB">
              <w:rPr>
                <w:rFonts w:ascii="Times New Roman" w:hAnsi="Times New Roman" w:cs="Times New Roman"/>
                <w:color w:val="000000"/>
                <w:sz w:val="24"/>
                <w:szCs w:val="24"/>
                <w:vertAlign w:val="superscript"/>
              </w:rPr>
              <w:t>t</w:t>
            </w:r>
          </w:p>
        </w:tc>
        <w:tc>
          <w:tcPr>
            <w:tcW w:w="1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6B0B" w:rsidRPr="00E938AB" w14:paraId="571081B1" w14:textId="77777777">
            <w:pPr>
              <w:jc w:val="center"/>
              <w:rPr>
                <w:rFonts w:ascii="Times New Roman" w:hAnsi="Times New Roman" w:cs="Times New Roman"/>
                <w:color w:val="000000"/>
                <w:sz w:val="24"/>
                <w:szCs w:val="24"/>
              </w:rPr>
            </w:pPr>
            <w:r w:rsidRPr="00E938AB">
              <w:rPr>
                <w:rFonts w:ascii="Times New Roman" w:hAnsi="Times New Roman" w:cs="Times New Roman"/>
                <w:color w:val="000000"/>
                <w:sz w:val="24"/>
                <w:szCs w:val="24"/>
              </w:rPr>
              <w:t>0</w:t>
            </w:r>
            <w:r w:rsidRPr="00E938AB">
              <w:rPr>
                <w:rFonts w:ascii="Times New Roman" w:hAnsi="Times New Roman" w:cs="Times New Roman"/>
                <w:color w:val="000000"/>
                <w:sz w:val="24"/>
                <w:szCs w:val="24"/>
                <w:vertAlign w:val="superscript"/>
              </w:rPr>
              <w:t>u</w:t>
            </w:r>
          </w:p>
        </w:tc>
      </w:tr>
      <w:tr w14:paraId="5AFE83A5" w14:textId="77777777" w:rsidTr="00E938AB">
        <w:tblPrEx>
          <w:tblW w:w="5000" w:type="pct"/>
          <w:tblLayout w:type="fixed"/>
          <w:tblLook w:val="04A0"/>
        </w:tblPrEx>
        <w:trPr>
          <w:trHeight w:val="20"/>
        </w:trPr>
        <w:tc>
          <w:tcPr>
            <w:tcW w:w="36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303E" w:rsidRPr="00E938AB" w14:paraId="1DD4BD18" w14:textId="77777777">
            <w:pPr>
              <w:spacing w:line="259" w:lineRule="auto"/>
              <w:rPr>
                <w:rFonts w:ascii="Times New Roman" w:hAnsi="Times New Roman" w:cs="Times New Roman"/>
                <w:color w:val="000000" w:themeColor="text1"/>
                <w:sz w:val="24"/>
                <w:szCs w:val="24"/>
              </w:rPr>
            </w:pPr>
            <w:r w:rsidRPr="00E938AB">
              <w:rPr>
                <w:rFonts w:ascii="Times New Roman" w:hAnsi="Times New Roman" w:cs="Times New Roman"/>
                <w:color w:val="000000" w:themeColor="text1"/>
                <w:sz w:val="24"/>
                <w:szCs w:val="24"/>
              </w:rPr>
              <w:t xml:space="preserve">Telegraph </w:t>
            </w:r>
            <w:r w:rsidRPr="00E938AB">
              <w:rPr>
                <w:rFonts w:ascii="Times New Roman" w:hAnsi="Times New Roman" w:cs="Times New Roman"/>
                <w:color w:val="000000" w:themeColor="text1"/>
                <w:sz w:val="24"/>
                <w:szCs w:val="24"/>
              </w:rPr>
              <w:t>Company</w:t>
            </w:r>
            <w:r w:rsidRPr="00E938AB">
              <w:rPr>
                <w:rFonts w:ascii="Times New Roman" w:hAnsi="Times New Roman" w:cs="Times New Roman"/>
                <w:color w:val="000000" w:themeColor="text1"/>
                <w:sz w:val="24"/>
                <w:szCs w:val="24"/>
                <w:vertAlign w:val="superscript"/>
              </w:rPr>
              <w:t>v</w:t>
            </w:r>
          </w:p>
        </w:tc>
        <w:tc>
          <w:tcPr>
            <w:tcW w:w="1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303E" w:rsidRPr="00E938AB" w14:paraId="0566FCD7" w14:textId="77777777">
            <w:pPr>
              <w:jc w:val="center"/>
              <w:rPr>
                <w:rFonts w:ascii="Times New Roman" w:hAnsi="Times New Roman" w:cs="Times New Roman"/>
                <w:color w:val="000000"/>
                <w:sz w:val="24"/>
                <w:szCs w:val="24"/>
              </w:rPr>
            </w:pPr>
            <w:r w:rsidRPr="00E938AB">
              <w:rPr>
                <w:rFonts w:ascii="Times New Roman" w:hAnsi="Times New Roman" w:cs="Times New Roman"/>
                <w:color w:val="000000"/>
                <w:sz w:val="24"/>
                <w:szCs w:val="24"/>
              </w:rPr>
              <w:t>0</w:t>
            </w:r>
            <w:r w:rsidRPr="00E938AB">
              <w:rPr>
                <w:rFonts w:ascii="Times New Roman" w:hAnsi="Times New Roman" w:cs="Times New Roman"/>
                <w:color w:val="000000"/>
                <w:sz w:val="24"/>
                <w:szCs w:val="24"/>
                <w:vertAlign w:val="superscript"/>
              </w:rPr>
              <w:t>w</w:t>
            </w:r>
          </w:p>
        </w:tc>
      </w:tr>
      <w:tr w14:paraId="095F6A4F" w14:textId="77777777" w:rsidTr="00E938AB">
        <w:tblPrEx>
          <w:tblW w:w="5000" w:type="pct"/>
          <w:tblLayout w:type="fixed"/>
          <w:tblLook w:val="04A0"/>
        </w:tblPrEx>
        <w:trPr>
          <w:trHeight w:val="20"/>
        </w:trPr>
        <w:tc>
          <w:tcPr>
            <w:tcW w:w="3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303E" w:rsidRPr="00E938AB" w14:paraId="710D2BFA" w14:textId="77777777">
            <w:pPr>
              <w:rPr>
                <w:rFonts w:ascii="Times New Roman" w:hAnsi="Times New Roman" w:cs="Times New Roman"/>
                <w:color w:val="000000"/>
                <w:sz w:val="24"/>
                <w:szCs w:val="24"/>
              </w:rPr>
            </w:pPr>
            <w:r w:rsidRPr="00E938AB">
              <w:rPr>
                <w:rFonts w:ascii="Times New Roman" w:hAnsi="Times New Roman" w:cs="Times New Roman"/>
                <w:color w:val="000000"/>
                <w:sz w:val="24"/>
                <w:szCs w:val="24"/>
              </w:rPr>
              <w:t xml:space="preserve">Casino or Card </w:t>
            </w:r>
            <w:r w:rsidRPr="00E938AB">
              <w:rPr>
                <w:rFonts w:ascii="Times New Roman" w:hAnsi="Times New Roman" w:cs="Times New Roman"/>
                <w:color w:val="000000"/>
                <w:sz w:val="24"/>
                <w:szCs w:val="24"/>
              </w:rPr>
              <w:t>Club</w:t>
            </w:r>
            <w:r w:rsidRPr="00E938AB">
              <w:rPr>
                <w:rFonts w:ascii="Times New Roman" w:hAnsi="Times New Roman" w:cs="Times New Roman"/>
                <w:color w:val="000000"/>
                <w:sz w:val="24"/>
                <w:szCs w:val="24"/>
                <w:vertAlign w:val="superscript"/>
              </w:rPr>
              <w:t>x</w:t>
            </w:r>
          </w:p>
        </w:tc>
        <w:tc>
          <w:tcPr>
            <w:tcW w:w="1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303E" w:rsidRPr="00E938AB" w14:paraId="215D0A43" w14:textId="77777777">
            <w:pPr>
              <w:jc w:val="center"/>
              <w:rPr>
                <w:rFonts w:ascii="Times New Roman" w:hAnsi="Times New Roman" w:cs="Times New Roman"/>
                <w:color w:val="000000"/>
                <w:sz w:val="24"/>
                <w:szCs w:val="24"/>
              </w:rPr>
            </w:pPr>
            <w:r w:rsidRPr="00E938AB">
              <w:rPr>
                <w:rFonts w:ascii="Times New Roman" w:hAnsi="Times New Roman" w:cs="Times New Roman"/>
                <w:color w:val="000000"/>
                <w:sz w:val="24"/>
                <w:szCs w:val="24"/>
              </w:rPr>
              <w:t>1,292</w:t>
            </w:r>
            <w:r w:rsidRPr="00E938AB">
              <w:rPr>
                <w:rFonts w:ascii="Times New Roman" w:hAnsi="Times New Roman" w:cs="Times New Roman"/>
                <w:color w:val="000000"/>
                <w:sz w:val="24"/>
                <w:szCs w:val="24"/>
                <w:vertAlign w:val="superscript"/>
              </w:rPr>
              <w:t>y</w:t>
            </w:r>
          </w:p>
        </w:tc>
      </w:tr>
      <w:tr w14:paraId="1AE43F12" w14:textId="77777777" w:rsidTr="00E938AB">
        <w:tblPrEx>
          <w:tblW w:w="5000" w:type="pct"/>
          <w:tblLayout w:type="fixed"/>
          <w:tblLook w:val="04A0"/>
        </w:tblPrEx>
        <w:trPr>
          <w:trHeight w:val="20"/>
        </w:trPr>
        <w:tc>
          <w:tcPr>
            <w:tcW w:w="36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303E" w:rsidRPr="00E938AB" w14:paraId="2C7E147E" w14:textId="77777777">
            <w:pPr>
              <w:rPr>
                <w:rFonts w:ascii="Times New Roman" w:hAnsi="Times New Roman" w:cs="Times New Roman"/>
                <w:color w:val="000000"/>
                <w:sz w:val="24"/>
                <w:szCs w:val="24"/>
              </w:rPr>
            </w:pPr>
            <w:r w:rsidRPr="00E938AB">
              <w:rPr>
                <w:rFonts w:ascii="Times New Roman" w:hAnsi="Times New Roman" w:cs="Times New Roman"/>
                <w:color w:val="000000"/>
                <w:sz w:val="24"/>
                <w:szCs w:val="24"/>
              </w:rPr>
              <w:t xml:space="preserve">Person subject to supervision by any State or Federal Bank Supervisory </w:t>
            </w:r>
            <w:r w:rsidRPr="00E938AB">
              <w:rPr>
                <w:rFonts w:ascii="Times New Roman" w:hAnsi="Times New Roman" w:cs="Times New Roman"/>
                <w:color w:val="000000"/>
                <w:sz w:val="24"/>
                <w:szCs w:val="24"/>
              </w:rPr>
              <w:t>Authority</w:t>
            </w:r>
            <w:r w:rsidRPr="00E938AB">
              <w:rPr>
                <w:rFonts w:ascii="Times New Roman" w:hAnsi="Times New Roman" w:cs="Times New Roman"/>
                <w:color w:val="000000"/>
                <w:sz w:val="24"/>
                <w:szCs w:val="24"/>
                <w:vertAlign w:val="superscript"/>
              </w:rPr>
              <w:t>z</w:t>
            </w:r>
          </w:p>
        </w:tc>
        <w:tc>
          <w:tcPr>
            <w:tcW w:w="1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303E" w:rsidRPr="00E938AB" w14:paraId="7BE4FDA9" w14:textId="77777777">
            <w:pPr>
              <w:jc w:val="center"/>
              <w:rPr>
                <w:rFonts w:ascii="Times New Roman" w:hAnsi="Times New Roman" w:cs="Times New Roman"/>
                <w:color w:val="000000"/>
                <w:sz w:val="24"/>
                <w:szCs w:val="24"/>
              </w:rPr>
            </w:pPr>
            <w:r w:rsidRPr="00E938AB">
              <w:rPr>
                <w:rFonts w:ascii="Times New Roman" w:hAnsi="Times New Roman" w:cs="Times New Roman"/>
                <w:color w:val="000000"/>
                <w:sz w:val="24"/>
                <w:szCs w:val="24"/>
              </w:rPr>
              <w:t>0</w:t>
            </w:r>
            <w:r w:rsidRPr="00E938AB">
              <w:rPr>
                <w:rFonts w:ascii="Times New Roman" w:hAnsi="Times New Roman" w:cs="Times New Roman"/>
                <w:color w:val="000000"/>
                <w:sz w:val="24"/>
                <w:szCs w:val="24"/>
                <w:vertAlign w:val="superscript"/>
              </w:rPr>
              <w:t>aa</w:t>
            </w:r>
          </w:p>
        </w:tc>
      </w:tr>
      <w:tr w14:paraId="36EB4948" w14:textId="77777777" w:rsidTr="00E938AB">
        <w:tblPrEx>
          <w:tblW w:w="5000" w:type="pct"/>
          <w:tblLayout w:type="fixed"/>
          <w:tblLook w:val="04A0"/>
        </w:tblPrEx>
        <w:trPr>
          <w:trHeight w:val="20"/>
        </w:trPr>
        <w:tc>
          <w:tcPr>
            <w:tcW w:w="3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303E" w:rsidRPr="00E938AB" w14:paraId="415466FD" w14:textId="77777777">
            <w:pPr>
              <w:rPr>
                <w:rFonts w:ascii="Times New Roman" w:hAnsi="Times New Roman" w:cs="Times New Roman"/>
                <w:color w:val="000000"/>
                <w:sz w:val="24"/>
                <w:szCs w:val="24"/>
                <w:vertAlign w:val="superscript"/>
              </w:rPr>
            </w:pPr>
            <w:r w:rsidRPr="00E938AB">
              <w:rPr>
                <w:rFonts w:ascii="Times New Roman" w:hAnsi="Times New Roman" w:cs="Times New Roman"/>
                <w:color w:val="000000"/>
                <w:sz w:val="24"/>
                <w:szCs w:val="24"/>
              </w:rPr>
              <w:t xml:space="preserve">Futures Commission Merchants and Introducing Brokers in </w:t>
            </w:r>
            <w:r w:rsidRPr="00E938AB">
              <w:rPr>
                <w:rFonts w:ascii="Times New Roman" w:hAnsi="Times New Roman" w:cs="Times New Roman"/>
                <w:color w:val="000000"/>
                <w:sz w:val="24"/>
                <w:szCs w:val="24"/>
              </w:rPr>
              <w:t>Commodities</w:t>
            </w:r>
            <w:r w:rsidRPr="00E938AB">
              <w:rPr>
                <w:rFonts w:ascii="Times New Roman" w:hAnsi="Times New Roman" w:cs="Times New Roman"/>
                <w:color w:val="000000"/>
                <w:sz w:val="24"/>
                <w:szCs w:val="24"/>
                <w:vertAlign w:val="superscript"/>
              </w:rPr>
              <w:t>bb</w:t>
            </w:r>
          </w:p>
        </w:tc>
        <w:tc>
          <w:tcPr>
            <w:tcW w:w="1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303E" w:rsidRPr="00E938AB" w14:paraId="5DFFBC65" w14:textId="77777777">
            <w:pPr>
              <w:jc w:val="center"/>
              <w:rPr>
                <w:rFonts w:ascii="Times New Roman" w:hAnsi="Times New Roman" w:cs="Times New Roman"/>
                <w:color w:val="000000"/>
                <w:sz w:val="24"/>
                <w:szCs w:val="24"/>
              </w:rPr>
            </w:pPr>
            <w:r w:rsidRPr="00E938AB">
              <w:rPr>
                <w:rFonts w:ascii="Times New Roman" w:hAnsi="Times New Roman" w:cs="Times New Roman"/>
                <w:color w:val="000000"/>
                <w:sz w:val="24"/>
                <w:szCs w:val="24"/>
              </w:rPr>
              <w:t>956</w:t>
            </w:r>
            <w:r w:rsidRPr="00E938AB">
              <w:rPr>
                <w:rFonts w:ascii="Times New Roman" w:hAnsi="Times New Roman" w:cs="Times New Roman"/>
                <w:color w:val="000000"/>
                <w:sz w:val="24"/>
                <w:szCs w:val="24"/>
                <w:vertAlign w:val="superscript"/>
              </w:rPr>
              <w:t>cc</w:t>
            </w:r>
          </w:p>
        </w:tc>
      </w:tr>
      <w:tr w14:paraId="0283085D" w14:textId="77777777" w:rsidTr="00E938AB">
        <w:tblPrEx>
          <w:tblW w:w="5000" w:type="pct"/>
          <w:tblLayout w:type="fixed"/>
          <w:tblLook w:val="04A0"/>
        </w:tblPrEx>
        <w:trPr>
          <w:trHeight w:val="20"/>
        </w:trPr>
        <w:tc>
          <w:tcPr>
            <w:tcW w:w="3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303E" w:rsidRPr="00E938AB" w14:paraId="7B6719C8" w14:textId="77777777">
            <w:pPr>
              <w:rPr>
                <w:rFonts w:ascii="Times New Roman" w:hAnsi="Times New Roman" w:cs="Times New Roman"/>
                <w:color w:val="000000"/>
                <w:sz w:val="24"/>
                <w:szCs w:val="24"/>
              </w:rPr>
            </w:pPr>
            <w:r w:rsidRPr="00E938AB">
              <w:rPr>
                <w:rFonts w:ascii="Times New Roman" w:hAnsi="Times New Roman" w:cs="Times New Roman"/>
                <w:color w:val="000000"/>
                <w:sz w:val="24"/>
                <w:szCs w:val="24"/>
              </w:rPr>
              <w:t xml:space="preserve">Mutual </w:t>
            </w:r>
            <w:r w:rsidRPr="00E938AB">
              <w:rPr>
                <w:rFonts w:ascii="Times New Roman" w:hAnsi="Times New Roman" w:cs="Times New Roman"/>
                <w:color w:val="000000"/>
                <w:sz w:val="24"/>
                <w:szCs w:val="24"/>
              </w:rPr>
              <w:t>Fund</w:t>
            </w:r>
            <w:r w:rsidRPr="00E938AB">
              <w:rPr>
                <w:rFonts w:ascii="Times New Roman" w:hAnsi="Times New Roman" w:cs="Times New Roman"/>
                <w:color w:val="000000"/>
                <w:sz w:val="24"/>
                <w:szCs w:val="24"/>
                <w:vertAlign w:val="superscript"/>
              </w:rPr>
              <w:t>dd</w:t>
            </w:r>
          </w:p>
        </w:tc>
        <w:tc>
          <w:tcPr>
            <w:tcW w:w="1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303E" w:rsidRPr="00E938AB" w14:paraId="3D550A90" w14:textId="77777777">
            <w:pPr>
              <w:jc w:val="center"/>
              <w:rPr>
                <w:rFonts w:ascii="Times New Roman" w:hAnsi="Times New Roman" w:cs="Times New Roman"/>
                <w:color w:val="000000"/>
                <w:sz w:val="24"/>
                <w:szCs w:val="24"/>
              </w:rPr>
            </w:pPr>
            <w:r w:rsidRPr="00E938AB">
              <w:rPr>
                <w:rFonts w:ascii="Times New Roman" w:hAnsi="Times New Roman" w:cs="Times New Roman"/>
                <w:color w:val="000000"/>
                <w:sz w:val="24"/>
                <w:szCs w:val="24"/>
              </w:rPr>
              <w:t>2,764</w:t>
            </w:r>
            <w:r w:rsidRPr="00E938AB">
              <w:rPr>
                <w:rFonts w:ascii="Times New Roman" w:hAnsi="Times New Roman" w:cs="Times New Roman"/>
                <w:color w:val="000000"/>
                <w:sz w:val="24"/>
                <w:szCs w:val="24"/>
                <w:vertAlign w:val="superscript"/>
              </w:rPr>
              <w:t>ee</w:t>
            </w:r>
          </w:p>
        </w:tc>
      </w:tr>
      <w:tr w14:paraId="147F8648" w14:textId="77777777" w:rsidTr="00E938AB">
        <w:tblPrEx>
          <w:tblW w:w="5000" w:type="pct"/>
          <w:tblLayout w:type="fixed"/>
          <w:tblLook w:val="04A0"/>
        </w:tblPrEx>
        <w:trPr>
          <w:trHeight w:val="20"/>
        </w:trPr>
        <w:tc>
          <w:tcPr>
            <w:tcW w:w="3632" w:type="pct"/>
            <w:tcBorders>
              <w:top w:val="single" w:sz="4" w:space="0" w:color="auto"/>
              <w:left w:val="single" w:sz="4" w:space="0" w:color="auto"/>
              <w:bottom w:val="single" w:sz="4" w:space="0" w:color="auto"/>
              <w:right w:val="nil"/>
            </w:tcBorders>
            <w:shd w:val="clear" w:color="auto" w:fill="auto"/>
            <w:noWrap/>
            <w:vAlign w:val="center"/>
            <w:hideMark/>
          </w:tcPr>
          <w:p w:rsidR="007D303E" w:rsidRPr="00E938AB" w14:paraId="77E48749" w14:textId="77777777">
            <w:pPr>
              <w:rPr>
                <w:rFonts w:ascii="Times New Roman" w:hAnsi="Times New Roman" w:cs="Times New Roman"/>
                <w:b/>
                <w:bCs/>
                <w:color w:val="000000"/>
                <w:sz w:val="24"/>
                <w:szCs w:val="24"/>
              </w:rPr>
            </w:pPr>
            <w:r w:rsidRPr="00E938AB">
              <w:rPr>
                <w:rFonts w:ascii="Times New Roman" w:hAnsi="Times New Roman" w:cs="Times New Roman"/>
                <w:b/>
                <w:bCs/>
                <w:color w:val="000000"/>
                <w:sz w:val="24"/>
                <w:szCs w:val="24"/>
              </w:rPr>
              <w:t>Total</w:t>
            </w:r>
          </w:p>
        </w:tc>
        <w:tc>
          <w:tcPr>
            <w:tcW w:w="1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303E" w:rsidRPr="00E938AB" w14:paraId="152701DF" w14:textId="77777777">
            <w:pPr>
              <w:jc w:val="center"/>
              <w:rPr>
                <w:rFonts w:ascii="Times New Roman" w:hAnsi="Times New Roman" w:cs="Times New Roman"/>
                <w:b/>
                <w:bCs/>
                <w:color w:val="000000"/>
                <w:sz w:val="24"/>
                <w:szCs w:val="24"/>
              </w:rPr>
            </w:pPr>
            <w:r w:rsidRPr="00E938AB">
              <w:rPr>
                <w:rFonts w:ascii="Times New Roman" w:hAnsi="Times New Roman" w:cs="Times New Roman"/>
                <w:b/>
                <w:bCs/>
                <w:color w:val="000000"/>
                <w:sz w:val="24"/>
                <w:szCs w:val="24"/>
              </w:rPr>
              <w:t>46,158</w:t>
            </w:r>
          </w:p>
        </w:tc>
      </w:tr>
    </w:tbl>
    <w:p w:rsidR="002A033B" w14:paraId="5AF70775" w14:textId="77777777"/>
    <w:p w:rsidR="002A033B" w:rsidRPr="00A87019" w:rsidP="00E938AB" w14:paraId="1D91BF5B" w14:textId="77777777">
      <w:pPr>
        <w:spacing w:after="120"/>
        <w:rPr>
          <w:rFonts w:ascii="Times New Roman" w:hAnsi="Times New Roman" w:cs="Times New Roman"/>
          <w:color w:val="000000"/>
          <w:sz w:val="24"/>
          <w:szCs w:val="24"/>
        </w:rPr>
      </w:pPr>
      <w:r w:rsidRPr="00A87019">
        <w:rPr>
          <w:rFonts w:ascii="Times New Roman" w:hAnsi="Times New Roman" w:cs="Times New Roman"/>
          <w:color w:val="000000"/>
          <w:sz w:val="24"/>
          <w:szCs w:val="24"/>
          <w:vertAlign w:val="superscript"/>
        </w:rPr>
        <w:t>a</w:t>
      </w:r>
      <w:r w:rsidRPr="00A87019">
        <w:rPr>
          <w:rFonts w:ascii="Times New Roman" w:hAnsi="Times New Roman" w:cs="Times New Roman"/>
          <w:color w:val="000000"/>
          <w:sz w:val="24"/>
          <w:szCs w:val="24"/>
        </w:rPr>
        <w:t xml:space="preserve"> </w:t>
      </w:r>
      <w:r w:rsidRPr="00A87019">
        <w:rPr>
          <w:rFonts w:ascii="Times New Roman" w:hAnsi="Times New Roman" w:cs="Times New Roman"/>
          <w:i/>
          <w:iCs/>
          <w:color w:val="000000"/>
          <w:sz w:val="24"/>
          <w:szCs w:val="24"/>
        </w:rPr>
        <w:t>See</w:t>
      </w:r>
      <w:r w:rsidRPr="00A87019">
        <w:rPr>
          <w:rFonts w:ascii="Times New Roman" w:hAnsi="Times New Roman" w:cs="Times New Roman"/>
          <w:i/>
          <w:color w:val="000000"/>
          <w:sz w:val="24"/>
          <w:szCs w:val="24"/>
        </w:rPr>
        <w:t xml:space="preserve"> </w:t>
      </w:r>
      <w:r w:rsidRPr="00A87019">
        <w:rPr>
          <w:rFonts w:ascii="Times New Roman" w:hAnsi="Times New Roman" w:cs="Times New Roman"/>
          <w:color w:val="000000"/>
          <w:sz w:val="24"/>
          <w:szCs w:val="24"/>
        </w:rPr>
        <w:t>31 CFR 1010.100(t) (definition of financial institution).</w:t>
      </w:r>
    </w:p>
    <w:p w:rsidR="002A033B" w:rsidRPr="00A87019" w:rsidP="00E938AB" w14:paraId="7B66D7BA" w14:textId="77777777">
      <w:pPr>
        <w:spacing w:after="120"/>
        <w:rPr>
          <w:rFonts w:ascii="Times New Roman" w:hAnsi="Times New Roman" w:cs="Times New Roman"/>
          <w:color w:val="000000"/>
          <w:sz w:val="24"/>
          <w:szCs w:val="24"/>
        </w:rPr>
      </w:pPr>
      <w:r w:rsidRPr="00A87019">
        <w:rPr>
          <w:rFonts w:ascii="Times New Roman" w:hAnsi="Times New Roman" w:cs="Times New Roman"/>
          <w:color w:val="000000"/>
          <w:sz w:val="24"/>
          <w:szCs w:val="24"/>
          <w:vertAlign w:val="superscript"/>
        </w:rPr>
        <w:t>b</w:t>
      </w:r>
      <w:r w:rsidRPr="00A87019">
        <w:rPr>
          <w:rFonts w:ascii="Times New Roman" w:hAnsi="Times New Roman" w:cs="Times New Roman"/>
          <w:color w:val="000000"/>
          <w:sz w:val="24"/>
          <w:szCs w:val="24"/>
        </w:rPr>
        <w:t xml:space="preserve"> </w:t>
      </w:r>
      <w:r w:rsidRPr="00A87019">
        <w:rPr>
          <w:rFonts w:ascii="Times New Roman" w:hAnsi="Times New Roman" w:cs="Times New Roman"/>
          <w:i/>
          <w:iCs/>
          <w:color w:val="000000"/>
          <w:sz w:val="24"/>
          <w:szCs w:val="24"/>
        </w:rPr>
        <w:t xml:space="preserve">See </w:t>
      </w:r>
      <w:r w:rsidRPr="00A87019">
        <w:rPr>
          <w:rFonts w:ascii="Times New Roman" w:hAnsi="Times New Roman" w:cs="Times New Roman"/>
          <w:color w:val="000000"/>
          <w:sz w:val="24"/>
          <w:szCs w:val="24"/>
        </w:rPr>
        <w:t xml:space="preserve">31 CFR 1010.100(t)(1); </w:t>
      </w:r>
      <w:r w:rsidRPr="00A87019">
        <w:rPr>
          <w:rFonts w:ascii="Times New Roman" w:hAnsi="Times New Roman" w:cs="Times New Roman"/>
          <w:i/>
          <w:iCs/>
          <w:color w:val="000000"/>
          <w:sz w:val="24"/>
          <w:szCs w:val="24"/>
        </w:rPr>
        <w:t>see also</w:t>
      </w:r>
      <w:r w:rsidRPr="00A87019">
        <w:rPr>
          <w:rFonts w:ascii="Times New Roman" w:hAnsi="Times New Roman" w:cs="Times New Roman"/>
          <w:color w:val="000000"/>
          <w:sz w:val="24"/>
          <w:szCs w:val="24"/>
        </w:rPr>
        <w:t xml:space="preserve"> 31 CFR 1010.100(d) (definition of bank).</w:t>
      </w:r>
    </w:p>
    <w:p w:rsidR="002A033B" w:rsidRPr="00A87019" w:rsidP="00E938AB" w14:paraId="336EFA53" w14:textId="04F1F9C5">
      <w:pPr>
        <w:spacing w:after="120"/>
        <w:rPr>
          <w:rFonts w:ascii="Times New Roman" w:hAnsi="Times New Roman" w:cs="Times New Roman"/>
          <w:color w:val="000000"/>
          <w:sz w:val="24"/>
          <w:szCs w:val="24"/>
        </w:rPr>
      </w:pPr>
      <w:r w:rsidRPr="00A87019">
        <w:rPr>
          <w:rFonts w:ascii="Times New Roman" w:hAnsi="Times New Roman" w:cs="Times New Roman"/>
          <w:color w:val="000000" w:themeColor="text1"/>
          <w:sz w:val="24"/>
          <w:szCs w:val="24"/>
          <w:vertAlign w:val="superscript"/>
        </w:rPr>
        <w:t>c</w:t>
      </w:r>
      <w:r w:rsidRPr="00A87019">
        <w:rPr>
          <w:rFonts w:ascii="Times New Roman" w:hAnsi="Times New Roman" w:cs="Times New Roman"/>
          <w:color w:val="000000" w:themeColor="text1"/>
          <w:sz w:val="24"/>
          <w:szCs w:val="24"/>
        </w:rPr>
        <w:t xml:space="preserve"> This</w:t>
      </w:r>
      <w:r w:rsidRPr="00A87019">
        <w:rPr>
          <w:rFonts w:ascii="Times New Roman" w:hAnsi="Times New Roman" w:cs="Times New Roman"/>
          <w:color w:val="000000" w:themeColor="text1"/>
          <w:sz w:val="24"/>
          <w:szCs w:val="24"/>
        </w:rPr>
        <w:t xml:space="preserve"> includes 4,490 Federal Deposit Insurance Corporation (FDIC)-insured depository institutions (i.e. federally regulated banks) according to the FDIC</w:t>
      </w:r>
      <w:r w:rsidRPr="00A87019" w:rsidR="00827A2E">
        <w:rPr>
          <w:rFonts w:ascii="Times New Roman" w:hAnsi="Times New Roman" w:cs="Times New Roman"/>
          <w:color w:val="000000" w:themeColor="text1"/>
          <w:sz w:val="24"/>
          <w:szCs w:val="24"/>
        </w:rPr>
        <w:t>’</w:t>
      </w:r>
      <w:r w:rsidRPr="00A87019">
        <w:rPr>
          <w:rFonts w:ascii="Times New Roman" w:hAnsi="Times New Roman" w:cs="Times New Roman"/>
          <w:color w:val="000000" w:themeColor="text1"/>
          <w:sz w:val="24"/>
          <w:szCs w:val="24"/>
        </w:rPr>
        <w:t>s quarterly data summary for Q4 2024, and 4,499 National Credit Union Administration (NCUA)-chartered credit unions (i.e. federally regulated credit unions) according to NCUA</w:t>
      </w:r>
      <w:r w:rsidRPr="00A87019" w:rsidR="00827A2E">
        <w:rPr>
          <w:rFonts w:ascii="Times New Roman" w:hAnsi="Times New Roman" w:cs="Times New Roman"/>
          <w:color w:val="000000" w:themeColor="text1"/>
          <w:sz w:val="24"/>
          <w:szCs w:val="24"/>
        </w:rPr>
        <w:t>’</w:t>
      </w:r>
      <w:r w:rsidRPr="00A87019">
        <w:rPr>
          <w:rFonts w:ascii="Times New Roman" w:hAnsi="Times New Roman" w:cs="Times New Roman"/>
          <w:color w:val="000000" w:themeColor="text1"/>
          <w:sz w:val="24"/>
          <w:szCs w:val="24"/>
        </w:rPr>
        <w:t xml:space="preserve">s quarterly credit union data summary for </w:t>
      </w:r>
      <w:r w:rsidRPr="00A87019">
        <w:rPr>
          <w:rFonts w:ascii="Times New Roman" w:hAnsi="Times New Roman" w:cs="Times New Roman"/>
          <w:color w:val="000000" w:themeColor="text1"/>
          <w:sz w:val="24"/>
          <w:szCs w:val="24"/>
        </w:rPr>
        <w:t xml:space="preserve">Q4 2024.  The Board of Governors of the Federal Reserve System Master Account and Services Database contains data on financial institutions that utilize Federal Reserve Bank financial services, including those with no Federal functional regulator (FFR).  FinCEN used this data to identify 395 banks and credit unions with no federal regulator that are utilizing Federal Reserve Bank financial services. </w:t>
      </w:r>
    </w:p>
    <w:p w:rsidR="002A033B" w:rsidRPr="00A87019" w:rsidP="00E938AB" w14:paraId="43861074" w14:textId="77777777">
      <w:pPr>
        <w:spacing w:after="120"/>
        <w:rPr>
          <w:rFonts w:ascii="Times New Roman" w:hAnsi="Times New Roman" w:cs="Times New Roman"/>
          <w:color w:val="000000"/>
          <w:sz w:val="24"/>
          <w:szCs w:val="24"/>
        </w:rPr>
      </w:pPr>
      <w:r w:rsidRPr="00A87019">
        <w:rPr>
          <w:rFonts w:ascii="Times New Roman" w:hAnsi="Times New Roman" w:cs="Times New Roman"/>
          <w:color w:val="000000"/>
          <w:sz w:val="24"/>
          <w:szCs w:val="24"/>
          <w:vertAlign w:val="superscript"/>
        </w:rPr>
        <w:t>d</w:t>
      </w:r>
      <w:r w:rsidRPr="00A87019">
        <w:rPr>
          <w:rFonts w:ascii="Times New Roman" w:hAnsi="Times New Roman" w:cs="Times New Roman"/>
          <w:color w:val="000000"/>
          <w:sz w:val="24"/>
          <w:szCs w:val="24"/>
        </w:rPr>
        <w:t xml:space="preserve"> </w:t>
      </w:r>
      <w:r w:rsidRPr="00A87019">
        <w:rPr>
          <w:rFonts w:ascii="Times New Roman" w:hAnsi="Times New Roman" w:cs="Times New Roman"/>
          <w:i/>
          <w:iCs/>
          <w:color w:val="000000"/>
          <w:sz w:val="24"/>
          <w:szCs w:val="24"/>
        </w:rPr>
        <w:t>See</w:t>
      </w:r>
      <w:r w:rsidRPr="00A87019">
        <w:rPr>
          <w:rFonts w:ascii="Times New Roman" w:hAnsi="Times New Roman" w:cs="Times New Roman"/>
          <w:i/>
          <w:color w:val="000000"/>
          <w:sz w:val="24"/>
          <w:szCs w:val="24"/>
        </w:rPr>
        <w:t xml:space="preserve"> </w:t>
      </w:r>
      <w:r w:rsidRPr="00A87019">
        <w:rPr>
          <w:rFonts w:ascii="Times New Roman" w:hAnsi="Times New Roman" w:cs="Times New Roman"/>
          <w:color w:val="000000"/>
          <w:sz w:val="24"/>
          <w:szCs w:val="24"/>
        </w:rPr>
        <w:t>31 CFR 1010.100(t)(2).</w:t>
      </w:r>
    </w:p>
    <w:p w:rsidR="002A033B" w:rsidRPr="00A87019" w:rsidP="00E938AB" w14:paraId="093204DD" w14:textId="77777777">
      <w:pPr>
        <w:spacing w:after="120"/>
        <w:rPr>
          <w:rFonts w:ascii="Times New Roman" w:hAnsi="Times New Roman" w:cs="Times New Roman"/>
          <w:color w:val="000000" w:themeColor="text1"/>
          <w:sz w:val="24"/>
          <w:szCs w:val="24"/>
        </w:rPr>
      </w:pPr>
      <w:r w:rsidRPr="00A87019">
        <w:rPr>
          <w:rFonts w:ascii="Times New Roman" w:hAnsi="Times New Roman" w:cs="Times New Roman"/>
          <w:color w:val="000000" w:themeColor="text1"/>
          <w:sz w:val="24"/>
          <w:szCs w:val="24"/>
          <w:vertAlign w:val="superscript"/>
        </w:rPr>
        <w:t>e</w:t>
      </w:r>
      <w:r w:rsidRPr="00A87019">
        <w:rPr>
          <w:rFonts w:ascii="Times New Roman" w:hAnsi="Times New Roman" w:cs="Times New Roman"/>
          <w:color w:val="000000" w:themeColor="text1"/>
          <w:sz w:val="24"/>
          <w:szCs w:val="24"/>
        </w:rPr>
        <w:t xml:space="preserve"> This estimate is based on Securities and Exchange Commission (SEC) data on active broker-dealers (Company Information About Active Broker-Dealers (available at https://www.sec.gov/foia-services/frequently-requested-documents/company-information-about-active-broker-dealers), which listed 3,306 active broker-dealers registered with the SEC as of April 29, 2025.</w:t>
      </w:r>
    </w:p>
    <w:p w:rsidR="002A033B" w:rsidRPr="00A87019" w:rsidP="00E938AB" w14:paraId="5EF15A24" w14:textId="77777777">
      <w:pPr>
        <w:spacing w:after="120"/>
        <w:rPr>
          <w:rFonts w:ascii="Times New Roman" w:hAnsi="Times New Roman" w:cs="Times New Roman"/>
          <w:color w:val="000000"/>
          <w:sz w:val="24"/>
          <w:szCs w:val="24"/>
        </w:rPr>
      </w:pPr>
      <w:r w:rsidRPr="00A87019">
        <w:rPr>
          <w:rFonts w:ascii="Times New Roman" w:hAnsi="Times New Roman" w:cs="Times New Roman"/>
          <w:color w:val="000000"/>
          <w:sz w:val="24"/>
          <w:szCs w:val="24"/>
          <w:vertAlign w:val="superscript"/>
        </w:rPr>
        <w:t>f</w:t>
      </w:r>
      <w:r w:rsidRPr="00A87019">
        <w:rPr>
          <w:rFonts w:ascii="Times New Roman" w:hAnsi="Times New Roman" w:cs="Times New Roman"/>
          <w:color w:val="000000"/>
          <w:sz w:val="24"/>
          <w:szCs w:val="24"/>
        </w:rPr>
        <w:t xml:space="preserve"> </w:t>
      </w:r>
      <w:r w:rsidRPr="00A87019">
        <w:rPr>
          <w:rFonts w:ascii="Times New Roman" w:hAnsi="Times New Roman" w:cs="Times New Roman"/>
          <w:i/>
          <w:iCs/>
          <w:color w:val="000000"/>
          <w:sz w:val="24"/>
          <w:szCs w:val="24"/>
        </w:rPr>
        <w:t>See</w:t>
      </w:r>
      <w:r w:rsidRPr="00A87019">
        <w:rPr>
          <w:rFonts w:ascii="Times New Roman" w:hAnsi="Times New Roman" w:cs="Times New Roman"/>
          <w:i/>
          <w:iCs/>
          <w:color w:val="000000"/>
          <w:sz w:val="24"/>
          <w:szCs w:val="24"/>
        </w:rPr>
        <w:t xml:space="preserve"> </w:t>
      </w:r>
      <w:r w:rsidRPr="00A87019">
        <w:rPr>
          <w:rFonts w:ascii="Times New Roman" w:hAnsi="Times New Roman" w:cs="Times New Roman"/>
          <w:color w:val="000000"/>
          <w:sz w:val="24"/>
          <w:szCs w:val="24"/>
        </w:rPr>
        <w:t xml:space="preserve">31 CFR 1010.100(t)(3); </w:t>
      </w:r>
      <w:r w:rsidRPr="00A87019">
        <w:rPr>
          <w:rFonts w:ascii="Times New Roman" w:hAnsi="Times New Roman" w:cs="Times New Roman"/>
          <w:i/>
          <w:iCs/>
          <w:color w:val="000000"/>
          <w:sz w:val="24"/>
          <w:szCs w:val="24"/>
        </w:rPr>
        <w:t xml:space="preserve">see also </w:t>
      </w:r>
      <w:r w:rsidRPr="00A87019">
        <w:rPr>
          <w:rFonts w:ascii="Times New Roman" w:hAnsi="Times New Roman" w:cs="Times New Roman"/>
          <w:color w:val="000000"/>
          <w:sz w:val="24"/>
          <w:szCs w:val="24"/>
        </w:rPr>
        <w:t>31 CFR 1010.100(ff) (definition of money services business).</w:t>
      </w:r>
    </w:p>
    <w:p w:rsidR="002A033B" w:rsidRPr="00A87019" w:rsidP="00E938AB" w14:paraId="543227A3" w14:textId="26F02479">
      <w:pPr>
        <w:spacing w:after="120"/>
        <w:rPr>
          <w:rFonts w:ascii="Times New Roman" w:hAnsi="Times New Roman" w:cs="Times New Roman"/>
          <w:color w:val="000000"/>
          <w:sz w:val="24"/>
          <w:szCs w:val="24"/>
        </w:rPr>
      </w:pPr>
      <w:r w:rsidRPr="00A87019">
        <w:rPr>
          <w:rFonts w:ascii="Times New Roman" w:hAnsi="Times New Roman" w:cs="Times New Roman"/>
          <w:color w:val="000000"/>
          <w:sz w:val="24"/>
          <w:szCs w:val="24"/>
          <w:vertAlign w:val="superscript"/>
        </w:rPr>
        <w:t>g</w:t>
      </w:r>
      <w:r w:rsidRPr="00A87019">
        <w:rPr>
          <w:rFonts w:ascii="Times New Roman" w:hAnsi="Times New Roman" w:cs="Times New Roman"/>
          <w:color w:val="000000"/>
          <w:sz w:val="24"/>
          <w:szCs w:val="24"/>
        </w:rPr>
        <w:t xml:space="preserve"> </w:t>
      </w:r>
      <w:r w:rsidRPr="00A87019">
        <w:rPr>
          <w:rFonts w:ascii="Times New Roman" w:hAnsi="Times New Roman" w:cs="Times New Roman"/>
          <w:color w:val="000000"/>
          <w:sz w:val="24"/>
          <w:szCs w:val="24"/>
        </w:rPr>
        <w:t>The</w:t>
      </w:r>
      <w:r w:rsidRPr="00A87019">
        <w:rPr>
          <w:rFonts w:ascii="Times New Roman" w:hAnsi="Times New Roman" w:cs="Times New Roman"/>
          <w:color w:val="000000"/>
          <w:sz w:val="24"/>
          <w:szCs w:val="24"/>
        </w:rPr>
        <w:t xml:space="preserve"> definition of MSB (31 CFR 1010.100(ff)) covers both principal money services businesses (MSBs) and agents.</w:t>
      </w:r>
      <w:r w:rsidRPr="00A87019">
        <w:rPr>
          <w:rFonts w:ascii="Times New Roman" w:hAnsi="Times New Roman" w:cs="Times New Roman"/>
          <w:color w:val="000000"/>
          <w:sz w:val="24"/>
          <w:szCs w:val="24"/>
          <w:shd w:val="clear" w:color="auto" w:fill="FFFFFF"/>
        </w:rPr>
        <w:t xml:space="preserve">  </w:t>
      </w:r>
      <w:r w:rsidRPr="00A87019">
        <w:rPr>
          <w:rFonts w:ascii="Times New Roman" w:hAnsi="Times New Roman" w:cs="Times New Roman"/>
          <w:color w:val="000000"/>
          <w:sz w:val="24"/>
          <w:szCs w:val="24"/>
        </w:rPr>
        <w:t xml:space="preserve">The topline value for all MSBs represents the average number of uniquely identifiable registered MSBs with indicia of ongoing operations as of the three year-ends </w:t>
      </w:r>
      <w:r w:rsidRPr="00A87019">
        <w:rPr>
          <w:rFonts w:ascii="Times New Roman" w:hAnsi="Times New Roman" w:cs="Times New Roman"/>
          <w:color w:val="000000"/>
          <w:sz w:val="24"/>
          <w:szCs w:val="24"/>
        </w:rPr>
        <w:t>2022-2024, and</w:t>
      </w:r>
      <w:r w:rsidRPr="00A87019">
        <w:rPr>
          <w:rFonts w:ascii="Times New Roman" w:hAnsi="Times New Roman" w:cs="Times New Roman"/>
          <w:color w:val="000000"/>
          <w:sz w:val="24"/>
          <w:szCs w:val="24"/>
        </w:rPr>
        <w:t xml:space="preserve"> primarily includes only principal MSBs required to register with FinCEN.</w:t>
      </w:r>
      <w:r w:rsidRPr="00A87019">
        <w:rPr>
          <w:rFonts w:ascii="Times New Roman" w:hAnsi="Times New Roman" w:cs="Times New Roman"/>
          <w:sz w:val="24"/>
          <w:szCs w:val="24"/>
        </w:rPr>
        <w:t xml:space="preserve">  </w:t>
      </w:r>
      <w:r w:rsidRPr="00A87019">
        <w:rPr>
          <w:rFonts w:ascii="Times New Roman" w:hAnsi="Times New Roman" w:cs="Times New Roman"/>
          <w:color w:val="000000"/>
          <w:sz w:val="24"/>
          <w:szCs w:val="24"/>
        </w:rPr>
        <w:t>FinCEN believes that the reporting and recordkeeping obligations this regulation imposes on MSBs will fall overwhelmingly on principals rather than their agents, but FinCEN is interested in any comments the public may have on this position.  In the absence of public comments in prior renewals of the OMB control number applicable to this regulatory requirement, FinCEN considers it reasonable to continue to rely upon its previous estimate that the number of agent MSBs remains approximately 229,161.  This value was previously published in the 2024 notice to renew OMB control numbers 1506-0058, and 1506-0059 (</w:t>
      </w:r>
      <w:r w:rsidRPr="00F01BF1">
        <w:rPr>
          <w:rFonts w:ascii="Times New Roman" w:hAnsi="Times New Roman" w:cs="Times New Roman"/>
          <w:i/>
          <w:iCs/>
          <w:color w:val="000000"/>
          <w:sz w:val="24"/>
          <w:szCs w:val="24"/>
        </w:rPr>
        <w:t>see</w:t>
      </w:r>
      <w:r w:rsidRPr="00A87019">
        <w:rPr>
          <w:rFonts w:ascii="Times New Roman" w:hAnsi="Times New Roman" w:cs="Times New Roman"/>
          <w:color w:val="000000"/>
          <w:sz w:val="24"/>
          <w:szCs w:val="24"/>
        </w:rPr>
        <w:t xml:space="preserve"> FinCEN, </w:t>
      </w:r>
      <w:hyperlink r:id="rId9" w:history="1">
        <w:r w:rsidRPr="00A87019">
          <w:rPr>
            <w:rStyle w:val="Hyperlink"/>
            <w:rFonts w:ascii="Times New Roman" w:hAnsi="Times New Roman" w:cs="Times New Roman"/>
            <w:i/>
            <w:iCs/>
            <w:sz w:val="24"/>
            <w:szCs w:val="24"/>
          </w:rPr>
          <w:t>Agency Information Collection Activities; Proposed Renewal; Comment Request; Renewal Without Change of Regulations Requiring Records To Be Made and Retained by Financial Institutions, Banks, and Providers and Sellers of Prepaid Access</w:t>
        </w:r>
      </w:hyperlink>
      <w:r w:rsidRPr="00A87019">
        <w:rPr>
          <w:rFonts w:ascii="Times New Roman" w:hAnsi="Times New Roman" w:cs="Times New Roman"/>
          <w:color w:val="000000"/>
          <w:sz w:val="24"/>
          <w:szCs w:val="24"/>
        </w:rPr>
        <w:t>, 89 FR 65971 (Aug. 13, 2024)).  Thus, FinCEN estimates the number of agent MSBs remains approximately 229,161 and invites public comment on this figure as well.</w:t>
      </w:r>
    </w:p>
    <w:p w:rsidR="002A033B" w:rsidRPr="00A87019" w:rsidP="00E938AB" w14:paraId="23276C23" w14:textId="77777777">
      <w:pPr>
        <w:spacing w:after="120"/>
        <w:rPr>
          <w:rFonts w:ascii="Times New Roman" w:hAnsi="Times New Roman" w:cs="Times New Roman"/>
          <w:color w:val="000000"/>
          <w:sz w:val="24"/>
          <w:szCs w:val="24"/>
        </w:rPr>
      </w:pPr>
      <w:r w:rsidRPr="00A87019">
        <w:rPr>
          <w:rFonts w:ascii="Times New Roman" w:hAnsi="Times New Roman" w:cs="Times New Roman"/>
          <w:color w:val="000000"/>
          <w:sz w:val="24"/>
          <w:szCs w:val="24"/>
          <w:vertAlign w:val="superscript"/>
        </w:rPr>
        <w:t>h</w:t>
      </w:r>
      <w:r w:rsidRPr="00A87019">
        <w:rPr>
          <w:rFonts w:ascii="Times New Roman" w:hAnsi="Times New Roman" w:cs="Times New Roman"/>
          <w:color w:val="000000"/>
          <w:sz w:val="24"/>
          <w:szCs w:val="24"/>
        </w:rPr>
        <w:t xml:space="preserve"> </w:t>
      </w:r>
      <w:r w:rsidRPr="00A87019">
        <w:rPr>
          <w:rFonts w:ascii="Times New Roman" w:hAnsi="Times New Roman" w:cs="Times New Roman"/>
          <w:i/>
          <w:iCs/>
          <w:color w:val="000000"/>
          <w:sz w:val="24"/>
          <w:szCs w:val="24"/>
        </w:rPr>
        <w:t>See</w:t>
      </w:r>
      <w:r w:rsidRPr="00A87019">
        <w:rPr>
          <w:rFonts w:ascii="Times New Roman" w:hAnsi="Times New Roman" w:cs="Times New Roman"/>
          <w:i/>
          <w:color w:val="000000"/>
          <w:sz w:val="24"/>
          <w:szCs w:val="24"/>
        </w:rPr>
        <w:t xml:space="preserve"> </w:t>
      </w:r>
      <w:r w:rsidRPr="00A87019">
        <w:rPr>
          <w:rFonts w:ascii="Times New Roman" w:hAnsi="Times New Roman" w:cs="Times New Roman"/>
          <w:color w:val="000000"/>
          <w:sz w:val="24"/>
          <w:szCs w:val="24"/>
        </w:rPr>
        <w:t>31 CFR 1010.100(ff)(1).</w:t>
      </w:r>
    </w:p>
    <w:p w:rsidR="002A033B" w:rsidRPr="00A87019" w:rsidP="00E938AB" w14:paraId="3A6C3EFA" w14:textId="1CFBFB07">
      <w:pPr>
        <w:spacing w:after="120"/>
        <w:rPr>
          <w:rFonts w:ascii="Times New Roman" w:hAnsi="Times New Roman" w:cs="Times New Roman"/>
          <w:color w:val="000000"/>
          <w:sz w:val="24"/>
          <w:szCs w:val="24"/>
        </w:rPr>
      </w:pPr>
      <w:r w:rsidRPr="00A87019">
        <w:rPr>
          <w:rFonts w:ascii="Times New Roman" w:hAnsi="Times New Roman" w:cs="Times New Roman"/>
          <w:color w:val="000000" w:themeColor="text1"/>
          <w:sz w:val="24"/>
          <w:szCs w:val="24"/>
          <w:vertAlign w:val="superscript"/>
        </w:rPr>
        <w:t>i</w:t>
      </w:r>
      <w:r w:rsidRPr="00A87019">
        <w:rPr>
          <w:rFonts w:ascii="Times New Roman" w:hAnsi="Times New Roman" w:cs="Times New Roman"/>
          <w:color w:val="000000" w:themeColor="text1"/>
          <w:sz w:val="24"/>
          <w:szCs w:val="24"/>
        </w:rPr>
        <w:t xml:space="preserve"> This value represents the number of uniquely identifiable registered MSBs with indicia of ongoing operations as of year-end 2024 that self-identified as either “Currency Dealer or Exchanger” (FinCEN Form 107, Registration of Money Services Business, MSB Services Key List code 407) or “Dealer in Foreign Exchange” (FinCEN Form 107, Registration of Money Services Business, MSB Services Key List code 415). </w:t>
      </w:r>
      <w:r w:rsidRPr="00A87019" w:rsidR="007A4598">
        <w:rPr>
          <w:rFonts w:ascii="Times New Roman" w:hAnsi="Times New Roman" w:cs="Times New Roman"/>
          <w:color w:val="000000" w:themeColor="text1"/>
          <w:sz w:val="24"/>
          <w:szCs w:val="24"/>
        </w:rPr>
        <w:t xml:space="preserve"> </w:t>
      </w:r>
      <w:r w:rsidRPr="00A87019">
        <w:rPr>
          <w:rFonts w:ascii="Times New Roman" w:hAnsi="Times New Roman" w:cs="Times New Roman"/>
          <w:color w:val="000000" w:themeColor="text1"/>
          <w:sz w:val="24"/>
          <w:szCs w:val="24"/>
        </w:rPr>
        <w:t xml:space="preserve">Registrants may be members of multiple category types. The estimate is derived from FinCEN's publicly available MSB data, accessed April 28, 2025, available at </w:t>
      </w:r>
      <w:hyperlink r:id="rId10" w:history="1">
        <w:r w:rsidRPr="00A87019">
          <w:rPr>
            <w:rStyle w:val="Hyperlink"/>
            <w:rFonts w:ascii="Times New Roman" w:hAnsi="Times New Roman" w:cs="Times New Roman"/>
            <w:sz w:val="24"/>
            <w:szCs w:val="24"/>
          </w:rPr>
          <w:t>https://www.fincen.gov/msb-state-selector</w:t>
        </w:r>
      </w:hyperlink>
      <w:r w:rsidRPr="00A87019">
        <w:rPr>
          <w:rFonts w:ascii="Times New Roman" w:hAnsi="Times New Roman" w:cs="Times New Roman"/>
          <w:color w:val="000000" w:themeColor="text1"/>
          <w:sz w:val="24"/>
          <w:szCs w:val="24"/>
        </w:rPr>
        <w:t>.</w:t>
      </w:r>
    </w:p>
    <w:p w:rsidR="002A033B" w:rsidRPr="00A87019" w:rsidP="00E938AB" w14:paraId="65B8C280" w14:textId="77777777">
      <w:pPr>
        <w:spacing w:after="120"/>
        <w:rPr>
          <w:rFonts w:ascii="Times New Roman" w:hAnsi="Times New Roman" w:cs="Times New Roman"/>
          <w:color w:val="000000"/>
          <w:sz w:val="24"/>
          <w:szCs w:val="24"/>
          <w:highlight w:val="yellow"/>
        </w:rPr>
      </w:pPr>
      <w:r w:rsidRPr="00A87019">
        <w:rPr>
          <w:rFonts w:ascii="Times New Roman" w:hAnsi="Times New Roman" w:cs="Times New Roman"/>
          <w:color w:val="000000"/>
          <w:sz w:val="24"/>
          <w:szCs w:val="24"/>
          <w:vertAlign w:val="superscript"/>
        </w:rPr>
        <w:t>j</w:t>
      </w:r>
      <w:r w:rsidRPr="00A87019">
        <w:rPr>
          <w:rFonts w:ascii="Times New Roman" w:hAnsi="Times New Roman" w:cs="Times New Roman"/>
          <w:color w:val="000000"/>
          <w:sz w:val="24"/>
          <w:szCs w:val="24"/>
        </w:rPr>
        <w:t xml:space="preserve"> </w:t>
      </w:r>
      <w:r w:rsidRPr="00A87019">
        <w:rPr>
          <w:rFonts w:ascii="Times New Roman" w:hAnsi="Times New Roman" w:cs="Times New Roman"/>
          <w:i/>
          <w:iCs/>
          <w:color w:val="000000"/>
          <w:sz w:val="24"/>
          <w:szCs w:val="24"/>
        </w:rPr>
        <w:t>See</w:t>
      </w:r>
      <w:r w:rsidRPr="00A87019">
        <w:rPr>
          <w:rFonts w:ascii="Times New Roman" w:hAnsi="Times New Roman" w:cs="Times New Roman"/>
          <w:i/>
          <w:color w:val="000000"/>
          <w:sz w:val="24"/>
          <w:szCs w:val="24"/>
        </w:rPr>
        <w:t xml:space="preserve"> </w:t>
      </w:r>
      <w:r w:rsidRPr="00A87019">
        <w:rPr>
          <w:rFonts w:ascii="Times New Roman" w:hAnsi="Times New Roman" w:cs="Times New Roman"/>
          <w:color w:val="000000"/>
          <w:sz w:val="24"/>
          <w:szCs w:val="24"/>
        </w:rPr>
        <w:t>31 CFR 1010.100(ff)(2).</w:t>
      </w:r>
    </w:p>
    <w:p w:rsidR="002A033B" w:rsidRPr="00A87019" w:rsidP="00E938AB" w14:paraId="7C0AA5DA" w14:textId="73C155C2">
      <w:pPr>
        <w:spacing w:after="120"/>
        <w:rPr>
          <w:rFonts w:ascii="Times New Roman" w:hAnsi="Times New Roman" w:cs="Times New Roman"/>
          <w:color w:val="000000"/>
          <w:sz w:val="24"/>
          <w:szCs w:val="24"/>
          <w:highlight w:val="yellow"/>
        </w:rPr>
      </w:pPr>
      <w:r w:rsidRPr="00A87019">
        <w:rPr>
          <w:rFonts w:ascii="Times New Roman" w:hAnsi="Times New Roman" w:cs="Times New Roman"/>
          <w:color w:val="000000" w:themeColor="text1"/>
          <w:sz w:val="24"/>
          <w:szCs w:val="24"/>
          <w:vertAlign w:val="superscript"/>
        </w:rPr>
        <w:t>k</w:t>
      </w:r>
      <w:r w:rsidRPr="00A87019">
        <w:rPr>
          <w:rFonts w:ascii="Times New Roman" w:hAnsi="Times New Roman" w:cs="Times New Roman"/>
          <w:color w:val="000000" w:themeColor="text1"/>
          <w:sz w:val="24"/>
          <w:szCs w:val="24"/>
        </w:rPr>
        <w:t xml:space="preserve"> This value represents the number of uniquely identifiable registered MSBs with indicia of ongoing operations as of year-end 2024 that self-identified as “Check Casher” (FinCEN Form 107, Registration of Money Services Business, MSB Services Key List code 408).  Registrants may be members of multiple category types.  The estimate is derived from FinCEN</w:t>
      </w:r>
      <w:r w:rsidRPr="00A87019" w:rsidR="007A4598">
        <w:rPr>
          <w:rFonts w:ascii="Times New Roman" w:hAnsi="Times New Roman" w:cs="Times New Roman"/>
          <w:color w:val="000000" w:themeColor="text1"/>
          <w:sz w:val="24"/>
          <w:szCs w:val="24"/>
        </w:rPr>
        <w:t>’</w:t>
      </w:r>
      <w:r w:rsidRPr="00A87019">
        <w:rPr>
          <w:rFonts w:ascii="Times New Roman" w:hAnsi="Times New Roman" w:cs="Times New Roman"/>
          <w:color w:val="000000" w:themeColor="text1"/>
          <w:sz w:val="24"/>
          <w:szCs w:val="24"/>
        </w:rPr>
        <w:t xml:space="preserve">s publicly available MSB data, accessed April 28, 2025, available at </w:t>
      </w:r>
      <w:hyperlink r:id="rId10" w:history="1">
        <w:r w:rsidRPr="00A87019">
          <w:rPr>
            <w:rStyle w:val="Hyperlink"/>
            <w:rFonts w:ascii="Times New Roman" w:hAnsi="Times New Roman" w:cs="Times New Roman"/>
            <w:sz w:val="24"/>
            <w:szCs w:val="24"/>
          </w:rPr>
          <w:t>https://www.fincen.gov/msb-state-</w:t>
        </w:r>
        <w:r w:rsidRPr="00A87019">
          <w:rPr>
            <w:rStyle w:val="Hyperlink"/>
            <w:rFonts w:ascii="Times New Roman" w:hAnsi="Times New Roman" w:cs="Times New Roman"/>
            <w:sz w:val="24"/>
            <w:szCs w:val="24"/>
          </w:rPr>
          <w:t>selector</w:t>
        </w:r>
      </w:hyperlink>
      <w:r w:rsidRPr="00A87019">
        <w:rPr>
          <w:rFonts w:ascii="Times New Roman" w:hAnsi="Times New Roman" w:cs="Times New Roman"/>
          <w:color w:val="000000" w:themeColor="text1"/>
          <w:sz w:val="24"/>
          <w:szCs w:val="24"/>
        </w:rPr>
        <w:t>.</w:t>
      </w:r>
    </w:p>
    <w:p w:rsidR="002A033B" w:rsidRPr="00A87019" w:rsidP="00E938AB" w14:paraId="3F8997FA" w14:textId="77777777">
      <w:pPr>
        <w:spacing w:after="120"/>
        <w:rPr>
          <w:rFonts w:ascii="Times New Roman" w:hAnsi="Times New Roman" w:cs="Times New Roman"/>
          <w:color w:val="000000"/>
          <w:sz w:val="24"/>
          <w:szCs w:val="24"/>
          <w:highlight w:val="yellow"/>
        </w:rPr>
      </w:pPr>
      <w:r w:rsidRPr="00A87019">
        <w:rPr>
          <w:rFonts w:ascii="Times New Roman" w:hAnsi="Times New Roman" w:cs="Times New Roman"/>
          <w:color w:val="000000"/>
          <w:sz w:val="24"/>
          <w:szCs w:val="24"/>
          <w:vertAlign w:val="superscript"/>
        </w:rPr>
        <w:t>l</w:t>
      </w:r>
      <w:r w:rsidRPr="00A87019">
        <w:rPr>
          <w:rFonts w:ascii="Times New Roman" w:hAnsi="Times New Roman" w:cs="Times New Roman"/>
          <w:color w:val="000000"/>
          <w:sz w:val="24"/>
          <w:szCs w:val="24"/>
        </w:rPr>
        <w:t xml:space="preserve"> </w:t>
      </w:r>
      <w:r w:rsidRPr="00A87019">
        <w:rPr>
          <w:rFonts w:ascii="Times New Roman" w:hAnsi="Times New Roman" w:cs="Times New Roman"/>
          <w:i/>
          <w:iCs/>
          <w:color w:val="000000"/>
          <w:sz w:val="24"/>
          <w:szCs w:val="24"/>
        </w:rPr>
        <w:t>See</w:t>
      </w:r>
      <w:r w:rsidRPr="00A87019">
        <w:rPr>
          <w:rFonts w:ascii="Times New Roman" w:hAnsi="Times New Roman" w:cs="Times New Roman"/>
          <w:i/>
          <w:color w:val="000000"/>
          <w:sz w:val="24"/>
          <w:szCs w:val="24"/>
        </w:rPr>
        <w:t xml:space="preserve"> </w:t>
      </w:r>
      <w:r w:rsidRPr="00A87019">
        <w:rPr>
          <w:rFonts w:ascii="Times New Roman" w:hAnsi="Times New Roman" w:cs="Times New Roman"/>
          <w:color w:val="000000"/>
          <w:sz w:val="24"/>
          <w:szCs w:val="24"/>
        </w:rPr>
        <w:t>31 CFR 10101.100(ff)(3).</w:t>
      </w:r>
    </w:p>
    <w:p w:rsidR="002A033B" w:rsidRPr="00A87019" w:rsidP="00E938AB" w14:paraId="1C982E5C" w14:textId="6E57B10B">
      <w:pPr>
        <w:spacing w:after="120"/>
        <w:rPr>
          <w:rFonts w:ascii="Times New Roman" w:hAnsi="Times New Roman" w:cs="Times New Roman"/>
          <w:color w:val="000000"/>
          <w:sz w:val="24"/>
          <w:szCs w:val="24"/>
          <w:highlight w:val="yellow"/>
        </w:rPr>
      </w:pPr>
      <w:r w:rsidRPr="00A87019">
        <w:rPr>
          <w:rFonts w:ascii="Times New Roman" w:hAnsi="Times New Roman" w:cs="Times New Roman"/>
          <w:color w:val="000000"/>
          <w:sz w:val="24"/>
          <w:szCs w:val="24"/>
          <w:vertAlign w:val="superscript"/>
        </w:rPr>
        <w:t>m</w:t>
      </w:r>
      <w:r w:rsidRPr="00A87019">
        <w:rPr>
          <w:rFonts w:ascii="Times New Roman" w:hAnsi="Times New Roman" w:cs="Times New Roman"/>
          <w:color w:val="000000"/>
          <w:sz w:val="24"/>
          <w:szCs w:val="24"/>
        </w:rPr>
        <w:t xml:space="preserve"> This value represents the number of uniquely identifiable registered MSBs with indicia of ongoing operations as of year-end 2024 that self-identified as either “Issuer of Travelers Checks” (FinCEN Form 107</w:t>
      </w:r>
      <w:r w:rsidRPr="00A87019">
        <w:rPr>
          <w:rFonts w:ascii="Times New Roman" w:hAnsi="Times New Roman" w:cs="Times New Roman"/>
          <w:color w:val="000000" w:themeColor="text1"/>
          <w:sz w:val="24"/>
          <w:szCs w:val="24"/>
        </w:rPr>
        <w:t>, Registration of Money Services Business, MSB Services Key List</w:t>
      </w:r>
      <w:r w:rsidRPr="00A87019">
        <w:rPr>
          <w:rFonts w:ascii="Times New Roman" w:hAnsi="Times New Roman" w:cs="Times New Roman"/>
          <w:color w:val="000000"/>
          <w:sz w:val="24"/>
          <w:szCs w:val="24"/>
        </w:rPr>
        <w:t xml:space="preserve"> code 401) or “Seller of Travelers Checks” (Form 107</w:t>
      </w:r>
      <w:r w:rsidRPr="00A87019">
        <w:rPr>
          <w:rFonts w:ascii="Times New Roman" w:hAnsi="Times New Roman" w:cs="Times New Roman"/>
          <w:color w:val="000000" w:themeColor="text1"/>
          <w:sz w:val="24"/>
          <w:szCs w:val="24"/>
        </w:rPr>
        <w:t>, Registration of Money Services Business, MSB Services Key List</w:t>
      </w:r>
      <w:r w:rsidRPr="00A87019">
        <w:rPr>
          <w:rFonts w:ascii="Times New Roman" w:hAnsi="Times New Roman" w:cs="Times New Roman"/>
          <w:color w:val="000000"/>
          <w:sz w:val="24"/>
          <w:szCs w:val="24"/>
        </w:rPr>
        <w:t xml:space="preserve"> code 402).  Registrants may be members of multiple category types.  The estimate is derived from FinCEN</w:t>
      </w:r>
      <w:r w:rsidRPr="00A87019" w:rsidR="007A4598">
        <w:rPr>
          <w:rFonts w:ascii="Times New Roman" w:hAnsi="Times New Roman" w:cs="Times New Roman"/>
          <w:color w:val="000000"/>
          <w:sz w:val="24"/>
          <w:szCs w:val="24"/>
        </w:rPr>
        <w:t>’</w:t>
      </w:r>
      <w:r w:rsidRPr="00A87019">
        <w:rPr>
          <w:rFonts w:ascii="Times New Roman" w:hAnsi="Times New Roman" w:cs="Times New Roman"/>
          <w:color w:val="000000"/>
          <w:sz w:val="24"/>
          <w:szCs w:val="24"/>
        </w:rPr>
        <w:t>s publicly available MSB data, accessed April 28, 2025</w:t>
      </w:r>
      <w:r w:rsidRPr="00A87019">
        <w:rPr>
          <w:rFonts w:ascii="Times New Roman" w:hAnsi="Times New Roman" w:cs="Times New Roman"/>
          <w:color w:val="000000" w:themeColor="text1"/>
          <w:sz w:val="24"/>
          <w:szCs w:val="24"/>
        </w:rPr>
        <w:t xml:space="preserve">, available at </w:t>
      </w:r>
      <w:hyperlink r:id="rId10" w:history="1">
        <w:r w:rsidRPr="00A87019">
          <w:rPr>
            <w:rStyle w:val="Hyperlink"/>
            <w:rFonts w:ascii="Times New Roman" w:hAnsi="Times New Roman" w:cs="Times New Roman"/>
            <w:sz w:val="24"/>
            <w:szCs w:val="24"/>
          </w:rPr>
          <w:t>https://www.fincen.gov/msb-state-selector</w:t>
        </w:r>
      </w:hyperlink>
      <w:r w:rsidRPr="00A87019">
        <w:rPr>
          <w:rFonts w:ascii="Times New Roman" w:hAnsi="Times New Roman" w:cs="Times New Roman"/>
          <w:color w:val="000000"/>
          <w:sz w:val="24"/>
          <w:szCs w:val="24"/>
        </w:rPr>
        <w:t>.</w:t>
      </w:r>
    </w:p>
    <w:p w:rsidR="002A033B" w:rsidRPr="00A87019" w:rsidP="00E938AB" w14:paraId="15373F6A" w14:textId="77777777">
      <w:pPr>
        <w:spacing w:after="120"/>
        <w:rPr>
          <w:rFonts w:ascii="Times New Roman" w:hAnsi="Times New Roman" w:cs="Times New Roman"/>
          <w:color w:val="000000"/>
          <w:sz w:val="24"/>
          <w:szCs w:val="24"/>
          <w:highlight w:val="yellow"/>
        </w:rPr>
      </w:pPr>
      <w:r w:rsidRPr="00A87019">
        <w:rPr>
          <w:rFonts w:ascii="Times New Roman" w:hAnsi="Times New Roman" w:cs="Times New Roman"/>
          <w:color w:val="000000"/>
          <w:sz w:val="24"/>
          <w:szCs w:val="24"/>
          <w:vertAlign w:val="superscript"/>
        </w:rPr>
        <w:t>n</w:t>
      </w:r>
      <w:r w:rsidRPr="00A87019">
        <w:rPr>
          <w:rFonts w:ascii="Times New Roman" w:hAnsi="Times New Roman" w:cs="Times New Roman"/>
          <w:color w:val="000000"/>
          <w:sz w:val="24"/>
          <w:szCs w:val="24"/>
        </w:rPr>
        <w:t xml:space="preserve"> </w:t>
      </w:r>
      <w:r w:rsidRPr="00A87019">
        <w:rPr>
          <w:rFonts w:ascii="Times New Roman" w:hAnsi="Times New Roman" w:cs="Times New Roman"/>
          <w:i/>
          <w:iCs/>
          <w:color w:val="000000"/>
          <w:sz w:val="24"/>
          <w:szCs w:val="24"/>
        </w:rPr>
        <w:t>See</w:t>
      </w:r>
      <w:r w:rsidRPr="00A87019">
        <w:rPr>
          <w:rFonts w:ascii="Times New Roman" w:hAnsi="Times New Roman" w:cs="Times New Roman"/>
          <w:i/>
          <w:color w:val="000000"/>
          <w:sz w:val="24"/>
          <w:szCs w:val="24"/>
        </w:rPr>
        <w:t xml:space="preserve"> </w:t>
      </w:r>
      <w:r w:rsidRPr="00A87019">
        <w:rPr>
          <w:rFonts w:ascii="Times New Roman" w:hAnsi="Times New Roman" w:cs="Times New Roman"/>
          <w:color w:val="000000"/>
          <w:sz w:val="24"/>
          <w:szCs w:val="24"/>
        </w:rPr>
        <w:t>31 CFR 10101.100(ff)(3).</w:t>
      </w:r>
    </w:p>
    <w:p w:rsidR="002A033B" w:rsidRPr="00A87019" w:rsidP="00E938AB" w14:paraId="03887DA2" w14:textId="0AC9847A">
      <w:pPr>
        <w:spacing w:after="120"/>
        <w:rPr>
          <w:rFonts w:ascii="Times New Roman" w:hAnsi="Times New Roman" w:cs="Times New Roman"/>
          <w:color w:val="000000"/>
          <w:sz w:val="24"/>
          <w:szCs w:val="24"/>
          <w:highlight w:val="yellow"/>
        </w:rPr>
      </w:pPr>
      <w:r w:rsidRPr="00A87019">
        <w:rPr>
          <w:rFonts w:ascii="Times New Roman" w:hAnsi="Times New Roman" w:cs="Times New Roman"/>
          <w:color w:val="000000"/>
          <w:sz w:val="24"/>
          <w:szCs w:val="24"/>
          <w:vertAlign w:val="superscript"/>
        </w:rPr>
        <w:t>o</w:t>
      </w:r>
      <w:r w:rsidRPr="00A87019">
        <w:rPr>
          <w:rFonts w:ascii="Times New Roman" w:hAnsi="Times New Roman" w:cs="Times New Roman"/>
          <w:color w:val="000000"/>
          <w:sz w:val="24"/>
          <w:szCs w:val="24"/>
        </w:rPr>
        <w:t xml:space="preserve"> This value represents the number of uniquely identifiable registered MSBs with indicia of ongoing operations as of year-end 2024 that self-identified as either “Issuer of Money Orders” (FinCEN Form 107</w:t>
      </w:r>
      <w:r w:rsidRPr="00A87019">
        <w:rPr>
          <w:rFonts w:ascii="Times New Roman" w:hAnsi="Times New Roman" w:cs="Times New Roman"/>
          <w:color w:val="000000" w:themeColor="text1"/>
          <w:sz w:val="24"/>
          <w:szCs w:val="24"/>
        </w:rPr>
        <w:t>, Registration of Money Services Business, MSB Services Key List</w:t>
      </w:r>
      <w:r w:rsidRPr="00A87019">
        <w:rPr>
          <w:rFonts w:ascii="Times New Roman" w:hAnsi="Times New Roman" w:cs="Times New Roman"/>
          <w:color w:val="000000"/>
          <w:sz w:val="24"/>
          <w:szCs w:val="24"/>
        </w:rPr>
        <w:t xml:space="preserve"> code 404) or “Seller of Money Orders” (FinCEN Form 107</w:t>
      </w:r>
      <w:r w:rsidRPr="00A87019">
        <w:rPr>
          <w:rFonts w:ascii="Times New Roman" w:hAnsi="Times New Roman" w:cs="Times New Roman"/>
          <w:color w:val="000000" w:themeColor="text1"/>
          <w:sz w:val="24"/>
          <w:szCs w:val="24"/>
        </w:rPr>
        <w:t>, Registration of Money Services Business, MSB Services Key List</w:t>
      </w:r>
      <w:r w:rsidRPr="00A87019">
        <w:rPr>
          <w:rFonts w:ascii="Times New Roman" w:hAnsi="Times New Roman" w:cs="Times New Roman"/>
          <w:color w:val="000000"/>
          <w:sz w:val="24"/>
          <w:szCs w:val="24"/>
        </w:rPr>
        <w:t xml:space="preserve"> 405). Registrants may be members of multiple category types.  The estimate is derived from FinCEN</w:t>
      </w:r>
      <w:r w:rsidRPr="00A87019" w:rsidR="007A4598">
        <w:rPr>
          <w:rFonts w:ascii="Times New Roman" w:hAnsi="Times New Roman" w:cs="Times New Roman"/>
          <w:color w:val="000000"/>
          <w:sz w:val="24"/>
          <w:szCs w:val="24"/>
        </w:rPr>
        <w:t>’</w:t>
      </w:r>
      <w:r w:rsidRPr="00A87019">
        <w:rPr>
          <w:rFonts w:ascii="Times New Roman" w:hAnsi="Times New Roman" w:cs="Times New Roman"/>
          <w:color w:val="000000"/>
          <w:sz w:val="24"/>
          <w:szCs w:val="24"/>
        </w:rPr>
        <w:t>s publicly available MSB data, accessed April 28, 2025</w:t>
      </w:r>
      <w:r w:rsidRPr="00A87019">
        <w:rPr>
          <w:rFonts w:ascii="Times New Roman" w:hAnsi="Times New Roman" w:cs="Times New Roman"/>
          <w:color w:val="000000" w:themeColor="text1"/>
          <w:sz w:val="24"/>
          <w:szCs w:val="24"/>
        </w:rPr>
        <w:t xml:space="preserve">, available at </w:t>
      </w:r>
      <w:hyperlink r:id="rId10" w:history="1">
        <w:r w:rsidRPr="00A87019">
          <w:rPr>
            <w:rStyle w:val="Hyperlink"/>
            <w:rFonts w:ascii="Times New Roman" w:hAnsi="Times New Roman" w:cs="Times New Roman"/>
            <w:sz w:val="24"/>
            <w:szCs w:val="24"/>
          </w:rPr>
          <w:t>https://www.fincen.gov/msb-state-selector</w:t>
        </w:r>
      </w:hyperlink>
      <w:r w:rsidRPr="00A87019">
        <w:rPr>
          <w:rFonts w:ascii="Times New Roman" w:hAnsi="Times New Roman" w:cs="Times New Roman"/>
          <w:color w:val="000000"/>
          <w:sz w:val="24"/>
          <w:szCs w:val="24"/>
        </w:rPr>
        <w:t>.</w:t>
      </w:r>
    </w:p>
    <w:p w:rsidR="002A033B" w:rsidRPr="00A87019" w:rsidP="00E938AB" w14:paraId="26486534" w14:textId="77777777">
      <w:pPr>
        <w:spacing w:after="120"/>
        <w:rPr>
          <w:rFonts w:ascii="Times New Roman" w:hAnsi="Times New Roman" w:cs="Times New Roman"/>
          <w:color w:val="000000"/>
          <w:sz w:val="24"/>
          <w:szCs w:val="24"/>
          <w:highlight w:val="yellow"/>
        </w:rPr>
      </w:pPr>
      <w:r w:rsidRPr="00A87019">
        <w:rPr>
          <w:rFonts w:ascii="Times New Roman" w:hAnsi="Times New Roman" w:cs="Times New Roman"/>
          <w:color w:val="000000"/>
          <w:sz w:val="24"/>
          <w:szCs w:val="24"/>
          <w:vertAlign w:val="superscript"/>
        </w:rPr>
        <w:t>p</w:t>
      </w:r>
      <w:r w:rsidRPr="00A87019">
        <w:rPr>
          <w:rFonts w:ascii="Times New Roman" w:hAnsi="Times New Roman" w:cs="Times New Roman"/>
          <w:color w:val="000000"/>
          <w:sz w:val="24"/>
          <w:szCs w:val="24"/>
        </w:rPr>
        <w:t xml:space="preserve"> </w:t>
      </w:r>
      <w:r w:rsidRPr="00A87019">
        <w:rPr>
          <w:rFonts w:ascii="Times New Roman" w:hAnsi="Times New Roman" w:cs="Times New Roman"/>
          <w:i/>
          <w:iCs/>
          <w:color w:val="000000"/>
          <w:sz w:val="24"/>
          <w:szCs w:val="24"/>
        </w:rPr>
        <w:t>See</w:t>
      </w:r>
      <w:r w:rsidRPr="00A87019">
        <w:rPr>
          <w:rFonts w:ascii="Times New Roman" w:hAnsi="Times New Roman" w:cs="Times New Roman"/>
          <w:i/>
          <w:color w:val="000000"/>
          <w:sz w:val="24"/>
          <w:szCs w:val="24"/>
        </w:rPr>
        <w:t xml:space="preserve"> </w:t>
      </w:r>
      <w:r w:rsidRPr="00A87019">
        <w:rPr>
          <w:rFonts w:ascii="Times New Roman" w:hAnsi="Times New Roman" w:cs="Times New Roman"/>
          <w:color w:val="000000"/>
          <w:sz w:val="24"/>
          <w:szCs w:val="24"/>
        </w:rPr>
        <w:t>31 CFR 1010.100(ff)(4)(</w:t>
      </w:r>
      <w:r w:rsidRPr="00A87019">
        <w:rPr>
          <w:rFonts w:ascii="Times New Roman" w:hAnsi="Times New Roman" w:cs="Times New Roman"/>
          <w:color w:val="000000"/>
          <w:sz w:val="24"/>
          <w:szCs w:val="24"/>
        </w:rPr>
        <w:t>i</w:t>
      </w:r>
      <w:r w:rsidRPr="00A87019">
        <w:rPr>
          <w:rFonts w:ascii="Times New Roman" w:hAnsi="Times New Roman" w:cs="Times New Roman"/>
          <w:color w:val="000000"/>
          <w:sz w:val="24"/>
          <w:szCs w:val="24"/>
        </w:rPr>
        <w:t>)-(iii), (7)(</w:t>
      </w:r>
      <w:r w:rsidRPr="00A87019">
        <w:rPr>
          <w:rFonts w:ascii="Times New Roman" w:hAnsi="Times New Roman" w:cs="Times New Roman"/>
          <w:color w:val="000000"/>
          <w:sz w:val="24"/>
          <w:szCs w:val="24"/>
        </w:rPr>
        <w:t>i</w:t>
      </w:r>
      <w:r w:rsidRPr="00A87019">
        <w:rPr>
          <w:rFonts w:ascii="Times New Roman" w:hAnsi="Times New Roman" w:cs="Times New Roman"/>
          <w:color w:val="000000"/>
          <w:sz w:val="24"/>
          <w:szCs w:val="24"/>
        </w:rPr>
        <w:t>)-(ii).</w:t>
      </w:r>
    </w:p>
    <w:p w:rsidR="002A033B" w:rsidRPr="00A87019" w:rsidP="00E938AB" w14:paraId="425F3BF4" w14:textId="6FEBF2F1">
      <w:pPr>
        <w:spacing w:after="120"/>
        <w:rPr>
          <w:rFonts w:ascii="Times New Roman" w:hAnsi="Times New Roman" w:cs="Times New Roman"/>
          <w:color w:val="000000"/>
          <w:sz w:val="24"/>
          <w:szCs w:val="24"/>
          <w:highlight w:val="yellow"/>
        </w:rPr>
      </w:pPr>
      <w:r w:rsidRPr="00A87019">
        <w:rPr>
          <w:rFonts w:ascii="Times New Roman" w:hAnsi="Times New Roman" w:cs="Times New Roman"/>
          <w:color w:val="000000"/>
          <w:sz w:val="24"/>
          <w:szCs w:val="24"/>
          <w:vertAlign w:val="superscript"/>
        </w:rPr>
        <w:t>q</w:t>
      </w:r>
      <w:r w:rsidRPr="00A87019">
        <w:rPr>
          <w:rFonts w:ascii="Times New Roman" w:hAnsi="Times New Roman" w:cs="Times New Roman"/>
          <w:color w:val="000000"/>
          <w:sz w:val="24"/>
          <w:szCs w:val="24"/>
        </w:rPr>
        <w:t xml:space="preserve"> This value represents the number of uniquely identifiable registered MSBs with indicia of ongoing operations as of year-end 2024 that self-identified as either “Seller of Prepaid Access” (FinCEN Form 107</w:t>
      </w:r>
      <w:r w:rsidRPr="00A87019">
        <w:rPr>
          <w:rFonts w:ascii="Times New Roman" w:hAnsi="Times New Roman" w:cs="Times New Roman"/>
          <w:color w:val="000000" w:themeColor="text1"/>
          <w:sz w:val="24"/>
          <w:szCs w:val="24"/>
        </w:rPr>
        <w:t>, Registration of Money Services Business, MSB Services Key List</w:t>
      </w:r>
      <w:r w:rsidRPr="00A87019">
        <w:rPr>
          <w:rFonts w:ascii="Times New Roman" w:hAnsi="Times New Roman" w:cs="Times New Roman"/>
          <w:color w:val="000000"/>
          <w:sz w:val="24"/>
          <w:szCs w:val="24"/>
        </w:rPr>
        <w:t xml:space="preserve"> 413) or “Provider of Prepaid Access” (FinCEN Form 107</w:t>
      </w:r>
      <w:r w:rsidRPr="00A87019">
        <w:rPr>
          <w:rFonts w:ascii="Times New Roman" w:hAnsi="Times New Roman" w:cs="Times New Roman"/>
          <w:color w:val="000000" w:themeColor="text1"/>
          <w:sz w:val="24"/>
          <w:szCs w:val="24"/>
        </w:rPr>
        <w:t>, Registration of Money Services Business, MSB Services Key List</w:t>
      </w:r>
      <w:r w:rsidRPr="00A87019">
        <w:rPr>
          <w:rFonts w:ascii="Times New Roman" w:hAnsi="Times New Roman" w:cs="Times New Roman"/>
          <w:color w:val="000000"/>
          <w:sz w:val="24"/>
          <w:szCs w:val="24"/>
        </w:rPr>
        <w:t xml:space="preserve"> 414).  Registrants may be members of multiple category types.  The estimate is derived from FinCEN</w:t>
      </w:r>
      <w:r w:rsidRPr="00A87019" w:rsidR="007A4598">
        <w:rPr>
          <w:rFonts w:ascii="Times New Roman" w:hAnsi="Times New Roman" w:cs="Times New Roman"/>
          <w:color w:val="000000"/>
          <w:sz w:val="24"/>
          <w:szCs w:val="24"/>
        </w:rPr>
        <w:t>’</w:t>
      </w:r>
      <w:r w:rsidRPr="00A87019">
        <w:rPr>
          <w:rFonts w:ascii="Times New Roman" w:hAnsi="Times New Roman" w:cs="Times New Roman"/>
          <w:color w:val="000000"/>
          <w:sz w:val="24"/>
          <w:szCs w:val="24"/>
        </w:rPr>
        <w:t>s publicly available MSB data, accessed April 28, 2025</w:t>
      </w:r>
      <w:r w:rsidRPr="00A87019">
        <w:rPr>
          <w:rFonts w:ascii="Times New Roman" w:hAnsi="Times New Roman" w:cs="Times New Roman"/>
          <w:color w:val="000000" w:themeColor="text1"/>
          <w:sz w:val="24"/>
          <w:szCs w:val="24"/>
        </w:rPr>
        <w:t xml:space="preserve">, available at </w:t>
      </w:r>
      <w:hyperlink r:id="rId10" w:history="1">
        <w:r w:rsidRPr="00A87019">
          <w:rPr>
            <w:rStyle w:val="Hyperlink"/>
            <w:rFonts w:ascii="Times New Roman" w:hAnsi="Times New Roman" w:cs="Times New Roman"/>
            <w:sz w:val="24"/>
            <w:szCs w:val="24"/>
          </w:rPr>
          <w:t>https://www.fincen.gov/msb-state-selector</w:t>
        </w:r>
      </w:hyperlink>
      <w:r w:rsidRPr="00A87019">
        <w:rPr>
          <w:rFonts w:ascii="Times New Roman" w:hAnsi="Times New Roman" w:cs="Times New Roman"/>
          <w:color w:val="000000"/>
          <w:sz w:val="24"/>
          <w:szCs w:val="24"/>
        </w:rPr>
        <w:t>.</w:t>
      </w:r>
    </w:p>
    <w:p w:rsidR="002A033B" w:rsidRPr="00A87019" w:rsidP="00E938AB" w14:paraId="5A8BE518" w14:textId="77777777">
      <w:pPr>
        <w:spacing w:after="120"/>
        <w:rPr>
          <w:rFonts w:ascii="Times New Roman" w:hAnsi="Times New Roman" w:cs="Times New Roman"/>
          <w:color w:val="000000"/>
          <w:sz w:val="24"/>
          <w:szCs w:val="24"/>
          <w:highlight w:val="yellow"/>
        </w:rPr>
      </w:pPr>
      <w:r w:rsidRPr="00A87019">
        <w:rPr>
          <w:rFonts w:ascii="Times New Roman" w:hAnsi="Times New Roman" w:cs="Times New Roman"/>
          <w:color w:val="000000"/>
          <w:sz w:val="24"/>
          <w:szCs w:val="24"/>
          <w:vertAlign w:val="superscript"/>
        </w:rPr>
        <w:t>r</w:t>
      </w:r>
      <w:r w:rsidRPr="00A87019">
        <w:rPr>
          <w:rFonts w:ascii="Times New Roman" w:hAnsi="Times New Roman" w:cs="Times New Roman"/>
          <w:color w:val="000000"/>
          <w:sz w:val="24"/>
          <w:szCs w:val="24"/>
        </w:rPr>
        <w:t xml:space="preserve"> </w:t>
      </w:r>
      <w:r w:rsidRPr="00A87019">
        <w:rPr>
          <w:rFonts w:ascii="Times New Roman" w:hAnsi="Times New Roman" w:cs="Times New Roman"/>
          <w:i/>
          <w:iCs/>
          <w:color w:val="000000"/>
          <w:sz w:val="24"/>
          <w:szCs w:val="24"/>
        </w:rPr>
        <w:t>See</w:t>
      </w:r>
      <w:r w:rsidRPr="00A87019">
        <w:rPr>
          <w:rFonts w:ascii="Times New Roman" w:hAnsi="Times New Roman" w:cs="Times New Roman"/>
          <w:i/>
          <w:color w:val="000000"/>
          <w:sz w:val="24"/>
          <w:szCs w:val="24"/>
        </w:rPr>
        <w:t xml:space="preserve"> </w:t>
      </w:r>
      <w:r w:rsidRPr="00A87019">
        <w:rPr>
          <w:rFonts w:ascii="Times New Roman" w:hAnsi="Times New Roman" w:cs="Times New Roman"/>
          <w:color w:val="000000"/>
          <w:sz w:val="24"/>
          <w:szCs w:val="24"/>
        </w:rPr>
        <w:t>31 CFR 1010.100(ff)(5).</w:t>
      </w:r>
    </w:p>
    <w:p w:rsidR="002A033B" w:rsidRPr="00A87019" w:rsidP="00E938AB" w14:paraId="43E0A14F" w14:textId="49D3F159">
      <w:pPr>
        <w:spacing w:after="120"/>
        <w:rPr>
          <w:rFonts w:ascii="Times New Roman" w:hAnsi="Times New Roman" w:cs="Times New Roman"/>
          <w:color w:val="000000"/>
          <w:sz w:val="24"/>
          <w:szCs w:val="24"/>
          <w:highlight w:val="yellow"/>
        </w:rPr>
      </w:pPr>
      <w:r w:rsidRPr="00A87019">
        <w:rPr>
          <w:rFonts w:ascii="Times New Roman" w:hAnsi="Times New Roman" w:cs="Times New Roman"/>
          <w:color w:val="000000"/>
          <w:sz w:val="24"/>
          <w:szCs w:val="24"/>
          <w:vertAlign w:val="superscript"/>
        </w:rPr>
        <w:t xml:space="preserve">s </w:t>
      </w:r>
      <w:r w:rsidRPr="00A87019">
        <w:rPr>
          <w:rFonts w:ascii="Times New Roman" w:hAnsi="Times New Roman" w:cs="Times New Roman"/>
          <w:color w:val="000000"/>
          <w:sz w:val="24"/>
          <w:szCs w:val="24"/>
        </w:rPr>
        <w:t>This value represents the number of uniquely identifiable registered MSBs with indicia of ongoing operations as of year-end 2024 that self-identified as “Money Transmitter” (FinCEN Form 107</w:t>
      </w:r>
      <w:r w:rsidRPr="00A87019">
        <w:rPr>
          <w:rFonts w:ascii="Times New Roman" w:hAnsi="Times New Roman" w:cs="Times New Roman"/>
          <w:color w:val="000000" w:themeColor="text1"/>
          <w:sz w:val="24"/>
          <w:szCs w:val="24"/>
        </w:rPr>
        <w:t>, Registration of Money Services Business, MSB Services Key List</w:t>
      </w:r>
      <w:r w:rsidRPr="00A87019">
        <w:rPr>
          <w:rFonts w:ascii="Times New Roman" w:hAnsi="Times New Roman" w:cs="Times New Roman"/>
          <w:color w:val="000000"/>
          <w:sz w:val="24"/>
          <w:szCs w:val="24"/>
        </w:rPr>
        <w:t xml:space="preserve"> 409).  Registrants may be members of multiple category types.  The estimate is derived from FinCEN</w:t>
      </w:r>
      <w:r w:rsidRPr="00A87019" w:rsidR="007A4598">
        <w:rPr>
          <w:rFonts w:ascii="Times New Roman" w:hAnsi="Times New Roman" w:cs="Times New Roman"/>
          <w:color w:val="000000"/>
          <w:sz w:val="24"/>
          <w:szCs w:val="24"/>
        </w:rPr>
        <w:t>’</w:t>
      </w:r>
      <w:r w:rsidRPr="00A87019">
        <w:rPr>
          <w:rFonts w:ascii="Times New Roman" w:hAnsi="Times New Roman" w:cs="Times New Roman"/>
          <w:color w:val="000000"/>
          <w:sz w:val="24"/>
          <w:szCs w:val="24"/>
        </w:rPr>
        <w:t>s publicly available MSB data, accessed April 28, 2025</w:t>
      </w:r>
      <w:r w:rsidRPr="00A87019">
        <w:rPr>
          <w:rFonts w:ascii="Times New Roman" w:hAnsi="Times New Roman" w:cs="Times New Roman"/>
          <w:color w:val="000000" w:themeColor="text1"/>
          <w:sz w:val="24"/>
          <w:szCs w:val="24"/>
        </w:rPr>
        <w:t xml:space="preserve">, available at </w:t>
      </w:r>
      <w:hyperlink r:id="rId10" w:history="1">
        <w:r w:rsidRPr="00A87019">
          <w:rPr>
            <w:rStyle w:val="Hyperlink"/>
            <w:rFonts w:ascii="Times New Roman" w:hAnsi="Times New Roman" w:cs="Times New Roman"/>
            <w:sz w:val="24"/>
            <w:szCs w:val="24"/>
          </w:rPr>
          <w:t>https://www.fincen.gov/msb-state-selector</w:t>
        </w:r>
      </w:hyperlink>
      <w:r w:rsidRPr="00A87019">
        <w:rPr>
          <w:rFonts w:ascii="Times New Roman" w:hAnsi="Times New Roman" w:cs="Times New Roman"/>
          <w:color w:val="000000"/>
          <w:sz w:val="24"/>
          <w:szCs w:val="24"/>
        </w:rPr>
        <w:t>.</w:t>
      </w:r>
    </w:p>
    <w:p w:rsidR="002A033B" w:rsidRPr="00A87019" w:rsidP="00E938AB" w14:paraId="1B993A81" w14:textId="77777777">
      <w:pPr>
        <w:spacing w:after="120"/>
        <w:rPr>
          <w:rFonts w:ascii="Times New Roman" w:hAnsi="Times New Roman" w:cs="Times New Roman"/>
          <w:color w:val="000000"/>
          <w:sz w:val="24"/>
          <w:szCs w:val="24"/>
          <w:highlight w:val="yellow"/>
        </w:rPr>
      </w:pPr>
      <w:r w:rsidRPr="00A87019">
        <w:rPr>
          <w:rFonts w:ascii="Times New Roman" w:hAnsi="Times New Roman" w:cs="Times New Roman"/>
          <w:color w:val="000000"/>
          <w:sz w:val="24"/>
          <w:szCs w:val="24"/>
          <w:vertAlign w:val="superscript"/>
        </w:rPr>
        <w:t>t</w:t>
      </w:r>
      <w:r w:rsidRPr="00A87019">
        <w:rPr>
          <w:rFonts w:ascii="Times New Roman" w:hAnsi="Times New Roman" w:cs="Times New Roman"/>
          <w:color w:val="000000"/>
          <w:sz w:val="24"/>
          <w:szCs w:val="24"/>
        </w:rPr>
        <w:t xml:space="preserve"> </w:t>
      </w:r>
      <w:r w:rsidRPr="00A87019">
        <w:rPr>
          <w:rFonts w:ascii="Times New Roman" w:hAnsi="Times New Roman" w:cs="Times New Roman"/>
          <w:i/>
          <w:iCs/>
          <w:color w:val="000000"/>
          <w:sz w:val="24"/>
          <w:szCs w:val="24"/>
        </w:rPr>
        <w:t>See</w:t>
      </w:r>
      <w:r w:rsidRPr="00A87019">
        <w:rPr>
          <w:rFonts w:ascii="Times New Roman" w:hAnsi="Times New Roman" w:cs="Times New Roman"/>
          <w:i/>
          <w:color w:val="000000"/>
          <w:sz w:val="24"/>
          <w:szCs w:val="24"/>
        </w:rPr>
        <w:t xml:space="preserve"> </w:t>
      </w:r>
      <w:r w:rsidRPr="00A87019">
        <w:rPr>
          <w:rFonts w:ascii="Times New Roman" w:hAnsi="Times New Roman" w:cs="Times New Roman"/>
          <w:color w:val="000000"/>
          <w:sz w:val="24"/>
          <w:szCs w:val="24"/>
        </w:rPr>
        <w:t>31 CFR 1010.100(ff)(6).</w:t>
      </w:r>
    </w:p>
    <w:p w:rsidR="002A033B" w:rsidRPr="00A87019" w:rsidP="00E938AB" w14:paraId="6066226E" w14:textId="77777777">
      <w:pPr>
        <w:spacing w:after="120"/>
        <w:rPr>
          <w:rFonts w:ascii="Times New Roman" w:hAnsi="Times New Roman" w:cs="Times New Roman"/>
          <w:color w:val="000000"/>
          <w:sz w:val="24"/>
          <w:szCs w:val="24"/>
          <w:highlight w:val="yellow"/>
        </w:rPr>
      </w:pPr>
      <w:r w:rsidRPr="00A87019">
        <w:rPr>
          <w:rFonts w:ascii="Times New Roman" w:hAnsi="Times New Roman" w:cs="Times New Roman"/>
          <w:color w:val="000000"/>
          <w:sz w:val="24"/>
          <w:szCs w:val="24"/>
          <w:vertAlign w:val="superscript"/>
        </w:rPr>
        <w:t>u</w:t>
      </w:r>
      <w:r w:rsidRPr="00A87019">
        <w:rPr>
          <w:rFonts w:ascii="Times New Roman" w:hAnsi="Times New Roman" w:cs="Times New Roman"/>
          <w:color w:val="000000"/>
          <w:sz w:val="24"/>
          <w:szCs w:val="24"/>
        </w:rPr>
        <w:t xml:space="preserve"> FinCEN does not expect the U.S. Postal Service, as defined in 31 CFR 1010.100(ff)(6), to incur any recordkeeping or reporting obligations in connection with the FFA Regulations.</w:t>
      </w:r>
    </w:p>
    <w:p w:rsidR="002A033B" w:rsidRPr="00A87019" w:rsidP="00E938AB" w14:paraId="4943BF4F" w14:textId="77777777">
      <w:pPr>
        <w:spacing w:after="120"/>
        <w:rPr>
          <w:rFonts w:ascii="Times New Roman" w:hAnsi="Times New Roman" w:cs="Times New Roman"/>
          <w:color w:val="000000"/>
          <w:sz w:val="24"/>
          <w:szCs w:val="24"/>
          <w:highlight w:val="yellow"/>
        </w:rPr>
      </w:pPr>
      <w:r w:rsidRPr="00A87019">
        <w:rPr>
          <w:rFonts w:ascii="Times New Roman" w:hAnsi="Times New Roman" w:cs="Times New Roman"/>
          <w:color w:val="000000"/>
          <w:sz w:val="24"/>
          <w:szCs w:val="24"/>
          <w:vertAlign w:val="superscript"/>
        </w:rPr>
        <w:t>v</w:t>
      </w:r>
      <w:r w:rsidRPr="00A87019">
        <w:rPr>
          <w:rFonts w:ascii="Times New Roman" w:hAnsi="Times New Roman" w:cs="Times New Roman"/>
          <w:color w:val="000000"/>
          <w:sz w:val="24"/>
          <w:szCs w:val="24"/>
        </w:rPr>
        <w:t xml:space="preserve"> </w:t>
      </w:r>
      <w:r w:rsidRPr="00A87019">
        <w:rPr>
          <w:rFonts w:ascii="Times New Roman" w:hAnsi="Times New Roman" w:cs="Times New Roman"/>
          <w:i/>
          <w:iCs/>
          <w:color w:val="000000"/>
          <w:sz w:val="24"/>
          <w:szCs w:val="24"/>
        </w:rPr>
        <w:t>See</w:t>
      </w:r>
      <w:r w:rsidRPr="00A87019">
        <w:rPr>
          <w:rFonts w:ascii="Times New Roman" w:hAnsi="Times New Roman" w:cs="Times New Roman"/>
          <w:i/>
          <w:color w:val="000000"/>
          <w:sz w:val="24"/>
          <w:szCs w:val="24"/>
        </w:rPr>
        <w:t xml:space="preserve"> </w:t>
      </w:r>
      <w:r w:rsidRPr="00A87019">
        <w:rPr>
          <w:rFonts w:ascii="Times New Roman" w:hAnsi="Times New Roman" w:cs="Times New Roman"/>
          <w:color w:val="000000"/>
          <w:sz w:val="24"/>
          <w:szCs w:val="24"/>
        </w:rPr>
        <w:t>31 CFR 1010.100(t)(4).</w:t>
      </w:r>
    </w:p>
    <w:p w:rsidR="002A033B" w:rsidRPr="00A87019" w:rsidP="00E938AB" w14:paraId="2AA68D33" w14:textId="77777777">
      <w:pPr>
        <w:spacing w:after="120"/>
        <w:rPr>
          <w:rFonts w:ascii="Times New Roman" w:hAnsi="Times New Roman" w:cs="Times New Roman"/>
          <w:color w:val="000000"/>
          <w:sz w:val="24"/>
          <w:szCs w:val="24"/>
          <w:highlight w:val="yellow"/>
        </w:rPr>
      </w:pPr>
      <w:r w:rsidRPr="00A87019">
        <w:rPr>
          <w:rFonts w:ascii="Times New Roman" w:hAnsi="Times New Roman" w:cs="Times New Roman"/>
          <w:color w:val="000000"/>
          <w:sz w:val="24"/>
          <w:szCs w:val="24"/>
          <w:vertAlign w:val="superscript"/>
        </w:rPr>
        <w:t>w</w:t>
      </w:r>
      <w:r w:rsidRPr="00A87019">
        <w:rPr>
          <w:rFonts w:ascii="Times New Roman" w:hAnsi="Times New Roman" w:cs="Times New Roman"/>
          <w:color w:val="000000"/>
          <w:sz w:val="24"/>
          <w:szCs w:val="24"/>
        </w:rPr>
        <w:t xml:space="preserve"> </w:t>
      </w:r>
      <w:r w:rsidRPr="00A87019">
        <w:rPr>
          <w:rFonts w:ascii="Times New Roman" w:hAnsi="Times New Roman" w:cs="Times New Roman"/>
          <w:color w:val="000000"/>
          <w:sz w:val="24"/>
          <w:szCs w:val="24"/>
        </w:rPr>
        <w:t>As</w:t>
      </w:r>
      <w:r w:rsidRPr="00A87019">
        <w:rPr>
          <w:rFonts w:ascii="Times New Roman" w:hAnsi="Times New Roman" w:cs="Times New Roman"/>
          <w:color w:val="000000"/>
          <w:sz w:val="24"/>
          <w:szCs w:val="24"/>
        </w:rPr>
        <w:t xml:space="preserve"> an estimate of uniquely registered, potentially affected entities, FinCEN expects this category to contain no additional persons or organizations not already included in other counts, particularly as money transmitters.</w:t>
      </w:r>
    </w:p>
    <w:p w:rsidR="002A033B" w:rsidRPr="00A87019" w:rsidP="00E938AB" w14:paraId="5283AC93" w14:textId="3C702550">
      <w:pPr>
        <w:spacing w:after="120"/>
        <w:rPr>
          <w:rFonts w:ascii="Times New Roman" w:hAnsi="Times New Roman" w:cs="Times New Roman"/>
          <w:color w:val="000000"/>
          <w:sz w:val="24"/>
          <w:szCs w:val="24"/>
        </w:rPr>
      </w:pPr>
      <w:r w:rsidRPr="00A87019">
        <w:rPr>
          <w:rFonts w:ascii="Times New Roman" w:hAnsi="Times New Roman" w:cs="Times New Roman"/>
          <w:color w:val="000000"/>
          <w:sz w:val="24"/>
          <w:szCs w:val="24"/>
          <w:vertAlign w:val="superscript"/>
        </w:rPr>
        <w:t>x</w:t>
      </w:r>
      <w:r w:rsidRPr="00A87019">
        <w:rPr>
          <w:rFonts w:ascii="Times New Roman" w:hAnsi="Times New Roman" w:cs="Times New Roman"/>
          <w:color w:val="000000"/>
          <w:sz w:val="24"/>
          <w:szCs w:val="24"/>
        </w:rPr>
        <w:t xml:space="preserve"> </w:t>
      </w:r>
      <w:r w:rsidRPr="00A87019">
        <w:rPr>
          <w:rFonts w:ascii="Times New Roman" w:hAnsi="Times New Roman" w:cs="Times New Roman"/>
          <w:i/>
          <w:iCs/>
          <w:color w:val="000000"/>
          <w:sz w:val="24"/>
          <w:szCs w:val="24"/>
        </w:rPr>
        <w:t>See</w:t>
      </w:r>
      <w:r w:rsidRPr="00A87019">
        <w:rPr>
          <w:rFonts w:ascii="Times New Roman" w:hAnsi="Times New Roman" w:cs="Times New Roman"/>
          <w:i/>
          <w:color w:val="000000"/>
          <w:sz w:val="24"/>
          <w:szCs w:val="24"/>
        </w:rPr>
        <w:t xml:space="preserve"> </w:t>
      </w:r>
      <w:r w:rsidRPr="00A87019">
        <w:rPr>
          <w:rFonts w:ascii="Times New Roman" w:hAnsi="Times New Roman" w:cs="Times New Roman"/>
          <w:color w:val="000000"/>
          <w:sz w:val="24"/>
          <w:szCs w:val="24"/>
        </w:rPr>
        <w:t>31 CFR 1010.100(t)(5)-(6).</w:t>
      </w:r>
    </w:p>
    <w:p w:rsidR="002A033B" w:rsidRPr="00A87019" w:rsidP="00E938AB" w14:paraId="20807572" w14:textId="4BC323B9">
      <w:pPr>
        <w:spacing w:after="120"/>
        <w:rPr>
          <w:rFonts w:ascii="Times New Roman" w:hAnsi="Times New Roman" w:cs="Times New Roman"/>
          <w:color w:val="000000"/>
          <w:sz w:val="24"/>
          <w:szCs w:val="24"/>
        </w:rPr>
      </w:pPr>
      <w:r w:rsidRPr="00A87019">
        <w:rPr>
          <w:rFonts w:ascii="Times New Roman" w:hAnsi="Times New Roman" w:cs="Times New Roman"/>
          <w:color w:val="000000"/>
          <w:sz w:val="24"/>
          <w:szCs w:val="24"/>
          <w:vertAlign w:val="superscript"/>
        </w:rPr>
        <w:t>y</w:t>
      </w:r>
      <w:r w:rsidRPr="00A87019">
        <w:rPr>
          <w:rFonts w:ascii="Times New Roman" w:hAnsi="Times New Roman" w:cs="Times New Roman"/>
          <w:color w:val="000000"/>
          <w:sz w:val="24"/>
          <w:szCs w:val="24"/>
        </w:rPr>
        <w:t xml:space="preserve"> Estimate based on the American Gaming Association (AGA) “State of the States” available at </w:t>
      </w:r>
      <w:hyperlink r:id="rId11" w:history="1">
        <w:r w:rsidRPr="00A87019" w:rsidR="00EB1C39">
          <w:rPr>
            <w:rStyle w:val="Hyperlink"/>
            <w:rFonts w:ascii="Times New Roman" w:hAnsi="Times New Roman" w:cs="Times New Roman"/>
            <w:sz w:val="24"/>
            <w:szCs w:val="24"/>
          </w:rPr>
          <w:t>https://www.americangaming.org/wp-content/uploads/2024/05/AGA-State-of-the-States-2024.pdf</w:t>
        </w:r>
      </w:hyperlink>
      <w:r w:rsidRPr="00A87019">
        <w:rPr>
          <w:rFonts w:ascii="Times New Roman" w:hAnsi="Times New Roman" w:cs="Times New Roman"/>
          <w:color w:val="000000"/>
          <w:sz w:val="24"/>
          <w:szCs w:val="24"/>
        </w:rPr>
        <w:t>.</w:t>
      </w:r>
    </w:p>
    <w:p w:rsidR="002A033B" w:rsidRPr="00A87019" w:rsidP="00E938AB" w14:paraId="7B265B6B" w14:textId="77777777">
      <w:pPr>
        <w:spacing w:after="120"/>
        <w:rPr>
          <w:rFonts w:ascii="Times New Roman" w:hAnsi="Times New Roman" w:cs="Times New Roman"/>
          <w:color w:val="000000"/>
          <w:sz w:val="24"/>
          <w:szCs w:val="24"/>
        </w:rPr>
      </w:pPr>
      <w:r w:rsidRPr="00A87019">
        <w:rPr>
          <w:rFonts w:ascii="Times New Roman" w:hAnsi="Times New Roman" w:cs="Times New Roman"/>
          <w:color w:val="000000"/>
          <w:sz w:val="24"/>
          <w:szCs w:val="24"/>
          <w:vertAlign w:val="superscript"/>
        </w:rPr>
        <w:t>z</w:t>
      </w:r>
      <w:r w:rsidRPr="00A87019">
        <w:rPr>
          <w:rFonts w:ascii="Times New Roman" w:hAnsi="Times New Roman" w:cs="Times New Roman"/>
          <w:color w:val="000000"/>
          <w:sz w:val="24"/>
          <w:szCs w:val="24"/>
        </w:rPr>
        <w:t xml:space="preserve"> </w:t>
      </w:r>
      <w:r w:rsidRPr="00A87019">
        <w:rPr>
          <w:rFonts w:ascii="Times New Roman" w:hAnsi="Times New Roman" w:cs="Times New Roman"/>
          <w:i/>
          <w:iCs/>
          <w:color w:val="000000"/>
          <w:sz w:val="24"/>
          <w:szCs w:val="24"/>
        </w:rPr>
        <w:t>See</w:t>
      </w:r>
      <w:r w:rsidRPr="00A87019">
        <w:rPr>
          <w:rFonts w:ascii="Times New Roman" w:hAnsi="Times New Roman" w:cs="Times New Roman"/>
          <w:i/>
          <w:color w:val="000000"/>
          <w:sz w:val="24"/>
          <w:szCs w:val="24"/>
        </w:rPr>
        <w:t xml:space="preserve"> </w:t>
      </w:r>
      <w:r w:rsidRPr="00A87019">
        <w:rPr>
          <w:rFonts w:ascii="Times New Roman" w:hAnsi="Times New Roman" w:cs="Times New Roman"/>
          <w:color w:val="000000"/>
          <w:sz w:val="24"/>
          <w:szCs w:val="24"/>
        </w:rPr>
        <w:t>31 CFR 1010.100(t)(7).</w:t>
      </w:r>
    </w:p>
    <w:p w:rsidR="002A033B" w:rsidRPr="00A87019" w:rsidP="00E938AB" w14:paraId="098E233E" w14:textId="77777777">
      <w:pPr>
        <w:spacing w:after="120"/>
        <w:rPr>
          <w:rFonts w:ascii="Times New Roman" w:hAnsi="Times New Roman" w:cs="Times New Roman"/>
          <w:color w:val="000000"/>
          <w:sz w:val="24"/>
          <w:szCs w:val="24"/>
        </w:rPr>
      </w:pPr>
      <w:r w:rsidRPr="00A87019">
        <w:rPr>
          <w:rFonts w:ascii="Times New Roman" w:hAnsi="Times New Roman" w:cs="Times New Roman"/>
          <w:color w:val="000000"/>
          <w:sz w:val="24"/>
          <w:szCs w:val="24"/>
          <w:vertAlign w:val="superscript"/>
        </w:rPr>
        <w:t>aa</w:t>
      </w:r>
      <w:r w:rsidRPr="00A87019">
        <w:rPr>
          <w:rFonts w:ascii="Times New Roman" w:hAnsi="Times New Roman" w:cs="Times New Roman"/>
          <w:color w:val="000000"/>
          <w:sz w:val="24"/>
          <w:szCs w:val="24"/>
        </w:rPr>
        <w:t xml:space="preserve"> It is unclear to FinCEN at this time whether any entities exist in this category that, for purposes of being counted towards unique potentially affected parties that could incur burdens associated with regulations issued pursuant to 31 CFR 1010.360, are not already captured by concurrent status in another category of financial institution under the 31 CFR 1010.100(t) definition.  To the extent that additional data can better inform this estimate, public comment including provision of such data is invited.</w:t>
      </w:r>
    </w:p>
    <w:p w:rsidR="002A033B" w:rsidRPr="00A87019" w:rsidP="00E938AB" w14:paraId="2CEAAF4E" w14:textId="14851D5A">
      <w:pPr>
        <w:spacing w:after="120"/>
        <w:rPr>
          <w:rFonts w:ascii="Times New Roman" w:hAnsi="Times New Roman" w:cs="Times New Roman"/>
          <w:color w:val="000000"/>
          <w:sz w:val="24"/>
          <w:szCs w:val="24"/>
        </w:rPr>
      </w:pPr>
      <w:r w:rsidRPr="00A87019">
        <w:rPr>
          <w:rFonts w:ascii="Times New Roman" w:hAnsi="Times New Roman" w:cs="Times New Roman"/>
          <w:color w:val="000000"/>
          <w:sz w:val="24"/>
          <w:szCs w:val="24"/>
          <w:vertAlign w:val="superscript"/>
        </w:rPr>
        <w:t>bb</w:t>
      </w:r>
      <w:r w:rsidRPr="00A87019">
        <w:rPr>
          <w:rFonts w:ascii="Times New Roman" w:hAnsi="Times New Roman" w:cs="Times New Roman"/>
          <w:color w:val="000000"/>
          <w:sz w:val="24"/>
          <w:szCs w:val="24"/>
        </w:rPr>
        <w:t xml:space="preserve"> </w:t>
      </w:r>
      <w:r w:rsidRPr="00A87019">
        <w:rPr>
          <w:rFonts w:ascii="Times New Roman" w:hAnsi="Times New Roman" w:cs="Times New Roman"/>
          <w:i/>
          <w:iCs/>
          <w:color w:val="000000"/>
          <w:sz w:val="24"/>
          <w:szCs w:val="24"/>
        </w:rPr>
        <w:t xml:space="preserve">See </w:t>
      </w:r>
      <w:r w:rsidRPr="00A87019">
        <w:rPr>
          <w:rFonts w:ascii="Times New Roman" w:hAnsi="Times New Roman" w:cs="Times New Roman"/>
          <w:color w:val="000000"/>
          <w:sz w:val="24"/>
          <w:szCs w:val="24"/>
        </w:rPr>
        <w:t>31 CFR 1010.100(t)(8</w:t>
      </w:r>
      <w:r w:rsidRPr="00A87019" w:rsidR="007A4598">
        <w:rPr>
          <w:rFonts w:ascii="Times New Roman" w:hAnsi="Times New Roman" w:cs="Times New Roman"/>
          <w:color w:val="000000"/>
          <w:sz w:val="24"/>
          <w:szCs w:val="24"/>
        </w:rPr>
        <w:t>)</w:t>
      </w:r>
      <w:r w:rsidRPr="00A87019">
        <w:rPr>
          <w:rFonts w:ascii="Times New Roman" w:hAnsi="Times New Roman" w:cs="Times New Roman"/>
          <w:color w:val="000000"/>
          <w:sz w:val="24"/>
          <w:szCs w:val="24"/>
        </w:rPr>
        <w:t>-</w:t>
      </w:r>
      <w:r w:rsidRPr="00A87019" w:rsidR="007A4598">
        <w:rPr>
          <w:rFonts w:ascii="Times New Roman" w:hAnsi="Times New Roman" w:cs="Times New Roman"/>
          <w:color w:val="000000"/>
          <w:sz w:val="24"/>
          <w:szCs w:val="24"/>
        </w:rPr>
        <w:t>(</w:t>
      </w:r>
      <w:r w:rsidRPr="00A87019">
        <w:rPr>
          <w:rFonts w:ascii="Times New Roman" w:hAnsi="Times New Roman" w:cs="Times New Roman"/>
          <w:color w:val="000000"/>
          <w:sz w:val="24"/>
          <w:szCs w:val="24"/>
        </w:rPr>
        <w:t>9).</w:t>
      </w:r>
    </w:p>
    <w:p w:rsidR="002A033B" w:rsidRPr="00A87019" w:rsidP="00E938AB" w14:paraId="42541C80" w14:textId="65783BAA">
      <w:pPr>
        <w:spacing w:after="120"/>
        <w:rPr>
          <w:rFonts w:ascii="Times New Roman" w:hAnsi="Times New Roman" w:cs="Times New Roman"/>
          <w:color w:val="000000"/>
          <w:sz w:val="24"/>
          <w:szCs w:val="24"/>
        </w:rPr>
      </w:pPr>
      <w:r w:rsidRPr="00A87019">
        <w:rPr>
          <w:rFonts w:ascii="Times New Roman" w:hAnsi="Times New Roman" w:cs="Times New Roman"/>
          <w:color w:val="000000"/>
          <w:sz w:val="24"/>
          <w:szCs w:val="24"/>
          <w:vertAlign w:val="superscript"/>
        </w:rPr>
        <w:t>cc</w:t>
      </w:r>
      <w:r w:rsidRPr="00A87019">
        <w:rPr>
          <w:rFonts w:ascii="Times New Roman" w:hAnsi="Times New Roman" w:cs="Times New Roman"/>
          <w:color w:val="000000"/>
          <w:sz w:val="24"/>
          <w:szCs w:val="24"/>
        </w:rPr>
        <w:t xml:space="preserve"> The number of futures commissions merchants (FCMs) as of May 2025 was obtained from data available at NFA Membership and Registration, available at </w:t>
      </w:r>
      <w:hyperlink r:id="rId12" w:history="1">
        <w:r w:rsidRPr="00A87019" w:rsidR="009B1598">
          <w:rPr>
            <w:rStyle w:val="Hyperlink"/>
            <w:rFonts w:ascii="Times New Roman" w:hAnsi="Times New Roman" w:cs="Times New Roman"/>
            <w:sz w:val="24"/>
            <w:szCs w:val="24"/>
          </w:rPr>
          <w:t>https://www.nfa.futures.org/registration-membership/membership-and-directories.html</w:t>
        </w:r>
      </w:hyperlink>
      <w:r w:rsidRPr="00A87019">
        <w:rPr>
          <w:rFonts w:ascii="Times New Roman" w:hAnsi="Times New Roman" w:cs="Times New Roman"/>
          <w:color w:val="000000"/>
          <w:sz w:val="24"/>
          <w:szCs w:val="24"/>
        </w:rPr>
        <w:t>.  This estimate may include some entities registered in both categories, but FinCEN believes this figure to be small.  According to the Commodities Futures Trading Commission (CFTC), there are 63 total registered FCMs</w:t>
      </w:r>
      <w:r w:rsidRPr="00A87019" w:rsidR="2C51F587">
        <w:rPr>
          <w:rFonts w:ascii="Times New Roman" w:hAnsi="Times New Roman" w:cs="Times New Roman"/>
          <w:color w:val="000000"/>
          <w:sz w:val="24"/>
          <w:szCs w:val="24"/>
        </w:rPr>
        <w:t xml:space="preserve"> as of </w:t>
      </w:r>
      <w:r w:rsidRPr="00A87019" w:rsidR="61F69A73">
        <w:rPr>
          <w:rFonts w:ascii="Times New Roman" w:hAnsi="Times New Roman" w:cs="Times New Roman"/>
          <w:color w:val="000000"/>
          <w:sz w:val="24"/>
          <w:szCs w:val="24"/>
        </w:rPr>
        <w:t>A</w:t>
      </w:r>
      <w:r w:rsidRPr="00A87019" w:rsidR="2CF14C21">
        <w:rPr>
          <w:rFonts w:ascii="Times New Roman" w:hAnsi="Times New Roman" w:cs="Times New Roman"/>
          <w:color w:val="000000"/>
          <w:sz w:val="24"/>
          <w:szCs w:val="24"/>
        </w:rPr>
        <w:t>pril 30</w:t>
      </w:r>
      <w:r w:rsidRPr="00A87019" w:rsidR="2C51F587">
        <w:rPr>
          <w:rFonts w:ascii="Times New Roman" w:hAnsi="Times New Roman" w:cs="Times New Roman"/>
          <w:color w:val="000000"/>
          <w:sz w:val="24"/>
          <w:szCs w:val="24"/>
        </w:rPr>
        <w:t>, 2025</w:t>
      </w:r>
      <w:r w:rsidRPr="00A87019">
        <w:rPr>
          <w:rFonts w:ascii="Times New Roman" w:hAnsi="Times New Roman" w:cs="Times New Roman"/>
          <w:color w:val="000000"/>
          <w:sz w:val="24"/>
          <w:szCs w:val="24"/>
        </w:rPr>
        <w:t xml:space="preserve">.  </w:t>
      </w:r>
      <w:r w:rsidRPr="00A87019">
        <w:rPr>
          <w:rFonts w:ascii="Times New Roman" w:hAnsi="Times New Roman" w:cs="Times New Roman"/>
          <w:i/>
          <w:iCs/>
          <w:color w:val="000000"/>
          <w:sz w:val="24"/>
          <w:szCs w:val="24"/>
        </w:rPr>
        <w:t xml:space="preserve">See </w:t>
      </w:r>
      <w:hyperlink r:id="rId13" w:history="1">
        <w:r w:rsidRPr="00A87019" w:rsidR="009B1598">
          <w:rPr>
            <w:rStyle w:val="Hyperlink"/>
            <w:rFonts w:ascii="Times New Roman" w:hAnsi="Times New Roman" w:cs="Times New Roman"/>
            <w:sz w:val="24"/>
            <w:szCs w:val="24"/>
          </w:rPr>
          <w:t>https://www.cftc.gov/MarketReports/financialfcmdata/index.htm</w:t>
        </w:r>
      </w:hyperlink>
      <w:r w:rsidRPr="00A87019">
        <w:rPr>
          <w:rFonts w:ascii="Times New Roman" w:hAnsi="Times New Roman" w:cs="Times New Roman"/>
          <w:color w:val="000000"/>
          <w:sz w:val="24"/>
          <w:szCs w:val="24"/>
        </w:rPr>
        <w:t>.</w:t>
      </w:r>
    </w:p>
    <w:p w:rsidR="002A033B" w:rsidRPr="00A87019" w:rsidP="00E938AB" w14:paraId="2FD63A2F" w14:textId="77777777">
      <w:pPr>
        <w:spacing w:after="120"/>
        <w:rPr>
          <w:rFonts w:ascii="Times New Roman" w:hAnsi="Times New Roman" w:cs="Times New Roman"/>
          <w:color w:val="000000"/>
          <w:sz w:val="24"/>
          <w:szCs w:val="24"/>
        </w:rPr>
      </w:pPr>
      <w:r w:rsidRPr="00A87019">
        <w:rPr>
          <w:rFonts w:ascii="Times New Roman" w:hAnsi="Times New Roman" w:cs="Times New Roman"/>
          <w:color w:val="000000"/>
          <w:sz w:val="24"/>
          <w:szCs w:val="24"/>
          <w:vertAlign w:val="superscript"/>
        </w:rPr>
        <w:t>dd</w:t>
      </w:r>
      <w:r w:rsidRPr="00A87019">
        <w:rPr>
          <w:rFonts w:ascii="Times New Roman" w:hAnsi="Times New Roman" w:cs="Times New Roman"/>
          <w:color w:val="000000"/>
          <w:sz w:val="24"/>
          <w:szCs w:val="24"/>
        </w:rPr>
        <w:t xml:space="preserve"> </w:t>
      </w:r>
      <w:r w:rsidRPr="00A87019">
        <w:rPr>
          <w:rFonts w:ascii="Times New Roman" w:hAnsi="Times New Roman" w:cs="Times New Roman"/>
          <w:i/>
          <w:iCs/>
          <w:color w:val="000000"/>
          <w:sz w:val="24"/>
          <w:szCs w:val="24"/>
        </w:rPr>
        <w:t xml:space="preserve">See </w:t>
      </w:r>
      <w:r w:rsidRPr="00A87019">
        <w:rPr>
          <w:rFonts w:ascii="Times New Roman" w:hAnsi="Times New Roman" w:cs="Times New Roman"/>
          <w:color w:val="000000"/>
          <w:sz w:val="24"/>
          <w:szCs w:val="24"/>
        </w:rPr>
        <w:t>31 CFR 1010.100(t)(10).</w:t>
      </w:r>
    </w:p>
    <w:p w:rsidR="002A033B" w:rsidRPr="00A87019" w:rsidP="002A033B" w14:paraId="4882F531" w14:textId="238F0500">
      <w:pPr>
        <w:spacing w:after="120"/>
        <w:rPr>
          <w:rFonts w:ascii="Times New Roman" w:hAnsi="Times New Roman" w:cs="Times New Roman"/>
          <w:color w:val="000000"/>
          <w:sz w:val="24"/>
          <w:szCs w:val="24"/>
        </w:rPr>
      </w:pPr>
      <w:r w:rsidRPr="00A87019">
        <w:rPr>
          <w:rFonts w:ascii="Times New Roman" w:hAnsi="Times New Roman" w:cs="Times New Roman"/>
          <w:color w:val="000000"/>
          <w:sz w:val="24"/>
          <w:szCs w:val="24"/>
          <w:vertAlign w:val="superscript"/>
        </w:rPr>
        <w:t>ee</w:t>
      </w:r>
      <w:r w:rsidRPr="00A87019">
        <w:rPr>
          <w:rFonts w:ascii="Times New Roman" w:hAnsi="Times New Roman" w:cs="Times New Roman"/>
          <w:color w:val="000000"/>
          <w:sz w:val="24"/>
          <w:szCs w:val="24"/>
        </w:rPr>
        <w:t xml:space="preserve"> According to the SEC, as of the fourth quarter of 2024, in 2024 there were 2,764 open-end registered investment companies that report on Form N-CEN. </w:t>
      </w:r>
      <w:r w:rsidRPr="00A87019" w:rsidR="00457072">
        <w:rPr>
          <w:rFonts w:ascii="Times New Roman" w:hAnsi="Times New Roman" w:cs="Times New Roman"/>
          <w:color w:val="000000"/>
          <w:sz w:val="24"/>
          <w:szCs w:val="24"/>
        </w:rPr>
        <w:t xml:space="preserve"> </w:t>
      </w:r>
      <w:r w:rsidRPr="00A87019" w:rsidR="00457072">
        <w:rPr>
          <w:rFonts w:ascii="Times New Roman" w:hAnsi="Times New Roman" w:cs="Times New Roman"/>
          <w:i/>
          <w:iCs/>
          <w:color w:val="000000"/>
          <w:sz w:val="24"/>
          <w:szCs w:val="24"/>
        </w:rPr>
        <w:t xml:space="preserve">See </w:t>
      </w:r>
      <w:hyperlink r:id="rId14" w:history="1">
        <w:r w:rsidRPr="00A87019" w:rsidR="00457072">
          <w:rPr>
            <w:rStyle w:val="Hyperlink"/>
            <w:rFonts w:ascii="Times New Roman" w:hAnsi="Times New Roman" w:cs="Times New Roman"/>
            <w:sz w:val="24"/>
            <w:szCs w:val="24"/>
          </w:rPr>
          <w:t>https://www.sec.gov/dera/data/form-ncen-data-sets</w:t>
        </w:r>
      </w:hyperlink>
      <w:r w:rsidRPr="00A87019">
        <w:rPr>
          <w:rFonts w:ascii="Times New Roman" w:hAnsi="Times New Roman" w:cs="Times New Roman"/>
          <w:color w:val="000000"/>
          <w:sz w:val="24"/>
          <w:szCs w:val="24"/>
        </w:rPr>
        <w:t xml:space="preserve">. </w:t>
      </w:r>
    </w:p>
    <w:p w:rsidR="00CA7948" w:rsidRPr="005C769F" w:rsidP="00E938AB" w14:paraId="20CB64D1" w14:textId="5342FEBA">
      <w:pPr>
        <w:spacing w:after="120"/>
        <w:rPr>
          <w:rFonts w:ascii="Times New Roman" w:hAnsi="Times New Roman" w:cs="Times New Roman"/>
          <w:color w:val="000000"/>
          <w:sz w:val="24"/>
          <w:szCs w:val="24"/>
        </w:rPr>
      </w:pPr>
      <w:r>
        <w:rPr>
          <w:rFonts w:ascii="Times New Roman" w:hAnsi="Times New Roman" w:cs="Times New Roman"/>
          <w:sz w:val="24"/>
          <w:szCs w:val="24"/>
        </w:rPr>
        <w:pict>
          <v:rect id="_x0000_i1026" style="width:0;height:1.5pt" o:hralign="center" o:hrstd="t" o:hr="t" fillcolor="#a0a0a0" stroked="f"/>
        </w:pict>
      </w:r>
    </w:p>
    <w:p w:rsidR="009E56FC" w:rsidP="00983E55" w14:paraId="285C1A65" w14:textId="12EDCB54">
      <w:pPr>
        <w:pStyle w:val="PlainText"/>
        <w:tabs>
          <w:tab w:val="left" w:pos="720"/>
          <w:tab w:val="left" w:pos="2505"/>
        </w:tabs>
        <w:rPr>
          <w:rFonts w:ascii="Times New Roman" w:eastAsia="MS Mincho" w:hAnsi="Times New Roman" w:cs="Times New Roman"/>
          <w:sz w:val="24"/>
          <w:szCs w:val="24"/>
        </w:rPr>
      </w:pPr>
      <w:r>
        <w:rPr>
          <w:rFonts w:ascii="Times New Roman" w:eastAsia="MS Mincho" w:hAnsi="Times New Roman" w:cs="Times New Roman"/>
          <w:sz w:val="24"/>
          <w:szCs w:val="24"/>
        </w:rPr>
        <w:tab/>
      </w:r>
      <w:r w:rsidRPr="00C20946" w:rsidR="00C20946">
        <w:rPr>
          <w:rFonts w:ascii="Times New Roman" w:eastAsia="MS Mincho" w:hAnsi="Times New Roman" w:cs="Times New Roman"/>
          <w:sz w:val="24"/>
          <w:szCs w:val="24"/>
        </w:rPr>
        <w:t>While</w:t>
      </w:r>
      <w:r w:rsidR="005538E6">
        <w:rPr>
          <w:rFonts w:ascii="Times New Roman" w:eastAsia="MS Mincho" w:hAnsi="Times New Roman" w:cs="Times New Roman"/>
          <w:sz w:val="24"/>
          <w:szCs w:val="24"/>
        </w:rPr>
        <w:t xml:space="preserve"> </w:t>
      </w:r>
      <w:r w:rsidR="005538E6">
        <w:rPr>
          <w:rFonts w:ascii="Times New Roman" w:eastAsia="MS Mincho" w:hAnsi="Times New Roman" w:cs="Times New Roman"/>
          <w:sz w:val="24"/>
          <w:szCs w:val="24"/>
        </w:rPr>
        <w:t>all of</w:t>
      </w:r>
      <w:r w:rsidRPr="00C20946" w:rsidR="00C20946">
        <w:rPr>
          <w:rFonts w:ascii="Times New Roman" w:eastAsia="MS Mincho" w:hAnsi="Times New Roman" w:cs="Times New Roman"/>
          <w:sz w:val="24"/>
          <w:szCs w:val="24"/>
        </w:rPr>
        <w:t xml:space="preserve"> the entities in Table 1 </w:t>
      </w:r>
      <w:r w:rsidR="0082464B">
        <w:rPr>
          <w:rFonts w:ascii="Times New Roman" w:eastAsia="MS Mincho" w:hAnsi="Times New Roman" w:cs="Times New Roman"/>
          <w:sz w:val="24"/>
          <w:szCs w:val="24"/>
        </w:rPr>
        <w:t>may be</w:t>
      </w:r>
      <w:r w:rsidRPr="00C20946" w:rsidR="00C20946">
        <w:rPr>
          <w:rFonts w:ascii="Times New Roman" w:eastAsia="MS Mincho" w:hAnsi="Times New Roman" w:cs="Times New Roman"/>
          <w:sz w:val="24"/>
          <w:szCs w:val="24"/>
        </w:rPr>
        <w:t xml:space="preserve"> subject to FFA Regulations, FinCEN typically issues FFA Regulations to a significantly smaller subset of the eligible population.  </w:t>
      </w:r>
      <w:r w:rsidR="00C80D26">
        <w:rPr>
          <w:rFonts w:ascii="Times New Roman" w:eastAsia="MS Mincho" w:hAnsi="Times New Roman" w:cs="Times New Roman"/>
          <w:sz w:val="24"/>
          <w:szCs w:val="24"/>
        </w:rPr>
        <w:t>In the calendar years between</w:t>
      </w:r>
      <w:r w:rsidRPr="00C20946" w:rsidR="00C80D26">
        <w:rPr>
          <w:rFonts w:ascii="Times New Roman" w:eastAsia="MS Mincho" w:hAnsi="Times New Roman" w:cs="Times New Roman"/>
          <w:sz w:val="24"/>
          <w:szCs w:val="24"/>
        </w:rPr>
        <w:t xml:space="preserve"> </w:t>
      </w:r>
      <w:r w:rsidR="00FC222C">
        <w:rPr>
          <w:rFonts w:ascii="Times New Roman" w:eastAsia="MS Mincho" w:hAnsi="Times New Roman" w:cs="Times New Roman"/>
          <w:sz w:val="24"/>
          <w:szCs w:val="24"/>
        </w:rPr>
        <w:t xml:space="preserve">January </w:t>
      </w:r>
      <w:r w:rsidRPr="00C20946" w:rsidR="00C20946">
        <w:rPr>
          <w:rFonts w:ascii="Times New Roman" w:eastAsia="MS Mincho" w:hAnsi="Times New Roman" w:cs="Times New Roman"/>
          <w:sz w:val="24"/>
          <w:szCs w:val="24"/>
        </w:rPr>
        <w:t xml:space="preserve">2022 </w:t>
      </w:r>
      <w:r w:rsidR="00FC222C">
        <w:rPr>
          <w:rFonts w:ascii="Times New Roman" w:eastAsia="MS Mincho" w:hAnsi="Times New Roman" w:cs="Times New Roman"/>
          <w:sz w:val="24"/>
          <w:szCs w:val="24"/>
        </w:rPr>
        <w:t>and</w:t>
      </w:r>
      <w:r w:rsidRPr="00C20946" w:rsidR="00C20946">
        <w:rPr>
          <w:rFonts w:ascii="Times New Roman" w:eastAsia="MS Mincho" w:hAnsi="Times New Roman" w:cs="Times New Roman"/>
          <w:sz w:val="24"/>
          <w:szCs w:val="24"/>
        </w:rPr>
        <w:t xml:space="preserve"> 2025, FinCEN </w:t>
      </w:r>
      <w:r w:rsidR="002953A1">
        <w:rPr>
          <w:rFonts w:ascii="Times New Roman" w:eastAsia="MS Mincho" w:hAnsi="Times New Roman" w:cs="Times New Roman"/>
          <w:sz w:val="24"/>
          <w:szCs w:val="24"/>
        </w:rPr>
        <w:t xml:space="preserve">primarily </w:t>
      </w:r>
      <w:r w:rsidRPr="00C20946" w:rsidR="00C20946">
        <w:rPr>
          <w:rFonts w:ascii="Times New Roman" w:eastAsia="MS Mincho" w:hAnsi="Times New Roman" w:cs="Times New Roman"/>
          <w:sz w:val="24"/>
          <w:szCs w:val="24"/>
        </w:rPr>
        <w:t xml:space="preserve">issued FFA Regulations to </w:t>
      </w:r>
      <w:r w:rsidR="00120B84">
        <w:rPr>
          <w:rFonts w:ascii="Times New Roman" w:eastAsia="MS Mincho" w:hAnsi="Times New Roman" w:cs="Times New Roman"/>
          <w:sz w:val="24"/>
          <w:szCs w:val="24"/>
        </w:rPr>
        <w:t xml:space="preserve">only a </w:t>
      </w:r>
      <w:r w:rsidR="008E3326">
        <w:rPr>
          <w:rFonts w:ascii="Times New Roman" w:eastAsia="MS Mincho" w:hAnsi="Times New Roman" w:cs="Times New Roman"/>
          <w:sz w:val="24"/>
          <w:szCs w:val="24"/>
        </w:rPr>
        <w:t xml:space="preserve">select </w:t>
      </w:r>
      <w:r w:rsidR="00772B9F">
        <w:rPr>
          <w:rFonts w:ascii="Times New Roman" w:eastAsia="MS Mincho" w:hAnsi="Times New Roman" w:cs="Times New Roman"/>
          <w:sz w:val="24"/>
          <w:szCs w:val="24"/>
        </w:rPr>
        <w:t xml:space="preserve">subset of the </w:t>
      </w:r>
      <w:r w:rsidRPr="00C20946" w:rsidR="00C20946">
        <w:rPr>
          <w:rFonts w:ascii="Times New Roman" w:eastAsia="MS Mincho" w:hAnsi="Times New Roman" w:cs="Times New Roman"/>
          <w:sz w:val="24"/>
          <w:szCs w:val="24"/>
        </w:rPr>
        <w:t>banks and broker-dealers</w:t>
      </w:r>
      <w:r w:rsidR="00196B9E">
        <w:rPr>
          <w:rFonts w:ascii="Times New Roman" w:eastAsia="MS Mincho" w:hAnsi="Times New Roman" w:cs="Times New Roman"/>
          <w:sz w:val="24"/>
          <w:szCs w:val="24"/>
        </w:rPr>
        <w:t>, or covered financial institutions,</w:t>
      </w:r>
      <w:r w:rsidRPr="00C20946" w:rsidR="00C20946">
        <w:rPr>
          <w:rFonts w:ascii="Times New Roman" w:eastAsia="MS Mincho" w:hAnsi="Times New Roman" w:cs="Times New Roman"/>
          <w:sz w:val="24"/>
          <w:szCs w:val="24"/>
        </w:rPr>
        <w:t xml:space="preserve"> </w:t>
      </w:r>
      <w:r w:rsidR="00BB5546">
        <w:rPr>
          <w:rFonts w:ascii="Times New Roman" w:eastAsia="MS Mincho" w:hAnsi="Times New Roman" w:cs="Times New Roman"/>
          <w:sz w:val="24"/>
          <w:szCs w:val="24"/>
        </w:rPr>
        <w:t>i</w:t>
      </w:r>
      <w:r w:rsidRPr="00C20946" w:rsidR="00C20946">
        <w:rPr>
          <w:rFonts w:ascii="Times New Roman" w:eastAsia="MS Mincho" w:hAnsi="Times New Roman" w:cs="Times New Roman"/>
          <w:sz w:val="24"/>
          <w:szCs w:val="24"/>
        </w:rPr>
        <w:t>de</w:t>
      </w:r>
      <w:r w:rsidR="00BB5546">
        <w:rPr>
          <w:rFonts w:ascii="Times New Roman" w:eastAsia="MS Mincho" w:hAnsi="Times New Roman" w:cs="Times New Roman"/>
          <w:sz w:val="24"/>
          <w:szCs w:val="24"/>
        </w:rPr>
        <w:t>nti</w:t>
      </w:r>
      <w:r w:rsidRPr="00C20946" w:rsidR="00C20946">
        <w:rPr>
          <w:rFonts w:ascii="Times New Roman" w:eastAsia="MS Mincho" w:hAnsi="Times New Roman" w:cs="Times New Roman"/>
          <w:sz w:val="24"/>
          <w:szCs w:val="24"/>
        </w:rPr>
        <w:t xml:space="preserve">fied in Table 1.  </w:t>
      </w:r>
      <w:r w:rsidR="00032CB8">
        <w:rPr>
          <w:rFonts w:ascii="Times New Roman" w:eastAsia="MS Mincho" w:hAnsi="Times New Roman" w:cs="Times New Roman"/>
          <w:sz w:val="24"/>
          <w:szCs w:val="24"/>
        </w:rPr>
        <w:t>Because of the multi-period reporting</w:t>
      </w:r>
      <w:r w:rsidR="009A1A79">
        <w:rPr>
          <w:rFonts w:ascii="Times New Roman" w:eastAsia="MS Mincho" w:hAnsi="Times New Roman" w:cs="Times New Roman"/>
          <w:sz w:val="24"/>
          <w:szCs w:val="24"/>
        </w:rPr>
        <w:t xml:space="preserve"> engendered by the typical FFA regulation</w:t>
      </w:r>
      <w:r w:rsidRPr="00C20946" w:rsidR="00C20946">
        <w:rPr>
          <w:rFonts w:ascii="Times New Roman" w:eastAsia="MS Mincho" w:hAnsi="Times New Roman" w:cs="Times New Roman"/>
          <w:sz w:val="24"/>
          <w:szCs w:val="24"/>
        </w:rPr>
        <w:t xml:space="preserve">, </w:t>
      </w:r>
      <w:r w:rsidR="009A1A79">
        <w:rPr>
          <w:rFonts w:ascii="Times New Roman" w:eastAsia="MS Mincho" w:hAnsi="Times New Roman" w:cs="Times New Roman"/>
          <w:sz w:val="24"/>
          <w:szCs w:val="24"/>
        </w:rPr>
        <w:t xml:space="preserve">the </w:t>
      </w:r>
      <w:r w:rsidRPr="00C20946" w:rsidR="00C20946">
        <w:rPr>
          <w:rFonts w:ascii="Times New Roman" w:eastAsia="MS Mincho" w:hAnsi="Times New Roman" w:cs="Times New Roman"/>
          <w:sz w:val="24"/>
          <w:szCs w:val="24"/>
        </w:rPr>
        <w:t xml:space="preserve">average </w:t>
      </w:r>
      <w:r w:rsidR="00723C5F">
        <w:rPr>
          <w:rFonts w:ascii="Times New Roman" w:eastAsia="MS Mincho" w:hAnsi="Times New Roman" w:cs="Times New Roman"/>
          <w:sz w:val="24"/>
          <w:szCs w:val="24"/>
        </w:rPr>
        <w:t xml:space="preserve">number </w:t>
      </w:r>
      <w:r w:rsidRPr="00C20946" w:rsidR="00C20946">
        <w:rPr>
          <w:rFonts w:ascii="Times New Roman" w:eastAsia="MS Mincho" w:hAnsi="Times New Roman" w:cs="Times New Roman"/>
          <w:sz w:val="24"/>
          <w:szCs w:val="24"/>
        </w:rPr>
        <w:t xml:space="preserve">of </w:t>
      </w:r>
      <w:r w:rsidR="00196B9E">
        <w:rPr>
          <w:rFonts w:ascii="Times New Roman" w:eastAsia="MS Mincho" w:hAnsi="Times New Roman" w:cs="Times New Roman"/>
          <w:sz w:val="24"/>
          <w:szCs w:val="24"/>
        </w:rPr>
        <w:t xml:space="preserve">covered financial </w:t>
      </w:r>
      <w:r w:rsidRPr="00C20946" w:rsidR="00723C5F">
        <w:rPr>
          <w:rFonts w:ascii="Times New Roman" w:eastAsia="MS Mincho" w:hAnsi="Times New Roman" w:cs="Times New Roman"/>
          <w:sz w:val="24"/>
          <w:szCs w:val="24"/>
        </w:rPr>
        <w:t xml:space="preserve">institutions </w:t>
      </w:r>
      <w:r w:rsidR="00771BB9">
        <w:rPr>
          <w:rFonts w:ascii="Times New Roman" w:eastAsia="MS Mincho" w:hAnsi="Times New Roman" w:cs="Times New Roman"/>
          <w:sz w:val="24"/>
          <w:szCs w:val="24"/>
        </w:rPr>
        <w:t>providing</w:t>
      </w:r>
      <w:r w:rsidR="00B361CE">
        <w:rPr>
          <w:rFonts w:ascii="Times New Roman" w:eastAsia="MS Mincho" w:hAnsi="Times New Roman" w:cs="Times New Roman"/>
          <w:sz w:val="24"/>
          <w:szCs w:val="24"/>
        </w:rPr>
        <w:t xml:space="preserve"> </w:t>
      </w:r>
      <w:r w:rsidR="00196B9E">
        <w:rPr>
          <w:rFonts w:ascii="Times New Roman" w:eastAsia="MS Mincho" w:hAnsi="Times New Roman" w:cs="Times New Roman"/>
          <w:sz w:val="24"/>
          <w:szCs w:val="24"/>
        </w:rPr>
        <w:t xml:space="preserve">FFA information </w:t>
      </w:r>
      <w:r w:rsidR="00B361CE">
        <w:rPr>
          <w:rFonts w:ascii="Times New Roman" w:eastAsia="MS Mincho" w:hAnsi="Times New Roman" w:cs="Times New Roman"/>
          <w:sz w:val="24"/>
          <w:szCs w:val="24"/>
        </w:rPr>
        <w:t xml:space="preserve">to FinCEN </w:t>
      </w:r>
      <w:r w:rsidR="00B361CE">
        <w:rPr>
          <w:rFonts w:ascii="Times New Roman" w:eastAsia="MS Mincho" w:hAnsi="Times New Roman" w:cs="Times New Roman"/>
          <w:sz w:val="24"/>
          <w:szCs w:val="24"/>
        </w:rPr>
        <w:t>in a given</w:t>
      </w:r>
      <w:r w:rsidRPr="00C20946" w:rsidR="00723C5F">
        <w:rPr>
          <w:rFonts w:ascii="Times New Roman" w:eastAsia="MS Mincho" w:hAnsi="Times New Roman" w:cs="Times New Roman"/>
          <w:sz w:val="24"/>
          <w:szCs w:val="24"/>
        </w:rPr>
        <w:t xml:space="preserve"> year</w:t>
      </w:r>
      <w:r w:rsidRPr="00C20946" w:rsidR="00723C5F">
        <w:rPr>
          <w:rFonts w:ascii="Times New Roman" w:eastAsia="MS Mincho" w:hAnsi="Times New Roman" w:cs="Times New Roman"/>
          <w:sz w:val="24"/>
          <w:szCs w:val="24"/>
        </w:rPr>
        <w:t xml:space="preserve"> </w:t>
      </w:r>
      <w:r w:rsidR="00106372">
        <w:rPr>
          <w:rFonts w:ascii="Times New Roman" w:eastAsia="MS Mincho" w:hAnsi="Times New Roman" w:cs="Times New Roman"/>
          <w:sz w:val="24"/>
          <w:szCs w:val="24"/>
        </w:rPr>
        <w:t>was</w:t>
      </w:r>
      <w:r w:rsidR="006B3422">
        <w:rPr>
          <w:rFonts w:ascii="Times New Roman" w:eastAsia="MS Mincho" w:hAnsi="Times New Roman" w:cs="Times New Roman"/>
          <w:sz w:val="24"/>
          <w:szCs w:val="24"/>
        </w:rPr>
        <w:t xml:space="preserve"> </w:t>
      </w:r>
      <w:r w:rsidRPr="00C20946" w:rsidR="00C20946">
        <w:rPr>
          <w:rFonts w:ascii="Times New Roman" w:eastAsia="MS Mincho" w:hAnsi="Times New Roman" w:cs="Times New Roman"/>
          <w:sz w:val="24"/>
          <w:szCs w:val="24"/>
        </w:rPr>
        <w:t>15</w:t>
      </w:r>
      <w:r w:rsidR="00D963D6">
        <w:rPr>
          <w:rFonts w:ascii="Times New Roman" w:eastAsia="MS Mincho" w:hAnsi="Times New Roman" w:cs="Times New Roman"/>
          <w:sz w:val="24"/>
          <w:szCs w:val="24"/>
        </w:rPr>
        <w:t>,</w:t>
      </w:r>
      <w:r w:rsidR="00106372">
        <w:rPr>
          <w:rFonts w:ascii="Times New Roman" w:eastAsia="MS Mincho" w:hAnsi="Times New Roman" w:cs="Times New Roman"/>
          <w:sz w:val="24"/>
          <w:szCs w:val="24"/>
        </w:rPr>
        <w:t xml:space="preserve"> </w:t>
      </w:r>
      <w:r w:rsidR="00191166">
        <w:rPr>
          <w:rFonts w:ascii="Times New Roman" w:eastAsia="MS Mincho" w:hAnsi="Times New Roman" w:cs="Times New Roman"/>
          <w:sz w:val="24"/>
          <w:szCs w:val="24"/>
        </w:rPr>
        <w:t>but</w:t>
      </w:r>
      <w:r w:rsidR="00106372">
        <w:rPr>
          <w:rFonts w:ascii="Times New Roman" w:eastAsia="MS Mincho" w:hAnsi="Times New Roman" w:cs="Times New Roman"/>
          <w:sz w:val="24"/>
          <w:szCs w:val="24"/>
        </w:rPr>
        <w:t xml:space="preserve"> the number of </w:t>
      </w:r>
      <w:r w:rsidR="00196B9E">
        <w:rPr>
          <w:rFonts w:ascii="Times New Roman" w:eastAsia="MS Mincho" w:hAnsi="Times New Roman" w:cs="Times New Roman"/>
          <w:sz w:val="24"/>
          <w:szCs w:val="24"/>
        </w:rPr>
        <w:t xml:space="preserve">covered financial </w:t>
      </w:r>
      <w:r w:rsidR="00106372">
        <w:rPr>
          <w:rFonts w:ascii="Times New Roman" w:eastAsia="MS Mincho" w:hAnsi="Times New Roman" w:cs="Times New Roman"/>
          <w:sz w:val="24"/>
          <w:szCs w:val="24"/>
        </w:rPr>
        <w:t>institutions under</w:t>
      </w:r>
      <w:r w:rsidR="008A405C">
        <w:rPr>
          <w:rFonts w:ascii="Times New Roman" w:eastAsia="MS Mincho" w:hAnsi="Times New Roman" w:cs="Times New Roman"/>
          <w:sz w:val="24"/>
          <w:szCs w:val="24"/>
        </w:rPr>
        <w:t xml:space="preserve"> an</w:t>
      </w:r>
      <w:r w:rsidR="002D1902">
        <w:rPr>
          <w:rFonts w:ascii="Times New Roman" w:eastAsia="MS Mincho" w:hAnsi="Times New Roman" w:cs="Times New Roman"/>
          <w:sz w:val="24"/>
          <w:szCs w:val="24"/>
        </w:rPr>
        <w:t>y</w:t>
      </w:r>
      <w:r w:rsidR="008A405C">
        <w:rPr>
          <w:rFonts w:ascii="Times New Roman" w:eastAsia="MS Mincho" w:hAnsi="Times New Roman" w:cs="Times New Roman"/>
          <w:sz w:val="24"/>
          <w:szCs w:val="24"/>
        </w:rPr>
        <w:t xml:space="preserve"> </w:t>
      </w:r>
      <w:r w:rsidR="00433623">
        <w:rPr>
          <w:rFonts w:ascii="Times New Roman" w:eastAsia="MS Mincho" w:hAnsi="Times New Roman" w:cs="Times New Roman"/>
          <w:sz w:val="24"/>
          <w:szCs w:val="24"/>
        </w:rPr>
        <w:t>single</w:t>
      </w:r>
      <w:r w:rsidR="008A405C">
        <w:rPr>
          <w:rFonts w:ascii="Times New Roman" w:eastAsia="MS Mincho" w:hAnsi="Times New Roman" w:cs="Times New Roman"/>
          <w:sz w:val="24"/>
          <w:szCs w:val="24"/>
        </w:rPr>
        <w:t xml:space="preserve"> FFA Regulation</w:t>
      </w:r>
      <w:r w:rsidR="00BA4BDD">
        <w:rPr>
          <w:rFonts w:ascii="Times New Roman" w:eastAsia="MS Mincho" w:hAnsi="Times New Roman" w:cs="Times New Roman"/>
          <w:sz w:val="24"/>
          <w:szCs w:val="24"/>
        </w:rPr>
        <w:t xml:space="preserve"> did not exceed ten, on average. </w:t>
      </w:r>
      <w:r w:rsidRPr="00C20946" w:rsidR="00C20946">
        <w:rPr>
          <w:rFonts w:ascii="Times New Roman" w:eastAsia="MS Mincho" w:hAnsi="Times New Roman" w:cs="Times New Roman"/>
          <w:sz w:val="24"/>
          <w:szCs w:val="24"/>
        </w:rPr>
        <w:t xml:space="preserve"> FinCEN </w:t>
      </w:r>
      <w:r w:rsidR="00031CE4">
        <w:rPr>
          <w:rFonts w:ascii="Times New Roman" w:eastAsia="MS Mincho" w:hAnsi="Times New Roman" w:cs="Times New Roman"/>
          <w:sz w:val="24"/>
          <w:szCs w:val="24"/>
        </w:rPr>
        <w:t>utilized</w:t>
      </w:r>
      <w:r w:rsidRPr="00C20946" w:rsidR="00C20946">
        <w:rPr>
          <w:rFonts w:ascii="Times New Roman" w:eastAsia="MS Mincho" w:hAnsi="Times New Roman" w:cs="Times New Roman"/>
          <w:sz w:val="24"/>
          <w:szCs w:val="24"/>
        </w:rPr>
        <w:t xml:space="preserve"> </w:t>
      </w:r>
      <w:r w:rsidR="00211C4A">
        <w:rPr>
          <w:rFonts w:ascii="Times New Roman" w:eastAsia="MS Mincho" w:hAnsi="Times New Roman" w:cs="Times New Roman"/>
          <w:sz w:val="24"/>
          <w:szCs w:val="24"/>
        </w:rPr>
        <w:t xml:space="preserve">this </w:t>
      </w:r>
      <w:r w:rsidRPr="00C20946" w:rsidR="00C20946">
        <w:rPr>
          <w:rFonts w:ascii="Times New Roman" w:eastAsia="MS Mincho" w:hAnsi="Times New Roman" w:cs="Times New Roman"/>
          <w:sz w:val="24"/>
          <w:szCs w:val="24"/>
        </w:rPr>
        <w:t xml:space="preserve">historical data on FFA Regulations to estimate the </w:t>
      </w:r>
      <w:r w:rsidR="005F4745">
        <w:rPr>
          <w:rFonts w:ascii="Times New Roman" w:eastAsia="MS Mincho" w:hAnsi="Times New Roman" w:cs="Times New Roman"/>
          <w:sz w:val="24"/>
          <w:szCs w:val="24"/>
        </w:rPr>
        <w:t xml:space="preserve">expected </w:t>
      </w:r>
      <w:r w:rsidRPr="00C20946" w:rsidR="00C20946">
        <w:rPr>
          <w:rFonts w:ascii="Times New Roman" w:eastAsia="MS Mincho" w:hAnsi="Times New Roman" w:cs="Times New Roman"/>
          <w:sz w:val="24"/>
          <w:szCs w:val="24"/>
        </w:rPr>
        <w:t xml:space="preserve">number of respondents per year.  </w:t>
      </w:r>
    </w:p>
    <w:p w:rsidR="00616D3F" w:rsidRPr="00C20946" w:rsidP="00C20946" w14:paraId="0DC9586B" w14:textId="77777777">
      <w:pPr>
        <w:pStyle w:val="PlainText"/>
        <w:rPr>
          <w:rFonts w:ascii="Times New Roman" w:hAnsi="Times New Roman" w:cs="Times New Roman"/>
          <w:sz w:val="24"/>
          <w:szCs w:val="24"/>
          <w:u w:val="single"/>
        </w:rPr>
      </w:pPr>
    </w:p>
    <w:p w:rsidR="000552B1" w:rsidP="00983E55" w14:paraId="7B854613" w14:textId="353BC438">
      <w:pPr>
        <w:pStyle w:val="PlainText"/>
        <w:rPr>
          <w:rFonts w:ascii="Times New Roman" w:hAnsi="Times New Roman" w:cs="Times New Roman"/>
          <w:sz w:val="24"/>
          <w:szCs w:val="24"/>
        </w:rPr>
      </w:pPr>
      <w:r w:rsidRPr="0053423B">
        <w:rPr>
          <w:rFonts w:ascii="Times New Roman" w:hAnsi="Times New Roman" w:cs="Times New Roman"/>
          <w:sz w:val="24"/>
          <w:szCs w:val="24"/>
          <w:u w:val="single"/>
        </w:rPr>
        <w:t xml:space="preserve">Estimated Number of </w:t>
      </w:r>
      <w:r w:rsidRPr="580FFD03">
        <w:rPr>
          <w:rFonts w:ascii="Times New Roman" w:hAnsi="Times New Roman" w:cs="Times New Roman"/>
          <w:sz w:val="24"/>
          <w:szCs w:val="24"/>
          <w:u w:val="single"/>
        </w:rPr>
        <w:t xml:space="preserve">Expected </w:t>
      </w:r>
      <w:r w:rsidRPr="0053423B">
        <w:rPr>
          <w:rFonts w:ascii="Times New Roman" w:hAnsi="Times New Roman" w:cs="Times New Roman"/>
          <w:sz w:val="24"/>
          <w:szCs w:val="24"/>
          <w:u w:val="single"/>
        </w:rPr>
        <w:t>Respondents</w:t>
      </w:r>
      <w:r w:rsidRPr="008C26FB">
        <w:rPr>
          <w:rFonts w:ascii="Times New Roman" w:hAnsi="Times New Roman" w:cs="Times New Roman"/>
          <w:sz w:val="24"/>
          <w:szCs w:val="24"/>
        </w:rPr>
        <w:t>:</w:t>
      </w:r>
      <w:r w:rsidRPr="0053423B">
        <w:rPr>
          <w:rFonts w:ascii="Times New Roman" w:hAnsi="Times New Roman" w:cs="Times New Roman"/>
          <w:sz w:val="24"/>
          <w:szCs w:val="24"/>
        </w:rPr>
        <w:t xml:space="preserve"> </w:t>
      </w:r>
      <w:r w:rsidRPr="580FFD03">
        <w:rPr>
          <w:rFonts w:ascii="Times New Roman" w:hAnsi="Times New Roman" w:cs="Times New Roman"/>
          <w:sz w:val="24"/>
          <w:szCs w:val="24"/>
        </w:rPr>
        <w:t xml:space="preserve"> </w:t>
      </w:r>
      <w:r>
        <w:rPr>
          <w:rFonts w:ascii="Times New Roman" w:hAnsi="Times New Roman" w:cs="Times New Roman"/>
          <w:sz w:val="24"/>
          <w:szCs w:val="24"/>
        </w:rPr>
        <w:t>4</w:t>
      </w:r>
      <w:r w:rsidRPr="580FFD03">
        <w:rPr>
          <w:rFonts w:ascii="Times New Roman" w:hAnsi="Times New Roman" w:cs="Times New Roman"/>
          <w:sz w:val="24"/>
          <w:szCs w:val="24"/>
        </w:rPr>
        <w:t>0</w:t>
      </w:r>
      <w:r w:rsidRPr="0053423B">
        <w:rPr>
          <w:rFonts w:ascii="Times New Roman" w:hAnsi="Times New Roman" w:cs="Times New Roman"/>
          <w:sz w:val="24"/>
          <w:szCs w:val="24"/>
        </w:rPr>
        <w:t xml:space="preserve"> </w:t>
      </w:r>
      <w:r w:rsidR="00196B9E">
        <w:rPr>
          <w:rFonts w:ascii="Times New Roman" w:hAnsi="Times New Roman" w:cs="Times New Roman"/>
          <w:sz w:val="24"/>
          <w:szCs w:val="24"/>
        </w:rPr>
        <w:t xml:space="preserve">covered </w:t>
      </w:r>
      <w:r w:rsidRPr="0053423B">
        <w:rPr>
          <w:rFonts w:ascii="Times New Roman" w:hAnsi="Times New Roman" w:cs="Times New Roman"/>
          <w:sz w:val="24"/>
          <w:szCs w:val="24"/>
        </w:rPr>
        <w:t>financial institutions</w:t>
      </w:r>
      <w:r>
        <w:rPr>
          <w:rFonts w:ascii="Times New Roman" w:hAnsi="Times New Roman" w:cs="Times New Roman"/>
          <w:sz w:val="24"/>
          <w:szCs w:val="24"/>
        </w:rPr>
        <w:t xml:space="preserve"> annually</w:t>
      </w:r>
      <w:r w:rsidR="00990083">
        <w:rPr>
          <w:rFonts w:ascii="Times New Roman" w:hAnsi="Times New Roman" w:cs="Times New Roman"/>
          <w:sz w:val="24"/>
          <w:szCs w:val="24"/>
        </w:rPr>
        <w:t>,</w:t>
      </w:r>
      <w:r>
        <w:rPr>
          <w:rFonts w:ascii="Times New Roman" w:hAnsi="Times New Roman" w:cs="Times New Roman"/>
          <w:sz w:val="24"/>
          <w:szCs w:val="24"/>
        </w:rPr>
        <w:t xml:space="preserve"> on average</w:t>
      </w:r>
      <w:r w:rsidRPr="0053423B">
        <w:rPr>
          <w:rFonts w:ascii="Times New Roman" w:hAnsi="Times New Roman" w:cs="Times New Roman"/>
          <w:sz w:val="24"/>
          <w:szCs w:val="24"/>
        </w:rPr>
        <w:t>.</w:t>
      </w:r>
    </w:p>
    <w:p w:rsidR="00AE3069" w:rsidP="00983E55" w14:paraId="35B51D03" w14:textId="77777777">
      <w:pPr>
        <w:pStyle w:val="PlainText"/>
        <w:rPr>
          <w:rFonts w:ascii="Times New Roman" w:hAnsi="Times New Roman" w:cs="Times New Roman"/>
          <w:sz w:val="24"/>
          <w:szCs w:val="24"/>
        </w:rPr>
      </w:pPr>
    </w:p>
    <w:p w:rsidR="00DF317E" w:rsidRPr="0053423B" w:rsidP="00DF317E" w14:paraId="37BBE660" w14:textId="77777777">
      <w:pPr>
        <w:pStyle w:val="PlainText"/>
        <w:tabs>
          <w:tab w:val="left" w:pos="720"/>
          <w:tab w:val="left" w:pos="2505"/>
        </w:tabs>
        <w:rPr>
          <w:rFonts w:ascii="Times New Roman" w:eastAsia="MS Mincho" w:hAnsi="Times New Roman" w:cs="Times New Roman"/>
          <w:sz w:val="24"/>
          <w:szCs w:val="24"/>
        </w:rPr>
      </w:pPr>
      <w:r>
        <w:rPr>
          <w:rFonts w:ascii="Times New Roman" w:eastAsia="MS Mincho" w:hAnsi="Times New Roman" w:cs="Times New Roman"/>
          <w:sz w:val="24"/>
          <w:szCs w:val="24"/>
        </w:rPr>
        <w:tab/>
      </w:r>
      <w:r w:rsidRPr="00C20946">
        <w:rPr>
          <w:rFonts w:ascii="Times New Roman" w:hAnsi="Times New Roman" w:cs="Times New Roman"/>
          <w:sz w:val="24"/>
          <w:szCs w:val="24"/>
        </w:rPr>
        <w:t>The estimated number of expected respondents per year is based on the average number of respondents per FFA Regulation issued over the three-year period from 2022 to 2025 multiplied by the average number of FFA Regulations issued per year over the same period.</w:t>
      </w:r>
      <w:r>
        <w:rPr>
          <w:rFonts w:ascii="Times New Roman" w:hAnsi="Times New Roman" w:cs="Times New Roman"/>
          <w:sz w:val="24"/>
          <w:szCs w:val="24"/>
        </w:rPr>
        <w:t xml:space="preserve">  During the three</w:t>
      </w:r>
      <w:r w:rsidRPr="16E17A80">
        <w:rPr>
          <w:rFonts w:ascii="Times New Roman" w:hAnsi="Times New Roman" w:cs="Times New Roman"/>
          <w:sz w:val="24"/>
          <w:szCs w:val="24"/>
        </w:rPr>
        <w:t>-</w:t>
      </w:r>
      <w:r>
        <w:rPr>
          <w:rFonts w:ascii="Times New Roman" w:hAnsi="Times New Roman" w:cs="Times New Roman"/>
          <w:sz w:val="24"/>
          <w:szCs w:val="24"/>
        </w:rPr>
        <w:t>year period between 2022 and 2025, FinCEN issued 11 FFA Regulations (about four per year)</w:t>
      </w:r>
      <w:r w:rsidRPr="432EFDC3">
        <w:rPr>
          <w:rFonts w:ascii="Times New Roman" w:hAnsi="Times New Roman" w:cs="Times New Roman"/>
          <w:sz w:val="24"/>
          <w:szCs w:val="24"/>
        </w:rPr>
        <w:t xml:space="preserve"> </w:t>
      </w:r>
      <w:r>
        <w:rPr>
          <w:rFonts w:ascii="Times New Roman" w:hAnsi="Times New Roman" w:cs="Times New Roman"/>
          <w:sz w:val="24"/>
          <w:szCs w:val="24"/>
        </w:rPr>
        <w:t xml:space="preserve">to an average of ten covered financial institutions per regulation.  </w:t>
      </w:r>
      <w:r w:rsidRPr="007E35F7">
        <w:rPr>
          <w:rFonts w:ascii="Times New Roman" w:hAnsi="Times New Roman" w:cs="Times New Roman"/>
          <w:sz w:val="24"/>
          <w:szCs w:val="24"/>
        </w:rPr>
        <w:t xml:space="preserve">Because the same respondent may be subject to reporting requirements under more than one issued regulation </w:t>
      </w:r>
      <w:r w:rsidRPr="007E35F7">
        <w:rPr>
          <w:rFonts w:ascii="Times New Roman" w:hAnsi="Times New Roman" w:cs="Times New Roman"/>
          <w:sz w:val="24"/>
          <w:szCs w:val="24"/>
        </w:rPr>
        <w:t>in the same calendar year, the estimated number of expected respondents may exceed the number of unique entities to whom reporting and recordkeeping burdens would accrue</w:t>
      </w:r>
      <w:r>
        <w:rPr>
          <w:rFonts w:ascii="Times New Roman" w:hAnsi="Times New Roman" w:cs="Times New Roman"/>
          <w:sz w:val="24"/>
          <w:szCs w:val="24"/>
        </w:rPr>
        <w:t>.</w:t>
      </w:r>
    </w:p>
    <w:p w:rsidR="000552B1" w:rsidRPr="00075A23" w:rsidP="000552B1" w14:paraId="4F3E4445" w14:textId="77777777">
      <w:pPr>
        <w:rPr>
          <w:rFonts w:ascii="Times New Roman" w:hAnsi="Times New Roman" w:cs="Times New Roman"/>
          <w:sz w:val="24"/>
          <w:szCs w:val="24"/>
          <w:u w:val="single"/>
        </w:rPr>
      </w:pPr>
    </w:p>
    <w:p w:rsidR="002D296E" w:rsidP="00B25791" w14:paraId="2EC49C63" w14:textId="398C6966">
      <w:pPr>
        <w:rPr>
          <w:rFonts w:ascii="Times New Roman" w:hAnsi="Times New Roman" w:cs="Times New Roman"/>
          <w:sz w:val="24"/>
          <w:szCs w:val="24"/>
        </w:rPr>
      </w:pPr>
      <w:r w:rsidRPr="00075A23">
        <w:rPr>
          <w:rFonts w:ascii="Times New Roman" w:hAnsi="Times New Roman" w:cs="Times New Roman"/>
          <w:sz w:val="24"/>
          <w:szCs w:val="24"/>
          <w:u w:val="single"/>
        </w:rPr>
        <w:t>Estimated Total Annual Responses</w:t>
      </w:r>
      <w:r w:rsidRPr="00075A23">
        <w:rPr>
          <w:rFonts w:ascii="Times New Roman" w:hAnsi="Times New Roman" w:cs="Times New Roman"/>
          <w:sz w:val="24"/>
          <w:szCs w:val="24"/>
        </w:rPr>
        <w:t>: 40 responses.</w:t>
      </w:r>
      <w:r>
        <w:rPr>
          <w:rFonts w:ascii="Times New Roman" w:hAnsi="Times New Roman" w:cs="Times New Roman"/>
          <w:sz w:val="24"/>
          <w:szCs w:val="24"/>
          <w:vertAlign w:val="superscript"/>
        </w:rPr>
        <w:footnoteReference w:id="31"/>
      </w:r>
    </w:p>
    <w:p w:rsidR="00B4253B" w:rsidP="00B25791" w14:paraId="44E7D74E" w14:textId="77777777">
      <w:pPr>
        <w:rPr>
          <w:rFonts w:ascii="Times New Roman" w:eastAsia="MS Mincho" w:hAnsi="Times New Roman" w:cs="Times New Roman"/>
          <w:sz w:val="24"/>
          <w:szCs w:val="24"/>
          <w:u w:val="single"/>
          <w:lang w:val="en-GB"/>
        </w:rPr>
      </w:pPr>
    </w:p>
    <w:p w:rsidR="00BC7DD6" w:rsidP="00BB2869" w14:paraId="6070CD07" w14:textId="124CE605">
      <w:pPr>
        <w:ind w:firstLine="720"/>
        <w:rPr>
          <w:rFonts w:ascii="Times New Roman" w:hAnsi="Times New Roman" w:cs="Times New Roman"/>
          <w:sz w:val="24"/>
          <w:szCs w:val="24"/>
          <w:lang w:val="en-GB"/>
        </w:rPr>
      </w:pPr>
      <w:r w:rsidRPr="002D1F5D">
        <w:rPr>
          <w:rFonts w:ascii="Times New Roman" w:hAnsi="Times New Roman" w:cs="Times New Roman"/>
          <w:sz w:val="24"/>
          <w:szCs w:val="24"/>
          <w:lang w:val="en-GB"/>
        </w:rPr>
        <w:t xml:space="preserve">In formulating its estimates of reporting and recordkeeping burdens for this OMB control renewal, FinCEN anticipates that each FFA Regulation will require information </w:t>
      </w:r>
      <w:r w:rsidR="003812DA">
        <w:rPr>
          <w:rFonts w:ascii="Times New Roman" w:hAnsi="Times New Roman" w:cs="Times New Roman"/>
          <w:sz w:val="24"/>
          <w:szCs w:val="24"/>
          <w:lang w:val="en-GB"/>
        </w:rPr>
        <w:t xml:space="preserve">collections </w:t>
      </w:r>
      <w:r w:rsidRPr="002D1F5D">
        <w:rPr>
          <w:rFonts w:ascii="Times New Roman" w:hAnsi="Times New Roman" w:cs="Times New Roman"/>
          <w:sz w:val="24"/>
          <w:szCs w:val="24"/>
          <w:lang w:val="en-GB"/>
        </w:rPr>
        <w:t xml:space="preserve">from </w:t>
      </w:r>
      <w:r w:rsidR="00053E4E">
        <w:rPr>
          <w:rFonts w:ascii="Times New Roman" w:hAnsi="Times New Roman" w:cs="Times New Roman"/>
          <w:sz w:val="24"/>
          <w:szCs w:val="24"/>
          <w:lang w:val="en-GB"/>
        </w:rPr>
        <w:t>ten</w:t>
      </w:r>
      <w:r w:rsidRPr="002D1F5D">
        <w:rPr>
          <w:rFonts w:ascii="Times New Roman" w:hAnsi="Times New Roman" w:cs="Times New Roman"/>
          <w:sz w:val="24"/>
          <w:szCs w:val="24"/>
          <w:lang w:val="en-GB"/>
        </w:rPr>
        <w:t xml:space="preserve"> respondents</w:t>
      </w:r>
      <w:r w:rsidR="00053E4E">
        <w:rPr>
          <w:rFonts w:ascii="Times New Roman" w:hAnsi="Times New Roman" w:cs="Times New Roman"/>
          <w:sz w:val="24"/>
          <w:szCs w:val="24"/>
          <w:lang w:val="en-GB"/>
        </w:rPr>
        <w:t>, on average</w:t>
      </w:r>
      <w:r w:rsidR="006D6014">
        <w:rPr>
          <w:rFonts w:ascii="Times New Roman" w:hAnsi="Times New Roman" w:cs="Times New Roman"/>
          <w:sz w:val="24"/>
          <w:szCs w:val="24"/>
          <w:lang w:val="en-GB"/>
        </w:rPr>
        <w:t xml:space="preserve">. </w:t>
      </w:r>
      <w:r w:rsidR="000616A8">
        <w:rPr>
          <w:rFonts w:ascii="Times New Roman" w:hAnsi="Times New Roman" w:cs="Times New Roman"/>
          <w:sz w:val="24"/>
          <w:szCs w:val="24"/>
          <w:lang w:val="en-GB"/>
        </w:rPr>
        <w:t xml:space="preserve"> </w:t>
      </w:r>
      <w:r w:rsidR="00CE7AAE">
        <w:rPr>
          <w:rFonts w:ascii="Times New Roman" w:hAnsi="Times New Roman" w:cs="Times New Roman"/>
          <w:sz w:val="24"/>
          <w:szCs w:val="24"/>
          <w:lang w:val="en-GB"/>
        </w:rPr>
        <w:t xml:space="preserve">While the information reported to FinCEN </w:t>
      </w:r>
      <w:r w:rsidR="00EC308A">
        <w:rPr>
          <w:rFonts w:ascii="Times New Roman" w:hAnsi="Times New Roman" w:cs="Times New Roman"/>
          <w:sz w:val="24"/>
          <w:szCs w:val="24"/>
          <w:lang w:val="en-GB"/>
        </w:rPr>
        <w:t>may not originally be collected</w:t>
      </w:r>
      <w:r w:rsidR="00F73F68">
        <w:rPr>
          <w:rFonts w:ascii="Times New Roman" w:hAnsi="Times New Roman" w:cs="Times New Roman"/>
          <w:sz w:val="24"/>
          <w:szCs w:val="24"/>
          <w:lang w:val="en-GB"/>
        </w:rPr>
        <w:t xml:space="preserve"> for the sole purpose of </w:t>
      </w:r>
      <w:r w:rsidR="000D5B4C">
        <w:rPr>
          <w:rFonts w:ascii="Times New Roman" w:hAnsi="Times New Roman" w:cs="Times New Roman"/>
          <w:sz w:val="24"/>
          <w:szCs w:val="24"/>
          <w:lang w:val="en-GB"/>
        </w:rPr>
        <w:t xml:space="preserve">satisfying </w:t>
      </w:r>
      <w:r w:rsidR="00F3510A">
        <w:rPr>
          <w:rFonts w:ascii="Times New Roman" w:hAnsi="Times New Roman" w:cs="Times New Roman"/>
          <w:sz w:val="24"/>
          <w:szCs w:val="24"/>
          <w:lang w:val="en-GB"/>
        </w:rPr>
        <w:t xml:space="preserve">this rule, </w:t>
      </w:r>
      <w:r w:rsidR="000A171D">
        <w:rPr>
          <w:rFonts w:ascii="Times New Roman" w:hAnsi="Times New Roman" w:cs="Times New Roman"/>
          <w:sz w:val="24"/>
          <w:szCs w:val="24"/>
          <w:lang w:val="en-GB"/>
        </w:rPr>
        <w:t xml:space="preserve">covered </w:t>
      </w:r>
      <w:r w:rsidR="000616A8">
        <w:rPr>
          <w:rFonts w:ascii="Times New Roman" w:hAnsi="Times New Roman" w:cs="Times New Roman"/>
          <w:sz w:val="24"/>
          <w:szCs w:val="24"/>
          <w:lang w:val="en-GB"/>
        </w:rPr>
        <w:t xml:space="preserve">financial </w:t>
      </w:r>
      <w:r w:rsidR="000A171D">
        <w:rPr>
          <w:rFonts w:ascii="Times New Roman" w:hAnsi="Times New Roman" w:cs="Times New Roman"/>
          <w:sz w:val="24"/>
          <w:szCs w:val="24"/>
          <w:lang w:val="en-GB"/>
        </w:rPr>
        <w:t>institutions</w:t>
      </w:r>
      <w:r w:rsidRPr="002D1F5D">
        <w:rPr>
          <w:rFonts w:ascii="Times New Roman" w:hAnsi="Times New Roman" w:cs="Times New Roman"/>
          <w:sz w:val="24"/>
          <w:szCs w:val="24"/>
          <w:lang w:val="en-GB"/>
        </w:rPr>
        <w:t xml:space="preserve"> would </w:t>
      </w:r>
      <w:r w:rsidR="00146CCF">
        <w:rPr>
          <w:rFonts w:ascii="Times New Roman" w:hAnsi="Times New Roman" w:cs="Times New Roman"/>
          <w:sz w:val="24"/>
          <w:szCs w:val="24"/>
          <w:lang w:val="en-GB"/>
        </w:rPr>
        <w:t>ne</w:t>
      </w:r>
      <w:r w:rsidR="00B746CD">
        <w:rPr>
          <w:rFonts w:ascii="Times New Roman" w:hAnsi="Times New Roman" w:cs="Times New Roman"/>
          <w:sz w:val="24"/>
          <w:szCs w:val="24"/>
          <w:lang w:val="en-GB"/>
        </w:rPr>
        <w:t>vertheless be expected to</w:t>
      </w:r>
      <w:r w:rsidRPr="002D1F5D">
        <w:rPr>
          <w:rFonts w:ascii="Times New Roman" w:hAnsi="Times New Roman" w:cs="Times New Roman"/>
          <w:sz w:val="24"/>
          <w:szCs w:val="24"/>
          <w:lang w:val="en-GB"/>
        </w:rPr>
        <w:t xml:space="preserve"> incur incremental reporting and recordkeeping obligations unique to the regulation.  Each respondent would be required to provide FinCEN with a response in the form of a report, or reports, with respect to each of the FFAs identified in the regulation.  </w:t>
      </w:r>
    </w:p>
    <w:p w:rsidR="00967BE8" w:rsidRPr="006B6C42" w:rsidP="00DA32FA" w14:paraId="4D178F04" w14:textId="77777777">
      <w:pPr>
        <w:rPr>
          <w:rFonts w:ascii="Times New Roman" w:eastAsia="MS Mincho" w:hAnsi="Times New Roman" w:cs="Times New Roman"/>
          <w:sz w:val="24"/>
          <w:szCs w:val="24"/>
          <w:u w:val="single"/>
        </w:rPr>
      </w:pPr>
    </w:p>
    <w:p w:rsidR="00EA5785" w:rsidP="00B25791" w14:paraId="5EEC626B" w14:textId="1D818B1C">
      <w:pPr>
        <w:rPr>
          <w:rFonts w:ascii="Times New Roman" w:hAnsi="Times New Roman" w:cs="Times New Roman"/>
          <w:sz w:val="24"/>
          <w:szCs w:val="24"/>
        </w:rPr>
      </w:pPr>
      <w:r w:rsidRPr="00B25791">
        <w:rPr>
          <w:rFonts w:ascii="Times New Roman" w:eastAsia="MS Mincho" w:hAnsi="Times New Roman" w:cs="Times New Roman"/>
          <w:sz w:val="24"/>
          <w:szCs w:val="24"/>
          <w:u w:val="single"/>
        </w:rPr>
        <w:t>Estimated Reporting and Recordkeeping Burden:</w:t>
      </w:r>
      <w:r w:rsidRPr="00B25791">
        <w:rPr>
          <w:rFonts w:ascii="Times New Roman" w:hAnsi="Times New Roman" w:cs="Times New Roman"/>
          <w:sz w:val="24"/>
          <w:szCs w:val="24"/>
        </w:rPr>
        <w:t xml:space="preserve">  40,500 hours.</w:t>
      </w:r>
      <w:r>
        <w:rPr>
          <w:rStyle w:val="FootnoteReference"/>
          <w:rFonts w:ascii="Times New Roman" w:hAnsi="Times New Roman" w:cs="Times New Roman"/>
          <w:sz w:val="24"/>
          <w:szCs w:val="24"/>
        </w:rPr>
        <w:footnoteReference w:id="32"/>
      </w:r>
    </w:p>
    <w:p w:rsidR="00471741" w:rsidP="00B25791" w14:paraId="4551A99F" w14:textId="77777777">
      <w:pPr>
        <w:rPr>
          <w:rFonts w:ascii="Times New Roman" w:hAnsi="Times New Roman" w:cs="Times New Roman"/>
          <w:sz w:val="24"/>
          <w:szCs w:val="24"/>
        </w:rPr>
      </w:pPr>
    </w:p>
    <w:p w:rsidR="00014E24" w:rsidRPr="00075A23" w:rsidP="00014E24" w14:paraId="3C7C6F4D" w14:textId="4DB0302C">
      <w:pPr>
        <w:ind w:firstLine="720"/>
        <w:rPr>
          <w:rFonts w:ascii="Times New Roman" w:hAnsi="Times New Roman" w:cs="Times New Roman"/>
          <w:sz w:val="24"/>
          <w:szCs w:val="24"/>
        </w:rPr>
      </w:pPr>
      <w:r w:rsidRPr="002D1F5D">
        <w:rPr>
          <w:rFonts w:ascii="Times New Roman" w:hAnsi="Times New Roman" w:cs="Times New Roman"/>
          <w:sz w:val="24"/>
          <w:szCs w:val="24"/>
          <w:lang w:val="en-GB"/>
        </w:rPr>
        <w:t>FinCEN is employing a standardized model that treats the sum total of reports a respondent provides to FinCEN as one response, composed of three notional reports, one that captures a more extensive, costly “initial report,” and represents all follow-on reporting as two “subsequent reports” of shorter length and lower associated costs (</w:t>
      </w:r>
      <w:r w:rsidRPr="002D1F5D">
        <w:rPr>
          <w:rFonts w:ascii="Times New Roman" w:hAnsi="Times New Roman" w:cs="Times New Roman"/>
          <w:sz w:val="24"/>
          <w:szCs w:val="24"/>
        </w:rPr>
        <w:t>i.e. “subsequent reports” after the initial report)</w:t>
      </w:r>
      <w:r w:rsidRPr="002D1F5D">
        <w:rPr>
          <w:rFonts w:ascii="Times New Roman" w:hAnsi="Times New Roman" w:cs="Times New Roman"/>
          <w:sz w:val="24"/>
          <w:szCs w:val="24"/>
          <w:lang w:val="en-GB"/>
        </w:rPr>
        <w:t>.</w:t>
      </w:r>
      <w:r>
        <w:rPr>
          <w:rStyle w:val="FootnoteReference"/>
          <w:rFonts w:ascii="Times New Roman" w:hAnsi="Times New Roman" w:cs="Times New Roman"/>
          <w:sz w:val="24"/>
          <w:szCs w:val="24"/>
          <w:lang w:val="en-GB"/>
        </w:rPr>
        <w:footnoteReference w:id="33"/>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Each of these notional reports is expected to pertain to the transactions of approximately 50 FFAs, on average. </w:t>
      </w:r>
      <w:r w:rsidR="000616A8">
        <w:rPr>
          <w:rFonts w:ascii="Times New Roman" w:hAnsi="Times New Roman" w:cs="Times New Roman"/>
          <w:sz w:val="24"/>
          <w:szCs w:val="24"/>
        </w:rPr>
        <w:t xml:space="preserve"> </w:t>
      </w:r>
      <w:r w:rsidRPr="00075A23">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Pr="00075A23">
        <w:rPr>
          <w:rFonts w:ascii="Times New Roman" w:hAnsi="Times New Roman" w:cs="Times New Roman"/>
          <w:sz w:val="24"/>
          <w:szCs w:val="24"/>
        </w:rPr>
        <w:t xml:space="preserve">calendar years </w:t>
      </w:r>
      <w:r>
        <w:rPr>
          <w:rFonts w:ascii="Times New Roman" w:hAnsi="Times New Roman" w:cs="Times New Roman"/>
          <w:sz w:val="24"/>
          <w:szCs w:val="24"/>
        </w:rPr>
        <w:t xml:space="preserve">between </w:t>
      </w:r>
      <w:r w:rsidRPr="00075A23">
        <w:rPr>
          <w:rFonts w:ascii="Times New Roman" w:hAnsi="Times New Roman" w:cs="Times New Roman"/>
          <w:sz w:val="24"/>
          <w:szCs w:val="24"/>
        </w:rPr>
        <w:t>2022</w:t>
      </w:r>
      <w:r>
        <w:rPr>
          <w:rFonts w:ascii="Times New Roman" w:hAnsi="Times New Roman" w:cs="Times New Roman"/>
          <w:sz w:val="24"/>
          <w:szCs w:val="24"/>
        </w:rPr>
        <w:t xml:space="preserve"> and</w:t>
      </w:r>
      <w:r w:rsidR="00A74389">
        <w:rPr>
          <w:rFonts w:ascii="Times New Roman" w:hAnsi="Times New Roman" w:cs="Times New Roman"/>
          <w:sz w:val="24"/>
          <w:szCs w:val="24"/>
        </w:rPr>
        <w:t xml:space="preserve"> </w:t>
      </w:r>
      <w:r w:rsidRPr="00075A23">
        <w:rPr>
          <w:rFonts w:ascii="Times New Roman" w:hAnsi="Times New Roman" w:cs="Times New Roman"/>
          <w:sz w:val="24"/>
          <w:szCs w:val="24"/>
        </w:rPr>
        <w:t>202</w:t>
      </w:r>
      <w:r>
        <w:rPr>
          <w:rFonts w:ascii="Times New Roman" w:hAnsi="Times New Roman" w:cs="Times New Roman"/>
          <w:sz w:val="24"/>
          <w:szCs w:val="24"/>
        </w:rPr>
        <w:t>5</w:t>
      </w:r>
      <w:r w:rsidRPr="00075A23">
        <w:rPr>
          <w:rFonts w:ascii="Times New Roman" w:hAnsi="Times New Roman" w:cs="Times New Roman"/>
          <w:sz w:val="24"/>
          <w:szCs w:val="24"/>
        </w:rPr>
        <w:t xml:space="preserve">, FinCEN issued a total of 11 FFA Regulations — approximately four per year.  The FFA Regulations required that </w:t>
      </w:r>
      <w:r w:rsidR="000616A8">
        <w:rPr>
          <w:rFonts w:ascii="Times New Roman" w:hAnsi="Times New Roman" w:cs="Times New Roman"/>
          <w:sz w:val="24"/>
          <w:szCs w:val="24"/>
        </w:rPr>
        <w:t xml:space="preserve">covered </w:t>
      </w:r>
      <w:r w:rsidRPr="00075A23">
        <w:rPr>
          <w:rFonts w:ascii="Times New Roman" w:hAnsi="Times New Roman" w:cs="Times New Roman"/>
          <w:sz w:val="24"/>
          <w:szCs w:val="24"/>
        </w:rPr>
        <w:t xml:space="preserve">financial institutions respond with information on one to 308 FFAs per </w:t>
      </w:r>
      <w:r>
        <w:rPr>
          <w:rFonts w:ascii="Times New Roman" w:hAnsi="Times New Roman" w:cs="Times New Roman"/>
          <w:sz w:val="24"/>
          <w:szCs w:val="24"/>
        </w:rPr>
        <w:t>regulation</w:t>
      </w:r>
      <w:r w:rsidRPr="00075A23">
        <w:rPr>
          <w:rFonts w:ascii="Times New Roman" w:hAnsi="Times New Roman" w:cs="Times New Roman"/>
          <w:sz w:val="24"/>
          <w:szCs w:val="24"/>
        </w:rPr>
        <w:t>, with an average of 50 FFAs per regulation.  Four annual FFA Regulations multiplied by 50 FFAs per regulations equals 200 FFAs per year per respondent</w:t>
      </w:r>
      <w:r>
        <w:rPr>
          <w:rFonts w:ascii="Times New Roman" w:hAnsi="Times New Roman" w:cs="Times New Roman"/>
          <w:sz w:val="24"/>
          <w:szCs w:val="24"/>
        </w:rPr>
        <w:t xml:space="preserve">.  </w:t>
      </w:r>
      <w:r w:rsidRPr="00075A23">
        <w:rPr>
          <w:rFonts w:ascii="Times New Roman" w:hAnsi="Times New Roman" w:cs="Times New Roman"/>
          <w:sz w:val="24"/>
          <w:szCs w:val="24"/>
        </w:rPr>
        <w:t>FinCEN estimates that the initial report, requiring a look-back over an average two-year period, will take approximately 16 hours (two business days) for initial research, approval by management</w:t>
      </w:r>
      <w:r>
        <w:rPr>
          <w:rFonts w:ascii="Times New Roman" w:hAnsi="Times New Roman" w:cs="Times New Roman"/>
          <w:sz w:val="24"/>
          <w:szCs w:val="24"/>
        </w:rPr>
        <w:t xml:space="preserve"> and counsel</w:t>
      </w:r>
      <w:r w:rsidRPr="00075A23">
        <w:rPr>
          <w:rFonts w:ascii="Times New Roman" w:hAnsi="Times New Roman" w:cs="Times New Roman"/>
          <w:sz w:val="24"/>
          <w:szCs w:val="24"/>
        </w:rPr>
        <w:t>, and reporting (</w:t>
      </w:r>
      <w:r w:rsidRPr="00E905D7">
        <w:rPr>
          <w:rFonts w:ascii="Times New Roman" w:hAnsi="Times New Roman" w:cs="Times New Roman"/>
          <w:i/>
          <w:iCs/>
          <w:sz w:val="24"/>
          <w:szCs w:val="24"/>
        </w:rPr>
        <w:t>e</w:t>
      </w:r>
      <w:r>
        <w:rPr>
          <w:rFonts w:ascii="Times New Roman" w:hAnsi="Times New Roman" w:cs="Times New Roman"/>
          <w:i/>
          <w:iCs/>
          <w:sz w:val="24"/>
          <w:szCs w:val="24"/>
        </w:rPr>
        <w:t>.g.,</w:t>
      </w:r>
      <w:r w:rsidRPr="00075A23">
        <w:rPr>
          <w:rFonts w:ascii="Times New Roman" w:hAnsi="Times New Roman" w:cs="Times New Roman"/>
          <w:sz w:val="24"/>
          <w:szCs w:val="24"/>
        </w:rPr>
        <w:t xml:space="preserve"> </w:t>
      </w:r>
      <w:r>
        <w:rPr>
          <w:rFonts w:ascii="Times New Roman" w:hAnsi="Times New Roman" w:cs="Times New Roman"/>
          <w:sz w:val="24"/>
          <w:szCs w:val="24"/>
        </w:rPr>
        <w:t xml:space="preserve">electronic data </w:t>
      </w:r>
      <w:r w:rsidRPr="00075A23">
        <w:rPr>
          <w:rFonts w:ascii="Times New Roman" w:hAnsi="Times New Roman" w:cs="Times New Roman"/>
          <w:sz w:val="24"/>
          <w:szCs w:val="24"/>
        </w:rPr>
        <w:t xml:space="preserve">transmission), which includes setting up a template for subsequent reporting. </w:t>
      </w:r>
      <w:r w:rsidR="000616A8">
        <w:rPr>
          <w:rFonts w:ascii="Times New Roman" w:hAnsi="Times New Roman" w:cs="Times New Roman"/>
          <w:sz w:val="24"/>
          <w:szCs w:val="24"/>
        </w:rPr>
        <w:t xml:space="preserve"> </w:t>
      </w:r>
      <w:r w:rsidR="008703E7">
        <w:rPr>
          <w:rFonts w:ascii="Times New Roman" w:hAnsi="Times New Roman" w:cs="Times New Roman"/>
          <w:sz w:val="24"/>
          <w:szCs w:val="24"/>
        </w:rPr>
        <w:t xml:space="preserve">FinCEN </w:t>
      </w:r>
      <w:r w:rsidR="000E1F9A">
        <w:rPr>
          <w:rFonts w:ascii="Times New Roman" w:hAnsi="Times New Roman" w:cs="Times New Roman"/>
          <w:sz w:val="24"/>
          <w:szCs w:val="24"/>
        </w:rPr>
        <w:t>estimates that</w:t>
      </w:r>
      <w:r w:rsidR="006E7C4C">
        <w:rPr>
          <w:rFonts w:ascii="Times New Roman" w:hAnsi="Times New Roman" w:cs="Times New Roman"/>
          <w:sz w:val="24"/>
          <w:szCs w:val="24"/>
        </w:rPr>
        <w:t xml:space="preserve"> </w:t>
      </w:r>
      <w:r w:rsidR="00BE749F">
        <w:rPr>
          <w:rFonts w:ascii="Times New Roman" w:hAnsi="Times New Roman" w:cs="Times New Roman"/>
          <w:sz w:val="24"/>
          <w:szCs w:val="24"/>
        </w:rPr>
        <w:t>each of the</w:t>
      </w:r>
      <w:r w:rsidR="00DC71D3">
        <w:rPr>
          <w:rFonts w:ascii="Times New Roman" w:hAnsi="Times New Roman" w:cs="Times New Roman"/>
          <w:sz w:val="24"/>
          <w:szCs w:val="24"/>
        </w:rPr>
        <w:t xml:space="preserve"> two notional subsequent reports will</w:t>
      </w:r>
      <w:r w:rsidR="00016C7F">
        <w:rPr>
          <w:rFonts w:ascii="Times New Roman" w:hAnsi="Times New Roman" w:cs="Times New Roman"/>
          <w:sz w:val="24"/>
          <w:szCs w:val="24"/>
        </w:rPr>
        <w:t xml:space="preserve"> take</w:t>
      </w:r>
      <w:r w:rsidR="00355A8B">
        <w:rPr>
          <w:rFonts w:ascii="Times New Roman" w:hAnsi="Times New Roman" w:cs="Times New Roman"/>
          <w:sz w:val="24"/>
          <w:szCs w:val="24"/>
        </w:rPr>
        <w:t xml:space="preserve"> two</w:t>
      </w:r>
      <w:r w:rsidR="009166E7">
        <w:rPr>
          <w:rFonts w:ascii="Times New Roman" w:hAnsi="Times New Roman" w:cs="Times New Roman"/>
          <w:sz w:val="24"/>
          <w:szCs w:val="24"/>
        </w:rPr>
        <w:t xml:space="preserve"> hours</w:t>
      </w:r>
      <w:r w:rsidR="00A04A6F">
        <w:rPr>
          <w:rFonts w:ascii="Times New Roman" w:hAnsi="Times New Roman" w:cs="Times New Roman"/>
          <w:sz w:val="24"/>
          <w:szCs w:val="24"/>
        </w:rPr>
        <w:t xml:space="preserve"> for </w:t>
      </w:r>
      <w:r w:rsidR="0044539D">
        <w:rPr>
          <w:rFonts w:ascii="Times New Roman" w:hAnsi="Times New Roman" w:cs="Times New Roman"/>
          <w:sz w:val="24"/>
          <w:szCs w:val="24"/>
        </w:rPr>
        <w:t xml:space="preserve">data gathering, review, </w:t>
      </w:r>
      <w:r w:rsidR="004805CD">
        <w:rPr>
          <w:rFonts w:ascii="Times New Roman" w:hAnsi="Times New Roman" w:cs="Times New Roman"/>
          <w:sz w:val="24"/>
          <w:szCs w:val="24"/>
        </w:rPr>
        <w:t xml:space="preserve">and </w:t>
      </w:r>
      <w:r w:rsidR="0013179A">
        <w:rPr>
          <w:rFonts w:ascii="Times New Roman" w:hAnsi="Times New Roman" w:cs="Times New Roman"/>
          <w:sz w:val="24"/>
          <w:szCs w:val="24"/>
        </w:rPr>
        <w:t>transmission.</w:t>
      </w:r>
    </w:p>
    <w:p w:rsidR="00014E24" w:rsidRPr="00075A23" w:rsidP="00014E24" w14:paraId="0CC6C37A" w14:textId="77777777">
      <w:pPr>
        <w:ind w:firstLine="720"/>
        <w:rPr>
          <w:rFonts w:ascii="Times New Roman" w:hAnsi="Times New Roman" w:cs="Times New Roman"/>
          <w:sz w:val="24"/>
          <w:szCs w:val="24"/>
        </w:rPr>
      </w:pPr>
    </w:p>
    <w:p w:rsidR="00014E24" w:rsidRPr="00075A23" w:rsidP="00014E24" w14:paraId="6FB23FED" w14:textId="77777777">
      <w:pPr>
        <w:ind w:firstLine="720"/>
        <w:rPr>
          <w:rFonts w:ascii="Times New Roman" w:hAnsi="Times New Roman" w:cs="Times New Roman"/>
          <w:sz w:val="24"/>
          <w:szCs w:val="24"/>
        </w:rPr>
      </w:pPr>
      <w:r w:rsidRPr="002D1F5D">
        <w:rPr>
          <w:rFonts w:ascii="Times New Roman" w:hAnsi="Times New Roman" w:cs="Times New Roman"/>
          <w:sz w:val="24"/>
          <w:szCs w:val="24"/>
          <w:lang w:val="en-GB"/>
        </w:rPr>
        <w:t>FinCEN also requires that filers maintain records of data reported pursuant to FFA Regulations.  The FFA information is typically reported by uploading a comma-separated value file spreadsheet through FinCEN’s</w:t>
      </w:r>
      <w:r>
        <w:rPr>
          <w:rFonts w:ascii="Times New Roman" w:hAnsi="Times New Roman" w:cs="Times New Roman"/>
          <w:sz w:val="24"/>
          <w:szCs w:val="24"/>
          <w:lang w:val="en-GB"/>
        </w:rPr>
        <w:t xml:space="preserve"> FI Portal</w:t>
      </w:r>
      <w:r w:rsidRPr="002D1F5D">
        <w:rPr>
          <w:rFonts w:ascii="Times New Roman" w:hAnsi="Times New Roman" w:cs="Times New Roman"/>
          <w:sz w:val="24"/>
          <w:szCs w:val="24"/>
          <w:lang w:val="en-GB"/>
        </w:rPr>
        <w:t xml:space="preserve">, which allows the filer to save an electronic version of the report and satisfy the recordkeeping requirement.  FinCEN estimates that the recordkeeping requirement will take five minutes on average.  </w:t>
      </w:r>
    </w:p>
    <w:p w:rsidR="00014E24" w:rsidP="00075A23" w14:paraId="2D8BF5BE" w14:textId="77777777">
      <w:pPr>
        <w:ind w:firstLine="720"/>
        <w:rPr>
          <w:rFonts w:ascii="Times New Roman" w:hAnsi="Times New Roman" w:cs="Times New Roman"/>
          <w:sz w:val="24"/>
          <w:szCs w:val="24"/>
        </w:rPr>
      </w:pPr>
    </w:p>
    <w:p w:rsidR="00AE0530" w:rsidP="00075A23" w14:paraId="74C95EE6" w14:textId="2BA9D638">
      <w:pPr>
        <w:ind w:firstLine="720"/>
        <w:rPr>
          <w:rFonts w:ascii="Times New Roman" w:hAnsi="Times New Roman" w:cs="Times New Roman"/>
          <w:sz w:val="24"/>
          <w:szCs w:val="24"/>
        </w:rPr>
      </w:pPr>
      <w:r w:rsidRPr="00075A23">
        <w:rPr>
          <w:rFonts w:ascii="Times New Roman" w:hAnsi="Times New Roman" w:cs="Times New Roman"/>
          <w:sz w:val="24"/>
          <w:szCs w:val="24"/>
        </w:rPr>
        <w:t>Table 2 provides a summary of the total expected annual burden hours for all FFA Regulations.</w:t>
      </w:r>
    </w:p>
    <w:p w:rsidR="00BC7A43" w:rsidRPr="00075A23" w:rsidP="00E938AB" w14:paraId="21299313" w14:textId="7A22807B">
      <w:pPr>
        <w:rPr>
          <w:rFonts w:ascii="Times New Roman" w:hAnsi="Times New Roman" w:cs="Times New Roman"/>
          <w:b/>
          <w:sz w:val="24"/>
          <w:szCs w:val="24"/>
        </w:rPr>
      </w:pPr>
      <w:r>
        <w:rPr>
          <w:rFonts w:ascii="Times New Roman" w:hAnsi="Times New Roman" w:cs="Times New Roman"/>
          <w:sz w:val="24"/>
          <w:szCs w:val="24"/>
        </w:rPr>
        <w:pict>
          <v:rect id="_x0000_i1027" style="width:0;height:1.5pt" o:hralign="center" o:hrstd="t" o:hr="t" fillcolor="#a0a0a0" stroked="f"/>
        </w:pict>
      </w:r>
    </w:p>
    <w:p w:rsidR="00471741" w:rsidRPr="00E938AB" w:rsidP="00AE0530" w14:paraId="3F59A4F1" w14:textId="5C24E37B">
      <w:pPr>
        <w:rPr>
          <w:rFonts w:ascii="Times New Roman" w:hAnsi="Times New Roman" w:cs="Times New Roman"/>
          <w:b/>
          <w:bCs/>
          <w:sz w:val="24"/>
          <w:szCs w:val="24"/>
        </w:rPr>
      </w:pPr>
      <w:r w:rsidRPr="00E938AB">
        <w:rPr>
          <w:rFonts w:ascii="Times New Roman" w:hAnsi="Times New Roman" w:cs="Times New Roman"/>
          <w:b/>
          <w:bCs/>
          <w:sz w:val="24"/>
          <w:szCs w:val="24"/>
        </w:rPr>
        <w:t>Table 2. Burden associated with each portion of the annual PRA estimate</w:t>
      </w:r>
    </w:p>
    <w:tbl>
      <w:tblPr>
        <w:tblW w:w="5000" w:type="pct"/>
        <w:tblLook w:val="04A0"/>
      </w:tblPr>
      <w:tblGrid>
        <w:gridCol w:w="2383"/>
        <w:gridCol w:w="1450"/>
        <w:gridCol w:w="1551"/>
        <w:gridCol w:w="1449"/>
        <w:gridCol w:w="1339"/>
        <w:gridCol w:w="1178"/>
      </w:tblGrid>
      <w:tr w14:paraId="48D2A00C" w14:textId="77777777" w:rsidTr="00E938AB">
        <w:tblPrEx>
          <w:tblW w:w="5000" w:type="pct"/>
          <w:tblLook w:val="04A0"/>
        </w:tblPrEx>
        <w:trPr>
          <w:trHeight w:val="1368"/>
          <w:tblHeader/>
        </w:trPr>
        <w:tc>
          <w:tcPr>
            <w:tcW w:w="127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43FD9" w:rsidRPr="00E938AB" w:rsidP="00E938AB" w14:paraId="1CE7BE9D" w14:textId="0D008457">
            <w:pPr>
              <w:jc w:val="center"/>
              <w:rPr>
                <w:rFonts w:ascii="Times New Roman" w:eastAsia="Times New Roman" w:hAnsi="Times New Roman" w:cs="Times New Roman"/>
                <w:b/>
                <w:bCs/>
                <w:color w:val="000000"/>
                <w:sz w:val="24"/>
                <w:szCs w:val="24"/>
              </w:rPr>
            </w:pPr>
            <w:r w:rsidRPr="00E938AB">
              <w:rPr>
                <w:rFonts w:ascii="Times New Roman" w:eastAsia="Times New Roman" w:hAnsi="Times New Roman" w:cs="Times New Roman"/>
                <w:b/>
                <w:bCs/>
                <w:color w:val="000000" w:themeColor="text1"/>
                <w:sz w:val="24"/>
                <w:szCs w:val="24"/>
              </w:rPr>
              <w:t>Activity</w:t>
            </w:r>
          </w:p>
        </w:tc>
        <w:tc>
          <w:tcPr>
            <w:tcW w:w="77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43FD9" w:rsidRPr="00E938AB" w:rsidP="00E938AB" w14:paraId="01883CEB" w14:textId="5D12E7FB">
            <w:pPr>
              <w:jc w:val="center"/>
              <w:rPr>
                <w:rFonts w:ascii="Times New Roman" w:eastAsia="Times New Roman" w:hAnsi="Times New Roman" w:cs="Times New Roman"/>
                <w:b/>
                <w:bCs/>
                <w:color w:val="000000"/>
                <w:sz w:val="24"/>
                <w:szCs w:val="24"/>
              </w:rPr>
            </w:pPr>
            <w:r w:rsidRPr="00E938AB">
              <w:rPr>
                <w:rFonts w:ascii="Times New Roman" w:eastAsia="Times New Roman" w:hAnsi="Times New Roman" w:cs="Times New Roman"/>
                <w:b/>
                <w:bCs/>
                <w:color w:val="000000" w:themeColor="text1"/>
                <w:sz w:val="24"/>
                <w:szCs w:val="24"/>
              </w:rPr>
              <w:t xml:space="preserve">Expected number of </w:t>
            </w:r>
            <w:r w:rsidRPr="00E938AB" w:rsidR="0025701C">
              <w:rPr>
                <w:rFonts w:ascii="Times New Roman" w:eastAsia="Times New Roman" w:hAnsi="Times New Roman" w:cs="Times New Roman"/>
                <w:b/>
                <w:bCs/>
                <w:color w:val="000000" w:themeColor="text1"/>
                <w:sz w:val="24"/>
                <w:szCs w:val="24"/>
              </w:rPr>
              <w:t xml:space="preserve">FFA </w:t>
            </w:r>
            <w:r w:rsidRPr="00E938AB">
              <w:rPr>
                <w:rFonts w:ascii="Times New Roman" w:eastAsia="Times New Roman" w:hAnsi="Times New Roman" w:cs="Times New Roman"/>
                <w:b/>
                <w:bCs/>
                <w:color w:val="000000" w:themeColor="text1"/>
                <w:sz w:val="24"/>
                <w:szCs w:val="24"/>
              </w:rPr>
              <w:t>regulations issued</w:t>
            </w:r>
          </w:p>
        </w:tc>
        <w:tc>
          <w:tcPr>
            <w:tcW w:w="8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43FD9" w:rsidRPr="00E938AB" w:rsidP="00E938AB" w14:paraId="6295B978" w14:textId="67E1AD2F">
            <w:pPr>
              <w:jc w:val="center"/>
              <w:rPr>
                <w:rFonts w:ascii="Times New Roman" w:eastAsia="Times New Roman" w:hAnsi="Times New Roman" w:cs="Times New Roman"/>
                <w:b/>
                <w:color w:val="000000"/>
                <w:sz w:val="24"/>
                <w:szCs w:val="24"/>
              </w:rPr>
            </w:pPr>
            <w:r w:rsidRPr="00E938AB">
              <w:rPr>
                <w:rFonts w:ascii="Times New Roman" w:eastAsia="Times New Roman" w:hAnsi="Times New Roman" w:cs="Times New Roman"/>
                <w:b/>
                <w:color w:val="000000"/>
                <w:sz w:val="24"/>
                <w:szCs w:val="24"/>
              </w:rPr>
              <w:t>Expected number of respon</w:t>
            </w:r>
            <w:r w:rsidRPr="00E938AB" w:rsidR="0025701C">
              <w:rPr>
                <w:rFonts w:ascii="Times New Roman" w:eastAsia="Times New Roman" w:hAnsi="Times New Roman" w:cs="Times New Roman"/>
                <w:b/>
                <w:color w:val="000000"/>
                <w:sz w:val="24"/>
                <w:szCs w:val="24"/>
              </w:rPr>
              <w:t>dent</w:t>
            </w:r>
            <w:r w:rsidRPr="00E938AB">
              <w:rPr>
                <w:rFonts w:ascii="Times New Roman" w:eastAsia="Times New Roman" w:hAnsi="Times New Roman" w:cs="Times New Roman"/>
                <w:b/>
                <w:color w:val="000000"/>
                <w:sz w:val="24"/>
                <w:szCs w:val="24"/>
              </w:rPr>
              <w:t xml:space="preserve">s </w:t>
            </w:r>
          </w:p>
        </w:tc>
        <w:tc>
          <w:tcPr>
            <w:tcW w:w="77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43FD9" w:rsidRPr="00E938AB" w:rsidP="00E938AB" w14:paraId="24F90FFB" w14:textId="57BDCB06">
            <w:pPr>
              <w:jc w:val="center"/>
              <w:rPr>
                <w:rFonts w:ascii="Times New Roman" w:eastAsia="Times New Roman" w:hAnsi="Times New Roman" w:cs="Times New Roman"/>
                <w:b/>
                <w:color w:val="000000"/>
                <w:sz w:val="24"/>
                <w:szCs w:val="24"/>
              </w:rPr>
            </w:pPr>
            <w:r w:rsidRPr="00E938AB">
              <w:rPr>
                <w:rFonts w:ascii="Times New Roman" w:eastAsia="Times New Roman" w:hAnsi="Times New Roman" w:cs="Times New Roman"/>
                <w:b/>
                <w:color w:val="000000"/>
                <w:sz w:val="24"/>
                <w:szCs w:val="24"/>
              </w:rPr>
              <w:t>Expected frequency per respon</w:t>
            </w:r>
            <w:r w:rsidRPr="00E938AB" w:rsidR="00CB1CA9">
              <w:rPr>
                <w:rFonts w:ascii="Times New Roman" w:eastAsia="Times New Roman" w:hAnsi="Times New Roman" w:cs="Times New Roman"/>
                <w:b/>
                <w:color w:val="000000"/>
                <w:sz w:val="24"/>
                <w:szCs w:val="24"/>
              </w:rPr>
              <w:t>dent</w:t>
            </w:r>
          </w:p>
        </w:tc>
        <w:tc>
          <w:tcPr>
            <w:tcW w:w="71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43FD9" w:rsidRPr="00E938AB" w:rsidP="00E938AB" w14:paraId="01E6D7E5" w14:textId="77777777">
            <w:pPr>
              <w:jc w:val="center"/>
              <w:rPr>
                <w:rFonts w:ascii="Times New Roman" w:eastAsia="Times New Roman" w:hAnsi="Times New Roman" w:cs="Times New Roman"/>
                <w:b/>
                <w:color w:val="000000"/>
                <w:sz w:val="24"/>
                <w:szCs w:val="24"/>
              </w:rPr>
            </w:pPr>
            <w:r w:rsidRPr="00E938AB">
              <w:rPr>
                <w:rFonts w:ascii="Times New Roman" w:eastAsia="Times New Roman" w:hAnsi="Times New Roman" w:cs="Times New Roman"/>
                <w:b/>
                <w:color w:val="000000"/>
                <w:sz w:val="24"/>
                <w:szCs w:val="24"/>
              </w:rPr>
              <w:t>Average burden hours per provision</w:t>
            </w:r>
          </w:p>
        </w:tc>
        <w:tc>
          <w:tcPr>
            <w:tcW w:w="6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43FD9" w:rsidRPr="0056595C" w:rsidP="00E938AB" w14:paraId="0FF51927" w14:textId="38446A3D">
            <w:pPr>
              <w:jc w:val="center"/>
              <w:rPr>
                <w:rFonts w:ascii="Times New Roman" w:eastAsia="Times New Roman" w:hAnsi="Times New Roman" w:cs="Times New Roman"/>
                <w:b/>
                <w:bCs/>
                <w:color w:val="000000"/>
                <w:sz w:val="24"/>
                <w:szCs w:val="24"/>
              </w:rPr>
            </w:pPr>
            <w:r w:rsidRPr="0056595C">
              <w:rPr>
                <w:rFonts w:ascii="Times New Roman" w:eastAsia="Times New Roman" w:hAnsi="Times New Roman" w:cs="Times New Roman"/>
                <w:b/>
                <w:bCs/>
                <w:color w:val="000000" w:themeColor="text1"/>
                <w:sz w:val="24"/>
                <w:szCs w:val="24"/>
              </w:rPr>
              <w:t>Total annual burden hours</w:t>
            </w:r>
          </w:p>
        </w:tc>
      </w:tr>
      <w:tr w14:paraId="0549636A" w14:textId="77777777" w:rsidTr="00E938AB">
        <w:tblPrEx>
          <w:tblW w:w="5000" w:type="pct"/>
          <w:tblLook w:val="04A0"/>
        </w:tblPrEx>
        <w:trPr>
          <w:trHeight w:val="641"/>
        </w:trPr>
        <w:tc>
          <w:tcPr>
            <w:tcW w:w="1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FD9" w:rsidRPr="00E938AB" w:rsidP="00E938AB" w14:paraId="5352C3A6" w14:textId="77777777">
            <w:pPr>
              <w:rPr>
                <w:rFonts w:ascii="Times New Roman" w:eastAsia="Times New Roman" w:hAnsi="Times New Roman" w:cs="Times New Roman"/>
                <w:color w:val="000000"/>
                <w:sz w:val="24"/>
                <w:szCs w:val="24"/>
              </w:rPr>
            </w:pPr>
            <w:r w:rsidRPr="00E938AB">
              <w:rPr>
                <w:rFonts w:ascii="Times New Roman" w:eastAsia="Times New Roman" w:hAnsi="Times New Roman" w:cs="Times New Roman"/>
                <w:color w:val="000000"/>
                <w:sz w:val="24"/>
                <w:szCs w:val="24"/>
              </w:rPr>
              <w:t>Filing initial report(s)</w:t>
            </w:r>
            <w:r w:rsidRPr="00E938AB">
              <w:rPr>
                <w:rFonts w:ascii="Times New Roman" w:eastAsia="Times New Roman" w:hAnsi="Times New Roman" w:cs="Times New Roman"/>
                <w:color w:val="000000"/>
                <w:sz w:val="24"/>
                <w:szCs w:val="24"/>
                <w:vertAlign w:val="superscript"/>
              </w:rPr>
              <w:t>a</w:t>
            </w:r>
            <w:r w:rsidRPr="00E938AB">
              <w:rPr>
                <w:rFonts w:ascii="Times New Roman" w:eastAsia="Times New Roman" w:hAnsi="Times New Roman" w:cs="Times New Roman"/>
                <w:color w:val="000000"/>
                <w:sz w:val="24"/>
                <w:szCs w:val="24"/>
              </w:rPr>
              <w:t xml:space="preserve"> of certain transactions with designated </w:t>
            </w:r>
            <w:r w:rsidRPr="00E938AB">
              <w:rPr>
                <w:rFonts w:ascii="Times New Roman" w:eastAsia="Times New Roman" w:hAnsi="Times New Roman" w:cs="Times New Roman"/>
                <w:color w:val="000000"/>
                <w:sz w:val="24"/>
                <w:szCs w:val="24"/>
              </w:rPr>
              <w:t>FFAs</w:t>
            </w:r>
            <w:r w:rsidRPr="00E938AB">
              <w:rPr>
                <w:rFonts w:ascii="Times New Roman" w:eastAsia="Times New Roman" w:hAnsi="Times New Roman" w:cs="Times New Roman"/>
                <w:color w:val="000000"/>
                <w:sz w:val="24"/>
                <w:szCs w:val="24"/>
                <w:vertAlign w:val="superscript"/>
              </w:rPr>
              <w:t>b</w:t>
            </w:r>
          </w:p>
        </w:tc>
        <w:tc>
          <w:tcPr>
            <w:tcW w:w="7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FD9" w:rsidRPr="00E938AB" w:rsidP="00E938AB" w14:paraId="2928A899" w14:textId="77777777">
            <w:pPr>
              <w:jc w:val="center"/>
              <w:rPr>
                <w:rFonts w:ascii="Times New Roman" w:eastAsia="Times New Roman" w:hAnsi="Times New Roman" w:cs="Times New Roman"/>
                <w:color w:val="000000"/>
                <w:sz w:val="24"/>
                <w:szCs w:val="24"/>
              </w:rPr>
            </w:pPr>
            <w:r w:rsidRPr="00E938AB">
              <w:rPr>
                <w:rFonts w:ascii="Times New Roman" w:eastAsia="Times New Roman" w:hAnsi="Times New Roman" w:cs="Times New Roman"/>
                <w:color w:val="000000"/>
                <w:sz w:val="24"/>
                <w:szCs w:val="24"/>
              </w:rPr>
              <w:t>4</w:t>
            </w:r>
          </w:p>
        </w:tc>
        <w:tc>
          <w:tcPr>
            <w:tcW w:w="8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FD9" w:rsidRPr="00E938AB" w:rsidP="00E938AB" w14:paraId="17D8C1A3" w14:textId="77777777">
            <w:pPr>
              <w:jc w:val="center"/>
              <w:rPr>
                <w:rFonts w:ascii="Times New Roman" w:eastAsia="Times New Roman" w:hAnsi="Times New Roman" w:cs="Times New Roman"/>
                <w:color w:val="000000"/>
                <w:sz w:val="24"/>
                <w:szCs w:val="24"/>
              </w:rPr>
            </w:pPr>
            <w:r w:rsidRPr="00E938AB">
              <w:rPr>
                <w:rFonts w:ascii="Times New Roman" w:eastAsia="Times New Roman" w:hAnsi="Times New Roman" w:cs="Times New Roman"/>
                <w:color w:val="000000"/>
                <w:sz w:val="24"/>
                <w:szCs w:val="24"/>
              </w:rPr>
              <w:t>10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FD9" w:rsidRPr="00E938AB" w:rsidP="00E938AB" w14:paraId="71894BB3" w14:textId="77777777">
            <w:pPr>
              <w:jc w:val="center"/>
              <w:rPr>
                <w:rFonts w:ascii="Times New Roman" w:eastAsia="Times New Roman" w:hAnsi="Times New Roman" w:cs="Times New Roman"/>
                <w:color w:val="000000"/>
                <w:sz w:val="24"/>
                <w:szCs w:val="24"/>
              </w:rPr>
            </w:pPr>
            <w:r w:rsidRPr="00E938AB">
              <w:rPr>
                <w:rFonts w:ascii="Times New Roman" w:eastAsia="Times New Roman" w:hAnsi="Times New Roman" w:cs="Times New Roman"/>
                <w:color w:val="000000"/>
                <w:sz w:val="24"/>
                <w:szCs w:val="24"/>
              </w:rPr>
              <w:t>1</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FD9" w:rsidRPr="00E938AB" w:rsidP="00E938AB" w14:paraId="3B2A08CA" w14:textId="77777777">
            <w:pPr>
              <w:jc w:val="center"/>
              <w:rPr>
                <w:rFonts w:ascii="Times New Roman" w:eastAsia="Times New Roman" w:hAnsi="Times New Roman" w:cs="Times New Roman"/>
                <w:color w:val="000000"/>
                <w:sz w:val="24"/>
                <w:szCs w:val="24"/>
              </w:rPr>
            </w:pPr>
            <w:r w:rsidRPr="00E938AB">
              <w:rPr>
                <w:rFonts w:ascii="Times New Roman" w:eastAsia="Times New Roman" w:hAnsi="Times New Roman" w:cs="Times New Roman"/>
                <w:color w:val="000000"/>
                <w:sz w:val="24"/>
                <w:szCs w:val="24"/>
              </w:rPr>
              <w:t>800</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FD9" w:rsidRPr="0056595C" w:rsidP="00E938AB" w14:paraId="56A00379" w14:textId="77777777">
            <w:pPr>
              <w:jc w:val="right"/>
              <w:rPr>
                <w:rFonts w:ascii="Times New Roman" w:eastAsia="Times New Roman" w:hAnsi="Times New Roman" w:cs="Times New Roman"/>
                <w:color w:val="000000"/>
                <w:sz w:val="24"/>
                <w:szCs w:val="24"/>
              </w:rPr>
            </w:pPr>
            <w:r w:rsidRPr="0056595C">
              <w:rPr>
                <w:rFonts w:ascii="Times New Roman" w:eastAsia="Times New Roman" w:hAnsi="Times New Roman" w:cs="Times New Roman"/>
                <w:color w:val="000000"/>
                <w:sz w:val="24"/>
                <w:szCs w:val="24"/>
              </w:rPr>
              <w:t>32,000</w:t>
            </w:r>
          </w:p>
        </w:tc>
      </w:tr>
      <w:tr w14:paraId="70637FC4" w14:textId="77777777" w:rsidTr="00E938AB">
        <w:tblPrEx>
          <w:tblW w:w="5000" w:type="pct"/>
          <w:tblLook w:val="04A0"/>
        </w:tblPrEx>
        <w:trPr>
          <w:trHeight w:val="584"/>
        </w:trPr>
        <w:tc>
          <w:tcPr>
            <w:tcW w:w="1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FD9" w:rsidRPr="00E938AB" w:rsidP="00E938AB" w14:paraId="75959F17" w14:textId="77777777">
            <w:pPr>
              <w:rPr>
                <w:rFonts w:ascii="Times New Roman" w:eastAsia="Times New Roman" w:hAnsi="Times New Roman" w:cs="Times New Roman"/>
                <w:color w:val="000000"/>
                <w:sz w:val="24"/>
                <w:szCs w:val="24"/>
              </w:rPr>
            </w:pPr>
            <w:r w:rsidRPr="00E938AB">
              <w:rPr>
                <w:rFonts w:ascii="Times New Roman" w:eastAsia="Times New Roman" w:hAnsi="Times New Roman" w:cs="Times New Roman"/>
                <w:color w:val="000000"/>
                <w:sz w:val="24"/>
                <w:szCs w:val="24"/>
              </w:rPr>
              <w:t>Filing</w:t>
            </w:r>
            <w:r w:rsidRPr="00E938AB">
              <w:rPr>
                <w:rFonts w:ascii="Times New Roman" w:eastAsia="Times New Roman" w:hAnsi="Times New Roman" w:cs="Times New Roman"/>
                <w:color w:val="000000"/>
                <w:sz w:val="24"/>
                <w:szCs w:val="24"/>
              </w:rPr>
              <w:t xml:space="preserve"> subsequent reports of certain transactions with designated FFAs</w:t>
            </w:r>
          </w:p>
        </w:tc>
        <w:tc>
          <w:tcPr>
            <w:tcW w:w="775" w:type="pct"/>
            <w:vMerge/>
            <w:tcBorders>
              <w:top w:val="single" w:sz="4" w:space="0" w:color="auto"/>
              <w:left w:val="single" w:sz="4" w:space="0" w:color="auto"/>
              <w:bottom w:val="single" w:sz="4" w:space="0" w:color="auto"/>
              <w:right w:val="single" w:sz="4" w:space="0" w:color="auto"/>
            </w:tcBorders>
            <w:vAlign w:val="center"/>
            <w:hideMark/>
          </w:tcPr>
          <w:p w:rsidR="00943FD9" w:rsidRPr="00E938AB" w:rsidP="00E938AB" w14:paraId="08053D94" w14:textId="77777777">
            <w:pPr>
              <w:rPr>
                <w:rFonts w:ascii="Times New Roman" w:eastAsia="Times New Roman" w:hAnsi="Times New Roman" w:cs="Times New Roman"/>
                <w:color w:val="000000"/>
                <w:sz w:val="24"/>
                <w:szCs w:val="24"/>
              </w:rPr>
            </w:pPr>
          </w:p>
        </w:tc>
        <w:tc>
          <w:tcPr>
            <w:tcW w:w="829" w:type="pct"/>
            <w:vMerge/>
            <w:tcBorders>
              <w:top w:val="single" w:sz="4" w:space="0" w:color="auto"/>
              <w:left w:val="single" w:sz="4" w:space="0" w:color="auto"/>
              <w:bottom w:val="single" w:sz="4" w:space="0" w:color="auto"/>
              <w:right w:val="single" w:sz="4" w:space="0" w:color="auto"/>
            </w:tcBorders>
            <w:vAlign w:val="center"/>
            <w:hideMark/>
          </w:tcPr>
          <w:p w:rsidR="00943FD9" w:rsidRPr="00E938AB" w:rsidP="00E938AB" w14:paraId="4C1812EF" w14:textId="77777777">
            <w:pPr>
              <w:rPr>
                <w:rFonts w:ascii="Times New Roman" w:eastAsia="Times New Roman" w:hAnsi="Times New Roman" w:cs="Times New Roman"/>
                <w:color w:val="000000"/>
                <w:sz w:val="24"/>
                <w:szCs w:val="24"/>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FD9" w:rsidRPr="00E938AB" w:rsidP="00E938AB" w14:paraId="529B2F31" w14:textId="77777777">
            <w:pPr>
              <w:jc w:val="center"/>
              <w:rPr>
                <w:rFonts w:ascii="Times New Roman" w:eastAsia="Times New Roman" w:hAnsi="Times New Roman" w:cs="Times New Roman"/>
                <w:color w:val="000000"/>
                <w:sz w:val="24"/>
                <w:szCs w:val="24"/>
              </w:rPr>
            </w:pPr>
            <w:r w:rsidRPr="00E938AB">
              <w:rPr>
                <w:rFonts w:ascii="Times New Roman" w:eastAsia="Times New Roman" w:hAnsi="Times New Roman" w:cs="Times New Roman"/>
                <w:color w:val="000000"/>
                <w:sz w:val="24"/>
                <w:szCs w:val="24"/>
              </w:rPr>
              <w:t>2</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FD9" w:rsidRPr="00E938AB" w:rsidP="00E938AB" w14:paraId="266E58DF" w14:textId="77777777">
            <w:pPr>
              <w:jc w:val="center"/>
              <w:rPr>
                <w:rFonts w:ascii="Times New Roman" w:eastAsia="Times New Roman" w:hAnsi="Times New Roman" w:cs="Times New Roman"/>
                <w:color w:val="000000"/>
                <w:sz w:val="24"/>
                <w:szCs w:val="24"/>
              </w:rPr>
            </w:pPr>
            <w:r w:rsidRPr="00E938AB">
              <w:rPr>
                <w:rFonts w:ascii="Times New Roman" w:eastAsia="Times New Roman" w:hAnsi="Times New Roman" w:cs="Times New Roman"/>
                <w:color w:val="000000"/>
                <w:sz w:val="24"/>
                <w:szCs w:val="24"/>
              </w:rPr>
              <w:t>100</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FD9" w:rsidRPr="00E938AB" w:rsidP="00E938AB" w14:paraId="72543654" w14:textId="77777777">
            <w:pPr>
              <w:jc w:val="right"/>
              <w:rPr>
                <w:rFonts w:ascii="Times New Roman" w:eastAsia="Times New Roman" w:hAnsi="Times New Roman" w:cs="Times New Roman"/>
                <w:color w:val="000000"/>
                <w:sz w:val="24"/>
                <w:szCs w:val="24"/>
              </w:rPr>
            </w:pPr>
            <w:r w:rsidRPr="00E938AB">
              <w:rPr>
                <w:rFonts w:ascii="Times New Roman" w:eastAsia="Times New Roman" w:hAnsi="Times New Roman" w:cs="Times New Roman"/>
                <w:color w:val="000000"/>
                <w:sz w:val="24"/>
                <w:szCs w:val="24"/>
              </w:rPr>
              <w:t>8,000</w:t>
            </w:r>
          </w:p>
        </w:tc>
      </w:tr>
      <w:tr w14:paraId="20375D4C" w14:textId="77777777" w:rsidTr="00E938AB">
        <w:tblPrEx>
          <w:tblW w:w="5000" w:type="pct"/>
          <w:tblLook w:val="04A0"/>
        </w:tblPrEx>
        <w:trPr>
          <w:trHeight w:val="293"/>
        </w:trPr>
        <w:tc>
          <w:tcPr>
            <w:tcW w:w="12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FD9" w:rsidRPr="00E938AB" w:rsidP="00E938AB" w14:paraId="799D499F" w14:textId="77777777">
            <w:pPr>
              <w:rPr>
                <w:rFonts w:ascii="Times New Roman" w:eastAsia="Times New Roman" w:hAnsi="Times New Roman" w:cs="Times New Roman"/>
                <w:color w:val="000000"/>
                <w:sz w:val="24"/>
                <w:szCs w:val="24"/>
              </w:rPr>
            </w:pPr>
            <w:r w:rsidRPr="00E938AB">
              <w:rPr>
                <w:rFonts w:ascii="Times New Roman" w:eastAsia="Times New Roman" w:hAnsi="Times New Roman" w:cs="Times New Roman"/>
                <w:color w:val="000000"/>
                <w:sz w:val="24"/>
                <w:szCs w:val="24"/>
              </w:rPr>
              <w:t xml:space="preserve">Complying with recordkeeping requirements that apply to </w:t>
            </w:r>
            <w:r w:rsidRPr="00E938AB">
              <w:rPr>
                <w:rFonts w:ascii="Times New Roman" w:eastAsia="Times New Roman" w:hAnsi="Times New Roman" w:cs="Times New Roman"/>
                <w:color w:val="000000"/>
                <w:sz w:val="24"/>
                <w:szCs w:val="24"/>
              </w:rPr>
              <w:t>reports</w:t>
            </w:r>
            <w:r w:rsidRPr="00E938AB">
              <w:rPr>
                <w:rFonts w:ascii="Times New Roman" w:eastAsia="Times New Roman" w:hAnsi="Times New Roman" w:cs="Times New Roman"/>
                <w:color w:val="000000"/>
                <w:sz w:val="24"/>
                <w:szCs w:val="24"/>
                <w:vertAlign w:val="superscript"/>
              </w:rPr>
              <w:t>c</w:t>
            </w:r>
          </w:p>
        </w:tc>
        <w:tc>
          <w:tcPr>
            <w:tcW w:w="775" w:type="pct"/>
            <w:vMerge/>
            <w:tcBorders>
              <w:top w:val="single" w:sz="4" w:space="0" w:color="auto"/>
              <w:left w:val="single" w:sz="4" w:space="0" w:color="auto"/>
              <w:bottom w:val="single" w:sz="4" w:space="0" w:color="auto"/>
              <w:right w:val="single" w:sz="4" w:space="0" w:color="auto"/>
            </w:tcBorders>
            <w:vAlign w:val="center"/>
            <w:hideMark/>
          </w:tcPr>
          <w:p w:rsidR="00943FD9" w:rsidRPr="00E938AB" w:rsidP="00E938AB" w14:paraId="221E5A17" w14:textId="77777777">
            <w:pPr>
              <w:rPr>
                <w:rFonts w:ascii="Times New Roman" w:eastAsia="Times New Roman" w:hAnsi="Times New Roman" w:cs="Times New Roman"/>
                <w:color w:val="000000"/>
                <w:sz w:val="24"/>
                <w:szCs w:val="24"/>
              </w:rPr>
            </w:pPr>
          </w:p>
        </w:tc>
        <w:tc>
          <w:tcPr>
            <w:tcW w:w="829" w:type="pct"/>
            <w:vMerge/>
            <w:tcBorders>
              <w:top w:val="single" w:sz="4" w:space="0" w:color="auto"/>
              <w:left w:val="single" w:sz="4" w:space="0" w:color="auto"/>
              <w:bottom w:val="single" w:sz="4" w:space="0" w:color="auto"/>
              <w:right w:val="single" w:sz="4" w:space="0" w:color="auto"/>
            </w:tcBorders>
            <w:vAlign w:val="center"/>
            <w:hideMark/>
          </w:tcPr>
          <w:p w:rsidR="00943FD9" w:rsidRPr="00E938AB" w:rsidP="00E938AB" w14:paraId="0172EB9E" w14:textId="77777777">
            <w:pPr>
              <w:rPr>
                <w:rFonts w:ascii="Times New Roman" w:eastAsia="Times New Roman" w:hAnsi="Times New Roman" w:cs="Times New Roman"/>
                <w:color w:val="000000"/>
                <w:sz w:val="24"/>
                <w:szCs w:val="24"/>
              </w:rPr>
            </w:pPr>
          </w:p>
        </w:tc>
        <w:tc>
          <w:tcPr>
            <w:tcW w:w="7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FD9" w:rsidRPr="00E938AB" w:rsidP="00E938AB" w14:paraId="30C5B5E9" w14:textId="77777777">
            <w:pPr>
              <w:jc w:val="center"/>
              <w:rPr>
                <w:rFonts w:ascii="Times New Roman" w:eastAsia="Times New Roman" w:hAnsi="Times New Roman" w:cs="Times New Roman"/>
                <w:color w:val="000000"/>
                <w:sz w:val="24"/>
                <w:szCs w:val="24"/>
              </w:rPr>
            </w:pPr>
            <w:r w:rsidRPr="00E938AB">
              <w:rPr>
                <w:rFonts w:ascii="Times New Roman" w:eastAsia="Times New Roman" w:hAnsi="Times New Roman" w:cs="Times New Roman"/>
                <w:color w:val="000000"/>
                <w:sz w:val="24"/>
                <w:szCs w:val="24"/>
              </w:rPr>
              <w:t>3</w:t>
            </w:r>
          </w:p>
        </w:tc>
        <w:tc>
          <w:tcPr>
            <w:tcW w:w="7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FD9" w:rsidRPr="00E938AB" w:rsidP="00E938AB" w14:paraId="2BE07740" w14:textId="77777777">
            <w:pPr>
              <w:jc w:val="center"/>
              <w:rPr>
                <w:rFonts w:ascii="Times New Roman" w:eastAsia="Times New Roman" w:hAnsi="Times New Roman" w:cs="Times New Roman"/>
                <w:color w:val="000000"/>
                <w:sz w:val="24"/>
                <w:szCs w:val="24"/>
                <w:vertAlign w:val="superscript"/>
              </w:rPr>
            </w:pPr>
            <w:r w:rsidRPr="00E938AB">
              <w:rPr>
                <w:rFonts w:ascii="Times New Roman" w:eastAsia="Times New Roman" w:hAnsi="Times New Roman" w:cs="Times New Roman"/>
                <w:color w:val="000000"/>
                <w:sz w:val="24"/>
                <w:szCs w:val="24"/>
              </w:rPr>
              <w:t>4</w:t>
            </w:r>
            <w:r w:rsidRPr="00E938AB">
              <w:rPr>
                <w:rFonts w:ascii="Times New Roman" w:eastAsia="Times New Roman" w:hAnsi="Times New Roman" w:cs="Times New Roman"/>
                <w:color w:val="000000"/>
                <w:sz w:val="24"/>
                <w:szCs w:val="24"/>
                <w:vertAlign w:val="superscript"/>
              </w:rPr>
              <w:t>d</w:t>
            </w:r>
          </w:p>
        </w:tc>
        <w:tc>
          <w:tcPr>
            <w:tcW w:w="6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FD9" w:rsidRPr="00E938AB" w:rsidP="00E938AB" w14:paraId="5D4B9BCA" w14:textId="77777777">
            <w:pPr>
              <w:jc w:val="right"/>
              <w:rPr>
                <w:rFonts w:ascii="Times New Roman" w:eastAsia="Times New Roman" w:hAnsi="Times New Roman" w:cs="Times New Roman"/>
                <w:color w:val="000000"/>
                <w:sz w:val="24"/>
                <w:szCs w:val="24"/>
              </w:rPr>
            </w:pPr>
            <w:r w:rsidRPr="00E938AB">
              <w:rPr>
                <w:rFonts w:ascii="Times New Roman" w:eastAsia="Times New Roman" w:hAnsi="Times New Roman" w:cs="Times New Roman"/>
                <w:color w:val="000000"/>
                <w:sz w:val="24"/>
                <w:szCs w:val="24"/>
              </w:rPr>
              <w:t>500</w:t>
            </w:r>
          </w:p>
        </w:tc>
      </w:tr>
      <w:tr w14:paraId="39E765E3" w14:textId="77777777" w:rsidTr="00E938AB">
        <w:tblPrEx>
          <w:tblW w:w="5000" w:type="pct"/>
          <w:tblLook w:val="04A0"/>
        </w:tblPrEx>
        <w:trPr>
          <w:trHeight w:val="356"/>
        </w:trPr>
        <w:tc>
          <w:tcPr>
            <w:tcW w:w="1274" w:type="pct"/>
            <w:vMerge/>
            <w:tcBorders>
              <w:top w:val="single" w:sz="4" w:space="0" w:color="auto"/>
              <w:left w:val="single" w:sz="4" w:space="0" w:color="auto"/>
              <w:bottom w:val="single" w:sz="4" w:space="0" w:color="auto"/>
              <w:right w:val="single" w:sz="4" w:space="0" w:color="auto"/>
            </w:tcBorders>
            <w:vAlign w:val="center"/>
            <w:hideMark/>
          </w:tcPr>
          <w:p w:rsidR="00943FD9" w:rsidRPr="00E938AB" w:rsidP="00E938AB" w14:paraId="1BA1AEC1" w14:textId="77777777">
            <w:pPr>
              <w:rPr>
                <w:rFonts w:ascii="Times New Roman" w:eastAsia="Times New Roman" w:hAnsi="Times New Roman" w:cs="Times New Roman"/>
                <w:color w:val="000000"/>
                <w:sz w:val="24"/>
                <w:szCs w:val="24"/>
              </w:rPr>
            </w:pPr>
          </w:p>
        </w:tc>
        <w:tc>
          <w:tcPr>
            <w:tcW w:w="775" w:type="pct"/>
            <w:vMerge/>
            <w:tcBorders>
              <w:top w:val="single" w:sz="4" w:space="0" w:color="auto"/>
              <w:left w:val="single" w:sz="4" w:space="0" w:color="auto"/>
              <w:bottom w:val="single" w:sz="4" w:space="0" w:color="auto"/>
              <w:right w:val="single" w:sz="4" w:space="0" w:color="auto"/>
            </w:tcBorders>
            <w:vAlign w:val="center"/>
            <w:hideMark/>
          </w:tcPr>
          <w:p w:rsidR="00943FD9" w:rsidRPr="00E938AB" w:rsidP="00E938AB" w14:paraId="24B9DBE3" w14:textId="77777777">
            <w:pPr>
              <w:rPr>
                <w:rFonts w:ascii="Times New Roman" w:eastAsia="Times New Roman" w:hAnsi="Times New Roman" w:cs="Times New Roman"/>
                <w:color w:val="000000"/>
                <w:sz w:val="24"/>
                <w:szCs w:val="24"/>
              </w:rPr>
            </w:pPr>
          </w:p>
        </w:tc>
        <w:tc>
          <w:tcPr>
            <w:tcW w:w="829" w:type="pct"/>
            <w:vMerge/>
            <w:tcBorders>
              <w:top w:val="single" w:sz="4" w:space="0" w:color="auto"/>
              <w:left w:val="single" w:sz="4" w:space="0" w:color="auto"/>
              <w:bottom w:val="single" w:sz="4" w:space="0" w:color="auto"/>
              <w:right w:val="single" w:sz="4" w:space="0" w:color="auto"/>
            </w:tcBorders>
            <w:vAlign w:val="center"/>
            <w:hideMark/>
          </w:tcPr>
          <w:p w:rsidR="00943FD9" w:rsidRPr="00E938AB" w:rsidP="00E938AB" w14:paraId="093548AB" w14:textId="77777777">
            <w:pPr>
              <w:rPr>
                <w:rFonts w:ascii="Times New Roman" w:eastAsia="Times New Roman" w:hAnsi="Times New Roman" w:cs="Times New Roman"/>
                <w:color w:val="000000"/>
                <w:sz w:val="24"/>
                <w:szCs w:val="24"/>
              </w:rPr>
            </w:pPr>
          </w:p>
        </w:tc>
        <w:tc>
          <w:tcPr>
            <w:tcW w:w="775" w:type="pct"/>
            <w:vMerge/>
            <w:tcBorders>
              <w:top w:val="single" w:sz="4" w:space="0" w:color="auto"/>
              <w:left w:val="single" w:sz="4" w:space="0" w:color="auto"/>
              <w:bottom w:val="single" w:sz="4" w:space="0" w:color="auto"/>
              <w:right w:val="single" w:sz="4" w:space="0" w:color="auto"/>
            </w:tcBorders>
            <w:vAlign w:val="center"/>
            <w:hideMark/>
          </w:tcPr>
          <w:p w:rsidR="00943FD9" w:rsidRPr="00E938AB" w:rsidP="00E938AB" w14:paraId="5C317A3F" w14:textId="77777777">
            <w:pPr>
              <w:rPr>
                <w:rFonts w:ascii="Times New Roman" w:eastAsia="Times New Roman" w:hAnsi="Times New Roman" w:cs="Times New Roman"/>
                <w:color w:val="000000"/>
                <w:sz w:val="24"/>
                <w:szCs w:val="24"/>
              </w:rPr>
            </w:pP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943FD9" w:rsidRPr="00E938AB" w:rsidP="00E938AB" w14:paraId="712BB094" w14:textId="77777777">
            <w:pPr>
              <w:rPr>
                <w:rFonts w:ascii="Times New Roman" w:eastAsia="Times New Roman" w:hAnsi="Times New Roman" w:cs="Times New Roman"/>
                <w:color w:val="000000"/>
                <w:sz w:val="24"/>
                <w:szCs w:val="24"/>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rsidR="00943FD9" w:rsidRPr="00E938AB" w:rsidP="00E938AB" w14:paraId="34221AF9" w14:textId="77777777">
            <w:pPr>
              <w:rPr>
                <w:rFonts w:ascii="Times New Roman" w:eastAsia="Times New Roman" w:hAnsi="Times New Roman" w:cs="Times New Roman"/>
                <w:color w:val="000000"/>
                <w:sz w:val="24"/>
                <w:szCs w:val="24"/>
              </w:rPr>
            </w:pPr>
          </w:p>
        </w:tc>
      </w:tr>
      <w:tr w14:paraId="5F6837AF" w14:textId="77777777" w:rsidTr="00E938AB">
        <w:tblPrEx>
          <w:tblW w:w="5000" w:type="pct"/>
          <w:tblLayout w:type="fixed"/>
          <w:tblLook w:val="04A0"/>
        </w:tblPrEx>
        <w:trPr>
          <w:trHeight w:val="293"/>
        </w:trPr>
        <w:tc>
          <w:tcPr>
            <w:tcW w:w="4370"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FD9" w:rsidRPr="00E938AB" w:rsidP="00E938AB" w14:paraId="6DC880D6" w14:textId="77777777">
            <w:pPr>
              <w:rPr>
                <w:rFonts w:ascii="Times New Roman" w:eastAsia="Times New Roman" w:hAnsi="Times New Roman" w:cs="Times New Roman"/>
                <w:b/>
                <w:bCs/>
                <w:color w:val="000000"/>
                <w:sz w:val="24"/>
                <w:szCs w:val="24"/>
              </w:rPr>
            </w:pPr>
            <w:r w:rsidRPr="00E938AB">
              <w:rPr>
                <w:rFonts w:ascii="Times New Roman" w:eastAsia="Times New Roman" w:hAnsi="Times New Roman" w:cs="Times New Roman"/>
                <w:b/>
                <w:bCs/>
                <w:color w:val="000000"/>
                <w:sz w:val="24"/>
                <w:szCs w:val="24"/>
              </w:rPr>
              <w:t>Total</w:t>
            </w:r>
          </w:p>
        </w:tc>
        <w:tc>
          <w:tcPr>
            <w:tcW w:w="6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FD9" w:rsidRPr="00E938AB" w:rsidP="00E938AB" w14:paraId="40037339" w14:textId="77777777">
            <w:pPr>
              <w:jc w:val="right"/>
              <w:rPr>
                <w:rFonts w:ascii="Times New Roman" w:eastAsia="Times New Roman" w:hAnsi="Times New Roman" w:cs="Times New Roman"/>
                <w:b/>
                <w:bCs/>
                <w:color w:val="000000"/>
                <w:sz w:val="24"/>
                <w:szCs w:val="24"/>
              </w:rPr>
            </w:pPr>
            <w:r w:rsidRPr="00E938AB">
              <w:rPr>
                <w:rFonts w:ascii="Times New Roman" w:eastAsia="Times New Roman" w:hAnsi="Times New Roman" w:cs="Times New Roman"/>
                <w:b/>
                <w:bCs/>
                <w:color w:val="000000"/>
                <w:sz w:val="24"/>
                <w:szCs w:val="24"/>
              </w:rPr>
              <w:t>40,500</w:t>
            </w:r>
          </w:p>
        </w:tc>
      </w:tr>
      <w:tr w14:paraId="1FEA362F" w14:textId="77777777" w:rsidTr="00E938AB">
        <w:tblPrEx>
          <w:tblW w:w="5000" w:type="pct"/>
          <w:tblLayout w:type="fixed"/>
          <w:tblLook w:val="04A0"/>
        </w:tblPrEx>
        <w:trPr>
          <w:trHeight w:val="299"/>
        </w:trPr>
        <w:tc>
          <w:tcPr>
            <w:tcW w:w="4370" w:type="pct"/>
            <w:gridSpan w:val="5"/>
            <w:vMerge/>
            <w:tcBorders>
              <w:top w:val="single" w:sz="4" w:space="0" w:color="auto"/>
              <w:left w:val="single" w:sz="4" w:space="0" w:color="auto"/>
              <w:bottom w:val="single" w:sz="4" w:space="0" w:color="auto"/>
              <w:right w:val="single" w:sz="4" w:space="0" w:color="auto"/>
            </w:tcBorders>
            <w:vAlign w:val="center"/>
            <w:hideMark/>
          </w:tcPr>
          <w:p w:rsidR="00943FD9" w:rsidRPr="00E938AB" w:rsidP="00E938AB" w14:paraId="3C2D1695" w14:textId="77777777">
            <w:pPr>
              <w:rPr>
                <w:rFonts w:ascii="Times New Roman" w:eastAsia="Times New Roman" w:hAnsi="Times New Roman" w:cs="Times New Roman"/>
                <w:b/>
                <w:bCs/>
                <w:color w:val="000000"/>
                <w:sz w:val="24"/>
                <w:szCs w:val="24"/>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rsidR="00943FD9" w:rsidRPr="00E938AB" w:rsidP="00E938AB" w14:paraId="28C81C16" w14:textId="77777777">
            <w:pPr>
              <w:rPr>
                <w:rFonts w:ascii="Times New Roman" w:eastAsia="Times New Roman" w:hAnsi="Times New Roman" w:cs="Times New Roman"/>
                <w:b/>
                <w:bCs/>
                <w:color w:val="000000"/>
                <w:sz w:val="24"/>
                <w:szCs w:val="24"/>
              </w:rPr>
            </w:pPr>
          </w:p>
        </w:tc>
      </w:tr>
    </w:tbl>
    <w:p w:rsidR="00BC7A43" w:rsidRPr="00E938AB" w:rsidP="00E938AB" w14:paraId="486B20A0" w14:textId="77777777">
      <w:pPr>
        <w:spacing w:after="120"/>
        <w:rPr>
          <w:rFonts w:ascii="Times New Roman" w:hAnsi="Times New Roman" w:cs="Times New Roman"/>
          <w:sz w:val="24"/>
          <w:szCs w:val="24"/>
        </w:rPr>
      </w:pPr>
      <w:r w:rsidRPr="00E938AB">
        <w:rPr>
          <w:rFonts w:ascii="Times New Roman" w:hAnsi="Times New Roman" w:cs="Times New Roman"/>
          <w:sz w:val="24"/>
          <w:szCs w:val="24"/>
          <w:vertAlign w:val="superscript"/>
        </w:rPr>
        <w:t>a</w:t>
      </w:r>
      <w:r w:rsidRPr="00E938AB">
        <w:rPr>
          <w:rFonts w:ascii="Times New Roman" w:hAnsi="Times New Roman" w:cs="Times New Roman"/>
          <w:sz w:val="24"/>
          <w:szCs w:val="24"/>
        </w:rPr>
        <w:t xml:space="preserve"> </w:t>
      </w:r>
      <w:r w:rsidRPr="00E938AB">
        <w:rPr>
          <w:rFonts w:ascii="Times New Roman" w:hAnsi="Times New Roman" w:cs="Times New Roman"/>
          <w:sz w:val="24"/>
          <w:szCs w:val="24"/>
        </w:rPr>
        <w:t>The</w:t>
      </w:r>
      <w:r w:rsidRPr="00E938AB">
        <w:rPr>
          <w:rFonts w:ascii="Times New Roman" w:hAnsi="Times New Roman" w:cs="Times New Roman"/>
          <w:sz w:val="24"/>
          <w:szCs w:val="24"/>
        </w:rPr>
        <w:t xml:space="preserve"> burden calculations in this table contemplate that the average number of FFAs per regulation issued is 50, each of which would require its own report, and would thereby incur the following burden hours per report: 16 (initial report), 2 (subsequent reports), and 1/12 (recordkeeping).</w:t>
      </w:r>
    </w:p>
    <w:p w:rsidR="00BC7A43" w:rsidRPr="00E938AB" w:rsidP="00E938AB" w14:paraId="50CF7949" w14:textId="77777777">
      <w:pPr>
        <w:spacing w:after="120"/>
        <w:rPr>
          <w:rFonts w:ascii="Times New Roman" w:hAnsi="Times New Roman" w:cs="Times New Roman"/>
          <w:sz w:val="24"/>
          <w:szCs w:val="24"/>
        </w:rPr>
      </w:pPr>
      <w:r w:rsidRPr="00E938AB">
        <w:rPr>
          <w:rFonts w:ascii="Times New Roman" w:hAnsi="Times New Roman" w:cs="Times New Roman"/>
          <w:sz w:val="24"/>
          <w:szCs w:val="24"/>
          <w:vertAlign w:val="superscript"/>
        </w:rPr>
        <w:t>b</w:t>
      </w:r>
      <w:r w:rsidRPr="00E938AB">
        <w:rPr>
          <w:rFonts w:ascii="Times New Roman" w:hAnsi="Times New Roman" w:cs="Times New Roman"/>
          <w:sz w:val="24"/>
          <w:szCs w:val="24"/>
        </w:rPr>
        <w:t xml:space="preserve"> </w:t>
      </w:r>
      <w:r w:rsidRPr="00E938AB">
        <w:rPr>
          <w:rFonts w:ascii="Times New Roman" w:hAnsi="Times New Roman" w:cs="Times New Roman"/>
          <w:sz w:val="24"/>
          <w:szCs w:val="24"/>
        </w:rPr>
        <w:t>The</w:t>
      </w:r>
      <w:r w:rsidRPr="00E938AB">
        <w:rPr>
          <w:rFonts w:ascii="Times New Roman" w:hAnsi="Times New Roman" w:cs="Times New Roman"/>
          <w:sz w:val="24"/>
          <w:szCs w:val="24"/>
        </w:rPr>
        <w:t xml:space="preserve"> filing of an initial report includes the applicable look back period and includes the burden associated with operationalizing the reporting format specified by FinCEN.</w:t>
      </w:r>
    </w:p>
    <w:p w:rsidR="00CA7948" w:rsidRPr="00E938AB" w:rsidP="00F01BF1" w14:paraId="60DDBF40" w14:textId="496C7425">
      <w:pPr>
        <w:rPr>
          <w:rFonts w:ascii="Times New Roman" w:hAnsi="Times New Roman" w:cs="Times New Roman"/>
          <w:sz w:val="24"/>
          <w:szCs w:val="24"/>
        </w:rPr>
      </w:pPr>
      <w:r w:rsidRPr="00E938AB">
        <w:rPr>
          <w:rFonts w:ascii="Times New Roman" w:hAnsi="Times New Roman" w:cs="Times New Roman"/>
          <w:sz w:val="24"/>
          <w:szCs w:val="24"/>
          <w:vertAlign w:val="superscript"/>
        </w:rPr>
        <w:t>c</w:t>
      </w:r>
      <w:r w:rsidRPr="00E938AB">
        <w:rPr>
          <w:rFonts w:ascii="Times New Roman" w:hAnsi="Times New Roman" w:cs="Times New Roman"/>
          <w:sz w:val="24"/>
          <w:szCs w:val="24"/>
        </w:rPr>
        <w:t xml:space="preserve"> Records associated with the reports produced in response to regulations issued pursuant to 31 CFR 1010.360 are subject to the requirements in 31 CFR 1010.430.</w:t>
      </w:r>
      <w:r w:rsidR="00F01BF1">
        <w:rPr>
          <w:rFonts w:ascii="Times New Roman" w:hAnsi="Times New Roman" w:cs="Times New Roman"/>
          <w:sz w:val="24"/>
          <w:szCs w:val="24"/>
        </w:rPr>
        <w:t xml:space="preserve">  </w:t>
      </w:r>
      <w:r w:rsidRPr="00E938AB">
        <w:rPr>
          <w:rFonts w:ascii="Times New Roman" w:hAnsi="Times New Roman" w:cs="Times New Roman"/>
          <w:sz w:val="24"/>
          <w:szCs w:val="24"/>
        </w:rPr>
        <w:t>Rounded to the nearest whole number (four) from approximately 4.2 (50 x 1/12 = ~ 4.167).</w:t>
      </w:r>
      <w:r>
        <w:rPr>
          <w:rFonts w:ascii="Times New Roman" w:hAnsi="Times New Roman" w:cs="Times New Roman"/>
          <w:sz w:val="24"/>
          <w:szCs w:val="24"/>
        </w:rPr>
        <w:pict>
          <v:rect id="_x0000_i1028" style="width:0;height:1.5pt" o:hralign="center" o:hrstd="t" o:hr="t" fillcolor="#a0a0a0" stroked="f"/>
        </w:pict>
      </w:r>
    </w:p>
    <w:p w:rsidR="00325141" w:rsidRPr="00A87019" w:rsidP="00E938AB" w14:paraId="2D639979" w14:textId="77777777">
      <w:pPr>
        <w:rPr>
          <w:rFonts w:ascii="Times New Roman" w:eastAsia="Times New Roman" w:hAnsi="Times New Roman" w:cs="Times New Roman"/>
          <w:sz w:val="24"/>
          <w:szCs w:val="24"/>
          <w:u w:val="single"/>
        </w:rPr>
      </w:pPr>
      <w:r w:rsidRPr="00A87019">
        <w:rPr>
          <w:rFonts w:ascii="Times New Roman" w:eastAsia="Times New Roman" w:hAnsi="Times New Roman" w:cs="Times New Roman"/>
          <w:sz w:val="24"/>
          <w:szCs w:val="24"/>
        </w:rPr>
        <w:t xml:space="preserve">13. </w:t>
      </w:r>
      <w:r w:rsidRPr="00A87019" w:rsidR="00D7025B">
        <w:rPr>
          <w:rFonts w:ascii="Times New Roman" w:eastAsia="Times New Roman" w:hAnsi="Times New Roman" w:cs="Times New Roman"/>
          <w:sz w:val="24"/>
          <w:szCs w:val="24"/>
          <w:u w:val="single"/>
        </w:rPr>
        <w:t xml:space="preserve">Estimated Total Annual </w:t>
      </w:r>
      <w:r w:rsidRPr="00A87019" w:rsidR="007337B3">
        <w:rPr>
          <w:rFonts w:ascii="Times New Roman" w:eastAsia="Times New Roman" w:hAnsi="Times New Roman" w:cs="Times New Roman"/>
          <w:sz w:val="24"/>
          <w:szCs w:val="24"/>
          <w:u w:val="single"/>
        </w:rPr>
        <w:t xml:space="preserve">Reporting and </w:t>
      </w:r>
      <w:r w:rsidRPr="00A87019" w:rsidR="00D7025B">
        <w:rPr>
          <w:rFonts w:ascii="Times New Roman" w:eastAsia="Times New Roman" w:hAnsi="Times New Roman" w:cs="Times New Roman"/>
          <w:sz w:val="24"/>
          <w:szCs w:val="24"/>
          <w:u w:val="single"/>
        </w:rPr>
        <w:t>Recordkeeping Cost</w:t>
      </w:r>
      <w:r w:rsidRPr="00A87019">
        <w:rPr>
          <w:rFonts w:ascii="Times New Roman" w:eastAsia="Times New Roman" w:hAnsi="Times New Roman" w:cs="Times New Roman"/>
          <w:sz w:val="24"/>
          <w:szCs w:val="24"/>
          <w:u w:val="single"/>
        </w:rPr>
        <w:t>.</w:t>
      </w:r>
    </w:p>
    <w:p w:rsidR="00325141" w:rsidRPr="00A87019" w:rsidP="00BF1000" w14:paraId="23CA7062" w14:textId="77777777">
      <w:pPr>
        <w:widowControl/>
        <w:rPr>
          <w:rFonts w:ascii="Times New Roman" w:eastAsia="Times New Roman" w:hAnsi="Times New Roman" w:cs="Times New Roman"/>
          <w:sz w:val="24"/>
          <w:szCs w:val="24"/>
          <w:u w:val="single"/>
        </w:rPr>
      </w:pPr>
    </w:p>
    <w:p w:rsidR="00817192" w:rsidRPr="00F01BF1" w:rsidP="00ED0117" w14:paraId="01407F7C" w14:textId="7BE3C175">
      <w:pPr>
        <w:widowControl/>
        <w:rPr>
          <w:rFonts w:ascii="Times New Roman" w:eastAsia="Times New Roman" w:hAnsi="Times New Roman" w:cs="Times New Roman"/>
          <w:b/>
          <w:sz w:val="24"/>
          <w:szCs w:val="24"/>
        </w:rPr>
      </w:pPr>
      <w:r w:rsidRPr="00A87019">
        <w:rPr>
          <w:rFonts w:ascii="Times New Roman" w:eastAsia="Times New Roman" w:hAnsi="Times New Roman" w:cs="Times New Roman"/>
          <w:sz w:val="24"/>
          <w:szCs w:val="24"/>
        </w:rPr>
        <w:tab/>
      </w:r>
      <w:r w:rsidRPr="00A87019" w:rsidR="00F55895">
        <w:rPr>
          <w:rFonts w:ascii="Times New Roman" w:eastAsia="Times New Roman" w:hAnsi="Times New Roman" w:cs="Times New Roman"/>
          <w:sz w:val="24"/>
          <w:szCs w:val="24"/>
        </w:rPr>
        <w:t>To estimate the costs associated with the annual PRA burden hours, FinCEN assigned a fully loaded composite hourly wage rate of $120.07,</w:t>
      </w:r>
      <w:r w:rsidRPr="00A87019" w:rsidR="00427E59">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rPr>
        <w:footnoteReference w:id="34"/>
      </w:r>
      <w:r w:rsidRPr="00A87019" w:rsidR="00427E59">
        <w:rPr>
          <w:rFonts w:ascii="Times New Roman" w:eastAsia="Times New Roman" w:hAnsi="Times New Roman" w:cs="Times New Roman"/>
          <w:sz w:val="24"/>
          <w:szCs w:val="24"/>
        </w:rPr>
        <w:t xml:space="preserve"> </w:t>
      </w:r>
      <w:r w:rsidRPr="00A87019" w:rsidR="00F55895">
        <w:rPr>
          <w:rFonts w:ascii="Times New Roman" w:eastAsia="Times New Roman" w:hAnsi="Times New Roman" w:cs="Times New Roman"/>
          <w:sz w:val="24"/>
          <w:szCs w:val="24"/>
        </w:rPr>
        <w:t>or rounded to the nearest dollar, $120.00</w:t>
      </w:r>
      <w:r w:rsidRPr="00A87019" w:rsidR="009B158E">
        <w:rPr>
          <w:rFonts w:ascii="Times New Roman" w:eastAsia="Times New Roman" w:hAnsi="Times New Roman" w:cs="Times New Roman"/>
          <w:sz w:val="24"/>
          <w:szCs w:val="24"/>
        </w:rPr>
        <w:t>,</w:t>
      </w:r>
      <w:r w:rsidRPr="00A87019" w:rsidR="00A56439">
        <w:rPr>
          <w:rFonts w:ascii="Times New Roman" w:eastAsia="Times New Roman" w:hAnsi="Times New Roman" w:cs="Times New Roman"/>
          <w:sz w:val="24"/>
          <w:szCs w:val="24"/>
        </w:rPr>
        <w:t xml:space="preserve"> </w:t>
      </w:r>
      <w:r w:rsidRPr="00A87019" w:rsidR="00F55895">
        <w:rPr>
          <w:rFonts w:ascii="Times New Roman" w:eastAsia="Times New Roman" w:hAnsi="Times New Roman" w:cs="Times New Roman"/>
          <w:sz w:val="24"/>
          <w:szCs w:val="24"/>
        </w:rPr>
        <w:t xml:space="preserve">to the total annual burden hours (40,500) described above. </w:t>
      </w:r>
      <w:r w:rsidRPr="00A87019" w:rsidR="000616A8">
        <w:rPr>
          <w:rFonts w:ascii="Times New Roman" w:eastAsia="Times New Roman" w:hAnsi="Times New Roman" w:cs="Times New Roman"/>
          <w:sz w:val="24"/>
          <w:szCs w:val="24"/>
        </w:rPr>
        <w:t xml:space="preserve"> </w:t>
      </w:r>
      <w:r w:rsidRPr="00A87019" w:rsidR="00D7025B">
        <w:rPr>
          <w:rFonts w:ascii="Times New Roman" w:eastAsia="Times New Roman" w:hAnsi="Times New Roman" w:cs="Times New Roman"/>
          <w:sz w:val="24"/>
          <w:szCs w:val="24"/>
        </w:rPr>
        <w:t xml:space="preserve">The estimated total annual PRA cost </w:t>
      </w:r>
      <w:r w:rsidRPr="00A87019" w:rsidR="007B6B93">
        <w:rPr>
          <w:rFonts w:ascii="Times New Roman" w:eastAsia="Times New Roman" w:hAnsi="Times New Roman" w:cs="Times New Roman"/>
          <w:sz w:val="24"/>
          <w:szCs w:val="24"/>
        </w:rPr>
        <w:t xml:space="preserve">of </w:t>
      </w:r>
      <w:r w:rsidRPr="00A87019" w:rsidR="00D7025B">
        <w:rPr>
          <w:rFonts w:ascii="Times New Roman" w:eastAsia="Times New Roman" w:hAnsi="Times New Roman" w:cs="Times New Roman"/>
          <w:sz w:val="24"/>
          <w:szCs w:val="24"/>
        </w:rPr>
        <w:t>$4,860,000</w:t>
      </w:r>
      <w:r w:rsidRPr="00A87019" w:rsidR="00733766">
        <w:rPr>
          <w:rFonts w:ascii="Times New Roman" w:eastAsia="Times New Roman" w:hAnsi="Times New Roman" w:cs="Times New Roman"/>
          <w:sz w:val="24"/>
          <w:szCs w:val="24"/>
        </w:rPr>
        <w:t xml:space="preserve"> is further described below </w:t>
      </w:r>
      <w:r w:rsidRPr="00A87019" w:rsidR="00D7025B">
        <w:rPr>
          <w:rFonts w:ascii="Times New Roman" w:eastAsia="Times New Roman" w:hAnsi="Times New Roman" w:cs="Times New Roman"/>
          <w:sz w:val="24"/>
          <w:szCs w:val="24"/>
        </w:rPr>
        <w:t xml:space="preserve">in </w:t>
      </w:r>
      <w:r w:rsidRPr="00A87019" w:rsidR="00FF51DA">
        <w:rPr>
          <w:rFonts w:ascii="Times New Roman" w:eastAsia="Times New Roman" w:hAnsi="Times New Roman" w:cs="Times New Roman"/>
          <w:sz w:val="24"/>
          <w:szCs w:val="24"/>
        </w:rPr>
        <w:t>T</w:t>
      </w:r>
      <w:r w:rsidRPr="00A87019" w:rsidR="00D7025B">
        <w:rPr>
          <w:rFonts w:ascii="Times New Roman" w:eastAsia="Times New Roman" w:hAnsi="Times New Roman" w:cs="Times New Roman"/>
          <w:sz w:val="24"/>
          <w:szCs w:val="24"/>
        </w:rPr>
        <w:t>able 3.</w:t>
      </w:r>
    </w:p>
    <w:p w:rsidR="00BF1000" w:rsidRPr="00817192" w:rsidP="00E938AB" w14:paraId="40CA9545" w14:textId="33012553">
      <w:pPr>
        <w:widowControl/>
        <w:rPr>
          <w:rFonts w:ascii="Times New Roman" w:eastAsia="Times New Roman" w:hAnsi="Times New Roman" w:cs="Times New Roman"/>
          <w:b/>
        </w:rPr>
      </w:pPr>
      <w:r>
        <w:rPr>
          <w:rFonts w:ascii="Times New Roman" w:hAnsi="Times New Roman" w:cs="Times New Roman"/>
          <w:sz w:val="24"/>
          <w:szCs w:val="24"/>
        </w:rPr>
        <w:pict>
          <v:rect id="_x0000_i1029" style="width:0;height:1.5pt" o:hralign="center" o:hrstd="t" o:hr="t" fillcolor="#a0a0a0" stroked="f"/>
        </w:pict>
      </w:r>
    </w:p>
    <w:p w:rsidR="00817192" w:rsidRPr="00E938AB" w:rsidP="00817192" w14:paraId="22677557" w14:textId="77777777">
      <w:pPr>
        <w:widowControl/>
        <w:rPr>
          <w:rFonts w:ascii="Times New Roman" w:eastAsia="Times New Roman" w:hAnsi="Times New Roman" w:cs="Times New Roman"/>
          <w:sz w:val="28"/>
          <w:szCs w:val="28"/>
        </w:rPr>
      </w:pPr>
      <w:r w:rsidRPr="00E938AB">
        <w:rPr>
          <w:rFonts w:ascii="Times New Roman" w:eastAsia="Times New Roman" w:hAnsi="Times New Roman" w:cs="Times New Roman"/>
          <w:b/>
          <w:sz w:val="24"/>
          <w:szCs w:val="24"/>
        </w:rPr>
        <w:t>Table 3. Estimated total cost of annual PRA burden</w:t>
      </w:r>
    </w:p>
    <w:tbl>
      <w:tblPr>
        <w:tblStyle w:val="TableGrid"/>
        <w:tblW w:w="5000" w:type="pct"/>
        <w:tblLook w:val="04A0"/>
      </w:tblPr>
      <w:tblGrid>
        <w:gridCol w:w="4333"/>
        <w:gridCol w:w="1421"/>
        <w:gridCol w:w="1326"/>
        <w:gridCol w:w="2270"/>
      </w:tblGrid>
      <w:tr w14:paraId="42E150BE" w14:textId="77777777" w:rsidTr="00E938AB">
        <w:tblPrEx>
          <w:tblW w:w="5000" w:type="pct"/>
          <w:tblLook w:val="04A0"/>
        </w:tblPrEx>
        <w:trPr>
          <w:tblHeader/>
        </w:trPr>
        <w:tc>
          <w:tcPr>
            <w:tcW w:w="2317" w:type="pct"/>
            <w:shd w:val="clear" w:color="auto" w:fill="F2F2F2" w:themeFill="background1" w:themeFillShade="F2"/>
            <w:vAlign w:val="center"/>
          </w:tcPr>
          <w:p w:rsidR="00817192" w:rsidRPr="00E938AB" w:rsidP="71E559B3" w14:paraId="760D5468" w14:textId="2C896389">
            <w:pPr>
              <w:jc w:val="center"/>
              <w:rPr>
                <w:rFonts w:ascii="Times New Roman" w:eastAsia="Calibri" w:hAnsi="Times New Roman" w:cs="Times New Roman"/>
                <w:b/>
                <w:bCs/>
                <w:sz w:val="24"/>
                <w:szCs w:val="24"/>
                <w:lang w:val="en-US"/>
              </w:rPr>
            </w:pPr>
            <w:r w:rsidRPr="00FB61ED">
              <w:rPr>
                <w:rFonts w:ascii="Times New Roman" w:eastAsia="Calibri" w:hAnsi="Times New Roman" w:cs="Times New Roman"/>
                <w:b/>
                <w:sz w:val="24"/>
                <w:szCs w:val="24"/>
                <w:lang w:val="en-US"/>
              </w:rPr>
              <w:t>Activity</w:t>
            </w:r>
            <w:r w:rsidRPr="00FB61ED" w:rsidR="7942A87B">
              <w:rPr>
                <w:rFonts w:ascii="Times New Roman" w:eastAsia="Calibri" w:hAnsi="Times New Roman" w:cs="Times New Roman"/>
                <w:b/>
                <w:sz w:val="24"/>
                <w:szCs w:val="24"/>
                <w:vertAlign w:val="superscript"/>
                <w:lang w:val="en-US"/>
              </w:rPr>
              <w:t>a</w:t>
            </w:r>
          </w:p>
        </w:tc>
        <w:tc>
          <w:tcPr>
            <w:tcW w:w="760" w:type="pct"/>
            <w:shd w:val="clear" w:color="auto" w:fill="F2F2F2" w:themeFill="background1" w:themeFillShade="F2"/>
          </w:tcPr>
          <w:p w:rsidR="00817192" w:rsidRPr="00E938AB" w:rsidP="00817192" w14:paraId="786C2243" w14:textId="77777777">
            <w:pPr>
              <w:jc w:val="center"/>
              <w:rPr>
                <w:rFonts w:ascii="Times New Roman" w:eastAsia="Calibri" w:hAnsi="Times New Roman" w:cs="Times New Roman"/>
                <w:b/>
                <w:sz w:val="24"/>
                <w:szCs w:val="24"/>
                <w:lang w:val="en-US"/>
              </w:rPr>
            </w:pPr>
            <w:r w:rsidRPr="00FB61ED">
              <w:rPr>
                <w:rFonts w:ascii="Times New Roman" w:eastAsia="Calibri" w:hAnsi="Times New Roman" w:cs="Times New Roman"/>
                <w:b/>
                <w:sz w:val="24"/>
                <w:szCs w:val="24"/>
                <w:lang w:val="en-US"/>
              </w:rPr>
              <w:t>Burden hours</w:t>
            </w:r>
          </w:p>
        </w:tc>
        <w:tc>
          <w:tcPr>
            <w:tcW w:w="709" w:type="pct"/>
            <w:shd w:val="clear" w:color="auto" w:fill="F2F2F2" w:themeFill="background1" w:themeFillShade="F2"/>
            <w:vAlign w:val="center"/>
          </w:tcPr>
          <w:p w:rsidR="00817192" w:rsidRPr="00E938AB" w:rsidP="00817192" w14:paraId="676B4BF7" w14:textId="77777777">
            <w:pPr>
              <w:jc w:val="center"/>
              <w:rPr>
                <w:rFonts w:ascii="Times New Roman" w:eastAsia="Calibri" w:hAnsi="Times New Roman" w:cs="Times New Roman"/>
                <w:b/>
                <w:sz w:val="24"/>
                <w:szCs w:val="24"/>
                <w:lang w:val="en-US"/>
              </w:rPr>
            </w:pPr>
            <w:r w:rsidRPr="00FB61ED">
              <w:rPr>
                <w:rFonts w:ascii="Times New Roman" w:eastAsia="Calibri" w:hAnsi="Times New Roman" w:cs="Times New Roman"/>
                <w:b/>
                <w:sz w:val="24"/>
                <w:szCs w:val="24"/>
                <w:lang w:val="en-US"/>
              </w:rPr>
              <w:t>Wage rate</w:t>
            </w:r>
          </w:p>
        </w:tc>
        <w:tc>
          <w:tcPr>
            <w:tcW w:w="1214" w:type="pct"/>
            <w:shd w:val="clear" w:color="auto" w:fill="F2F2F2" w:themeFill="background1" w:themeFillShade="F2"/>
            <w:vAlign w:val="center"/>
          </w:tcPr>
          <w:p w:rsidR="00817192" w:rsidRPr="00E938AB" w:rsidP="00817192" w14:paraId="1A4E24AA" w14:textId="77777777">
            <w:pPr>
              <w:jc w:val="center"/>
              <w:rPr>
                <w:rFonts w:ascii="Times New Roman" w:eastAsia="Calibri" w:hAnsi="Times New Roman" w:cs="Times New Roman"/>
                <w:b/>
                <w:sz w:val="24"/>
                <w:szCs w:val="24"/>
                <w:lang w:val="en-US"/>
              </w:rPr>
            </w:pPr>
            <w:r w:rsidRPr="00FB61ED">
              <w:rPr>
                <w:rFonts w:ascii="Times New Roman" w:eastAsia="Calibri" w:hAnsi="Times New Roman" w:cs="Times New Roman"/>
                <w:b/>
                <w:sz w:val="24"/>
                <w:szCs w:val="24"/>
                <w:lang w:val="en-US"/>
              </w:rPr>
              <w:t>Total cost</w:t>
            </w:r>
          </w:p>
        </w:tc>
      </w:tr>
      <w:tr w14:paraId="5145832F" w14:textId="77777777" w:rsidTr="00E938AB">
        <w:tblPrEx>
          <w:tblW w:w="5000" w:type="pct"/>
          <w:tblLook w:val="04A0"/>
        </w:tblPrEx>
        <w:trPr>
          <w:trHeight w:val="339"/>
        </w:trPr>
        <w:tc>
          <w:tcPr>
            <w:tcW w:w="2317" w:type="pct"/>
            <w:vAlign w:val="center"/>
          </w:tcPr>
          <w:p w:rsidR="00817192" w:rsidRPr="00E938AB" w:rsidP="00817192" w14:paraId="58E371B2" w14:textId="77777777">
            <w:pPr>
              <w:rPr>
                <w:rFonts w:ascii="Times New Roman" w:eastAsia="Calibri" w:hAnsi="Times New Roman" w:cs="Times New Roman"/>
                <w:sz w:val="24"/>
                <w:szCs w:val="24"/>
                <w:lang w:val="en-US"/>
              </w:rPr>
            </w:pPr>
            <w:r w:rsidRPr="00FB61ED">
              <w:rPr>
                <w:rFonts w:ascii="Times New Roman" w:eastAsia="Calibri" w:hAnsi="Times New Roman" w:cs="Times New Roman"/>
                <w:sz w:val="24"/>
                <w:szCs w:val="24"/>
                <w:lang w:val="en-US"/>
              </w:rPr>
              <w:t xml:space="preserve">Filing initial reports of certain transactions with designated FFAs </w:t>
            </w:r>
          </w:p>
        </w:tc>
        <w:tc>
          <w:tcPr>
            <w:tcW w:w="760" w:type="pct"/>
            <w:vAlign w:val="center"/>
          </w:tcPr>
          <w:p w:rsidR="00817192" w:rsidRPr="00E938AB" w:rsidP="00ED0117" w14:paraId="288DB05A" w14:textId="77777777">
            <w:pPr>
              <w:jc w:val="right"/>
              <w:rPr>
                <w:rFonts w:ascii="Times New Roman" w:eastAsia="Calibri" w:hAnsi="Times New Roman" w:cs="Times New Roman"/>
                <w:sz w:val="24"/>
                <w:szCs w:val="24"/>
                <w:lang w:val="en-US"/>
              </w:rPr>
            </w:pPr>
            <w:r w:rsidRPr="00FB61ED">
              <w:rPr>
                <w:rFonts w:ascii="Times New Roman" w:eastAsia="Calibri" w:hAnsi="Times New Roman" w:cs="Times New Roman"/>
                <w:sz w:val="24"/>
                <w:szCs w:val="24"/>
                <w:lang w:val="en-US"/>
              </w:rPr>
              <w:t>32,000</w:t>
            </w:r>
          </w:p>
        </w:tc>
        <w:tc>
          <w:tcPr>
            <w:tcW w:w="709" w:type="pct"/>
            <w:vMerge w:val="restart"/>
            <w:vAlign w:val="center"/>
          </w:tcPr>
          <w:p w:rsidR="00817192" w:rsidRPr="00E938AB" w:rsidP="00ED0117" w14:paraId="5EB33BBE" w14:textId="77777777">
            <w:pPr>
              <w:jc w:val="center"/>
              <w:rPr>
                <w:rFonts w:ascii="Times New Roman" w:eastAsia="Calibri" w:hAnsi="Times New Roman" w:cs="Times New Roman"/>
                <w:sz w:val="24"/>
                <w:szCs w:val="24"/>
                <w:lang w:val="en-US"/>
              </w:rPr>
            </w:pPr>
            <w:r w:rsidRPr="00FB61ED">
              <w:rPr>
                <w:rFonts w:ascii="Times New Roman" w:eastAsia="Calibri" w:hAnsi="Times New Roman" w:cs="Times New Roman"/>
                <w:sz w:val="24"/>
                <w:szCs w:val="24"/>
                <w:lang w:val="en-US"/>
              </w:rPr>
              <w:t>$120</w:t>
            </w:r>
          </w:p>
        </w:tc>
        <w:tc>
          <w:tcPr>
            <w:tcW w:w="1214" w:type="pct"/>
            <w:vAlign w:val="center"/>
          </w:tcPr>
          <w:p w:rsidR="00817192" w:rsidRPr="00E938AB" w:rsidP="00817192" w14:paraId="1D07DA11" w14:textId="77777777">
            <w:pPr>
              <w:jc w:val="right"/>
              <w:rPr>
                <w:rFonts w:ascii="Times New Roman" w:eastAsia="Calibri" w:hAnsi="Times New Roman" w:cs="Times New Roman"/>
                <w:sz w:val="24"/>
                <w:szCs w:val="24"/>
                <w:lang w:val="en-US"/>
              </w:rPr>
            </w:pPr>
            <w:r w:rsidRPr="00FB61ED">
              <w:rPr>
                <w:rFonts w:ascii="Times New Roman" w:eastAsia="Calibri" w:hAnsi="Times New Roman" w:cs="Times New Roman"/>
                <w:sz w:val="24"/>
                <w:szCs w:val="24"/>
                <w:lang w:val="en-US"/>
              </w:rPr>
              <w:t>$3,840,000</w:t>
            </w:r>
          </w:p>
        </w:tc>
      </w:tr>
      <w:tr w14:paraId="5C5E629B" w14:textId="77777777" w:rsidTr="00E938AB">
        <w:tblPrEx>
          <w:tblW w:w="5000" w:type="pct"/>
          <w:tblLook w:val="04A0"/>
        </w:tblPrEx>
        <w:trPr>
          <w:trHeight w:val="339"/>
        </w:trPr>
        <w:tc>
          <w:tcPr>
            <w:tcW w:w="2317" w:type="pct"/>
            <w:vAlign w:val="center"/>
          </w:tcPr>
          <w:p w:rsidR="00817192" w:rsidRPr="00E938AB" w:rsidP="00817192" w14:paraId="72C68713" w14:textId="77777777">
            <w:pPr>
              <w:rPr>
                <w:rFonts w:ascii="Times New Roman" w:eastAsia="Calibri" w:hAnsi="Times New Roman" w:cs="Times New Roman"/>
                <w:sz w:val="24"/>
                <w:szCs w:val="24"/>
                <w:lang w:val="en-US"/>
              </w:rPr>
            </w:pPr>
            <w:r w:rsidRPr="00FB61ED">
              <w:rPr>
                <w:rFonts w:ascii="Times New Roman" w:eastAsia="Calibri" w:hAnsi="Times New Roman" w:cs="Times New Roman"/>
                <w:sz w:val="24"/>
                <w:szCs w:val="24"/>
                <w:lang w:val="en-US"/>
              </w:rPr>
              <w:t>Filing</w:t>
            </w:r>
            <w:r w:rsidRPr="00FB61ED">
              <w:rPr>
                <w:rFonts w:ascii="Times New Roman" w:eastAsia="Calibri" w:hAnsi="Times New Roman" w:cs="Times New Roman"/>
                <w:sz w:val="24"/>
                <w:szCs w:val="24"/>
                <w:lang w:val="en-US"/>
              </w:rPr>
              <w:t xml:space="preserve"> subsequent reports of certain transactions with designated FFAs</w:t>
            </w:r>
          </w:p>
        </w:tc>
        <w:tc>
          <w:tcPr>
            <w:tcW w:w="760" w:type="pct"/>
            <w:vAlign w:val="center"/>
          </w:tcPr>
          <w:p w:rsidR="00817192" w:rsidRPr="00E938AB" w:rsidP="00ED0117" w14:paraId="4538DE69" w14:textId="77777777">
            <w:pPr>
              <w:jc w:val="right"/>
              <w:rPr>
                <w:rFonts w:ascii="Times New Roman" w:eastAsia="Calibri" w:hAnsi="Times New Roman" w:cs="Times New Roman"/>
                <w:sz w:val="24"/>
                <w:szCs w:val="24"/>
                <w:lang w:val="en-US"/>
              </w:rPr>
            </w:pPr>
            <w:r w:rsidRPr="00FB61ED">
              <w:rPr>
                <w:rFonts w:ascii="Times New Roman" w:eastAsia="Calibri" w:hAnsi="Times New Roman" w:cs="Times New Roman"/>
                <w:sz w:val="24"/>
                <w:szCs w:val="24"/>
                <w:lang w:val="en-US"/>
              </w:rPr>
              <w:t>8,000</w:t>
            </w:r>
          </w:p>
        </w:tc>
        <w:tc>
          <w:tcPr>
            <w:tcW w:w="709" w:type="pct"/>
            <w:vMerge/>
            <w:vAlign w:val="center"/>
          </w:tcPr>
          <w:p w:rsidR="00817192" w:rsidRPr="00E938AB" w:rsidP="00817192" w14:paraId="31B93B63" w14:textId="77777777">
            <w:pPr>
              <w:rPr>
                <w:rFonts w:ascii="Times New Roman" w:eastAsia="Calibri" w:hAnsi="Times New Roman" w:cs="Times New Roman"/>
                <w:sz w:val="24"/>
                <w:szCs w:val="24"/>
                <w:lang w:val="en-US"/>
              </w:rPr>
            </w:pPr>
          </w:p>
        </w:tc>
        <w:tc>
          <w:tcPr>
            <w:tcW w:w="1214" w:type="pct"/>
            <w:vAlign w:val="center"/>
          </w:tcPr>
          <w:p w:rsidR="00817192" w:rsidRPr="00E938AB" w:rsidP="00817192" w14:paraId="2A280541" w14:textId="77777777">
            <w:pPr>
              <w:jc w:val="right"/>
              <w:rPr>
                <w:rFonts w:ascii="Times New Roman" w:eastAsia="Calibri" w:hAnsi="Times New Roman" w:cs="Times New Roman"/>
                <w:sz w:val="24"/>
                <w:szCs w:val="24"/>
                <w:lang w:val="en-US"/>
              </w:rPr>
            </w:pPr>
            <w:r w:rsidRPr="00FB61ED">
              <w:rPr>
                <w:rFonts w:ascii="Times New Roman" w:eastAsia="Calibri" w:hAnsi="Times New Roman" w:cs="Times New Roman"/>
                <w:sz w:val="24"/>
                <w:szCs w:val="24"/>
                <w:lang w:val="en-US"/>
              </w:rPr>
              <w:t>$960,000</w:t>
            </w:r>
          </w:p>
        </w:tc>
      </w:tr>
      <w:tr w14:paraId="192775C5" w14:textId="77777777" w:rsidTr="00E938AB">
        <w:tblPrEx>
          <w:tblW w:w="5000" w:type="pct"/>
          <w:tblLook w:val="04A0"/>
        </w:tblPrEx>
        <w:trPr>
          <w:trHeight w:val="339"/>
        </w:trPr>
        <w:tc>
          <w:tcPr>
            <w:tcW w:w="2317" w:type="pct"/>
            <w:tcBorders>
              <w:bottom w:val="single" w:sz="4" w:space="0" w:color="auto"/>
            </w:tcBorders>
            <w:vAlign w:val="center"/>
          </w:tcPr>
          <w:p w:rsidR="00817192" w:rsidRPr="00E938AB" w:rsidP="00817192" w14:paraId="2BF9C5E7" w14:textId="77777777">
            <w:pPr>
              <w:rPr>
                <w:rFonts w:ascii="Times New Roman" w:eastAsia="Calibri" w:hAnsi="Times New Roman" w:cs="Times New Roman"/>
                <w:sz w:val="24"/>
                <w:szCs w:val="24"/>
                <w:lang w:val="en-US"/>
              </w:rPr>
            </w:pPr>
            <w:r w:rsidRPr="00FB61ED">
              <w:rPr>
                <w:rFonts w:ascii="Times New Roman" w:eastAsia="Calibri" w:hAnsi="Times New Roman" w:cs="Times New Roman"/>
                <w:sz w:val="24"/>
                <w:szCs w:val="24"/>
                <w:lang w:val="en-US"/>
              </w:rPr>
              <w:t xml:space="preserve">Complying with the recordkeeping requirements in 31 CFR 1010.430 </w:t>
            </w:r>
          </w:p>
        </w:tc>
        <w:tc>
          <w:tcPr>
            <w:tcW w:w="760" w:type="pct"/>
            <w:tcBorders>
              <w:bottom w:val="single" w:sz="4" w:space="0" w:color="auto"/>
            </w:tcBorders>
            <w:vAlign w:val="center"/>
          </w:tcPr>
          <w:p w:rsidR="00817192" w:rsidRPr="00E938AB" w:rsidP="00ED0117" w14:paraId="2829F07B" w14:textId="77777777">
            <w:pPr>
              <w:jc w:val="right"/>
              <w:rPr>
                <w:rFonts w:ascii="Times New Roman" w:eastAsia="Calibri" w:hAnsi="Times New Roman" w:cs="Times New Roman"/>
                <w:sz w:val="24"/>
                <w:szCs w:val="24"/>
                <w:lang w:val="en-US"/>
              </w:rPr>
            </w:pPr>
            <w:r w:rsidRPr="00FB61ED">
              <w:rPr>
                <w:rFonts w:ascii="Times New Roman" w:eastAsia="Calibri" w:hAnsi="Times New Roman" w:cs="Times New Roman"/>
                <w:sz w:val="24"/>
                <w:szCs w:val="24"/>
                <w:lang w:val="en-US"/>
              </w:rPr>
              <w:t>500</w:t>
            </w:r>
          </w:p>
        </w:tc>
        <w:tc>
          <w:tcPr>
            <w:tcW w:w="709" w:type="pct"/>
            <w:vMerge/>
            <w:vAlign w:val="center"/>
          </w:tcPr>
          <w:p w:rsidR="00817192" w:rsidRPr="00E938AB" w:rsidP="00817192" w14:paraId="6BFB760C" w14:textId="77777777">
            <w:pPr>
              <w:jc w:val="center"/>
              <w:rPr>
                <w:rFonts w:ascii="Times New Roman" w:eastAsia="Calibri" w:hAnsi="Times New Roman" w:cs="Times New Roman"/>
                <w:sz w:val="24"/>
                <w:szCs w:val="24"/>
                <w:lang w:val="en-US"/>
              </w:rPr>
            </w:pPr>
          </w:p>
        </w:tc>
        <w:tc>
          <w:tcPr>
            <w:tcW w:w="1214" w:type="pct"/>
            <w:tcBorders>
              <w:bottom w:val="single" w:sz="4" w:space="0" w:color="auto"/>
            </w:tcBorders>
            <w:vAlign w:val="center"/>
          </w:tcPr>
          <w:p w:rsidR="00817192" w:rsidRPr="00E938AB" w:rsidP="00817192" w14:paraId="28ECA29F" w14:textId="77777777">
            <w:pPr>
              <w:jc w:val="right"/>
              <w:rPr>
                <w:rFonts w:ascii="Times New Roman" w:eastAsia="Calibri" w:hAnsi="Times New Roman" w:cs="Times New Roman"/>
                <w:sz w:val="24"/>
                <w:szCs w:val="24"/>
                <w:lang w:val="en-US"/>
              </w:rPr>
            </w:pPr>
            <w:r w:rsidRPr="00FB61ED">
              <w:rPr>
                <w:rFonts w:ascii="Times New Roman" w:eastAsia="Calibri" w:hAnsi="Times New Roman" w:cs="Times New Roman"/>
                <w:sz w:val="24"/>
                <w:szCs w:val="24"/>
                <w:lang w:val="en-US"/>
              </w:rPr>
              <w:t>$60,000</w:t>
            </w:r>
          </w:p>
        </w:tc>
      </w:tr>
      <w:tr w14:paraId="20DEA15A" w14:textId="77777777" w:rsidTr="00E938AB">
        <w:tblPrEx>
          <w:tblW w:w="5000" w:type="pct"/>
          <w:tblLook w:val="04A0"/>
        </w:tblPrEx>
        <w:trPr>
          <w:trHeight w:val="339"/>
        </w:trPr>
        <w:tc>
          <w:tcPr>
            <w:tcW w:w="3786" w:type="pct"/>
            <w:gridSpan w:val="3"/>
            <w:tcBorders>
              <w:bottom w:val="single" w:sz="4" w:space="0" w:color="auto"/>
            </w:tcBorders>
          </w:tcPr>
          <w:p w:rsidR="00817192" w:rsidRPr="00E938AB" w:rsidP="00817192" w14:paraId="19DDCF66" w14:textId="77777777">
            <w:pPr>
              <w:rPr>
                <w:rFonts w:ascii="Times New Roman" w:eastAsia="Calibri" w:hAnsi="Times New Roman" w:cs="Times New Roman"/>
                <w:b/>
                <w:sz w:val="24"/>
                <w:szCs w:val="24"/>
                <w:lang w:val="en-US"/>
              </w:rPr>
            </w:pPr>
            <w:r w:rsidRPr="00FB61ED">
              <w:rPr>
                <w:rFonts w:ascii="Times New Roman" w:eastAsia="Calibri" w:hAnsi="Times New Roman" w:cs="Times New Roman"/>
                <w:b/>
                <w:sz w:val="24"/>
                <w:szCs w:val="24"/>
                <w:lang w:val="en-US"/>
              </w:rPr>
              <w:t>Total annual cost</w:t>
            </w:r>
          </w:p>
        </w:tc>
        <w:tc>
          <w:tcPr>
            <w:tcW w:w="1214" w:type="pct"/>
            <w:tcBorders>
              <w:bottom w:val="single" w:sz="4" w:space="0" w:color="auto"/>
            </w:tcBorders>
            <w:vAlign w:val="center"/>
          </w:tcPr>
          <w:p w:rsidR="00817192" w:rsidRPr="00E938AB" w:rsidP="00817192" w14:paraId="6D6A44CF" w14:textId="77777777">
            <w:pPr>
              <w:jc w:val="right"/>
              <w:rPr>
                <w:rFonts w:ascii="Times New Roman" w:eastAsia="Calibri" w:hAnsi="Times New Roman" w:cs="Times New Roman"/>
                <w:b/>
                <w:sz w:val="24"/>
                <w:szCs w:val="24"/>
                <w:lang w:val="en-US"/>
              </w:rPr>
            </w:pPr>
            <w:r w:rsidRPr="00FB61ED">
              <w:rPr>
                <w:rFonts w:ascii="Times New Roman" w:eastAsia="Calibri" w:hAnsi="Times New Roman" w:cs="Times New Roman"/>
                <w:b/>
                <w:sz w:val="24"/>
                <w:szCs w:val="24"/>
                <w:lang w:val="en-US"/>
              </w:rPr>
              <w:t>$4,860,000</w:t>
            </w:r>
          </w:p>
        </w:tc>
      </w:tr>
    </w:tbl>
    <w:p w:rsidR="00CA7948" w:rsidRPr="00E938AB" w:rsidP="00817192" w14:paraId="00A87C44" w14:textId="77777777">
      <w:pPr>
        <w:rPr>
          <w:rFonts w:ascii="Times New Roman" w:eastAsia="Calibri" w:hAnsi="Times New Roman" w:cs="Times New Roman"/>
          <w:bCs/>
          <w:sz w:val="24"/>
          <w:szCs w:val="24"/>
        </w:rPr>
      </w:pPr>
    </w:p>
    <w:p w:rsidR="00CA7948" w:rsidRPr="00E92FAD" w:rsidP="00E938AB" w14:paraId="1C9401E9" w14:textId="4AADD8F9">
      <w:pPr>
        <w:spacing w:after="120"/>
        <w:rPr>
          <w:rFonts w:ascii="Times New Roman" w:eastAsia="Calibri" w:hAnsi="Times New Roman" w:cs="Times New Roman"/>
          <w:bCs/>
          <w:sz w:val="24"/>
          <w:szCs w:val="24"/>
        </w:rPr>
      </w:pPr>
      <w:r w:rsidRPr="00E92FAD">
        <w:rPr>
          <w:rFonts w:ascii="Times New Roman" w:eastAsia="Calibri" w:hAnsi="Times New Roman" w:cs="Times New Roman"/>
          <w:bCs/>
          <w:sz w:val="24"/>
          <w:szCs w:val="24"/>
          <w:vertAlign w:val="superscript"/>
        </w:rPr>
        <w:t>a</w:t>
      </w:r>
      <w:r w:rsidRPr="00E92FAD">
        <w:rPr>
          <w:rFonts w:ascii="Times New Roman" w:eastAsia="Calibri" w:hAnsi="Times New Roman" w:cs="Times New Roman"/>
          <w:bCs/>
          <w:sz w:val="24"/>
          <w:szCs w:val="24"/>
        </w:rPr>
        <w:t xml:space="preserve"> </w:t>
      </w:r>
      <w:r w:rsidRPr="00E92FAD">
        <w:rPr>
          <w:rFonts w:ascii="Times New Roman" w:eastAsia="Calibri" w:hAnsi="Times New Roman" w:cs="Times New Roman"/>
          <w:bCs/>
          <w:i/>
          <w:iCs/>
          <w:sz w:val="24"/>
          <w:szCs w:val="24"/>
        </w:rPr>
        <w:t>See</w:t>
      </w:r>
      <w:r w:rsidRPr="00E92FAD">
        <w:rPr>
          <w:rFonts w:ascii="Times New Roman" w:eastAsia="Calibri" w:hAnsi="Times New Roman" w:cs="Times New Roman"/>
          <w:bCs/>
          <w:i/>
          <w:iCs/>
          <w:sz w:val="24"/>
          <w:szCs w:val="24"/>
        </w:rPr>
        <w:t xml:space="preserve"> </w:t>
      </w:r>
      <w:r w:rsidRPr="00E92FAD">
        <w:rPr>
          <w:rFonts w:ascii="Times New Roman" w:eastAsia="Calibri" w:hAnsi="Times New Roman" w:cs="Times New Roman"/>
          <w:bCs/>
          <w:sz w:val="24"/>
          <w:szCs w:val="24"/>
        </w:rPr>
        <w:t xml:space="preserve">respective activities in </w:t>
      </w:r>
      <w:r w:rsidR="00101C54">
        <w:rPr>
          <w:rFonts w:ascii="Times New Roman" w:eastAsia="Calibri" w:hAnsi="Times New Roman" w:cs="Times New Roman"/>
          <w:bCs/>
          <w:sz w:val="24"/>
          <w:szCs w:val="24"/>
        </w:rPr>
        <w:t>T</w:t>
      </w:r>
      <w:r w:rsidRPr="00E92FAD">
        <w:rPr>
          <w:rFonts w:ascii="Times New Roman" w:eastAsia="Calibri" w:hAnsi="Times New Roman" w:cs="Times New Roman"/>
          <w:bCs/>
          <w:sz w:val="24"/>
          <w:szCs w:val="24"/>
        </w:rPr>
        <w:t>able 2.</w:t>
      </w:r>
    </w:p>
    <w:p w:rsidR="00EB1B35" w:rsidP="00E938AB" w14:paraId="638E1AEA" w14:textId="31C9799B">
      <w:pPr>
        <w:pStyle w:val="BodyText"/>
        <w:spacing w:after="120"/>
        <w:ind w:left="0"/>
        <w:rPr>
          <w:rFonts w:cs="Times New Roman"/>
          <w:sz w:val="24"/>
          <w:szCs w:val="24"/>
        </w:rPr>
      </w:pPr>
      <w:r>
        <w:rPr>
          <w:rFonts w:cs="Times New Roman"/>
          <w:sz w:val="24"/>
          <w:szCs w:val="24"/>
        </w:rPr>
        <w:pict>
          <v:rect id="_x0000_i1030" style="width:0;height:1.5pt" o:hralign="center" o:hrstd="t" o:hr="t" fillcolor="#a0a0a0" stroked="f"/>
        </w:pict>
      </w:r>
    </w:p>
    <w:p w:rsidR="003B0AEB" w:rsidRPr="00A87019" w:rsidP="00CA7948" w14:paraId="5D809B3C" w14:textId="1D7BEE1A">
      <w:pPr>
        <w:pStyle w:val="PlainText"/>
        <w:tabs>
          <w:tab w:val="left" w:pos="720"/>
          <w:tab w:val="left" w:pos="2505"/>
        </w:tabs>
        <w:rPr>
          <w:rFonts w:ascii="Times New Roman" w:hAnsi="Times New Roman" w:cs="Times New Roman"/>
          <w:sz w:val="24"/>
          <w:szCs w:val="24"/>
        </w:rPr>
      </w:pPr>
      <w:r>
        <w:rPr>
          <w:rFonts w:ascii="Times New Roman" w:hAnsi="Times New Roman" w:cs="Times New Roman"/>
          <w:sz w:val="24"/>
          <w:szCs w:val="24"/>
        </w:rPr>
        <w:tab/>
      </w:r>
      <w:r w:rsidRPr="00A87019" w:rsidR="00ED0117">
        <w:rPr>
          <w:rFonts w:ascii="Times New Roman" w:hAnsi="Times New Roman" w:cs="Times New Roman"/>
          <w:sz w:val="24"/>
          <w:szCs w:val="24"/>
        </w:rPr>
        <w:t xml:space="preserve">While there </w:t>
      </w:r>
      <w:r w:rsidRPr="00A87019" w:rsidR="00ED0117">
        <w:rPr>
          <w:rFonts w:ascii="Times New Roman" w:hAnsi="Times New Roman" w:cs="Times New Roman"/>
          <w:sz w:val="24"/>
          <w:szCs w:val="24"/>
        </w:rPr>
        <w:t>were</w:t>
      </w:r>
      <w:r w:rsidRPr="00A87019" w:rsidR="00ED0117">
        <w:rPr>
          <w:rFonts w:ascii="Times New Roman" w:hAnsi="Times New Roman" w:cs="Times New Roman"/>
          <w:sz w:val="24"/>
          <w:szCs w:val="24"/>
        </w:rPr>
        <w:t xml:space="preserve"> no non-labor costs associated with this collection of information in the 60-day notice, FinCEN requested comment on the appropriateness of revising its burden estimates to account for expected technology costs. </w:t>
      </w:r>
      <w:r w:rsidRPr="00A87019" w:rsidR="00E73672">
        <w:rPr>
          <w:rFonts w:ascii="Times New Roman" w:hAnsi="Times New Roman" w:cs="Times New Roman"/>
          <w:sz w:val="24"/>
          <w:szCs w:val="24"/>
        </w:rPr>
        <w:t xml:space="preserve"> </w:t>
      </w:r>
      <w:r w:rsidRPr="00A87019" w:rsidR="00ED0117">
        <w:rPr>
          <w:rFonts w:ascii="Times New Roman" w:hAnsi="Times New Roman" w:cs="Times New Roman"/>
          <w:sz w:val="24"/>
          <w:szCs w:val="24"/>
        </w:rPr>
        <w:t xml:space="preserve">FinCEN did not receive responsive comments to this </w:t>
      </w:r>
      <w:r w:rsidRPr="00A87019" w:rsidR="00ED0117">
        <w:rPr>
          <w:rFonts w:ascii="Times New Roman" w:hAnsi="Times New Roman" w:cs="Times New Roman"/>
          <w:sz w:val="24"/>
          <w:szCs w:val="24"/>
        </w:rPr>
        <w:t>request, and</w:t>
      </w:r>
      <w:r w:rsidRPr="00A87019" w:rsidR="00ED0117">
        <w:rPr>
          <w:rFonts w:ascii="Times New Roman" w:hAnsi="Times New Roman" w:cs="Times New Roman"/>
          <w:sz w:val="24"/>
          <w:szCs w:val="24"/>
        </w:rPr>
        <w:t xml:space="preserve"> is therefore continuing to omit non-labor costs from its PRA burden estimates.</w:t>
      </w:r>
    </w:p>
    <w:p w:rsidR="00CA7948" w:rsidRPr="00F01BF1" w:rsidP="00E938AB" w14:paraId="626BA3BC" w14:textId="77777777">
      <w:pPr>
        <w:pStyle w:val="PlainText"/>
        <w:tabs>
          <w:tab w:val="left" w:pos="720"/>
          <w:tab w:val="left" w:pos="2505"/>
        </w:tabs>
        <w:rPr>
          <w:rFonts w:ascii="Times New Roman" w:hAnsi="Times New Roman" w:cs="Times New Roman"/>
          <w:sz w:val="24"/>
          <w:szCs w:val="24"/>
        </w:rPr>
      </w:pPr>
    </w:p>
    <w:p w:rsidR="00615A88" w:rsidRPr="00A87019" w:rsidP="00C14283" w14:paraId="29D04309" w14:textId="6F92E675">
      <w:pPr>
        <w:pStyle w:val="BodyText"/>
        <w:tabs>
          <w:tab w:val="left" w:pos="450"/>
        </w:tabs>
        <w:ind w:left="0"/>
        <w:rPr>
          <w:rFonts w:cs="Times New Roman"/>
          <w:sz w:val="24"/>
          <w:szCs w:val="24"/>
        </w:rPr>
      </w:pPr>
      <w:r w:rsidRPr="00A87019">
        <w:rPr>
          <w:rFonts w:cs="Times New Roman"/>
          <w:sz w:val="24"/>
          <w:szCs w:val="24"/>
        </w:rPr>
        <w:t xml:space="preserve">14. </w:t>
      </w:r>
      <w:r w:rsidRPr="00A87019">
        <w:rPr>
          <w:rFonts w:cs="Times New Roman"/>
          <w:sz w:val="24"/>
          <w:szCs w:val="24"/>
          <w:u w:val="single"/>
        </w:rPr>
        <w:t>Estimated annual cost to the Federal government</w:t>
      </w:r>
      <w:r w:rsidRPr="00A87019" w:rsidR="002E62EE">
        <w:rPr>
          <w:rFonts w:cs="Times New Roman"/>
          <w:sz w:val="24"/>
          <w:szCs w:val="24"/>
        </w:rPr>
        <w:t>.</w:t>
      </w:r>
      <w:r w:rsidRPr="00A87019">
        <w:rPr>
          <w:rFonts w:cs="Times New Roman"/>
          <w:sz w:val="24"/>
          <w:szCs w:val="24"/>
        </w:rPr>
        <w:t xml:space="preserve"> </w:t>
      </w:r>
    </w:p>
    <w:p w:rsidR="00615A88" w:rsidRPr="00A87019" w:rsidP="00DA4035" w14:paraId="35A87BE0" w14:textId="77777777">
      <w:pPr>
        <w:pStyle w:val="BodyText"/>
        <w:tabs>
          <w:tab w:val="left" w:pos="450"/>
        </w:tabs>
        <w:ind w:left="0"/>
        <w:rPr>
          <w:rFonts w:cs="Times New Roman"/>
          <w:color w:val="2B2A28"/>
          <w:sz w:val="24"/>
          <w:szCs w:val="24"/>
        </w:rPr>
      </w:pPr>
    </w:p>
    <w:p w:rsidR="00C75D31" w:rsidRPr="00A87019" w:rsidP="008762CD" w14:paraId="7B61EBF2" w14:textId="07FBF3AC">
      <w:pPr>
        <w:pStyle w:val="BodyText"/>
        <w:tabs>
          <w:tab w:val="left" w:pos="450"/>
        </w:tabs>
        <w:ind w:left="0" w:firstLine="720"/>
        <w:rPr>
          <w:rFonts w:cs="Times New Roman"/>
          <w:sz w:val="24"/>
          <w:szCs w:val="24"/>
        </w:rPr>
      </w:pPr>
      <w:r w:rsidRPr="00A87019">
        <w:rPr>
          <w:rFonts w:cs="Times New Roman"/>
          <w:sz w:val="24"/>
          <w:szCs w:val="24"/>
        </w:rPr>
        <w:t xml:space="preserve">FinCEN has </w:t>
      </w:r>
      <w:r w:rsidRPr="00A87019" w:rsidR="00690C2B">
        <w:rPr>
          <w:rFonts w:cs="Times New Roman"/>
          <w:sz w:val="24"/>
          <w:szCs w:val="24"/>
        </w:rPr>
        <w:t xml:space="preserve">historically estimated the cost to the Federal government of reports submitted to FinCEN at </w:t>
      </w:r>
      <w:r w:rsidRPr="00A87019">
        <w:rPr>
          <w:rFonts w:cs="Times New Roman"/>
          <w:sz w:val="24"/>
          <w:szCs w:val="24"/>
        </w:rPr>
        <w:t xml:space="preserve">$0.10 </w:t>
      </w:r>
      <w:r w:rsidRPr="00A87019" w:rsidR="00690C2B">
        <w:rPr>
          <w:rFonts w:cs="Times New Roman"/>
          <w:sz w:val="24"/>
          <w:szCs w:val="24"/>
        </w:rPr>
        <w:t xml:space="preserve">per form submitted.  Provisionally, FinCEN continues to regard this cost as a reasonable </w:t>
      </w:r>
      <w:r w:rsidRPr="00A87019">
        <w:rPr>
          <w:rFonts w:cs="Times New Roman"/>
          <w:sz w:val="24"/>
          <w:szCs w:val="24"/>
        </w:rPr>
        <w:t xml:space="preserve">estimate to account for the recordkeeping costs associated with processing and saving electronic records </w:t>
      </w:r>
      <w:r w:rsidRPr="00A87019" w:rsidR="00690C2B">
        <w:rPr>
          <w:rFonts w:cs="Times New Roman"/>
          <w:sz w:val="24"/>
          <w:szCs w:val="24"/>
        </w:rPr>
        <w:t xml:space="preserve">submitted </w:t>
      </w:r>
      <w:r w:rsidRPr="00A87019" w:rsidR="00716F6C">
        <w:rPr>
          <w:rFonts w:cs="Times New Roman"/>
          <w:sz w:val="24"/>
          <w:szCs w:val="24"/>
        </w:rPr>
        <w:t xml:space="preserve">on standard forms </w:t>
      </w:r>
      <w:r w:rsidRPr="00A87019">
        <w:rPr>
          <w:rFonts w:cs="Times New Roman"/>
          <w:sz w:val="24"/>
          <w:szCs w:val="24"/>
        </w:rPr>
        <w:t>through established high-volume channels pursuant to BSA regulations of broad applicability</w:t>
      </w:r>
      <w:r w:rsidRPr="00A87019" w:rsidR="00716F6C">
        <w:rPr>
          <w:rFonts w:cs="Times New Roman"/>
          <w:sz w:val="24"/>
          <w:szCs w:val="24"/>
        </w:rPr>
        <w:t>,</w:t>
      </w:r>
      <w:r w:rsidRPr="00A87019">
        <w:rPr>
          <w:rFonts w:cs="Times New Roman"/>
          <w:sz w:val="24"/>
          <w:szCs w:val="24"/>
        </w:rPr>
        <w:t xml:space="preserve"> such as suspicious activity report (SAR) filings.</w:t>
      </w:r>
      <w:r>
        <w:rPr>
          <w:rStyle w:val="FootnoteReference"/>
          <w:rFonts w:cs="Times New Roman"/>
          <w:sz w:val="24"/>
          <w:szCs w:val="24"/>
        </w:rPr>
        <w:footnoteReference w:id="35"/>
      </w:r>
      <w:r w:rsidRPr="00A87019" w:rsidR="008762CD">
        <w:rPr>
          <w:rFonts w:cs="Times New Roman"/>
          <w:sz w:val="24"/>
          <w:szCs w:val="24"/>
        </w:rPr>
        <w:t xml:space="preserve"> </w:t>
      </w:r>
      <w:r w:rsidRPr="00A87019" w:rsidR="007D4B05">
        <w:rPr>
          <w:rFonts w:cs="Times New Roman"/>
          <w:sz w:val="24"/>
          <w:szCs w:val="24"/>
        </w:rPr>
        <w:t xml:space="preserve"> </w:t>
      </w:r>
      <w:r w:rsidRPr="00A87019" w:rsidR="00690C2B">
        <w:rPr>
          <w:rFonts w:cs="Times New Roman"/>
          <w:sz w:val="24"/>
          <w:szCs w:val="24"/>
        </w:rPr>
        <w:t>In connection with FFAs, h</w:t>
      </w:r>
      <w:r w:rsidRPr="00A87019" w:rsidR="008762CD">
        <w:rPr>
          <w:rFonts w:cs="Times New Roman"/>
          <w:sz w:val="24"/>
          <w:szCs w:val="24"/>
        </w:rPr>
        <w:t xml:space="preserve">owever, FinCEN has </w:t>
      </w:r>
      <w:r w:rsidRPr="00A87019" w:rsidR="00690C2B">
        <w:rPr>
          <w:rFonts w:cs="Times New Roman"/>
          <w:sz w:val="24"/>
          <w:szCs w:val="24"/>
        </w:rPr>
        <w:t xml:space="preserve">considered </w:t>
      </w:r>
      <w:r w:rsidRPr="00A87019" w:rsidR="008762CD">
        <w:rPr>
          <w:rFonts w:cs="Times New Roman"/>
          <w:sz w:val="24"/>
          <w:szCs w:val="24"/>
        </w:rPr>
        <w:t>additional factors, reflective of the</w:t>
      </w:r>
      <w:r w:rsidRPr="00A87019" w:rsidR="00772C45">
        <w:rPr>
          <w:rFonts w:cs="Times New Roman"/>
          <w:sz w:val="24"/>
          <w:szCs w:val="24"/>
        </w:rPr>
        <w:t xml:space="preserve"> special, sensitive, targeted </w:t>
      </w:r>
      <w:r w:rsidRPr="00A87019" w:rsidR="00375B54">
        <w:rPr>
          <w:rFonts w:cs="Times New Roman"/>
          <w:sz w:val="24"/>
          <w:szCs w:val="24"/>
        </w:rPr>
        <w:t>demands of</w:t>
      </w:r>
      <w:r w:rsidRPr="00A87019" w:rsidR="00772C45">
        <w:rPr>
          <w:rFonts w:cs="Times New Roman"/>
          <w:sz w:val="24"/>
          <w:szCs w:val="24"/>
        </w:rPr>
        <w:t xml:space="preserve"> FFA regulations</w:t>
      </w:r>
      <w:r w:rsidRPr="00A87019" w:rsidR="008762CD">
        <w:rPr>
          <w:rFonts w:cs="Times New Roman"/>
          <w:sz w:val="24"/>
          <w:szCs w:val="24"/>
        </w:rPr>
        <w:t>.</w:t>
      </w:r>
      <w:r w:rsidRPr="00A87019" w:rsidR="007D4B05">
        <w:rPr>
          <w:rFonts w:cs="Times New Roman"/>
          <w:sz w:val="24"/>
          <w:szCs w:val="24"/>
        </w:rPr>
        <w:t xml:space="preserve"> </w:t>
      </w:r>
      <w:r w:rsidRPr="00A87019" w:rsidR="00690C2B">
        <w:rPr>
          <w:rFonts w:cs="Times New Roman"/>
          <w:sz w:val="24"/>
          <w:szCs w:val="24"/>
        </w:rPr>
        <w:t xml:space="preserve"> The</w:t>
      </w:r>
      <w:r w:rsidRPr="00A87019" w:rsidR="00CD44E3">
        <w:rPr>
          <w:rFonts w:cs="Times New Roman"/>
          <w:sz w:val="24"/>
          <w:szCs w:val="24"/>
        </w:rPr>
        <w:t xml:space="preserve"> </w:t>
      </w:r>
      <w:r w:rsidRPr="00A87019" w:rsidR="00690C2B">
        <w:rPr>
          <w:rFonts w:cs="Times New Roman"/>
          <w:sz w:val="24"/>
          <w:szCs w:val="24"/>
        </w:rPr>
        <w:t xml:space="preserve">submission of responses to FFA regulations, therefore, </w:t>
      </w:r>
      <w:r w:rsidRPr="00A87019" w:rsidR="008762CD">
        <w:rPr>
          <w:rFonts w:cs="Times New Roman"/>
          <w:sz w:val="24"/>
          <w:szCs w:val="24"/>
        </w:rPr>
        <w:t>are estimated here to be more costly</w:t>
      </w:r>
      <w:r w:rsidRPr="00A87019" w:rsidR="00772C45">
        <w:rPr>
          <w:rFonts w:cs="Times New Roman"/>
          <w:sz w:val="24"/>
          <w:szCs w:val="24"/>
        </w:rPr>
        <w:t xml:space="preserve"> </w:t>
      </w:r>
      <w:r w:rsidRPr="00A87019" w:rsidR="00690C2B">
        <w:rPr>
          <w:rFonts w:cs="Times New Roman"/>
          <w:sz w:val="24"/>
          <w:szCs w:val="24"/>
        </w:rPr>
        <w:t xml:space="preserve">to FinCEN </w:t>
      </w:r>
      <w:r w:rsidRPr="00A87019" w:rsidR="00772C45">
        <w:rPr>
          <w:rFonts w:cs="Times New Roman"/>
          <w:sz w:val="24"/>
          <w:szCs w:val="24"/>
        </w:rPr>
        <w:t xml:space="preserve">than </w:t>
      </w:r>
      <w:r w:rsidRPr="00A87019" w:rsidR="00690C2B">
        <w:rPr>
          <w:rFonts w:cs="Times New Roman"/>
          <w:sz w:val="24"/>
          <w:szCs w:val="24"/>
        </w:rPr>
        <w:t xml:space="preserve">FinCEN’s historical </w:t>
      </w:r>
      <w:r w:rsidRPr="00A87019" w:rsidR="00772C45">
        <w:rPr>
          <w:rFonts w:cs="Times New Roman"/>
          <w:sz w:val="24"/>
          <w:szCs w:val="24"/>
        </w:rPr>
        <w:t>standard estimate.</w:t>
      </w:r>
    </w:p>
    <w:p w:rsidR="008416D9" w:rsidRPr="00A87019" w:rsidP="00B82D19" w14:paraId="6932A6B9" w14:textId="6385FB9F">
      <w:pPr>
        <w:pStyle w:val="BodyText"/>
        <w:tabs>
          <w:tab w:val="left" w:pos="450"/>
        </w:tabs>
        <w:ind w:left="0" w:firstLine="720"/>
        <w:rPr>
          <w:rFonts w:cs="Times New Roman"/>
          <w:sz w:val="24"/>
          <w:szCs w:val="24"/>
        </w:rPr>
      </w:pPr>
    </w:p>
    <w:p w:rsidR="00B036E5" w:rsidRPr="00A87019" w:rsidP="00002436" w14:paraId="3175282D" w14:textId="606D95C8">
      <w:pPr>
        <w:pStyle w:val="BodyText"/>
        <w:tabs>
          <w:tab w:val="left" w:pos="450"/>
        </w:tabs>
        <w:ind w:left="0" w:firstLine="720"/>
        <w:rPr>
          <w:rFonts w:cs="Times New Roman"/>
          <w:sz w:val="24"/>
          <w:szCs w:val="24"/>
        </w:rPr>
      </w:pPr>
      <w:r w:rsidRPr="00A87019">
        <w:rPr>
          <w:rFonts w:cs="Times New Roman"/>
          <w:sz w:val="24"/>
          <w:szCs w:val="24"/>
        </w:rPr>
        <w:t>Based on the</w:t>
      </w:r>
      <w:r w:rsidRPr="00A87019" w:rsidR="00633660">
        <w:rPr>
          <w:rFonts w:cs="Times New Roman"/>
          <w:sz w:val="24"/>
          <w:szCs w:val="24"/>
        </w:rPr>
        <w:t xml:space="preserve"> forecast values described above, </w:t>
      </w:r>
      <w:r w:rsidRPr="00A87019" w:rsidR="54072F97">
        <w:rPr>
          <w:rFonts w:cs="Times New Roman"/>
          <w:sz w:val="24"/>
          <w:szCs w:val="24"/>
        </w:rPr>
        <w:t xml:space="preserve">FinCEN </w:t>
      </w:r>
      <w:r w:rsidRPr="00A87019" w:rsidR="718987B2">
        <w:rPr>
          <w:rFonts w:cs="Times New Roman"/>
          <w:sz w:val="24"/>
          <w:szCs w:val="24"/>
        </w:rPr>
        <w:t xml:space="preserve">expects to </w:t>
      </w:r>
      <w:r w:rsidRPr="00A87019" w:rsidR="54072F97">
        <w:rPr>
          <w:rFonts w:cs="Times New Roman"/>
          <w:sz w:val="24"/>
          <w:szCs w:val="24"/>
        </w:rPr>
        <w:t xml:space="preserve">receive </w:t>
      </w:r>
      <w:r w:rsidRPr="00A87019" w:rsidR="00FE3096">
        <w:rPr>
          <w:rFonts w:cs="Times New Roman"/>
          <w:sz w:val="24"/>
          <w:szCs w:val="24"/>
        </w:rPr>
        <w:t>40 responses</w:t>
      </w:r>
      <w:r w:rsidRPr="00A87019" w:rsidR="00960155">
        <w:rPr>
          <w:rFonts w:cs="Times New Roman"/>
          <w:sz w:val="24"/>
          <w:szCs w:val="24"/>
        </w:rPr>
        <w:t xml:space="preserve"> </w:t>
      </w:r>
      <w:r w:rsidRPr="00A87019" w:rsidR="004F0646">
        <w:rPr>
          <w:rFonts w:cs="Times New Roman"/>
          <w:sz w:val="24"/>
          <w:szCs w:val="24"/>
        </w:rPr>
        <w:t>th</w:t>
      </w:r>
      <w:r w:rsidRPr="00A87019" w:rsidR="009C1D34">
        <w:rPr>
          <w:rFonts w:cs="Times New Roman"/>
          <w:sz w:val="24"/>
          <w:szCs w:val="24"/>
        </w:rPr>
        <w:t>at include both</w:t>
      </w:r>
      <w:r w:rsidRPr="00A87019" w:rsidR="00CA0F66">
        <w:rPr>
          <w:rFonts w:cs="Times New Roman"/>
          <w:sz w:val="24"/>
          <w:szCs w:val="24"/>
        </w:rPr>
        <w:t>:</w:t>
      </w:r>
      <w:r w:rsidRPr="00A87019" w:rsidR="003E77B4">
        <w:rPr>
          <w:rFonts w:cs="Times New Roman"/>
          <w:sz w:val="24"/>
          <w:szCs w:val="24"/>
        </w:rPr>
        <w:t xml:space="preserve"> </w:t>
      </w:r>
      <w:r w:rsidRPr="00A87019" w:rsidR="009C1D34">
        <w:rPr>
          <w:rFonts w:cs="Times New Roman"/>
          <w:sz w:val="24"/>
          <w:szCs w:val="24"/>
        </w:rPr>
        <w:t>(</w:t>
      </w:r>
      <w:r w:rsidRPr="00A87019" w:rsidR="00121404">
        <w:rPr>
          <w:rFonts w:cs="Times New Roman"/>
          <w:sz w:val="24"/>
          <w:szCs w:val="24"/>
        </w:rPr>
        <w:t>i</w:t>
      </w:r>
      <w:r w:rsidRPr="00A87019" w:rsidR="009C1D34">
        <w:rPr>
          <w:rFonts w:cs="Times New Roman"/>
          <w:sz w:val="24"/>
          <w:szCs w:val="24"/>
        </w:rPr>
        <w:t xml:space="preserve">) </w:t>
      </w:r>
      <w:r w:rsidRPr="00A87019" w:rsidR="000F66D4">
        <w:rPr>
          <w:rFonts w:cs="Times New Roman"/>
          <w:sz w:val="24"/>
          <w:szCs w:val="24"/>
        </w:rPr>
        <w:t>40</w:t>
      </w:r>
      <w:r w:rsidRPr="00A87019" w:rsidR="54072F97">
        <w:rPr>
          <w:rFonts w:cs="Times New Roman"/>
          <w:sz w:val="24"/>
          <w:szCs w:val="24"/>
        </w:rPr>
        <w:t xml:space="preserve"> initial reports</w:t>
      </w:r>
      <w:r w:rsidRPr="00A87019" w:rsidR="00406378">
        <w:rPr>
          <w:rFonts w:cs="Times New Roman"/>
          <w:sz w:val="24"/>
          <w:szCs w:val="24"/>
        </w:rPr>
        <w:t xml:space="preserve"> </w:t>
      </w:r>
      <w:r w:rsidRPr="00A87019" w:rsidR="00146711">
        <w:rPr>
          <w:rFonts w:cs="Times New Roman"/>
          <w:sz w:val="24"/>
          <w:szCs w:val="24"/>
        </w:rPr>
        <w:t>containing</w:t>
      </w:r>
      <w:r w:rsidRPr="00A87019" w:rsidR="008E344B">
        <w:rPr>
          <w:rFonts w:cs="Times New Roman"/>
          <w:sz w:val="24"/>
          <w:szCs w:val="24"/>
        </w:rPr>
        <w:t xml:space="preserve"> </w:t>
      </w:r>
      <w:r w:rsidRPr="00A87019" w:rsidR="00F90531">
        <w:rPr>
          <w:rFonts w:cs="Times New Roman"/>
          <w:sz w:val="24"/>
          <w:szCs w:val="24"/>
        </w:rPr>
        <w:t>approximately</w:t>
      </w:r>
      <w:r w:rsidRPr="00A87019" w:rsidR="005E61AC">
        <w:rPr>
          <w:rFonts w:cs="Times New Roman"/>
          <w:sz w:val="24"/>
          <w:szCs w:val="24"/>
        </w:rPr>
        <w:t xml:space="preserve"> </w:t>
      </w:r>
      <w:r w:rsidRPr="00A87019" w:rsidR="00074124">
        <w:rPr>
          <w:rFonts w:cs="Times New Roman"/>
          <w:sz w:val="24"/>
          <w:szCs w:val="24"/>
        </w:rPr>
        <w:t>2,000</w:t>
      </w:r>
      <w:r w:rsidRPr="00A87019" w:rsidR="00136061">
        <w:rPr>
          <w:rFonts w:cs="Times New Roman"/>
          <w:sz w:val="24"/>
          <w:szCs w:val="24"/>
        </w:rPr>
        <w:t xml:space="preserve"> sets of </w:t>
      </w:r>
      <w:r w:rsidRPr="00A87019" w:rsidR="00DA40B7">
        <w:rPr>
          <w:rFonts w:cs="Times New Roman"/>
          <w:sz w:val="24"/>
          <w:szCs w:val="24"/>
        </w:rPr>
        <w:t>transaction</w:t>
      </w:r>
      <w:r w:rsidRPr="00A87019" w:rsidR="00142F95">
        <w:rPr>
          <w:rFonts w:cs="Times New Roman"/>
          <w:sz w:val="24"/>
          <w:szCs w:val="24"/>
        </w:rPr>
        <w:t xml:space="preserve"> </w:t>
      </w:r>
      <w:r w:rsidRPr="00A87019" w:rsidR="00F1346C">
        <w:rPr>
          <w:rFonts w:cs="Times New Roman"/>
          <w:sz w:val="24"/>
          <w:szCs w:val="24"/>
        </w:rPr>
        <w:t>record</w:t>
      </w:r>
      <w:r w:rsidRPr="00A87019" w:rsidR="00DA40B7">
        <w:rPr>
          <w:rFonts w:cs="Times New Roman"/>
          <w:sz w:val="24"/>
          <w:szCs w:val="24"/>
        </w:rPr>
        <w:t>s</w:t>
      </w:r>
      <w:r w:rsidRPr="00A87019" w:rsidR="00CA0F66">
        <w:rPr>
          <w:rFonts w:cs="Times New Roman"/>
          <w:sz w:val="24"/>
          <w:szCs w:val="24"/>
        </w:rPr>
        <w:t>;</w:t>
      </w:r>
      <w:r>
        <w:rPr>
          <w:rStyle w:val="FootnoteReference"/>
          <w:rFonts w:cs="Times New Roman"/>
          <w:sz w:val="24"/>
          <w:szCs w:val="24"/>
        </w:rPr>
        <w:footnoteReference w:id="36"/>
      </w:r>
      <w:r w:rsidRPr="00A87019" w:rsidR="718987B2">
        <w:rPr>
          <w:rFonts w:cs="Times New Roman"/>
          <w:sz w:val="24"/>
          <w:szCs w:val="24"/>
        </w:rPr>
        <w:t xml:space="preserve"> and </w:t>
      </w:r>
      <w:r w:rsidRPr="00A87019" w:rsidR="009C1D34">
        <w:rPr>
          <w:rFonts w:cs="Times New Roman"/>
          <w:sz w:val="24"/>
          <w:szCs w:val="24"/>
        </w:rPr>
        <w:t>(</w:t>
      </w:r>
      <w:r w:rsidRPr="00A87019" w:rsidR="00121404">
        <w:rPr>
          <w:rFonts w:cs="Times New Roman"/>
          <w:sz w:val="24"/>
          <w:szCs w:val="24"/>
        </w:rPr>
        <w:t>ii</w:t>
      </w:r>
      <w:r w:rsidRPr="00A87019" w:rsidR="009C1D34">
        <w:rPr>
          <w:rFonts w:cs="Times New Roman"/>
          <w:sz w:val="24"/>
          <w:szCs w:val="24"/>
        </w:rPr>
        <w:t xml:space="preserve">) </w:t>
      </w:r>
      <w:r w:rsidRPr="00A87019" w:rsidR="000F66D4">
        <w:rPr>
          <w:rFonts w:cs="Times New Roman"/>
          <w:sz w:val="24"/>
          <w:szCs w:val="24"/>
        </w:rPr>
        <w:t>80</w:t>
      </w:r>
      <w:r w:rsidRPr="00A87019" w:rsidR="718987B2">
        <w:rPr>
          <w:rFonts w:cs="Times New Roman"/>
          <w:sz w:val="24"/>
          <w:szCs w:val="24"/>
        </w:rPr>
        <w:t xml:space="preserve"> subsequent reports</w:t>
      </w:r>
      <w:r w:rsidRPr="00A87019" w:rsidR="004B49CB">
        <w:rPr>
          <w:rFonts w:cs="Times New Roman"/>
          <w:sz w:val="24"/>
          <w:szCs w:val="24"/>
        </w:rPr>
        <w:t xml:space="preserve"> </w:t>
      </w:r>
      <w:r w:rsidRPr="00A87019" w:rsidR="000D5355">
        <w:rPr>
          <w:rFonts w:cs="Times New Roman"/>
          <w:sz w:val="24"/>
          <w:szCs w:val="24"/>
        </w:rPr>
        <w:t>per year, on average</w:t>
      </w:r>
      <w:r w:rsidRPr="00A87019" w:rsidR="00A929AE">
        <w:rPr>
          <w:rFonts w:cs="Times New Roman"/>
          <w:sz w:val="24"/>
          <w:szCs w:val="24"/>
        </w:rPr>
        <w:t>, that would</w:t>
      </w:r>
      <w:r w:rsidRPr="00A87019" w:rsidR="00E6712C">
        <w:rPr>
          <w:rFonts w:cs="Times New Roman"/>
          <w:sz w:val="24"/>
          <w:szCs w:val="24"/>
        </w:rPr>
        <w:t xml:space="preserve"> contain </w:t>
      </w:r>
      <w:r w:rsidRPr="00A87019" w:rsidR="00A52AC0">
        <w:rPr>
          <w:rFonts w:cs="Times New Roman"/>
          <w:sz w:val="24"/>
          <w:szCs w:val="24"/>
        </w:rPr>
        <w:t xml:space="preserve">approximately </w:t>
      </w:r>
      <w:r w:rsidRPr="00A87019" w:rsidR="00E6712C">
        <w:rPr>
          <w:rFonts w:cs="Times New Roman"/>
          <w:sz w:val="24"/>
          <w:szCs w:val="24"/>
        </w:rPr>
        <w:t>4,000 sets of transaction records</w:t>
      </w:r>
      <w:r w:rsidRPr="00A87019" w:rsidR="073BC432">
        <w:rPr>
          <w:rFonts w:cs="Times New Roman"/>
          <w:sz w:val="24"/>
          <w:szCs w:val="24"/>
        </w:rPr>
        <w:t>.</w:t>
      </w:r>
      <w:r>
        <w:rPr>
          <w:rStyle w:val="FootnoteReference"/>
          <w:rFonts w:cs="Times New Roman"/>
          <w:sz w:val="24"/>
          <w:szCs w:val="24"/>
        </w:rPr>
        <w:footnoteReference w:id="37"/>
      </w:r>
      <w:r w:rsidRPr="00A87019" w:rsidR="073BC432">
        <w:rPr>
          <w:rFonts w:cs="Times New Roman"/>
          <w:sz w:val="24"/>
          <w:szCs w:val="24"/>
        </w:rPr>
        <w:t xml:space="preserve"> </w:t>
      </w:r>
      <w:r w:rsidRPr="00A87019" w:rsidR="0D431D3B">
        <w:rPr>
          <w:rFonts w:cs="Times New Roman"/>
          <w:sz w:val="24"/>
          <w:szCs w:val="24"/>
        </w:rPr>
        <w:t xml:space="preserve"> </w:t>
      </w:r>
      <w:r w:rsidRPr="00A87019" w:rsidR="007037A8">
        <w:rPr>
          <w:rFonts w:cs="Times New Roman"/>
          <w:sz w:val="24"/>
          <w:szCs w:val="24"/>
        </w:rPr>
        <w:t>As e</w:t>
      </w:r>
      <w:r w:rsidRPr="00A87019" w:rsidR="002F3452">
        <w:rPr>
          <w:rFonts w:cs="Times New Roman"/>
          <w:sz w:val="24"/>
          <w:szCs w:val="24"/>
        </w:rPr>
        <w:t>stimated over</w:t>
      </w:r>
      <w:r w:rsidRPr="00A87019" w:rsidR="073BC432">
        <w:rPr>
          <w:rFonts w:cs="Times New Roman"/>
          <w:sz w:val="24"/>
          <w:szCs w:val="24"/>
        </w:rPr>
        <w:t xml:space="preserve"> completed</w:t>
      </w:r>
      <w:r w:rsidRPr="00A87019" w:rsidR="004E559A">
        <w:rPr>
          <w:rFonts w:cs="Times New Roman"/>
          <w:sz w:val="24"/>
          <w:szCs w:val="24"/>
        </w:rPr>
        <w:t xml:space="preserve"> responses pursuant to</w:t>
      </w:r>
      <w:r w:rsidRPr="00A87019" w:rsidR="073BC432">
        <w:rPr>
          <w:rFonts w:cs="Times New Roman"/>
          <w:sz w:val="24"/>
          <w:szCs w:val="24"/>
        </w:rPr>
        <w:t xml:space="preserve"> </w:t>
      </w:r>
      <w:r w:rsidRPr="00A87019" w:rsidR="3410F0F6">
        <w:rPr>
          <w:rFonts w:cs="Times New Roman"/>
          <w:sz w:val="24"/>
          <w:szCs w:val="24"/>
        </w:rPr>
        <w:t xml:space="preserve">FFA </w:t>
      </w:r>
      <w:r w:rsidRPr="00A87019" w:rsidR="00B350AF">
        <w:rPr>
          <w:rFonts w:cs="Times New Roman"/>
          <w:sz w:val="24"/>
          <w:szCs w:val="24"/>
        </w:rPr>
        <w:t xml:space="preserve">regulations issued </w:t>
      </w:r>
      <w:r w:rsidRPr="00A87019" w:rsidR="002170ED">
        <w:rPr>
          <w:rFonts w:cs="Times New Roman"/>
          <w:sz w:val="24"/>
          <w:szCs w:val="24"/>
        </w:rPr>
        <w:t xml:space="preserve">in the calendar years </w:t>
      </w:r>
      <w:r w:rsidRPr="00A87019" w:rsidR="00B350AF">
        <w:rPr>
          <w:rFonts w:cs="Times New Roman"/>
          <w:sz w:val="24"/>
          <w:szCs w:val="24"/>
        </w:rPr>
        <w:t>between</w:t>
      </w:r>
      <w:r w:rsidRPr="00A87019" w:rsidR="00804188">
        <w:rPr>
          <w:rFonts w:cs="Times New Roman"/>
          <w:sz w:val="24"/>
          <w:szCs w:val="24"/>
        </w:rPr>
        <w:t xml:space="preserve"> </w:t>
      </w:r>
      <w:r w:rsidRPr="00A87019" w:rsidR="00A77B34">
        <w:rPr>
          <w:rFonts w:cs="Times New Roman"/>
          <w:sz w:val="24"/>
          <w:szCs w:val="24"/>
        </w:rPr>
        <w:t>Janua</w:t>
      </w:r>
      <w:r w:rsidRPr="00A87019" w:rsidR="00080AF7">
        <w:rPr>
          <w:rFonts w:cs="Times New Roman"/>
          <w:sz w:val="24"/>
          <w:szCs w:val="24"/>
        </w:rPr>
        <w:t xml:space="preserve">ry </w:t>
      </w:r>
      <w:r w:rsidRPr="00A87019" w:rsidR="00804188">
        <w:rPr>
          <w:rFonts w:cs="Times New Roman"/>
          <w:sz w:val="24"/>
          <w:szCs w:val="24"/>
        </w:rPr>
        <w:t>2022</w:t>
      </w:r>
      <w:r w:rsidRPr="00A87019" w:rsidR="002170ED">
        <w:rPr>
          <w:rFonts w:cs="Times New Roman"/>
          <w:sz w:val="24"/>
          <w:szCs w:val="24"/>
        </w:rPr>
        <w:t xml:space="preserve"> and </w:t>
      </w:r>
      <w:r w:rsidRPr="00A87019" w:rsidR="00804188">
        <w:rPr>
          <w:rFonts w:cs="Times New Roman"/>
          <w:sz w:val="24"/>
          <w:szCs w:val="24"/>
        </w:rPr>
        <w:t>202</w:t>
      </w:r>
      <w:r w:rsidRPr="00A87019" w:rsidR="00080AF7">
        <w:rPr>
          <w:rFonts w:cs="Times New Roman"/>
          <w:sz w:val="24"/>
          <w:szCs w:val="24"/>
        </w:rPr>
        <w:t>5</w:t>
      </w:r>
      <w:r w:rsidRPr="00A87019" w:rsidR="3410F0F6">
        <w:rPr>
          <w:rFonts w:cs="Times New Roman"/>
          <w:sz w:val="24"/>
          <w:szCs w:val="24"/>
        </w:rPr>
        <w:t>,</w:t>
      </w:r>
      <w:r w:rsidRPr="00A87019" w:rsidR="7083EB64">
        <w:rPr>
          <w:rFonts w:cs="Times New Roman"/>
          <w:sz w:val="24"/>
          <w:szCs w:val="24"/>
        </w:rPr>
        <w:t xml:space="preserve"> data from</w:t>
      </w:r>
      <w:r w:rsidRPr="00A87019" w:rsidR="3410F0F6">
        <w:rPr>
          <w:rFonts w:cs="Times New Roman"/>
          <w:sz w:val="24"/>
          <w:szCs w:val="24"/>
        </w:rPr>
        <w:t xml:space="preserve"> initial reports </w:t>
      </w:r>
      <w:r w:rsidRPr="00A87019" w:rsidR="006C1D9C">
        <w:rPr>
          <w:rFonts w:cs="Times New Roman"/>
          <w:sz w:val="24"/>
          <w:szCs w:val="24"/>
        </w:rPr>
        <w:t>constituted approximately</w:t>
      </w:r>
      <w:r w:rsidRPr="00A87019" w:rsidR="19D97730">
        <w:rPr>
          <w:rFonts w:cs="Times New Roman"/>
          <w:sz w:val="24"/>
          <w:szCs w:val="24"/>
        </w:rPr>
        <w:t xml:space="preserve"> </w:t>
      </w:r>
      <w:r w:rsidRPr="00A87019" w:rsidR="59AC9219">
        <w:rPr>
          <w:rFonts w:cs="Times New Roman"/>
          <w:sz w:val="24"/>
          <w:szCs w:val="24"/>
        </w:rPr>
        <w:t>60</w:t>
      </w:r>
      <w:r w:rsidRPr="00A87019" w:rsidR="008276D3">
        <w:rPr>
          <w:rFonts w:cs="Times New Roman"/>
          <w:sz w:val="24"/>
          <w:szCs w:val="24"/>
        </w:rPr>
        <w:t xml:space="preserve"> </w:t>
      </w:r>
      <w:r w:rsidRPr="00A87019" w:rsidR="00743BAB">
        <w:rPr>
          <w:rFonts w:cs="Times New Roman"/>
          <w:sz w:val="24"/>
          <w:szCs w:val="24"/>
        </w:rPr>
        <w:t>percent</w:t>
      </w:r>
      <w:r w:rsidRPr="00A87019" w:rsidR="008276D3">
        <w:rPr>
          <w:rFonts w:cs="Times New Roman"/>
          <w:sz w:val="24"/>
          <w:szCs w:val="24"/>
        </w:rPr>
        <w:t xml:space="preserve"> </w:t>
      </w:r>
      <w:r w:rsidRPr="00A87019" w:rsidR="59AC9219">
        <w:rPr>
          <w:rFonts w:cs="Times New Roman"/>
          <w:sz w:val="24"/>
          <w:szCs w:val="24"/>
        </w:rPr>
        <w:t xml:space="preserve">of the total data received and subsequent reporting made up </w:t>
      </w:r>
      <w:r w:rsidRPr="00A87019" w:rsidR="005B2876">
        <w:rPr>
          <w:rFonts w:cs="Times New Roman"/>
          <w:sz w:val="24"/>
          <w:szCs w:val="24"/>
        </w:rPr>
        <w:t xml:space="preserve">the remainder of approximately </w:t>
      </w:r>
      <w:r w:rsidRPr="00A87019" w:rsidR="59AC9219">
        <w:rPr>
          <w:rFonts w:cs="Times New Roman"/>
          <w:sz w:val="24"/>
          <w:szCs w:val="24"/>
        </w:rPr>
        <w:t>40</w:t>
      </w:r>
      <w:r w:rsidRPr="00A87019" w:rsidR="008276D3">
        <w:rPr>
          <w:rFonts w:cs="Times New Roman"/>
          <w:sz w:val="24"/>
          <w:szCs w:val="24"/>
        </w:rPr>
        <w:t xml:space="preserve"> percent </w:t>
      </w:r>
      <w:r w:rsidRPr="00A87019" w:rsidR="59AC9219">
        <w:rPr>
          <w:rFonts w:cs="Times New Roman"/>
          <w:sz w:val="24"/>
          <w:szCs w:val="24"/>
        </w:rPr>
        <w:t>of the total data received</w:t>
      </w:r>
      <w:r w:rsidRPr="00A87019" w:rsidR="3987D2EE">
        <w:rPr>
          <w:rFonts w:cs="Times New Roman"/>
          <w:sz w:val="24"/>
          <w:szCs w:val="24"/>
        </w:rPr>
        <w:t xml:space="preserve">. </w:t>
      </w:r>
    </w:p>
    <w:p w:rsidR="008416D9" w:rsidRPr="00A87019" w:rsidP="00002436" w14:paraId="0BEA1411" w14:textId="3D4D7053">
      <w:pPr>
        <w:pStyle w:val="BodyText"/>
        <w:tabs>
          <w:tab w:val="left" w:pos="450"/>
        </w:tabs>
        <w:ind w:left="0" w:firstLine="720"/>
        <w:rPr>
          <w:rFonts w:cs="Times New Roman"/>
          <w:sz w:val="24"/>
          <w:szCs w:val="24"/>
        </w:rPr>
      </w:pPr>
    </w:p>
    <w:p w:rsidR="004A6CF0" w:rsidRPr="00A87019" w:rsidP="00002436" w14:paraId="492D9608" w14:textId="6D08E72A">
      <w:pPr>
        <w:pStyle w:val="BodyText"/>
        <w:tabs>
          <w:tab w:val="left" w:pos="450"/>
        </w:tabs>
        <w:ind w:left="0" w:firstLine="720"/>
        <w:rPr>
          <w:rFonts w:cs="Times New Roman"/>
          <w:sz w:val="24"/>
          <w:szCs w:val="24"/>
        </w:rPr>
      </w:pPr>
      <w:bookmarkStart w:id="1" w:name="_Hlk204756851"/>
      <w:r w:rsidRPr="00A87019">
        <w:rPr>
          <w:rFonts w:cs="Times New Roman"/>
          <w:sz w:val="24"/>
          <w:szCs w:val="24"/>
        </w:rPr>
        <w:t xml:space="preserve">Accordingly, </w:t>
      </w:r>
      <w:r w:rsidRPr="00A87019" w:rsidR="679EB671">
        <w:rPr>
          <w:rFonts w:cs="Times New Roman"/>
          <w:sz w:val="24"/>
          <w:szCs w:val="24"/>
        </w:rPr>
        <w:t xml:space="preserve">FinCEN assumes an electronic processing cost to the Federal government </w:t>
      </w:r>
      <w:r w:rsidRPr="00A87019" w:rsidR="679EB671">
        <w:rPr>
          <w:rFonts w:cs="Times New Roman"/>
          <w:sz w:val="24"/>
          <w:szCs w:val="24"/>
        </w:rPr>
        <w:t xml:space="preserve">of </w:t>
      </w:r>
      <w:r w:rsidRPr="00A87019" w:rsidR="00DA1B57">
        <w:rPr>
          <w:rFonts w:cs="Times New Roman"/>
          <w:sz w:val="24"/>
          <w:szCs w:val="24"/>
        </w:rPr>
        <w:t>$0.30 per instance of initial report data</w:t>
      </w:r>
      <w:r w:rsidRPr="00A87019" w:rsidR="00FC6F8A">
        <w:rPr>
          <w:rFonts w:cs="Times New Roman"/>
          <w:sz w:val="24"/>
          <w:szCs w:val="24"/>
        </w:rPr>
        <w:t>, or set of transaction records</w:t>
      </w:r>
      <w:r w:rsidRPr="00A87019" w:rsidR="00E7510E">
        <w:rPr>
          <w:rFonts w:cs="Times New Roman"/>
          <w:sz w:val="24"/>
          <w:szCs w:val="24"/>
        </w:rPr>
        <w:t>,</w:t>
      </w:r>
      <w:r w:rsidRPr="00A87019" w:rsidR="00A25EEF">
        <w:rPr>
          <w:rStyle w:val="FootnoteReference"/>
          <w:rFonts w:cs="Times New Roman"/>
          <w:sz w:val="24"/>
          <w:szCs w:val="24"/>
        </w:rPr>
        <w:t xml:space="preserve"> </w:t>
      </w:r>
      <w:r>
        <w:rPr>
          <w:rStyle w:val="FootnoteReference"/>
          <w:rFonts w:cs="Times New Roman"/>
          <w:sz w:val="24"/>
          <w:szCs w:val="24"/>
        </w:rPr>
        <w:footnoteReference w:id="38"/>
      </w:r>
      <w:r w:rsidRPr="00A87019" w:rsidR="00A41194">
        <w:rPr>
          <w:rFonts w:cs="Times New Roman"/>
          <w:sz w:val="24"/>
          <w:szCs w:val="24"/>
        </w:rPr>
        <w:t xml:space="preserve"> </w:t>
      </w:r>
      <w:r w:rsidRPr="00A87019" w:rsidR="679EB671">
        <w:rPr>
          <w:rFonts w:cs="Times New Roman"/>
          <w:sz w:val="24"/>
          <w:szCs w:val="24"/>
        </w:rPr>
        <w:t xml:space="preserve">and </w:t>
      </w:r>
      <w:r w:rsidRPr="00A87019" w:rsidR="00DA1B57">
        <w:rPr>
          <w:rFonts w:cs="Times New Roman"/>
          <w:sz w:val="24"/>
          <w:szCs w:val="24"/>
        </w:rPr>
        <w:t>$0.10</w:t>
      </w:r>
      <w:r w:rsidRPr="00A87019" w:rsidR="00DA1B57">
        <w:rPr>
          <w:rFonts w:cs="Times New Roman"/>
          <w:sz w:val="24"/>
          <w:szCs w:val="24"/>
          <w:vertAlign w:val="superscript"/>
        </w:rPr>
        <w:t xml:space="preserve"> </w:t>
      </w:r>
      <w:r w:rsidRPr="00A87019" w:rsidR="00DA1B57">
        <w:rPr>
          <w:rFonts w:cs="Times New Roman"/>
          <w:sz w:val="24"/>
          <w:szCs w:val="24"/>
        </w:rPr>
        <w:t>per instance of subsequent report data</w:t>
      </w:r>
      <w:r w:rsidRPr="00A87019" w:rsidR="006C008D">
        <w:rPr>
          <w:rFonts w:cs="Times New Roman"/>
          <w:sz w:val="24"/>
          <w:szCs w:val="24"/>
        </w:rPr>
        <w:t>.</w:t>
      </w:r>
      <w:r>
        <w:rPr>
          <w:rStyle w:val="FootnoteReference"/>
          <w:rFonts w:cs="Times New Roman"/>
          <w:sz w:val="24"/>
          <w:szCs w:val="24"/>
        </w:rPr>
        <w:footnoteReference w:id="39"/>
      </w:r>
      <w:r w:rsidRPr="00A87019" w:rsidR="00DA1B57">
        <w:rPr>
          <w:rFonts w:cs="Times New Roman"/>
          <w:sz w:val="24"/>
          <w:szCs w:val="24"/>
        </w:rPr>
        <w:t xml:space="preserve"> </w:t>
      </w:r>
      <w:r w:rsidRPr="00A87019" w:rsidR="00EE5A34">
        <w:rPr>
          <w:rFonts w:cs="Times New Roman"/>
          <w:sz w:val="24"/>
          <w:szCs w:val="24"/>
        </w:rPr>
        <w:t xml:space="preserve"> </w:t>
      </w:r>
      <w:r w:rsidRPr="00A87019" w:rsidR="004D0293">
        <w:rPr>
          <w:rFonts w:cs="Times New Roman"/>
          <w:sz w:val="24"/>
          <w:szCs w:val="24"/>
        </w:rPr>
        <w:t xml:space="preserve">Using these </w:t>
      </w:r>
      <w:r w:rsidRPr="00A87019" w:rsidR="00DF4548">
        <w:rPr>
          <w:rFonts w:cs="Times New Roman"/>
          <w:sz w:val="24"/>
          <w:szCs w:val="24"/>
        </w:rPr>
        <w:t>estimates</w:t>
      </w:r>
      <w:r w:rsidRPr="00A87019">
        <w:rPr>
          <w:rFonts w:cs="Times New Roman"/>
          <w:sz w:val="24"/>
          <w:szCs w:val="24"/>
        </w:rPr>
        <w:t xml:space="preserve">, the </w:t>
      </w:r>
      <w:r w:rsidRPr="00A87019" w:rsidR="00B1295E">
        <w:rPr>
          <w:rFonts w:cs="Times New Roman"/>
          <w:sz w:val="24"/>
          <w:szCs w:val="24"/>
        </w:rPr>
        <w:t>records maintenance</w:t>
      </w:r>
      <w:r w:rsidRPr="00A87019">
        <w:rPr>
          <w:rFonts w:cs="Times New Roman"/>
          <w:sz w:val="24"/>
          <w:szCs w:val="24"/>
        </w:rPr>
        <w:t xml:space="preserve"> cost to FinCEN is</w:t>
      </w:r>
      <w:r w:rsidRPr="00A87019" w:rsidR="007D49E5">
        <w:rPr>
          <w:rFonts w:cs="Times New Roman"/>
          <w:sz w:val="24"/>
          <w:szCs w:val="24"/>
        </w:rPr>
        <w:t xml:space="preserve"> </w:t>
      </w:r>
      <w:r w:rsidRPr="00A87019" w:rsidR="00527012">
        <w:rPr>
          <w:rFonts w:cs="Times New Roman"/>
          <w:sz w:val="24"/>
          <w:szCs w:val="24"/>
        </w:rPr>
        <w:t>e</w:t>
      </w:r>
      <w:r w:rsidRPr="00A87019" w:rsidR="0045750D">
        <w:rPr>
          <w:rFonts w:cs="Times New Roman"/>
          <w:sz w:val="24"/>
          <w:szCs w:val="24"/>
        </w:rPr>
        <w:t>xpected</w:t>
      </w:r>
      <w:r w:rsidRPr="00A87019" w:rsidR="00527012">
        <w:rPr>
          <w:rFonts w:cs="Times New Roman"/>
          <w:sz w:val="24"/>
          <w:szCs w:val="24"/>
        </w:rPr>
        <w:t xml:space="preserve"> to be</w:t>
      </w:r>
      <w:r w:rsidRPr="00A87019" w:rsidR="007D49E5">
        <w:rPr>
          <w:rFonts w:cs="Times New Roman"/>
          <w:sz w:val="24"/>
          <w:szCs w:val="24"/>
        </w:rPr>
        <w:t xml:space="preserve"> $1,000</w:t>
      </w:r>
      <w:r w:rsidRPr="00A87019" w:rsidR="00B554A9">
        <w:rPr>
          <w:rFonts w:cs="Times New Roman"/>
          <w:sz w:val="24"/>
          <w:szCs w:val="24"/>
        </w:rPr>
        <w:t>.</w:t>
      </w:r>
      <w:r>
        <w:rPr>
          <w:rStyle w:val="FootnoteReference"/>
          <w:rFonts w:cs="Times New Roman"/>
          <w:sz w:val="24"/>
          <w:szCs w:val="24"/>
        </w:rPr>
        <w:footnoteReference w:id="40"/>
      </w:r>
    </w:p>
    <w:p w:rsidR="0024146D" w:rsidRPr="00A87019" w:rsidP="00CA5F9A" w14:paraId="417AE5DB" w14:textId="77777777">
      <w:pPr>
        <w:pStyle w:val="BodyText"/>
        <w:tabs>
          <w:tab w:val="left" w:pos="450"/>
        </w:tabs>
        <w:ind w:left="0"/>
        <w:rPr>
          <w:rFonts w:cs="Times New Roman"/>
          <w:sz w:val="24"/>
          <w:szCs w:val="24"/>
        </w:rPr>
      </w:pPr>
      <w:r w:rsidRPr="00A87019">
        <w:rPr>
          <w:rFonts w:cs="Times New Roman"/>
          <w:sz w:val="24"/>
          <w:szCs w:val="24"/>
        </w:rPr>
        <w:tab/>
      </w:r>
      <w:r w:rsidRPr="00A87019" w:rsidR="003A608D">
        <w:rPr>
          <w:rFonts w:cs="Times New Roman"/>
          <w:sz w:val="24"/>
          <w:szCs w:val="24"/>
        </w:rPr>
        <w:t xml:space="preserve"> </w:t>
      </w:r>
    </w:p>
    <w:p w:rsidR="007D49E5" w:rsidRPr="00A87019" w:rsidP="00CA5F9A" w14:paraId="6E7BABC6" w14:textId="67387348">
      <w:pPr>
        <w:pStyle w:val="BodyText"/>
        <w:tabs>
          <w:tab w:val="left" w:pos="450"/>
        </w:tabs>
        <w:ind w:left="0"/>
        <w:rPr>
          <w:rFonts w:cs="Times New Roman"/>
          <w:sz w:val="24"/>
          <w:szCs w:val="24"/>
        </w:rPr>
      </w:pPr>
      <w:r w:rsidRPr="00A87019">
        <w:rPr>
          <w:rFonts w:cs="Times New Roman"/>
          <w:sz w:val="24"/>
          <w:szCs w:val="24"/>
        </w:rPr>
        <w:tab/>
      </w:r>
      <w:r w:rsidRPr="00A87019">
        <w:rPr>
          <w:rFonts w:cs="Times New Roman"/>
          <w:sz w:val="24"/>
          <w:szCs w:val="24"/>
        </w:rPr>
        <w:tab/>
      </w:r>
      <w:r w:rsidRPr="00A87019">
        <w:rPr>
          <w:rFonts w:cs="Times New Roman"/>
          <w:sz w:val="24"/>
          <w:szCs w:val="24"/>
        </w:rPr>
        <w:t>In addition, FinCEN</w:t>
      </w:r>
      <w:r w:rsidRPr="00A87019" w:rsidR="008E0808">
        <w:rPr>
          <w:rFonts w:cs="Times New Roman"/>
          <w:sz w:val="24"/>
          <w:szCs w:val="24"/>
        </w:rPr>
        <w:t xml:space="preserve"> ex</w:t>
      </w:r>
      <w:r w:rsidRPr="00A87019" w:rsidR="00BB1564">
        <w:rPr>
          <w:rFonts w:cs="Times New Roman"/>
          <w:sz w:val="24"/>
          <w:szCs w:val="24"/>
        </w:rPr>
        <w:t>pects to incur costs related to the time</w:t>
      </w:r>
      <w:r w:rsidRPr="00A87019" w:rsidR="00690C2B">
        <w:rPr>
          <w:rFonts w:cs="Times New Roman"/>
          <w:sz w:val="24"/>
          <w:szCs w:val="24"/>
        </w:rPr>
        <w:t xml:space="preserve"> that</w:t>
      </w:r>
      <w:r w:rsidRPr="00A87019" w:rsidR="00BB1564">
        <w:rPr>
          <w:rFonts w:cs="Times New Roman"/>
          <w:sz w:val="24"/>
          <w:szCs w:val="24"/>
        </w:rPr>
        <w:t xml:space="preserve"> staff expend</w:t>
      </w:r>
      <w:r w:rsidRPr="00A87019" w:rsidR="00B867C4">
        <w:rPr>
          <w:rFonts w:cs="Times New Roman"/>
          <w:sz w:val="24"/>
          <w:szCs w:val="24"/>
        </w:rPr>
        <w:t xml:space="preserve"> </w:t>
      </w:r>
      <w:r w:rsidRPr="00A87019" w:rsidR="00574BD8">
        <w:rPr>
          <w:rFonts w:cs="Times New Roman"/>
          <w:sz w:val="24"/>
          <w:szCs w:val="24"/>
        </w:rPr>
        <w:t>to ensure data quality</w:t>
      </w:r>
      <w:r w:rsidRPr="00A87019" w:rsidR="00A96A13">
        <w:rPr>
          <w:rFonts w:cs="Times New Roman"/>
          <w:sz w:val="24"/>
          <w:szCs w:val="24"/>
        </w:rPr>
        <w:t>.</w:t>
      </w:r>
      <w:r w:rsidRPr="00A87019">
        <w:rPr>
          <w:rFonts w:cs="Times New Roman"/>
          <w:sz w:val="24"/>
          <w:szCs w:val="24"/>
        </w:rPr>
        <w:t xml:space="preserve"> </w:t>
      </w:r>
      <w:r w:rsidRPr="00A87019" w:rsidR="000616A8">
        <w:rPr>
          <w:rFonts w:cs="Times New Roman"/>
          <w:sz w:val="24"/>
          <w:szCs w:val="24"/>
        </w:rPr>
        <w:t xml:space="preserve"> </w:t>
      </w:r>
      <w:r w:rsidRPr="00A87019" w:rsidR="00D20DD5">
        <w:rPr>
          <w:rFonts w:cs="Times New Roman"/>
          <w:sz w:val="24"/>
          <w:szCs w:val="24"/>
        </w:rPr>
        <w:t>D</w:t>
      </w:r>
      <w:r w:rsidRPr="00A87019">
        <w:rPr>
          <w:rFonts w:cs="Times New Roman"/>
          <w:sz w:val="24"/>
          <w:szCs w:val="24"/>
        </w:rPr>
        <w:t>ata scientists</w:t>
      </w:r>
      <w:r w:rsidRPr="00A87019" w:rsidR="00A576B9">
        <w:rPr>
          <w:rFonts w:cs="Times New Roman"/>
          <w:sz w:val="24"/>
          <w:szCs w:val="24"/>
        </w:rPr>
        <w:t xml:space="preserve"> employed by the federal government</w:t>
      </w:r>
      <w:r w:rsidRPr="00A87019">
        <w:rPr>
          <w:rFonts w:cs="Times New Roman"/>
          <w:sz w:val="24"/>
          <w:szCs w:val="24"/>
        </w:rPr>
        <w:t xml:space="preserve"> </w:t>
      </w:r>
      <w:r w:rsidRPr="00A87019" w:rsidR="00DF00E2">
        <w:rPr>
          <w:rFonts w:cs="Times New Roman"/>
          <w:sz w:val="24"/>
          <w:szCs w:val="24"/>
        </w:rPr>
        <w:t>provide support services to respondents</w:t>
      </w:r>
      <w:r w:rsidRPr="00A87019" w:rsidR="00E271C7">
        <w:rPr>
          <w:rFonts w:cs="Times New Roman"/>
          <w:sz w:val="24"/>
          <w:szCs w:val="24"/>
        </w:rPr>
        <w:t xml:space="preserve"> to facilitate data submission and correct file errors. </w:t>
      </w:r>
      <w:r w:rsidRPr="00A87019" w:rsidR="00C7081F">
        <w:rPr>
          <w:rFonts w:cs="Times New Roman"/>
          <w:sz w:val="24"/>
          <w:szCs w:val="24"/>
        </w:rPr>
        <w:t xml:space="preserve"> </w:t>
      </w:r>
      <w:r w:rsidRPr="00A87019" w:rsidR="00E271C7">
        <w:rPr>
          <w:rFonts w:cs="Times New Roman"/>
          <w:sz w:val="24"/>
          <w:szCs w:val="24"/>
        </w:rPr>
        <w:t>This</w:t>
      </w:r>
      <w:r w:rsidRPr="00A87019" w:rsidR="006E64AD">
        <w:rPr>
          <w:rFonts w:cs="Times New Roman"/>
          <w:sz w:val="24"/>
          <w:szCs w:val="24"/>
        </w:rPr>
        <w:t xml:space="preserve"> </w:t>
      </w:r>
      <w:r w:rsidRPr="00A87019" w:rsidR="00EB5F90">
        <w:rPr>
          <w:rFonts w:cs="Times New Roman"/>
          <w:sz w:val="24"/>
          <w:szCs w:val="24"/>
        </w:rPr>
        <w:t>activity primarily</w:t>
      </w:r>
      <w:r w:rsidRPr="00A87019" w:rsidR="00E271C7">
        <w:rPr>
          <w:rFonts w:cs="Times New Roman"/>
          <w:sz w:val="24"/>
          <w:szCs w:val="24"/>
        </w:rPr>
        <w:t xml:space="preserve"> occurs during </w:t>
      </w:r>
      <w:r w:rsidRPr="00A87019" w:rsidR="005D70A3">
        <w:rPr>
          <w:rFonts w:cs="Times New Roman"/>
          <w:sz w:val="24"/>
          <w:szCs w:val="24"/>
        </w:rPr>
        <w:t xml:space="preserve">the </w:t>
      </w:r>
      <w:r w:rsidRPr="00A87019" w:rsidR="000A6C61">
        <w:rPr>
          <w:rFonts w:cs="Times New Roman"/>
          <w:sz w:val="24"/>
          <w:szCs w:val="24"/>
        </w:rPr>
        <w:t xml:space="preserve">phase of </w:t>
      </w:r>
      <w:r w:rsidRPr="00A87019" w:rsidR="00E271C7">
        <w:rPr>
          <w:rFonts w:cs="Times New Roman"/>
          <w:sz w:val="24"/>
          <w:szCs w:val="24"/>
        </w:rPr>
        <w:t xml:space="preserve">initial reporting. </w:t>
      </w:r>
      <w:r w:rsidRPr="00A87019" w:rsidR="00CA5F9A">
        <w:rPr>
          <w:rFonts w:cs="Times New Roman"/>
          <w:sz w:val="24"/>
          <w:szCs w:val="24"/>
        </w:rPr>
        <w:t xml:space="preserve"> </w:t>
      </w:r>
      <w:r w:rsidRPr="00A87019" w:rsidR="00E271C7">
        <w:rPr>
          <w:rFonts w:cs="Times New Roman"/>
          <w:sz w:val="24"/>
          <w:szCs w:val="24"/>
        </w:rPr>
        <w:t>Assuming that</w:t>
      </w:r>
      <w:r w:rsidRPr="00A87019" w:rsidR="00E271C7">
        <w:rPr>
          <w:rFonts w:cs="Times New Roman"/>
          <w:sz w:val="24"/>
          <w:szCs w:val="24"/>
        </w:rPr>
        <w:t xml:space="preserve"> </w:t>
      </w:r>
      <w:r w:rsidRPr="00A87019" w:rsidR="009D6B89">
        <w:rPr>
          <w:rFonts w:cs="Times New Roman"/>
          <w:sz w:val="24"/>
          <w:szCs w:val="24"/>
        </w:rPr>
        <w:t>ten</w:t>
      </w:r>
      <w:r w:rsidRPr="00A87019" w:rsidR="00EB1BB4">
        <w:rPr>
          <w:rFonts w:cs="Times New Roman"/>
          <w:sz w:val="24"/>
          <w:szCs w:val="24"/>
        </w:rPr>
        <w:t xml:space="preserve"> percent</w:t>
      </w:r>
      <w:r w:rsidRPr="00A87019" w:rsidR="0053663B">
        <w:rPr>
          <w:rFonts w:cs="Times New Roman"/>
          <w:sz w:val="24"/>
          <w:szCs w:val="24"/>
        </w:rPr>
        <w:t xml:space="preserve"> of </w:t>
      </w:r>
      <w:r w:rsidRPr="00A87019" w:rsidR="000734F1">
        <w:rPr>
          <w:rFonts w:cs="Times New Roman"/>
          <w:sz w:val="24"/>
          <w:szCs w:val="24"/>
        </w:rPr>
        <w:t xml:space="preserve">40 total annual initial transmissions require </w:t>
      </w:r>
      <w:r w:rsidRPr="00A87019" w:rsidR="00832949">
        <w:rPr>
          <w:rFonts w:cs="Times New Roman"/>
          <w:sz w:val="24"/>
          <w:szCs w:val="24"/>
        </w:rPr>
        <w:t>support services</w:t>
      </w:r>
      <w:r w:rsidRPr="00A87019" w:rsidR="000734F1">
        <w:rPr>
          <w:rFonts w:cs="Times New Roman"/>
          <w:sz w:val="24"/>
          <w:szCs w:val="24"/>
        </w:rPr>
        <w:t>, th</w:t>
      </w:r>
      <w:r w:rsidRPr="00A87019" w:rsidR="00EE0E82">
        <w:rPr>
          <w:rFonts w:cs="Times New Roman"/>
          <w:sz w:val="24"/>
          <w:szCs w:val="24"/>
        </w:rPr>
        <w:t xml:space="preserve">e </w:t>
      </w:r>
      <w:r w:rsidRPr="00A87019" w:rsidR="00196400">
        <w:rPr>
          <w:rFonts w:cs="Times New Roman"/>
          <w:sz w:val="24"/>
          <w:szCs w:val="24"/>
        </w:rPr>
        <w:t xml:space="preserve">annual average </w:t>
      </w:r>
      <w:r w:rsidRPr="00A87019" w:rsidR="00E15215">
        <w:rPr>
          <w:rFonts w:cs="Times New Roman"/>
          <w:sz w:val="24"/>
          <w:szCs w:val="24"/>
        </w:rPr>
        <w:t>burde</w:t>
      </w:r>
      <w:r w:rsidRPr="00A87019" w:rsidR="00C47EDC">
        <w:rPr>
          <w:rFonts w:cs="Times New Roman"/>
          <w:sz w:val="24"/>
          <w:szCs w:val="24"/>
        </w:rPr>
        <w:t xml:space="preserve">n to </w:t>
      </w:r>
      <w:r w:rsidRPr="00A87019" w:rsidR="00E52715">
        <w:rPr>
          <w:rFonts w:cs="Times New Roman"/>
          <w:sz w:val="24"/>
          <w:szCs w:val="24"/>
        </w:rPr>
        <w:t xml:space="preserve">the federal government would </w:t>
      </w:r>
      <w:r w:rsidRPr="00A87019" w:rsidR="001F3251">
        <w:rPr>
          <w:rFonts w:cs="Times New Roman"/>
          <w:sz w:val="24"/>
          <w:szCs w:val="24"/>
        </w:rPr>
        <w:t>include</w:t>
      </w:r>
      <w:r w:rsidRPr="00A87019" w:rsidR="000734F1">
        <w:rPr>
          <w:rFonts w:cs="Times New Roman"/>
          <w:sz w:val="24"/>
          <w:szCs w:val="24"/>
        </w:rPr>
        <w:t xml:space="preserve"> </w:t>
      </w:r>
      <w:r w:rsidRPr="00A87019" w:rsidR="00CA0EB7">
        <w:rPr>
          <w:rFonts w:cs="Times New Roman"/>
          <w:sz w:val="24"/>
          <w:szCs w:val="24"/>
        </w:rPr>
        <w:t>four</w:t>
      </w:r>
      <w:r w:rsidRPr="00A87019" w:rsidR="000A73E2">
        <w:rPr>
          <w:rFonts w:cs="Times New Roman"/>
          <w:sz w:val="24"/>
          <w:szCs w:val="24"/>
        </w:rPr>
        <w:t xml:space="preserve"> hours of assistance time</w:t>
      </w:r>
      <w:r w:rsidRPr="00A87019" w:rsidR="00E33627">
        <w:rPr>
          <w:rFonts w:cs="Times New Roman"/>
          <w:sz w:val="24"/>
          <w:szCs w:val="24"/>
        </w:rPr>
        <w:t xml:space="preserve"> and </w:t>
      </w:r>
      <w:r w:rsidRPr="00A87019" w:rsidR="0065266C">
        <w:rPr>
          <w:rFonts w:cs="Times New Roman"/>
          <w:sz w:val="24"/>
          <w:szCs w:val="24"/>
        </w:rPr>
        <w:t xml:space="preserve">the </w:t>
      </w:r>
      <w:r w:rsidRPr="00A87019" w:rsidR="00E33627">
        <w:rPr>
          <w:rFonts w:cs="Times New Roman"/>
          <w:sz w:val="24"/>
          <w:szCs w:val="24"/>
        </w:rPr>
        <w:t xml:space="preserve">total cost of </w:t>
      </w:r>
      <w:r w:rsidRPr="00A87019" w:rsidR="001B0190">
        <w:rPr>
          <w:rFonts w:cs="Times New Roman"/>
          <w:sz w:val="24"/>
          <w:szCs w:val="24"/>
        </w:rPr>
        <w:t xml:space="preserve">these </w:t>
      </w:r>
      <w:r w:rsidRPr="00A87019" w:rsidR="001E5259">
        <w:rPr>
          <w:rFonts w:cs="Times New Roman"/>
          <w:sz w:val="24"/>
          <w:szCs w:val="24"/>
        </w:rPr>
        <w:t xml:space="preserve">services would be </w:t>
      </w:r>
      <w:r w:rsidRPr="00A87019" w:rsidR="009C792F">
        <w:rPr>
          <w:rFonts w:cs="Times New Roman"/>
          <w:sz w:val="24"/>
          <w:szCs w:val="24"/>
        </w:rPr>
        <w:t xml:space="preserve">approximately </w:t>
      </w:r>
      <w:r w:rsidRPr="00A87019" w:rsidR="00E33627">
        <w:rPr>
          <w:rFonts w:cs="Times New Roman"/>
          <w:sz w:val="24"/>
          <w:szCs w:val="24"/>
        </w:rPr>
        <w:t>$4</w:t>
      </w:r>
      <w:r w:rsidR="00AA2F3B">
        <w:rPr>
          <w:rFonts w:cs="Times New Roman"/>
          <w:sz w:val="24"/>
          <w:szCs w:val="24"/>
        </w:rPr>
        <w:t>00</w:t>
      </w:r>
      <w:r w:rsidRPr="00A87019" w:rsidR="00E33627">
        <w:rPr>
          <w:rFonts w:cs="Times New Roman"/>
          <w:sz w:val="24"/>
          <w:szCs w:val="24"/>
        </w:rPr>
        <w:t xml:space="preserve"> </w:t>
      </w:r>
      <w:r w:rsidRPr="00A87019" w:rsidR="00223F3C">
        <w:rPr>
          <w:rFonts w:cs="Times New Roman"/>
          <w:sz w:val="24"/>
          <w:szCs w:val="24"/>
        </w:rPr>
        <w:t>annually</w:t>
      </w:r>
      <w:r w:rsidRPr="00A87019" w:rsidR="000A73E2">
        <w:rPr>
          <w:rFonts w:cs="Times New Roman"/>
          <w:sz w:val="24"/>
          <w:szCs w:val="24"/>
        </w:rPr>
        <w:t xml:space="preserve"> </w:t>
      </w:r>
      <w:r w:rsidRPr="00A87019" w:rsidR="0068438A">
        <w:rPr>
          <w:rFonts w:cs="Times New Roman"/>
          <w:sz w:val="24"/>
          <w:szCs w:val="24"/>
        </w:rPr>
        <w:t>(</w:t>
      </w:r>
      <w:r w:rsidRPr="00A87019" w:rsidR="3D4F2972">
        <w:rPr>
          <w:rFonts w:cs="Times New Roman"/>
          <w:sz w:val="24"/>
          <w:szCs w:val="24"/>
        </w:rPr>
        <w:t>4 hours x $</w:t>
      </w:r>
      <w:r w:rsidRPr="00A87019" w:rsidR="00E66261">
        <w:rPr>
          <w:rFonts w:cs="Times New Roman"/>
          <w:sz w:val="24"/>
          <w:szCs w:val="24"/>
        </w:rPr>
        <w:t>100</w:t>
      </w:r>
      <w:r>
        <w:rPr>
          <w:rStyle w:val="FootnoteReference"/>
          <w:rFonts w:cs="Times New Roman"/>
          <w:sz w:val="24"/>
          <w:szCs w:val="24"/>
        </w:rPr>
        <w:footnoteReference w:id="41"/>
      </w:r>
      <w:r w:rsidRPr="00A87019" w:rsidR="6B52997A">
        <w:rPr>
          <w:rFonts w:cs="Times New Roman"/>
          <w:sz w:val="24"/>
          <w:szCs w:val="24"/>
        </w:rPr>
        <w:t xml:space="preserve"> per hour = $</w:t>
      </w:r>
      <w:r w:rsidRPr="00A87019" w:rsidR="00E33627">
        <w:rPr>
          <w:rFonts w:cs="Times New Roman"/>
          <w:sz w:val="24"/>
          <w:szCs w:val="24"/>
        </w:rPr>
        <w:t>4</w:t>
      </w:r>
      <w:r w:rsidRPr="00A87019" w:rsidR="006C2DDC">
        <w:rPr>
          <w:rFonts w:cs="Times New Roman"/>
          <w:sz w:val="24"/>
          <w:szCs w:val="24"/>
        </w:rPr>
        <w:t>00</w:t>
      </w:r>
      <w:r w:rsidRPr="00A87019" w:rsidR="7C08C192">
        <w:rPr>
          <w:rFonts w:cs="Times New Roman"/>
          <w:sz w:val="24"/>
          <w:szCs w:val="24"/>
        </w:rPr>
        <w:t xml:space="preserve"> per year</w:t>
      </w:r>
      <w:r w:rsidRPr="00A87019" w:rsidR="0068438A">
        <w:rPr>
          <w:rFonts w:cs="Times New Roman"/>
          <w:sz w:val="24"/>
          <w:szCs w:val="24"/>
        </w:rPr>
        <w:t>)</w:t>
      </w:r>
      <w:r w:rsidRPr="00A87019" w:rsidR="00CF7AE9">
        <w:rPr>
          <w:rFonts w:cs="Times New Roman"/>
          <w:sz w:val="24"/>
          <w:szCs w:val="24"/>
        </w:rPr>
        <w:t>.</w:t>
      </w:r>
    </w:p>
    <w:p w:rsidR="001F1490" w:rsidRPr="00A87019" w:rsidP="00CA5F9A" w14:paraId="5702CC52" w14:textId="77777777">
      <w:pPr>
        <w:pStyle w:val="BodyText"/>
        <w:tabs>
          <w:tab w:val="left" w:pos="450"/>
        </w:tabs>
        <w:ind w:left="0"/>
        <w:rPr>
          <w:rFonts w:cs="Times New Roman"/>
          <w:sz w:val="24"/>
          <w:szCs w:val="24"/>
        </w:rPr>
      </w:pPr>
    </w:p>
    <w:p w:rsidR="001F1490" w:rsidRPr="00A87019" w:rsidP="00CA5F9A" w14:paraId="3B84EACE" w14:textId="56CCCC60">
      <w:pPr>
        <w:pStyle w:val="BodyText"/>
        <w:tabs>
          <w:tab w:val="left" w:pos="450"/>
        </w:tabs>
        <w:ind w:left="0"/>
        <w:rPr>
          <w:rFonts w:cs="Times New Roman"/>
          <w:sz w:val="24"/>
          <w:szCs w:val="24"/>
        </w:rPr>
      </w:pPr>
      <w:r w:rsidRPr="00A87019">
        <w:rPr>
          <w:rFonts w:cs="Times New Roman"/>
          <w:sz w:val="24"/>
          <w:szCs w:val="24"/>
        </w:rPr>
        <w:tab/>
        <w:t xml:space="preserve">This results in a total annual cost to the Federal government of $1,400 ($1,000 + $400). </w:t>
      </w:r>
    </w:p>
    <w:p w:rsidR="00615A88" w:rsidRPr="00A87019" w:rsidP="00DA4035" w14:paraId="40CE479F" w14:textId="77777777">
      <w:pPr>
        <w:pStyle w:val="BodyText"/>
        <w:tabs>
          <w:tab w:val="left" w:pos="450"/>
        </w:tabs>
        <w:ind w:left="0"/>
        <w:rPr>
          <w:rFonts w:cs="Times New Roman"/>
          <w:sz w:val="24"/>
          <w:szCs w:val="24"/>
        </w:rPr>
      </w:pPr>
    </w:p>
    <w:bookmarkEnd w:id="1"/>
    <w:p w:rsidR="00046F42" w:rsidRPr="00A87019" w:rsidP="00046F42" w14:paraId="449E7B73" w14:textId="77777777">
      <w:pPr>
        <w:widowControl/>
        <w:rPr>
          <w:rFonts w:ascii="Times New Roman" w:eastAsia="Times New Roman" w:hAnsi="Times New Roman" w:cs="Times New Roman"/>
          <w:sz w:val="24"/>
          <w:szCs w:val="24"/>
        </w:rPr>
      </w:pPr>
      <w:r w:rsidRPr="00A87019">
        <w:rPr>
          <w:rFonts w:ascii="Times New Roman" w:eastAsia="Times New Roman" w:hAnsi="Times New Roman" w:cs="Times New Roman"/>
          <w:sz w:val="24"/>
          <w:szCs w:val="24"/>
        </w:rPr>
        <w:t xml:space="preserve">15. </w:t>
      </w:r>
      <w:r w:rsidRPr="00A87019">
        <w:rPr>
          <w:rFonts w:ascii="Times New Roman" w:eastAsia="Times New Roman" w:hAnsi="Times New Roman" w:cs="Times New Roman"/>
          <w:sz w:val="24"/>
          <w:szCs w:val="24"/>
          <w:u w:val="single"/>
        </w:rPr>
        <w:t>Reason for change in burden.</w:t>
      </w:r>
      <w:r w:rsidRPr="00A87019">
        <w:rPr>
          <w:rFonts w:ascii="Times New Roman" w:eastAsia="Times New Roman" w:hAnsi="Times New Roman" w:cs="Times New Roman"/>
          <w:sz w:val="24"/>
          <w:szCs w:val="24"/>
        </w:rPr>
        <w:t xml:space="preserve"> </w:t>
      </w:r>
    </w:p>
    <w:p w:rsidR="00D17D57" w:rsidRPr="00F01BF1" w:rsidP="00C14283" w14:paraId="10A4A7A3" w14:textId="77777777">
      <w:pPr>
        <w:pStyle w:val="BodyText"/>
        <w:tabs>
          <w:tab w:val="left" w:pos="526"/>
        </w:tabs>
        <w:ind w:left="0"/>
        <w:rPr>
          <w:rFonts w:cs="Times New Roman"/>
          <w:sz w:val="24"/>
          <w:szCs w:val="24"/>
        </w:rPr>
      </w:pPr>
    </w:p>
    <w:p w:rsidR="00150A0A" w:rsidRPr="00A87019" w:rsidP="00CD32FF" w14:paraId="38AA1BD7" w14:textId="55AB238C">
      <w:pPr>
        <w:pStyle w:val="BodyText"/>
        <w:ind w:left="0" w:firstLine="720"/>
        <w:rPr>
          <w:rFonts w:cs="Times New Roman"/>
          <w:sz w:val="24"/>
          <w:szCs w:val="24"/>
        </w:rPr>
      </w:pPr>
      <w:r w:rsidRPr="00A87019">
        <w:rPr>
          <w:rFonts w:cs="Times New Roman"/>
          <w:sz w:val="24"/>
          <w:szCs w:val="24"/>
        </w:rPr>
        <w:t xml:space="preserve">FinCEN estimates reflect </w:t>
      </w:r>
      <w:r w:rsidRPr="00A87019">
        <w:rPr>
          <w:rFonts w:cs="Times New Roman"/>
          <w:sz w:val="24"/>
          <w:szCs w:val="24"/>
        </w:rPr>
        <w:t>a number of</w:t>
      </w:r>
      <w:r w:rsidRPr="00A87019">
        <w:rPr>
          <w:rFonts w:cs="Times New Roman"/>
          <w:sz w:val="24"/>
          <w:szCs w:val="24"/>
        </w:rPr>
        <w:t xml:space="preserve"> changes</w:t>
      </w:r>
      <w:r w:rsidRPr="00A87019" w:rsidR="0063574A">
        <w:rPr>
          <w:rFonts w:cs="Times New Roman"/>
          <w:sz w:val="24"/>
          <w:szCs w:val="24"/>
        </w:rPr>
        <w:t xml:space="preserve"> since</w:t>
      </w:r>
      <w:r w:rsidRPr="00A87019" w:rsidR="000C5365">
        <w:rPr>
          <w:rFonts w:cs="Times New Roman"/>
          <w:sz w:val="24"/>
          <w:szCs w:val="24"/>
        </w:rPr>
        <w:t xml:space="preserve"> the most recent prior OMB control number renewal</w:t>
      </w:r>
      <w:r w:rsidRPr="00A87019" w:rsidR="00D823C8">
        <w:rPr>
          <w:rFonts w:cs="Times New Roman"/>
          <w:sz w:val="24"/>
          <w:szCs w:val="24"/>
        </w:rPr>
        <w:t xml:space="preserve"> which</w:t>
      </w:r>
      <w:r w:rsidRPr="00A87019" w:rsidR="00C3507A">
        <w:rPr>
          <w:rFonts w:cs="Times New Roman"/>
          <w:sz w:val="24"/>
          <w:szCs w:val="24"/>
        </w:rPr>
        <w:t xml:space="preserve"> </w:t>
      </w:r>
      <w:r w:rsidRPr="00A87019" w:rsidR="00221E45">
        <w:rPr>
          <w:rFonts w:cs="Times New Roman"/>
          <w:sz w:val="24"/>
          <w:szCs w:val="24"/>
        </w:rPr>
        <w:t>affect</w:t>
      </w:r>
      <w:r w:rsidRPr="00A87019" w:rsidR="00D823C8">
        <w:rPr>
          <w:rFonts w:cs="Times New Roman"/>
          <w:sz w:val="24"/>
          <w:szCs w:val="24"/>
        </w:rPr>
        <w:t>ed</w:t>
      </w:r>
      <w:r w:rsidRPr="00A87019" w:rsidR="00221E45">
        <w:rPr>
          <w:rFonts w:cs="Times New Roman"/>
          <w:sz w:val="24"/>
          <w:szCs w:val="24"/>
        </w:rPr>
        <w:t xml:space="preserve"> both the anticipated time burden</w:t>
      </w:r>
      <w:r w:rsidRPr="00A87019" w:rsidR="00E17134">
        <w:rPr>
          <w:rFonts w:cs="Times New Roman"/>
          <w:sz w:val="24"/>
          <w:szCs w:val="24"/>
        </w:rPr>
        <w:t xml:space="preserve"> associated with</w:t>
      </w:r>
      <w:r w:rsidRPr="00A87019" w:rsidR="00456489">
        <w:rPr>
          <w:rFonts w:cs="Times New Roman"/>
          <w:sz w:val="24"/>
          <w:szCs w:val="24"/>
        </w:rPr>
        <w:t xml:space="preserve"> regulatory compliance activities and the </w:t>
      </w:r>
      <w:r w:rsidRPr="00A87019" w:rsidR="00B709B2">
        <w:rPr>
          <w:rFonts w:cs="Times New Roman"/>
          <w:sz w:val="24"/>
          <w:szCs w:val="24"/>
        </w:rPr>
        <w:t>expected costs</w:t>
      </w:r>
      <w:r w:rsidRPr="00A87019" w:rsidR="00536D3B">
        <w:rPr>
          <w:rFonts w:cs="Times New Roman"/>
          <w:sz w:val="24"/>
          <w:szCs w:val="24"/>
        </w:rPr>
        <w:t>.</w:t>
      </w:r>
    </w:p>
    <w:p w:rsidR="000848D6" w:rsidRPr="00A87019" w:rsidP="00CD32FF" w14:paraId="1F6BE15D" w14:textId="77777777">
      <w:pPr>
        <w:pStyle w:val="BodyText"/>
        <w:ind w:left="0" w:firstLine="720"/>
        <w:rPr>
          <w:rFonts w:cs="Times New Roman"/>
          <w:sz w:val="24"/>
          <w:szCs w:val="24"/>
        </w:rPr>
      </w:pPr>
    </w:p>
    <w:p w:rsidR="00ED5867" w:rsidRPr="00A87019" w:rsidP="00CD32FF" w14:paraId="27A346CC" w14:textId="02F53E5A">
      <w:pPr>
        <w:pStyle w:val="BodyText"/>
        <w:ind w:left="0" w:firstLine="720"/>
        <w:rPr>
          <w:rFonts w:cs="Times New Roman"/>
          <w:sz w:val="24"/>
          <w:szCs w:val="24"/>
        </w:rPr>
      </w:pPr>
      <w:r w:rsidRPr="00A87019">
        <w:rPr>
          <w:rFonts w:cs="Times New Roman"/>
          <w:sz w:val="24"/>
          <w:szCs w:val="24"/>
        </w:rPr>
        <w:t xml:space="preserve">The estimated total annual burden hours </w:t>
      </w:r>
      <w:r w:rsidRPr="00A87019" w:rsidR="00884443">
        <w:rPr>
          <w:rFonts w:cs="Times New Roman"/>
          <w:sz w:val="24"/>
          <w:szCs w:val="24"/>
        </w:rPr>
        <w:t>inc</w:t>
      </w:r>
      <w:r w:rsidRPr="00A87019" w:rsidR="00655B6D">
        <w:rPr>
          <w:rFonts w:cs="Times New Roman"/>
          <w:sz w:val="24"/>
          <w:szCs w:val="24"/>
        </w:rPr>
        <w:t>r</w:t>
      </w:r>
      <w:r w:rsidRPr="00A87019" w:rsidR="00884443">
        <w:rPr>
          <w:rFonts w:cs="Times New Roman"/>
          <w:sz w:val="24"/>
          <w:szCs w:val="24"/>
        </w:rPr>
        <w:t>eased</w:t>
      </w:r>
      <w:r w:rsidRPr="00A87019">
        <w:rPr>
          <w:rFonts w:cs="Times New Roman"/>
          <w:sz w:val="24"/>
          <w:szCs w:val="24"/>
        </w:rPr>
        <w:t xml:space="preserve"> </w:t>
      </w:r>
      <w:r w:rsidRPr="00A87019" w:rsidR="001D28CC">
        <w:rPr>
          <w:rFonts w:cs="Times New Roman"/>
          <w:sz w:val="24"/>
          <w:szCs w:val="24"/>
        </w:rPr>
        <w:t xml:space="preserve">from an estimate of </w:t>
      </w:r>
      <w:r w:rsidRPr="00A87019" w:rsidR="00C6567A">
        <w:rPr>
          <w:rFonts w:cs="Times New Roman"/>
          <w:sz w:val="24"/>
          <w:szCs w:val="24"/>
        </w:rPr>
        <w:t>11,</w:t>
      </w:r>
      <w:r w:rsidRPr="00A87019" w:rsidR="0006130C">
        <w:rPr>
          <w:rFonts w:cs="Times New Roman"/>
          <w:sz w:val="24"/>
          <w:szCs w:val="24"/>
        </w:rPr>
        <w:t>9</w:t>
      </w:r>
      <w:r w:rsidRPr="00A87019" w:rsidR="00A85B8D">
        <w:rPr>
          <w:rFonts w:cs="Times New Roman"/>
          <w:sz w:val="24"/>
          <w:szCs w:val="24"/>
        </w:rPr>
        <w:t>14</w:t>
      </w:r>
      <w:r w:rsidRPr="00A87019" w:rsidR="002D0FB4">
        <w:rPr>
          <w:rFonts w:cs="Times New Roman"/>
          <w:sz w:val="24"/>
          <w:szCs w:val="24"/>
        </w:rPr>
        <w:t xml:space="preserve"> hours in 2022</w:t>
      </w:r>
      <w:r w:rsidRPr="00A87019" w:rsidR="001D28CC">
        <w:rPr>
          <w:rFonts w:cs="Times New Roman"/>
          <w:sz w:val="24"/>
          <w:szCs w:val="24"/>
        </w:rPr>
        <w:t xml:space="preserve"> to 40,500 hours in 2025. </w:t>
      </w:r>
      <w:r w:rsidRPr="00A87019" w:rsidR="000E6E40">
        <w:rPr>
          <w:rFonts w:cs="Times New Roman"/>
          <w:sz w:val="24"/>
          <w:szCs w:val="24"/>
        </w:rPr>
        <w:t xml:space="preserve"> </w:t>
      </w:r>
      <w:r w:rsidRPr="00A87019" w:rsidR="00ED6DD6">
        <w:rPr>
          <w:rFonts w:cs="Times New Roman"/>
          <w:sz w:val="24"/>
          <w:szCs w:val="24"/>
        </w:rPr>
        <w:t>This is due to several factors</w:t>
      </w:r>
      <w:r w:rsidRPr="00A87019" w:rsidR="00F97FE3">
        <w:rPr>
          <w:rFonts w:cs="Times New Roman"/>
          <w:sz w:val="24"/>
          <w:szCs w:val="24"/>
        </w:rPr>
        <w:t>, but m</w:t>
      </w:r>
      <w:r w:rsidRPr="00A87019" w:rsidR="00ED6DD6">
        <w:rPr>
          <w:rFonts w:cs="Times New Roman"/>
          <w:sz w:val="24"/>
          <w:szCs w:val="24"/>
        </w:rPr>
        <w:t xml:space="preserve">ost notably </w:t>
      </w:r>
      <w:r w:rsidRPr="00A87019" w:rsidR="00DF0BA4">
        <w:rPr>
          <w:rFonts w:cs="Times New Roman"/>
          <w:sz w:val="24"/>
          <w:szCs w:val="24"/>
        </w:rPr>
        <w:t>reflects updating</w:t>
      </w:r>
      <w:r w:rsidRPr="00A87019" w:rsidR="008F7E75">
        <w:rPr>
          <w:rFonts w:cs="Times New Roman"/>
          <w:sz w:val="24"/>
          <w:szCs w:val="24"/>
        </w:rPr>
        <w:t xml:space="preserve"> </w:t>
      </w:r>
      <w:r w:rsidRPr="00A87019" w:rsidR="004700B2">
        <w:rPr>
          <w:rFonts w:cs="Times New Roman"/>
          <w:sz w:val="24"/>
          <w:szCs w:val="24"/>
        </w:rPr>
        <w:t>on the basis of</w:t>
      </w:r>
      <w:r w:rsidRPr="00A87019" w:rsidR="004700B2">
        <w:rPr>
          <w:rFonts w:cs="Times New Roman"/>
          <w:sz w:val="24"/>
          <w:szCs w:val="24"/>
        </w:rPr>
        <w:t xml:space="preserve"> </w:t>
      </w:r>
      <w:r w:rsidRPr="00A87019" w:rsidR="006C4A9E">
        <w:rPr>
          <w:rFonts w:cs="Times New Roman"/>
          <w:sz w:val="24"/>
          <w:szCs w:val="24"/>
        </w:rPr>
        <w:t>the most recent</w:t>
      </w:r>
      <w:r w:rsidRPr="00A87019" w:rsidR="00312F2F">
        <w:rPr>
          <w:rFonts w:cs="Times New Roman"/>
          <w:sz w:val="24"/>
          <w:szCs w:val="24"/>
        </w:rPr>
        <w:t xml:space="preserve"> period of</w:t>
      </w:r>
      <w:r w:rsidRPr="00A87019" w:rsidR="00295EF5">
        <w:rPr>
          <w:rFonts w:cs="Times New Roman"/>
          <w:sz w:val="24"/>
          <w:szCs w:val="24"/>
        </w:rPr>
        <w:t xml:space="preserve"> historical data </w:t>
      </w:r>
      <w:r w:rsidRPr="00A87019" w:rsidR="00AE0DC5">
        <w:rPr>
          <w:rFonts w:cs="Times New Roman"/>
          <w:sz w:val="24"/>
          <w:szCs w:val="24"/>
        </w:rPr>
        <w:t xml:space="preserve">used </w:t>
      </w:r>
      <w:r w:rsidRPr="00A87019" w:rsidR="00295EF5">
        <w:rPr>
          <w:rFonts w:cs="Times New Roman"/>
          <w:sz w:val="24"/>
          <w:szCs w:val="24"/>
        </w:rPr>
        <w:t xml:space="preserve">to estimate the </w:t>
      </w:r>
      <w:r w:rsidRPr="00A87019" w:rsidR="00E462C9">
        <w:rPr>
          <w:rFonts w:cs="Times New Roman"/>
          <w:sz w:val="24"/>
          <w:szCs w:val="24"/>
        </w:rPr>
        <w:t xml:space="preserve">anticipated </w:t>
      </w:r>
      <w:r w:rsidRPr="00A87019" w:rsidR="00295EF5">
        <w:rPr>
          <w:rFonts w:cs="Times New Roman"/>
          <w:sz w:val="24"/>
          <w:szCs w:val="24"/>
        </w:rPr>
        <w:t xml:space="preserve">annual response burden of FFA requests. </w:t>
      </w:r>
      <w:r w:rsidRPr="00A87019" w:rsidR="000848D6">
        <w:rPr>
          <w:rFonts w:cs="Times New Roman"/>
          <w:sz w:val="24"/>
          <w:szCs w:val="24"/>
        </w:rPr>
        <w:t xml:space="preserve"> </w:t>
      </w:r>
      <w:r w:rsidRPr="00A87019" w:rsidR="00BE2E80">
        <w:rPr>
          <w:rFonts w:cs="Times New Roman"/>
          <w:sz w:val="24"/>
          <w:szCs w:val="24"/>
        </w:rPr>
        <w:t xml:space="preserve">In the most recent three-year look-back period, </w:t>
      </w:r>
      <w:r w:rsidRPr="00A87019" w:rsidR="00295EF5">
        <w:rPr>
          <w:rFonts w:cs="Times New Roman"/>
          <w:sz w:val="24"/>
          <w:szCs w:val="24"/>
        </w:rPr>
        <w:t xml:space="preserve">FFA </w:t>
      </w:r>
      <w:r w:rsidRPr="00A87019" w:rsidR="00014D62">
        <w:rPr>
          <w:rFonts w:cs="Times New Roman"/>
          <w:sz w:val="24"/>
          <w:szCs w:val="24"/>
        </w:rPr>
        <w:t xml:space="preserve">regulations have </w:t>
      </w:r>
      <w:r w:rsidRPr="00A87019" w:rsidR="00EB435D">
        <w:rPr>
          <w:rFonts w:cs="Times New Roman"/>
          <w:sz w:val="24"/>
          <w:szCs w:val="24"/>
        </w:rPr>
        <w:t xml:space="preserve">been issued with greater frequency and with respect to a larger number of FFAs per </w:t>
      </w:r>
      <w:r w:rsidRPr="00A87019" w:rsidR="00F21F69">
        <w:rPr>
          <w:rFonts w:cs="Times New Roman"/>
          <w:sz w:val="24"/>
          <w:szCs w:val="24"/>
        </w:rPr>
        <w:t>regulation</w:t>
      </w:r>
      <w:r w:rsidRPr="00A87019" w:rsidR="00EB435D">
        <w:rPr>
          <w:rFonts w:cs="Times New Roman"/>
          <w:sz w:val="24"/>
          <w:szCs w:val="24"/>
        </w:rPr>
        <w:t xml:space="preserve">, on </w:t>
      </w:r>
      <w:r w:rsidRPr="00A87019" w:rsidR="00E85CDB">
        <w:rPr>
          <w:rFonts w:cs="Times New Roman"/>
          <w:sz w:val="24"/>
          <w:szCs w:val="24"/>
        </w:rPr>
        <w:t xml:space="preserve">average. </w:t>
      </w:r>
      <w:r w:rsidRPr="00A87019" w:rsidR="00C41D81">
        <w:rPr>
          <w:rFonts w:cs="Times New Roman"/>
          <w:sz w:val="24"/>
          <w:szCs w:val="24"/>
        </w:rPr>
        <w:t xml:space="preserve"> Due to the increased frequency </w:t>
      </w:r>
      <w:r w:rsidRPr="00A87019" w:rsidR="00C42ED6">
        <w:rPr>
          <w:rFonts w:cs="Times New Roman"/>
          <w:sz w:val="24"/>
          <w:szCs w:val="24"/>
        </w:rPr>
        <w:t>in</w:t>
      </w:r>
      <w:r w:rsidRPr="00A87019" w:rsidR="6903C8DC">
        <w:rPr>
          <w:rFonts w:cs="Times New Roman"/>
          <w:sz w:val="24"/>
          <w:szCs w:val="24"/>
        </w:rPr>
        <w:t xml:space="preserve"> the</w:t>
      </w:r>
      <w:r w:rsidRPr="00A87019" w:rsidR="00C42ED6">
        <w:rPr>
          <w:rFonts w:cs="Times New Roman"/>
          <w:sz w:val="24"/>
          <w:szCs w:val="24"/>
        </w:rPr>
        <w:t xml:space="preserve"> issuance of</w:t>
      </w:r>
      <w:r w:rsidRPr="00A87019" w:rsidR="00C41D81">
        <w:rPr>
          <w:rFonts w:cs="Times New Roman"/>
          <w:sz w:val="24"/>
          <w:szCs w:val="24"/>
        </w:rPr>
        <w:t xml:space="preserve"> FFA re</w:t>
      </w:r>
      <w:r w:rsidRPr="00A87019" w:rsidR="00C42ED6">
        <w:rPr>
          <w:rFonts w:cs="Times New Roman"/>
          <w:sz w:val="24"/>
          <w:szCs w:val="24"/>
        </w:rPr>
        <w:t>gulations</w:t>
      </w:r>
      <w:r w:rsidRPr="00A87019" w:rsidR="00C41D81">
        <w:rPr>
          <w:rFonts w:cs="Times New Roman"/>
          <w:sz w:val="24"/>
          <w:szCs w:val="24"/>
        </w:rPr>
        <w:t xml:space="preserve">, FinCEN’s estimate of the number </w:t>
      </w:r>
      <w:r w:rsidRPr="00A87019" w:rsidR="17FD1EE7">
        <w:rPr>
          <w:rFonts w:cs="Times New Roman"/>
          <w:sz w:val="24"/>
          <w:szCs w:val="24"/>
        </w:rPr>
        <w:t xml:space="preserve">of </w:t>
      </w:r>
      <w:r w:rsidRPr="00A87019" w:rsidR="00C41D81">
        <w:rPr>
          <w:rFonts w:cs="Times New Roman"/>
          <w:sz w:val="24"/>
          <w:szCs w:val="24"/>
        </w:rPr>
        <w:t>regulations per year increased to 4 from the estimate of approximately 1.33 in 2022.</w:t>
      </w:r>
      <w:r>
        <w:rPr>
          <w:rStyle w:val="FootnoteReference"/>
          <w:rFonts w:cs="Times New Roman"/>
          <w:sz w:val="24"/>
          <w:szCs w:val="24"/>
        </w:rPr>
        <w:footnoteReference w:id="42"/>
      </w:r>
      <w:r w:rsidRPr="00A87019" w:rsidR="00C41D81">
        <w:rPr>
          <w:rFonts w:cs="Times New Roman"/>
          <w:sz w:val="24"/>
          <w:szCs w:val="24"/>
        </w:rPr>
        <w:t xml:space="preserve">  </w:t>
      </w:r>
      <w:r w:rsidRPr="00A87019" w:rsidR="00E85CDB">
        <w:rPr>
          <w:rFonts w:cs="Times New Roman"/>
          <w:sz w:val="24"/>
          <w:szCs w:val="24"/>
        </w:rPr>
        <w:t>T</w:t>
      </w:r>
      <w:r w:rsidRPr="00A87019" w:rsidR="0089183A">
        <w:rPr>
          <w:rFonts w:cs="Times New Roman"/>
          <w:sz w:val="24"/>
          <w:szCs w:val="24"/>
        </w:rPr>
        <w:t>he average number of FFA</w:t>
      </w:r>
      <w:r w:rsidRPr="00A87019" w:rsidR="00D71ACA">
        <w:rPr>
          <w:rFonts w:cs="Times New Roman"/>
          <w:sz w:val="24"/>
          <w:szCs w:val="24"/>
        </w:rPr>
        <w:t>s</w:t>
      </w:r>
      <w:r w:rsidRPr="00A87019" w:rsidR="0089183A">
        <w:rPr>
          <w:rFonts w:cs="Times New Roman"/>
          <w:sz w:val="24"/>
          <w:szCs w:val="24"/>
        </w:rPr>
        <w:t xml:space="preserve"> </w:t>
      </w:r>
      <w:r w:rsidRPr="00A87019" w:rsidR="00D71ACA">
        <w:rPr>
          <w:rFonts w:cs="Times New Roman"/>
          <w:sz w:val="24"/>
          <w:szCs w:val="24"/>
        </w:rPr>
        <w:t>covered per regulation</w:t>
      </w:r>
      <w:r w:rsidRPr="00A87019" w:rsidR="00BA125D">
        <w:rPr>
          <w:rFonts w:cs="Times New Roman"/>
          <w:sz w:val="24"/>
          <w:szCs w:val="24"/>
        </w:rPr>
        <w:t xml:space="preserve"> also</w:t>
      </w:r>
      <w:r w:rsidRPr="00A87019" w:rsidR="003165D4">
        <w:rPr>
          <w:rFonts w:cs="Times New Roman"/>
          <w:sz w:val="24"/>
          <w:szCs w:val="24"/>
        </w:rPr>
        <w:t xml:space="preserve"> </w:t>
      </w:r>
      <w:r w:rsidRPr="00A87019" w:rsidR="001867B8">
        <w:rPr>
          <w:rFonts w:cs="Times New Roman"/>
          <w:sz w:val="24"/>
          <w:szCs w:val="24"/>
        </w:rPr>
        <w:t xml:space="preserve">increased from </w:t>
      </w:r>
      <w:r w:rsidRPr="00A87019" w:rsidR="0056584A">
        <w:rPr>
          <w:rFonts w:cs="Times New Roman"/>
          <w:sz w:val="24"/>
          <w:szCs w:val="24"/>
        </w:rPr>
        <w:t xml:space="preserve">an average of </w:t>
      </w:r>
      <w:r w:rsidRPr="00A87019" w:rsidR="001867B8">
        <w:rPr>
          <w:rFonts w:cs="Times New Roman"/>
          <w:sz w:val="24"/>
          <w:szCs w:val="24"/>
        </w:rPr>
        <w:t>7</w:t>
      </w:r>
      <w:r w:rsidRPr="00A87019" w:rsidR="00204A4E">
        <w:rPr>
          <w:rFonts w:cs="Times New Roman"/>
          <w:sz w:val="24"/>
          <w:szCs w:val="24"/>
        </w:rPr>
        <w:t xml:space="preserve"> per request</w:t>
      </w:r>
      <w:r w:rsidRPr="00A87019" w:rsidR="001867B8">
        <w:rPr>
          <w:rFonts w:cs="Times New Roman"/>
          <w:sz w:val="24"/>
          <w:szCs w:val="24"/>
        </w:rPr>
        <w:t xml:space="preserve"> in 20</w:t>
      </w:r>
      <w:r w:rsidRPr="00A87019" w:rsidR="00204A4E">
        <w:rPr>
          <w:rFonts w:cs="Times New Roman"/>
          <w:sz w:val="24"/>
          <w:szCs w:val="24"/>
        </w:rPr>
        <w:t xml:space="preserve">19-2021 </w:t>
      </w:r>
      <w:r w:rsidRPr="00A87019" w:rsidR="001867B8">
        <w:rPr>
          <w:rFonts w:cs="Times New Roman"/>
          <w:sz w:val="24"/>
          <w:szCs w:val="24"/>
        </w:rPr>
        <w:t xml:space="preserve">to </w:t>
      </w:r>
      <w:r w:rsidRPr="00A87019" w:rsidR="0056584A">
        <w:rPr>
          <w:rFonts w:cs="Times New Roman"/>
          <w:sz w:val="24"/>
          <w:szCs w:val="24"/>
        </w:rPr>
        <w:t xml:space="preserve">an average of </w:t>
      </w:r>
      <w:r w:rsidRPr="00A87019" w:rsidR="001867B8">
        <w:rPr>
          <w:rFonts w:cs="Times New Roman"/>
          <w:sz w:val="24"/>
          <w:szCs w:val="24"/>
        </w:rPr>
        <w:t>50</w:t>
      </w:r>
      <w:r w:rsidRPr="00A87019" w:rsidR="00204A4E">
        <w:rPr>
          <w:rFonts w:cs="Times New Roman"/>
          <w:sz w:val="24"/>
          <w:szCs w:val="24"/>
        </w:rPr>
        <w:t xml:space="preserve"> per request in 2022-2024</w:t>
      </w:r>
      <w:r w:rsidRPr="00A87019" w:rsidR="001867B8">
        <w:rPr>
          <w:rFonts w:cs="Times New Roman"/>
          <w:sz w:val="24"/>
          <w:szCs w:val="24"/>
        </w:rPr>
        <w:t xml:space="preserve">. </w:t>
      </w:r>
      <w:r w:rsidRPr="00A87019" w:rsidR="000E6E40">
        <w:rPr>
          <w:rFonts w:cs="Times New Roman"/>
          <w:sz w:val="24"/>
          <w:szCs w:val="24"/>
        </w:rPr>
        <w:t xml:space="preserve"> </w:t>
      </w:r>
      <w:r w:rsidRPr="00A87019" w:rsidR="00C93D5C">
        <w:rPr>
          <w:rFonts w:cs="Times New Roman"/>
          <w:sz w:val="24"/>
          <w:szCs w:val="24"/>
        </w:rPr>
        <w:t>Consequently,</w:t>
      </w:r>
      <w:r w:rsidRPr="00A87019" w:rsidR="00154916">
        <w:rPr>
          <w:rFonts w:cs="Times New Roman"/>
          <w:sz w:val="24"/>
          <w:szCs w:val="24"/>
        </w:rPr>
        <w:t xml:space="preserve"> the average time estimate</w:t>
      </w:r>
      <w:r w:rsidRPr="00A87019" w:rsidR="00F16AC5">
        <w:rPr>
          <w:rFonts w:cs="Times New Roman"/>
          <w:sz w:val="24"/>
          <w:szCs w:val="24"/>
        </w:rPr>
        <w:t>d</w:t>
      </w:r>
      <w:r w:rsidRPr="00A87019" w:rsidR="00154916">
        <w:rPr>
          <w:rFonts w:cs="Times New Roman"/>
          <w:sz w:val="24"/>
          <w:szCs w:val="24"/>
        </w:rPr>
        <w:t xml:space="preserve"> to respond to an FFA</w:t>
      </w:r>
      <w:r w:rsidRPr="00A87019" w:rsidR="00483BB8">
        <w:rPr>
          <w:rFonts w:cs="Times New Roman"/>
          <w:sz w:val="24"/>
          <w:szCs w:val="24"/>
        </w:rPr>
        <w:t xml:space="preserve"> regulation increased </w:t>
      </w:r>
      <w:r w:rsidRPr="00A87019" w:rsidR="00A5253C">
        <w:rPr>
          <w:rFonts w:cs="Times New Roman"/>
          <w:sz w:val="24"/>
          <w:szCs w:val="24"/>
        </w:rPr>
        <w:t xml:space="preserve">by approximately </w:t>
      </w:r>
      <w:r w:rsidRPr="00A87019" w:rsidR="00F758F9">
        <w:rPr>
          <w:rFonts w:cs="Times New Roman"/>
          <w:sz w:val="24"/>
          <w:szCs w:val="24"/>
        </w:rPr>
        <w:t>872</w:t>
      </w:r>
      <w:r w:rsidRPr="00A87019" w:rsidR="00154916">
        <w:rPr>
          <w:rFonts w:cs="Times New Roman"/>
          <w:sz w:val="24"/>
          <w:szCs w:val="24"/>
        </w:rPr>
        <w:t xml:space="preserve"> hours per </w:t>
      </w:r>
      <w:r w:rsidRPr="00A87019" w:rsidR="002A2B41">
        <w:rPr>
          <w:rFonts w:cs="Times New Roman"/>
          <w:sz w:val="24"/>
          <w:szCs w:val="24"/>
        </w:rPr>
        <w:t>regulation</w:t>
      </w:r>
      <w:r w:rsidRPr="00A87019" w:rsidR="00D552D1">
        <w:rPr>
          <w:rFonts w:cs="Times New Roman"/>
          <w:sz w:val="24"/>
          <w:szCs w:val="24"/>
        </w:rPr>
        <w:t xml:space="preserve"> per respondent</w:t>
      </w:r>
      <w:r w:rsidRPr="00A87019">
        <w:rPr>
          <w:rFonts w:cs="Times New Roman"/>
          <w:sz w:val="24"/>
          <w:szCs w:val="24"/>
        </w:rPr>
        <w:t xml:space="preserve">.  </w:t>
      </w:r>
    </w:p>
    <w:p w:rsidR="00CF0D26" w:rsidRPr="00A87019" w:rsidP="00CD32FF" w14:paraId="7C80FFAF" w14:textId="77777777">
      <w:pPr>
        <w:pStyle w:val="BodyText"/>
        <w:ind w:left="0" w:firstLine="720"/>
        <w:rPr>
          <w:rFonts w:cs="Times New Roman"/>
          <w:sz w:val="24"/>
          <w:szCs w:val="24"/>
        </w:rPr>
      </w:pPr>
    </w:p>
    <w:p w:rsidR="00D17D57" w:rsidRPr="00A87019" w:rsidP="00BF1000" w14:paraId="17BFCE51" w14:textId="1565A1A5">
      <w:pPr>
        <w:pStyle w:val="BodyText"/>
        <w:ind w:left="0" w:firstLine="720"/>
        <w:rPr>
          <w:rFonts w:cs="Times New Roman"/>
          <w:sz w:val="24"/>
          <w:szCs w:val="24"/>
        </w:rPr>
      </w:pPr>
      <w:r w:rsidRPr="00A87019">
        <w:rPr>
          <w:rFonts w:cs="Times New Roman"/>
          <w:sz w:val="24"/>
          <w:szCs w:val="24"/>
        </w:rPr>
        <w:t>Separa</w:t>
      </w:r>
      <w:r w:rsidRPr="00A87019" w:rsidR="007F1F59">
        <w:rPr>
          <w:rFonts w:cs="Times New Roman"/>
          <w:sz w:val="24"/>
          <w:szCs w:val="24"/>
        </w:rPr>
        <w:t>tely</w:t>
      </w:r>
      <w:r w:rsidRPr="00A87019" w:rsidR="3C866706">
        <w:rPr>
          <w:rFonts w:cs="Times New Roman"/>
          <w:sz w:val="24"/>
          <w:szCs w:val="24"/>
        </w:rPr>
        <w:t xml:space="preserve">, </w:t>
      </w:r>
      <w:r w:rsidRPr="00A87019" w:rsidR="00B71FDA">
        <w:rPr>
          <w:rFonts w:cs="Times New Roman"/>
          <w:sz w:val="24"/>
          <w:szCs w:val="24"/>
        </w:rPr>
        <w:t xml:space="preserve">FinCEN has </w:t>
      </w:r>
      <w:r w:rsidRPr="00A87019" w:rsidR="008568C6">
        <w:rPr>
          <w:rFonts w:cs="Times New Roman"/>
          <w:sz w:val="24"/>
          <w:szCs w:val="24"/>
        </w:rPr>
        <w:t xml:space="preserve">updated </w:t>
      </w:r>
      <w:r w:rsidRPr="00A87019" w:rsidR="3C866706">
        <w:rPr>
          <w:rFonts w:cs="Times New Roman"/>
          <w:sz w:val="24"/>
          <w:szCs w:val="24"/>
        </w:rPr>
        <w:t xml:space="preserve">the wage rate utilized </w:t>
      </w:r>
      <w:r w:rsidRPr="00A87019" w:rsidR="00466E8C">
        <w:rPr>
          <w:rFonts w:cs="Times New Roman"/>
          <w:sz w:val="24"/>
          <w:szCs w:val="24"/>
        </w:rPr>
        <w:t>to</w:t>
      </w:r>
      <w:r w:rsidRPr="00A87019" w:rsidR="3C866706">
        <w:rPr>
          <w:rFonts w:cs="Times New Roman"/>
          <w:sz w:val="24"/>
          <w:szCs w:val="24"/>
        </w:rPr>
        <w:t xml:space="preserve"> estimate</w:t>
      </w:r>
      <w:r w:rsidRPr="00A87019" w:rsidR="00466E8C">
        <w:rPr>
          <w:rFonts w:cs="Times New Roman"/>
          <w:sz w:val="24"/>
          <w:szCs w:val="24"/>
        </w:rPr>
        <w:t xml:space="preserve"> costs</w:t>
      </w:r>
      <w:r w:rsidRPr="00A87019" w:rsidR="3C866706">
        <w:rPr>
          <w:rFonts w:cs="Times New Roman"/>
          <w:sz w:val="24"/>
          <w:szCs w:val="24"/>
        </w:rPr>
        <w:t xml:space="preserve"> from $95 in</w:t>
      </w:r>
      <w:r w:rsidRPr="00A87019" w:rsidR="18A00179">
        <w:rPr>
          <w:rFonts w:cs="Times New Roman"/>
          <w:sz w:val="24"/>
          <w:szCs w:val="24"/>
        </w:rPr>
        <w:t xml:space="preserve"> the</w:t>
      </w:r>
      <w:r w:rsidRPr="00A87019" w:rsidR="3C866706">
        <w:rPr>
          <w:rFonts w:cs="Times New Roman"/>
          <w:sz w:val="24"/>
          <w:szCs w:val="24"/>
        </w:rPr>
        <w:t xml:space="preserve"> 2022</w:t>
      </w:r>
      <w:r w:rsidRPr="00A87019" w:rsidR="001169D2">
        <w:rPr>
          <w:rFonts w:cs="Times New Roman"/>
          <w:sz w:val="24"/>
          <w:szCs w:val="24"/>
        </w:rPr>
        <w:t xml:space="preserve"> OMB control renewal</w:t>
      </w:r>
      <w:r w:rsidRPr="00A87019" w:rsidR="3C866706">
        <w:rPr>
          <w:rFonts w:cs="Times New Roman"/>
          <w:sz w:val="24"/>
          <w:szCs w:val="24"/>
        </w:rPr>
        <w:t xml:space="preserve"> to $120</w:t>
      </w:r>
      <w:r w:rsidRPr="00A87019" w:rsidR="009B5F48">
        <w:rPr>
          <w:rFonts w:cs="Times New Roman"/>
          <w:sz w:val="24"/>
          <w:szCs w:val="24"/>
        </w:rPr>
        <w:t>, which</w:t>
      </w:r>
      <w:r w:rsidRPr="00A87019" w:rsidR="3C866706">
        <w:rPr>
          <w:rFonts w:cs="Times New Roman"/>
          <w:sz w:val="24"/>
          <w:szCs w:val="24"/>
        </w:rPr>
        <w:t xml:space="preserve"> primarily </w:t>
      </w:r>
      <w:r w:rsidRPr="00A87019" w:rsidR="007754A9">
        <w:rPr>
          <w:rFonts w:cs="Times New Roman"/>
          <w:sz w:val="24"/>
          <w:szCs w:val="24"/>
        </w:rPr>
        <w:t xml:space="preserve">reflects </w:t>
      </w:r>
      <w:r w:rsidRPr="00A87019" w:rsidR="3C866706">
        <w:rPr>
          <w:rFonts w:cs="Times New Roman"/>
          <w:sz w:val="24"/>
          <w:szCs w:val="24"/>
        </w:rPr>
        <w:t>increases in average wage</w:t>
      </w:r>
      <w:r w:rsidRPr="00A87019" w:rsidR="00A5193E">
        <w:rPr>
          <w:rFonts w:cs="Times New Roman"/>
          <w:sz w:val="24"/>
          <w:szCs w:val="24"/>
        </w:rPr>
        <w:t>s</w:t>
      </w:r>
      <w:r w:rsidRPr="00A87019" w:rsidR="3C866706">
        <w:rPr>
          <w:rFonts w:cs="Times New Roman"/>
          <w:sz w:val="24"/>
          <w:szCs w:val="24"/>
        </w:rPr>
        <w:t xml:space="preserve"> </w:t>
      </w:r>
      <w:r w:rsidRPr="00A87019" w:rsidR="00A5193E">
        <w:rPr>
          <w:rFonts w:cs="Times New Roman"/>
          <w:sz w:val="24"/>
          <w:szCs w:val="24"/>
        </w:rPr>
        <w:t>as reported by</w:t>
      </w:r>
      <w:r w:rsidRPr="00A87019" w:rsidR="3C1BDBC5">
        <w:rPr>
          <w:rFonts w:cs="Times New Roman"/>
          <w:sz w:val="24"/>
          <w:szCs w:val="24"/>
        </w:rPr>
        <w:t xml:space="preserve"> the Bureau of Labor </w:t>
      </w:r>
      <w:r w:rsidRPr="00A87019" w:rsidR="3C1BDBC5">
        <w:rPr>
          <w:rFonts w:cs="Times New Roman"/>
          <w:sz w:val="24"/>
          <w:szCs w:val="24"/>
        </w:rPr>
        <w:t>Statistics</w:t>
      </w:r>
      <w:r w:rsidRPr="00A87019" w:rsidR="00A5193E">
        <w:rPr>
          <w:rFonts w:cs="Times New Roman"/>
          <w:sz w:val="24"/>
          <w:szCs w:val="24"/>
        </w:rPr>
        <w:t xml:space="preserve">, </w:t>
      </w:r>
      <w:r w:rsidRPr="00A87019" w:rsidR="00A84231">
        <w:rPr>
          <w:rFonts w:cs="Times New Roman"/>
          <w:sz w:val="24"/>
          <w:szCs w:val="24"/>
        </w:rPr>
        <w:t>but</w:t>
      </w:r>
      <w:r w:rsidRPr="00A87019" w:rsidR="00D633D1">
        <w:rPr>
          <w:rFonts w:cs="Times New Roman"/>
          <w:sz w:val="24"/>
          <w:szCs w:val="24"/>
        </w:rPr>
        <w:t xml:space="preserve"> also</w:t>
      </w:r>
      <w:r w:rsidRPr="00A87019" w:rsidR="00964D3B">
        <w:rPr>
          <w:rFonts w:cs="Times New Roman"/>
          <w:sz w:val="24"/>
          <w:szCs w:val="24"/>
        </w:rPr>
        <w:t xml:space="preserve"> reflects </w:t>
      </w:r>
      <w:r w:rsidRPr="00A87019" w:rsidR="004020DE">
        <w:rPr>
          <w:rFonts w:cs="Times New Roman"/>
          <w:sz w:val="24"/>
          <w:szCs w:val="24"/>
        </w:rPr>
        <w:t>a methodological shift to</w:t>
      </w:r>
      <w:r w:rsidRPr="00A87019" w:rsidR="00C4707C">
        <w:rPr>
          <w:rFonts w:cs="Times New Roman"/>
          <w:sz w:val="24"/>
          <w:szCs w:val="24"/>
        </w:rPr>
        <w:t xml:space="preserve"> </w:t>
      </w:r>
      <w:r w:rsidRPr="00A87019" w:rsidR="00687984">
        <w:rPr>
          <w:rFonts w:cs="Times New Roman"/>
          <w:sz w:val="24"/>
          <w:szCs w:val="24"/>
        </w:rPr>
        <w:t>apply FinCEN’s sta</w:t>
      </w:r>
      <w:r w:rsidRPr="00A87019" w:rsidR="00EC6F00">
        <w:rPr>
          <w:rFonts w:cs="Times New Roman"/>
          <w:sz w:val="24"/>
          <w:szCs w:val="24"/>
        </w:rPr>
        <w:t xml:space="preserve">ndard </w:t>
      </w:r>
      <w:r w:rsidRPr="00A87019" w:rsidR="00AE74E2">
        <w:rPr>
          <w:rFonts w:cs="Times New Roman"/>
          <w:sz w:val="24"/>
          <w:szCs w:val="24"/>
        </w:rPr>
        <w:t>annual index wage rate</w:t>
      </w:r>
      <w:r>
        <w:rPr>
          <w:rStyle w:val="FootnoteReference"/>
          <w:rFonts w:cs="Times New Roman"/>
          <w:sz w:val="24"/>
          <w:szCs w:val="24"/>
        </w:rPr>
        <w:footnoteReference w:id="43"/>
      </w:r>
      <w:r w:rsidRPr="00A87019" w:rsidR="00740E2E">
        <w:rPr>
          <w:rFonts w:cs="Times New Roman"/>
          <w:sz w:val="24"/>
          <w:szCs w:val="24"/>
        </w:rPr>
        <w:t xml:space="preserve"> to this</w:t>
      </w:r>
      <w:r w:rsidRPr="00A87019" w:rsidR="00174A2D">
        <w:rPr>
          <w:rFonts w:cs="Times New Roman"/>
          <w:sz w:val="24"/>
          <w:szCs w:val="24"/>
        </w:rPr>
        <w:t xml:space="preserve"> </w:t>
      </w:r>
      <w:r w:rsidRPr="00A87019" w:rsidR="004727ED">
        <w:rPr>
          <w:rFonts w:cs="Times New Roman"/>
          <w:sz w:val="24"/>
          <w:szCs w:val="24"/>
        </w:rPr>
        <w:t>analysis</w:t>
      </w:r>
      <w:r w:rsidRPr="00A87019" w:rsidR="3C1BDBC5">
        <w:rPr>
          <w:rFonts w:cs="Times New Roman"/>
          <w:sz w:val="24"/>
          <w:szCs w:val="24"/>
        </w:rPr>
        <w:t>.</w:t>
      </w:r>
    </w:p>
    <w:p w:rsidR="00D17D57" w:rsidRPr="00A87019" w:rsidP="00DA4035" w14:paraId="345AB272" w14:textId="77777777">
      <w:pPr>
        <w:spacing w:before="11"/>
        <w:rPr>
          <w:rFonts w:ascii="Times New Roman" w:eastAsia="Times New Roman" w:hAnsi="Times New Roman" w:cs="Times New Roman"/>
          <w:sz w:val="24"/>
          <w:szCs w:val="24"/>
        </w:rPr>
      </w:pPr>
    </w:p>
    <w:p w:rsidR="001B5A23" w:rsidRPr="00A87019" w:rsidP="001B5A23" w14:paraId="167CA206" w14:textId="77777777">
      <w:pPr>
        <w:widowControl/>
        <w:rPr>
          <w:rFonts w:ascii="Times New Roman" w:eastAsia="Times New Roman" w:hAnsi="Times New Roman" w:cs="Times New Roman"/>
          <w:sz w:val="24"/>
          <w:szCs w:val="24"/>
        </w:rPr>
      </w:pPr>
      <w:r w:rsidRPr="00A87019">
        <w:rPr>
          <w:rFonts w:ascii="Times New Roman" w:eastAsia="Times New Roman" w:hAnsi="Times New Roman" w:cs="Times New Roman"/>
          <w:sz w:val="24"/>
          <w:szCs w:val="24"/>
        </w:rPr>
        <w:t xml:space="preserve">16. </w:t>
      </w:r>
      <w:r w:rsidRPr="00A87019">
        <w:rPr>
          <w:rFonts w:ascii="Times New Roman" w:eastAsia="Times New Roman" w:hAnsi="Times New Roman" w:cs="Times New Roman"/>
          <w:sz w:val="24"/>
          <w:szCs w:val="24"/>
          <w:u w:val="single"/>
        </w:rPr>
        <w:t>Plans for tabulation, statistical analysis, and publication.</w:t>
      </w:r>
    </w:p>
    <w:p w:rsidR="00615A88" w:rsidRPr="00A87019" w:rsidP="00DA4035" w14:paraId="7D7B431D" w14:textId="77777777">
      <w:pPr>
        <w:pStyle w:val="BodyText"/>
        <w:ind w:left="0"/>
        <w:rPr>
          <w:rFonts w:cs="Times New Roman"/>
          <w:sz w:val="24"/>
          <w:szCs w:val="24"/>
        </w:rPr>
      </w:pPr>
    </w:p>
    <w:p w:rsidR="00D17D57" w:rsidRPr="00A87019" w:rsidP="00C14283" w14:paraId="7CCAA997" w14:textId="08E26B47">
      <w:pPr>
        <w:pStyle w:val="BodyText"/>
        <w:ind w:left="0" w:firstLine="720"/>
        <w:rPr>
          <w:rFonts w:cs="Times New Roman"/>
          <w:sz w:val="24"/>
          <w:szCs w:val="24"/>
        </w:rPr>
      </w:pPr>
      <w:r w:rsidRPr="00A87019">
        <w:rPr>
          <w:rFonts w:cs="Times New Roman"/>
          <w:sz w:val="24"/>
          <w:szCs w:val="24"/>
        </w:rPr>
        <w:t>This</w:t>
      </w:r>
      <w:r w:rsidRPr="00A87019">
        <w:rPr>
          <w:rFonts w:cs="Times New Roman"/>
          <w:spacing w:val="-3"/>
          <w:sz w:val="24"/>
          <w:szCs w:val="24"/>
        </w:rPr>
        <w:t xml:space="preserve"> </w:t>
      </w:r>
      <w:r w:rsidRPr="00A87019">
        <w:rPr>
          <w:rFonts w:cs="Times New Roman"/>
          <w:sz w:val="24"/>
          <w:szCs w:val="24"/>
        </w:rPr>
        <w:t>collection</w:t>
      </w:r>
      <w:r w:rsidRPr="00A87019">
        <w:rPr>
          <w:rFonts w:cs="Times New Roman"/>
          <w:spacing w:val="16"/>
          <w:sz w:val="24"/>
          <w:szCs w:val="24"/>
        </w:rPr>
        <w:t xml:space="preserve"> </w:t>
      </w:r>
      <w:r w:rsidRPr="00A87019">
        <w:rPr>
          <w:rFonts w:cs="Times New Roman"/>
          <w:sz w:val="24"/>
          <w:szCs w:val="24"/>
        </w:rPr>
        <w:t>of</w:t>
      </w:r>
      <w:r w:rsidRPr="00A87019">
        <w:rPr>
          <w:rFonts w:cs="Times New Roman"/>
          <w:spacing w:val="3"/>
          <w:sz w:val="24"/>
          <w:szCs w:val="24"/>
        </w:rPr>
        <w:t xml:space="preserve"> </w:t>
      </w:r>
      <w:r w:rsidRPr="00A87019">
        <w:rPr>
          <w:rFonts w:cs="Times New Roman"/>
          <w:sz w:val="24"/>
          <w:szCs w:val="24"/>
        </w:rPr>
        <w:t>information</w:t>
      </w:r>
      <w:r w:rsidRPr="00A87019">
        <w:rPr>
          <w:rFonts w:cs="Times New Roman"/>
          <w:spacing w:val="13"/>
          <w:sz w:val="24"/>
          <w:szCs w:val="24"/>
        </w:rPr>
        <w:t xml:space="preserve"> </w:t>
      </w:r>
      <w:r w:rsidRPr="00A87019">
        <w:rPr>
          <w:rFonts w:cs="Times New Roman"/>
          <w:sz w:val="24"/>
          <w:szCs w:val="24"/>
        </w:rPr>
        <w:t>will</w:t>
      </w:r>
      <w:r w:rsidRPr="00A87019">
        <w:rPr>
          <w:rFonts w:cs="Times New Roman"/>
          <w:spacing w:val="20"/>
          <w:sz w:val="24"/>
          <w:szCs w:val="24"/>
        </w:rPr>
        <w:t xml:space="preserve"> </w:t>
      </w:r>
      <w:r w:rsidRPr="00A87019">
        <w:rPr>
          <w:rFonts w:cs="Times New Roman"/>
          <w:sz w:val="24"/>
          <w:szCs w:val="24"/>
        </w:rPr>
        <w:t>not</w:t>
      </w:r>
      <w:r w:rsidRPr="00A87019" w:rsidR="00C1080B">
        <w:rPr>
          <w:rFonts w:cs="Times New Roman"/>
          <w:sz w:val="24"/>
          <w:szCs w:val="24"/>
        </w:rPr>
        <w:t xml:space="preserve"> be tabulated or compiled for publication.</w:t>
      </w:r>
      <w:r w:rsidRPr="00A87019">
        <w:rPr>
          <w:rFonts w:cs="Times New Roman"/>
          <w:spacing w:val="16"/>
          <w:sz w:val="24"/>
          <w:szCs w:val="24"/>
        </w:rPr>
        <w:t xml:space="preserve"> </w:t>
      </w:r>
    </w:p>
    <w:p w:rsidR="00615A88" w:rsidRPr="00A87019" w:rsidP="00DA4035" w14:paraId="05D90204" w14:textId="77777777">
      <w:pPr>
        <w:pStyle w:val="BodyText"/>
        <w:tabs>
          <w:tab w:val="left" w:pos="519"/>
        </w:tabs>
        <w:ind w:left="0"/>
        <w:rPr>
          <w:rFonts w:cs="Times New Roman"/>
          <w:sz w:val="24"/>
          <w:szCs w:val="24"/>
        </w:rPr>
      </w:pPr>
    </w:p>
    <w:p w:rsidR="001B5A23" w:rsidRPr="00A87019" w:rsidP="001B5A23" w14:paraId="712F062D" w14:textId="77777777">
      <w:pPr>
        <w:widowControl/>
        <w:rPr>
          <w:rFonts w:ascii="Times New Roman" w:eastAsia="Times New Roman" w:hAnsi="Times New Roman" w:cs="Times New Roman"/>
          <w:sz w:val="24"/>
          <w:szCs w:val="24"/>
        </w:rPr>
      </w:pPr>
      <w:r w:rsidRPr="00A87019">
        <w:rPr>
          <w:rFonts w:ascii="Times New Roman" w:eastAsia="Times New Roman" w:hAnsi="Times New Roman" w:cs="Times New Roman"/>
          <w:sz w:val="24"/>
          <w:szCs w:val="24"/>
        </w:rPr>
        <w:t xml:space="preserve">17. </w:t>
      </w:r>
      <w:r w:rsidRPr="00A87019">
        <w:rPr>
          <w:rFonts w:ascii="Times New Roman" w:eastAsia="Times New Roman" w:hAnsi="Times New Roman" w:cs="Times New Roman"/>
          <w:sz w:val="24"/>
          <w:szCs w:val="24"/>
          <w:u w:val="single"/>
        </w:rPr>
        <w:t>Request not to display the expiration date of the OMB control number.</w:t>
      </w:r>
    </w:p>
    <w:p w:rsidR="00D17D57" w:rsidRPr="00A87019" w:rsidP="00DA4035" w14:paraId="6EB090D5" w14:textId="77777777">
      <w:pPr>
        <w:spacing w:before="6"/>
        <w:rPr>
          <w:rFonts w:ascii="Times New Roman" w:eastAsia="Times New Roman" w:hAnsi="Times New Roman" w:cs="Times New Roman"/>
          <w:sz w:val="24"/>
          <w:szCs w:val="24"/>
        </w:rPr>
      </w:pPr>
    </w:p>
    <w:p w:rsidR="00D17D57" w:rsidRPr="00A87019" w:rsidP="00C14283" w14:paraId="06B12C3A" w14:textId="3A250557">
      <w:pPr>
        <w:pStyle w:val="BodyText"/>
        <w:ind w:left="0" w:firstLine="720"/>
        <w:rPr>
          <w:rFonts w:cs="Times New Roman"/>
          <w:sz w:val="24"/>
          <w:szCs w:val="24"/>
        </w:rPr>
      </w:pPr>
      <w:r w:rsidRPr="00A87019">
        <w:rPr>
          <w:rFonts w:cs="Times New Roman"/>
          <w:sz w:val="24"/>
          <w:szCs w:val="24"/>
        </w:rPr>
        <w:t>FinCEN</w:t>
      </w:r>
      <w:r w:rsidRPr="00A87019">
        <w:rPr>
          <w:rFonts w:cs="Times New Roman"/>
          <w:spacing w:val="14"/>
          <w:sz w:val="24"/>
          <w:szCs w:val="24"/>
        </w:rPr>
        <w:t xml:space="preserve"> </w:t>
      </w:r>
      <w:r w:rsidRPr="00A87019">
        <w:rPr>
          <w:rFonts w:cs="Times New Roman"/>
          <w:sz w:val="24"/>
          <w:szCs w:val="24"/>
        </w:rPr>
        <w:t>requests</w:t>
      </w:r>
      <w:r w:rsidRPr="00A87019">
        <w:rPr>
          <w:rFonts w:cs="Times New Roman"/>
          <w:spacing w:val="13"/>
          <w:sz w:val="24"/>
          <w:szCs w:val="24"/>
        </w:rPr>
        <w:t xml:space="preserve"> </w:t>
      </w:r>
      <w:r w:rsidRPr="00A87019">
        <w:rPr>
          <w:rFonts w:cs="Times New Roman"/>
          <w:sz w:val="24"/>
          <w:szCs w:val="24"/>
        </w:rPr>
        <w:t>that</w:t>
      </w:r>
      <w:r w:rsidRPr="00A87019">
        <w:rPr>
          <w:rFonts w:cs="Times New Roman"/>
          <w:spacing w:val="15"/>
          <w:sz w:val="24"/>
          <w:szCs w:val="24"/>
        </w:rPr>
        <w:t xml:space="preserve"> </w:t>
      </w:r>
      <w:r w:rsidRPr="00A87019">
        <w:rPr>
          <w:rFonts w:cs="Times New Roman"/>
          <w:sz w:val="24"/>
          <w:szCs w:val="24"/>
        </w:rPr>
        <w:t>it</w:t>
      </w:r>
      <w:r w:rsidRPr="00A87019">
        <w:rPr>
          <w:rFonts w:cs="Times New Roman"/>
          <w:spacing w:val="-1"/>
          <w:sz w:val="24"/>
          <w:szCs w:val="24"/>
        </w:rPr>
        <w:t xml:space="preserve"> </w:t>
      </w:r>
      <w:r w:rsidRPr="00A87019">
        <w:rPr>
          <w:rFonts w:cs="Times New Roman"/>
          <w:sz w:val="24"/>
          <w:szCs w:val="24"/>
        </w:rPr>
        <w:t>not</w:t>
      </w:r>
      <w:r w:rsidRPr="00A87019">
        <w:rPr>
          <w:rFonts w:cs="Times New Roman"/>
          <w:spacing w:val="16"/>
          <w:sz w:val="24"/>
          <w:szCs w:val="24"/>
        </w:rPr>
        <w:t xml:space="preserve"> </w:t>
      </w:r>
      <w:r w:rsidRPr="00A87019">
        <w:rPr>
          <w:rFonts w:cs="Times New Roman"/>
          <w:sz w:val="24"/>
          <w:szCs w:val="24"/>
        </w:rPr>
        <w:t>be</w:t>
      </w:r>
      <w:r w:rsidRPr="00A87019">
        <w:rPr>
          <w:rFonts w:cs="Times New Roman"/>
          <w:spacing w:val="9"/>
          <w:sz w:val="24"/>
          <w:szCs w:val="24"/>
        </w:rPr>
        <w:t xml:space="preserve"> </w:t>
      </w:r>
      <w:r w:rsidRPr="00A87019">
        <w:rPr>
          <w:rFonts w:cs="Times New Roman"/>
          <w:sz w:val="24"/>
          <w:szCs w:val="24"/>
        </w:rPr>
        <w:t>required</w:t>
      </w:r>
      <w:r w:rsidRPr="00A87019">
        <w:rPr>
          <w:rFonts w:cs="Times New Roman"/>
          <w:spacing w:val="15"/>
          <w:sz w:val="24"/>
          <w:szCs w:val="24"/>
        </w:rPr>
        <w:t xml:space="preserve"> </w:t>
      </w:r>
      <w:r w:rsidRPr="00A87019">
        <w:rPr>
          <w:rFonts w:cs="Times New Roman"/>
          <w:sz w:val="24"/>
          <w:szCs w:val="24"/>
        </w:rPr>
        <w:t>to</w:t>
      </w:r>
      <w:r w:rsidRPr="00A87019">
        <w:rPr>
          <w:rFonts w:cs="Times New Roman"/>
          <w:spacing w:val="4"/>
          <w:sz w:val="24"/>
          <w:szCs w:val="24"/>
        </w:rPr>
        <w:t xml:space="preserve"> </w:t>
      </w:r>
      <w:r w:rsidRPr="00A87019">
        <w:rPr>
          <w:rFonts w:cs="Times New Roman"/>
          <w:sz w:val="24"/>
          <w:szCs w:val="24"/>
        </w:rPr>
        <w:t>display</w:t>
      </w:r>
      <w:r w:rsidRPr="00A87019">
        <w:rPr>
          <w:rFonts w:cs="Times New Roman"/>
          <w:spacing w:val="10"/>
          <w:sz w:val="24"/>
          <w:szCs w:val="24"/>
        </w:rPr>
        <w:t xml:space="preserve"> </w:t>
      </w:r>
      <w:r w:rsidRPr="00A87019">
        <w:rPr>
          <w:rFonts w:cs="Times New Roman"/>
          <w:sz w:val="24"/>
          <w:szCs w:val="24"/>
        </w:rPr>
        <w:t>the expiration</w:t>
      </w:r>
      <w:r w:rsidRPr="00A87019">
        <w:rPr>
          <w:rFonts w:cs="Times New Roman"/>
          <w:spacing w:val="18"/>
          <w:sz w:val="24"/>
          <w:szCs w:val="24"/>
        </w:rPr>
        <w:t xml:space="preserve"> </w:t>
      </w:r>
      <w:r w:rsidRPr="00A87019">
        <w:rPr>
          <w:rFonts w:cs="Times New Roman"/>
          <w:sz w:val="24"/>
          <w:szCs w:val="24"/>
        </w:rPr>
        <w:t>date</w:t>
      </w:r>
      <w:r w:rsidRPr="00A87019">
        <w:rPr>
          <w:rFonts w:cs="Times New Roman"/>
          <w:spacing w:val="5"/>
          <w:sz w:val="24"/>
          <w:szCs w:val="24"/>
        </w:rPr>
        <w:t xml:space="preserve"> </w:t>
      </w:r>
      <w:r w:rsidRPr="00A87019">
        <w:rPr>
          <w:rFonts w:cs="Times New Roman"/>
          <w:sz w:val="24"/>
          <w:szCs w:val="24"/>
        </w:rPr>
        <w:t>so</w:t>
      </w:r>
      <w:r w:rsidRPr="00A87019">
        <w:rPr>
          <w:rFonts w:cs="Times New Roman"/>
          <w:spacing w:val="-5"/>
          <w:sz w:val="24"/>
          <w:szCs w:val="24"/>
        </w:rPr>
        <w:t xml:space="preserve"> </w:t>
      </w:r>
      <w:r w:rsidRPr="00A87019">
        <w:rPr>
          <w:rFonts w:cs="Times New Roman"/>
          <w:sz w:val="24"/>
          <w:szCs w:val="24"/>
        </w:rPr>
        <w:t>that</w:t>
      </w:r>
      <w:r w:rsidRPr="00A87019">
        <w:rPr>
          <w:rFonts w:cs="Times New Roman"/>
          <w:spacing w:val="8"/>
          <w:sz w:val="24"/>
          <w:szCs w:val="24"/>
        </w:rPr>
        <w:t xml:space="preserve"> </w:t>
      </w:r>
      <w:r w:rsidRPr="00A87019">
        <w:rPr>
          <w:rFonts w:cs="Times New Roman"/>
          <w:sz w:val="24"/>
          <w:szCs w:val="24"/>
        </w:rPr>
        <w:t>the</w:t>
      </w:r>
      <w:r w:rsidRPr="00A87019">
        <w:rPr>
          <w:rFonts w:cs="Times New Roman"/>
          <w:w w:val="99"/>
          <w:sz w:val="24"/>
          <w:szCs w:val="24"/>
        </w:rPr>
        <w:t xml:space="preserve"> </w:t>
      </w:r>
      <w:r w:rsidRPr="00A87019">
        <w:rPr>
          <w:rFonts w:cs="Times New Roman"/>
          <w:sz w:val="24"/>
          <w:szCs w:val="24"/>
        </w:rPr>
        <w:t>regulations</w:t>
      </w:r>
      <w:r w:rsidRPr="00A87019">
        <w:rPr>
          <w:rFonts w:cs="Times New Roman"/>
          <w:spacing w:val="13"/>
          <w:sz w:val="24"/>
          <w:szCs w:val="24"/>
        </w:rPr>
        <w:t xml:space="preserve"> </w:t>
      </w:r>
      <w:r w:rsidRPr="00A87019">
        <w:rPr>
          <w:rFonts w:cs="Times New Roman"/>
          <w:sz w:val="24"/>
          <w:szCs w:val="24"/>
        </w:rPr>
        <w:t>will</w:t>
      </w:r>
      <w:r w:rsidRPr="00A87019">
        <w:rPr>
          <w:rFonts w:cs="Times New Roman"/>
          <w:spacing w:val="6"/>
          <w:sz w:val="24"/>
          <w:szCs w:val="24"/>
        </w:rPr>
        <w:t xml:space="preserve"> </w:t>
      </w:r>
      <w:r w:rsidRPr="00A87019">
        <w:rPr>
          <w:rFonts w:cs="Times New Roman"/>
          <w:sz w:val="24"/>
          <w:szCs w:val="24"/>
        </w:rPr>
        <w:t>not</w:t>
      </w:r>
      <w:r w:rsidRPr="00A87019">
        <w:rPr>
          <w:rFonts w:cs="Times New Roman"/>
          <w:spacing w:val="9"/>
          <w:sz w:val="24"/>
          <w:szCs w:val="24"/>
        </w:rPr>
        <w:t xml:space="preserve"> </w:t>
      </w:r>
      <w:r w:rsidRPr="00A87019">
        <w:rPr>
          <w:rFonts w:cs="Times New Roman"/>
          <w:sz w:val="24"/>
          <w:szCs w:val="24"/>
        </w:rPr>
        <w:t>have</w:t>
      </w:r>
      <w:r w:rsidRPr="00A87019">
        <w:rPr>
          <w:rFonts w:cs="Times New Roman"/>
          <w:spacing w:val="11"/>
          <w:sz w:val="24"/>
          <w:szCs w:val="24"/>
        </w:rPr>
        <w:t xml:space="preserve"> </w:t>
      </w:r>
      <w:r w:rsidRPr="00A87019">
        <w:rPr>
          <w:rFonts w:cs="Times New Roman"/>
          <w:sz w:val="24"/>
          <w:szCs w:val="24"/>
        </w:rPr>
        <w:t>to</w:t>
      </w:r>
      <w:r w:rsidRPr="00A87019">
        <w:rPr>
          <w:rFonts w:cs="Times New Roman"/>
          <w:spacing w:val="12"/>
          <w:sz w:val="24"/>
          <w:szCs w:val="24"/>
        </w:rPr>
        <w:t xml:space="preserve"> </w:t>
      </w:r>
      <w:r w:rsidRPr="00A87019">
        <w:rPr>
          <w:rFonts w:cs="Times New Roman"/>
          <w:sz w:val="24"/>
          <w:szCs w:val="24"/>
        </w:rPr>
        <w:t>be</w:t>
      </w:r>
      <w:r w:rsidRPr="00A87019">
        <w:rPr>
          <w:rFonts w:cs="Times New Roman"/>
          <w:spacing w:val="9"/>
          <w:sz w:val="24"/>
          <w:szCs w:val="24"/>
        </w:rPr>
        <w:t xml:space="preserve"> </w:t>
      </w:r>
      <w:r w:rsidRPr="00A87019">
        <w:rPr>
          <w:rFonts w:cs="Times New Roman"/>
          <w:sz w:val="24"/>
          <w:szCs w:val="24"/>
        </w:rPr>
        <w:t>amended</w:t>
      </w:r>
      <w:r w:rsidRPr="00A87019">
        <w:rPr>
          <w:rFonts w:cs="Times New Roman"/>
          <w:spacing w:val="23"/>
          <w:sz w:val="24"/>
          <w:szCs w:val="24"/>
        </w:rPr>
        <w:t xml:space="preserve"> </w:t>
      </w:r>
      <w:r w:rsidRPr="00A87019">
        <w:rPr>
          <w:rFonts w:cs="Times New Roman"/>
          <w:sz w:val="24"/>
          <w:szCs w:val="24"/>
        </w:rPr>
        <w:t>for</w:t>
      </w:r>
      <w:r w:rsidRPr="00A87019">
        <w:rPr>
          <w:rFonts w:cs="Times New Roman"/>
          <w:spacing w:val="2"/>
          <w:sz w:val="24"/>
          <w:szCs w:val="24"/>
        </w:rPr>
        <w:t xml:space="preserve"> </w:t>
      </w:r>
      <w:r w:rsidRPr="00A87019">
        <w:rPr>
          <w:rFonts w:cs="Times New Roman"/>
          <w:sz w:val="24"/>
          <w:szCs w:val="24"/>
        </w:rPr>
        <w:t>the</w:t>
      </w:r>
      <w:r w:rsidRPr="00A87019">
        <w:rPr>
          <w:rFonts w:cs="Times New Roman"/>
          <w:spacing w:val="8"/>
          <w:sz w:val="24"/>
          <w:szCs w:val="24"/>
        </w:rPr>
        <w:t xml:space="preserve"> </w:t>
      </w:r>
      <w:r w:rsidRPr="00A87019">
        <w:rPr>
          <w:rFonts w:cs="Times New Roman"/>
          <w:sz w:val="24"/>
          <w:szCs w:val="24"/>
        </w:rPr>
        <w:t>new</w:t>
      </w:r>
      <w:r w:rsidRPr="00A87019">
        <w:rPr>
          <w:rFonts w:cs="Times New Roman"/>
          <w:spacing w:val="1"/>
          <w:sz w:val="24"/>
          <w:szCs w:val="24"/>
        </w:rPr>
        <w:t xml:space="preserve"> </w:t>
      </w:r>
      <w:r w:rsidRPr="00A87019">
        <w:rPr>
          <w:rFonts w:cs="Times New Roman"/>
          <w:sz w:val="24"/>
          <w:szCs w:val="24"/>
        </w:rPr>
        <w:t>expiration</w:t>
      </w:r>
      <w:r w:rsidRPr="00A87019">
        <w:rPr>
          <w:rFonts w:cs="Times New Roman"/>
          <w:spacing w:val="16"/>
          <w:sz w:val="24"/>
          <w:szCs w:val="24"/>
        </w:rPr>
        <w:t xml:space="preserve"> </w:t>
      </w:r>
      <w:r w:rsidRPr="00A87019">
        <w:rPr>
          <w:rFonts w:cs="Times New Roman"/>
          <w:sz w:val="24"/>
          <w:szCs w:val="24"/>
        </w:rPr>
        <w:t>date</w:t>
      </w:r>
      <w:r w:rsidRPr="00A87019">
        <w:rPr>
          <w:rFonts w:cs="Times New Roman"/>
          <w:spacing w:val="2"/>
          <w:sz w:val="24"/>
          <w:szCs w:val="24"/>
        </w:rPr>
        <w:t xml:space="preserve"> </w:t>
      </w:r>
      <w:r w:rsidRPr="00A87019">
        <w:rPr>
          <w:rFonts w:cs="Times New Roman"/>
          <w:sz w:val="24"/>
          <w:szCs w:val="24"/>
        </w:rPr>
        <w:t>every</w:t>
      </w:r>
      <w:r w:rsidRPr="00A87019">
        <w:rPr>
          <w:rFonts w:cs="Times New Roman"/>
          <w:spacing w:val="2"/>
          <w:sz w:val="24"/>
          <w:szCs w:val="24"/>
        </w:rPr>
        <w:t xml:space="preserve"> </w:t>
      </w:r>
      <w:r w:rsidRPr="00A87019">
        <w:rPr>
          <w:rFonts w:cs="Times New Roman"/>
          <w:sz w:val="24"/>
          <w:szCs w:val="24"/>
        </w:rPr>
        <w:t>three</w:t>
      </w:r>
      <w:r w:rsidRPr="00A87019">
        <w:rPr>
          <w:rFonts w:cs="Times New Roman"/>
          <w:spacing w:val="10"/>
          <w:sz w:val="24"/>
          <w:szCs w:val="24"/>
        </w:rPr>
        <w:t xml:space="preserve"> </w:t>
      </w:r>
      <w:r w:rsidRPr="00A87019">
        <w:rPr>
          <w:rFonts w:cs="Times New Roman"/>
          <w:sz w:val="24"/>
          <w:szCs w:val="24"/>
        </w:rPr>
        <w:t>years</w:t>
      </w:r>
      <w:r w:rsidRPr="00A87019" w:rsidR="00015E05">
        <w:rPr>
          <w:rFonts w:cs="Times New Roman"/>
          <w:sz w:val="24"/>
          <w:szCs w:val="24"/>
        </w:rPr>
        <w:t>, or earlier, as applicable</w:t>
      </w:r>
      <w:r w:rsidRPr="00A87019">
        <w:rPr>
          <w:rFonts w:cs="Times New Roman"/>
          <w:sz w:val="24"/>
          <w:szCs w:val="24"/>
        </w:rPr>
        <w:t>.</w:t>
      </w:r>
      <w:r w:rsidRPr="00A87019" w:rsidR="00702B86">
        <w:rPr>
          <w:rFonts w:cs="Times New Roman"/>
          <w:sz w:val="24"/>
          <w:szCs w:val="24"/>
        </w:rPr>
        <w:t xml:space="preserve">  This request will not affect the normal three-year PRA renewal process, or earlier, as applicable.</w:t>
      </w:r>
    </w:p>
    <w:p w:rsidR="00D17D57" w:rsidRPr="00A87019" w:rsidP="00DA4035" w14:paraId="55FA4F76" w14:textId="77777777">
      <w:pPr>
        <w:spacing w:before="11"/>
        <w:rPr>
          <w:rFonts w:ascii="Times New Roman" w:eastAsia="Times New Roman" w:hAnsi="Times New Roman" w:cs="Times New Roman"/>
          <w:sz w:val="24"/>
          <w:szCs w:val="24"/>
        </w:rPr>
      </w:pPr>
    </w:p>
    <w:p w:rsidR="00D17D57" w:rsidRPr="00F01BF1" w:rsidP="00C14283" w14:paraId="7EC74A04" w14:textId="6A74971C">
      <w:pPr>
        <w:autoSpaceDE w:val="0"/>
        <w:autoSpaceDN w:val="0"/>
        <w:adjustRightInd w:val="0"/>
        <w:spacing w:line="240" w:lineRule="exact"/>
        <w:ind w:right="220"/>
        <w:jc w:val="both"/>
        <w:rPr>
          <w:rFonts w:ascii="Times New Roman" w:hAnsi="Times New Roman" w:cs="Times New Roman"/>
          <w:sz w:val="24"/>
          <w:szCs w:val="24"/>
          <w:u w:val="single"/>
        </w:rPr>
      </w:pPr>
      <w:r w:rsidRPr="00A87019">
        <w:rPr>
          <w:rFonts w:ascii="Times New Roman" w:eastAsia="Times New Roman" w:hAnsi="Times New Roman" w:cs="Times New Roman"/>
          <w:sz w:val="24"/>
          <w:szCs w:val="24"/>
        </w:rPr>
        <w:t xml:space="preserve">18. </w:t>
      </w:r>
      <w:r w:rsidRPr="00A87019">
        <w:rPr>
          <w:rFonts w:ascii="Times New Roman" w:eastAsia="Times New Roman" w:hAnsi="Times New Roman" w:cs="Times New Roman"/>
          <w:sz w:val="24"/>
          <w:szCs w:val="24"/>
          <w:u w:val="single"/>
        </w:rPr>
        <w:t>Exceptions to the certification statement.</w:t>
      </w:r>
    </w:p>
    <w:p w:rsidR="00D17D57" w:rsidRPr="00A87019" w:rsidP="00DA4035" w14:paraId="3E6F67BA" w14:textId="77777777">
      <w:pPr>
        <w:spacing w:before="11"/>
        <w:rPr>
          <w:rFonts w:ascii="Times New Roman" w:eastAsia="Times New Roman" w:hAnsi="Times New Roman" w:cs="Times New Roman"/>
          <w:sz w:val="24"/>
          <w:szCs w:val="24"/>
        </w:rPr>
      </w:pPr>
    </w:p>
    <w:p w:rsidR="00D17D57" w:rsidRPr="00F01BF1" w:rsidP="00C14283" w14:paraId="52EB102E" w14:textId="53B493DF">
      <w:pPr>
        <w:pStyle w:val="BodyText"/>
        <w:ind w:left="0" w:firstLine="720"/>
        <w:rPr>
          <w:rFonts w:cs="Times New Roman"/>
          <w:sz w:val="24"/>
          <w:szCs w:val="24"/>
        </w:rPr>
      </w:pPr>
      <w:r w:rsidRPr="00A87019">
        <w:rPr>
          <w:rFonts w:cs="Times New Roman"/>
          <w:sz w:val="24"/>
          <w:szCs w:val="24"/>
        </w:rPr>
        <w:t>There</w:t>
      </w:r>
      <w:r w:rsidRPr="00A87019">
        <w:rPr>
          <w:rFonts w:cs="Times New Roman"/>
          <w:spacing w:val="11"/>
          <w:sz w:val="24"/>
          <w:szCs w:val="24"/>
        </w:rPr>
        <w:t xml:space="preserve"> </w:t>
      </w:r>
      <w:r w:rsidRPr="00A87019">
        <w:rPr>
          <w:rFonts w:cs="Times New Roman"/>
          <w:sz w:val="24"/>
          <w:szCs w:val="24"/>
        </w:rPr>
        <w:t>are</w:t>
      </w:r>
      <w:r w:rsidRPr="00A87019">
        <w:rPr>
          <w:rFonts w:cs="Times New Roman"/>
          <w:spacing w:val="-5"/>
          <w:sz w:val="24"/>
          <w:szCs w:val="24"/>
        </w:rPr>
        <w:t xml:space="preserve"> </w:t>
      </w:r>
      <w:r w:rsidRPr="00A87019">
        <w:rPr>
          <w:rFonts w:cs="Times New Roman"/>
          <w:sz w:val="24"/>
          <w:szCs w:val="24"/>
        </w:rPr>
        <w:t>no</w:t>
      </w:r>
      <w:r w:rsidRPr="00A87019">
        <w:rPr>
          <w:rFonts w:cs="Times New Roman"/>
          <w:spacing w:val="8"/>
          <w:sz w:val="24"/>
          <w:szCs w:val="24"/>
        </w:rPr>
        <w:t xml:space="preserve"> </w:t>
      </w:r>
      <w:r w:rsidRPr="00A87019">
        <w:rPr>
          <w:rFonts w:cs="Times New Roman"/>
          <w:sz w:val="24"/>
          <w:szCs w:val="24"/>
        </w:rPr>
        <w:t>exceptions</w:t>
      </w:r>
      <w:r w:rsidRPr="00A87019">
        <w:rPr>
          <w:rFonts w:cs="Times New Roman"/>
          <w:spacing w:val="18"/>
          <w:sz w:val="24"/>
          <w:szCs w:val="24"/>
        </w:rPr>
        <w:t xml:space="preserve"> </w:t>
      </w:r>
      <w:r w:rsidRPr="00A87019">
        <w:rPr>
          <w:rFonts w:cs="Times New Roman"/>
          <w:sz w:val="24"/>
          <w:szCs w:val="24"/>
        </w:rPr>
        <w:t>to</w:t>
      </w:r>
      <w:r w:rsidRPr="00A87019">
        <w:rPr>
          <w:rFonts w:cs="Times New Roman"/>
          <w:spacing w:val="7"/>
          <w:sz w:val="24"/>
          <w:szCs w:val="24"/>
        </w:rPr>
        <w:t xml:space="preserve"> </w:t>
      </w:r>
      <w:r w:rsidRPr="00A87019">
        <w:rPr>
          <w:rFonts w:cs="Times New Roman"/>
          <w:sz w:val="24"/>
          <w:szCs w:val="24"/>
        </w:rPr>
        <w:t>the</w:t>
      </w:r>
      <w:r w:rsidRPr="00A87019">
        <w:rPr>
          <w:rFonts w:cs="Times New Roman"/>
          <w:spacing w:val="10"/>
          <w:sz w:val="24"/>
          <w:szCs w:val="24"/>
        </w:rPr>
        <w:t xml:space="preserve"> </w:t>
      </w:r>
      <w:r w:rsidRPr="00A87019">
        <w:rPr>
          <w:rFonts w:cs="Times New Roman"/>
          <w:sz w:val="24"/>
          <w:szCs w:val="24"/>
        </w:rPr>
        <w:t>certification</w:t>
      </w:r>
      <w:r w:rsidRPr="00A87019">
        <w:rPr>
          <w:rFonts w:cs="Times New Roman"/>
          <w:spacing w:val="26"/>
          <w:sz w:val="24"/>
          <w:szCs w:val="24"/>
        </w:rPr>
        <w:t xml:space="preserve"> </w:t>
      </w:r>
      <w:r w:rsidRPr="00A87019">
        <w:rPr>
          <w:rFonts w:cs="Times New Roman"/>
          <w:sz w:val="24"/>
          <w:szCs w:val="24"/>
        </w:rPr>
        <w:t>statement.</w:t>
      </w:r>
    </w:p>
    <w:sectPr w:rsidSect="004F7075">
      <w:footerReference w:type="default" r:id="rId15"/>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44945796"/>
      <w:docPartObj>
        <w:docPartGallery w:val="Page Numbers (Bottom of Page)"/>
        <w:docPartUnique/>
      </w:docPartObj>
    </w:sdtPr>
    <w:sdtEndPr>
      <w:rPr>
        <w:rFonts w:ascii="Times New Roman" w:hAnsi="Times New Roman" w:cs="Times New Roman"/>
        <w:noProof/>
      </w:rPr>
    </w:sdtEndPr>
    <w:sdtContent>
      <w:p w:rsidR="00DD151B" w:rsidRPr="006D017C" w14:paraId="28E7729E" w14:textId="17C35968">
        <w:pPr>
          <w:pStyle w:val="Footer"/>
          <w:jc w:val="center"/>
          <w:rPr>
            <w:rFonts w:ascii="Times New Roman" w:hAnsi="Times New Roman" w:cs="Times New Roman"/>
          </w:rPr>
        </w:pPr>
        <w:r w:rsidRPr="006D017C">
          <w:rPr>
            <w:rFonts w:ascii="Times New Roman" w:hAnsi="Times New Roman" w:cs="Times New Roman"/>
          </w:rPr>
          <w:fldChar w:fldCharType="begin"/>
        </w:r>
        <w:r w:rsidRPr="006D017C">
          <w:rPr>
            <w:rFonts w:ascii="Times New Roman" w:hAnsi="Times New Roman" w:cs="Times New Roman"/>
          </w:rPr>
          <w:instrText xml:space="preserve"> PAGE   \* MERGEFORMAT </w:instrText>
        </w:r>
        <w:r w:rsidRPr="006D017C">
          <w:rPr>
            <w:rFonts w:ascii="Times New Roman" w:hAnsi="Times New Roman" w:cs="Times New Roman"/>
          </w:rPr>
          <w:fldChar w:fldCharType="separate"/>
        </w:r>
        <w:r w:rsidR="009F38A5">
          <w:rPr>
            <w:rFonts w:ascii="Times New Roman" w:hAnsi="Times New Roman" w:cs="Times New Roman"/>
            <w:noProof/>
          </w:rPr>
          <w:t>7</w:t>
        </w:r>
        <w:r w:rsidRPr="006D017C">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B577D" w:rsidP="00DA4035" w14:paraId="1CF8241F" w14:textId="77777777">
      <w:r>
        <w:separator/>
      </w:r>
    </w:p>
  </w:footnote>
  <w:footnote w:type="continuationSeparator" w:id="1">
    <w:p w:rsidR="00FB577D" w:rsidP="00DA4035" w14:paraId="53302656" w14:textId="77777777">
      <w:r>
        <w:continuationSeparator/>
      </w:r>
    </w:p>
  </w:footnote>
  <w:footnote w:id="2">
    <w:p w:rsidR="71E559B3" w:rsidP="71E559B3" w14:paraId="230774C6" w14:textId="1938AEE0">
      <w:pPr>
        <w:pStyle w:val="FootnoteText"/>
      </w:pPr>
      <w:r w:rsidRPr="71E559B3">
        <w:rPr>
          <w:rStyle w:val="FootnoteReference"/>
          <w:rFonts w:ascii="Times New Roman" w:hAnsi="Times New Roman" w:cs="Times New Roman"/>
        </w:rPr>
        <w:footnoteRef/>
      </w:r>
      <w:r w:rsidRPr="71E559B3">
        <w:rPr>
          <w:rFonts w:ascii="Times New Roman" w:hAnsi="Times New Roman" w:cs="Times New Roman"/>
        </w:rPr>
        <w:t xml:space="preserve"> Title II of Pub. L. 91–508, 84 Stat. 1118 (Oct. 26, 1970).</w:t>
      </w:r>
    </w:p>
  </w:footnote>
  <w:footnote w:id="3">
    <w:p w:rsidR="002D0081" w:rsidRPr="00C00833" w:rsidP="002D0081" w14:paraId="51212A55" w14:textId="7B94A3F6">
      <w:pPr>
        <w:pStyle w:val="FootnoteText"/>
      </w:pPr>
      <w:r w:rsidRPr="002D0081">
        <w:rPr>
          <w:rStyle w:val="FootnoteReference"/>
          <w:rFonts w:ascii="Times New Roman" w:hAnsi="Times New Roman" w:cs="Times New Roman"/>
        </w:rPr>
        <w:footnoteRef/>
      </w:r>
      <w:r w:rsidRPr="002D0081">
        <w:rPr>
          <w:rFonts w:ascii="Times New Roman" w:hAnsi="Times New Roman" w:cs="Times New Roman"/>
        </w:rPr>
        <w:t xml:space="preserve"> </w:t>
      </w:r>
      <w:r w:rsidRPr="00C00833" w:rsidR="009D1ADD">
        <w:rPr>
          <w:rFonts w:ascii="Times New Roman" w:hAnsi="Times New Roman" w:cs="Times New Roman"/>
        </w:rPr>
        <w:t>USA PATRIOT Act, Pub. L. 107–56, 115 Stat. 272 (Oct. 26, 2001).</w:t>
      </w:r>
    </w:p>
  </w:footnote>
  <w:footnote w:id="4">
    <w:p w:rsidR="002D0081" w:rsidRPr="002D0081" w:rsidP="002D0081" w14:paraId="0061E8E8" w14:textId="77777777">
      <w:pPr>
        <w:pStyle w:val="FootnoteText"/>
        <w:rPr>
          <w:rFonts w:ascii="Times New Roman" w:hAnsi="Times New Roman" w:cs="Times New Roman"/>
        </w:rPr>
      </w:pPr>
      <w:r w:rsidRPr="002D0081">
        <w:rPr>
          <w:rStyle w:val="FootnoteReference"/>
          <w:rFonts w:ascii="Times New Roman" w:hAnsi="Times New Roman" w:cs="Times New Roman"/>
        </w:rPr>
        <w:footnoteRef/>
      </w:r>
      <w:r w:rsidRPr="002D0081">
        <w:rPr>
          <w:rFonts w:ascii="Times New Roman" w:hAnsi="Times New Roman" w:cs="Times New Roman"/>
        </w:rPr>
        <w:t xml:space="preserve"> The AML Act was enacted as Division F, sections 6001-6511, of the William M. (Mac) Thornberry National Defense Authorization Act for Fiscal Year 2021, Pub. L. 116-283, 134 Stat. 3388 (Jan. 1, 2021).</w:t>
      </w:r>
    </w:p>
  </w:footnote>
  <w:footnote w:id="5">
    <w:p w:rsidR="002D0081" w:rsidRPr="00C00833" w:rsidP="002D0081" w14:paraId="4730C095" w14:textId="596FC566">
      <w:pPr>
        <w:pStyle w:val="FootnoteText"/>
        <w:rPr>
          <w:rFonts w:ascii="Times New Roman" w:hAnsi="Times New Roman" w:cs="Times New Roman"/>
        </w:rPr>
      </w:pPr>
      <w:r w:rsidRPr="002D0081">
        <w:rPr>
          <w:rStyle w:val="FootnoteReference"/>
          <w:rFonts w:ascii="Times New Roman" w:hAnsi="Times New Roman" w:cs="Times New Roman"/>
        </w:rPr>
        <w:footnoteRef/>
      </w:r>
      <w:r w:rsidRPr="002D0081">
        <w:rPr>
          <w:rFonts w:ascii="Times New Roman" w:hAnsi="Times New Roman" w:cs="Times New Roman"/>
        </w:rPr>
        <w:t xml:space="preserve"> </w:t>
      </w:r>
      <w:r w:rsidRPr="002D0081">
        <w:rPr>
          <w:rFonts w:ascii="Times New Roman" w:hAnsi="Times New Roman" w:cs="Times New Roman"/>
          <w:i/>
          <w:iCs/>
        </w:rPr>
        <w:t>See</w:t>
      </w:r>
      <w:r w:rsidRPr="002D0081">
        <w:rPr>
          <w:rFonts w:ascii="Times New Roman" w:hAnsi="Times New Roman" w:cs="Times New Roman"/>
        </w:rPr>
        <w:t xml:space="preserve"> 31 U.S.C. 5311(1)-(2).</w:t>
      </w:r>
      <w:r w:rsidR="00C00833">
        <w:rPr>
          <w:rFonts w:ascii="Times New Roman" w:hAnsi="Times New Roman" w:cs="Times New Roman"/>
        </w:rPr>
        <w:t xml:space="preserve">  </w:t>
      </w:r>
      <w:r w:rsidRPr="00C00833" w:rsidR="00C00833">
        <w:rPr>
          <w:rFonts w:ascii="Times New Roman" w:hAnsi="Times New Roman" w:cs="Times New Roman"/>
        </w:rPr>
        <w:t xml:space="preserve">Reporting requirements are authorized under other provisions in the BSA.  </w:t>
      </w:r>
      <w:r w:rsidRPr="00C00833" w:rsidR="00C00833">
        <w:rPr>
          <w:rFonts w:ascii="Times New Roman" w:hAnsi="Times New Roman" w:cs="Times New Roman"/>
          <w:i/>
          <w:iCs/>
        </w:rPr>
        <w:t xml:space="preserve">See </w:t>
      </w:r>
      <w:r w:rsidRPr="00C00833" w:rsidR="00C00833">
        <w:rPr>
          <w:rFonts w:ascii="Times New Roman" w:hAnsi="Times New Roman" w:cs="Times New Roman"/>
        </w:rPr>
        <w:t>31 U.S.C. 5313 (Currency Transaction Reports, or CTRs); 31 U.S.C. 5314 (Report of Foreign Bank and Financial Accounts, or FBARs); 31 U.S.C. 5318(a)(2) (authorizing the Secretary to impose reporting requirements for the purpose of ensuring compliance with the BSA or guarding against money laundering, the financing of terrorism, or other forms of illicit finance); 31 U.S.C. 5318(g) (Suspicious Activity Reports, or SARs); 31 U.S.C. 5330 (Registration of Money Services Businesses, or RMSBs); 31 U.S.C. 5331 (Report of Cash Payments Over $10,000 Received in a Trade or Business, or Form 8300s).</w:t>
      </w:r>
    </w:p>
  </w:footnote>
  <w:footnote w:id="6">
    <w:p w:rsidR="002D0081" w:rsidRPr="002D0081" w:rsidP="002D0081" w14:paraId="3458E5BA" w14:textId="2A5F1F96">
      <w:pPr>
        <w:autoSpaceDE w:val="0"/>
        <w:autoSpaceDN w:val="0"/>
        <w:adjustRightInd w:val="0"/>
        <w:rPr>
          <w:rFonts w:ascii="Times New Roman" w:hAnsi="Times New Roman" w:cs="Times New Roman"/>
          <w:sz w:val="20"/>
          <w:szCs w:val="20"/>
        </w:rPr>
      </w:pPr>
      <w:r w:rsidRPr="002D0081">
        <w:rPr>
          <w:rStyle w:val="FootnoteReference"/>
          <w:rFonts w:ascii="Times New Roman" w:hAnsi="Times New Roman" w:cs="Times New Roman"/>
          <w:sz w:val="20"/>
        </w:rPr>
        <w:footnoteRef/>
      </w:r>
      <w:r w:rsidRPr="002D0081">
        <w:rPr>
          <w:rFonts w:ascii="Times New Roman" w:hAnsi="Times New Roman" w:cs="Times New Roman"/>
          <w:sz w:val="20"/>
        </w:rPr>
        <w:t xml:space="preserve"> </w:t>
      </w:r>
      <w:r w:rsidRPr="0011679B" w:rsidR="0011679B">
        <w:rPr>
          <w:rFonts w:ascii="Times New Roman" w:hAnsi="Times New Roman" w:cs="Times New Roman"/>
          <w:i/>
          <w:iCs/>
          <w:sz w:val="20"/>
        </w:rPr>
        <w:t>See</w:t>
      </w:r>
      <w:r w:rsidR="0011679B">
        <w:rPr>
          <w:rFonts w:ascii="Times New Roman" w:hAnsi="Times New Roman" w:cs="Times New Roman"/>
          <w:sz w:val="20"/>
        </w:rPr>
        <w:t xml:space="preserve"> </w:t>
      </w:r>
      <w:r w:rsidRPr="002D0081">
        <w:rPr>
          <w:rFonts w:ascii="Times New Roman" w:hAnsi="Times New Roman" w:cs="Times New Roman"/>
          <w:sz w:val="20"/>
          <w:szCs w:val="20"/>
        </w:rPr>
        <w:t>Treasury Order 180-01 (</w:t>
      </w:r>
      <w:r w:rsidRPr="002D0081">
        <w:rPr>
          <w:rFonts w:ascii="Times New Roman" w:hAnsi="Times New Roman" w:cs="Times New Roman"/>
          <w:i/>
          <w:sz w:val="20"/>
          <w:szCs w:val="20"/>
        </w:rPr>
        <w:t>Reaffirmed</w:t>
      </w:r>
      <w:r w:rsidRPr="002D0081">
        <w:rPr>
          <w:rFonts w:ascii="Times New Roman" w:hAnsi="Times New Roman" w:cs="Times New Roman"/>
          <w:sz w:val="20"/>
          <w:szCs w:val="20"/>
        </w:rPr>
        <w:t xml:space="preserve"> Jan. 14, 2020); </w:t>
      </w:r>
      <w:r w:rsidRPr="002D0081">
        <w:rPr>
          <w:rFonts w:ascii="Times New Roman" w:hAnsi="Times New Roman" w:cs="Times New Roman"/>
          <w:i/>
          <w:iCs/>
          <w:color w:val="000000"/>
          <w:sz w:val="20"/>
          <w:szCs w:val="20"/>
        </w:rPr>
        <w:t xml:space="preserve">see also </w:t>
      </w:r>
      <w:r w:rsidRPr="002D0081">
        <w:rPr>
          <w:rFonts w:ascii="Times New Roman" w:hAnsi="Times New Roman" w:cs="Times New Roman"/>
          <w:color w:val="000000"/>
          <w:sz w:val="20"/>
          <w:szCs w:val="20"/>
        </w:rPr>
        <w:t>31 U.S.C. 310(b)(2)(I) (providing that the Director of FinCEN shall “[a]</w:t>
      </w:r>
      <w:r w:rsidRPr="002D0081">
        <w:rPr>
          <w:rFonts w:ascii="Times New Roman" w:hAnsi="Times New Roman" w:cs="Times New Roman"/>
          <w:color w:val="000000"/>
          <w:sz w:val="20"/>
          <w:szCs w:val="20"/>
        </w:rPr>
        <w:t>dminister</w:t>
      </w:r>
      <w:r w:rsidRPr="002D0081">
        <w:rPr>
          <w:rFonts w:ascii="Times New Roman" w:hAnsi="Times New Roman" w:cs="Times New Roman"/>
          <w:color w:val="000000"/>
          <w:sz w:val="20"/>
          <w:szCs w:val="20"/>
        </w:rPr>
        <w:t xml:space="preserve"> the requirements of subchapter II of chapter 53 of this title, chapter 2 of title I of Public Law 91–508, and section 21 of the Federal Deposit Insurance Act, to the extent delegated such authority by the Secretary.”)</w:t>
      </w:r>
      <w:r w:rsidRPr="002D0081">
        <w:rPr>
          <w:rFonts w:ascii="Times New Roman" w:hAnsi="Times New Roman" w:cs="Times New Roman"/>
          <w:sz w:val="20"/>
          <w:szCs w:val="20"/>
        </w:rPr>
        <w:t>.</w:t>
      </w:r>
    </w:p>
  </w:footnote>
  <w:footnote w:id="7">
    <w:p w:rsidR="002D0081" w:rsidRPr="002D0081" w:rsidP="002D0081" w14:paraId="5171F160" w14:textId="77777777">
      <w:pPr>
        <w:pStyle w:val="FootnoteText"/>
        <w:rPr>
          <w:rFonts w:ascii="Times New Roman" w:hAnsi="Times New Roman" w:cs="Times New Roman"/>
        </w:rPr>
      </w:pPr>
      <w:r w:rsidRPr="002D0081">
        <w:rPr>
          <w:rStyle w:val="FootnoteReference"/>
          <w:rFonts w:ascii="Times New Roman" w:hAnsi="Times New Roman" w:cs="Times New Roman"/>
        </w:rPr>
        <w:footnoteRef/>
      </w:r>
      <w:r w:rsidRPr="002D0081">
        <w:rPr>
          <w:rFonts w:ascii="Times New Roman" w:hAnsi="Times New Roman" w:cs="Times New Roman"/>
        </w:rPr>
        <w:t xml:space="preserve"> 31 U.S.C. 5314(a).</w:t>
      </w:r>
    </w:p>
  </w:footnote>
  <w:footnote w:id="8">
    <w:p w:rsidR="002D0081" w:rsidRPr="002D0081" w:rsidP="002D0081" w14:paraId="1B45E3CB" w14:textId="77777777">
      <w:pPr>
        <w:pStyle w:val="FootnoteText"/>
        <w:rPr>
          <w:rFonts w:ascii="Times New Roman" w:hAnsi="Times New Roman" w:cs="Times New Roman"/>
        </w:rPr>
      </w:pPr>
      <w:r w:rsidRPr="002D0081">
        <w:rPr>
          <w:rStyle w:val="FootnoteReference"/>
          <w:rFonts w:ascii="Times New Roman" w:hAnsi="Times New Roman" w:cs="Times New Roman"/>
        </w:rPr>
        <w:footnoteRef/>
      </w:r>
      <w:r w:rsidRPr="002D0081">
        <w:rPr>
          <w:rFonts w:ascii="Times New Roman" w:hAnsi="Times New Roman" w:cs="Times New Roman"/>
        </w:rPr>
        <w:t xml:space="preserve"> 31 U.S.C. 5312(b)(2).</w:t>
      </w:r>
    </w:p>
  </w:footnote>
  <w:footnote w:id="9">
    <w:p w:rsidR="002D0081" w:rsidRPr="002D0081" w:rsidP="002D0081" w14:paraId="63409625" w14:textId="60A98F89">
      <w:pPr>
        <w:pStyle w:val="FootnoteText"/>
        <w:rPr>
          <w:rFonts w:ascii="Times New Roman" w:hAnsi="Times New Roman" w:cs="Times New Roman"/>
        </w:rPr>
      </w:pPr>
      <w:r w:rsidRPr="002D0081">
        <w:rPr>
          <w:rStyle w:val="FootnoteReference"/>
          <w:rFonts w:ascii="Times New Roman" w:hAnsi="Times New Roman" w:cs="Times New Roman"/>
        </w:rPr>
        <w:footnoteRef/>
      </w:r>
      <w:r w:rsidRPr="002D0081">
        <w:rPr>
          <w:rFonts w:ascii="Times New Roman" w:hAnsi="Times New Roman" w:cs="Times New Roman"/>
        </w:rPr>
        <w:t xml:space="preserve"> </w:t>
      </w:r>
      <w:r w:rsidRPr="002D0081">
        <w:rPr>
          <w:rFonts w:ascii="Times New Roman" w:hAnsi="Times New Roman" w:cs="Times New Roman"/>
          <w:i/>
          <w:iCs/>
        </w:rPr>
        <w:t xml:space="preserve">See </w:t>
      </w:r>
      <w:r w:rsidRPr="002D0081">
        <w:rPr>
          <w:rFonts w:ascii="Times New Roman" w:hAnsi="Times New Roman" w:cs="Times New Roman"/>
        </w:rPr>
        <w:t>31 U.S.C. 5312(a)(1)</w:t>
      </w:r>
      <w:r w:rsidR="00092B46">
        <w:rPr>
          <w:rFonts w:ascii="Times New Roman" w:hAnsi="Times New Roman" w:cs="Times New Roman"/>
        </w:rPr>
        <w:t xml:space="preserve">.  </w:t>
      </w:r>
      <w:r w:rsidRPr="002D0081">
        <w:rPr>
          <w:rFonts w:ascii="Times New Roman" w:hAnsi="Times New Roman" w:cs="Times New Roman"/>
        </w:rPr>
        <w:t xml:space="preserve">The definition of </w:t>
      </w:r>
      <w:r w:rsidR="00810F61">
        <w:rPr>
          <w:rFonts w:ascii="Times New Roman" w:hAnsi="Times New Roman" w:cs="Times New Roman"/>
        </w:rPr>
        <w:t>“</w:t>
      </w:r>
      <w:r w:rsidRPr="002D0081">
        <w:rPr>
          <w:rFonts w:ascii="Times New Roman" w:hAnsi="Times New Roman" w:cs="Times New Roman"/>
        </w:rPr>
        <w:t>financial agency</w:t>
      </w:r>
      <w:r w:rsidR="00810F61">
        <w:rPr>
          <w:rFonts w:ascii="Times New Roman" w:hAnsi="Times New Roman" w:cs="Times New Roman"/>
        </w:rPr>
        <w:t>”</w:t>
      </w:r>
      <w:r w:rsidRPr="002D0081">
        <w:rPr>
          <w:rFonts w:ascii="Times New Roman" w:hAnsi="Times New Roman" w:cs="Times New Roman"/>
        </w:rPr>
        <w:t xml:space="preserve"> exempts a person acting for a country, a monetary or financial authority acting as a monetary or financial authority, or an international financial institution of which the United States Government is a member.</w:t>
      </w:r>
    </w:p>
  </w:footnote>
  <w:footnote w:id="10">
    <w:p w:rsidR="002D0081" w:rsidRPr="002D0081" w:rsidP="002D0081" w14:paraId="3FCCFA82" w14:textId="77777777">
      <w:pPr>
        <w:pStyle w:val="FootnoteText"/>
        <w:rPr>
          <w:rFonts w:ascii="Times New Roman" w:hAnsi="Times New Roman" w:cs="Times New Roman"/>
        </w:rPr>
      </w:pPr>
      <w:r w:rsidRPr="002D0081">
        <w:rPr>
          <w:rStyle w:val="FootnoteReference"/>
          <w:rFonts w:ascii="Times New Roman" w:hAnsi="Times New Roman" w:cs="Times New Roman"/>
        </w:rPr>
        <w:footnoteRef/>
      </w:r>
      <w:r w:rsidRPr="002D0081">
        <w:rPr>
          <w:rFonts w:ascii="Times New Roman" w:hAnsi="Times New Roman" w:cs="Times New Roman"/>
        </w:rPr>
        <w:t xml:space="preserve"> </w:t>
      </w:r>
      <w:r w:rsidRPr="002D0081">
        <w:rPr>
          <w:rFonts w:ascii="Times New Roman" w:hAnsi="Times New Roman" w:cs="Times New Roman"/>
          <w:i/>
          <w:iCs/>
        </w:rPr>
        <w:t>See</w:t>
      </w:r>
      <w:r w:rsidRPr="002D0081">
        <w:rPr>
          <w:rFonts w:ascii="Times New Roman" w:hAnsi="Times New Roman" w:cs="Times New Roman"/>
        </w:rPr>
        <w:t xml:space="preserve"> 31 U.S.C. 5314(b)(1) and (5).</w:t>
      </w:r>
    </w:p>
  </w:footnote>
  <w:footnote w:id="11">
    <w:p w:rsidR="002D0081" w:rsidRPr="002D0081" w:rsidP="002D0081" w14:paraId="357B6283" w14:textId="34C9ADEC">
      <w:pPr>
        <w:pStyle w:val="FootnoteText"/>
        <w:rPr>
          <w:rFonts w:ascii="Times New Roman" w:hAnsi="Times New Roman" w:cs="Times New Roman"/>
        </w:rPr>
      </w:pPr>
      <w:r w:rsidRPr="002D0081">
        <w:rPr>
          <w:rStyle w:val="FootnoteReference"/>
          <w:rFonts w:ascii="Times New Roman" w:hAnsi="Times New Roman" w:cs="Times New Roman"/>
        </w:rPr>
        <w:footnoteRef/>
      </w:r>
      <w:r w:rsidRPr="002D0081">
        <w:rPr>
          <w:rFonts w:ascii="Times New Roman" w:hAnsi="Times New Roman" w:cs="Times New Roman"/>
        </w:rPr>
        <w:t xml:space="preserve"> </w:t>
      </w:r>
      <w:r w:rsidRPr="002D0081">
        <w:rPr>
          <w:rFonts w:ascii="Times New Roman" w:hAnsi="Times New Roman" w:cs="Times New Roman"/>
          <w:color w:val="000000"/>
        </w:rPr>
        <w:t xml:space="preserve">If such a regulation is issued as a final rule without notice and opportunity for public comment, </w:t>
      </w:r>
      <w:r w:rsidR="001132D2">
        <w:rPr>
          <w:rFonts w:ascii="Times New Roman" w:hAnsi="Times New Roman" w:cs="Times New Roman"/>
          <w:color w:val="000000"/>
        </w:rPr>
        <w:t xml:space="preserve">as required by the Administrative Procedure Act, Pub. L. 79-404, 60 Stat. 237 (June 11, 1946), codified at 5 U.S.C. 551 </w:t>
      </w:r>
      <w:r w:rsidRPr="0039393E" w:rsidR="001132D2">
        <w:rPr>
          <w:rFonts w:ascii="Times New Roman" w:hAnsi="Times New Roman" w:cs="Times New Roman"/>
          <w:i/>
          <w:iCs/>
          <w:color w:val="000000"/>
        </w:rPr>
        <w:t>et seq.</w:t>
      </w:r>
      <w:r w:rsidR="001132D2">
        <w:rPr>
          <w:rFonts w:ascii="Times New Roman" w:hAnsi="Times New Roman" w:cs="Times New Roman"/>
          <w:color w:val="000000"/>
        </w:rPr>
        <w:t xml:space="preserve">, </w:t>
      </w:r>
      <w:r w:rsidRPr="002D0081">
        <w:rPr>
          <w:rFonts w:ascii="Times New Roman" w:hAnsi="Times New Roman" w:cs="Times New Roman"/>
          <w:color w:val="000000"/>
        </w:rPr>
        <w:t xml:space="preserve">then a finding of good cause for dispensing with notice and comment in accordance with 5 U.S.C. 553(b) must be included in the regulation.  If the regulation is not published in the Federal Register, then any financial institution subject to the regulation must be named and personally served or otherwise given actual notice in accordance with 5 U.S.C. 553(b).  If a </w:t>
      </w:r>
      <w:r w:rsidR="001132D2">
        <w:rPr>
          <w:rFonts w:ascii="Times New Roman" w:hAnsi="Times New Roman" w:cs="Times New Roman"/>
          <w:color w:val="000000"/>
        </w:rPr>
        <w:t xml:space="preserve">covered </w:t>
      </w:r>
      <w:r w:rsidRPr="002D0081">
        <w:rPr>
          <w:rFonts w:ascii="Times New Roman" w:hAnsi="Times New Roman" w:cs="Times New Roman"/>
          <w:color w:val="000000"/>
        </w:rPr>
        <w:t xml:space="preserve">financial institution is given notice of a reporting requirement by means other than publication in the Federal Register, the Secretary may prohibit disclosure of the existence or provisions of that reporting requirement to the designated FFA(s) and to any other party.  </w:t>
      </w:r>
      <w:r w:rsidRPr="002D0081">
        <w:rPr>
          <w:rFonts w:ascii="Times New Roman" w:hAnsi="Times New Roman" w:cs="Times New Roman"/>
          <w:i/>
          <w:color w:val="000000"/>
        </w:rPr>
        <w:t xml:space="preserve">See </w:t>
      </w:r>
      <w:r w:rsidRPr="002D0081">
        <w:rPr>
          <w:rFonts w:ascii="Times New Roman" w:hAnsi="Times New Roman" w:cs="Times New Roman"/>
          <w:color w:val="000000"/>
        </w:rPr>
        <w:t>31 CFR 1010.360(a).</w:t>
      </w:r>
    </w:p>
  </w:footnote>
  <w:footnote w:id="12">
    <w:p w:rsidR="002D0081" w:rsidRPr="002D0081" w:rsidP="002D0081" w14:paraId="597F0ADD" w14:textId="77777777">
      <w:pPr>
        <w:pStyle w:val="FootnoteText"/>
        <w:rPr>
          <w:rFonts w:ascii="Times New Roman" w:hAnsi="Times New Roman" w:cs="Times New Roman"/>
        </w:rPr>
      </w:pPr>
      <w:r w:rsidRPr="002D0081">
        <w:rPr>
          <w:rStyle w:val="FootnoteReference"/>
          <w:rFonts w:ascii="Times New Roman" w:hAnsi="Times New Roman" w:cs="Times New Roman"/>
        </w:rPr>
        <w:footnoteRef/>
      </w:r>
      <w:r w:rsidRPr="002D0081">
        <w:rPr>
          <w:rFonts w:ascii="Times New Roman" w:hAnsi="Times New Roman" w:cs="Times New Roman"/>
        </w:rPr>
        <w:t xml:space="preserve"> </w:t>
      </w:r>
      <w:r w:rsidRPr="002D0081">
        <w:rPr>
          <w:rFonts w:ascii="Times New Roman" w:hAnsi="Times New Roman" w:cs="Times New Roman"/>
          <w:i/>
          <w:iCs/>
        </w:rPr>
        <w:t xml:space="preserve">See </w:t>
      </w:r>
      <w:r w:rsidRPr="002D0081">
        <w:rPr>
          <w:rFonts w:ascii="Times New Roman" w:hAnsi="Times New Roman" w:cs="Times New Roman"/>
        </w:rPr>
        <w:t>31 CFR 1010.360(b)(1)(</w:t>
      </w:r>
      <w:r w:rsidRPr="002D0081">
        <w:rPr>
          <w:rFonts w:ascii="Times New Roman" w:hAnsi="Times New Roman" w:cs="Times New Roman"/>
        </w:rPr>
        <w:t>i</w:t>
      </w:r>
      <w:r w:rsidRPr="002D0081">
        <w:rPr>
          <w:rFonts w:ascii="Times New Roman" w:hAnsi="Times New Roman" w:cs="Times New Roman"/>
        </w:rPr>
        <w:t>) – (v).</w:t>
      </w:r>
    </w:p>
  </w:footnote>
  <w:footnote w:id="13">
    <w:p w:rsidR="002D0081" w:rsidRPr="002D0081" w:rsidP="002D0081" w14:paraId="79D0A0DD" w14:textId="77777777">
      <w:pPr>
        <w:pStyle w:val="FootnoteText"/>
        <w:rPr>
          <w:rFonts w:ascii="Times New Roman" w:hAnsi="Times New Roman" w:cs="Times New Roman"/>
        </w:rPr>
      </w:pPr>
      <w:r w:rsidRPr="002D0081">
        <w:rPr>
          <w:rStyle w:val="FootnoteReference"/>
          <w:rFonts w:ascii="Times New Roman" w:hAnsi="Times New Roman" w:cs="Times New Roman"/>
        </w:rPr>
        <w:footnoteRef/>
      </w:r>
      <w:r w:rsidRPr="002D0081">
        <w:rPr>
          <w:rFonts w:ascii="Times New Roman" w:hAnsi="Times New Roman" w:cs="Times New Roman"/>
        </w:rPr>
        <w:t xml:space="preserve"> </w:t>
      </w:r>
      <w:r w:rsidRPr="002D0081">
        <w:rPr>
          <w:rFonts w:ascii="Times New Roman" w:hAnsi="Times New Roman" w:cs="Times New Roman"/>
          <w:i/>
          <w:iCs/>
        </w:rPr>
        <w:t xml:space="preserve">See </w:t>
      </w:r>
      <w:r w:rsidRPr="002D0081">
        <w:rPr>
          <w:rFonts w:ascii="Times New Roman" w:hAnsi="Times New Roman" w:cs="Times New Roman"/>
        </w:rPr>
        <w:t>31 CFR 1010.360(b)(2).</w:t>
      </w:r>
    </w:p>
  </w:footnote>
  <w:footnote w:id="14">
    <w:p w:rsidR="002D0081" w:rsidRPr="002D0081" w:rsidP="002D0081" w14:paraId="53B843A8" w14:textId="77777777">
      <w:pPr>
        <w:pStyle w:val="FootnoteText"/>
        <w:rPr>
          <w:rFonts w:ascii="Times New Roman" w:hAnsi="Times New Roman" w:cs="Times New Roman"/>
        </w:rPr>
      </w:pPr>
      <w:r w:rsidRPr="002D0081">
        <w:rPr>
          <w:rStyle w:val="FootnoteReference"/>
          <w:rFonts w:ascii="Times New Roman" w:hAnsi="Times New Roman" w:cs="Times New Roman"/>
        </w:rPr>
        <w:footnoteRef/>
      </w:r>
      <w:r w:rsidRPr="002D0081">
        <w:rPr>
          <w:rFonts w:ascii="Times New Roman" w:hAnsi="Times New Roman" w:cs="Times New Roman"/>
        </w:rPr>
        <w:t xml:space="preserve"> </w:t>
      </w:r>
      <w:r w:rsidRPr="002D0081">
        <w:rPr>
          <w:rFonts w:ascii="Times New Roman" w:hAnsi="Times New Roman" w:cs="Times New Roman"/>
          <w:i/>
          <w:iCs/>
        </w:rPr>
        <w:t xml:space="preserve">See </w:t>
      </w:r>
      <w:r w:rsidRPr="002D0081">
        <w:rPr>
          <w:rFonts w:ascii="Times New Roman" w:hAnsi="Times New Roman" w:cs="Times New Roman"/>
        </w:rPr>
        <w:t>31 CFR 1010.360(b)(3)(</w:t>
      </w:r>
      <w:r w:rsidRPr="002D0081">
        <w:rPr>
          <w:rFonts w:ascii="Times New Roman" w:hAnsi="Times New Roman" w:cs="Times New Roman"/>
        </w:rPr>
        <w:t>i</w:t>
      </w:r>
      <w:r w:rsidRPr="002D0081">
        <w:rPr>
          <w:rFonts w:ascii="Times New Roman" w:hAnsi="Times New Roman" w:cs="Times New Roman"/>
        </w:rPr>
        <w:t>) – (viii).</w:t>
      </w:r>
    </w:p>
  </w:footnote>
  <w:footnote w:id="15">
    <w:p w:rsidR="002D0081" w:rsidRPr="002D0081" w:rsidP="002D0081" w14:paraId="5F086A28" w14:textId="77777777">
      <w:pPr>
        <w:pStyle w:val="FootnoteText"/>
        <w:rPr>
          <w:rFonts w:ascii="Times New Roman" w:hAnsi="Times New Roman" w:cs="Times New Roman"/>
        </w:rPr>
      </w:pPr>
      <w:r w:rsidRPr="002D0081">
        <w:rPr>
          <w:rStyle w:val="FootnoteReference"/>
          <w:rFonts w:ascii="Times New Roman" w:hAnsi="Times New Roman" w:cs="Times New Roman"/>
        </w:rPr>
        <w:footnoteRef/>
      </w:r>
      <w:r w:rsidRPr="002D0081">
        <w:rPr>
          <w:rFonts w:ascii="Times New Roman" w:hAnsi="Times New Roman" w:cs="Times New Roman"/>
        </w:rPr>
        <w:t xml:space="preserve"> </w:t>
      </w:r>
      <w:r w:rsidRPr="002D0081">
        <w:rPr>
          <w:rFonts w:ascii="Times New Roman" w:hAnsi="Times New Roman" w:cs="Times New Roman"/>
          <w:i/>
          <w:iCs/>
        </w:rPr>
        <w:t xml:space="preserve">See </w:t>
      </w:r>
      <w:r w:rsidRPr="002D0081">
        <w:rPr>
          <w:rFonts w:ascii="Times New Roman" w:hAnsi="Times New Roman" w:cs="Times New Roman"/>
        </w:rPr>
        <w:t>31 CFR 1010.360(b)(4)(</w:t>
      </w:r>
      <w:r w:rsidRPr="002D0081">
        <w:rPr>
          <w:rFonts w:ascii="Times New Roman" w:hAnsi="Times New Roman" w:cs="Times New Roman"/>
        </w:rPr>
        <w:t>i</w:t>
      </w:r>
      <w:r w:rsidRPr="002D0081">
        <w:rPr>
          <w:rFonts w:ascii="Times New Roman" w:hAnsi="Times New Roman" w:cs="Times New Roman"/>
        </w:rPr>
        <w:t>) – (v).</w:t>
      </w:r>
    </w:p>
  </w:footnote>
  <w:footnote w:id="16">
    <w:p w:rsidR="002D0081" w:rsidRPr="002D0081" w:rsidP="002D0081" w14:paraId="60DD7079" w14:textId="77777777">
      <w:pPr>
        <w:pStyle w:val="FootnoteText"/>
        <w:rPr>
          <w:rFonts w:ascii="Times New Roman" w:hAnsi="Times New Roman" w:cs="Times New Roman"/>
        </w:rPr>
      </w:pPr>
      <w:r w:rsidRPr="002D0081">
        <w:rPr>
          <w:rStyle w:val="FootnoteReference"/>
          <w:rFonts w:ascii="Times New Roman" w:hAnsi="Times New Roman" w:cs="Times New Roman"/>
        </w:rPr>
        <w:footnoteRef/>
      </w:r>
      <w:r w:rsidRPr="002D0081">
        <w:rPr>
          <w:rFonts w:ascii="Times New Roman" w:hAnsi="Times New Roman" w:cs="Times New Roman"/>
        </w:rPr>
        <w:t xml:space="preserve"> </w:t>
      </w:r>
      <w:r w:rsidRPr="002D0081">
        <w:rPr>
          <w:rFonts w:ascii="Times New Roman" w:hAnsi="Times New Roman" w:cs="Times New Roman"/>
          <w:i/>
          <w:iCs/>
        </w:rPr>
        <w:t xml:space="preserve">See </w:t>
      </w:r>
      <w:r w:rsidRPr="002D0081">
        <w:rPr>
          <w:rFonts w:ascii="Times New Roman" w:hAnsi="Times New Roman" w:cs="Times New Roman"/>
        </w:rPr>
        <w:t>31 CFR 1010.360(b)(5)(</w:t>
      </w:r>
      <w:r w:rsidRPr="002D0081">
        <w:rPr>
          <w:rFonts w:ascii="Times New Roman" w:hAnsi="Times New Roman" w:cs="Times New Roman"/>
        </w:rPr>
        <w:t>i</w:t>
      </w:r>
      <w:r w:rsidRPr="002D0081">
        <w:rPr>
          <w:rFonts w:ascii="Times New Roman" w:hAnsi="Times New Roman" w:cs="Times New Roman"/>
        </w:rPr>
        <w:t>) – (vii).</w:t>
      </w:r>
    </w:p>
  </w:footnote>
  <w:footnote w:id="17">
    <w:p w:rsidR="002D0081" w:rsidRPr="002D0081" w:rsidP="002D0081" w14:paraId="2A30BA09" w14:textId="77777777">
      <w:pPr>
        <w:pStyle w:val="FootnoteText"/>
        <w:rPr>
          <w:rFonts w:ascii="Times New Roman" w:hAnsi="Times New Roman" w:cs="Times New Roman"/>
        </w:rPr>
      </w:pPr>
      <w:r w:rsidRPr="002D0081">
        <w:rPr>
          <w:rStyle w:val="FootnoteReference"/>
          <w:rFonts w:ascii="Times New Roman" w:hAnsi="Times New Roman" w:cs="Times New Roman"/>
        </w:rPr>
        <w:footnoteRef/>
      </w:r>
      <w:r w:rsidRPr="002D0081">
        <w:rPr>
          <w:rFonts w:ascii="Times New Roman" w:hAnsi="Times New Roman" w:cs="Times New Roman"/>
        </w:rPr>
        <w:t xml:space="preserve"> </w:t>
      </w:r>
      <w:r w:rsidRPr="002D0081">
        <w:rPr>
          <w:rFonts w:ascii="Times New Roman" w:hAnsi="Times New Roman" w:cs="Times New Roman"/>
          <w:i/>
          <w:iCs/>
        </w:rPr>
        <w:t xml:space="preserve">See </w:t>
      </w:r>
      <w:r w:rsidRPr="002D0081">
        <w:rPr>
          <w:rFonts w:ascii="Times New Roman" w:hAnsi="Times New Roman" w:cs="Times New Roman"/>
        </w:rPr>
        <w:t>31 CFR 1010.360(b)(6)(</w:t>
      </w:r>
      <w:r w:rsidRPr="002D0081">
        <w:rPr>
          <w:rFonts w:ascii="Times New Roman" w:hAnsi="Times New Roman" w:cs="Times New Roman"/>
        </w:rPr>
        <w:t>i</w:t>
      </w:r>
      <w:r w:rsidRPr="002D0081">
        <w:rPr>
          <w:rFonts w:ascii="Times New Roman" w:hAnsi="Times New Roman" w:cs="Times New Roman"/>
        </w:rPr>
        <w:t>) – (viii).</w:t>
      </w:r>
    </w:p>
  </w:footnote>
  <w:footnote w:id="18">
    <w:p w:rsidR="002D0081" w:rsidRPr="002D0081" w:rsidP="002D0081" w14:paraId="2A5DAA36" w14:textId="77777777">
      <w:pPr>
        <w:pStyle w:val="FootnoteText"/>
        <w:rPr>
          <w:rFonts w:ascii="Times New Roman" w:hAnsi="Times New Roman" w:cs="Times New Roman"/>
        </w:rPr>
      </w:pPr>
      <w:r w:rsidRPr="002D0081">
        <w:rPr>
          <w:rStyle w:val="FootnoteReference"/>
          <w:rFonts w:ascii="Times New Roman" w:hAnsi="Times New Roman" w:cs="Times New Roman"/>
        </w:rPr>
        <w:footnoteRef/>
      </w:r>
      <w:r w:rsidRPr="002D0081">
        <w:rPr>
          <w:rFonts w:ascii="Times New Roman" w:hAnsi="Times New Roman" w:cs="Times New Roman"/>
        </w:rPr>
        <w:t xml:space="preserve"> </w:t>
      </w:r>
      <w:r w:rsidRPr="002D0081">
        <w:rPr>
          <w:rFonts w:ascii="Times New Roman" w:hAnsi="Times New Roman" w:cs="Times New Roman"/>
          <w:i/>
          <w:iCs/>
        </w:rPr>
        <w:t xml:space="preserve">See </w:t>
      </w:r>
      <w:r w:rsidRPr="002D0081">
        <w:rPr>
          <w:rFonts w:ascii="Times New Roman" w:hAnsi="Times New Roman" w:cs="Times New Roman"/>
        </w:rPr>
        <w:t>31 CFR 1010.360(b)(7)(</w:t>
      </w:r>
      <w:r w:rsidRPr="002D0081">
        <w:rPr>
          <w:rFonts w:ascii="Times New Roman" w:hAnsi="Times New Roman" w:cs="Times New Roman"/>
        </w:rPr>
        <w:t>i</w:t>
      </w:r>
      <w:r w:rsidRPr="002D0081">
        <w:rPr>
          <w:rFonts w:ascii="Times New Roman" w:hAnsi="Times New Roman" w:cs="Times New Roman"/>
        </w:rPr>
        <w:t>) – (viii).</w:t>
      </w:r>
    </w:p>
  </w:footnote>
  <w:footnote w:id="19">
    <w:p w:rsidR="002D0081" w:rsidRPr="002D0081" w:rsidP="002D0081" w14:paraId="6657A345" w14:textId="77777777">
      <w:pPr>
        <w:pStyle w:val="FootnoteText"/>
        <w:rPr>
          <w:rFonts w:ascii="Times New Roman" w:hAnsi="Times New Roman" w:cs="Times New Roman"/>
        </w:rPr>
      </w:pPr>
      <w:r w:rsidRPr="002D0081">
        <w:rPr>
          <w:rStyle w:val="FootnoteReference"/>
          <w:rFonts w:ascii="Times New Roman" w:hAnsi="Times New Roman" w:cs="Times New Roman"/>
        </w:rPr>
        <w:footnoteRef/>
      </w:r>
      <w:r w:rsidRPr="002D0081">
        <w:rPr>
          <w:rFonts w:ascii="Times New Roman" w:hAnsi="Times New Roman" w:cs="Times New Roman"/>
        </w:rPr>
        <w:t xml:space="preserve"> </w:t>
      </w:r>
      <w:r w:rsidRPr="002D0081">
        <w:rPr>
          <w:rFonts w:ascii="Times New Roman" w:hAnsi="Times New Roman" w:cs="Times New Roman"/>
          <w:i/>
          <w:iCs/>
        </w:rPr>
        <w:t xml:space="preserve">See </w:t>
      </w:r>
      <w:r w:rsidRPr="002D0081">
        <w:rPr>
          <w:rFonts w:ascii="Times New Roman" w:hAnsi="Times New Roman" w:cs="Times New Roman"/>
        </w:rPr>
        <w:t>31 CFR 1010.360(c)(1) – (4).</w:t>
      </w:r>
    </w:p>
  </w:footnote>
  <w:footnote w:id="20">
    <w:p w:rsidR="002D0081" w:rsidRPr="002D0081" w:rsidP="002D0081" w14:paraId="4B1F7D1C" w14:textId="77777777">
      <w:pPr>
        <w:pStyle w:val="FootnoteText"/>
        <w:rPr>
          <w:rFonts w:ascii="Times New Roman" w:hAnsi="Times New Roman" w:cs="Times New Roman"/>
        </w:rPr>
      </w:pPr>
      <w:r w:rsidRPr="002D0081">
        <w:rPr>
          <w:rStyle w:val="FootnoteReference"/>
          <w:rFonts w:ascii="Times New Roman" w:hAnsi="Times New Roman" w:cs="Times New Roman"/>
        </w:rPr>
        <w:footnoteRef/>
      </w:r>
      <w:r w:rsidRPr="002D0081">
        <w:rPr>
          <w:rFonts w:ascii="Times New Roman" w:hAnsi="Times New Roman" w:cs="Times New Roman"/>
        </w:rPr>
        <w:t xml:space="preserve"> </w:t>
      </w:r>
      <w:r w:rsidRPr="002D0081">
        <w:rPr>
          <w:rFonts w:ascii="Times New Roman" w:hAnsi="Times New Roman" w:cs="Times New Roman"/>
          <w:i/>
          <w:iCs/>
        </w:rPr>
        <w:t xml:space="preserve">See </w:t>
      </w:r>
      <w:r w:rsidRPr="002D0081">
        <w:rPr>
          <w:rFonts w:ascii="Times New Roman" w:hAnsi="Times New Roman" w:cs="Times New Roman"/>
        </w:rPr>
        <w:t>31 CFR 1010.360(d).</w:t>
      </w:r>
    </w:p>
  </w:footnote>
  <w:footnote w:id="21">
    <w:p w:rsidR="002D0081" w:rsidRPr="002D0081" w:rsidP="002D0081" w14:paraId="120F7C5B" w14:textId="437EFA87">
      <w:pPr>
        <w:pStyle w:val="FootnoteText"/>
        <w:rPr>
          <w:rFonts w:ascii="Times New Roman" w:hAnsi="Times New Roman" w:cs="Times New Roman"/>
        </w:rPr>
      </w:pPr>
      <w:r w:rsidRPr="002D0081">
        <w:rPr>
          <w:rStyle w:val="FootnoteReference"/>
          <w:rFonts w:ascii="Times New Roman" w:hAnsi="Times New Roman" w:cs="Times New Roman"/>
        </w:rPr>
        <w:footnoteRef/>
      </w:r>
      <w:r w:rsidRPr="002D0081">
        <w:rPr>
          <w:rFonts w:ascii="Times New Roman" w:hAnsi="Times New Roman" w:cs="Times New Roman"/>
        </w:rPr>
        <w:t xml:space="preserve"> </w:t>
      </w:r>
      <w:r w:rsidRPr="00E742F6" w:rsidR="005155ED">
        <w:rPr>
          <w:rFonts w:ascii="Times New Roman" w:hAnsi="Times New Roman" w:cs="Times New Roman"/>
        </w:rPr>
        <w:t>Pub. L. 95-630</w:t>
      </w:r>
      <w:r w:rsidRPr="00E742F6" w:rsidR="00D37C60">
        <w:rPr>
          <w:rFonts w:ascii="Times New Roman" w:hAnsi="Times New Roman" w:cs="Times New Roman"/>
        </w:rPr>
        <w:t xml:space="preserve">, 92 Stat. 3641 (Nov. 10, 1978), codified at </w:t>
      </w:r>
      <w:r w:rsidRPr="007A0F97" w:rsidR="00743A4B">
        <w:rPr>
          <w:rFonts w:ascii="Times New Roman" w:hAnsi="Times New Roman" w:cs="Times New Roman"/>
        </w:rPr>
        <w:t>12 U.S.C. 3401</w:t>
      </w:r>
      <w:r w:rsidRPr="00E742F6">
        <w:rPr>
          <w:rFonts w:ascii="Times New Roman" w:eastAsia="MS Mincho" w:hAnsi="Times New Roman" w:cs="Times New Roman"/>
        </w:rPr>
        <w:t xml:space="preserve"> </w:t>
      </w:r>
      <w:r w:rsidRPr="00E742F6">
        <w:rPr>
          <w:rFonts w:ascii="Times New Roman" w:eastAsia="MS Mincho" w:hAnsi="Times New Roman" w:cs="Times New Roman"/>
          <w:i/>
          <w:iCs/>
        </w:rPr>
        <w:t>et seq.</w:t>
      </w:r>
    </w:p>
  </w:footnote>
  <w:footnote w:id="22">
    <w:p w:rsidR="002D0081" w:rsidRPr="002D0081" w:rsidP="002D0081" w14:paraId="77227916" w14:textId="77777777">
      <w:pPr>
        <w:pStyle w:val="FootnoteText"/>
        <w:rPr>
          <w:rFonts w:ascii="Times New Roman" w:hAnsi="Times New Roman" w:cs="Times New Roman"/>
        </w:rPr>
      </w:pPr>
      <w:r w:rsidRPr="002D0081">
        <w:rPr>
          <w:rStyle w:val="FootnoteReference"/>
          <w:rFonts w:ascii="Times New Roman" w:hAnsi="Times New Roman" w:cs="Times New Roman"/>
        </w:rPr>
        <w:footnoteRef/>
      </w:r>
      <w:r w:rsidRPr="002D0081">
        <w:rPr>
          <w:rFonts w:ascii="Times New Roman" w:hAnsi="Times New Roman" w:cs="Times New Roman"/>
        </w:rPr>
        <w:t xml:space="preserve"> </w:t>
      </w:r>
      <w:r w:rsidRPr="002D0081">
        <w:rPr>
          <w:rFonts w:ascii="Times New Roman" w:hAnsi="Times New Roman" w:cs="Times New Roman"/>
          <w:i/>
          <w:iCs/>
        </w:rPr>
        <w:t xml:space="preserve">See </w:t>
      </w:r>
      <w:r w:rsidRPr="002D0081">
        <w:rPr>
          <w:rFonts w:ascii="Times New Roman" w:hAnsi="Times New Roman" w:cs="Times New Roman"/>
        </w:rPr>
        <w:t>31 CFR 1010.360(e)(1) – (3).</w:t>
      </w:r>
    </w:p>
  </w:footnote>
  <w:footnote w:id="23">
    <w:p w:rsidR="002D0081" w:rsidRPr="002D0081" w:rsidP="002D0081" w14:paraId="008C2C85" w14:textId="77777777">
      <w:pPr>
        <w:pStyle w:val="FootnoteText"/>
        <w:rPr>
          <w:rFonts w:ascii="Times New Roman" w:hAnsi="Times New Roman" w:cs="Times New Roman"/>
        </w:rPr>
      </w:pPr>
      <w:r w:rsidRPr="002D0081">
        <w:rPr>
          <w:rStyle w:val="FootnoteReference"/>
          <w:rFonts w:ascii="Times New Roman" w:hAnsi="Times New Roman" w:cs="Times New Roman"/>
        </w:rPr>
        <w:footnoteRef/>
      </w:r>
      <w:r w:rsidRPr="002D0081">
        <w:rPr>
          <w:rFonts w:ascii="Times New Roman" w:hAnsi="Times New Roman" w:cs="Times New Roman"/>
        </w:rPr>
        <w:t xml:space="preserve"> 31 CFR 1010.430(d).</w:t>
      </w:r>
    </w:p>
  </w:footnote>
  <w:footnote w:id="24">
    <w:p w:rsidR="00EB3251" w:rsidRPr="007A0F97" w14:paraId="029DFB88" w14:textId="60BCFD2B">
      <w:pPr>
        <w:pStyle w:val="FootnoteText"/>
        <w:rPr>
          <w:rFonts w:ascii="Times New Roman" w:hAnsi="Times New Roman" w:cs="Times New Roman"/>
        </w:rPr>
      </w:pPr>
      <w:r w:rsidRPr="007A0F97">
        <w:rPr>
          <w:rStyle w:val="FootnoteReference"/>
          <w:rFonts w:ascii="Times New Roman" w:hAnsi="Times New Roman" w:cs="Times New Roman"/>
        </w:rPr>
        <w:footnoteRef/>
      </w:r>
      <w:r w:rsidRPr="007A0F97">
        <w:rPr>
          <w:rFonts w:ascii="Times New Roman" w:hAnsi="Times New Roman" w:cs="Times New Roman"/>
        </w:rPr>
        <w:t xml:space="preserve"> </w:t>
      </w:r>
      <w:r w:rsidRPr="007A0F97">
        <w:rPr>
          <w:rFonts w:ascii="Times New Roman" w:hAnsi="Times New Roman" w:cs="Times New Roman"/>
          <w:i/>
          <w:iCs/>
        </w:rPr>
        <w:t>See, e.g.</w:t>
      </w:r>
      <w:r w:rsidRPr="007A0F97">
        <w:rPr>
          <w:rFonts w:ascii="Times New Roman" w:hAnsi="Times New Roman" w:cs="Times New Roman"/>
        </w:rPr>
        <w:t>, 31 U.S.C. 5311.</w:t>
      </w:r>
    </w:p>
  </w:footnote>
  <w:footnote w:id="25">
    <w:p w:rsidR="00627E98" w:rsidRPr="00F83FCB" w14:paraId="38E78FDE" w14:textId="46041FED">
      <w:pPr>
        <w:pStyle w:val="FootnoteText"/>
        <w:rPr>
          <w:rFonts w:ascii="Times New Roman" w:hAnsi="Times New Roman" w:cs="Times New Roman"/>
        </w:rPr>
      </w:pPr>
      <w:r w:rsidRPr="00F83FCB">
        <w:rPr>
          <w:rStyle w:val="FootnoteReference"/>
          <w:rFonts w:ascii="Times New Roman" w:hAnsi="Times New Roman" w:cs="Times New Roman"/>
        </w:rPr>
        <w:footnoteRef/>
      </w:r>
      <w:r w:rsidRPr="00F83FCB">
        <w:rPr>
          <w:rFonts w:ascii="Times New Roman" w:hAnsi="Times New Roman" w:cs="Times New Roman"/>
        </w:rPr>
        <w:t xml:space="preserve"> </w:t>
      </w:r>
      <w:r w:rsidR="00042219">
        <w:rPr>
          <w:rFonts w:ascii="Times New Roman" w:hAnsi="Times New Roman" w:cs="Times New Roman"/>
          <w:i/>
          <w:iCs/>
        </w:rPr>
        <w:t xml:space="preserve">See </w:t>
      </w:r>
      <w:r w:rsidR="00042219">
        <w:rPr>
          <w:rFonts w:ascii="Times New Roman" w:hAnsi="Times New Roman" w:cs="Times New Roman"/>
        </w:rPr>
        <w:t>31 CFR 1010.410.</w:t>
      </w:r>
      <w:r w:rsidR="00B65395">
        <w:rPr>
          <w:rFonts w:ascii="Times New Roman" w:hAnsi="Times New Roman" w:cs="Times New Roman"/>
        </w:rPr>
        <w:t xml:space="preserve"> </w:t>
      </w:r>
      <w:r w:rsidR="00D128C5">
        <w:rPr>
          <w:rFonts w:ascii="Times New Roman" w:hAnsi="Times New Roman" w:cs="Times New Roman"/>
        </w:rPr>
        <w:t xml:space="preserve"> </w:t>
      </w:r>
      <w:r w:rsidRPr="00E01C6A" w:rsidR="00E01C6A">
        <w:rPr>
          <w:rFonts w:ascii="Times New Roman" w:hAnsi="Times New Roman" w:cs="Times New Roman"/>
        </w:rPr>
        <w:t>The information required to be reported pursuant to an FFA Regulation falls into one or more of the following categories: (</w:t>
      </w:r>
      <w:r w:rsidRPr="00E01C6A" w:rsidR="00E01C6A">
        <w:rPr>
          <w:rFonts w:ascii="Times New Roman" w:hAnsi="Times New Roman" w:cs="Times New Roman"/>
        </w:rPr>
        <w:t>i</w:t>
      </w:r>
      <w:r w:rsidRPr="00E01C6A" w:rsidR="00E01C6A">
        <w:rPr>
          <w:rFonts w:ascii="Times New Roman" w:hAnsi="Times New Roman" w:cs="Times New Roman"/>
        </w:rPr>
        <w:t xml:space="preserve">) checks or drafts; (ii) transmittal orders; (iii) loans; (iv) commercial paper; (v) stocks; (vi) bonds; and (vii) certificates of deposit.  </w:t>
      </w:r>
    </w:p>
  </w:footnote>
  <w:footnote w:id="26">
    <w:p w:rsidR="00912BAE" w:rsidRPr="00F83FCB" w14:paraId="55C6294F" w14:textId="1777CB2B">
      <w:pPr>
        <w:pStyle w:val="FootnoteText"/>
        <w:rPr>
          <w:rFonts w:ascii="Times New Roman" w:hAnsi="Times New Roman" w:cs="Times New Roman"/>
        </w:rPr>
      </w:pPr>
      <w:r w:rsidRPr="00F83FCB">
        <w:rPr>
          <w:rStyle w:val="FootnoteReference"/>
          <w:rFonts w:ascii="Times New Roman" w:hAnsi="Times New Roman" w:cs="Times New Roman"/>
        </w:rPr>
        <w:footnoteRef/>
      </w:r>
      <w:r w:rsidRPr="00F83FCB">
        <w:rPr>
          <w:rFonts w:ascii="Times New Roman" w:hAnsi="Times New Roman" w:cs="Times New Roman"/>
        </w:rPr>
        <w:t xml:space="preserve"> </w:t>
      </w:r>
      <w:r w:rsidRPr="00F83FCB" w:rsidR="00EB5B25">
        <w:rPr>
          <w:rFonts w:ascii="Times New Roman" w:hAnsi="Times New Roman" w:cs="Times New Roman"/>
          <w:i/>
          <w:iCs/>
        </w:rPr>
        <w:t>Id.</w:t>
      </w:r>
    </w:p>
  </w:footnote>
  <w:footnote w:id="27">
    <w:p w:rsidR="007C499B" w:rsidRPr="00F71158" w14:paraId="5D1A7522" w14:textId="64C0A905">
      <w:pPr>
        <w:pStyle w:val="FootnoteText"/>
        <w:rPr>
          <w:rFonts w:ascii="Times New Roman" w:hAnsi="Times New Roman" w:cs="Times New Roman"/>
          <w:iCs/>
        </w:rPr>
      </w:pPr>
      <w:r w:rsidRPr="00F71158">
        <w:rPr>
          <w:rStyle w:val="FootnoteReference"/>
          <w:rFonts w:ascii="Times New Roman" w:hAnsi="Times New Roman" w:cs="Times New Roman"/>
        </w:rPr>
        <w:footnoteRef/>
      </w:r>
      <w:r w:rsidRPr="00F71158">
        <w:rPr>
          <w:rFonts w:ascii="Times New Roman" w:hAnsi="Times New Roman" w:cs="Times New Roman"/>
        </w:rPr>
        <w:t xml:space="preserve"> </w:t>
      </w:r>
      <w:r w:rsidRPr="00F71158" w:rsidR="009A0477">
        <w:rPr>
          <w:rFonts w:ascii="Times New Roman" w:hAnsi="Times New Roman" w:cs="Times New Roman"/>
          <w:i/>
          <w:iCs/>
        </w:rPr>
        <w:t xml:space="preserve">See </w:t>
      </w:r>
      <w:r w:rsidRPr="00F71158" w:rsidR="009A0477">
        <w:rPr>
          <w:rFonts w:ascii="Times New Roman" w:hAnsi="Times New Roman" w:cs="Times New Roman"/>
        </w:rPr>
        <w:t xml:space="preserve">FinCEN, </w:t>
      </w:r>
      <w:hyperlink r:id="rId1" w:history="1">
        <w:r w:rsidRPr="00F71158" w:rsidR="009A0477">
          <w:rPr>
            <w:rStyle w:val="Hyperlink"/>
            <w:rFonts w:ascii="Times New Roman" w:hAnsi="Times New Roman" w:cs="Times New Roman"/>
            <w:i/>
          </w:rPr>
          <w:t>Agency Information Collection Activities; Proposed Renewal; Comment Request; Renewal Without Change of</w:t>
        </w:r>
        <w:r w:rsidRPr="00F71158" w:rsidR="00054826">
          <w:rPr>
            <w:rStyle w:val="Hyperlink"/>
            <w:rFonts w:ascii="Times New Roman" w:hAnsi="Times New Roman" w:cs="Times New Roman"/>
            <w:i/>
          </w:rPr>
          <w:t xml:space="preserve"> Reports of Transactions With Foreign Financial Agencies</w:t>
        </w:r>
      </w:hyperlink>
      <w:r w:rsidRPr="00F71158" w:rsidR="00054826">
        <w:rPr>
          <w:rFonts w:ascii="Times New Roman" w:hAnsi="Times New Roman" w:cs="Times New Roman"/>
          <w:iCs/>
        </w:rPr>
        <w:t xml:space="preserve">, </w:t>
      </w:r>
      <w:r w:rsidRPr="00F71158" w:rsidR="00F929ED">
        <w:rPr>
          <w:rFonts w:ascii="Times New Roman" w:hAnsi="Times New Roman" w:cs="Times New Roman"/>
        </w:rPr>
        <w:t>90 FR 22157</w:t>
      </w:r>
      <w:r w:rsidRPr="00F71158">
        <w:rPr>
          <w:rFonts w:ascii="Times New Roman" w:hAnsi="Times New Roman" w:cs="Times New Roman"/>
          <w:iCs/>
        </w:rPr>
        <w:t xml:space="preserve"> (</w:t>
      </w:r>
      <w:r w:rsidRPr="00F71158" w:rsidR="003D4F6B">
        <w:rPr>
          <w:rFonts w:ascii="Times New Roman" w:hAnsi="Times New Roman" w:cs="Times New Roman"/>
          <w:iCs/>
        </w:rPr>
        <w:t>May 23, 2025).</w:t>
      </w:r>
      <w:r w:rsidRPr="00F71158" w:rsidR="006F1B37">
        <w:rPr>
          <w:rFonts w:ascii="Times New Roman" w:hAnsi="Times New Roman" w:cs="Times New Roman"/>
          <w:iCs/>
        </w:rPr>
        <w:t xml:space="preserve">  The comments can be found on </w:t>
      </w:r>
      <w:hyperlink r:id="rId2" w:history="1">
        <w:r w:rsidRPr="00F71158" w:rsidR="006F1B37">
          <w:rPr>
            <w:rStyle w:val="Hyperlink"/>
            <w:rFonts w:ascii="Times New Roman" w:hAnsi="Times New Roman" w:cs="Times New Roman"/>
            <w:iCs/>
          </w:rPr>
          <w:t>www.regulations.gov</w:t>
        </w:r>
      </w:hyperlink>
      <w:r w:rsidRPr="00F71158" w:rsidR="006F1B37">
        <w:rPr>
          <w:rFonts w:ascii="Times New Roman" w:hAnsi="Times New Roman" w:cs="Times New Roman"/>
          <w:iCs/>
        </w:rPr>
        <w:t xml:space="preserve"> under </w:t>
      </w:r>
      <w:hyperlink r:id="rId3" w:history="1">
        <w:r w:rsidRPr="00F71158" w:rsidR="006F1B37">
          <w:rPr>
            <w:rStyle w:val="Hyperlink"/>
            <w:rFonts w:ascii="Times New Roman" w:hAnsi="Times New Roman" w:cs="Times New Roman"/>
            <w:iCs/>
          </w:rPr>
          <w:t xml:space="preserve">docket number </w:t>
        </w:r>
        <w:r w:rsidRPr="00F71158" w:rsidR="00596D61">
          <w:rPr>
            <w:rStyle w:val="Hyperlink"/>
            <w:rFonts w:ascii="Times New Roman" w:hAnsi="Times New Roman" w:cs="Times New Roman"/>
            <w:iCs/>
          </w:rPr>
          <w:t>FINCEN-2025-0006 and OMB control number 1506-0055</w:t>
        </w:r>
      </w:hyperlink>
      <w:r w:rsidRPr="00F71158" w:rsidR="006F1B37">
        <w:rPr>
          <w:rFonts w:ascii="Times New Roman" w:hAnsi="Times New Roman" w:cs="Times New Roman"/>
          <w:iCs/>
        </w:rPr>
        <w:t>.</w:t>
      </w:r>
    </w:p>
  </w:footnote>
  <w:footnote w:id="28">
    <w:p w:rsidR="005D1F3D" w:rsidRPr="00F71158" w14:paraId="7C4A2D03" w14:textId="4F06953A">
      <w:pPr>
        <w:pStyle w:val="FootnoteText"/>
        <w:rPr>
          <w:rFonts w:ascii="Times New Roman" w:eastAsia="Times New Roman" w:hAnsi="Times New Roman" w:cs="Times New Roman"/>
        </w:rPr>
      </w:pPr>
      <w:r w:rsidRPr="00F71158">
        <w:rPr>
          <w:rStyle w:val="FootnoteReference"/>
          <w:rFonts w:ascii="Times New Roman" w:hAnsi="Times New Roman" w:cs="Times New Roman"/>
        </w:rPr>
        <w:footnoteRef/>
      </w:r>
      <w:r w:rsidRPr="00F71158">
        <w:rPr>
          <w:rFonts w:ascii="Times New Roman" w:hAnsi="Times New Roman" w:cs="Times New Roman"/>
        </w:rPr>
        <w:t xml:space="preserve"> </w:t>
      </w:r>
      <w:r w:rsidRPr="00F71158">
        <w:rPr>
          <w:rFonts w:ascii="Times New Roman" w:hAnsi="Times New Roman" w:cs="Times New Roman"/>
          <w:i/>
          <w:iCs/>
        </w:rPr>
        <w:t xml:space="preserve">See </w:t>
      </w:r>
      <w:r w:rsidRPr="00F71158">
        <w:rPr>
          <w:rFonts w:ascii="Times New Roman" w:hAnsi="Times New Roman" w:cs="Times New Roman"/>
        </w:rPr>
        <w:t>FinCEN,</w:t>
      </w:r>
      <w:r w:rsidRPr="00F71158">
        <w:rPr>
          <w:rFonts w:ascii="Times New Roman" w:eastAsia="Times New Roman" w:hAnsi="Times New Roman" w:cs="Times New Roman"/>
        </w:rPr>
        <w:t xml:space="preserve"> </w:t>
      </w:r>
      <w:hyperlink r:id="rId4" w:history="1">
        <w:r w:rsidRPr="00F71158" w:rsidR="008A7063">
          <w:rPr>
            <w:rStyle w:val="Hyperlink"/>
            <w:rFonts w:ascii="Times New Roman" w:eastAsia="Times New Roman" w:hAnsi="Times New Roman" w:cs="Times New Roman"/>
            <w:i/>
            <w:iCs/>
          </w:rPr>
          <w:t>Beneficial Ownership Information Reporting Requirements Revisions and Deadline Interim Final Rule</w:t>
        </w:r>
      </w:hyperlink>
      <w:r w:rsidRPr="00F71158" w:rsidR="008A7063">
        <w:rPr>
          <w:rFonts w:ascii="Times New Roman" w:eastAsia="Times New Roman" w:hAnsi="Times New Roman" w:cs="Times New Roman"/>
        </w:rPr>
        <w:t>, 90 FR 13688 (Mar. 26, 2025).</w:t>
      </w:r>
    </w:p>
    <w:p w:rsidR="008A7063" w:rsidRPr="00F71158" w14:paraId="51D16CC8" w14:textId="77777777">
      <w:pPr>
        <w:pStyle w:val="FootnoteText"/>
        <w:rPr>
          <w:rFonts w:ascii="Times New Roman" w:hAnsi="Times New Roman" w:cs="Times New Roman"/>
          <w:i/>
          <w:iCs/>
        </w:rPr>
      </w:pPr>
    </w:p>
  </w:footnote>
  <w:footnote w:id="29">
    <w:p w:rsidR="006C0B46" w:rsidRPr="00006569" w:rsidP="006C0B46" w14:paraId="0B7EFE5B" w14:textId="7DF75392">
      <w:pPr>
        <w:pStyle w:val="FootnoteText"/>
        <w:rPr>
          <w:rFonts w:ascii="Times New Roman" w:hAnsi="Times New Roman" w:cs="Times New Roman"/>
        </w:rPr>
      </w:pPr>
      <w:r w:rsidRPr="009B0659">
        <w:rPr>
          <w:rStyle w:val="FootnoteReference"/>
          <w:rFonts w:ascii="Times New Roman" w:hAnsi="Times New Roman" w:eastAsiaTheme="majorEastAsia" w:cs="Times New Roman"/>
        </w:rPr>
        <w:footnoteRef/>
      </w:r>
      <w:r w:rsidRPr="009B0659">
        <w:rPr>
          <w:rFonts w:ascii="Times New Roman" w:hAnsi="Times New Roman" w:cs="Times New Roman"/>
        </w:rPr>
        <w:t xml:space="preserve"> FinCEN, </w:t>
      </w:r>
      <w:hyperlink r:id="rId5" w:history="1">
        <w:r w:rsidRPr="00F929ED">
          <w:rPr>
            <w:rStyle w:val="Hyperlink"/>
            <w:rFonts w:ascii="Times New Roman" w:hAnsi="Times New Roman" w:cs="Times New Roman"/>
            <w:i/>
            <w:iCs/>
          </w:rPr>
          <w:t>Privacy Act of 1974, as Amended; System of Records Notice (FinCEN .003 - Bank Secrecy Act Reports System)</w:t>
        </w:r>
      </w:hyperlink>
      <w:r w:rsidRPr="00F929ED">
        <w:rPr>
          <w:rFonts w:ascii="Times New Roman" w:hAnsi="Times New Roman" w:cs="Times New Roman"/>
        </w:rPr>
        <w:t xml:space="preserve">, </w:t>
      </w:r>
      <w:r w:rsidRPr="00F929ED" w:rsidR="001E4AA4">
        <w:rPr>
          <w:rFonts w:ascii="Times New Roman" w:hAnsi="Times New Roman" w:cs="Times New Roman"/>
        </w:rPr>
        <w:t>79 FR 20969</w:t>
      </w:r>
      <w:r w:rsidRPr="00F929ED">
        <w:rPr>
          <w:rFonts w:ascii="Times New Roman" w:hAnsi="Times New Roman" w:cs="Times New Roman"/>
        </w:rPr>
        <w:t xml:space="preserve"> (Apr. 14, 2014)</w:t>
      </w:r>
      <w:r w:rsidR="00F929ED">
        <w:rPr>
          <w:rFonts w:ascii="Times New Roman" w:hAnsi="Times New Roman" w:cs="Times New Roman"/>
        </w:rPr>
        <w:t>.</w:t>
      </w:r>
    </w:p>
  </w:footnote>
  <w:footnote w:id="30">
    <w:p w:rsidR="008268E4" w:rsidP="00E938AB" w14:paraId="3685C086" w14:textId="144DF1C4">
      <w:r w:rsidRPr="00994B6C">
        <w:rPr>
          <w:rStyle w:val="FootnoteReference"/>
          <w:rFonts w:ascii="Times New Roman" w:hAnsi="Times New Roman" w:cs="Times New Roman"/>
          <w:sz w:val="20"/>
          <w:szCs w:val="20"/>
        </w:rPr>
        <w:footnoteRef/>
      </w:r>
      <w:r w:rsidRPr="00994B6C">
        <w:rPr>
          <w:rFonts w:ascii="Times New Roman" w:hAnsi="Times New Roman" w:cs="Times New Roman"/>
          <w:sz w:val="20"/>
          <w:szCs w:val="20"/>
        </w:rPr>
        <w:t xml:space="preserve"> </w:t>
      </w:r>
      <w:r w:rsidRPr="00994B6C" w:rsidR="0096726F">
        <w:rPr>
          <w:rFonts w:ascii="Times New Roman" w:eastAsia="MS Mincho" w:hAnsi="Times New Roman" w:cs="Times New Roman"/>
          <w:bCs/>
          <w:sz w:val="20"/>
          <w:szCs w:val="20"/>
        </w:rPr>
        <w:t>31 CFR 1010.360</w:t>
      </w:r>
      <w:r w:rsidRPr="00994B6C" w:rsidR="0096726F">
        <w:rPr>
          <w:rFonts w:ascii="Times New Roman" w:hAnsi="Times New Roman" w:cs="Times New Roman"/>
          <w:color w:val="000000" w:themeColor="text1"/>
          <w:sz w:val="20"/>
          <w:szCs w:val="20"/>
        </w:rPr>
        <w:t>(a) authorizes the Secretary, when appropriate, to promulgate regulations requiring specified financial institutions</w:t>
      </w:r>
      <w:r w:rsidR="00BD39F2">
        <w:rPr>
          <w:rFonts w:ascii="Times New Roman" w:hAnsi="Times New Roman" w:cs="Times New Roman"/>
          <w:color w:val="000000" w:themeColor="text1"/>
          <w:sz w:val="20"/>
          <w:szCs w:val="20"/>
        </w:rPr>
        <w:t xml:space="preserve"> </w:t>
      </w:r>
      <w:r w:rsidRPr="00994B6C" w:rsidR="0096726F">
        <w:rPr>
          <w:rFonts w:ascii="Times New Roman" w:hAnsi="Times New Roman" w:cs="Times New Roman"/>
          <w:color w:val="000000" w:themeColor="text1"/>
          <w:sz w:val="20"/>
          <w:szCs w:val="20"/>
        </w:rPr>
        <w:t>to file reports of certain transactions with designated FFAs.  Table 1 presents FinCEN’s estimate of the total population of entities so defined and its distribution by definitional categories.</w:t>
      </w:r>
    </w:p>
  </w:footnote>
  <w:footnote w:id="31">
    <w:p w:rsidR="000552B1" w:rsidRPr="0073584C" w:rsidP="000552B1" w14:paraId="1EE54C5F" w14:textId="1B3EDE97">
      <w:pPr>
        <w:pStyle w:val="FootnoteText"/>
        <w:rPr>
          <w:rFonts w:ascii="Times New Roman" w:hAnsi="Times New Roman" w:cs="Times New Roman"/>
        </w:rPr>
      </w:pPr>
      <w:r w:rsidRPr="0073584C">
        <w:rPr>
          <w:rStyle w:val="FootnoteReference"/>
          <w:rFonts w:ascii="Times New Roman" w:hAnsi="Times New Roman" w:cs="Times New Roman"/>
        </w:rPr>
        <w:footnoteRef/>
      </w:r>
      <w:r w:rsidRPr="0073584C">
        <w:rPr>
          <w:rFonts w:ascii="Times New Roman" w:hAnsi="Times New Roman" w:cs="Times New Roman"/>
        </w:rPr>
        <w:t xml:space="preserve"> The estimated number of annual responses is based on the expectation that each newly issued regulation would engender one response per respondent, consisting of three reports (one initial and two subsequent</w:t>
      </w:r>
      <w:r w:rsidRPr="0073584C" w:rsidR="00896386">
        <w:rPr>
          <w:rFonts w:ascii="Times New Roman" w:hAnsi="Times New Roman" w:cs="Times New Roman"/>
        </w:rPr>
        <w:t>), and</w:t>
      </w:r>
      <w:r w:rsidRPr="0073584C">
        <w:rPr>
          <w:rFonts w:ascii="Times New Roman" w:hAnsi="Times New Roman" w:cs="Times New Roman"/>
        </w:rPr>
        <w:t xml:space="preserve"> is based on the average number of regulations issued per calendar year over the most recent three years multiplied by the average number of respondents per regulation issued during the same period. </w:t>
      </w:r>
    </w:p>
  </w:footnote>
  <w:footnote w:id="32">
    <w:p w:rsidR="007265D6" w:rsidRPr="00ED0117" w14:paraId="517423FE" w14:textId="4D0DCB4E">
      <w:pPr>
        <w:pStyle w:val="FootnoteText"/>
        <w:rPr>
          <w:rFonts w:ascii="Times New Roman" w:hAnsi="Times New Roman" w:cs="Times New Roman"/>
        </w:rPr>
      </w:pPr>
      <w:r w:rsidRPr="00ED0117">
        <w:rPr>
          <w:rStyle w:val="FootnoteReference"/>
          <w:rFonts w:ascii="Times New Roman" w:hAnsi="Times New Roman" w:cs="Times New Roman"/>
        </w:rPr>
        <w:footnoteRef/>
      </w:r>
      <w:r w:rsidRPr="00ED0117">
        <w:rPr>
          <w:rFonts w:ascii="Times New Roman" w:hAnsi="Times New Roman" w:cs="Times New Roman"/>
        </w:rPr>
        <w:t xml:space="preserve"> </w:t>
      </w:r>
      <w:r w:rsidRPr="00ED0117" w:rsidR="00170AA9">
        <w:rPr>
          <w:rFonts w:ascii="Times New Roman" w:hAnsi="Times New Roman" w:cs="Times New Roman"/>
          <w:i/>
          <w:iCs/>
        </w:rPr>
        <w:t>See</w:t>
      </w:r>
      <w:r w:rsidRPr="00ED0117" w:rsidR="00170AA9">
        <w:rPr>
          <w:rFonts w:ascii="Times New Roman" w:hAnsi="Times New Roman" w:cs="Times New Roman"/>
        </w:rPr>
        <w:t xml:space="preserve"> Table 2.</w:t>
      </w:r>
    </w:p>
  </w:footnote>
  <w:footnote w:id="33">
    <w:p w:rsidR="00014E24" w:rsidRPr="0036172B" w:rsidP="00014E24" w14:paraId="713305A0" w14:textId="77777777">
      <w:pPr>
        <w:pStyle w:val="FootnoteText"/>
        <w:rPr>
          <w:rFonts w:ascii="Times New Roman" w:hAnsi="Times New Roman" w:cs="Times New Roman"/>
        </w:rPr>
      </w:pPr>
      <w:r w:rsidRPr="0036172B">
        <w:rPr>
          <w:rStyle w:val="FootnoteReference"/>
          <w:rFonts w:ascii="Times New Roman" w:hAnsi="Times New Roman" w:cs="Times New Roman"/>
        </w:rPr>
        <w:footnoteRef/>
      </w:r>
      <w:r w:rsidRPr="0036172B">
        <w:rPr>
          <w:rFonts w:ascii="Times New Roman" w:hAnsi="Times New Roman" w:cs="Times New Roman"/>
        </w:rPr>
        <w:t xml:space="preserve"> As standard practice implemented in 2025, and for future FFA Regulations, FinCEN expects to impose reporting obligations over a smaller number of subsequent periods, with as few as two per regulation.  This approach will result in an average number of three reports per regulation under this framework: the initial report (including look-back), and two subsequent reports.  FinCEN has assigned a burden to each subsequent report (an expected average of two in total) of approximately two hours (one hour for data gathering and one hour for approval and reporting).</w:t>
      </w:r>
    </w:p>
  </w:footnote>
  <w:footnote w:id="34">
    <w:p w:rsidR="00427E59" w:rsidRPr="00F71158" w:rsidP="00427E59" w14:paraId="499670E0" w14:textId="0613486D">
      <w:pPr>
        <w:pStyle w:val="FootnoteText"/>
        <w:rPr>
          <w:rFonts w:ascii="Times New Roman" w:hAnsi="Times New Roman" w:cs="Times New Roman"/>
        </w:rPr>
      </w:pPr>
      <w:r w:rsidRPr="00F71158">
        <w:rPr>
          <w:rStyle w:val="FootnoteReference"/>
          <w:rFonts w:ascii="Times New Roman" w:hAnsi="Times New Roman" w:cs="Times New Roman"/>
        </w:rPr>
        <w:footnoteRef/>
      </w:r>
      <w:r w:rsidRPr="00F71158">
        <w:rPr>
          <w:rFonts w:ascii="Times New Roman" w:hAnsi="Times New Roman" w:cs="Times New Roman"/>
        </w:rPr>
        <w:t xml:space="preserve"> The wage rate applied here is the general composite hourly wage used across FinCEN notices that pertain to the categories of financial institutions as grouped in 31 CFR chapter X, </w:t>
      </w:r>
      <w:r w:rsidRPr="00F01BF1">
        <w:rPr>
          <w:rFonts w:ascii="Times New Roman" w:hAnsi="Times New Roman" w:cs="Times New Roman"/>
          <w:i/>
          <w:iCs/>
        </w:rPr>
        <w:t>see, e.g</w:t>
      </w:r>
      <w:r w:rsidRPr="00F71158">
        <w:rPr>
          <w:rFonts w:ascii="Times New Roman" w:hAnsi="Times New Roman" w:cs="Times New Roman"/>
        </w:rPr>
        <w:t xml:space="preserve">., FinCEN, </w:t>
      </w:r>
      <w:hyperlink r:id="rId6" w:history="1">
        <w:r w:rsidRPr="00F71158">
          <w:rPr>
            <w:rStyle w:val="Hyperlink"/>
            <w:rFonts w:ascii="Times New Roman" w:hAnsi="Times New Roman" w:cs="Times New Roman"/>
            <w:i/>
            <w:iCs/>
          </w:rPr>
          <w:t>Agency Information Collection Activities; Proposed Renewal; Comment Request: Renewal Without Change of Reporting Obligations on Foreign Bank Relationships With Iranian Linked Financial Institutions Designated Under IEEP and IRGC-Linked Persons Designated Under IEEPA</w:t>
        </w:r>
      </w:hyperlink>
      <w:r w:rsidRPr="00F71158">
        <w:rPr>
          <w:rFonts w:ascii="Times New Roman" w:hAnsi="Times New Roman" w:cs="Times New Roman"/>
        </w:rPr>
        <w:t>, 90 FR 14183</w:t>
      </w:r>
      <w:r w:rsidRPr="00F71158" w:rsidR="000616A8">
        <w:rPr>
          <w:rFonts w:ascii="Times New Roman" w:hAnsi="Times New Roman" w:cs="Times New Roman"/>
        </w:rPr>
        <w:t>, 14188</w:t>
      </w:r>
      <w:r w:rsidRPr="00F71158" w:rsidR="00C778B6">
        <w:rPr>
          <w:rFonts w:ascii="Times New Roman" w:hAnsi="Times New Roman" w:cs="Times New Roman"/>
        </w:rPr>
        <w:t xml:space="preserve"> </w:t>
      </w:r>
      <w:r w:rsidRPr="00F71158" w:rsidR="005F1496">
        <w:rPr>
          <w:rFonts w:ascii="Times New Roman" w:hAnsi="Times New Roman" w:cs="Times New Roman"/>
        </w:rPr>
        <w:t>n.</w:t>
      </w:r>
      <w:r w:rsidRPr="00F71158" w:rsidR="00C778B6">
        <w:rPr>
          <w:rFonts w:ascii="Times New Roman" w:hAnsi="Times New Roman" w:cs="Times New Roman"/>
        </w:rPr>
        <w:t xml:space="preserve"> 49</w:t>
      </w:r>
      <w:r w:rsidRPr="00F71158">
        <w:rPr>
          <w:rFonts w:ascii="Times New Roman" w:hAnsi="Times New Roman" w:cs="Times New Roman"/>
        </w:rPr>
        <w:t xml:space="preserve"> (Mar. 28, 2025).</w:t>
      </w:r>
    </w:p>
  </w:footnote>
  <w:footnote w:id="35">
    <w:p w:rsidR="008762CD" w:rsidRPr="00F01BF1" w14:paraId="4D78E519" w14:textId="59F68C45">
      <w:pPr>
        <w:pStyle w:val="FootnoteText"/>
        <w:rPr>
          <w:rFonts w:ascii="Times New Roman" w:hAnsi="Times New Roman" w:cs="Times New Roman"/>
        </w:rPr>
      </w:pPr>
      <w:r w:rsidRPr="00F01BF1">
        <w:rPr>
          <w:rStyle w:val="FootnoteReference"/>
          <w:rFonts w:ascii="Times New Roman" w:hAnsi="Times New Roman" w:cs="Times New Roman"/>
        </w:rPr>
        <w:footnoteRef/>
      </w:r>
      <w:r w:rsidRPr="00F01BF1">
        <w:rPr>
          <w:rFonts w:ascii="Times New Roman" w:hAnsi="Times New Roman" w:cs="Times New Roman"/>
        </w:rPr>
        <w:t xml:space="preserve"> </w:t>
      </w:r>
      <w:r w:rsidRPr="00F01BF1" w:rsidR="0070449F">
        <w:rPr>
          <w:rFonts w:ascii="Times New Roman" w:hAnsi="Times New Roman" w:cs="Times New Roman"/>
          <w:i/>
          <w:iCs/>
        </w:rPr>
        <w:t>See, e.g</w:t>
      </w:r>
      <w:r w:rsidRPr="00F01BF1" w:rsidR="0070449F">
        <w:rPr>
          <w:rFonts w:ascii="Times New Roman" w:hAnsi="Times New Roman" w:cs="Times New Roman"/>
        </w:rPr>
        <w:t>.,</w:t>
      </w:r>
      <w:r w:rsidRPr="00F01BF1">
        <w:rPr>
          <w:rFonts w:ascii="Times New Roman" w:hAnsi="Times New Roman" w:cs="Times New Roman"/>
        </w:rPr>
        <w:t xml:space="preserve"> </w:t>
      </w:r>
      <w:r w:rsidRPr="00F01BF1" w:rsidR="00741C14">
        <w:rPr>
          <w:rFonts w:ascii="Times New Roman" w:hAnsi="Times New Roman" w:cs="Times New Roman"/>
        </w:rPr>
        <w:t xml:space="preserve">FinCEN, </w:t>
      </w:r>
      <w:hyperlink r:id="rId7" w:history="1">
        <w:r w:rsidRPr="00F01BF1" w:rsidR="002729C3">
          <w:rPr>
            <w:rStyle w:val="Hyperlink"/>
            <w:rFonts w:ascii="Times New Roman" w:hAnsi="Times New Roman" w:cs="Times New Roman"/>
            <w:i/>
            <w:iCs/>
          </w:rPr>
          <w:t>Supporting Statement Reports by Financial Institutions of Suspicious Transactions and FinCEN Form 111 - Suspicious Activity Report (SAR)</w:t>
        </w:r>
      </w:hyperlink>
      <w:r w:rsidRPr="00F01BF1" w:rsidR="002E4E97">
        <w:rPr>
          <w:rFonts w:ascii="Times New Roman" w:hAnsi="Times New Roman" w:cs="Times New Roman"/>
        </w:rPr>
        <w:t>, section 14 (May 30, 2024)</w:t>
      </w:r>
      <w:r w:rsidRPr="00F01BF1" w:rsidR="00F71EFD">
        <w:rPr>
          <w:rFonts w:ascii="Times New Roman" w:hAnsi="Times New Roman" w:cs="Times New Roman"/>
        </w:rPr>
        <w:t>.</w:t>
      </w:r>
      <w:r w:rsidRPr="00F01BF1">
        <w:rPr>
          <w:rFonts w:ascii="Times New Roman" w:hAnsi="Times New Roman" w:cs="Times New Roman"/>
        </w:rPr>
        <w:t xml:space="preserve"> </w:t>
      </w:r>
    </w:p>
  </w:footnote>
  <w:footnote w:id="36">
    <w:p w:rsidR="008E3E55" w:rsidRPr="00F01BF1" w14:paraId="2518ED78" w14:textId="25157FBE">
      <w:pPr>
        <w:pStyle w:val="FootnoteText"/>
        <w:rPr>
          <w:rFonts w:ascii="Times New Roman" w:hAnsi="Times New Roman" w:cs="Times New Roman"/>
        </w:rPr>
      </w:pPr>
      <w:r w:rsidRPr="00F01BF1">
        <w:rPr>
          <w:rStyle w:val="FootnoteReference"/>
          <w:rFonts w:ascii="Times New Roman" w:hAnsi="Times New Roman" w:cs="Times New Roman"/>
        </w:rPr>
        <w:footnoteRef/>
      </w:r>
      <w:r w:rsidRPr="00F01BF1">
        <w:rPr>
          <w:rFonts w:ascii="Times New Roman" w:hAnsi="Times New Roman" w:cs="Times New Roman"/>
        </w:rPr>
        <w:t xml:space="preserve"> 40 responses x 50 FFAs per response</w:t>
      </w:r>
      <w:r w:rsidRPr="00F01BF1" w:rsidR="00055311">
        <w:rPr>
          <w:rFonts w:ascii="Times New Roman" w:hAnsi="Times New Roman" w:cs="Times New Roman"/>
        </w:rPr>
        <w:t xml:space="preserve"> x 1 initial report</w:t>
      </w:r>
      <w:r w:rsidRPr="00F01BF1">
        <w:rPr>
          <w:rFonts w:ascii="Times New Roman" w:hAnsi="Times New Roman" w:cs="Times New Roman"/>
        </w:rPr>
        <w:t>.</w:t>
      </w:r>
    </w:p>
  </w:footnote>
  <w:footnote w:id="37">
    <w:p w:rsidR="00055311" w:rsidRPr="00F01BF1" w14:paraId="4CE94B48" w14:textId="52D581B4">
      <w:pPr>
        <w:pStyle w:val="FootnoteText"/>
        <w:rPr>
          <w:rFonts w:ascii="Times New Roman" w:hAnsi="Times New Roman" w:cs="Times New Roman"/>
        </w:rPr>
      </w:pPr>
      <w:r w:rsidRPr="00F01BF1">
        <w:rPr>
          <w:rStyle w:val="FootnoteReference"/>
          <w:rFonts w:ascii="Times New Roman" w:hAnsi="Times New Roman" w:cs="Times New Roman"/>
        </w:rPr>
        <w:footnoteRef/>
      </w:r>
      <w:r w:rsidRPr="00F01BF1">
        <w:rPr>
          <w:rFonts w:ascii="Times New Roman" w:hAnsi="Times New Roman" w:cs="Times New Roman"/>
        </w:rPr>
        <w:t xml:space="preserve"> 40 responses x 50 FFAs per response x 2 subsequent reports.</w:t>
      </w:r>
    </w:p>
  </w:footnote>
  <w:footnote w:id="38">
    <w:p w:rsidR="00A25EEF" w:rsidRPr="00F71158" w:rsidP="00A25EEF" w14:paraId="398C293C" w14:textId="2DBAE9AA">
      <w:pPr>
        <w:pStyle w:val="FootnoteText"/>
        <w:rPr>
          <w:rFonts w:ascii="Times New Roman" w:hAnsi="Times New Roman" w:cs="Times New Roman"/>
        </w:rPr>
      </w:pPr>
      <w:r w:rsidRPr="00F71158">
        <w:rPr>
          <w:rStyle w:val="FootnoteReference"/>
          <w:rFonts w:ascii="Times New Roman" w:hAnsi="Times New Roman" w:cs="Times New Roman"/>
        </w:rPr>
        <w:footnoteRef/>
      </w:r>
      <w:r w:rsidRPr="00F71158">
        <w:rPr>
          <w:rFonts w:ascii="Times New Roman" w:hAnsi="Times New Roman" w:cs="Times New Roman"/>
        </w:rPr>
        <w:t xml:space="preserve"> Subsequent reports make up about 40% of total data received. </w:t>
      </w:r>
      <w:r w:rsidRPr="00F71158" w:rsidR="00FB61ED">
        <w:rPr>
          <w:rFonts w:ascii="Times New Roman" w:hAnsi="Times New Roman" w:cs="Times New Roman"/>
        </w:rPr>
        <w:t xml:space="preserve"> </w:t>
      </w:r>
      <w:r w:rsidRPr="00F71158">
        <w:rPr>
          <w:rFonts w:ascii="Times New Roman" w:hAnsi="Times New Roman" w:cs="Times New Roman"/>
        </w:rPr>
        <w:t xml:space="preserve">If all subsequent report data is received in two rounds, this means each round of subsequent data contains 20% the amount of data as an average initial report. </w:t>
      </w:r>
      <w:r w:rsidRPr="00F71158" w:rsidR="0026217A">
        <w:rPr>
          <w:rFonts w:ascii="Times New Roman" w:hAnsi="Times New Roman" w:cs="Times New Roman"/>
        </w:rPr>
        <w:t xml:space="preserve"> </w:t>
      </w:r>
      <w:r w:rsidRPr="00F71158">
        <w:rPr>
          <w:rFonts w:ascii="Times New Roman" w:hAnsi="Times New Roman" w:cs="Times New Roman"/>
        </w:rPr>
        <w:t>60% is 3 times 20%. $0.10 x 3 = $0.30.</w:t>
      </w:r>
      <w:r w:rsidRPr="00F71158" w:rsidR="00EA6C13">
        <w:rPr>
          <w:rFonts w:ascii="Times New Roman" w:hAnsi="Times New Roman" w:cs="Times New Roman"/>
        </w:rPr>
        <w:t xml:space="preserve"> </w:t>
      </w:r>
      <w:r w:rsidRPr="00F71158" w:rsidR="0026217A">
        <w:rPr>
          <w:rFonts w:ascii="Times New Roman" w:hAnsi="Times New Roman" w:cs="Times New Roman"/>
        </w:rPr>
        <w:t xml:space="preserve"> </w:t>
      </w:r>
      <w:r w:rsidRPr="00F71158" w:rsidR="00EA6C13">
        <w:rPr>
          <w:rFonts w:ascii="Times New Roman" w:hAnsi="Times New Roman" w:cs="Times New Roman"/>
        </w:rPr>
        <w:t xml:space="preserve">FinCEN uses $0.10 as a cost basis, based on the estimated marginal cost for BSA reports. </w:t>
      </w:r>
    </w:p>
  </w:footnote>
  <w:footnote w:id="39">
    <w:p w:rsidR="00DA1B57" w:rsidRPr="00F71158" w:rsidP="00DA1B57" w14:paraId="75228B5A" w14:textId="6FF8B3E6">
      <w:pPr>
        <w:pStyle w:val="FootnoteText"/>
        <w:rPr>
          <w:rFonts w:ascii="Times New Roman" w:hAnsi="Times New Roman" w:cs="Times New Roman"/>
        </w:rPr>
      </w:pPr>
      <w:r w:rsidRPr="00F71158">
        <w:rPr>
          <w:rStyle w:val="FootnoteReference"/>
          <w:rFonts w:ascii="Times New Roman" w:hAnsi="Times New Roman" w:cs="Times New Roman"/>
          <w:color w:val="000000" w:themeColor="text1"/>
        </w:rPr>
        <w:footnoteRef/>
      </w:r>
      <w:r w:rsidRPr="00F71158" w:rsidR="008762CD">
        <w:rPr>
          <w:rFonts w:ascii="Times New Roman" w:hAnsi="Times New Roman" w:cs="Times New Roman"/>
          <w:color w:val="000000" w:themeColor="text1"/>
        </w:rPr>
        <w:t xml:space="preserve">The estimated cost to FinCEN per BSA report submitted to FinCEN is $0.10. </w:t>
      </w:r>
      <w:r w:rsidRPr="00F71158" w:rsidR="0026217A">
        <w:rPr>
          <w:rFonts w:ascii="Times New Roman" w:hAnsi="Times New Roman" w:cs="Times New Roman"/>
          <w:color w:val="000000" w:themeColor="text1"/>
        </w:rPr>
        <w:t xml:space="preserve"> </w:t>
      </w:r>
      <w:r w:rsidRPr="00F71158" w:rsidR="00EA6C13">
        <w:rPr>
          <w:rFonts w:ascii="Times New Roman" w:hAnsi="Times New Roman" w:cs="Times New Roman"/>
        </w:rPr>
        <w:t>FinCEN uses $0.10 as a cost basis, based on the estimated marginal cost for BSA reports.</w:t>
      </w:r>
    </w:p>
  </w:footnote>
  <w:footnote w:id="40">
    <w:p w:rsidR="00B554A9" w:rsidRPr="00F71158" w14:paraId="186487AB" w14:textId="17644DEC">
      <w:pPr>
        <w:pStyle w:val="FootnoteText"/>
        <w:rPr>
          <w:rFonts w:ascii="Times New Roman" w:hAnsi="Times New Roman" w:cs="Times New Roman"/>
        </w:rPr>
      </w:pPr>
      <w:r w:rsidRPr="00F71158">
        <w:rPr>
          <w:rStyle w:val="FootnoteReference"/>
          <w:rFonts w:ascii="Times New Roman" w:hAnsi="Times New Roman" w:cs="Times New Roman"/>
        </w:rPr>
        <w:footnoteRef/>
      </w:r>
      <w:r w:rsidRPr="00F71158" w:rsidR="006E1024">
        <w:rPr>
          <w:rFonts w:ascii="Times New Roman" w:hAnsi="Times New Roman" w:cs="Times New Roman"/>
        </w:rPr>
        <w:t>Based on an assigned pro f</w:t>
      </w:r>
      <w:r w:rsidRPr="00F71158" w:rsidR="00456188">
        <w:rPr>
          <w:rFonts w:ascii="Times New Roman" w:hAnsi="Times New Roman" w:cs="Times New Roman"/>
        </w:rPr>
        <w:t xml:space="preserve">orma cost of </w:t>
      </w:r>
      <w:r w:rsidRPr="00F71158" w:rsidR="003D5F66">
        <w:rPr>
          <w:rFonts w:ascii="Times New Roman" w:hAnsi="Times New Roman" w:cs="Times New Roman"/>
        </w:rPr>
        <w:t>$0.30</w:t>
      </w:r>
      <w:r w:rsidRPr="00F71158" w:rsidR="009C53D9">
        <w:rPr>
          <w:rFonts w:ascii="Times New Roman" w:hAnsi="Times New Roman" w:cs="Times New Roman"/>
        </w:rPr>
        <w:t xml:space="preserve"> per </w:t>
      </w:r>
      <w:r w:rsidRPr="00F71158" w:rsidR="003D5F66">
        <w:rPr>
          <w:rFonts w:ascii="Times New Roman" w:hAnsi="Times New Roman" w:cs="Times New Roman"/>
        </w:rPr>
        <w:t>2,000</w:t>
      </w:r>
      <w:r w:rsidRPr="00F71158" w:rsidR="009733C6">
        <w:rPr>
          <w:rFonts w:ascii="Times New Roman" w:hAnsi="Times New Roman" w:cs="Times New Roman"/>
        </w:rPr>
        <w:t xml:space="preserve">anticipated </w:t>
      </w:r>
      <w:r w:rsidRPr="00F71158" w:rsidR="00406D04">
        <w:rPr>
          <w:rFonts w:ascii="Times New Roman" w:hAnsi="Times New Roman" w:cs="Times New Roman"/>
        </w:rPr>
        <w:t>sets of transaction records</w:t>
      </w:r>
      <w:r w:rsidRPr="00F71158" w:rsidR="006D2D74">
        <w:rPr>
          <w:rFonts w:ascii="Times New Roman" w:hAnsi="Times New Roman" w:cs="Times New Roman"/>
        </w:rPr>
        <w:t xml:space="preserve"> per year and </w:t>
      </w:r>
      <w:r w:rsidRPr="00F71158" w:rsidR="00FE678B">
        <w:rPr>
          <w:rFonts w:ascii="Times New Roman" w:hAnsi="Times New Roman" w:cs="Times New Roman"/>
        </w:rPr>
        <w:t>$0.10</w:t>
      </w:r>
      <w:r w:rsidRPr="00F71158" w:rsidR="006D2D74">
        <w:rPr>
          <w:rFonts w:ascii="Times New Roman" w:hAnsi="Times New Roman" w:cs="Times New Roman"/>
        </w:rPr>
        <w:t xml:space="preserve"> per </w:t>
      </w:r>
      <w:r w:rsidRPr="00F71158" w:rsidR="00FE678B">
        <w:rPr>
          <w:rFonts w:ascii="Times New Roman" w:hAnsi="Times New Roman" w:cs="Times New Roman"/>
        </w:rPr>
        <w:t>4,000</w:t>
      </w:r>
      <w:r w:rsidRPr="00F71158" w:rsidR="00705197">
        <w:rPr>
          <w:rFonts w:ascii="Times New Roman" w:hAnsi="Times New Roman" w:cs="Times New Roman"/>
        </w:rPr>
        <w:t xml:space="preserve"> subsequent </w:t>
      </w:r>
      <w:r w:rsidRPr="00F71158" w:rsidR="00AE4EA1">
        <w:rPr>
          <w:rFonts w:ascii="Times New Roman" w:hAnsi="Times New Roman" w:cs="Times New Roman"/>
        </w:rPr>
        <w:t>set of transaction records</w:t>
      </w:r>
      <w:r w:rsidRPr="00F71158" w:rsidR="001A05AE">
        <w:rPr>
          <w:rFonts w:ascii="Times New Roman" w:hAnsi="Times New Roman" w:cs="Times New Roman"/>
        </w:rPr>
        <w:t xml:space="preserve"> (</w:t>
      </w:r>
      <w:r w:rsidRPr="00F71158" w:rsidR="00290056">
        <w:rPr>
          <w:rFonts w:ascii="Times New Roman" w:hAnsi="Times New Roman" w:cs="Times New Roman"/>
        </w:rPr>
        <w:t>0.30</w:t>
      </w:r>
      <w:r w:rsidRPr="00F71158" w:rsidR="001A05AE">
        <w:rPr>
          <w:rFonts w:ascii="Times New Roman" w:hAnsi="Times New Roman" w:cs="Times New Roman"/>
        </w:rPr>
        <w:t xml:space="preserve"> x </w:t>
      </w:r>
      <w:r w:rsidRPr="00F71158" w:rsidR="00290056">
        <w:rPr>
          <w:rFonts w:ascii="Times New Roman" w:hAnsi="Times New Roman" w:cs="Times New Roman"/>
        </w:rPr>
        <w:t>2</w:t>
      </w:r>
      <w:r w:rsidRPr="00F71158" w:rsidR="00DF6B3D">
        <w:rPr>
          <w:rFonts w:ascii="Times New Roman" w:hAnsi="Times New Roman" w:cs="Times New Roman"/>
        </w:rPr>
        <w:t>,</w:t>
      </w:r>
      <w:r w:rsidRPr="00F71158" w:rsidR="00290056">
        <w:rPr>
          <w:rFonts w:ascii="Times New Roman" w:hAnsi="Times New Roman" w:cs="Times New Roman"/>
        </w:rPr>
        <w:t xml:space="preserve">000 + </w:t>
      </w:r>
      <w:r w:rsidRPr="00F71158" w:rsidR="00DF6B3D">
        <w:rPr>
          <w:rFonts w:ascii="Times New Roman" w:hAnsi="Times New Roman" w:cs="Times New Roman"/>
        </w:rPr>
        <w:t xml:space="preserve">0.10 x 4,000 </w:t>
      </w:r>
      <w:r w:rsidRPr="00F71158" w:rsidR="001A05AE">
        <w:rPr>
          <w:rFonts w:ascii="Times New Roman" w:hAnsi="Times New Roman" w:cs="Times New Roman"/>
        </w:rPr>
        <w:t xml:space="preserve">= </w:t>
      </w:r>
      <w:r w:rsidRPr="00F71158" w:rsidR="00DF6B3D">
        <w:rPr>
          <w:rFonts w:ascii="Times New Roman" w:hAnsi="Times New Roman" w:cs="Times New Roman"/>
        </w:rPr>
        <w:t>1,000</w:t>
      </w:r>
      <w:r w:rsidRPr="00F71158" w:rsidR="001A05AE">
        <w:rPr>
          <w:rFonts w:ascii="Times New Roman" w:hAnsi="Times New Roman" w:cs="Times New Roman"/>
        </w:rPr>
        <w:t>)</w:t>
      </w:r>
      <w:r w:rsidRPr="00F71158" w:rsidR="0043696A">
        <w:rPr>
          <w:rFonts w:ascii="Times New Roman" w:hAnsi="Times New Roman" w:cs="Times New Roman"/>
        </w:rPr>
        <w:t>.</w:t>
      </w:r>
    </w:p>
  </w:footnote>
  <w:footnote w:id="41">
    <w:p w:rsidR="00593237" w:rsidRPr="00CA5F9A" w14:paraId="046BADF7" w14:textId="4919F784">
      <w:pPr>
        <w:pStyle w:val="FootnoteText"/>
        <w:rPr>
          <w:rFonts w:ascii="Times New Roman" w:hAnsi="Times New Roman" w:cs="Times New Roman"/>
        </w:rPr>
      </w:pPr>
      <w:r w:rsidRPr="00F71158">
        <w:rPr>
          <w:rStyle w:val="FootnoteReference"/>
          <w:rFonts w:ascii="Times New Roman" w:hAnsi="Times New Roman" w:cs="Times New Roman"/>
        </w:rPr>
        <w:footnoteRef/>
      </w:r>
      <w:r w:rsidRPr="00F71158" w:rsidR="0058365F">
        <w:rPr>
          <w:rFonts w:ascii="Times New Roman" w:hAnsi="Times New Roman" w:cs="Times New Roman"/>
        </w:rPr>
        <w:t>According to the Bureau of Labor Statistics, t</w:t>
      </w:r>
      <w:r w:rsidRPr="00F71158">
        <w:rPr>
          <w:rFonts w:ascii="Times New Roman" w:hAnsi="Times New Roman" w:cs="Times New Roman"/>
        </w:rPr>
        <w:t>he hourly wage rate for Data Scientists (</w:t>
      </w:r>
      <w:r w:rsidRPr="00F71158" w:rsidR="0058365F">
        <w:rPr>
          <w:rFonts w:ascii="Times New Roman" w:hAnsi="Times New Roman" w:cs="Times New Roman"/>
        </w:rPr>
        <w:t>15-2051) in the Federal Executive Branch (</w:t>
      </w:r>
      <w:r w:rsidRPr="00F71158" w:rsidR="007A6064">
        <w:rPr>
          <w:rFonts w:ascii="Times New Roman" w:hAnsi="Times New Roman" w:cs="Times New Roman"/>
        </w:rPr>
        <w:t xml:space="preserve">NAICS 999100 - Federal Executive Branch) </w:t>
      </w:r>
      <w:r w:rsidRPr="00F71158" w:rsidR="00D03D17">
        <w:rPr>
          <w:rFonts w:ascii="Times New Roman" w:hAnsi="Times New Roman" w:cs="Times New Roman"/>
        </w:rPr>
        <w:t xml:space="preserve">is $61.76. </w:t>
      </w:r>
      <w:r w:rsidRPr="00F71158" w:rsidR="0026217A">
        <w:rPr>
          <w:rFonts w:ascii="Times New Roman" w:hAnsi="Times New Roman" w:cs="Times New Roman"/>
        </w:rPr>
        <w:t xml:space="preserve"> </w:t>
      </w:r>
      <w:r w:rsidRPr="00F71158" w:rsidR="00820BF8">
        <w:rPr>
          <w:rFonts w:ascii="Times New Roman" w:hAnsi="Times New Roman" w:cs="Times New Roman"/>
        </w:rPr>
        <w:t>The benefit factor is 1 plus the benefit/</w:t>
      </w:r>
      <w:r w:rsidRPr="00F71158" w:rsidR="00820BF8">
        <w:rPr>
          <w:rFonts w:ascii="Times New Roman" w:hAnsi="Times New Roman" w:cs="Times New Roman"/>
        </w:rPr>
        <w:t>wages</w:t>
      </w:r>
      <w:r w:rsidRPr="00F71158" w:rsidR="00820BF8">
        <w:rPr>
          <w:rFonts w:ascii="Times New Roman" w:hAnsi="Times New Roman" w:cs="Times New Roman"/>
        </w:rPr>
        <w:t xml:space="preserve"> ratio.  As of December 2024, Total Benefits = 38.2 and Wages and salaries </w:t>
      </w:r>
      <w:r w:rsidRPr="00CA5F9A" w:rsidR="00820BF8">
        <w:rPr>
          <w:rFonts w:ascii="Times New Roman" w:hAnsi="Times New Roman" w:cs="Times New Roman"/>
        </w:rPr>
        <w:t>= 61.8 (</w:t>
      </w:r>
      <w:r w:rsidRPr="00CA5F9A" w:rsidR="00EE4D6B">
        <w:rPr>
          <w:rFonts w:ascii="Times New Roman" w:hAnsi="Times New Roman" w:cs="Times New Roman"/>
        </w:rPr>
        <w:t>38</w:t>
      </w:r>
      <w:r w:rsidRPr="00CA5F9A" w:rsidR="00820BF8">
        <w:rPr>
          <w:rFonts w:ascii="Times New Roman" w:hAnsi="Times New Roman" w:cs="Times New Roman"/>
        </w:rPr>
        <w:t>.</w:t>
      </w:r>
      <w:r w:rsidRPr="00CA5F9A" w:rsidR="00EE4D6B">
        <w:rPr>
          <w:rFonts w:ascii="Times New Roman" w:hAnsi="Times New Roman" w:cs="Times New Roman"/>
        </w:rPr>
        <w:t>2</w:t>
      </w:r>
      <w:r w:rsidRPr="00CA5F9A" w:rsidR="00820BF8">
        <w:rPr>
          <w:rFonts w:ascii="Times New Roman" w:hAnsi="Times New Roman" w:cs="Times New Roman"/>
        </w:rPr>
        <w:t>/</w:t>
      </w:r>
      <w:r w:rsidRPr="00CA5F9A" w:rsidR="00EE4D6B">
        <w:rPr>
          <w:rFonts w:ascii="Times New Roman" w:hAnsi="Times New Roman" w:cs="Times New Roman"/>
        </w:rPr>
        <w:t>61</w:t>
      </w:r>
      <w:r w:rsidRPr="00CA5F9A" w:rsidR="00820BF8">
        <w:rPr>
          <w:rFonts w:ascii="Times New Roman" w:hAnsi="Times New Roman" w:cs="Times New Roman"/>
        </w:rPr>
        <w:t>.</w:t>
      </w:r>
      <w:r w:rsidRPr="00CA5F9A" w:rsidR="00EE4D6B">
        <w:rPr>
          <w:rFonts w:ascii="Times New Roman" w:hAnsi="Times New Roman" w:cs="Times New Roman"/>
        </w:rPr>
        <w:t>8</w:t>
      </w:r>
      <w:r w:rsidRPr="00CA5F9A" w:rsidR="00820BF8">
        <w:rPr>
          <w:rFonts w:ascii="Times New Roman" w:hAnsi="Times New Roman" w:cs="Times New Roman"/>
        </w:rPr>
        <w:t>= 0.</w:t>
      </w:r>
      <w:r w:rsidRPr="00CA5F9A" w:rsidR="00206E18">
        <w:rPr>
          <w:rFonts w:ascii="Times New Roman" w:hAnsi="Times New Roman" w:cs="Times New Roman"/>
        </w:rPr>
        <w:t>62</w:t>
      </w:r>
      <w:r w:rsidRPr="00CA5F9A" w:rsidR="00820BF8">
        <w:rPr>
          <w:rFonts w:ascii="Times New Roman" w:hAnsi="Times New Roman" w:cs="Times New Roman"/>
        </w:rPr>
        <w:t xml:space="preserve">) based on the </w:t>
      </w:r>
      <w:r w:rsidRPr="00CA5F9A" w:rsidR="00206E18">
        <w:rPr>
          <w:rFonts w:ascii="Times New Roman" w:hAnsi="Times New Roman" w:cs="Times New Roman"/>
        </w:rPr>
        <w:t>public sector</w:t>
      </w:r>
      <w:r w:rsidRPr="00CA5F9A" w:rsidR="00820BF8">
        <w:rPr>
          <w:rFonts w:ascii="Times New Roman" w:hAnsi="Times New Roman" w:cs="Times New Roman"/>
        </w:rPr>
        <w:t xml:space="preserve"> workers series data downloaded from https://www.bls.gov/news.release/pdf/ecec.pdf, accessed March 15, 2025.  Given that many occupations provide benefits beyond cash wages (e.g., insurance, paid leave, etc.), the private sector benefit is applied to reflect the total cost to the employer.</w:t>
      </w:r>
      <w:r w:rsidRPr="00CA5F9A" w:rsidR="00206E18">
        <w:rPr>
          <w:rFonts w:ascii="Times New Roman" w:hAnsi="Times New Roman" w:cs="Times New Roman"/>
        </w:rPr>
        <w:t xml:space="preserve"> </w:t>
      </w:r>
      <w:r w:rsidRPr="00CA5F9A" w:rsidR="00206E18">
        <w:rPr>
          <w:rFonts w:ascii="Times New Roman" w:hAnsi="Times New Roman" w:cs="Times New Roman"/>
        </w:rPr>
        <w:t xml:space="preserve"> </w:t>
      </w:r>
      <w:r w:rsidRPr="00CA5F9A" w:rsidR="00206E18">
        <w:rPr>
          <w:rFonts w:ascii="Times New Roman" w:hAnsi="Times New Roman" w:cs="Times New Roman"/>
        </w:rPr>
        <w:t xml:space="preserve">Data is based on state and local government workers. </w:t>
      </w:r>
      <w:r w:rsidRPr="00CA5F9A" w:rsidR="00AF79AC">
        <w:rPr>
          <w:rFonts w:ascii="Times New Roman" w:hAnsi="Times New Roman" w:cs="Times New Roman"/>
        </w:rPr>
        <w:t xml:space="preserve">The BLS benefits data does not contain information on federal government workers. </w:t>
      </w:r>
      <w:r w:rsidRPr="0059531F" w:rsidR="00432622">
        <w:rPr>
          <w:rFonts w:ascii="Times New Roman" w:hAnsi="Times New Roman" w:cs="Times New Roman"/>
        </w:rPr>
        <w:t>$6</w:t>
      </w:r>
      <w:r w:rsidRPr="00236E4D" w:rsidR="005175FA">
        <w:rPr>
          <w:rFonts w:ascii="Times New Roman" w:hAnsi="Times New Roman" w:cs="Times New Roman"/>
        </w:rPr>
        <w:t>1</w:t>
      </w:r>
      <w:r w:rsidRPr="0059531F" w:rsidR="00432622">
        <w:rPr>
          <w:rFonts w:ascii="Times New Roman" w:hAnsi="Times New Roman" w:cs="Times New Roman"/>
        </w:rPr>
        <w:t>.76</w:t>
      </w:r>
      <w:r w:rsidRPr="00CA5F9A" w:rsidR="00432622">
        <w:rPr>
          <w:rFonts w:ascii="Times New Roman" w:hAnsi="Times New Roman" w:cs="Times New Roman"/>
        </w:rPr>
        <w:t xml:space="preserve"> x 1.6</w:t>
      </w:r>
      <w:r w:rsidRPr="00CA5F9A" w:rsidR="007C7DA8">
        <w:rPr>
          <w:rFonts w:ascii="Times New Roman" w:hAnsi="Times New Roman" w:cs="Times New Roman"/>
        </w:rPr>
        <w:t>2 = $</w:t>
      </w:r>
      <w:r w:rsidR="005175FA">
        <w:rPr>
          <w:rFonts w:ascii="Times New Roman" w:hAnsi="Times New Roman" w:cs="Times New Roman"/>
        </w:rPr>
        <w:t>100</w:t>
      </w:r>
      <w:r w:rsidRPr="00CA5F9A" w:rsidR="007C7DA8">
        <w:rPr>
          <w:rFonts w:ascii="Times New Roman" w:hAnsi="Times New Roman" w:cs="Times New Roman"/>
        </w:rPr>
        <w:t>.</w:t>
      </w:r>
      <w:r w:rsidR="005175FA">
        <w:rPr>
          <w:rFonts w:ascii="Times New Roman" w:hAnsi="Times New Roman" w:cs="Times New Roman"/>
        </w:rPr>
        <w:t>0</w:t>
      </w:r>
      <w:r w:rsidRPr="00CA5F9A" w:rsidR="007C7DA8">
        <w:rPr>
          <w:rFonts w:ascii="Times New Roman" w:hAnsi="Times New Roman" w:cs="Times New Roman"/>
        </w:rPr>
        <w:t>5.</w:t>
      </w:r>
    </w:p>
  </w:footnote>
  <w:footnote w:id="42">
    <w:p w:rsidR="00C41D81" w:rsidRPr="00CA5F9A" w:rsidP="00C41D81" w14:paraId="6948732B" w14:textId="77777777">
      <w:pPr>
        <w:pStyle w:val="FootnoteText"/>
        <w:rPr>
          <w:rFonts w:ascii="Times New Roman" w:hAnsi="Times New Roman" w:cs="Times New Roman"/>
        </w:rPr>
      </w:pPr>
      <w:r w:rsidRPr="00CA5F9A">
        <w:rPr>
          <w:rStyle w:val="FootnoteReference"/>
          <w:rFonts w:ascii="Times New Roman" w:hAnsi="Times New Roman" w:cs="Times New Roman"/>
        </w:rPr>
        <w:footnoteRef/>
      </w:r>
      <w:r w:rsidRPr="00CA5F9A">
        <w:rPr>
          <w:rFonts w:ascii="Times New Roman" w:hAnsi="Times New Roman" w:cs="Times New Roman"/>
        </w:rPr>
        <w:t xml:space="preserve"> In 2022, FinCEN estimated 4 requests every three years, or 1.33 per year.</w:t>
      </w:r>
    </w:p>
  </w:footnote>
  <w:footnote w:id="43">
    <w:p w:rsidR="002415D7" w14:paraId="5CA039A1" w14:textId="04F4988E">
      <w:pPr>
        <w:pStyle w:val="FootnoteText"/>
      </w:pPr>
      <w:r w:rsidRPr="00236E4D">
        <w:rPr>
          <w:rStyle w:val="FootnoteReference"/>
          <w:rFonts w:ascii="Times New Roman" w:hAnsi="Times New Roman" w:cs="Times New Roman"/>
        </w:rPr>
        <w:footnoteRef/>
      </w:r>
      <w:r w:rsidRPr="00236E4D">
        <w:rPr>
          <w:rFonts w:ascii="Times New Roman" w:hAnsi="Times New Roman" w:cs="Times New Roman"/>
        </w:rPr>
        <w:t xml:space="preserve"> </w:t>
      </w:r>
      <w:r w:rsidRPr="0039393E" w:rsidR="00880C0A">
        <w:rPr>
          <w:rFonts w:ascii="Times New Roman" w:hAnsi="Times New Roman" w:cs="Times New Roman"/>
          <w:i/>
          <w:iCs/>
        </w:rPr>
        <w:t>See supra</w:t>
      </w:r>
      <w:r w:rsidR="00880C0A">
        <w:rPr>
          <w:rFonts w:ascii="Times New Roman" w:hAnsi="Times New Roman" w:cs="Times New Roman"/>
        </w:rPr>
        <w:t xml:space="preserve"> </w:t>
      </w:r>
      <w:r w:rsidRPr="00F71158" w:rsidR="00880C0A">
        <w:rPr>
          <w:rFonts w:ascii="Times New Roman" w:hAnsi="Times New Roman" w:cs="Times New Roman"/>
        </w:rPr>
        <w:t xml:space="preserve">note </w:t>
      </w:r>
      <w:r w:rsidRPr="00F01BF1" w:rsidR="00F71158">
        <w:rPr>
          <w:rFonts w:ascii="Times New Roman" w:hAnsi="Times New Roman" w:cs="Times New Roman"/>
        </w:rPr>
        <w:t>3</w:t>
      </w:r>
      <w:r w:rsidR="00F01BF1">
        <w:rPr>
          <w:rFonts w:ascii="Times New Roman" w:hAnsi="Times New Roman" w:cs="Times New Roman"/>
        </w:rPr>
        <w:t>3</w:t>
      </w:r>
      <w:r w:rsidRPr="00F71158" w:rsidR="00880C0A">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5F2DBE"/>
    <w:multiLevelType w:val="hybridMultilevel"/>
    <w:tmpl w:val="C6C646B8"/>
    <w:lvl w:ilvl="0">
      <w:start w:val="14"/>
      <w:numFmt w:val="decimal"/>
      <w:lvlText w:val="%1."/>
      <w:lvlJc w:val="left"/>
      <w:pPr>
        <w:ind w:left="720" w:hanging="360"/>
      </w:pPr>
      <w:rPr>
        <w:rFonts w:cstheme="minorBidi" w:hint="default"/>
        <w:sz w:val="23"/>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7E4902"/>
    <w:multiLevelType w:val="hybridMultilevel"/>
    <w:tmpl w:val="28BE5B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9D6251"/>
    <w:multiLevelType w:val="hybridMultilevel"/>
    <w:tmpl w:val="678E323C"/>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41D40CA"/>
    <w:multiLevelType w:val="hybridMultilevel"/>
    <w:tmpl w:val="B28AF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207DAE"/>
    <w:multiLevelType w:val="hybridMultilevel"/>
    <w:tmpl w:val="7B7012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AA75AC4"/>
    <w:multiLevelType w:val="hybridMultilevel"/>
    <w:tmpl w:val="BDA29BFE"/>
    <w:lvl w:ilvl="0">
      <w:start w:val="1"/>
      <w:numFmt w:val="decimal"/>
      <w:lvlText w:val="%1."/>
      <w:lvlJc w:val="left"/>
      <w:pPr>
        <w:ind w:left="850" w:hanging="216"/>
        <w:jc w:val="right"/>
      </w:pPr>
      <w:rPr>
        <w:rFonts w:ascii="Times New Roman" w:eastAsia="Times New Roman" w:hAnsi="Times New Roman" w:hint="default"/>
        <w:w w:val="98"/>
        <w:sz w:val="23"/>
        <w:szCs w:val="23"/>
      </w:rPr>
    </w:lvl>
    <w:lvl w:ilvl="1">
      <w:start w:val="1"/>
      <w:numFmt w:val="bullet"/>
      <w:lvlText w:val="•"/>
      <w:lvlJc w:val="left"/>
      <w:pPr>
        <w:ind w:left="1645" w:hanging="216"/>
      </w:pPr>
      <w:rPr>
        <w:rFonts w:hint="default"/>
      </w:rPr>
    </w:lvl>
    <w:lvl w:ilvl="2">
      <w:start w:val="1"/>
      <w:numFmt w:val="bullet"/>
      <w:lvlText w:val="•"/>
      <w:lvlJc w:val="left"/>
      <w:pPr>
        <w:ind w:left="2440" w:hanging="216"/>
      </w:pPr>
      <w:rPr>
        <w:rFonts w:hint="default"/>
      </w:rPr>
    </w:lvl>
    <w:lvl w:ilvl="3">
      <w:start w:val="1"/>
      <w:numFmt w:val="bullet"/>
      <w:lvlText w:val="•"/>
      <w:lvlJc w:val="left"/>
      <w:pPr>
        <w:ind w:left="3235" w:hanging="216"/>
      </w:pPr>
      <w:rPr>
        <w:rFonts w:hint="default"/>
      </w:rPr>
    </w:lvl>
    <w:lvl w:ilvl="4">
      <w:start w:val="1"/>
      <w:numFmt w:val="bullet"/>
      <w:lvlText w:val="•"/>
      <w:lvlJc w:val="left"/>
      <w:pPr>
        <w:ind w:left="4030" w:hanging="216"/>
      </w:pPr>
      <w:rPr>
        <w:rFonts w:hint="default"/>
      </w:rPr>
    </w:lvl>
    <w:lvl w:ilvl="5">
      <w:start w:val="1"/>
      <w:numFmt w:val="bullet"/>
      <w:lvlText w:val="•"/>
      <w:lvlJc w:val="left"/>
      <w:pPr>
        <w:ind w:left="4825" w:hanging="216"/>
      </w:pPr>
      <w:rPr>
        <w:rFonts w:hint="default"/>
      </w:rPr>
    </w:lvl>
    <w:lvl w:ilvl="6">
      <w:start w:val="1"/>
      <w:numFmt w:val="bullet"/>
      <w:lvlText w:val="•"/>
      <w:lvlJc w:val="left"/>
      <w:pPr>
        <w:ind w:left="5620" w:hanging="216"/>
      </w:pPr>
      <w:rPr>
        <w:rFonts w:hint="default"/>
      </w:rPr>
    </w:lvl>
    <w:lvl w:ilvl="7">
      <w:start w:val="1"/>
      <w:numFmt w:val="bullet"/>
      <w:lvlText w:val="•"/>
      <w:lvlJc w:val="left"/>
      <w:pPr>
        <w:ind w:left="6415" w:hanging="216"/>
      </w:pPr>
      <w:rPr>
        <w:rFonts w:hint="default"/>
      </w:rPr>
    </w:lvl>
    <w:lvl w:ilvl="8">
      <w:start w:val="1"/>
      <w:numFmt w:val="bullet"/>
      <w:lvlText w:val="•"/>
      <w:lvlJc w:val="left"/>
      <w:pPr>
        <w:ind w:left="7210" w:hanging="216"/>
      </w:pPr>
      <w:rPr>
        <w:rFonts w:hint="default"/>
      </w:rPr>
    </w:lvl>
  </w:abstractNum>
  <w:abstractNum w:abstractNumId="6">
    <w:nsid w:val="4A7247AF"/>
    <w:multiLevelType w:val="hybridMultilevel"/>
    <w:tmpl w:val="A31E57DE"/>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7D14674"/>
    <w:multiLevelType w:val="hybridMultilevel"/>
    <w:tmpl w:val="619C345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16247B2"/>
    <w:multiLevelType w:val="hybridMultilevel"/>
    <w:tmpl w:val="B128FB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40C7666"/>
    <w:multiLevelType w:val="hybridMultilevel"/>
    <w:tmpl w:val="ACE0C0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8A767D3"/>
    <w:multiLevelType w:val="hybridMultilevel"/>
    <w:tmpl w:val="F4F293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38620468">
    <w:abstractNumId w:val="5"/>
  </w:num>
  <w:num w:numId="2" w16cid:durableId="1044064971">
    <w:abstractNumId w:val="0"/>
  </w:num>
  <w:num w:numId="3" w16cid:durableId="552159002">
    <w:abstractNumId w:val="2"/>
  </w:num>
  <w:num w:numId="4" w16cid:durableId="1095443847">
    <w:abstractNumId w:val="6"/>
  </w:num>
  <w:num w:numId="5" w16cid:durableId="2004309957">
    <w:abstractNumId w:val="7"/>
  </w:num>
  <w:num w:numId="6" w16cid:durableId="166871627">
    <w:abstractNumId w:val="3"/>
  </w:num>
  <w:num w:numId="7" w16cid:durableId="996802977">
    <w:abstractNumId w:val="4"/>
  </w:num>
  <w:num w:numId="8" w16cid:durableId="1942369377">
    <w:abstractNumId w:val="9"/>
  </w:num>
  <w:num w:numId="9" w16cid:durableId="6030321">
    <w:abstractNumId w:val="10"/>
  </w:num>
  <w:num w:numId="10" w16cid:durableId="1835411857">
    <w:abstractNumId w:val="1"/>
  </w:num>
  <w:num w:numId="11" w16cid:durableId="3240112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D57"/>
    <w:rsid w:val="00000440"/>
    <w:rsid w:val="00000B33"/>
    <w:rsid w:val="00001EFB"/>
    <w:rsid w:val="00002436"/>
    <w:rsid w:val="00002E43"/>
    <w:rsid w:val="0000341C"/>
    <w:rsid w:val="000034FF"/>
    <w:rsid w:val="0000369A"/>
    <w:rsid w:val="00006569"/>
    <w:rsid w:val="000066A3"/>
    <w:rsid w:val="0000682B"/>
    <w:rsid w:val="00010B00"/>
    <w:rsid w:val="00011038"/>
    <w:rsid w:val="00014D62"/>
    <w:rsid w:val="00014E24"/>
    <w:rsid w:val="00015CFC"/>
    <w:rsid w:val="00015E05"/>
    <w:rsid w:val="000162D6"/>
    <w:rsid w:val="00016C7F"/>
    <w:rsid w:val="00016EF4"/>
    <w:rsid w:val="0001798C"/>
    <w:rsid w:val="000234EA"/>
    <w:rsid w:val="00023A20"/>
    <w:rsid w:val="0002527B"/>
    <w:rsid w:val="00026FBF"/>
    <w:rsid w:val="0003048E"/>
    <w:rsid w:val="00030AA1"/>
    <w:rsid w:val="00031443"/>
    <w:rsid w:val="00031CE4"/>
    <w:rsid w:val="00032CB8"/>
    <w:rsid w:val="000330A2"/>
    <w:rsid w:val="00033232"/>
    <w:rsid w:val="00033235"/>
    <w:rsid w:val="000338D0"/>
    <w:rsid w:val="00034925"/>
    <w:rsid w:val="00034C43"/>
    <w:rsid w:val="0003639B"/>
    <w:rsid w:val="00036751"/>
    <w:rsid w:val="00036E26"/>
    <w:rsid w:val="000405A3"/>
    <w:rsid w:val="00041268"/>
    <w:rsid w:val="000418DB"/>
    <w:rsid w:val="00042219"/>
    <w:rsid w:val="000427DF"/>
    <w:rsid w:val="00042E58"/>
    <w:rsid w:val="00043F61"/>
    <w:rsid w:val="00045259"/>
    <w:rsid w:val="0004677E"/>
    <w:rsid w:val="00046F42"/>
    <w:rsid w:val="000509AA"/>
    <w:rsid w:val="00050B2B"/>
    <w:rsid w:val="00053E4E"/>
    <w:rsid w:val="00054826"/>
    <w:rsid w:val="000552B1"/>
    <w:rsid w:val="00055311"/>
    <w:rsid w:val="00055BB9"/>
    <w:rsid w:val="00055F2D"/>
    <w:rsid w:val="00056138"/>
    <w:rsid w:val="000576B2"/>
    <w:rsid w:val="0005772D"/>
    <w:rsid w:val="0006130C"/>
    <w:rsid w:val="000616A8"/>
    <w:rsid w:val="00062ACB"/>
    <w:rsid w:val="00063B4C"/>
    <w:rsid w:val="00064166"/>
    <w:rsid w:val="00064169"/>
    <w:rsid w:val="00065BEC"/>
    <w:rsid w:val="0006744F"/>
    <w:rsid w:val="00070EF9"/>
    <w:rsid w:val="00071135"/>
    <w:rsid w:val="00071ECE"/>
    <w:rsid w:val="00071F1A"/>
    <w:rsid w:val="000722A7"/>
    <w:rsid w:val="00072427"/>
    <w:rsid w:val="000734F1"/>
    <w:rsid w:val="00074124"/>
    <w:rsid w:val="00075A23"/>
    <w:rsid w:val="000765FF"/>
    <w:rsid w:val="00076C0C"/>
    <w:rsid w:val="0007717B"/>
    <w:rsid w:val="000779D2"/>
    <w:rsid w:val="00077C99"/>
    <w:rsid w:val="00080AF7"/>
    <w:rsid w:val="00083A5C"/>
    <w:rsid w:val="000848D6"/>
    <w:rsid w:val="00084F8E"/>
    <w:rsid w:val="0008680A"/>
    <w:rsid w:val="00086F53"/>
    <w:rsid w:val="0008733E"/>
    <w:rsid w:val="00087CC5"/>
    <w:rsid w:val="000926FE"/>
    <w:rsid w:val="00092B46"/>
    <w:rsid w:val="00092D4B"/>
    <w:rsid w:val="0009442F"/>
    <w:rsid w:val="00094463"/>
    <w:rsid w:val="000966AF"/>
    <w:rsid w:val="00097593"/>
    <w:rsid w:val="000A0158"/>
    <w:rsid w:val="000A0AE9"/>
    <w:rsid w:val="000A0CC1"/>
    <w:rsid w:val="000A0D57"/>
    <w:rsid w:val="000A0D8D"/>
    <w:rsid w:val="000A142B"/>
    <w:rsid w:val="000A171D"/>
    <w:rsid w:val="000A1ED6"/>
    <w:rsid w:val="000A263A"/>
    <w:rsid w:val="000A29BC"/>
    <w:rsid w:val="000A3FFA"/>
    <w:rsid w:val="000A4EA7"/>
    <w:rsid w:val="000A51B4"/>
    <w:rsid w:val="000A6C61"/>
    <w:rsid w:val="000A6F8D"/>
    <w:rsid w:val="000A6F96"/>
    <w:rsid w:val="000A73E2"/>
    <w:rsid w:val="000A7DF9"/>
    <w:rsid w:val="000B38CB"/>
    <w:rsid w:val="000B5D30"/>
    <w:rsid w:val="000C08FE"/>
    <w:rsid w:val="000C4534"/>
    <w:rsid w:val="000C5018"/>
    <w:rsid w:val="000C5365"/>
    <w:rsid w:val="000C5A0B"/>
    <w:rsid w:val="000D2595"/>
    <w:rsid w:val="000D2ED4"/>
    <w:rsid w:val="000D5355"/>
    <w:rsid w:val="000D5596"/>
    <w:rsid w:val="000D5AC0"/>
    <w:rsid w:val="000D5B4C"/>
    <w:rsid w:val="000D5FDF"/>
    <w:rsid w:val="000D6165"/>
    <w:rsid w:val="000D62B3"/>
    <w:rsid w:val="000E1D36"/>
    <w:rsid w:val="000E1F9A"/>
    <w:rsid w:val="000E2AB8"/>
    <w:rsid w:val="000E3C2D"/>
    <w:rsid w:val="000E3DB2"/>
    <w:rsid w:val="000E469F"/>
    <w:rsid w:val="000E52DD"/>
    <w:rsid w:val="000E5865"/>
    <w:rsid w:val="000E6DD1"/>
    <w:rsid w:val="000E6E40"/>
    <w:rsid w:val="000E7FF1"/>
    <w:rsid w:val="000F0D1C"/>
    <w:rsid w:val="000F1240"/>
    <w:rsid w:val="000F12BE"/>
    <w:rsid w:val="000F2C65"/>
    <w:rsid w:val="000F6342"/>
    <w:rsid w:val="000F66D4"/>
    <w:rsid w:val="000F7151"/>
    <w:rsid w:val="000F7D2B"/>
    <w:rsid w:val="00101C54"/>
    <w:rsid w:val="00105D36"/>
    <w:rsid w:val="0010631E"/>
    <w:rsid w:val="00106372"/>
    <w:rsid w:val="001065E6"/>
    <w:rsid w:val="00106BC7"/>
    <w:rsid w:val="00106CF8"/>
    <w:rsid w:val="00111A4F"/>
    <w:rsid w:val="0011320A"/>
    <w:rsid w:val="001132D2"/>
    <w:rsid w:val="00113EF2"/>
    <w:rsid w:val="00114757"/>
    <w:rsid w:val="00115484"/>
    <w:rsid w:val="00116295"/>
    <w:rsid w:val="0011679B"/>
    <w:rsid w:val="001169D2"/>
    <w:rsid w:val="00116A81"/>
    <w:rsid w:val="00116C59"/>
    <w:rsid w:val="00116DEB"/>
    <w:rsid w:val="001172D5"/>
    <w:rsid w:val="00120B84"/>
    <w:rsid w:val="00121404"/>
    <w:rsid w:val="00122B25"/>
    <w:rsid w:val="00124BDC"/>
    <w:rsid w:val="001256D0"/>
    <w:rsid w:val="001272C0"/>
    <w:rsid w:val="001274C2"/>
    <w:rsid w:val="00127BEA"/>
    <w:rsid w:val="00127E1F"/>
    <w:rsid w:val="0013179A"/>
    <w:rsid w:val="00133B25"/>
    <w:rsid w:val="00134C88"/>
    <w:rsid w:val="00135F9E"/>
    <w:rsid w:val="00136061"/>
    <w:rsid w:val="00137AE7"/>
    <w:rsid w:val="00137F7A"/>
    <w:rsid w:val="00140F12"/>
    <w:rsid w:val="00142F95"/>
    <w:rsid w:val="00143EF9"/>
    <w:rsid w:val="00146711"/>
    <w:rsid w:val="00146CCF"/>
    <w:rsid w:val="00150A0A"/>
    <w:rsid w:val="00150EE9"/>
    <w:rsid w:val="001540A4"/>
    <w:rsid w:val="001543C3"/>
    <w:rsid w:val="00154916"/>
    <w:rsid w:val="00156B28"/>
    <w:rsid w:val="00157F4E"/>
    <w:rsid w:val="00161997"/>
    <w:rsid w:val="00161B2A"/>
    <w:rsid w:val="00166DFF"/>
    <w:rsid w:val="00166F08"/>
    <w:rsid w:val="00167820"/>
    <w:rsid w:val="00170052"/>
    <w:rsid w:val="00170AA9"/>
    <w:rsid w:val="00171619"/>
    <w:rsid w:val="00172444"/>
    <w:rsid w:val="00172BA2"/>
    <w:rsid w:val="00173B74"/>
    <w:rsid w:val="0017484A"/>
    <w:rsid w:val="00174A2D"/>
    <w:rsid w:val="00177704"/>
    <w:rsid w:val="00177964"/>
    <w:rsid w:val="00180500"/>
    <w:rsid w:val="00180B90"/>
    <w:rsid w:val="0018138F"/>
    <w:rsid w:val="001819A9"/>
    <w:rsid w:val="0018351C"/>
    <w:rsid w:val="00185047"/>
    <w:rsid w:val="001867B8"/>
    <w:rsid w:val="00190B62"/>
    <w:rsid w:val="00190F23"/>
    <w:rsid w:val="00191166"/>
    <w:rsid w:val="00191A1C"/>
    <w:rsid w:val="00191DEB"/>
    <w:rsid w:val="00192482"/>
    <w:rsid w:val="00193422"/>
    <w:rsid w:val="001934EB"/>
    <w:rsid w:val="0019442E"/>
    <w:rsid w:val="00194AFC"/>
    <w:rsid w:val="00195297"/>
    <w:rsid w:val="00196400"/>
    <w:rsid w:val="00196B9E"/>
    <w:rsid w:val="001A05AE"/>
    <w:rsid w:val="001A0A7E"/>
    <w:rsid w:val="001A2B5D"/>
    <w:rsid w:val="001A4939"/>
    <w:rsid w:val="001A662D"/>
    <w:rsid w:val="001A7264"/>
    <w:rsid w:val="001B0190"/>
    <w:rsid w:val="001B13A2"/>
    <w:rsid w:val="001B1A73"/>
    <w:rsid w:val="001B3B9F"/>
    <w:rsid w:val="001B47C9"/>
    <w:rsid w:val="001B488D"/>
    <w:rsid w:val="001B4CAC"/>
    <w:rsid w:val="001B5452"/>
    <w:rsid w:val="001B5A23"/>
    <w:rsid w:val="001B666A"/>
    <w:rsid w:val="001B7396"/>
    <w:rsid w:val="001C0616"/>
    <w:rsid w:val="001C1881"/>
    <w:rsid w:val="001C1C37"/>
    <w:rsid w:val="001C226C"/>
    <w:rsid w:val="001C3D6D"/>
    <w:rsid w:val="001C535C"/>
    <w:rsid w:val="001C692B"/>
    <w:rsid w:val="001C7809"/>
    <w:rsid w:val="001C7A3B"/>
    <w:rsid w:val="001D20B9"/>
    <w:rsid w:val="001D28CC"/>
    <w:rsid w:val="001D41EF"/>
    <w:rsid w:val="001D4956"/>
    <w:rsid w:val="001D4B61"/>
    <w:rsid w:val="001D5C6E"/>
    <w:rsid w:val="001D6428"/>
    <w:rsid w:val="001E0E42"/>
    <w:rsid w:val="001E1D7E"/>
    <w:rsid w:val="001E2B47"/>
    <w:rsid w:val="001E4AA4"/>
    <w:rsid w:val="001E5259"/>
    <w:rsid w:val="001E66B2"/>
    <w:rsid w:val="001F1490"/>
    <w:rsid w:val="001F3251"/>
    <w:rsid w:val="001F5655"/>
    <w:rsid w:val="001F6827"/>
    <w:rsid w:val="001F6A7E"/>
    <w:rsid w:val="001F7854"/>
    <w:rsid w:val="002000E4"/>
    <w:rsid w:val="002001AC"/>
    <w:rsid w:val="00201E23"/>
    <w:rsid w:val="00203701"/>
    <w:rsid w:val="00204A4E"/>
    <w:rsid w:val="00206BFB"/>
    <w:rsid w:val="00206E18"/>
    <w:rsid w:val="002103D2"/>
    <w:rsid w:val="002109FA"/>
    <w:rsid w:val="00211C4A"/>
    <w:rsid w:val="002121E4"/>
    <w:rsid w:val="00213B35"/>
    <w:rsid w:val="00213D51"/>
    <w:rsid w:val="00214842"/>
    <w:rsid w:val="00214BD1"/>
    <w:rsid w:val="00214D22"/>
    <w:rsid w:val="00214F52"/>
    <w:rsid w:val="0021554B"/>
    <w:rsid w:val="00215C05"/>
    <w:rsid w:val="002170ED"/>
    <w:rsid w:val="002177A5"/>
    <w:rsid w:val="00221E45"/>
    <w:rsid w:val="002228BE"/>
    <w:rsid w:val="00223458"/>
    <w:rsid w:val="00223F3C"/>
    <w:rsid w:val="00224606"/>
    <w:rsid w:val="00225736"/>
    <w:rsid w:val="00226AB2"/>
    <w:rsid w:val="00226D10"/>
    <w:rsid w:val="00227118"/>
    <w:rsid w:val="00227A48"/>
    <w:rsid w:val="00230113"/>
    <w:rsid w:val="002309CB"/>
    <w:rsid w:val="00230DA6"/>
    <w:rsid w:val="00232F16"/>
    <w:rsid w:val="0023501A"/>
    <w:rsid w:val="00235C66"/>
    <w:rsid w:val="00236D3D"/>
    <w:rsid w:val="00236E4D"/>
    <w:rsid w:val="0024146D"/>
    <w:rsid w:val="002415D7"/>
    <w:rsid w:val="0024280D"/>
    <w:rsid w:val="0024304C"/>
    <w:rsid w:val="00243EEC"/>
    <w:rsid w:val="0024449C"/>
    <w:rsid w:val="00250178"/>
    <w:rsid w:val="0025076B"/>
    <w:rsid w:val="00250D6C"/>
    <w:rsid w:val="00251F11"/>
    <w:rsid w:val="00252304"/>
    <w:rsid w:val="00252FC0"/>
    <w:rsid w:val="00253882"/>
    <w:rsid w:val="00254BCF"/>
    <w:rsid w:val="00256538"/>
    <w:rsid w:val="002567EE"/>
    <w:rsid w:val="0025701C"/>
    <w:rsid w:val="002575CF"/>
    <w:rsid w:val="0026092F"/>
    <w:rsid w:val="0026217A"/>
    <w:rsid w:val="002623E4"/>
    <w:rsid w:val="0026625E"/>
    <w:rsid w:val="002667E1"/>
    <w:rsid w:val="00267A14"/>
    <w:rsid w:val="00270414"/>
    <w:rsid w:val="00271BD8"/>
    <w:rsid w:val="0027231C"/>
    <w:rsid w:val="002729C3"/>
    <w:rsid w:val="00272D5C"/>
    <w:rsid w:val="0027387B"/>
    <w:rsid w:val="00273BA6"/>
    <w:rsid w:val="00274BFF"/>
    <w:rsid w:val="00275436"/>
    <w:rsid w:val="002754D9"/>
    <w:rsid w:val="00280D5F"/>
    <w:rsid w:val="00282AED"/>
    <w:rsid w:val="00283DD2"/>
    <w:rsid w:val="00285598"/>
    <w:rsid w:val="00285762"/>
    <w:rsid w:val="00285BAB"/>
    <w:rsid w:val="00285BE3"/>
    <w:rsid w:val="0028678D"/>
    <w:rsid w:val="00290056"/>
    <w:rsid w:val="00291E48"/>
    <w:rsid w:val="0029302A"/>
    <w:rsid w:val="002947F0"/>
    <w:rsid w:val="00294B8F"/>
    <w:rsid w:val="002952D6"/>
    <w:rsid w:val="002953A1"/>
    <w:rsid w:val="002954C5"/>
    <w:rsid w:val="00295EF5"/>
    <w:rsid w:val="00295FF9"/>
    <w:rsid w:val="002A033B"/>
    <w:rsid w:val="002A13DB"/>
    <w:rsid w:val="002A153B"/>
    <w:rsid w:val="002A2187"/>
    <w:rsid w:val="002A227E"/>
    <w:rsid w:val="002A2956"/>
    <w:rsid w:val="002A2B41"/>
    <w:rsid w:val="002A31EE"/>
    <w:rsid w:val="002A446D"/>
    <w:rsid w:val="002A5269"/>
    <w:rsid w:val="002A5F33"/>
    <w:rsid w:val="002A6E65"/>
    <w:rsid w:val="002A7786"/>
    <w:rsid w:val="002A7D40"/>
    <w:rsid w:val="002B0197"/>
    <w:rsid w:val="002B0F1E"/>
    <w:rsid w:val="002B4663"/>
    <w:rsid w:val="002B5A6A"/>
    <w:rsid w:val="002B6D38"/>
    <w:rsid w:val="002B71C5"/>
    <w:rsid w:val="002B758D"/>
    <w:rsid w:val="002B7618"/>
    <w:rsid w:val="002C235D"/>
    <w:rsid w:val="002C2D16"/>
    <w:rsid w:val="002C2D6E"/>
    <w:rsid w:val="002C434B"/>
    <w:rsid w:val="002C6985"/>
    <w:rsid w:val="002D0081"/>
    <w:rsid w:val="002D0FB4"/>
    <w:rsid w:val="002D1902"/>
    <w:rsid w:val="002D1D90"/>
    <w:rsid w:val="002D1F5D"/>
    <w:rsid w:val="002D2720"/>
    <w:rsid w:val="002D284F"/>
    <w:rsid w:val="002D296E"/>
    <w:rsid w:val="002D2A9C"/>
    <w:rsid w:val="002D3664"/>
    <w:rsid w:val="002D367A"/>
    <w:rsid w:val="002D3FA8"/>
    <w:rsid w:val="002D5E2D"/>
    <w:rsid w:val="002D617D"/>
    <w:rsid w:val="002D77D4"/>
    <w:rsid w:val="002D7C01"/>
    <w:rsid w:val="002E139D"/>
    <w:rsid w:val="002E2037"/>
    <w:rsid w:val="002E27CC"/>
    <w:rsid w:val="002E2A8B"/>
    <w:rsid w:val="002E4384"/>
    <w:rsid w:val="002E47EA"/>
    <w:rsid w:val="002E4E97"/>
    <w:rsid w:val="002E5B34"/>
    <w:rsid w:val="002E62BC"/>
    <w:rsid w:val="002E62EE"/>
    <w:rsid w:val="002F0366"/>
    <w:rsid w:val="002F12D9"/>
    <w:rsid w:val="002F32CB"/>
    <w:rsid w:val="002F3452"/>
    <w:rsid w:val="002F35D6"/>
    <w:rsid w:val="002F3A64"/>
    <w:rsid w:val="002F4729"/>
    <w:rsid w:val="002F4DEC"/>
    <w:rsid w:val="002F588B"/>
    <w:rsid w:val="002F756C"/>
    <w:rsid w:val="00301BCF"/>
    <w:rsid w:val="0030375C"/>
    <w:rsid w:val="003056E7"/>
    <w:rsid w:val="00305CF9"/>
    <w:rsid w:val="00307096"/>
    <w:rsid w:val="003105FF"/>
    <w:rsid w:val="00312A86"/>
    <w:rsid w:val="00312F2F"/>
    <w:rsid w:val="003165D4"/>
    <w:rsid w:val="00316B72"/>
    <w:rsid w:val="00317DA7"/>
    <w:rsid w:val="00320A43"/>
    <w:rsid w:val="00321E95"/>
    <w:rsid w:val="00322013"/>
    <w:rsid w:val="00322ABD"/>
    <w:rsid w:val="00324460"/>
    <w:rsid w:val="00325141"/>
    <w:rsid w:val="003252A6"/>
    <w:rsid w:val="003272F1"/>
    <w:rsid w:val="00330063"/>
    <w:rsid w:val="00330EFF"/>
    <w:rsid w:val="00332733"/>
    <w:rsid w:val="00332E7E"/>
    <w:rsid w:val="0033300D"/>
    <w:rsid w:val="00334754"/>
    <w:rsid w:val="00334D9A"/>
    <w:rsid w:val="00335707"/>
    <w:rsid w:val="00335D79"/>
    <w:rsid w:val="003370C3"/>
    <w:rsid w:val="003400E2"/>
    <w:rsid w:val="0034070B"/>
    <w:rsid w:val="003409E2"/>
    <w:rsid w:val="0034127B"/>
    <w:rsid w:val="00341B1C"/>
    <w:rsid w:val="003424E6"/>
    <w:rsid w:val="003505C3"/>
    <w:rsid w:val="003509D4"/>
    <w:rsid w:val="00351381"/>
    <w:rsid w:val="00352C82"/>
    <w:rsid w:val="003535D6"/>
    <w:rsid w:val="0035376C"/>
    <w:rsid w:val="003552F8"/>
    <w:rsid w:val="00355371"/>
    <w:rsid w:val="00355A8B"/>
    <w:rsid w:val="00355D2B"/>
    <w:rsid w:val="00356C9C"/>
    <w:rsid w:val="0036172B"/>
    <w:rsid w:val="00361D73"/>
    <w:rsid w:val="0036221B"/>
    <w:rsid w:val="00362B2E"/>
    <w:rsid w:val="00363275"/>
    <w:rsid w:val="00363506"/>
    <w:rsid w:val="003636C7"/>
    <w:rsid w:val="00363B86"/>
    <w:rsid w:val="00364FDC"/>
    <w:rsid w:val="0036639A"/>
    <w:rsid w:val="00366684"/>
    <w:rsid w:val="00367B32"/>
    <w:rsid w:val="00367CE4"/>
    <w:rsid w:val="00370C27"/>
    <w:rsid w:val="0037237D"/>
    <w:rsid w:val="003724B3"/>
    <w:rsid w:val="00373D5B"/>
    <w:rsid w:val="00373F5A"/>
    <w:rsid w:val="00375220"/>
    <w:rsid w:val="00375B54"/>
    <w:rsid w:val="00375DD1"/>
    <w:rsid w:val="00376E76"/>
    <w:rsid w:val="003812DA"/>
    <w:rsid w:val="0038200A"/>
    <w:rsid w:val="00385147"/>
    <w:rsid w:val="003856CE"/>
    <w:rsid w:val="003861C7"/>
    <w:rsid w:val="00387B51"/>
    <w:rsid w:val="0039393E"/>
    <w:rsid w:val="0039778A"/>
    <w:rsid w:val="003A0B20"/>
    <w:rsid w:val="003A0CF1"/>
    <w:rsid w:val="003A2748"/>
    <w:rsid w:val="003A2F64"/>
    <w:rsid w:val="003A4C79"/>
    <w:rsid w:val="003A608D"/>
    <w:rsid w:val="003A6A05"/>
    <w:rsid w:val="003A6A24"/>
    <w:rsid w:val="003A6DD5"/>
    <w:rsid w:val="003A747F"/>
    <w:rsid w:val="003B0A2C"/>
    <w:rsid w:val="003B0AEB"/>
    <w:rsid w:val="003B167F"/>
    <w:rsid w:val="003B2C93"/>
    <w:rsid w:val="003B32F8"/>
    <w:rsid w:val="003B4336"/>
    <w:rsid w:val="003B515C"/>
    <w:rsid w:val="003B73BA"/>
    <w:rsid w:val="003B778D"/>
    <w:rsid w:val="003C0EC1"/>
    <w:rsid w:val="003C1C2C"/>
    <w:rsid w:val="003C31A2"/>
    <w:rsid w:val="003C51C3"/>
    <w:rsid w:val="003C796E"/>
    <w:rsid w:val="003C7D4D"/>
    <w:rsid w:val="003D45B0"/>
    <w:rsid w:val="003D4B1B"/>
    <w:rsid w:val="003D4D38"/>
    <w:rsid w:val="003D4F6B"/>
    <w:rsid w:val="003D5745"/>
    <w:rsid w:val="003D5F66"/>
    <w:rsid w:val="003D6DA4"/>
    <w:rsid w:val="003D7C80"/>
    <w:rsid w:val="003E144C"/>
    <w:rsid w:val="003E1B01"/>
    <w:rsid w:val="003E3945"/>
    <w:rsid w:val="003E419B"/>
    <w:rsid w:val="003E7041"/>
    <w:rsid w:val="003E74EC"/>
    <w:rsid w:val="003E77B4"/>
    <w:rsid w:val="003E786B"/>
    <w:rsid w:val="003F1C29"/>
    <w:rsid w:val="003F2298"/>
    <w:rsid w:val="003F2CC1"/>
    <w:rsid w:val="003F37F7"/>
    <w:rsid w:val="003F5333"/>
    <w:rsid w:val="003F5793"/>
    <w:rsid w:val="003F5F79"/>
    <w:rsid w:val="00400F6C"/>
    <w:rsid w:val="004013AF"/>
    <w:rsid w:val="004020DE"/>
    <w:rsid w:val="00402115"/>
    <w:rsid w:val="0040233E"/>
    <w:rsid w:val="00402514"/>
    <w:rsid w:val="00403FB7"/>
    <w:rsid w:val="004047B8"/>
    <w:rsid w:val="00406378"/>
    <w:rsid w:val="00406D04"/>
    <w:rsid w:val="0040702F"/>
    <w:rsid w:val="00410A3C"/>
    <w:rsid w:val="00410ABE"/>
    <w:rsid w:val="00412310"/>
    <w:rsid w:val="004138FE"/>
    <w:rsid w:val="00413A6B"/>
    <w:rsid w:val="00416BFA"/>
    <w:rsid w:val="00417C43"/>
    <w:rsid w:val="00420C50"/>
    <w:rsid w:val="00422BBB"/>
    <w:rsid w:val="0042341E"/>
    <w:rsid w:val="00423BA6"/>
    <w:rsid w:val="0042557C"/>
    <w:rsid w:val="0042708F"/>
    <w:rsid w:val="00427E59"/>
    <w:rsid w:val="00430796"/>
    <w:rsid w:val="0043094E"/>
    <w:rsid w:val="00430D5C"/>
    <w:rsid w:val="004325A3"/>
    <w:rsid w:val="00432622"/>
    <w:rsid w:val="004329E7"/>
    <w:rsid w:val="00433623"/>
    <w:rsid w:val="00434ED2"/>
    <w:rsid w:val="0043696A"/>
    <w:rsid w:val="004411B1"/>
    <w:rsid w:val="004419AA"/>
    <w:rsid w:val="004434C7"/>
    <w:rsid w:val="0044354F"/>
    <w:rsid w:val="00443F1B"/>
    <w:rsid w:val="004446BF"/>
    <w:rsid w:val="0044539D"/>
    <w:rsid w:val="00446A76"/>
    <w:rsid w:val="0044772D"/>
    <w:rsid w:val="0045010F"/>
    <w:rsid w:val="00450B20"/>
    <w:rsid w:val="00450D9A"/>
    <w:rsid w:val="00451EC4"/>
    <w:rsid w:val="00452009"/>
    <w:rsid w:val="00452177"/>
    <w:rsid w:val="0045437E"/>
    <w:rsid w:val="004547B2"/>
    <w:rsid w:val="004548F5"/>
    <w:rsid w:val="00454958"/>
    <w:rsid w:val="00455803"/>
    <w:rsid w:val="004558D3"/>
    <w:rsid w:val="00456188"/>
    <w:rsid w:val="00456489"/>
    <w:rsid w:val="00457072"/>
    <w:rsid w:val="0045750D"/>
    <w:rsid w:val="00457901"/>
    <w:rsid w:val="00460E14"/>
    <w:rsid w:val="00460E88"/>
    <w:rsid w:val="00461843"/>
    <w:rsid w:val="00461FB4"/>
    <w:rsid w:val="00463BBA"/>
    <w:rsid w:val="00466117"/>
    <w:rsid w:val="00466E8C"/>
    <w:rsid w:val="004700B2"/>
    <w:rsid w:val="004715D3"/>
    <w:rsid w:val="00471741"/>
    <w:rsid w:val="004727ED"/>
    <w:rsid w:val="00473C2C"/>
    <w:rsid w:val="00474B73"/>
    <w:rsid w:val="00475AD1"/>
    <w:rsid w:val="00476546"/>
    <w:rsid w:val="00476D23"/>
    <w:rsid w:val="00477BA5"/>
    <w:rsid w:val="0048006F"/>
    <w:rsid w:val="004805CD"/>
    <w:rsid w:val="004806BF"/>
    <w:rsid w:val="0048089E"/>
    <w:rsid w:val="00481F7F"/>
    <w:rsid w:val="004824F3"/>
    <w:rsid w:val="00483BB8"/>
    <w:rsid w:val="004847FC"/>
    <w:rsid w:val="004858FD"/>
    <w:rsid w:val="00487307"/>
    <w:rsid w:val="0049037A"/>
    <w:rsid w:val="00490D11"/>
    <w:rsid w:val="00491585"/>
    <w:rsid w:val="00491AC7"/>
    <w:rsid w:val="00491EEC"/>
    <w:rsid w:val="0049443D"/>
    <w:rsid w:val="004945BC"/>
    <w:rsid w:val="00495C12"/>
    <w:rsid w:val="00496001"/>
    <w:rsid w:val="0049609B"/>
    <w:rsid w:val="004975C6"/>
    <w:rsid w:val="00497CA5"/>
    <w:rsid w:val="00497D7D"/>
    <w:rsid w:val="004A1C9B"/>
    <w:rsid w:val="004A2EEB"/>
    <w:rsid w:val="004A3A49"/>
    <w:rsid w:val="004A4024"/>
    <w:rsid w:val="004A48F1"/>
    <w:rsid w:val="004A4AA4"/>
    <w:rsid w:val="004A6CF0"/>
    <w:rsid w:val="004A7127"/>
    <w:rsid w:val="004A777A"/>
    <w:rsid w:val="004B04FD"/>
    <w:rsid w:val="004B0908"/>
    <w:rsid w:val="004B0EDB"/>
    <w:rsid w:val="004B18C5"/>
    <w:rsid w:val="004B1B86"/>
    <w:rsid w:val="004B1DA1"/>
    <w:rsid w:val="004B4398"/>
    <w:rsid w:val="004B49CB"/>
    <w:rsid w:val="004B761C"/>
    <w:rsid w:val="004C0CF2"/>
    <w:rsid w:val="004C211D"/>
    <w:rsid w:val="004C39E0"/>
    <w:rsid w:val="004C466F"/>
    <w:rsid w:val="004C5252"/>
    <w:rsid w:val="004C5DB1"/>
    <w:rsid w:val="004D01A0"/>
    <w:rsid w:val="004D0293"/>
    <w:rsid w:val="004D05E0"/>
    <w:rsid w:val="004D13CA"/>
    <w:rsid w:val="004D21A0"/>
    <w:rsid w:val="004D4A63"/>
    <w:rsid w:val="004D4EA4"/>
    <w:rsid w:val="004D5060"/>
    <w:rsid w:val="004D70C2"/>
    <w:rsid w:val="004D7AF8"/>
    <w:rsid w:val="004E1E9E"/>
    <w:rsid w:val="004E2926"/>
    <w:rsid w:val="004E421A"/>
    <w:rsid w:val="004E4293"/>
    <w:rsid w:val="004E53F8"/>
    <w:rsid w:val="004E559A"/>
    <w:rsid w:val="004E5A3D"/>
    <w:rsid w:val="004E679C"/>
    <w:rsid w:val="004E67B5"/>
    <w:rsid w:val="004E6E0E"/>
    <w:rsid w:val="004E7776"/>
    <w:rsid w:val="004F0646"/>
    <w:rsid w:val="004F0A16"/>
    <w:rsid w:val="004F184F"/>
    <w:rsid w:val="004F2B78"/>
    <w:rsid w:val="004F55B6"/>
    <w:rsid w:val="004F5EA5"/>
    <w:rsid w:val="004F656F"/>
    <w:rsid w:val="004F7075"/>
    <w:rsid w:val="005011DA"/>
    <w:rsid w:val="0050286C"/>
    <w:rsid w:val="005029AC"/>
    <w:rsid w:val="00502AA2"/>
    <w:rsid w:val="00504523"/>
    <w:rsid w:val="005060E1"/>
    <w:rsid w:val="00506831"/>
    <w:rsid w:val="0051150C"/>
    <w:rsid w:val="00511AB2"/>
    <w:rsid w:val="00511D6B"/>
    <w:rsid w:val="005134BE"/>
    <w:rsid w:val="00514235"/>
    <w:rsid w:val="00514297"/>
    <w:rsid w:val="00514B4A"/>
    <w:rsid w:val="005155ED"/>
    <w:rsid w:val="005167F4"/>
    <w:rsid w:val="005175FA"/>
    <w:rsid w:val="0052202B"/>
    <w:rsid w:val="005237B6"/>
    <w:rsid w:val="005246BA"/>
    <w:rsid w:val="00524AE1"/>
    <w:rsid w:val="00525922"/>
    <w:rsid w:val="00526F1D"/>
    <w:rsid w:val="00527012"/>
    <w:rsid w:val="00527ADE"/>
    <w:rsid w:val="005339D0"/>
    <w:rsid w:val="0053423B"/>
    <w:rsid w:val="0053663B"/>
    <w:rsid w:val="00536D3B"/>
    <w:rsid w:val="005377AE"/>
    <w:rsid w:val="00540403"/>
    <w:rsid w:val="00542CB6"/>
    <w:rsid w:val="00543C61"/>
    <w:rsid w:val="00545FB8"/>
    <w:rsid w:val="005467A2"/>
    <w:rsid w:val="00546CC1"/>
    <w:rsid w:val="0055276C"/>
    <w:rsid w:val="005529D9"/>
    <w:rsid w:val="00552D55"/>
    <w:rsid w:val="005538E6"/>
    <w:rsid w:val="005548DB"/>
    <w:rsid w:val="00555637"/>
    <w:rsid w:val="00557DA1"/>
    <w:rsid w:val="005604CD"/>
    <w:rsid w:val="005613DD"/>
    <w:rsid w:val="005618F4"/>
    <w:rsid w:val="005636CF"/>
    <w:rsid w:val="005642E9"/>
    <w:rsid w:val="00564F46"/>
    <w:rsid w:val="0056584A"/>
    <w:rsid w:val="0056595C"/>
    <w:rsid w:val="00565B7E"/>
    <w:rsid w:val="00567280"/>
    <w:rsid w:val="00567538"/>
    <w:rsid w:val="0057018A"/>
    <w:rsid w:val="005703BA"/>
    <w:rsid w:val="0057092E"/>
    <w:rsid w:val="00571126"/>
    <w:rsid w:val="005718DC"/>
    <w:rsid w:val="00571DB6"/>
    <w:rsid w:val="005727B5"/>
    <w:rsid w:val="0057322A"/>
    <w:rsid w:val="0057394E"/>
    <w:rsid w:val="00574BD8"/>
    <w:rsid w:val="0057654C"/>
    <w:rsid w:val="00577472"/>
    <w:rsid w:val="00577F2A"/>
    <w:rsid w:val="00577FF7"/>
    <w:rsid w:val="0058045E"/>
    <w:rsid w:val="00581544"/>
    <w:rsid w:val="00583392"/>
    <w:rsid w:val="0058365F"/>
    <w:rsid w:val="00584687"/>
    <w:rsid w:val="00586B18"/>
    <w:rsid w:val="00587166"/>
    <w:rsid w:val="00587A22"/>
    <w:rsid w:val="005903D0"/>
    <w:rsid w:val="00591770"/>
    <w:rsid w:val="00591B2C"/>
    <w:rsid w:val="00592F09"/>
    <w:rsid w:val="00593237"/>
    <w:rsid w:val="00593DE7"/>
    <w:rsid w:val="0059531F"/>
    <w:rsid w:val="005953FE"/>
    <w:rsid w:val="0059610F"/>
    <w:rsid w:val="00596D61"/>
    <w:rsid w:val="005A0F8D"/>
    <w:rsid w:val="005A1CE6"/>
    <w:rsid w:val="005A1E1C"/>
    <w:rsid w:val="005A28D8"/>
    <w:rsid w:val="005A32C6"/>
    <w:rsid w:val="005A3E28"/>
    <w:rsid w:val="005A449B"/>
    <w:rsid w:val="005A474A"/>
    <w:rsid w:val="005A54CF"/>
    <w:rsid w:val="005A6310"/>
    <w:rsid w:val="005A7F70"/>
    <w:rsid w:val="005B2876"/>
    <w:rsid w:val="005B4444"/>
    <w:rsid w:val="005B45D8"/>
    <w:rsid w:val="005B4669"/>
    <w:rsid w:val="005B50CB"/>
    <w:rsid w:val="005C0A95"/>
    <w:rsid w:val="005C28A2"/>
    <w:rsid w:val="005C356C"/>
    <w:rsid w:val="005C530E"/>
    <w:rsid w:val="005C769F"/>
    <w:rsid w:val="005D028A"/>
    <w:rsid w:val="005D09B1"/>
    <w:rsid w:val="005D1906"/>
    <w:rsid w:val="005D1F3D"/>
    <w:rsid w:val="005D2375"/>
    <w:rsid w:val="005D2B52"/>
    <w:rsid w:val="005D3BEB"/>
    <w:rsid w:val="005D5227"/>
    <w:rsid w:val="005D54A3"/>
    <w:rsid w:val="005D70A3"/>
    <w:rsid w:val="005D78B9"/>
    <w:rsid w:val="005E053A"/>
    <w:rsid w:val="005E1A36"/>
    <w:rsid w:val="005E2409"/>
    <w:rsid w:val="005E337D"/>
    <w:rsid w:val="005E38E3"/>
    <w:rsid w:val="005E5C33"/>
    <w:rsid w:val="005E5CC0"/>
    <w:rsid w:val="005E61AC"/>
    <w:rsid w:val="005F1496"/>
    <w:rsid w:val="005F15AE"/>
    <w:rsid w:val="005F1E92"/>
    <w:rsid w:val="005F2322"/>
    <w:rsid w:val="005F4031"/>
    <w:rsid w:val="005F4745"/>
    <w:rsid w:val="005F6AAA"/>
    <w:rsid w:val="006003E4"/>
    <w:rsid w:val="00602E7C"/>
    <w:rsid w:val="00603317"/>
    <w:rsid w:val="0060534B"/>
    <w:rsid w:val="00605B5F"/>
    <w:rsid w:val="00605FA8"/>
    <w:rsid w:val="00607492"/>
    <w:rsid w:val="00610ECD"/>
    <w:rsid w:val="006110F4"/>
    <w:rsid w:val="00615A88"/>
    <w:rsid w:val="00615DA3"/>
    <w:rsid w:val="00616285"/>
    <w:rsid w:val="00616D3F"/>
    <w:rsid w:val="00617CBA"/>
    <w:rsid w:val="00617F12"/>
    <w:rsid w:val="006209C8"/>
    <w:rsid w:val="00620A75"/>
    <w:rsid w:val="00623CEC"/>
    <w:rsid w:val="00625548"/>
    <w:rsid w:val="00627173"/>
    <w:rsid w:val="00627C6D"/>
    <w:rsid w:val="00627D1C"/>
    <w:rsid w:val="00627E98"/>
    <w:rsid w:val="00633660"/>
    <w:rsid w:val="00633FE0"/>
    <w:rsid w:val="0063574A"/>
    <w:rsid w:val="00635F8C"/>
    <w:rsid w:val="00636985"/>
    <w:rsid w:val="0063716A"/>
    <w:rsid w:val="006375C5"/>
    <w:rsid w:val="00637AD8"/>
    <w:rsid w:val="00642B64"/>
    <w:rsid w:val="00643CAD"/>
    <w:rsid w:val="00645BBC"/>
    <w:rsid w:val="00646C90"/>
    <w:rsid w:val="0064762B"/>
    <w:rsid w:val="0065266C"/>
    <w:rsid w:val="00652B49"/>
    <w:rsid w:val="00652B4B"/>
    <w:rsid w:val="00652E3C"/>
    <w:rsid w:val="00653B01"/>
    <w:rsid w:val="00654938"/>
    <w:rsid w:val="006554DD"/>
    <w:rsid w:val="00655A8C"/>
    <w:rsid w:val="00655B6D"/>
    <w:rsid w:val="00655BCB"/>
    <w:rsid w:val="00656328"/>
    <w:rsid w:val="00656A00"/>
    <w:rsid w:val="00661842"/>
    <w:rsid w:val="0066368A"/>
    <w:rsid w:val="0066510C"/>
    <w:rsid w:val="00667513"/>
    <w:rsid w:val="00667A88"/>
    <w:rsid w:val="006700DB"/>
    <w:rsid w:val="006730C8"/>
    <w:rsid w:val="00673C39"/>
    <w:rsid w:val="00676A6C"/>
    <w:rsid w:val="0067742A"/>
    <w:rsid w:val="006775E7"/>
    <w:rsid w:val="006801D6"/>
    <w:rsid w:val="0068020B"/>
    <w:rsid w:val="0068035F"/>
    <w:rsid w:val="006815CB"/>
    <w:rsid w:val="00682142"/>
    <w:rsid w:val="0068381F"/>
    <w:rsid w:val="0068438A"/>
    <w:rsid w:val="006853A2"/>
    <w:rsid w:val="0068792A"/>
    <w:rsid w:val="00687984"/>
    <w:rsid w:val="00690C2B"/>
    <w:rsid w:val="00693434"/>
    <w:rsid w:val="00694A08"/>
    <w:rsid w:val="00695494"/>
    <w:rsid w:val="006955E6"/>
    <w:rsid w:val="006976B6"/>
    <w:rsid w:val="006A2A29"/>
    <w:rsid w:val="006A3770"/>
    <w:rsid w:val="006A733D"/>
    <w:rsid w:val="006A778E"/>
    <w:rsid w:val="006A799E"/>
    <w:rsid w:val="006A7CBB"/>
    <w:rsid w:val="006B0CFB"/>
    <w:rsid w:val="006B16F5"/>
    <w:rsid w:val="006B1CC9"/>
    <w:rsid w:val="006B1E18"/>
    <w:rsid w:val="006B3422"/>
    <w:rsid w:val="006B4BB2"/>
    <w:rsid w:val="006B525E"/>
    <w:rsid w:val="006B6C42"/>
    <w:rsid w:val="006B6FEE"/>
    <w:rsid w:val="006B7113"/>
    <w:rsid w:val="006C008D"/>
    <w:rsid w:val="006C0B46"/>
    <w:rsid w:val="006C1651"/>
    <w:rsid w:val="006C1D9C"/>
    <w:rsid w:val="006C1EF6"/>
    <w:rsid w:val="006C25A1"/>
    <w:rsid w:val="006C2DDC"/>
    <w:rsid w:val="006C4A9E"/>
    <w:rsid w:val="006C4ED1"/>
    <w:rsid w:val="006D017C"/>
    <w:rsid w:val="006D2BE0"/>
    <w:rsid w:val="006D2D74"/>
    <w:rsid w:val="006D33A0"/>
    <w:rsid w:val="006D3BDB"/>
    <w:rsid w:val="006D44E0"/>
    <w:rsid w:val="006D4A44"/>
    <w:rsid w:val="006D4CC1"/>
    <w:rsid w:val="006D6014"/>
    <w:rsid w:val="006D7591"/>
    <w:rsid w:val="006E006B"/>
    <w:rsid w:val="006E1024"/>
    <w:rsid w:val="006E1530"/>
    <w:rsid w:val="006E1F56"/>
    <w:rsid w:val="006E256C"/>
    <w:rsid w:val="006E45CA"/>
    <w:rsid w:val="006E5D53"/>
    <w:rsid w:val="006E64AD"/>
    <w:rsid w:val="006E7C4C"/>
    <w:rsid w:val="006F1B37"/>
    <w:rsid w:val="006F2C8E"/>
    <w:rsid w:val="006F3812"/>
    <w:rsid w:val="006F7324"/>
    <w:rsid w:val="006F7CFA"/>
    <w:rsid w:val="00700C62"/>
    <w:rsid w:val="00702B86"/>
    <w:rsid w:val="007037A8"/>
    <w:rsid w:val="0070449F"/>
    <w:rsid w:val="00705197"/>
    <w:rsid w:val="007055F5"/>
    <w:rsid w:val="00705C19"/>
    <w:rsid w:val="0070624D"/>
    <w:rsid w:val="00706AA2"/>
    <w:rsid w:val="00706D34"/>
    <w:rsid w:val="00710D4A"/>
    <w:rsid w:val="0071111B"/>
    <w:rsid w:val="007113C6"/>
    <w:rsid w:val="00711F99"/>
    <w:rsid w:val="00712832"/>
    <w:rsid w:val="00712A75"/>
    <w:rsid w:val="00713C88"/>
    <w:rsid w:val="00716219"/>
    <w:rsid w:val="00716F6C"/>
    <w:rsid w:val="00717A0F"/>
    <w:rsid w:val="00717FA1"/>
    <w:rsid w:val="00720ACB"/>
    <w:rsid w:val="00720C98"/>
    <w:rsid w:val="00721D42"/>
    <w:rsid w:val="00723ABC"/>
    <w:rsid w:val="00723C5F"/>
    <w:rsid w:val="00723CC9"/>
    <w:rsid w:val="007265D6"/>
    <w:rsid w:val="00727464"/>
    <w:rsid w:val="00730468"/>
    <w:rsid w:val="00730478"/>
    <w:rsid w:val="00731630"/>
    <w:rsid w:val="007319A9"/>
    <w:rsid w:val="00732AD5"/>
    <w:rsid w:val="00733766"/>
    <w:rsid w:val="007337B3"/>
    <w:rsid w:val="00734732"/>
    <w:rsid w:val="007354AB"/>
    <w:rsid w:val="0073559B"/>
    <w:rsid w:val="0073584C"/>
    <w:rsid w:val="007365EB"/>
    <w:rsid w:val="00736B00"/>
    <w:rsid w:val="00740E2E"/>
    <w:rsid w:val="0074184E"/>
    <w:rsid w:val="00741C14"/>
    <w:rsid w:val="00742321"/>
    <w:rsid w:val="00743A4B"/>
    <w:rsid w:val="00743A77"/>
    <w:rsid w:val="00743BAB"/>
    <w:rsid w:val="00746239"/>
    <w:rsid w:val="00750A0B"/>
    <w:rsid w:val="00750D67"/>
    <w:rsid w:val="007529B3"/>
    <w:rsid w:val="00754D83"/>
    <w:rsid w:val="00755605"/>
    <w:rsid w:val="007565BB"/>
    <w:rsid w:val="007608F6"/>
    <w:rsid w:val="00761A53"/>
    <w:rsid w:val="00761FF7"/>
    <w:rsid w:val="007654FA"/>
    <w:rsid w:val="00765EB1"/>
    <w:rsid w:val="007671B4"/>
    <w:rsid w:val="007671BD"/>
    <w:rsid w:val="00771BB9"/>
    <w:rsid w:val="00772B9F"/>
    <w:rsid w:val="00772C45"/>
    <w:rsid w:val="007754A9"/>
    <w:rsid w:val="007756DD"/>
    <w:rsid w:val="00775E77"/>
    <w:rsid w:val="00781621"/>
    <w:rsid w:val="00781902"/>
    <w:rsid w:val="00781E4F"/>
    <w:rsid w:val="0078237D"/>
    <w:rsid w:val="00783BAF"/>
    <w:rsid w:val="00786201"/>
    <w:rsid w:val="00790B75"/>
    <w:rsid w:val="00791115"/>
    <w:rsid w:val="00792FFC"/>
    <w:rsid w:val="00794702"/>
    <w:rsid w:val="0079584E"/>
    <w:rsid w:val="0079671E"/>
    <w:rsid w:val="007973B7"/>
    <w:rsid w:val="00797CEC"/>
    <w:rsid w:val="007A0F97"/>
    <w:rsid w:val="007A1352"/>
    <w:rsid w:val="007A1AD8"/>
    <w:rsid w:val="007A2632"/>
    <w:rsid w:val="007A30DB"/>
    <w:rsid w:val="007A36FE"/>
    <w:rsid w:val="007A4598"/>
    <w:rsid w:val="007A6064"/>
    <w:rsid w:val="007A60BF"/>
    <w:rsid w:val="007A6AE2"/>
    <w:rsid w:val="007A6CF8"/>
    <w:rsid w:val="007A717D"/>
    <w:rsid w:val="007B1283"/>
    <w:rsid w:val="007B21B4"/>
    <w:rsid w:val="007B2EF7"/>
    <w:rsid w:val="007B42E2"/>
    <w:rsid w:val="007B6B93"/>
    <w:rsid w:val="007B7A2B"/>
    <w:rsid w:val="007C4933"/>
    <w:rsid w:val="007C499B"/>
    <w:rsid w:val="007C7523"/>
    <w:rsid w:val="007C7DA8"/>
    <w:rsid w:val="007D0E86"/>
    <w:rsid w:val="007D1D93"/>
    <w:rsid w:val="007D2925"/>
    <w:rsid w:val="007D303E"/>
    <w:rsid w:val="007D404F"/>
    <w:rsid w:val="007D49E5"/>
    <w:rsid w:val="007D4B05"/>
    <w:rsid w:val="007D5C7D"/>
    <w:rsid w:val="007D6B64"/>
    <w:rsid w:val="007E259E"/>
    <w:rsid w:val="007E2CF6"/>
    <w:rsid w:val="007E346B"/>
    <w:rsid w:val="007E3496"/>
    <w:rsid w:val="007E35F7"/>
    <w:rsid w:val="007E3A04"/>
    <w:rsid w:val="007E3A5C"/>
    <w:rsid w:val="007E6A05"/>
    <w:rsid w:val="007F1173"/>
    <w:rsid w:val="007F1F59"/>
    <w:rsid w:val="007F22A5"/>
    <w:rsid w:val="007F276C"/>
    <w:rsid w:val="007F3CD6"/>
    <w:rsid w:val="007F4054"/>
    <w:rsid w:val="007F4677"/>
    <w:rsid w:val="007F534C"/>
    <w:rsid w:val="007F546D"/>
    <w:rsid w:val="008000AB"/>
    <w:rsid w:val="00800544"/>
    <w:rsid w:val="00801FFA"/>
    <w:rsid w:val="00802DE9"/>
    <w:rsid w:val="00803D2C"/>
    <w:rsid w:val="00804188"/>
    <w:rsid w:val="00805729"/>
    <w:rsid w:val="0080586F"/>
    <w:rsid w:val="00806247"/>
    <w:rsid w:val="0080632C"/>
    <w:rsid w:val="0081034C"/>
    <w:rsid w:val="00810F61"/>
    <w:rsid w:val="008113F0"/>
    <w:rsid w:val="008126B7"/>
    <w:rsid w:val="0081422C"/>
    <w:rsid w:val="00814386"/>
    <w:rsid w:val="00814A72"/>
    <w:rsid w:val="00817192"/>
    <w:rsid w:val="00820182"/>
    <w:rsid w:val="00820BF8"/>
    <w:rsid w:val="00822B4C"/>
    <w:rsid w:val="008236C3"/>
    <w:rsid w:val="00823BF2"/>
    <w:rsid w:val="00824605"/>
    <w:rsid w:val="0082464B"/>
    <w:rsid w:val="00824A51"/>
    <w:rsid w:val="00826050"/>
    <w:rsid w:val="008268E4"/>
    <w:rsid w:val="008276D3"/>
    <w:rsid w:val="00827A2E"/>
    <w:rsid w:val="008304ED"/>
    <w:rsid w:val="00830B3F"/>
    <w:rsid w:val="00832949"/>
    <w:rsid w:val="008332BC"/>
    <w:rsid w:val="008349E4"/>
    <w:rsid w:val="00836C46"/>
    <w:rsid w:val="008415CE"/>
    <w:rsid w:val="008416D9"/>
    <w:rsid w:val="008422DC"/>
    <w:rsid w:val="00844502"/>
    <w:rsid w:val="00845FC8"/>
    <w:rsid w:val="0084632F"/>
    <w:rsid w:val="00850719"/>
    <w:rsid w:val="00851214"/>
    <w:rsid w:val="00851331"/>
    <w:rsid w:val="00852222"/>
    <w:rsid w:val="00852263"/>
    <w:rsid w:val="00854385"/>
    <w:rsid w:val="0085465A"/>
    <w:rsid w:val="0085550C"/>
    <w:rsid w:val="00855914"/>
    <w:rsid w:val="00855C0B"/>
    <w:rsid w:val="00856603"/>
    <w:rsid w:val="008568C6"/>
    <w:rsid w:val="00856F92"/>
    <w:rsid w:val="00857B93"/>
    <w:rsid w:val="0086000E"/>
    <w:rsid w:val="00860D57"/>
    <w:rsid w:val="00861294"/>
    <w:rsid w:val="008615AB"/>
    <w:rsid w:val="00865591"/>
    <w:rsid w:val="00866702"/>
    <w:rsid w:val="0086734A"/>
    <w:rsid w:val="00867800"/>
    <w:rsid w:val="008703E7"/>
    <w:rsid w:val="00875DC1"/>
    <w:rsid w:val="008762CD"/>
    <w:rsid w:val="00876B6F"/>
    <w:rsid w:val="0087759B"/>
    <w:rsid w:val="00880C0A"/>
    <w:rsid w:val="0088168B"/>
    <w:rsid w:val="00883492"/>
    <w:rsid w:val="00883F3A"/>
    <w:rsid w:val="00884443"/>
    <w:rsid w:val="00884B13"/>
    <w:rsid w:val="00885002"/>
    <w:rsid w:val="0088548B"/>
    <w:rsid w:val="00885AFA"/>
    <w:rsid w:val="008869DB"/>
    <w:rsid w:val="00887F1C"/>
    <w:rsid w:val="0089183A"/>
    <w:rsid w:val="00891ED4"/>
    <w:rsid w:val="0089408F"/>
    <w:rsid w:val="008948DD"/>
    <w:rsid w:val="008952A8"/>
    <w:rsid w:val="00895AB7"/>
    <w:rsid w:val="00896386"/>
    <w:rsid w:val="00897816"/>
    <w:rsid w:val="008A017A"/>
    <w:rsid w:val="008A1116"/>
    <w:rsid w:val="008A2A88"/>
    <w:rsid w:val="008A405C"/>
    <w:rsid w:val="008A4397"/>
    <w:rsid w:val="008A62BD"/>
    <w:rsid w:val="008A656D"/>
    <w:rsid w:val="008A6A78"/>
    <w:rsid w:val="008A7063"/>
    <w:rsid w:val="008A731A"/>
    <w:rsid w:val="008B76E5"/>
    <w:rsid w:val="008C26FB"/>
    <w:rsid w:val="008C3062"/>
    <w:rsid w:val="008C33AF"/>
    <w:rsid w:val="008C46EB"/>
    <w:rsid w:val="008C5732"/>
    <w:rsid w:val="008C677E"/>
    <w:rsid w:val="008C7FC6"/>
    <w:rsid w:val="008D2B20"/>
    <w:rsid w:val="008D338B"/>
    <w:rsid w:val="008D3965"/>
    <w:rsid w:val="008D4348"/>
    <w:rsid w:val="008D47E5"/>
    <w:rsid w:val="008D6936"/>
    <w:rsid w:val="008E0808"/>
    <w:rsid w:val="008E2062"/>
    <w:rsid w:val="008E3326"/>
    <w:rsid w:val="008E344B"/>
    <w:rsid w:val="008E3E55"/>
    <w:rsid w:val="008E43BF"/>
    <w:rsid w:val="008E612C"/>
    <w:rsid w:val="008E654D"/>
    <w:rsid w:val="008E7820"/>
    <w:rsid w:val="008F0367"/>
    <w:rsid w:val="008F04B3"/>
    <w:rsid w:val="008F0750"/>
    <w:rsid w:val="008F0A6D"/>
    <w:rsid w:val="008F189E"/>
    <w:rsid w:val="008F295C"/>
    <w:rsid w:val="008F3C52"/>
    <w:rsid w:val="008F48D3"/>
    <w:rsid w:val="008F5E02"/>
    <w:rsid w:val="008F7E75"/>
    <w:rsid w:val="00907A0E"/>
    <w:rsid w:val="00911CDD"/>
    <w:rsid w:val="009121CA"/>
    <w:rsid w:val="00912BAE"/>
    <w:rsid w:val="009148E1"/>
    <w:rsid w:val="009161A4"/>
    <w:rsid w:val="009166E7"/>
    <w:rsid w:val="009230F9"/>
    <w:rsid w:val="00923DF4"/>
    <w:rsid w:val="00924AE0"/>
    <w:rsid w:val="00924DFD"/>
    <w:rsid w:val="00924EFF"/>
    <w:rsid w:val="00926544"/>
    <w:rsid w:val="00927AAC"/>
    <w:rsid w:val="00930BD8"/>
    <w:rsid w:val="009319E3"/>
    <w:rsid w:val="00933131"/>
    <w:rsid w:val="009334D2"/>
    <w:rsid w:val="00935126"/>
    <w:rsid w:val="00936089"/>
    <w:rsid w:val="00937BEC"/>
    <w:rsid w:val="00942188"/>
    <w:rsid w:val="009426DC"/>
    <w:rsid w:val="00942C1A"/>
    <w:rsid w:val="00943FD9"/>
    <w:rsid w:val="00945ED7"/>
    <w:rsid w:val="00946E48"/>
    <w:rsid w:val="00951C90"/>
    <w:rsid w:val="00951FEF"/>
    <w:rsid w:val="0095259B"/>
    <w:rsid w:val="009528EB"/>
    <w:rsid w:val="0095492A"/>
    <w:rsid w:val="00957285"/>
    <w:rsid w:val="009575B8"/>
    <w:rsid w:val="00960155"/>
    <w:rsid w:val="00960CD1"/>
    <w:rsid w:val="009610E2"/>
    <w:rsid w:val="00961400"/>
    <w:rsid w:val="009628A3"/>
    <w:rsid w:val="00963EE7"/>
    <w:rsid w:val="00964D3B"/>
    <w:rsid w:val="00966584"/>
    <w:rsid w:val="00966857"/>
    <w:rsid w:val="0096726F"/>
    <w:rsid w:val="00967BE8"/>
    <w:rsid w:val="00970CBF"/>
    <w:rsid w:val="009711B1"/>
    <w:rsid w:val="00972FFB"/>
    <w:rsid w:val="009733C6"/>
    <w:rsid w:val="00975898"/>
    <w:rsid w:val="00976B91"/>
    <w:rsid w:val="00977CFC"/>
    <w:rsid w:val="009804EB"/>
    <w:rsid w:val="00983E55"/>
    <w:rsid w:val="0098450A"/>
    <w:rsid w:val="00984FB9"/>
    <w:rsid w:val="00985619"/>
    <w:rsid w:val="00985E72"/>
    <w:rsid w:val="009874A1"/>
    <w:rsid w:val="00990083"/>
    <w:rsid w:val="0099253F"/>
    <w:rsid w:val="00992EE4"/>
    <w:rsid w:val="00994944"/>
    <w:rsid w:val="00994B6C"/>
    <w:rsid w:val="00995756"/>
    <w:rsid w:val="009958EF"/>
    <w:rsid w:val="00996210"/>
    <w:rsid w:val="009962F1"/>
    <w:rsid w:val="009975D9"/>
    <w:rsid w:val="00997CBD"/>
    <w:rsid w:val="009A0477"/>
    <w:rsid w:val="009A0608"/>
    <w:rsid w:val="009A0A2B"/>
    <w:rsid w:val="009A0C4D"/>
    <w:rsid w:val="009A1A79"/>
    <w:rsid w:val="009A275B"/>
    <w:rsid w:val="009A44B5"/>
    <w:rsid w:val="009A4AE9"/>
    <w:rsid w:val="009A6F21"/>
    <w:rsid w:val="009A725B"/>
    <w:rsid w:val="009B0659"/>
    <w:rsid w:val="009B158E"/>
    <w:rsid w:val="009B1598"/>
    <w:rsid w:val="009B2114"/>
    <w:rsid w:val="009B2184"/>
    <w:rsid w:val="009B2259"/>
    <w:rsid w:val="009B2357"/>
    <w:rsid w:val="009B2925"/>
    <w:rsid w:val="009B51AB"/>
    <w:rsid w:val="009B5AE1"/>
    <w:rsid w:val="009B5F48"/>
    <w:rsid w:val="009B6B72"/>
    <w:rsid w:val="009B70CA"/>
    <w:rsid w:val="009B7969"/>
    <w:rsid w:val="009C04C5"/>
    <w:rsid w:val="009C0B8E"/>
    <w:rsid w:val="009C1D34"/>
    <w:rsid w:val="009C2C8D"/>
    <w:rsid w:val="009C35C8"/>
    <w:rsid w:val="009C3F48"/>
    <w:rsid w:val="009C447C"/>
    <w:rsid w:val="009C4F8F"/>
    <w:rsid w:val="009C53D9"/>
    <w:rsid w:val="009C7161"/>
    <w:rsid w:val="009C792F"/>
    <w:rsid w:val="009D12D0"/>
    <w:rsid w:val="009D1ADD"/>
    <w:rsid w:val="009D2A6F"/>
    <w:rsid w:val="009D2D98"/>
    <w:rsid w:val="009D418D"/>
    <w:rsid w:val="009D4A38"/>
    <w:rsid w:val="009D4B17"/>
    <w:rsid w:val="009D5CFA"/>
    <w:rsid w:val="009D6B89"/>
    <w:rsid w:val="009D7DFC"/>
    <w:rsid w:val="009E1752"/>
    <w:rsid w:val="009E17ED"/>
    <w:rsid w:val="009E22E2"/>
    <w:rsid w:val="009E56FC"/>
    <w:rsid w:val="009E72FF"/>
    <w:rsid w:val="009F0486"/>
    <w:rsid w:val="009F0B7C"/>
    <w:rsid w:val="009F1808"/>
    <w:rsid w:val="009F21A6"/>
    <w:rsid w:val="009F271B"/>
    <w:rsid w:val="009F2924"/>
    <w:rsid w:val="009F3698"/>
    <w:rsid w:val="009F38A5"/>
    <w:rsid w:val="009F5B27"/>
    <w:rsid w:val="009F5BAF"/>
    <w:rsid w:val="00A00B5D"/>
    <w:rsid w:val="00A00DEB"/>
    <w:rsid w:val="00A03A14"/>
    <w:rsid w:val="00A03AA5"/>
    <w:rsid w:val="00A044CC"/>
    <w:rsid w:val="00A04A6F"/>
    <w:rsid w:val="00A05BEF"/>
    <w:rsid w:val="00A06365"/>
    <w:rsid w:val="00A07117"/>
    <w:rsid w:val="00A074C5"/>
    <w:rsid w:val="00A10E71"/>
    <w:rsid w:val="00A1167F"/>
    <w:rsid w:val="00A129DA"/>
    <w:rsid w:val="00A13F5F"/>
    <w:rsid w:val="00A147AC"/>
    <w:rsid w:val="00A1481F"/>
    <w:rsid w:val="00A154E2"/>
    <w:rsid w:val="00A163ED"/>
    <w:rsid w:val="00A16F41"/>
    <w:rsid w:val="00A175EE"/>
    <w:rsid w:val="00A17D4B"/>
    <w:rsid w:val="00A2121E"/>
    <w:rsid w:val="00A22258"/>
    <w:rsid w:val="00A22AEC"/>
    <w:rsid w:val="00A23ED6"/>
    <w:rsid w:val="00A24438"/>
    <w:rsid w:val="00A247A2"/>
    <w:rsid w:val="00A25EEF"/>
    <w:rsid w:val="00A26458"/>
    <w:rsid w:val="00A27399"/>
    <w:rsid w:val="00A30847"/>
    <w:rsid w:val="00A30E86"/>
    <w:rsid w:val="00A314D0"/>
    <w:rsid w:val="00A32B57"/>
    <w:rsid w:val="00A33214"/>
    <w:rsid w:val="00A356C5"/>
    <w:rsid w:val="00A36F0E"/>
    <w:rsid w:val="00A40755"/>
    <w:rsid w:val="00A41194"/>
    <w:rsid w:val="00A425B0"/>
    <w:rsid w:val="00A43B98"/>
    <w:rsid w:val="00A4602E"/>
    <w:rsid w:val="00A46A2E"/>
    <w:rsid w:val="00A470E3"/>
    <w:rsid w:val="00A504E7"/>
    <w:rsid w:val="00A50FE7"/>
    <w:rsid w:val="00A5193E"/>
    <w:rsid w:val="00A5253C"/>
    <w:rsid w:val="00A52AC0"/>
    <w:rsid w:val="00A55294"/>
    <w:rsid w:val="00A55A4B"/>
    <w:rsid w:val="00A55DC7"/>
    <w:rsid w:val="00A56199"/>
    <w:rsid w:val="00A56370"/>
    <w:rsid w:val="00A56439"/>
    <w:rsid w:val="00A576B9"/>
    <w:rsid w:val="00A608EE"/>
    <w:rsid w:val="00A65388"/>
    <w:rsid w:val="00A65DBF"/>
    <w:rsid w:val="00A662B3"/>
    <w:rsid w:val="00A66655"/>
    <w:rsid w:val="00A66D02"/>
    <w:rsid w:val="00A66D33"/>
    <w:rsid w:val="00A70A4B"/>
    <w:rsid w:val="00A71900"/>
    <w:rsid w:val="00A72629"/>
    <w:rsid w:val="00A72715"/>
    <w:rsid w:val="00A73007"/>
    <w:rsid w:val="00A73A4A"/>
    <w:rsid w:val="00A74389"/>
    <w:rsid w:val="00A74549"/>
    <w:rsid w:val="00A75DE2"/>
    <w:rsid w:val="00A77B34"/>
    <w:rsid w:val="00A77D88"/>
    <w:rsid w:val="00A80B57"/>
    <w:rsid w:val="00A82845"/>
    <w:rsid w:val="00A83CA0"/>
    <w:rsid w:val="00A84231"/>
    <w:rsid w:val="00A8547C"/>
    <w:rsid w:val="00A85B8D"/>
    <w:rsid w:val="00A87019"/>
    <w:rsid w:val="00A914A1"/>
    <w:rsid w:val="00A929AE"/>
    <w:rsid w:val="00A92CCC"/>
    <w:rsid w:val="00A937F0"/>
    <w:rsid w:val="00A94199"/>
    <w:rsid w:val="00A94A1A"/>
    <w:rsid w:val="00A9543F"/>
    <w:rsid w:val="00A96551"/>
    <w:rsid w:val="00A96A13"/>
    <w:rsid w:val="00AA1CA2"/>
    <w:rsid w:val="00AA2F3B"/>
    <w:rsid w:val="00AA32B4"/>
    <w:rsid w:val="00AA7D2F"/>
    <w:rsid w:val="00AB0459"/>
    <w:rsid w:val="00AB0A5B"/>
    <w:rsid w:val="00AB1333"/>
    <w:rsid w:val="00AB18DD"/>
    <w:rsid w:val="00AB2038"/>
    <w:rsid w:val="00AB5038"/>
    <w:rsid w:val="00AB51A2"/>
    <w:rsid w:val="00AB5766"/>
    <w:rsid w:val="00AB6F21"/>
    <w:rsid w:val="00AB757D"/>
    <w:rsid w:val="00AC098F"/>
    <w:rsid w:val="00AC0F35"/>
    <w:rsid w:val="00AC18ED"/>
    <w:rsid w:val="00AC258D"/>
    <w:rsid w:val="00AC2CEE"/>
    <w:rsid w:val="00AC4549"/>
    <w:rsid w:val="00AC4720"/>
    <w:rsid w:val="00AC4B79"/>
    <w:rsid w:val="00AC504E"/>
    <w:rsid w:val="00AC7454"/>
    <w:rsid w:val="00AC7CFB"/>
    <w:rsid w:val="00AD3F08"/>
    <w:rsid w:val="00AD4E6A"/>
    <w:rsid w:val="00AD4F8D"/>
    <w:rsid w:val="00AE0530"/>
    <w:rsid w:val="00AE0DC5"/>
    <w:rsid w:val="00AE2636"/>
    <w:rsid w:val="00AE3069"/>
    <w:rsid w:val="00AE3A6D"/>
    <w:rsid w:val="00AE4EA1"/>
    <w:rsid w:val="00AE5A07"/>
    <w:rsid w:val="00AE687A"/>
    <w:rsid w:val="00AE72A0"/>
    <w:rsid w:val="00AE74E2"/>
    <w:rsid w:val="00AF2A59"/>
    <w:rsid w:val="00AF2A74"/>
    <w:rsid w:val="00AF30D5"/>
    <w:rsid w:val="00AF3BBF"/>
    <w:rsid w:val="00AF4758"/>
    <w:rsid w:val="00AF5DB8"/>
    <w:rsid w:val="00AF5FA4"/>
    <w:rsid w:val="00AF79AC"/>
    <w:rsid w:val="00AF7C9C"/>
    <w:rsid w:val="00B000B8"/>
    <w:rsid w:val="00B0110E"/>
    <w:rsid w:val="00B01B31"/>
    <w:rsid w:val="00B01FC5"/>
    <w:rsid w:val="00B02C54"/>
    <w:rsid w:val="00B035E4"/>
    <w:rsid w:val="00B036E5"/>
    <w:rsid w:val="00B05E5A"/>
    <w:rsid w:val="00B060D5"/>
    <w:rsid w:val="00B07F67"/>
    <w:rsid w:val="00B10006"/>
    <w:rsid w:val="00B10535"/>
    <w:rsid w:val="00B110F8"/>
    <w:rsid w:val="00B1196F"/>
    <w:rsid w:val="00B1295E"/>
    <w:rsid w:val="00B1380E"/>
    <w:rsid w:val="00B1611A"/>
    <w:rsid w:val="00B17DF4"/>
    <w:rsid w:val="00B20D2A"/>
    <w:rsid w:val="00B21582"/>
    <w:rsid w:val="00B22EC3"/>
    <w:rsid w:val="00B2443A"/>
    <w:rsid w:val="00B25791"/>
    <w:rsid w:val="00B26826"/>
    <w:rsid w:val="00B26CE2"/>
    <w:rsid w:val="00B27640"/>
    <w:rsid w:val="00B31722"/>
    <w:rsid w:val="00B3405F"/>
    <w:rsid w:val="00B34B03"/>
    <w:rsid w:val="00B350AF"/>
    <w:rsid w:val="00B3585F"/>
    <w:rsid w:val="00B361CE"/>
    <w:rsid w:val="00B412A5"/>
    <w:rsid w:val="00B41DDD"/>
    <w:rsid w:val="00B4253B"/>
    <w:rsid w:val="00B4309B"/>
    <w:rsid w:val="00B515E6"/>
    <w:rsid w:val="00B52F66"/>
    <w:rsid w:val="00B537B6"/>
    <w:rsid w:val="00B54723"/>
    <w:rsid w:val="00B55195"/>
    <w:rsid w:val="00B554A9"/>
    <w:rsid w:val="00B564ED"/>
    <w:rsid w:val="00B609EA"/>
    <w:rsid w:val="00B60CD5"/>
    <w:rsid w:val="00B6145C"/>
    <w:rsid w:val="00B61651"/>
    <w:rsid w:val="00B61694"/>
    <w:rsid w:val="00B64775"/>
    <w:rsid w:val="00B64F76"/>
    <w:rsid w:val="00B65395"/>
    <w:rsid w:val="00B65C0D"/>
    <w:rsid w:val="00B67484"/>
    <w:rsid w:val="00B67C73"/>
    <w:rsid w:val="00B67FC8"/>
    <w:rsid w:val="00B709B2"/>
    <w:rsid w:val="00B70ADD"/>
    <w:rsid w:val="00B719E3"/>
    <w:rsid w:val="00B71FDA"/>
    <w:rsid w:val="00B725D5"/>
    <w:rsid w:val="00B73DB2"/>
    <w:rsid w:val="00B74453"/>
    <w:rsid w:val="00B746CD"/>
    <w:rsid w:val="00B75361"/>
    <w:rsid w:val="00B820E9"/>
    <w:rsid w:val="00B822C7"/>
    <w:rsid w:val="00B82D19"/>
    <w:rsid w:val="00B83A2D"/>
    <w:rsid w:val="00B83C98"/>
    <w:rsid w:val="00B854C6"/>
    <w:rsid w:val="00B85847"/>
    <w:rsid w:val="00B867C4"/>
    <w:rsid w:val="00B86858"/>
    <w:rsid w:val="00B90EC9"/>
    <w:rsid w:val="00B914E4"/>
    <w:rsid w:val="00B92D7B"/>
    <w:rsid w:val="00B94CAF"/>
    <w:rsid w:val="00B9793D"/>
    <w:rsid w:val="00BA0734"/>
    <w:rsid w:val="00BA125D"/>
    <w:rsid w:val="00BA1CDA"/>
    <w:rsid w:val="00BA1CFD"/>
    <w:rsid w:val="00BA28AD"/>
    <w:rsid w:val="00BA32FF"/>
    <w:rsid w:val="00BA4BDD"/>
    <w:rsid w:val="00BA7D3C"/>
    <w:rsid w:val="00BB0C07"/>
    <w:rsid w:val="00BB1564"/>
    <w:rsid w:val="00BB2869"/>
    <w:rsid w:val="00BB2950"/>
    <w:rsid w:val="00BB4183"/>
    <w:rsid w:val="00BB5546"/>
    <w:rsid w:val="00BB5D7E"/>
    <w:rsid w:val="00BB7D01"/>
    <w:rsid w:val="00BBA999"/>
    <w:rsid w:val="00BC04C4"/>
    <w:rsid w:val="00BC1E9D"/>
    <w:rsid w:val="00BC248C"/>
    <w:rsid w:val="00BC2534"/>
    <w:rsid w:val="00BC2702"/>
    <w:rsid w:val="00BC32F1"/>
    <w:rsid w:val="00BC557E"/>
    <w:rsid w:val="00BC5E18"/>
    <w:rsid w:val="00BC621E"/>
    <w:rsid w:val="00BC68D6"/>
    <w:rsid w:val="00BC70DF"/>
    <w:rsid w:val="00BC7A43"/>
    <w:rsid w:val="00BC7DD6"/>
    <w:rsid w:val="00BD15E0"/>
    <w:rsid w:val="00BD23A1"/>
    <w:rsid w:val="00BD3058"/>
    <w:rsid w:val="00BD39F2"/>
    <w:rsid w:val="00BD4797"/>
    <w:rsid w:val="00BD5A45"/>
    <w:rsid w:val="00BD6EDC"/>
    <w:rsid w:val="00BE0826"/>
    <w:rsid w:val="00BE2AAB"/>
    <w:rsid w:val="00BE2E80"/>
    <w:rsid w:val="00BE34C6"/>
    <w:rsid w:val="00BE3964"/>
    <w:rsid w:val="00BE465F"/>
    <w:rsid w:val="00BE55D1"/>
    <w:rsid w:val="00BE65EF"/>
    <w:rsid w:val="00BE6932"/>
    <w:rsid w:val="00BE749F"/>
    <w:rsid w:val="00BF1000"/>
    <w:rsid w:val="00BF1C53"/>
    <w:rsid w:val="00BF1ED1"/>
    <w:rsid w:val="00BF3C02"/>
    <w:rsid w:val="00BF436B"/>
    <w:rsid w:val="00BF49F4"/>
    <w:rsid w:val="00C00833"/>
    <w:rsid w:val="00C010A3"/>
    <w:rsid w:val="00C01527"/>
    <w:rsid w:val="00C028D6"/>
    <w:rsid w:val="00C02C25"/>
    <w:rsid w:val="00C03304"/>
    <w:rsid w:val="00C04EE5"/>
    <w:rsid w:val="00C04F19"/>
    <w:rsid w:val="00C052C8"/>
    <w:rsid w:val="00C05D1E"/>
    <w:rsid w:val="00C06374"/>
    <w:rsid w:val="00C064B9"/>
    <w:rsid w:val="00C10724"/>
    <w:rsid w:val="00C1080B"/>
    <w:rsid w:val="00C10B41"/>
    <w:rsid w:val="00C115A0"/>
    <w:rsid w:val="00C116D9"/>
    <w:rsid w:val="00C14123"/>
    <w:rsid w:val="00C14283"/>
    <w:rsid w:val="00C143C1"/>
    <w:rsid w:val="00C147CB"/>
    <w:rsid w:val="00C14B77"/>
    <w:rsid w:val="00C1638B"/>
    <w:rsid w:val="00C17F05"/>
    <w:rsid w:val="00C20946"/>
    <w:rsid w:val="00C22FB8"/>
    <w:rsid w:val="00C24350"/>
    <w:rsid w:val="00C244B0"/>
    <w:rsid w:val="00C304F1"/>
    <w:rsid w:val="00C310C9"/>
    <w:rsid w:val="00C3117A"/>
    <w:rsid w:val="00C331C7"/>
    <w:rsid w:val="00C3507A"/>
    <w:rsid w:val="00C359CE"/>
    <w:rsid w:val="00C36ADC"/>
    <w:rsid w:val="00C36BAB"/>
    <w:rsid w:val="00C37D5A"/>
    <w:rsid w:val="00C400CE"/>
    <w:rsid w:val="00C41D81"/>
    <w:rsid w:val="00C41E75"/>
    <w:rsid w:val="00C42992"/>
    <w:rsid w:val="00C42ED6"/>
    <w:rsid w:val="00C43139"/>
    <w:rsid w:val="00C4707C"/>
    <w:rsid w:val="00C47E2A"/>
    <w:rsid w:val="00C47EDC"/>
    <w:rsid w:val="00C51097"/>
    <w:rsid w:val="00C51A76"/>
    <w:rsid w:val="00C5207E"/>
    <w:rsid w:val="00C53B02"/>
    <w:rsid w:val="00C53BAC"/>
    <w:rsid w:val="00C54190"/>
    <w:rsid w:val="00C5454B"/>
    <w:rsid w:val="00C565EC"/>
    <w:rsid w:val="00C6198F"/>
    <w:rsid w:val="00C61DB4"/>
    <w:rsid w:val="00C63AA1"/>
    <w:rsid w:val="00C6566B"/>
    <w:rsid w:val="00C6567A"/>
    <w:rsid w:val="00C6594E"/>
    <w:rsid w:val="00C66B0B"/>
    <w:rsid w:val="00C67962"/>
    <w:rsid w:val="00C679DC"/>
    <w:rsid w:val="00C70667"/>
    <w:rsid w:val="00C7081F"/>
    <w:rsid w:val="00C729EE"/>
    <w:rsid w:val="00C732E9"/>
    <w:rsid w:val="00C7377F"/>
    <w:rsid w:val="00C7386D"/>
    <w:rsid w:val="00C73F21"/>
    <w:rsid w:val="00C75D31"/>
    <w:rsid w:val="00C75F48"/>
    <w:rsid w:val="00C76221"/>
    <w:rsid w:val="00C76FBC"/>
    <w:rsid w:val="00C778B6"/>
    <w:rsid w:val="00C80D26"/>
    <w:rsid w:val="00C811FF"/>
    <w:rsid w:val="00C83C54"/>
    <w:rsid w:val="00C92E5D"/>
    <w:rsid w:val="00C93D5C"/>
    <w:rsid w:val="00C93EB3"/>
    <w:rsid w:val="00C94F2D"/>
    <w:rsid w:val="00C95876"/>
    <w:rsid w:val="00C96778"/>
    <w:rsid w:val="00C96937"/>
    <w:rsid w:val="00C977C0"/>
    <w:rsid w:val="00CA0925"/>
    <w:rsid w:val="00CA0B1A"/>
    <w:rsid w:val="00CA0EA2"/>
    <w:rsid w:val="00CA0EB7"/>
    <w:rsid w:val="00CA0F66"/>
    <w:rsid w:val="00CA1563"/>
    <w:rsid w:val="00CA5F9A"/>
    <w:rsid w:val="00CA60CE"/>
    <w:rsid w:val="00CA6BCF"/>
    <w:rsid w:val="00CA7948"/>
    <w:rsid w:val="00CB1CA9"/>
    <w:rsid w:val="00CB2F1E"/>
    <w:rsid w:val="00CB46A9"/>
    <w:rsid w:val="00CB53DF"/>
    <w:rsid w:val="00CB6C5D"/>
    <w:rsid w:val="00CB79E8"/>
    <w:rsid w:val="00CC2236"/>
    <w:rsid w:val="00CC4002"/>
    <w:rsid w:val="00CC6E94"/>
    <w:rsid w:val="00CC7CAC"/>
    <w:rsid w:val="00CC7E60"/>
    <w:rsid w:val="00CC7E63"/>
    <w:rsid w:val="00CD00F3"/>
    <w:rsid w:val="00CD1C66"/>
    <w:rsid w:val="00CD22D4"/>
    <w:rsid w:val="00CD299C"/>
    <w:rsid w:val="00CD32FF"/>
    <w:rsid w:val="00CD332E"/>
    <w:rsid w:val="00CD3DBE"/>
    <w:rsid w:val="00CD44E3"/>
    <w:rsid w:val="00CD4549"/>
    <w:rsid w:val="00CD5C50"/>
    <w:rsid w:val="00CD6DB7"/>
    <w:rsid w:val="00CE1877"/>
    <w:rsid w:val="00CE2BEE"/>
    <w:rsid w:val="00CE3613"/>
    <w:rsid w:val="00CE3CF5"/>
    <w:rsid w:val="00CE7AAE"/>
    <w:rsid w:val="00CF0D26"/>
    <w:rsid w:val="00CF11F7"/>
    <w:rsid w:val="00CF689F"/>
    <w:rsid w:val="00CF7AE9"/>
    <w:rsid w:val="00D0044C"/>
    <w:rsid w:val="00D00B55"/>
    <w:rsid w:val="00D029B7"/>
    <w:rsid w:val="00D02A6D"/>
    <w:rsid w:val="00D02B4B"/>
    <w:rsid w:val="00D03D17"/>
    <w:rsid w:val="00D03F99"/>
    <w:rsid w:val="00D04594"/>
    <w:rsid w:val="00D06A06"/>
    <w:rsid w:val="00D07B39"/>
    <w:rsid w:val="00D10C8A"/>
    <w:rsid w:val="00D128C5"/>
    <w:rsid w:val="00D12A46"/>
    <w:rsid w:val="00D12F66"/>
    <w:rsid w:val="00D13BCC"/>
    <w:rsid w:val="00D14393"/>
    <w:rsid w:val="00D14594"/>
    <w:rsid w:val="00D14B1A"/>
    <w:rsid w:val="00D150FC"/>
    <w:rsid w:val="00D15A40"/>
    <w:rsid w:val="00D16552"/>
    <w:rsid w:val="00D167FF"/>
    <w:rsid w:val="00D17D57"/>
    <w:rsid w:val="00D20DD5"/>
    <w:rsid w:val="00D22A1F"/>
    <w:rsid w:val="00D23EC9"/>
    <w:rsid w:val="00D24D5D"/>
    <w:rsid w:val="00D26FDF"/>
    <w:rsid w:val="00D309D1"/>
    <w:rsid w:val="00D31C9B"/>
    <w:rsid w:val="00D322D0"/>
    <w:rsid w:val="00D32927"/>
    <w:rsid w:val="00D32EDE"/>
    <w:rsid w:val="00D3420F"/>
    <w:rsid w:val="00D348A0"/>
    <w:rsid w:val="00D34A6F"/>
    <w:rsid w:val="00D3584F"/>
    <w:rsid w:val="00D3670F"/>
    <w:rsid w:val="00D36873"/>
    <w:rsid w:val="00D3697D"/>
    <w:rsid w:val="00D369F6"/>
    <w:rsid w:val="00D371B7"/>
    <w:rsid w:val="00D37C60"/>
    <w:rsid w:val="00D4292B"/>
    <w:rsid w:val="00D43BA5"/>
    <w:rsid w:val="00D4460F"/>
    <w:rsid w:val="00D44B05"/>
    <w:rsid w:val="00D44C03"/>
    <w:rsid w:val="00D464FC"/>
    <w:rsid w:val="00D467D6"/>
    <w:rsid w:val="00D5080C"/>
    <w:rsid w:val="00D50D07"/>
    <w:rsid w:val="00D5152C"/>
    <w:rsid w:val="00D515C4"/>
    <w:rsid w:val="00D552D1"/>
    <w:rsid w:val="00D56059"/>
    <w:rsid w:val="00D5627C"/>
    <w:rsid w:val="00D605F4"/>
    <w:rsid w:val="00D633D1"/>
    <w:rsid w:val="00D64E82"/>
    <w:rsid w:val="00D659F8"/>
    <w:rsid w:val="00D65F40"/>
    <w:rsid w:val="00D67528"/>
    <w:rsid w:val="00D67F58"/>
    <w:rsid w:val="00D7025B"/>
    <w:rsid w:val="00D71ACA"/>
    <w:rsid w:val="00D73A66"/>
    <w:rsid w:val="00D74AEF"/>
    <w:rsid w:val="00D751F1"/>
    <w:rsid w:val="00D765A3"/>
    <w:rsid w:val="00D77769"/>
    <w:rsid w:val="00D77EE8"/>
    <w:rsid w:val="00D80180"/>
    <w:rsid w:val="00D80997"/>
    <w:rsid w:val="00D818B7"/>
    <w:rsid w:val="00D823C8"/>
    <w:rsid w:val="00D84B50"/>
    <w:rsid w:val="00D84C34"/>
    <w:rsid w:val="00D84C55"/>
    <w:rsid w:val="00D85F30"/>
    <w:rsid w:val="00D86178"/>
    <w:rsid w:val="00D8685C"/>
    <w:rsid w:val="00D9414C"/>
    <w:rsid w:val="00D95ACD"/>
    <w:rsid w:val="00D963D6"/>
    <w:rsid w:val="00D97780"/>
    <w:rsid w:val="00DA07AD"/>
    <w:rsid w:val="00DA1B57"/>
    <w:rsid w:val="00DA32FA"/>
    <w:rsid w:val="00DA3BEA"/>
    <w:rsid w:val="00DA3DDB"/>
    <w:rsid w:val="00DA4035"/>
    <w:rsid w:val="00DA40B7"/>
    <w:rsid w:val="00DA4DDA"/>
    <w:rsid w:val="00DA60D9"/>
    <w:rsid w:val="00DB2F56"/>
    <w:rsid w:val="00DB5368"/>
    <w:rsid w:val="00DC00E4"/>
    <w:rsid w:val="00DC04EC"/>
    <w:rsid w:val="00DC05E0"/>
    <w:rsid w:val="00DC0E32"/>
    <w:rsid w:val="00DC1DDE"/>
    <w:rsid w:val="00DC29E6"/>
    <w:rsid w:val="00DC30FC"/>
    <w:rsid w:val="00DC32B1"/>
    <w:rsid w:val="00DC3655"/>
    <w:rsid w:val="00DC429C"/>
    <w:rsid w:val="00DC42AB"/>
    <w:rsid w:val="00DC499C"/>
    <w:rsid w:val="00DC4ED0"/>
    <w:rsid w:val="00DC52DB"/>
    <w:rsid w:val="00DC61BD"/>
    <w:rsid w:val="00DC71D3"/>
    <w:rsid w:val="00DC73DA"/>
    <w:rsid w:val="00DC7C4E"/>
    <w:rsid w:val="00DD151B"/>
    <w:rsid w:val="00DD2CA1"/>
    <w:rsid w:val="00DD4ED1"/>
    <w:rsid w:val="00DD74C0"/>
    <w:rsid w:val="00DE0A06"/>
    <w:rsid w:val="00DE1A42"/>
    <w:rsid w:val="00DE257E"/>
    <w:rsid w:val="00DE28F8"/>
    <w:rsid w:val="00DE38B6"/>
    <w:rsid w:val="00DE452F"/>
    <w:rsid w:val="00DE5BE8"/>
    <w:rsid w:val="00DE5FB8"/>
    <w:rsid w:val="00DF00E2"/>
    <w:rsid w:val="00DF0127"/>
    <w:rsid w:val="00DF0294"/>
    <w:rsid w:val="00DF0BA4"/>
    <w:rsid w:val="00DF317E"/>
    <w:rsid w:val="00DF3B86"/>
    <w:rsid w:val="00DF4548"/>
    <w:rsid w:val="00DF5534"/>
    <w:rsid w:val="00DF5CD3"/>
    <w:rsid w:val="00DF6B3D"/>
    <w:rsid w:val="00DF6D09"/>
    <w:rsid w:val="00DF6EDD"/>
    <w:rsid w:val="00DF7F8B"/>
    <w:rsid w:val="00E000D8"/>
    <w:rsid w:val="00E01C6A"/>
    <w:rsid w:val="00E04F63"/>
    <w:rsid w:val="00E06675"/>
    <w:rsid w:val="00E06C98"/>
    <w:rsid w:val="00E0720F"/>
    <w:rsid w:val="00E072E0"/>
    <w:rsid w:val="00E11339"/>
    <w:rsid w:val="00E12F55"/>
    <w:rsid w:val="00E15215"/>
    <w:rsid w:val="00E15E95"/>
    <w:rsid w:val="00E17134"/>
    <w:rsid w:val="00E174A6"/>
    <w:rsid w:val="00E20387"/>
    <w:rsid w:val="00E2143A"/>
    <w:rsid w:val="00E215B2"/>
    <w:rsid w:val="00E2252C"/>
    <w:rsid w:val="00E22632"/>
    <w:rsid w:val="00E2595E"/>
    <w:rsid w:val="00E25A0C"/>
    <w:rsid w:val="00E25E27"/>
    <w:rsid w:val="00E271C7"/>
    <w:rsid w:val="00E27AD9"/>
    <w:rsid w:val="00E309D9"/>
    <w:rsid w:val="00E33627"/>
    <w:rsid w:val="00E33A44"/>
    <w:rsid w:val="00E34F2E"/>
    <w:rsid w:val="00E351B4"/>
    <w:rsid w:val="00E362ED"/>
    <w:rsid w:val="00E36E3E"/>
    <w:rsid w:val="00E36FFA"/>
    <w:rsid w:val="00E42E23"/>
    <w:rsid w:val="00E44379"/>
    <w:rsid w:val="00E44E14"/>
    <w:rsid w:val="00E459FA"/>
    <w:rsid w:val="00E462C9"/>
    <w:rsid w:val="00E5053E"/>
    <w:rsid w:val="00E50D6A"/>
    <w:rsid w:val="00E510CD"/>
    <w:rsid w:val="00E512FA"/>
    <w:rsid w:val="00E52715"/>
    <w:rsid w:val="00E53798"/>
    <w:rsid w:val="00E56B7A"/>
    <w:rsid w:val="00E56BF7"/>
    <w:rsid w:val="00E60467"/>
    <w:rsid w:val="00E60BBD"/>
    <w:rsid w:val="00E61B61"/>
    <w:rsid w:val="00E624A7"/>
    <w:rsid w:val="00E649DC"/>
    <w:rsid w:val="00E64DE8"/>
    <w:rsid w:val="00E66261"/>
    <w:rsid w:val="00E66DE1"/>
    <w:rsid w:val="00E6712C"/>
    <w:rsid w:val="00E674EA"/>
    <w:rsid w:val="00E71517"/>
    <w:rsid w:val="00E73672"/>
    <w:rsid w:val="00E739A8"/>
    <w:rsid w:val="00E7414D"/>
    <w:rsid w:val="00E742F6"/>
    <w:rsid w:val="00E74852"/>
    <w:rsid w:val="00E7510E"/>
    <w:rsid w:val="00E75FED"/>
    <w:rsid w:val="00E763B6"/>
    <w:rsid w:val="00E772A3"/>
    <w:rsid w:val="00E82397"/>
    <w:rsid w:val="00E835BC"/>
    <w:rsid w:val="00E83D32"/>
    <w:rsid w:val="00E84EFB"/>
    <w:rsid w:val="00E850CE"/>
    <w:rsid w:val="00E85854"/>
    <w:rsid w:val="00E85CDB"/>
    <w:rsid w:val="00E874C6"/>
    <w:rsid w:val="00E87800"/>
    <w:rsid w:val="00E87B02"/>
    <w:rsid w:val="00E905D7"/>
    <w:rsid w:val="00E90CC3"/>
    <w:rsid w:val="00E90CDF"/>
    <w:rsid w:val="00E9107F"/>
    <w:rsid w:val="00E91892"/>
    <w:rsid w:val="00E92FAD"/>
    <w:rsid w:val="00E938AB"/>
    <w:rsid w:val="00E93C01"/>
    <w:rsid w:val="00E968BA"/>
    <w:rsid w:val="00E96DB5"/>
    <w:rsid w:val="00E96EFF"/>
    <w:rsid w:val="00E977B0"/>
    <w:rsid w:val="00E97BF8"/>
    <w:rsid w:val="00E97D80"/>
    <w:rsid w:val="00EA000E"/>
    <w:rsid w:val="00EA04D3"/>
    <w:rsid w:val="00EA1056"/>
    <w:rsid w:val="00EA14D4"/>
    <w:rsid w:val="00EA1B63"/>
    <w:rsid w:val="00EA3F2F"/>
    <w:rsid w:val="00EA5785"/>
    <w:rsid w:val="00EA57D7"/>
    <w:rsid w:val="00EA5B00"/>
    <w:rsid w:val="00EA6C13"/>
    <w:rsid w:val="00EB1B35"/>
    <w:rsid w:val="00EB1BB4"/>
    <w:rsid w:val="00EB1C39"/>
    <w:rsid w:val="00EB2944"/>
    <w:rsid w:val="00EB2D3C"/>
    <w:rsid w:val="00EB2DC8"/>
    <w:rsid w:val="00EB3251"/>
    <w:rsid w:val="00EB435D"/>
    <w:rsid w:val="00EB5B25"/>
    <w:rsid w:val="00EB5F90"/>
    <w:rsid w:val="00EB6DC3"/>
    <w:rsid w:val="00EC035D"/>
    <w:rsid w:val="00EC136D"/>
    <w:rsid w:val="00EC2C6A"/>
    <w:rsid w:val="00EC2D5D"/>
    <w:rsid w:val="00EC308A"/>
    <w:rsid w:val="00EC40AC"/>
    <w:rsid w:val="00EC65BB"/>
    <w:rsid w:val="00EC6F00"/>
    <w:rsid w:val="00ED0117"/>
    <w:rsid w:val="00ED1CE5"/>
    <w:rsid w:val="00ED3749"/>
    <w:rsid w:val="00ED5867"/>
    <w:rsid w:val="00ED60A9"/>
    <w:rsid w:val="00ED6DD6"/>
    <w:rsid w:val="00ED75C0"/>
    <w:rsid w:val="00EE0182"/>
    <w:rsid w:val="00EE0CC1"/>
    <w:rsid w:val="00EE0E82"/>
    <w:rsid w:val="00EE174F"/>
    <w:rsid w:val="00EE1B13"/>
    <w:rsid w:val="00EE4D6B"/>
    <w:rsid w:val="00EE53D8"/>
    <w:rsid w:val="00EE584E"/>
    <w:rsid w:val="00EE5A34"/>
    <w:rsid w:val="00EF01A1"/>
    <w:rsid w:val="00EF0BE1"/>
    <w:rsid w:val="00EF18C0"/>
    <w:rsid w:val="00EF30E9"/>
    <w:rsid w:val="00EF5D98"/>
    <w:rsid w:val="00EF6EC3"/>
    <w:rsid w:val="00EF7F46"/>
    <w:rsid w:val="00F00825"/>
    <w:rsid w:val="00F01127"/>
    <w:rsid w:val="00F016B9"/>
    <w:rsid w:val="00F01BF1"/>
    <w:rsid w:val="00F02871"/>
    <w:rsid w:val="00F04A9F"/>
    <w:rsid w:val="00F05FAE"/>
    <w:rsid w:val="00F0675C"/>
    <w:rsid w:val="00F07D97"/>
    <w:rsid w:val="00F10D73"/>
    <w:rsid w:val="00F12FED"/>
    <w:rsid w:val="00F132D6"/>
    <w:rsid w:val="00F1332D"/>
    <w:rsid w:val="00F1346C"/>
    <w:rsid w:val="00F143F4"/>
    <w:rsid w:val="00F145EE"/>
    <w:rsid w:val="00F15A44"/>
    <w:rsid w:val="00F16AC5"/>
    <w:rsid w:val="00F173F4"/>
    <w:rsid w:val="00F17FF0"/>
    <w:rsid w:val="00F20A55"/>
    <w:rsid w:val="00F214B8"/>
    <w:rsid w:val="00F21F69"/>
    <w:rsid w:val="00F268C7"/>
    <w:rsid w:val="00F26CE5"/>
    <w:rsid w:val="00F31240"/>
    <w:rsid w:val="00F3510A"/>
    <w:rsid w:val="00F353AF"/>
    <w:rsid w:val="00F36786"/>
    <w:rsid w:val="00F37AE4"/>
    <w:rsid w:val="00F40ECB"/>
    <w:rsid w:val="00F44EB2"/>
    <w:rsid w:val="00F464BF"/>
    <w:rsid w:val="00F478B7"/>
    <w:rsid w:val="00F52183"/>
    <w:rsid w:val="00F53B04"/>
    <w:rsid w:val="00F53B1D"/>
    <w:rsid w:val="00F55895"/>
    <w:rsid w:val="00F611A3"/>
    <w:rsid w:val="00F6195D"/>
    <w:rsid w:val="00F63BE5"/>
    <w:rsid w:val="00F64E4F"/>
    <w:rsid w:val="00F71158"/>
    <w:rsid w:val="00F71EFD"/>
    <w:rsid w:val="00F725F7"/>
    <w:rsid w:val="00F7325F"/>
    <w:rsid w:val="00F73BBE"/>
    <w:rsid w:val="00F73F68"/>
    <w:rsid w:val="00F7442A"/>
    <w:rsid w:val="00F7499D"/>
    <w:rsid w:val="00F758F9"/>
    <w:rsid w:val="00F76D21"/>
    <w:rsid w:val="00F779D1"/>
    <w:rsid w:val="00F80F45"/>
    <w:rsid w:val="00F83537"/>
    <w:rsid w:val="00F83FCB"/>
    <w:rsid w:val="00F84914"/>
    <w:rsid w:val="00F86B02"/>
    <w:rsid w:val="00F86D13"/>
    <w:rsid w:val="00F87E87"/>
    <w:rsid w:val="00F9022F"/>
    <w:rsid w:val="00F90531"/>
    <w:rsid w:val="00F90AE8"/>
    <w:rsid w:val="00F922BD"/>
    <w:rsid w:val="00F929ED"/>
    <w:rsid w:val="00F94341"/>
    <w:rsid w:val="00F948A0"/>
    <w:rsid w:val="00F94B50"/>
    <w:rsid w:val="00F96BD8"/>
    <w:rsid w:val="00F97FE3"/>
    <w:rsid w:val="00FA015E"/>
    <w:rsid w:val="00FA04CB"/>
    <w:rsid w:val="00FA1274"/>
    <w:rsid w:val="00FA1790"/>
    <w:rsid w:val="00FA295F"/>
    <w:rsid w:val="00FA5AC1"/>
    <w:rsid w:val="00FA5BCB"/>
    <w:rsid w:val="00FA603C"/>
    <w:rsid w:val="00FA675E"/>
    <w:rsid w:val="00FA6E43"/>
    <w:rsid w:val="00FB0EC6"/>
    <w:rsid w:val="00FB381D"/>
    <w:rsid w:val="00FB3926"/>
    <w:rsid w:val="00FB54F4"/>
    <w:rsid w:val="00FB577D"/>
    <w:rsid w:val="00FB5A43"/>
    <w:rsid w:val="00FB61ED"/>
    <w:rsid w:val="00FB659F"/>
    <w:rsid w:val="00FC222C"/>
    <w:rsid w:val="00FC3781"/>
    <w:rsid w:val="00FC4221"/>
    <w:rsid w:val="00FC4232"/>
    <w:rsid w:val="00FC4C0B"/>
    <w:rsid w:val="00FC6CAD"/>
    <w:rsid w:val="00FC6F8A"/>
    <w:rsid w:val="00FC72D6"/>
    <w:rsid w:val="00FD0863"/>
    <w:rsid w:val="00FD10A2"/>
    <w:rsid w:val="00FD36D1"/>
    <w:rsid w:val="00FD5097"/>
    <w:rsid w:val="00FD50C9"/>
    <w:rsid w:val="00FD53AD"/>
    <w:rsid w:val="00FD6D9E"/>
    <w:rsid w:val="00FD6F34"/>
    <w:rsid w:val="00FE18B0"/>
    <w:rsid w:val="00FE1980"/>
    <w:rsid w:val="00FE304D"/>
    <w:rsid w:val="00FE3096"/>
    <w:rsid w:val="00FE324B"/>
    <w:rsid w:val="00FE4B8B"/>
    <w:rsid w:val="00FE4FD0"/>
    <w:rsid w:val="00FE678B"/>
    <w:rsid w:val="00FF2828"/>
    <w:rsid w:val="00FF4861"/>
    <w:rsid w:val="00FF51A0"/>
    <w:rsid w:val="00FF51DA"/>
    <w:rsid w:val="00FF6AD1"/>
    <w:rsid w:val="014D018A"/>
    <w:rsid w:val="01930105"/>
    <w:rsid w:val="025ED9C2"/>
    <w:rsid w:val="05A408FF"/>
    <w:rsid w:val="072042E2"/>
    <w:rsid w:val="0732ECF7"/>
    <w:rsid w:val="073BC432"/>
    <w:rsid w:val="0764D50E"/>
    <w:rsid w:val="086C0058"/>
    <w:rsid w:val="091C9517"/>
    <w:rsid w:val="09C3AAF6"/>
    <w:rsid w:val="0B55C035"/>
    <w:rsid w:val="0CB2F967"/>
    <w:rsid w:val="0CCDB3CE"/>
    <w:rsid w:val="0D431D3B"/>
    <w:rsid w:val="10439B4E"/>
    <w:rsid w:val="106137F3"/>
    <w:rsid w:val="107DB51B"/>
    <w:rsid w:val="10A9E29B"/>
    <w:rsid w:val="11F2C29C"/>
    <w:rsid w:val="14141390"/>
    <w:rsid w:val="14B0ED77"/>
    <w:rsid w:val="16E17A80"/>
    <w:rsid w:val="17FD1EE7"/>
    <w:rsid w:val="1898B687"/>
    <w:rsid w:val="18A00179"/>
    <w:rsid w:val="195DDF71"/>
    <w:rsid w:val="19D97730"/>
    <w:rsid w:val="19FBFBEF"/>
    <w:rsid w:val="1A07F718"/>
    <w:rsid w:val="1B35CCBD"/>
    <w:rsid w:val="1BF3CBB5"/>
    <w:rsid w:val="1FE6E817"/>
    <w:rsid w:val="2101B7E4"/>
    <w:rsid w:val="2132527B"/>
    <w:rsid w:val="21A6FEA0"/>
    <w:rsid w:val="234C12DA"/>
    <w:rsid w:val="23DD6215"/>
    <w:rsid w:val="26BEB4AA"/>
    <w:rsid w:val="27C6420F"/>
    <w:rsid w:val="282662BA"/>
    <w:rsid w:val="283294E5"/>
    <w:rsid w:val="287A926A"/>
    <w:rsid w:val="28C99862"/>
    <w:rsid w:val="29EF50AA"/>
    <w:rsid w:val="2A9C279F"/>
    <w:rsid w:val="2B2DEB4B"/>
    <w:rsid w:val="2C2B3CEB"/>
    <w:rsid w:val="2C51F587"/>
    <w:rsid w:val="2C9FFC3C"/>
    <w:rsid w:val="2CF14C21"/>
    <w:rsid w:val="31AC1956"/>
    <w:rsid w:val="3410F0F6"/>
    <w:rsid w:val="3522FFD4"/>
    <w:rsid w:val="355DD82A"/>
    <w:rsid w:val="372EC9AE"/>
    <w:rsid w:val="38DFA1F9"/>
    <w:rsid w:val="38F34B0D"/>
    <w:rsid w:val="3987D2EE"/>
    <w:rsid w:val="3A3A2D25"/>
    <w:rsid w:val="3AC57A88"/>
    <w:rsid w:val="3C1BDBC5"/>
    <w:rsid w:val="3C866706"/>
    <w:rsid w:val="3CD75FD9"/>
    <w:rsid w:val="3D4F2972"/>
    <w:rsid w:val="41941AA7"/>
    <w:rsid w:val="41951190"/>
    <w:rsid w:val="422F691C"/>
    <w:rsid w:val="432EFDC3"/>
    <w:rsid w:val="43E3AC72"/>
    <w:rsid w:val="450D02C1"/>
    <w:rsid w:val="4546344C"/>
    <w:rsid w:val="4568A0FB"/>
    <w:rsid w:val="460A1B4F"/>
    <w:rsid w:val="47BB75C6"/>
    <w:rsid w:val="484EC48C"/>
    <w:rsid w:val="4956C0E3"/>
    <w:rsid w:val="4B47F9D2"/>
    <w:rsid w:val="4D79D0EE"/>
    <w:rsid w:val="5004CB91"/>
    <w:rsid w:val="5016D3C2"/>
    <w:rsid w:val="5139E3A9"/>
    <w:rsid w:val="520393E1"/>
    <w:rsid w:val="52BBC35F"/>
    <w:rsid w:val="53E11B71"/>
    <w:rsid w:val="53F7D357"/>
    <w:rsid w:val="54072F97"/>
    <w:rsid w:val="56A4C882"/>
    <w:rsid w:val="580FFD03"/>
    <w:rsid w:val="59AC9219"/>
    <w:rsid w:val="5BD1FF75"/>
    <w:rsid w:val="5C776F82"/>
    <w:rsid w:val="5D54EB70"/>
    <w:rsid w:val="5DF14D22"/>
    <w:rsid w:val="5E3322F5"/>
    <w:rsid w:val="5E3CFCE4"/>
    <w:rsid w:val="5F916623"/>
    <w:rsid w:val="61787E3C"/>
    <w:rsid w:val="61F69A73"/>
    <w:rsid w:val="649924FB"/>
    <w:rsid w:val="65A5D960"/>
    <w:rsid w:val="6606E920"/>
    <w:rsid w:val="66ADA957"/>
    <w:rsid w:val="679EB671"/>
    <w:rsid w:val="6903C8DC"/>
    <w:rsid w:val="6B52997A"/>
    <w:rsid w:val="6BC95170"/>
    <w:rsid w:val="6C2968C5"/>
    <w:rsid w:val="6C36B4B8"/>
    <w:rsid w:val="6E6EECF3"/>
    <w:rsid w:val="70185CFA"/>
    <w:rsid w:val="7039C8BF"/>
    <w:rsid w:val="7083EB64"/>
    <w:rsid w:val="718987B2"/>
    <w:rsid w:val="71E559B3"/>
    <w:rsid w:val="72734A27"/>
    <w:rsid w:val="7698A059"/>
    <w:rsid w:val="78990B52"/>
    <w:rsid w:val="7908240E"/>
    <w:rsid w:val="7942A87B"/>
    <w:rsid w:val="7BA38074"/>
    <w:rsid w:val="7BD29D43"/>
    <w:rsid w:val="7BF82763"/>
    <w:rsid w:val="7C08C192"/>
    <w:rsid w:val="7C95D77E"/>
    <w:rsid w:val="7D612A9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F80C0FC"/>
  <w15:docId w15:val="{8D041087-D8C8-4D61-A012-7D03E78F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59"/>
    </w:pPr>
    <w:rPr>
      <w:rFonts w:ascii="Times New Roman" w:eastAsia="Times New Roman" w:hAnsi="Times New Roman"/>
      <w:sz w:val="23"/>
      <w:szCs w:val="2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unhideWhenUsed/>
    <w:rsid w:val="004548F5"/>
    <w:rPr>
      <w:sz w:val="16"/>
      <w:szCs w:val="16"/>
    </w:rPr>
  </w:style>
  <w:style w:type="paragraph" w:styleId="CommentText">
    <w:name w:val="annotation text"/>
    <w:basedOn w:val="Normal"/>
    <w:link w:val="CommentTextChar"/>
    <w:uiPriority w:val="99"/>
    <w:unhideWhenUsed/>
    <w:rsid w:val="004548F5"/>
    <w:rPr>
      <w:sz w:val="20"/>
      <w:szCs w:val="20"/>
    </w:rPr>
  </w:style>
  <w:style w:type="character" w:customStyle="1" w:styleId="CommentTextChar">
    <w:name w:val="Comment Text Char"/>
    <w:basedOn w:val="DefaultParagraphFont"/>
    <w:link w:val="CommentText"/>
    <w:uiPriority w:val="99"/>
    <w:rsid w:val="004548F5"/>
    <w:rPr>
      <w:sz w:val="20"/>
      <w:szCs w:val="20"/>
    </w:rPr>
  </w:style>
  <w:style w:type="paragraph" w:styleId="CommentSubject">
    <w:name w:val="annotation subject"/>
    <w:basedOn w:val="CommentText"/>
    <w:next w:val="CommentText"/>
    <w:link w:val="CommentSubjectChar"/>
    <w:uiPriority w:val="99"/>
    <w:semiHidden/>
    <w:unhideWhenUsed/>
    <w:rsid w:val="004548F5"/>
    <w:rPr>
      <w:b/>
      <w:bCs/>
    </w:rPr>
  </w:style>
  <w:style w:type="character" w:customStyle="1" w:styleId="CommentSubjectChar">
    <w:name w:val="Comment Subject Char"/>
    <w:basedOn w:val="CommentTextChar"/>
    <w:link w:val="CommentSubject"/>
    <w:uiPriority w:val="99"/>
    <w:semiHidden/>
    <w:rsid w:val="004548F5"/>
    <w:rPr>
      <w:b/>
      <w:bCs/>
      <w:sz w:val="20"/>
      <w:szCs w:val="20"/>
    </w:rPr>
  </w:style>
  <w:style w:type="paragraph" w:styleId="BalloonText">
    <w:name w:val="Balloon Text"/>
    <w:basedOn w:val="Normal"/>
    <w:link w:val="BalloonTextChar"/>
    <w:uiPriority w:val="99"/>
    <w:semiHidden/>
    <w:unhideWhenUsed/>
    <w:rsid w:val="004548F5"/>
    <w:rPr>
      <w:rFonts w:ascii="Tahoma" w:hAnsi="Tahoma" w:cs="Tahoma"/>
      <w:sz w:val="16"/>
      <w:szCs w:val="16"/>
    </w:rPr>
  </w:style>
  <w:style w:type="character" w:customStyle="1" w:styleId="BalloonTextChar">
    <w:name w:val="Balloon Text Char"/>
    <w:basedOn w:val="DefaultParagraphFont"/>
    <w:link w:val="BalloonText"/>
    <w:uiPriority w:val="99"/>
    <w:semiHidden/>
    <w:rsid w:val="004548F5"/>
    <w:rPr>
      <w:rFonts w:ascii="Tahoma" w:hAnsi="Tahoma" w:cs="Tahoma"/>
      <w:sz w:val="16"/>
      <w:szCs w:val="16"/>
    </w:rPr>
  </w:style>
  <w:style w:type="paragraph" w:styleId="Revision">
    <w:name w:val="Revision"/>
    <w:hidden/>
    <w:uiPriority w:val="99"/>
    <w:semiHidden/>
    <w:rsid w:val="00615A88"/>
    <w:pPr>
      <w:widowControl/>
    </w:pPr>
  </w:style>
  <w:style w:type="paragraph" w:styleId="FootnoteText">
    <w:name w:val="footnote text"/>
    <w:aliases w:val=" Char,Car,Char,Footnote Text Char Char Char,Footnote Text Char Char Char Char Char,Footnote Text Char1,Footnote Text Char1 Char,Footnote Text Char1 Char Char,Footnote Text Char1 Char Char Char,Footnote Text Char1 Char Char Char Char Char"/>
    <w:basedOn w:val="Normal"/>
    <w:link w:val="FootnoteTextChar"/>
    <w:uiPriority w:val="99"/>
    <w:unhideWhenUsed/>
    <w:qFormat/>
    <w:rsid w:val="00DA4035"/>
    <w:rPr>
      <w:sz w:val="20"/>
      <w:szCs w:val="20"/>
    </w:rPr>
  </w:style>
  <w:style w:type="character" w:customStyle="1" w:styleId="FootnoteTextChar">
    <w:name w:val="Footnote Text Char"/>
    <w:aliases w:val="Footnote Text Char Char Char Char,Footnote Text Char Char Char Char Char Char,Footnote Text Char1 Char Char Char Char,Footnote Text Char1 Char Char Char Char Char Char,Footnote Text Char1 Char Char Char1,Footnote Text Char1 Char Char1"/>
    <w:basedOn w:val="DefaultParagraphFont"/>
    <w:link w:val="FootnoteText"/>
    <w:uiPriority w:val="99"/>
    <w:rsid w:val="00DA4035"/>
    <w:rPr>
      <w:sz w:val="20"/>
      <w:szCs w:val="20"/>
    </w:rPr>
  </w:style>
  <w:style w:type="character" w:styleId="FootnoteReference">
    <w:name w:val="footnote reference"/>
    <w:aliases w:val="(Footnote Reference),12,BVI fnr,EN Footnote Reference,Exposant 3 Point,Footnote,Footnote Reference Superscript,Footnote reference number,Footnote symbol,SUPERS,Style 16,Style 19,Style 35,Times 10 Point,Voetnootverwijzing,fr,note TESI"/>
    <w:basedOn w:val="DefaultParagraphFont"/>
    <w:uiPriority w:val="99"/>
    <w:unhideWhenUsed/>
    <w:qFormat/>
    <w:rsid w:val="00DA4035"/>
    <w:rPr>
      <w:vertAlign w:val="superscript"/>
    </w:rPr>
  </w:style>
  <w:style w:type="character" w:styleId="Hyperlink">
    <w:name w:val="Hyperlink"/>
    <w:uiPriority w:val="99"/>
    <w:rsid w:val="0009442F"/>
    <w:rPr>
      <w:color w:val="0000FF"/>
      <w:u w:val="single"/>
    </w:rPr>
  </w:style>
  <w:style w:type="paragraph" w:styleId="Header">
    <w:name w:val="header"/>
    <w:basedOn w:val="Normal"/>
    <w:link w:val="HeaderChar"/>
    <w:uiPriority w:val="99"/>
    <w:unhideWhenUsed/>
    <w:rsid w:val="00A24438"/>
    <w:pPr>
      <w:tabs>
        <w:tab w:val="center" w:pos="4680"/>
        <w:tab w:val="right" w:pos="9360"/>
      </w:tabs>
    </w:pPr>
  </w:style>
  <w:style w:type="character" w:customStyle="1" w:styleId="HeaderChar">
    <w:name w:val="Header Char"/>
    <w:basedOn w:val="DefaultParagraphFont"/>
    <w:link w:val="Header"/>
    <w:uiPriority w:val="99"/>
    <w:rsid w:val="00A24438"/>
  </w:style>
  <w:style w:type="paragraph" w:styleId="Footer">
    <w:name w:val="footer"/>
    <w:basedOn w:val="Normal"/>
    <w:link w:val="FooterChar"/>
    <w:uiPriority w:val="99"/>
    <w:unhideWhenUsed/>
    <w:rsid w:val="00A24438"/>
    <w:pPr>
      <w:tabs>
        <w:tab w:val="center" w:pos="4680"/>
        <w:tab w:val="right" w:pos="9360"/>
      </w:tabs>
    </w:pPr>
  </w:style>
  <w:style w:type="character" w:customStyle="1" w:styleId="FooterChar">
    <w:name w:val="Footer Char"/>
    <w:basedOn w:val="DefaultParagraphFont"/>
    <w:link w:val="Footer"/>
    <w:uiPriority w:val="99"/>
    <w:rsid w:val="00A24438"/>
  </w:style>
  <w:style w:type="paragraph" w:styleId="BodyTextIndent">
    <w:name w:val="Body Text Indent"/>
    <w:basedOn w:val="Normal"/>
    <w:link w:val="BodyTextIndentChar"/>
    <w:uiPriority w:val="99"/>
    <w:semiHidden/>
    <w:unhideWhenUsed/>
    <w:rsid w:val="00A24438"/>
    <w:pPr>
      <w:spacing w:after="120"/>
      <w:ind w:left="360"/>
    </w:pPr>
  </w:style>
  <w:style w:type="character" w:customStyle="1" w:styleId="BodyTextIndentChar">
    <w:name w:val="Body Text Indent Char"/>
    <w:basedOn w:val="DefaultParagraphFont"/>
    <w:link w:val="BodyTextIndent"/>
    <w:uiPriority w:val="99"/>
    <w:semiHidden/>
    <w:rsid w:val="00A24438"/>
  </w:style>
  <w:style w:type="table" w:styleId="TableGrid">
    <w:name w:val="Table Grid"/>
    <w:basedOn w:val="TableNormal"/>
    <w:uiPriority w:val="39"/>
    <w:rsid w:val="00EB1B35"/>
    <w:pPr>
      <w:widowControl/>
    </w:pPr>
    <w:rPr>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000E"/>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12F66"/>
    <w:rPr>
      <w:color w:val="800080" w:themeColor="followedHyperlink"/>
      <w:u w:val="single"/>
    </w:rPr>
  </w:style>
  <w:style w:type="paragraph" w:styleId="HTMLPreformatted">
    <w:name w:val="HTML Preformatted"/>
    <w:basedOn w:val="Normal"/>
    <w:link w:val="HTMLPreformattedChar"/>
    <w:unhideWhenUsed/>
    <w:rsid w:val="00D06A06"/>
    <w:pPr>
      <w:autoSpaceDE w:val="0"/>
      <w:autoSpaceDN w:val="0"/>
      <w:adjustRightInd w:val="0"/>
    </w:pPr>
    <w:rPr>
      <w:rFonts w:ascii="Consolas" w:eastAsia="Times New Roman" w:hAnsi="Consolas" w:cs="Consolas"/>
      <w:sz w:val="20"/>
      <w:szCs w:val="20"/>
    </w:rPr>
  </w:style>
  <w:style w:type="character" w:customStyle="1" w:styleId="HTMLPreformattedChar">
    <w:name w:val="HTML Preformatted Char"/>
    <w:basedOn w:val="DefaultParagraphFont"/>
    <w:link w:val="HTMLPreformatted"/>
    <w:rsid w:val="00D06A06"/>
    <w:rPr>
      <w:rFonts w:ascii="Consolas" w:eastAsia="Times New Roman" w:hAnsi="Consolas" w:cs="Consolas"/>
      <w:sz w:val="20"/>
      <w:szCs w:val="20"/>
    </w:rPr>
  </w:style>
  <w:style w:type="paragraph" w:styleId="PlainText">
    <w:name w:val="Plain Text"/>
    <w:basedOn w:val="Normal"/>
    <w:link w:val="PlainTextChar"/>
    <w:rsid w:val="007E3A5C"/>
    <w:pPr>
      <w:widowControl/>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E3A5C"/>
    <w:rPr>
      <w:rFonts w:ascii="Courier New" w:eastAsia="Times New Roman" w:hAnsi="Courier New" w:cs="Courier New"/>
      <w:sz w:val="20"/>
      <w:szCs w:val="20"/>
    </w:rPr>
  </w:style>
  <w:style w:type="character" w:styleId="Mention">
    <w:name w:val="Mention"/>
    <w:basedOn w:val="DefaultParagraphFont"/>
    <w:uiPriority w:val="99"/>
    <w:unhideWhenUsed/>
    <w:rsid w:val="007E3A5C"/>
    <w:rPr>
      <w:color w:val="2B579A"/>
      <w:shd w:val="clear" w:color="auto" w:fill="E1DFDD"/>
    </w:rPr>
  </w:style>
  <w:style w:type="character" w:styleId="UnresolvedMention">
    <w:name w:val="Unresolved Mention"/>
    <w:basedOn w:val="DefaultParagraphFont"/>
    <w:uiPriority w:val="99"/>
    <w:semiHidden/>
    <w:unhideWhenUsed/>
    <w:rsid w:val="002D0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incen.gov/msb-state-selector" TargetMode="External" /><Relationship Id="rId11" Type="http://schemas.openxmlformats.org/officeDocument/2006/relationships/hyperlink" Target="https://www.americangaming.org/wp-content/uploads/2024/05/AGA-State-of-the-States-2024.pdf" TargetMode="External" /><Relationship Id="rId12" Type="http://schemas.openxmlformats.org/officeDocument/2006/relationships/hyperlink" Target="https://www.nfa.futures.org/registration-membership/membership-and-directories.html" TargetMode="External" /><Relationship Id="rId13" Type="http://schemas.openxmlformats.org/officeDocument/2006/relationships/hyperlink" Target="https://www.cftc.gov/MarketReports/financialfcmdata/index.htm" TargetMode="External" /><Relationship Id="rId14" Type="http://schemas.openxmlformats.org/officeDocument/2006/relationships/hyperlink" Target="https://www.sec.gov/dera/data/form-ncen-data-sets"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ederalregister.gov/documents/2024/08/13/2024-18035/agency-information-collection-activities-proposed-renewal-comment-request-renewal-without-change-of"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federalregister.gov/documents/2025/05/23/2025-09310/agency-information-collection-activities-proposed-renewal-comment-request-renewal-without-change-of" TargetMode="External" /><Relationship Id="rId2" Type="http://schemas.openxmlformats.org/officeDocument/2006/relationships/hyperlink" Target="http://www.regulations.gov" TargetMode="External" /><Relationship Id="rId3" Type="http://schemas.openxmlformats.org/officeDocument/2006/relationships/hyperlink" Target="https://www.regulations.gov/document/FINCEN-2025-0006-0001" TargetMode="External" /><Relationship Id="rId4" Type="http://schemas.openxmlformats.org/officeDocument/2006/relationships/hyperlink" Target="https://www.federalregister.gov/documents/2025/03/26/2025-05199/beneficial-ownership-information-reporting-requirement-revision-and-deadline-extension" TargetMode="External" /><Relationship Id="rId5" Type="http://schemas.openxmlformats.org/officeDocument/2006/relationships/hyperlink" Target="https://www.federalregister.gov/documents/2014/04/14/2014-08254/privacy-act-of-1974-as-amended-system-of-records-notice" TargetMode="External" /><Relationship Id="rId6" Type="http://schemas.openxmlformats.org/officeDocument/2006/relationships/hyperlink" Target="https://www.federalregister.gov/documents/2025/03/28/2025-05349/agency-information-collection-activities-proposed-renewal-comment-request-renewal-without-change-of" TargetMode="External" /><Relationship Id="rId7" Type="http://schemas.openxmlformats.org/officeDocument/2006/relationships/hyperlink" Target="https://www.reginfo.gov/public/do/DownloadDocument?objectID=1432390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CaseID xmlns="2b0c51cf-318f-4ea8-a53a-7afd5ac1027b">20257-TFI-8434</CaseID>
    <Category xmlns="2b0c51cf-318f-4ea8-a53a-7afd5ac1027b">Final</Category>
    <DocID xmlns="2b0c51cf-318f-4ea8-a53a-7afd5ac1027b">de0f3a6b-38ff-4e76-ae35-6399f1c20428</Doc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C0A87BD21367469807203F34C4F55A" ma:contentTypeVersion="4" ma:contentTypeDescription="Create a new document." ma:contentTypeScope="" ma:versionID="05076395ffbe90407608547fbf8310de">
  <xsd:schema xmlns:xsd="http://www.w3.org/2001/XMLSchema" xmlns:xs="http://www.w3.org/2001/XMLSchema" xmlns:p="http://schemas.microsoft.com/office/2006/metadata/properties" xmlns:ns2="2b0c51cf-318f-4ea8-a53a-7afd5ac1027b" xmlns:ns3="91882c98-ad7c-457b-bb99-16138be0c2aa" targetNamespace="http://schemas.microsoft.com/office/2006/metadata/properties" ma:root="true" ma:fieldsID="2f477489c2b7b2e7b040396d4b134ea2" ns2:_="" ns3:_="">
    <xsd:import namespace="2b0c51cf-318f-4ea8-a53a-7afd5ac1027b"/>
    <xsd:import namespace="91882c98-ad7c-457b-bb99-16138be0c2aa"/>
    <xsd:element name="properties">
      <xsd:complexType>
        <xsd:sequence>
          <xsd:element name="documentManagement">
            <xsd:complexType>
              <xsd:all>
                <xsd:element ref="ns2:Category" minOccurs="0"/>
                <xsd:element ref="ns2:DocID" minOccurs="0"/>
                <xsd:element ref="ns2:Cas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c51cf-318f-4ea8-a53a-7afd5ac1027b"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Choice">
          <xsd:enumeration value="Final"/>
          <xsd:enumeration value="Draft"/>
          <xsd:enumeration value="IC"/>
        </xsd:restriction>
      </xsd:simpleType>
    </xsd:element>
    <xsd:element name="DocID" ma:index="9" nillable="true" ma:displayName="DocID" ma:internalName="DocID">
      <xsd:simpleType>
        <xsd:restriction base="dms:Text"/>
      </xsd:simpleType>
    </xsd:element>
    <xsd:element name="CaseID" ma:index="10" nillable="true" ma:displayName="CaseID" ma:internalName="Case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82c98-ad7c-457b-bb99-16138be0c2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8F255-DD1E-4D48-B503-EF2DF9F6EEAB}">
  <ds:schemaRefs>
    <ds:schemaRef ds:uri="http://schemas.microsoft.com/office/2006/metadata/properties"/>
    <ds:schemaRef ds:uri="http://schemas.microsoft.com/office/infopath/2007/PartnerControls"/>
    <ds:schemaRef ds:uri="2b0c51cf-318f-4ea8-a53a-7afd5ac1027b"/>
  </ds:schemaRefs>
</ds:datastoreItem>
</file>

<file path=customXml/itemProps2.xml><?xml version="1.0" encoding="utf-8"?>
<ds:datastoreItem xmlns:ds="http://schemas.openxmlformats.org/officeDocument/2006/customXml" ds:itemID="{3344C43E-488A-4177-9BEF-F66E760A2CA9}">
  <ds:schemaRefs>
    <ds:schemaRef ds:uri="http://schemas.microsoft.com/sharepoint/v3/contenttype/forms"/>
  </ds:schemaRefs>
</ds:datastoreItem>
</file>

<file path=customXml/itemProps3.xml><?xml version="1.0" encoding="utf-8"?>
<ds:datastoreItem xmlns:ds="http://schemas.openxmlformats.org/officeDocument/2006/customXml" ds:itemID="{B6502E44-ED56-4A07-BA17-5703BFAF9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c51cf-318f-4ea8-a53a-7afd5ac1027b"/>
    <ds:schemaRef ds:uri="91882c98-ad7c-457b-bb99-16138be0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EDC1BF-51C7-4473-9281-1AF3004E9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5687</Words>
  <Characters>32417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#1506-0055 supporting statement</vt:lpstr>
    </vt:vector>
  </TitlesOfParts>
  <Company>Department of the Treasury</Company>
  <LinksUpToDate>false</LinksUpToDate>
  <CharactersWithSpaces>38028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#1506-0055 supporting statement</dc:title>
  <dc:creator>FinCEN</dc:creator>
  <cp:lastModifiedBy>Stewart, Jaclyn</cp:lastModifiedBy>
  <cp:revision>5</cp:revision>
  <dcterms:created xsi:type="dcterms:W3CDTF">2025-07-30T13:08:00Z</dcterms:created>
  <dcterms:modified xsi:type="dcterms:W3CDTF">2025-07-30T13:12:00Z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0x0101000BC0A87BD21367469807203F34C4F55A</vt:lpwstr>
  </property>
  <property fmtid="{D5CDD505-2E9C-101B-9397-08002B2CF9AE}" pid="3" name="Created">
    <vt:filetime>2015-09-29T00:00:00Z</vt:filetime>
  </property>
  <property fmtid="{D5CDD505-2E9C-101B-9397-08002B2CF9AE}" pid="4" name="LastSaved">
    <vt:filetime>2015-09-29T00:00:00Z</vt:filetime>
  </property>
</Properties>
</file>