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C4381C" w:rsidP="009E3D48" w14:paraId="31197F0F" w14:textId="77777777">
      <w:pPr>
        <w:jc w:val="center"/>
        <w:rPr>
          <w:rFonts w:ascii="Arial" w:hAnsi="Arial" w:cs="Arial"/>
          <w:b/>
          <w:bCs/>
          <w:szCs w:val="24"/>
        </w:rPr>
      </w:pPr>
      <w:r w:rsidRPr="00C4381C">
        <w:rPr>
          <w:rFonts w:ascii="Arial" w:hAnsi="Arial" w:cs="Arial"/>
          <w:b/>
          <w:bCs/>
          <w:szCs w:val="24"/>
        </w:rPr>
        <w:t>SUPPORTING STATEMENT</w:t>
      </w:r>
    </w:p>
    <w:p w:rsidR="00A24315" w:rsidRPr="00C4381C" w:rsidP="009E3D48" w14:paraId="3A2C3C70" w14:textId="68FAF99B">
      <w:pPr>
        <w:jc w:val="center"/>
        <w:rPr>
          <w:rFonts w:ascii="Arial" w:hAnsi="Arial" w:cs="Arial"/>
          <w:szCs w:val="24"/>
        </w:rPr>
      </w:pPr>
      <w:r w:rsidRPr="00C4381C">
        <w:rPr>
          <w:rFonts w:ascii="Arial" w:hAnsi="Arial" w:cs="Arial"/>
          <w:szCs w:val="24"/>
        </w:rPr>
        <w:t>Internal Revenue Service</w:t>
      </w:r>
    </w:p>
    <w:p w:rsidR="009302A1" w:rsidRPr="00C4381C" w:rsidP="009E3D48" w14:paraId="74D558C1" w14:textId="7253A8B5">
      <w:pPr>
        <w:jc w:val="center"/>
        <w:rPr>
          <w:rFonts w:ascii="Arial" w:hAnsi="Arial" w:cs="Arial"/>
          <w:szCs w:val="24"/>
        </w:rPr>
      </w:pPr>
      <w:r w:rsidRPr="00C4381C">
        <w:rPr>
          <w:rFonts w:ascii="Arial" w:hAnsi="Arial" w:cs="Arial"/>
          <w:szCs w:val="24"/>
        </w:rPr>
        <w:t xml:space="preserve">Notice of Plan Merger or Consolidation, Spinoff, or Transfer of Plan Assets or </w:t>
      </w:r>
      <w:r w:rsidRPr="00C4381C" w:rsidR="00C4381C">
        <w:rPr>
          <w:rFonts w:ascii="Arial" w:hAnsi="Arial" w:cs="Arial"/>
          <w:szCs w:val="24"/>
        </w:rPr>
        <w:t>Liabilities,</w:t>
      </w:r>
      <w:r w:rsidRPr="00C4381C">
        <w:rPr>
          <w:rFonts w:ascii="Arial" w:hAnsi="Arial" w:cs="Arial"/>
          <w:szCs w:val="24"/>
        </w:rPr>
        <w:t xml:space="preserve"> Notice of Qualified Separate Lines of Business</w:t>
      </w:r>
      <w:r w:rsidR="00C4381C">
        <w:rPr>
          <w:rFonts w:ascii="Arial" w:hAnsi="Arial" w:cs="Arial"/>
          <w:szCs w:val="24"/>
        </w:rPr>
        <w:t xml:space="preserve"> </w:t>
      </w:r>
    </w:p>
    <w:p w:rsidR="009E3D48" w:rsidRPr="00C4381C" w:rsidP="006E290A" w14:paraId="37BAD974" w14:textId="77777777">
      <w:pPr>
        <w:jc w:val="center"/>
        <w:rPr>
          <w:rFonts w:ascii="Arial" w:hAnsi="Arial" w:cs="Arial"/>
          <w:b/>
          <w:bCs/>
          <w:szCs w:val="24"/>
        </w:rPr>
      </w:pPr>
      <w:r w:rsidRPr="00C4381C">
        <w:rPr>
          <w:rFonts w:ascii="Arial" w:hAnsi="Arial" w:cs="Arial"/>
          <w:szCs w:val="24"/>
        </w:rPr>
        <w:t>OMB Control Number</w:t>
      </w:r>
      <w:r w:rsidRPr="00C4381C">
        <w:rPr>
          <w:rFonts w:ascii="Arial" w:hAnsi="Arial" w:cs="Arial"/>
          <w:b/>
          <w:bCs/>
          <w:szCs w:val="24"/>
        </w:rPr>
        <w:t xml:space="preserve"> 1545-</w:t>
      </w:r>
      <w:r w:rsidRPr="00C4381C" w:rsidR="00E546B4">
        <w:rPr>
          <w:rFonts w:ascii="Arial" w:hAnsi="Arial" w:cs="Arial"/>
          <w:b/>
          <w:bCs/>
          <w:szCs w:val="24"/>
        </w:rPr>
        <w:t>1225</w:t>
      </w:r>
    </w:p>
    <w:p w:rsidR="006E290A" w:rsidRPr="00C4381C" w:rsidP="006E290A" w14:paraId="1634FC01" w14:textId="77777777">
      <w:pPr>
        <w:jc w:val="center"/>
        <w:rPr>
          <w:rFonts w:ascii="Arial" w:hAnsi="Arial" w:cs="Arial"/>
          <w:b/>
          <w:bCs/>
          <w:szCs w:val="24"/>
          <w:u w:val="single"/>
        </w:rPr>
      </w:pPr>
    </w:p>
    <w:p w:rsidR="009E3D48" w:rsidRPr="00C4381C" w:rsidP="009E3D48" w14:paraId="09B46312"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CIRCUMSTANCES NECESSITATING COLLECTION OF INFORMATION </w:t>
      </w:r>
    </w:p>
    <w:p w:rsidR="00197CEF" w:rsidRPr="00C4381C" w:rsidP="00197CEF" w14:paraId="68495F8F" w14:textId="77777777">
      <w:pPr>
        <w:ind w:left="648" w:right="-72" w:hanging="720"/>
        <w:rPr>
          <w:rFonts w:ascii="Arial" w:hAnsi="Arial" w:cs="Arial"/>
          <w:b/>
          <w:szCs w:val="24"/>
          <w:u w:val="single"/>
        </w:rPr>
      </w:pPr>
      <w:r w:rsidRPr="00C4381C">
        <w:rPr>
          <w:rFonts w:ascii="Arial" w:hAnsi="Arial" w:cs="Arial"/>
          <w:szCs w:val="24"/>
        </w:rPr>
        <w:t xml:space="preserve">    </w:t>
      </w:r>
      <w:r w:rsidRPr="00C4381C">
        <w:rPr>
          <w:rFonts w:ascii="Arial" w:hAnsi="Arial" w:cs="Arial"/>
          <w:b/>
          <w:szCs w:val="24"/>
          <w:u w:val="single"/>
        </w:rPr>
        <w:t xml:space="preserve">  </w:t>
      </w:r>
    </w:p>
    <w:p w:rsidR="00E546B4" w:rsidRPr="00C4381C" w:rsidP="00E546B4" w14:paraId="61E3EFBA" w14:textId="6835B840">
      <w:pPr>
        <w:tabs>
          <w:tab w:val="left" w:pos="540"/>
        </w:tabs>
        <w:ind w:left="540" w:hanging="720"/>
        <w:rPr>
          <w:rFonts w:ascii="Arial" w:hAnsi="Arial" w:cs="Arial"/>
          <w:szCs w:val="24"/>
        </w:rPr>
      </w:pPr>
      <w:r w:rsidRPr="00C4381C">
        <w:rPr>
          <w:rFonts w:ascii="Arial" w:hAnsi="Arial" w:cs="Arial"/>
          <w:szCs w:val="24"/>
        </w:rPr>
        <w:t xml:space="preserve">        </w:t>
      </w:r>
      <w:r w:rsidRPr="00C4381C" w:rsidR="00163E8B">
        <w:rPr>
          <w:rFonts w:ascii="Arial" w:hAnsi="Arial" w:cs="Arial"/>
          <w:szCs w:val="24"/>
        </w:rPr>
        <w:t xml:space="preserve">  </w:t>
      </w:r>
      <w:r w:rsidRPr="00C4381C" w:rsidR="006E290A">
        <w:rPr>
          <w:rFonts w:ascii="Arial" w:hAnsi="Arial" w:cs="Arial"/>
          <w:szCs w:val="24"/>
        </w:rPr>
        <w:t xml:space="preserve"> </w:t>
      </w:r>
      <w:r w:rsidRPr="00C4381C">
        <w:rPr>
          <w:rFonts w:ascii="Arial" w:hAnsi="Arial" w:cs="Arial"/>
          <w:szCs w:val="24"/>
        </w:rPr>
        <w:t>Internal Revenue Code (IRC) section 414(r) (Notice of Plan Merger or Consolidation, Spinoff, or Transfer of Plan Assets or Liabilities; Notice of Qualified Separate Lines of Business) requires employers to notify IRS of their separate line of business if they wish to operate a separate line of business for purposes of a deferred compensation plan.</w:t>
      </w:r>
    </w:p>
    <w:p w:rsidR="00E546B4" w:rsidRPr="00C4381C" w:rsidP="00E546B4" w14:paraId="0070994D" w14:textId="77777777">
      <w:pPr>
        <w:tabs>
          <w:tab w:val="left" w:pos="540"/>
        </w:tabs>
        <w:ind w:left="540" w:hanging="720"/>
        <w:rPr>
          <w:rFonts w:ascii="Arial" w:hAnsi="Arial" w:cs="Arial"/>
          <w:szCs w:val="24"/>
        </w:rPr>
      </w:pPr>
    </w:p>
    <w:p w:rsidR="00941C58" w:rsidP="00E546B4" w14:paraId="151C34CF" w14:textId="77777777">
      <w:pPr>
        <w:tabs>
          <w:tab w:val="left" w:pos="540"/>
        </w:tabs>
        <w:ind w:left="540" w:hanging="720"/>
        <w:rPr>
          <w:rFonts w:ascii="Arial" w:hAnsi="Arial" w:cs="Arial"/>
          <w:szCs w:val="24"/>
        </w:rPr>
      </w:pPr>
      <w:r w:rsidRPr="00C4381C">
        <w:rPr>
          <w:rFonts w:ascii="Arial" w:hAnsi="Arial" w:cs="Arial"/>
          <w:szCs w:val="24"/>
        </w:rPr>
        <w:t xml:space="preserve">           IRC section 6058(b) requires the plan administrator to submit an actuarial statement 30 days prior to a merger, consolidation, spin-off, or transfer of assets or liabilities of a plan to another plan.</w:t>
      </w:r>
      <w:r w:rsidRPr="00C4381C" w:rsidR="000528AC">
        <w:rPr>
          <w:rFonts w:ascii="Arial" w:hAnsi="Arial" w:cs="Arial"/>
          <w:szCs w:val="24"/>
        </w:rPr>
        <w:t xml:space="preserve"> </w:t>
      </w:r>
    </w:p>
    <w:p w:rsidR="00941C58" w:rsidP="00E546B4" w14:paraId="2A45DA7C" w14:textId="77777777">
      <w:pPr>
        <w:tabs>
          <w:tab w:val="left" w:pos="540"/>
        </w:tabs>
        <w:ind w:left="540" w:hanging="720"/>
        <w:rPr>
          <w:rFonts w:ascii="Arial" w:hAnsi="Arial" w:cs="Arial"/>
          <w:szCs w:val="24"/>
        </w:rPr>
      </w:pPr>
    </w:p>
    <w:p w:rsidR="00941C58" w:rsidP="00941C58" w14:paraId="13D2A639" w14:textId="2B24AA7D">
      <w:pPr>
        <w:ind w:left="540"/>
        <w:rPr>
          <w:rFonts w:ascii="Arial" w:hAnsi="Arial" w:cs="Arial"/>
          <w:szCs w:val="24"/>
        </w:rPr>
      </w:pPr>
      <w:r w:rsidRPr="00941C58">
        <w:rPr>
          <w:rFonts w:ascii="Arial" w:hAnsi="Arial" w:cs="Arial"/>
          <w:szCs w:val="24"/>
        </w:rPr>
        <w:t>Form 5310-A is used by employers to give notice of:</w:t>
      </w:r>
    </w:p>
    <w:p w:rsidR="00552E26" w:rsidRPr="00941C58" w:rsidP="00941C58" w14:paraId="38AD4617" w14:textId="77777777">
      <w:pPr>
        <w:ind w:left="540"/>
        <w:rPr>
          <w:rFonts w:ascii="Arial" w:hAnsi="Arial" w:cs="Arial"/>
          <w:szCs w:val="24"/>
        </w:rPr>
      </w:pPr>
    </w:p>
    <w:p w:rsidR="00941C58" w:rsidRPr="00594456" w:rsidP="00594456" w14:paraId="6CF6E48B" w14:textId="16A32FA4">
      <w:pPr>
        <w:pStyle w:val="ListParagraph"/>
        <w:numPr>
          <w:ilvl w:val="0"/>
          <w:numId w:val="5"/>
        </w:numPr>
        <w:tabs>
          <w:tab w:val="left" w:pos="540"/>
        </w:tabs>
        <w:ind w:left="540" w:firstLine="0"/>
        <w:rPr>
          <w:rFonts w:ascii="Arial" w:hAnsi="Arial" w:cs="Arial"/>
          <w:szCs w:val="24"/>
        </w:rPr>
      </w:pPr>
      <w:r w:rsidRPr="00594456">
        <w:rPr>
          <w:rFonts w:ascii="Arial" w:hAnsi="Arial" w:cs="Arial"/>
          <w:szCs w:val="24"/>
        </w:rPr>
        <w:t>A plan merger or consolidation that is the combining of two or more plans into a single plan.</w:t>
      </w:r>
    </w:p>
    <w:p w:rsidR="00941C58" w:rsidRPr="00594456" w:rsidP="00594456" w14:paraId="2FDD060E" w14:textId="7B53A8F6">
      <w:pPr>
        <w:pStyle w:val="ListParagraph"/>
        <w:numPr>
          <w:ilvl w:val="0"/>
          <w:numId w:val="5"/>
        </w:numPr>
        <w:tabs>
          <w:tab w:val="left" w:pos="540"/>
        </w:tabs>
        <w:ind w:left="540" w:firstLine="0"/>
        <w:rPr>
          <w:rFonts w:ascii="Arial" w:hAnsi="Arial" w:cs="Arial"/>
          <w:szCs w:val="24"/>
        </w:rPr>
      </w:pPr>
      <w:r w:rsidRPr="00594456">
        <w:rPr>
          <w:rFonts w:ascii="Arial" w:hAnsi="Arial" w:cs="Arial"/>
          <w:szCs w:val="24"/>
        </w:rPr>
        <w:t>A plan spinoff that is the splitting of a single plan into two or more spinoff</w:t>
      </w:r>
      <w:r w:rsidR="00594456">
        <w:rPr>
          <w:rFonts w:ascii="Arial" w:hAnsi="Arial" w:cs="Arial"/>
          <w:szCs w:val="24"/>
        </w:rPr>
        <w:t xml:space="preserve"> </w:t>
      </w:r>
      <w:r w:rsidRPr="00594456">
        <w:rPr>
          <w:rFonts w:ascii="Arial" w:hAnsi="Arial" w:cs="Arial"/>
          <w:szCs w:val="24"/>
        </w:rPr>
        <w:t>plans.</w:t>
      </w:r>
    </w:p>
    <w:p w:rsidR="00941C58" w:rsidRPr="00594456" w:rsidP="00594456" w14:paraId="0AEFC446" w14:textId="1C837AC6">
      <w:pPr>
        <w:pStyle w:val="ListParagraph"/>
        <w:numPr>
          <w:ilvl w:val="0"/>
          <w:numId w:val="3"/>
        </w:numPr>
        <w:ind w:left="540" w:firstLine="0"/>
        <w:rPr>
          <w:rFonts w:ascii="Arial" w:hAnsi="Arial" w:cs="Arial"/>
          <w:szCs w:val="24"/>
        </w:rPr>
      </w:pPr>
      <w:r w:rsidRPr="00594456">
        <w:rPr>
          <w:rFonts w:ascii="Arial" w:hAnsi="Arial" w:cs="Arial"/>
          <w:szCs w:val="24"/>
        </w:rPr>
        <w:t>A plan transfer of plan assets or liabilities to another plan that is splitting off a portion of the assets or liabilities of the transferor plan and the concurrent acquisition or assumption of these split-off assets or liabilities by the transferee plan.</w:t>
      </w:r>
    </w:p>
    <w:p w:rsidR="00E546B4" w:rsidRPr="00594456" w:rsidP="00594456" w14:paraId="2C827583" w14:textId="5EDA60CB">
      <w:pPr>
        <w:pStyle w:val="ListParagraph"/>
        <w:numPr>
          <w:ilvl w:val="0"/>
          <w:numId w:val="3"/>
        </w:numPr>
        <w:ind w:left="540" w:firstLine="0"/>
        <w:rPr>
          <w:rFonts w:ascii="Arial" w:hAnsi="Arial" w:cs="Arial"/>
          <w:szCs w:val="24"/>
        </w:rPr>
      </w:pPr>
      <w:r w:rsidRPr="00594456">
        <w:rPr>
          <w:rFonts w:ascii="Arial" w:hAnsi="Arial" w:cs="Arial"/>
          <w:szCs w:val="24"/>
        </w:rPr>
        <w:t>Qualified separate lines of business (QSLOBs).</w:t>
      </w:r>
    </w:p>
    <w:p w:rsidR="008822BD" w:rsidP="008822BD" w14:paraId="14AB2E9C" w14:textId="3B2083FC">
      <w:pPr>
        <w:ind w:left="540"/>
        <w:rPr>
          <w:rFonts w:ascii="Arial" w:hAnsi="Arial" w:cs="Arial"/>
          <w:szCs w:val="24"/>
        </w:rPr>
      </w:pPr>
    </w:p>
    <w:p w:rsidR="008822BD" w:rsidP="008822BD" w14:paraId="69743A14" w14:textId="13CF556D">
      <w:pPr>
        <w:ind w:left="540"/>
        <w:rPr>
          <w:rFonts w:ascii="Arial" w:hAnsi="Arial" w:cs="Arial"/>
          <w:szCs w:val="24"/>
        </w:rPr>
      </w:pPr>
      <w:r w:rsidRPr="00FD3E58">
        <w:rPr>
          <w:rFonts w:ascii="Arial" w:hAnsi="Arial" w:cs="Arial"/>
          <w:szCs w:val="24"/>
        </w:rPr>
        <w:t>There are no changes being made to this form at this time. I</w:t>
      </w:r>
      <w:r w:rsidR="00057B88">
        <w:rPr>
          <w:rFonts w:ascii="Arial" w:hAnsi="Arial" w:cs="Arial"/>
          <w:szCs w:val="24"/>
        </w:rPr>
        <w:t xml:space="preserve">nternal </w:t>
      </w:r>
      <w:r w:rsidRPr="00FD3E58">
        <w:rPr>
          <w:rFonts w:ascii="Arial" w:hAnsi="Arial" w:cs="Arial"/>
          <w:szCs w:val="24"/>
        </w:rPr>
        <w:t>R</w:t>
      </w:r>
      <w:r w:rsidR="00057B88">
        <w:rPr>
          <w:rFonts w:ascii="Arial" w:hAnsi="Arial" w:cs="Arial"/>
          <w:szCs w:val="24"/>
        </w:rPr>
        <w:t>evenue Service (IRS)</w:t>
      </w:r>
      <w:r w:rsidRPr="00FD3E58">
        <w:rPr>
          <w:rFonts w:ascii="Arial" w:hAnsi="Arial" w:cs="Arial"/>
          <w:szCs w:val="24"/>
        </w:rPr>
        <w:t xml:space="preserve"> is making this submission for renewal purposes.</w:t>
      </w:r>
      <w:r>
        <w:rPr>
          <w:rFonts w:ascii="Arial" w:hAnsi="Arial" w:cs="Arial"/>
          <w:szCs w:val="24"/>
        </w:rPr>
        <w:t xml:space="preserve"> </w:t>
      </w:r>
    </w:p>
    <w:p w:rsidR="00941C58" w:rsidRPr="00C4381C" w:rsidP="00941C58" w14:paraId="650DA829" w14:textId="77777777">
      <w:pPr>
        <w:ind w:left="540" w:firstLine="900"/>
        <w:rPr>
          <w:rFonts w:ascii="Arial" w:hAnsi="Arial" w:cs="Arial"/>
          <w:szCs w:val="24"/>
        </w:rPr>
      </w:pPr>
    </w:p>
    <w:p w:rsidR="009E3D48" w:rsidRPr="00C4381C" w:rsidP="009E3D48" w14:paraId="23E2F025"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USE OF DATA </w:t>
      </w:r>
    </w:p>
    <w:p w:rsidR="009E3D48" w:rsidRPr="00C4381C" w:rsidP="009E3D48" w14:paraId="54236ED7" w14:textId="77777777">
      <w:pPr>
        <w:tabs>
          <w:tab w:val="left" w:pos="540"/>
        </w:tabs>
        <w:ind w:left="540" w:hanging="540"/>
        <w:rPr>
          <w:rFonts w:ascii="Arial" w:hAnsi="Arial" w:cs="Arial"/>
          <w:szCs w:val="24"/>
        </w:rPr>
      </w:pPr>
    </w:p>
    <w:p w:rsidR="00EA291B" w:rsidRPr="00C4381C" w:rsidP="000528AC" w14:paraId="6E601F2B" w14:textId="77777777">
      <w:pPr>
        <w:ind w:left="540"/>
        <w:rPr>
          <w:rFonts w:ascii="Arial" w:eastAsia="Times New Roman" w:hAnsi="Arial" w:cs="Arial"/>
          <w:szCs w:val="24"/>
          <w:u w:val="single"/>
        </w:rPr>
      </w:pPr>
      <w:r w:rsidRPr="00C4381C">
        <w:rPr>
          <w:rFonts w:ascii="Arial" w:eastAsia="Times New Roman" w:hAnsi="Arial" w:cs="Arial"/>
          <w:szCs w:val="24"/>
        </w:rPr>
        <w:t xml:space="preserve">The data is used by the IRS to ensure that taxpayers are complying with section 414(r) and 6058(b) of the Internal Revenue Code, which requires them to notify the IRS that they plan to operate a separate line of business for purposes of a deferred compensation plan and/or that they submit an actuarial statement 30 days before a merger, consolidation, spin-off or transfer of assets or liabilities of a plan to another plan. </w:t>
      </w:r>
    </w:p>
    <w:p w:rsidR="00EA291B" w:rsidRPr="00C4381C" w:rsidP="00E20185" w14:paraId="7898B87E" w14:textId="77777777">
      <w:pPr>
        <w:widowControl w:val="0"/>
        <w:autoSpaceDE w:val="0"/>
        <w:autoSpaceDN w:val="0"/>
        <w:adjustRightInd w:val="0"/>
        <w:rPr>
          <w:rFonts w:ascii="Arial" w:eastAsia="Times New Roman" w:hAnsi="Arial" w:cs="Arial"/>
          <w:szCs w:val="24"/>
          <w:u w:val="single"/>
        </w:rPr>
      </w:pPr>
    </w:p>
    <w:p w:rsidR="009E3D48" w:rsidRPr="00C4381C" w:rsidP="009E3D48" w14:paraId="15EAADFD"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USE OF IMPROVED INFORMATION TECHNOLOGY TO REDUCE BURDEN </w:t>
      </w:r>
    </w:p>
    <w:p w:rsidR="009E3D48" w:rsidRPr="00C4381C" w:rsidP="009E3D48" w14:paraId="67219242" w14:textId="77777777">
      <w:pPr>
        <w:tabs>
          <w:tab w:val="left" w:pos="540"/>
        </w:tabs>
        <w:ind w:left="540" w:hanging="540"/>
        <w:rPr>
          <w:rFonts w:ascii="Arial" w:hAnsi="Arial" w:cs="Arial"/>
          <w:szCs w:val="24"/>
        </w:rPr>
      </w:pPr>
    </w:p>
    <w:p w:rsidR="00801000" w:rsidRPr="00C4381C" w:rsidP="00801000" w14:paraId="0DF4D588" w14:textId="307217AA">
      <w:pPr>
        <w:ind w:left="540"/>
        <w:rPr>
          <w:rFonts w:ascii="Arial" w:hAnsi="Arial" w:cs="Arial"/>
          <w:szCs w:val="24"/>
        </w:rPr>
      </w:pPr>
      <w:r>
        <w:rPr>
          <w:rFonts w:ascii="Arial" w:hAnsi="Arial" w:cs="Arial"/>
          <w:szCs w:val="24"/>
        </w:rPr>
        <w:t xml:space="preserve">IRS </w:t>
      </w:r>
      <w:r w:rsidRPr="00C4381C" w:rsidR="006E290A">
        <w:rPr>
          <w:rFonts w:ascii="Arial" w:hAnsi="Arial" w:cs="Arial"/>
          <w:szCs w:val="24"/>
        </w:rPr>
        <w:t>ha</w:t>
      </w:r>
      <w:r>
        <w:rPr>
          <w:rFonts w:ascii="Arial" w:hAnsi="Arial" w:cs="Arial"/>
          <w:szCs w:val="24"/>
        </w:rPr>
        <w:t>s</w:t>
      </w:r>
      <w:r w:rsidRPr="00C4381C" w:rsidR="006E290A">
        <w:rPr>
          <w:rFonts w:ascii="Arial" w:hAnsi="Arial" w:cs="Arial"/>
          <w:szCs w:val="24"/>
        </w:rPr>
        <w:t xml:space="preserve"> no plans at this time to offer electronic filing for Form </w:t>
      </w:r>
      <w:r w:rsidRPr="00C4381C" w:rsidR="000528AC">
        <w:rPr>
          <w:rFonts w:ascii="Arial" w:hAnsi="Arial" w:cs="Arial"/>
          <w:szCs w:val="24"/>
        </w:rPr>
        <w:t>5310-A</w:t>
      </w:r>
      <w:r w:rsidRPr="00C4381C" w:rsidR="006E290A">
        <w:rPr>
          <w:rFonts w:ascii="Arial" w:hAnsi="Arial" w:cs="Arial"/>
          <w:szCs w:val="24"/>
        </w:rPr>
        <w:t xml:space="preserve"> because of the low volume compared to the cost of electronic enabling.  </w:t>
      </w:r>
    </w:p>
    <w:p w:rsidR="00E20185" w:rsidP="00801000" w14:paraId="04B076EF" w14:textId="2D730FD5">
      <w:pPr>
        <w:tabs>
          <w:tab w:val="left" w:pos="540"/>
        </w:tabs>
        <w:ind w:left="540" w:hanging="540"/>
        <w:rPr>
          <w:rFonts w:ascii="Arial" w:hAnsi="Arial" w:cs="Arial"/>
          <w:szCs w:val="24"/>
        </w:rPr>
      </w:pPr>
    </w:p>
    <w:p w:rsidR="00941C58" w:rsidP="00801000" w14:paraId="32333872" w14:textId="72092DA0">
      <w:pPr>
        <w:tabs>
          <w:tab w:val="left" w:pos="540"/>
        </w:tabs>
        <w:ind w:left="540" w:hanging="540"/>
        <w:rPr>
          <w:rFonts w:ascii="Arial" w:hAnsi="Arial" w:cs="Arial"/>
          <w:szCs w:val="24"/>
        </w:rPr>
      </w:pPr>
    </w:p>
    <w:p w:rsidR="00941C58" w:rsidP="00801000" w14:paraId="65284683" w14:textId="5526054D">
      <w:pPr>
        <w:tabs>
          <w:tab w:val="left" w:pos="540"/>
        </w:tabs>
        <w:ind w:left="540" w:hanging="540"/>
        <w:rPr>
          <w:rFonts w:ascii="Arial" w:hAnsi="Arial" w:cs="Arial"/>
          <w:szCs w:val="24"/>
        </w:rPr>
      </w:pPr>
    </w:p>
    <w:p w:rsidR="009E3D48" w:rsidRPr="00C4381C" w:rsidP="009E3D48" w14:paraId="00CF6EF8"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EFFORTS TO IDENTIFY DUPLICATION </w:t>
      </w:r>
    </w:p>
    <w:p w:rsidR="009E3D48" w:rsidRPr="00C4381C" w:rsidP="009E3D48" w14:paraId="30E0BFCA" w14:textId="77777777">
      <w:pPr>
        <w:tabs>
          <w:tab w:val="left" w:pos="540"/>
        </w:tabs>
        <w:ind w:left="540" w:hanging="540"/>
        <w:rPr>
          <w:rFonts w:ascii="Arial" w:hAnsi="Arial" w:cs="Arial"/>
          <w:szCs w:val="24"/>
        </w:rPr>
      </w:pPr>
    </w:p>
    <w:p w:rsidR="001D050E" w:rsidRPr="00C4381C" w:rsidP="009E3D48" w14:paraId="392A7BDB" w14:textId="77777777">
      <w:pPr>
        <w:tabs>
          <w:tab w:val="left" w:pos="540"/>
        </w:tabs>
        <w:ind w:left="540" w:hanging="540"/>
        <w:rPr>
          <w:rFonts w:ascii="Arial" w:hAnsi="Arial" w:cs="Arial"/>
          <w:szCs w:val="24"/>
        </w:rPr>
      </w:pPr>
      <w:r w:rsidRPr="00C4381C">
        <w:rPr>
          <w:rFonts w:ascii="Arial" w:hAnsi="Arial" w:cs="Arial"/>
          <w:szCs w:val="24"/>
        </w:rPr>
        <w:tab/>
      </w:r>
      <w:r w:rsidRPr="00C4381C" w:rsidR="00A24315">
        <w:rPr>
          <w:rFonts w:ascii="Arial" w:hAnsi="Arial" w:cs="Arial"/>
          <w:szCs w:val="24"/>
        </w:rPr>
        <w:t xml:space="preserve">The information obtained through this collection is unique and is not already available or use or adaption from another source.  </w:t>
      </w:r>
    </w:p>
    <w:p w:rsidR="009E3D48" w:rsidRPr="00C4381C" w:rsidP="009E3D48" w14:paraId="2DDE4CE0" w14:textId="77777777">
      <w:pPr>
        <w:tabs>
          <w:tab w:val="left" w:pos="540"/>
        </w:tabs>
        <w:ind w:left="540" w:hanging="540"/>
        <w:rPr>
          <w:rFonts w:ascii="Arial" w:hAnsi="Arial" w:cs="Arial"/>
          <w:szCs w:val="24"/>
        </w:rPr>
      </w:pPr>
    </w:p>
    <w:p w:rsidR="009E3D48" w:rsidRPr="00C4381C" w:rsidP="009E3D48" w14:paraId="4437F41B"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METHODS TO MINIMIZE BURDEN ON SMALL BUSINESSES OR OTHER SMALL ENTITIES </w:t>
      </w:r>
    </w:p>
    <w:p w:rsidR="009E3D48" w:rsidRPr="00C4381C" w:rsidP="009E3D48" w14:paraId="319C9BA2" w14:textId="77777777">
      <w:pPr>
        <w:tabs>
          <w:tab w:val="left" w:pos="540"/>
        </w:tabs>
        <w:ind w:left="540" w:hanging="540"/>
        <w:rPr>
          <w:rFonts w:ascii="Arial" w:hAnsi="Arial" w:cs="Arial"/>
          <w:szCs w:val="24"/>
        </w:rPr>
      </w:pPr>
    </w:p>
    <w:p w:rsidR="009E3D48" w:rsidP="009E3D48" w14:paraId="2E3973F8" w14:textId="3B52E991">
      <w:pPr>
        <w:tabs>
          <w:tab w:val="left" w:pos="540"/>
        </w:tabs>
        <w:ind w:left="540" w:hanging="540"/>
        <w:rPr>
          <w:rFonts w:ascii="Arial" w:hAnsi="Arial" w:cs="Arial"/>
          <w:szCs w:val="24"/>
        </w:rPr>
      </w:pPr>
      <w:r w:rsidRPr="00C4381C">
        <w:rPr>
          <w:rFonts w:ascii="Arial" w:hAnsi="Arial" w:cs="Arial"/>
          <w:szCs w:val="24"/>
        </w:rPr>
        <w:tab/>
      </w:r>
      <w:r w:rsidRPr="00C4381C" w:rsidR="00A24315">
        <w:rPr>
          <w:rFonts w:ascii="Arial" w:hAnsi="Arial" w:cs="Arial"/>
          <w:szCs w:val="24"/>
        </w:rPr>
        <w:t>There is no burden on small businesses or other small entities due to the inapplicability of the authorizing statute to this type of entity</w:t>
      </w:r>
      <w:r w:rsidRPr="00C4381C">
        <w:rPr>
          <w:rFonts w:ascii="Arial" w:hAnsi="Arial" w:cs="Arial"/>
          <w:szCs w:val="24"/>
        </w:rPr>
        <w:t>.</w:t>
      </w:r>
    </w:p>
    <w:p w:rsidR="00C4381C" w:rsidRPr="00C4381C" w:rsidP="009E3D48" w14:paraId="399F5C54" w14:textId="77777777">
      <w:pPr>
        <w:tabs>
          <w:tab w:val="left" w:pos="540"/>
        </w:tabs>
        <w:ind w:left="540" w:hanging="540"/>
        <w:rPr>
          <w:rFonts w:ascii="Arial" w:hAnsi="Arial" w:cs="Arial"/>
          <w:szCs w:val="24"/>
        </w:rPr>
      </w:pPr>
    </w:p>
    <w:p w:rsidR="009E3D48" w:rsidRPr="00C4381C" w:rsidP="009E3D48" w14:paraId="6D22CC81"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CONSEQUENCES OF LESS FREQUENT COLLECTION ON FEDERAL PROGRAMS OR POLICY ACTIVITIES </w:t>
      </w:r>
    </w:p>
    <w:p w:rsidR="009E3D48" w:rsidRPr="00C4381C" w:rsidP="009E3D48" w14:paraId="6B0C61C7" w14:textId="77777777">
      <w:pPr>
        <w:tabs>
          <w:tab w:val="left" w:pos="540"/>
        </w:tabs>
        <w:ind w:left="540" w:hanging="540"/>
        <w:rPr>
          <w:rFonts w:ascii="Arial" w:hAnsi="Arial" w:cs="Arial"/>
          <w:szCs w:val="24"/>
        </w:rPr>
      </w:pPr>
    </w:p>
    <w:p w:rsidR="00A24315" w:rsidRPr="00C4381C" w:rsidP="009E3D48" w14:paraId="5510054E" w14:textId="2E264A80">
      <w:pPr>
        <w:tabs>
          <w:tab w:val="left" w:pos="540"/>
        </w:tabs>
        <w:ind w:left="540" w:hanging="540"/>
        <w:rPr>
          <w:rFonts w:ascii="Arial" w:hAnsi="Arial" w:cs="Arial"/>
          <w:szCs w:val="24"/>
        </w:rPr>
      </w:pPr>
      <w:r w:rsidRPr="00C4381C">
        <w:rPr>
          <w:rFonts w:ascii="Arial" w:hAnsi="Arial" w:cs="Arial"/>
          <w:szCs w:val="24"/>
        </w:rPr>
        <w:tab/>
        <w:t>The information required is needed to verify compliance with the Internal Revenue Code.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C4381C" w:rsidP="009E3D48" w14:paraId="62A85E78" w14:textId="77777777">
      <w:pPr>
        <w:tabs>
          <w:tab w:val="left" w:pos="540"/>
        </w:tabs>
        <w:ind w:left="540" w:hanging="540"/>
        <w:rPr>
          <w:rFonts w:ascii="Arial" w:hAnsi="Arial" w:cs="Arial"/>
          <w:szCs w:val="24"/>
        </w:rPr>
      </w:pPr>
    </w:p>
    <w:p w:rsidR="009E3D48" w:rsidRPr="00C4381C" w:rsidP="00CB358B" w14:paraId="703D1954"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SPECIAL CIRCUMSTANCES REQUIRING DATA COLLECTION TO BE INCONSISTENT WITH GUIDELINES IN 5 CFR 1320.5(d)(2) </w:t>
      </w:r>
    </w:p>
    <w:p w:rsidR="009E3D48" w:rsidRPr="00C4381C" w:rsidP="009E3D48" w14:paraId="73018F64" w14:textId="77777777">
      <w:pPr>
        <w:tabs>
          <w:tab w:val="left" w:pos="540"/>
        </w:tabs>
        <w:ind w:left="540" w:hanging="540"/>
        <w:rPr>
          <w:rFonts w:ascii="Arial" w:hAnsi="Arial" w:cs="Arial"/>
          <w:szCs w:val="24"/>
        </w:rPr>
      </w:pPr>
    </w:p>
    <w:p w:rsidR="009E3D48" w:rsidRPr="00C4381C" w:rsidP="009E3D48" w14:paraId="1DE6F47A" w14:textId="05E1ADC0">
      <w:pPr>
        <w:tabs>
          <w:tab w:val="left" w:pos="540"/>
        </w:tabs>
        <w:ind w:left="540" w:hanging="540"/>
        <w:rPr>
          <w:rFonts w:ascii="Arial" w:hAnsi="Arial" w:cs="Arial"/>
          <w:szCs w:val="24"/>
        </w:rPr>
      </w:pPr>
      <w:r w:rsidRPr="00C4381C">
        <w:rPr>
          <w:rFonts w:ascii="Arial" w:hAnsi="Arial" w:cs="Arial"/>
          <w:szCs w:val="24"/>
        </w:rPr>
        <w:tab/>
      </w:r>
      <w:r w:rsidRPr="00C4381C" w:rsidR="00A24315">
        <w:rPr>
          <w:rFonts w:ascii="Arial" w:hAnsi="Arial" w:cs="Arial"/>
          <w:szCs w:val="24"/>
        </w:rPr>
        <w:t xml:space="preserve">There are no special circumstances requiring data collection to be inconsistent with </w:t>
      </w:r>
      <w:r w:rsidR="003B113D">
        <w:rPr>
          <w:rFonts w:ascii="Arial" w:hAnsi="Arial" w:cs="Arial"/>
          <w:szCs w:val="24"/>
        </w:rPr>
        <w:t>g</w:t>
      </w:r>
      <w:r w:rsidRPr="00C4381C" w:rsidR="00A24315">
        <w:rPr>
          <w:rFonts w:ascii="Arial" w:hAnsi="Arial" w:cs="Arial"/>
          <w:szCs w:val="24"/>
        </w:rPr>
        <w:t>uidelines in 5 CFR 1320.5(d)(2).</w:t>
      </w:r>
    </w:p>
    <w:p w:rsidR="009E3D48" w:rsidRPr="00C4381C" w:rsidP="009E3D48" w14:paraId="403DBD9E" w14:textId="77777777">
      <w:pPr>
        <w:tabs>
          <w:tab w:val="left" w:pos="540"/>
        </w:tabs>
        <w:ind w:left="540" w:hanging="540"/>
        <w:rPr>
          <w:rFonts w:ascii="Arial" w:hAnsi="Arial" w:cs="Arial"/>
          <w:szCs w:val="24"/>
        </w:rPr>
      </w:pPr>
    </w:p>
    <w:p w:rsidR="009E3D48" w:rsidRPr="00C4381C" w:rsidP="009E3D48" w14:paraId="1BA03350"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CONSULTATION WITH INDIVIDUALS OUTSIDE OF THE AGENCY ON AVAILABILITY OF DATA, FREQUENCY OF COLLECTION, CLARITY OF INSTRUCTIONS AND FORMS, AND DATA ELEMENTS </w:t>
      </w:r>
    </w:p>
    <w:p w:rsidR="009E3D48" w:rsidRPr="00C4381C" w:rsidP="009E3D48" w14:paraId="6BDD4087" w14:textId="77777777">
      <w:pPr>
        <w:tabs>
          <w:tab w:val="left" w:pos="540"/>
        </w:tabs>
        <w:ind w:left="540" w:hanging="540"/>
        <w:rPr>
          <w:rFonts w:ascii="Arial" w:hAnsi="Arial" w:cs="Arial"/>
          <w:szCs w:val="24"/>
        </w:rPr>
      </w:pPr>
    </w:p>
    <w:p w:rsidR="00301791" w:rsidRPr="00301791" w:rsidP="00301791" w14:paraId="5ACB7AA6" w14:textId="437E81FC">
      <w:pPr>
        <w:tabs>
          <w:tab w:val="left" w:pos="540"/>
        </w:tabs>
        <w:ind w:left="540" w:hanging="540"/>
        <w:rPr>
          <w:rFonts w:ascii="Arial" w:hAnsi="Arial" w:cs="Arial"/>
          <w:szCs w:val="24"/>
        </w:rPr>
      </w:pPr>
      <w:r w:rsidRPr="00C4381C">
        <w:rPr>
          <w:rFonts w:ascii="Arial" w:hAnsi="Arial" w:cs="Arial"/>
          <w:szCs w:val="24"/>
        </w:rPr>
        <w:tab/>
      </w:r>
      <w:r w:rsidRPr="00301791">
        <w:rPr>
          <w:rFonts w:ascii="Arial" w:hAnsi="Arial" w:cs="Arial"/>
          <w:szCs w:val="24"/>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on Form </w:t>
      </w:r>
      <w:r>
        <w:rPr>
          <w:rFonts w:ascii="Arial" w:hAnsi="Arial" w:cs="Arial"/>
          <w:szCs w:val="24"/>
        </w:rPr>
        <w:t>5310-A</w:t>
      </w:r>
      <w:r w:rsidRPr="00301791">
        <w:rPr>
          <w:rFonts w:ascii="Arial" w:hAnsi="Arial" w:cs="Arial"/>
          <w:szCs w:val="24"/>
        </w:rPr>
        <w:t>.</w:t>
      </w:r>
    </w:p>
    <w:p w:rsidR="00301791" w:rsidRPr="00301791" w:rsidP="00301791" w14:paraId="4B2D1609" w14:textId="77777777">
      <w:pPr>
        <w:ind w:left="540"/>
        <w:rPr>
          <w:rFonts w:ascii="Arial" w:hAnsi="Arial" w:cs="Arial"/>
          <w:szCs w:val="24"/>
        </w:rPr>
      </w:pPr>
    </w:p>
    <w:p w:rsidR="00183523" w:rsidP="00301791" w14:paraId="22016B4A" w14:textId="77F20954">
      <w:pPr>
        <w:ind w:left="540"/>
        <w:rPr>
          <w:rFonts w:ascii="Arial" w:hAnsi="Arial" w:cs="Arial"/>
          <w:szCs w:val="24"/>
        </w:rPr>
      </w:pPr>
      <w:r w:rsidRPr="00301791">
        <w:rPr>
          <w:rFonts w:ascii="Arial" w:hAnsi="Arial" w:cs="Arial"/>
          <w:szCs w:val="24"/>
        </w:rPr>
        <w:t>A Federal Register Notice (</w:t>
      </w:r>
      <w:r w:rsidR="00D03BB8">
        <w:rPr>
          <w:rFonts w:ascii="Arial" w:hAnsi="Arial" w:cs="Arial"/>
          <w:szCs w:val="24"/>
        </w:rPr>
        <w:t>90</w:t>
      </w:r>
      <w:r w:rsidRPr="00301791">
        <w:rPr>
          <w:rFonts w:ascii="Arial" w:hAnsi="Arial" w:cs="Arial"/>
          <w:szCs w:val="24"/>
        </w:rPr>
        <w:t xml:space="preserve"> FR </w:t>
      </w:r>
      <w:r w:rsidR="00A667BE">
        <w:rPr>
          <w:rFonts w:ascii="Arial" w:hAnsi="Arial" w:cs="Arial"/>
          <w:szCs w:val="24"/>
        </w:rPr>
        <w:t>18895</w:t>
      </w:r>
      <w:r w:rsidRPr="00301791">
        <w:rPr>
          <w:rFonts w:ascii="Arial" w:hAnsi="Arial" w:cs="Arial"/>
          <w:szCs w:val="24"/>
        </w:rPr>
        <w:t xml:space="preserve">) was published regarding </w:t>
      </w:r>
      <w:r w:rsidR="00707D8C">
        <w:rPr>
          <w:rFonts w:ascii="Arial" w:hAnsi="Arial" w:cs="Arial"/>
          <w:szCs w:val="24"/>
        </w:rPr>
        <w:t>Form 5310-A</w:t>
      </w:r>
      <w:r w:rsidRPr="00301791">
        <w:rPr>
          <w:rFonts w:ascii="Arial" w:hAnsi="Arial" w:cs="Arial"/>
          <w:szCs w:val="24"/>
        </w:rPr>
        <w:t xml:space="preserve"> on </w:t>
      </w:r>
      <w:r w:rsidR="00D03BB8">
        <w:rPr>
          <w:rFonts w:ascii="Arial" w:hAnsi="Arial" w:cs="Arial"/>
          <w:szCs w:val="24"/>
        </w:rPr>
        <w:t xml:space="preserve">May </w:t>
      </w:r>
      <w:r w:rsidR="00A667BE">
        <w:rPr>
          <w:rFonts w:ascii="Arial" w:hAnsi="Arial" w:cs="Arial"/>
          <w:szCs w:val="24"/>
        </w:rPr>
        <w:t>2</w:t>
      </w:r>
      <w:r w:rsidR="00D03BB8">
        <w:rPr>
          <w:rFonts w:ascii="Arial" w:hAnsi="Arial" w:cs="Arial"/>
          <w:szCs w:val="24"/>
        </w:rPr>
        <w:t>, 2025</w:t>
      </w:r>
      <w:r w:rsidRPr="00301791">
        <w:rPr>
          <w:rFonts w:ascii="Arial" w:hAnsi="Arial" w:cs="Arial"/>
          <w:szCs w:val="24"/>
        </w:rPr>
        <w:t>, inviting public comments.  No comments were received</w:t>
      </w:r>
      <w:r w:rsidRPr="00C4381C" w:rsidR="004606C9">
        <w:rPr>
          <w:rFonts w:ascii="Arial" w:hAnsi="Arial" w:cs="Arial"/>
          <w:szCs w:val="24"/>
        </w:rPr>
        <w:t xml:space="preserve">.  </w:t>
      </w:r>
    </w:p>
    <w:p w:rsidR="008822BD" w:rsidP="00301791" w14:paraId="76E6D890" w14:textId="110F05A0">
      <w:pPr>
        <w:ind w:left="540"/>
        <w:rPr>
          <w:rFonts w:ascii="Arial" w:hAnsi="Arial" w:cs="Arial"/>
          <w:szCs w:val="24"/>
        </w:rPr>
      </w:pPr>
    </w:p>
    <w:p w:rsidR="009E3D48" w:rsidRPr="00C4381C" w:rsidP="009E3D48" w14:paraId="0F6C795F"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EXPLANATION OF DECISION TO PROVIDE ANY PAYMENT OR GIFT TO RESPONDENTS </w:t>
      </w:r>
    </w:p>
    <w:p w:rsidR="009E3D48" w:rsidRPr="00C4381C" w:rsidP="009E3D48" w14:paraId="4F78F46C" w14:textId="77777777">
      <w:pPr>
        <w:tabs>
          <w:tab w:val="left" w:pos="540"/>
        </w:tabs>
        <w:ind w:left="540" w:hanging="540"/>
        <w:rPr>
          <w:rFonts w:ascii="Arial" w:hAnsi="Arial" w:cs="Arial"/>
          <w:szCs w:val="24"/>
        </w:rPr>
      </w:pPr>
    </w:p>
    <w:p w:rsidR="009E3D48" w:rsidP="009E3D48" w14:paraId="033B5600" w14:textId="2013A672">
      <w:pPr>
        <w:tabs>
          <w:tab w:val="left" w:pos="540"/>
        </w:tabs>
        <w:ind w:left="540" w:hanging="540"/>
        <w:rPr>
          <w:rFonts w:ascii="Arial" w:hAnsi="Arial" w:cs="Arial"/>
          <w:szCs w:val="24"/>
        </w:rPr>
      </w:pPr>
      <w:r w:rsidRPr="00C4381C">
        <w:rPr>
          <w:rFonts w:ascii="Arial" w:hAnsi="Arial" w:cs="Arial"/>
          <w:szCs w:val="24"/>
        </w:rPr>
        <w:tab/>
      </w:r>
      <w:r w:rsidRPr="00C4381C" w:rsidR="00A24315">
        <w:rPr>
          <w:rFonts w:ascii="Arial" w:hAnsi="Arial" w:cs="Arial"/>
          <w:szCs w:val="24"/>
        </w:rPr>
        <w:t>No payment or gift has been provided to any respondents.</w:t>
      </w:r>
    </w:p>
    <w:p w:rsidR="00941C58" w:rsidRPr="00C4381C" w:rsidP="009E3D48" w14:paraId="3BAC18C5" w14:textId="77777777">
      <w:pPr>
        <w:tabs>
          <w:tab w:val="left" w:pos="540"/>
        </w:tabs>
        <w:ind w:left="540" w:hanging="540"/>
        <w:rPr>
          <w:rFonts w:ascii="Arial" w:hAnsi="Arial" w:cs="Arial"/>
          <w:szCs w:val="24"/>
        </w:rPr>
      </w:pPr>
    </w:p>
    <w:p w:rsidR="009E3D48" w:rsidRPr="00C4381C" w:rsidP="009E3D48" w14:paraId="165EE664"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ASSURANCE OF CONFIDENTIALITY OF RESPONSES </w:t>
      </w:r>
    </w:p>
    <w:p w:rsidR="009E3D48" w:rsidRPr="00C4381C" w:rsidP="009E3D48" w14:paraId="51B93A22" w14:textId="77777777">
      <w:pPr>
        <w:tabs>
          <w:tab w:val="left" w:pos="540"/>
        </w:tabs>
        <w:ind w:left="540" w:hanging="540"/>
        <w:rPr>
          <w:rFonts w:ascii="Arial" w:hAnsi="Arial" w:cs="Arial"/>
          <w:szCs w:val="24"/>
        </w:rPr>
      </w:pPr>
    </w:p>
    <w:p w:rsidR="009E3D48" w:rsidRPr="00C4381C" w:rsidP="009E3D48" w14:paraId="49F816D9" w14:textId="77777777">
      <w:pPr>
        <w:tabs>
          <w:tab w:val="left" w:pos="540"/>
        </w:tabs>
        <w:ind w:left="540" w:hanging="540"/>
        <w:rPr>
          <w:rFonts w:ascii="Arial" w:hAnsi="Arial" w:cs="Arial"/>
          <w:szCs w:val="24"/>
        </w:rPr>
      </w:pPr>
      <w:r w:rsidRPr="00C4381C">
        <w:rPr>
          <w:rFonts w:ascii="Arial" w:hAnsi="Arial" w:cs="Arial"/>
          <w:szCs w:val="24"/>
        </w:rPr>
        <w:tab/>
        <w:t>Generally, tax returns and tax return information are confidential as required by 26 U.S.C. 6103.</w:t>
      </w:r>
    </w:p>
    <w:p w:rsidR="00183523" w:rsidRPr="00C4381C" w:rsidP="009E3D48" w14:paraId="4D915D45" w14:textId="77777777">
      <w:pPr>
        <w:tabs>
          <w:tab w:val="left" w:pos="540"/>
        </w:tabs>
        <w:ind w:left="540" w:hanging="540"/>
        <w:rPr>
          <w:rFonts w:ascii="Arial" w:hAnsi="Arial" w:cs="Arial"/>
          <w:szCs w:val="24"/>
          <w:u w:val="single"/>
        </w:rPr>
      </w:pPr>
    </w:p>
    <w:p w:rsidR="009E3D48" w:rsidRPr="00C4381C" w:rsidP="009E3D48" w14:paraId="5CB4031F"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JUSTIFICATION OF SENSITIVE QUESTIONS </w:t>
      </w:r>
    </w:p>
    <w:p w:rsidR="009E3D48" w:rsidRPr="00C4381C" w:rsidP="009E3D48" w14:paraId="00E89B0D" w14:textId="77777777">
      <w:pPr>
        <w:tabs>
          <w:tab w:val="left" w:pos="540"/>
        </w:tabs>
        <w:ind w:left="540" w:hanging="540"/>
        <w:rPr>
          <w:rFonts w:ascii="Arial" w:hAnsi="Arial" w:cs="Arial"/>
          <w:b/>
          <w:szCs w:val="24"/>
        </w:rPr>
      </w:pPr>
    </w:p>
    <w:p w:rsidR="00057B88" w:rsidRPr="00786EF0" w:rsidP="00057B88" w14:paraId="5B096523" w14:textId="77777777">
      <w:pPr>
        <w:ind w:left="540"/>
        <w:rPr>
          <w:rFonts w:ascii="Arial" w:hAnsi="Arial" w:cs="Arial"/>
          <w:szCs w:val="24"/>
        </w:rPr>
      </w:pPr>
      <w:r w:rsidRPr="00786EF0">
        <w:rPr>
          <w:rFonts w:ascii="Arial" w:hAnsi="Arial" w:cs="Arial"/>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8" w:history="1">
        <w:r w:rsidRPr="0054558D">
          <w:rPr>
            <w:rStyle w:val="Hyperlink"/>
            <w:rFonts w:ascii="Arial" w:hAnsi="Arial" w:cs="Arial"/>
            <w:szCs w:val="24"/>
          </w:rPr>
          <w:t>http://www.irs.gov/uac/Privacy-Impact-Assessments-PIA</w:t>
        </w:r>
      </w:hyperlink>
      <w:r>
        <w:rPr>
          <w:rFonts w:ascii="Arial" w:hAnsi="Arial" w:cs="Arial"/>
          <w:szCs w:val="24"/>
        </w:rPr>
        <w:t xml:space="preserve">. </w:t>
      </w:r>
      <w:r w:rsidRPr="00786EF0">
        <w:rPr>
          <w:rFonts w:ascii="Arial" w:hAnsi="Arial" w:cs="Arial"/>
          <w:szCs w:val="24"/>
        </w:rPr>
        <w:t xml:space="preserve"> </w:t>
      </w:r>
    </w:p>
    <w:p w:rsidR="00057B88" w:rsidRPr="00786EF0" w:rsidP="00057B88" w14:paraId="1279D2C6" w14:textId="77777777">
      <w:pPr>
        <w:ind w:left="540"/>
        <w:rPr>
          <w:rFonts w:ascii="Arial" w:hAnsi="Arial" w:cs="Arial"/>
          <w:szCs w:val="24"/>
        </w:rPr>
      </w:pPr>
    </w:p>
    <w:p w:rsidR="00057B88" w:rsidP="00057B88" w14:paraId="6697AE59" w14:textId="77777777">
      <w:pPr>
        <w:ind w:left="540"/>
        <w:rPr>
          <w:rFonts w:ascii="Arial" w:hAnsi="Arial" w:cs="Arial"/>
          <w:szCs w:val="24"/>
        </w:rPr>
      </w:pPr>
      <w:r w:rsidRPr="00786EF0">
        <w:rPr>
          <w:rFonts w:ascii="Arial" w:hAnsi="Arial" w:cs="Arial"/>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C4381C">
        <w:rPr>
          <w:rFonts w:ascii="Arial" w:hAnsi="Arial" w:cs="Arial"/>
          <w:szCs w:val="24"/>
        </w:rPr>
        <w:t xml:space="preserve">. </w:t>
      </w:r>
    </w:p>
    <w:p w:rsidR="00C4381C" w:rsidRPr="00C4381C" w:rsidP="00637C90" w14:paraId="4FFCC989" w14:textId="77777777">
      <w:pPr>
        <w:ind w:left="540"/>
        <w:rPr>
          <w:rFonts w:ascii="Arial" w:hAnsi="Arial" w:cs="Arial"/>
          <w:szCs w:val="24"/>
        </w:rPr>
      </w:pPr>
    </w:p>
    <w:p w:rsidR="00B860C5" w:rsidRPr="00C4381C" w:rsidP="00700E6B" w14:paraId="5917331A" w14:textId="77777777">
      <w:pPr>
        <w:pStyle w:val="ListParagraph"/>
        <w:numPr>
          <w:ilvl w:val="0"/>
          <w:numId w:val="1"/>
        </w:numPr>
        <w:tabs>
          <w:tab w:val="left" w:pos="540"/>
        </w:tabs>
        <w:ind w:hanging="540"/>
        <w:rPr>
          <w:rFonts w:ascii="Arial" w:hAnsi="Arial" w:cs="Arial"/>
          <w:szCs w:val="24"/>
        </w:rPr>
      </w:pPr>
      <w:r w:rsidRPr="00C4381C">
        <w:rPr>
          <w:rFonts w:ascii="Arial" w:hAnsi="Arial" w:cs="Arial"/>
          <w:b/>
          <w:szCs w:val="24"/>
          <w:u w:val="single"/>
        </w:rPr>
        <w:t xml:space="preserve">ESTIMATED BURDEN OF INFORMATION COLLECTION </w:t>
      </w:r>
    </w:p>
    <w:p w:rsidR="00551038" w:rsidP="00551038" w14:paraId="6A10623B" w14:textId="5ED29E7A">
      <w:pPr>
        <w:tabs>
          <w:tab w:val="left" w:pos="540"/>
        </w:tabs>
        <w:rPr>
          <w:rFonts w:ascii="Arial" w:hAnsi="Arial" w:cs="Arial"/>
          <w:szCs w:val="24"/>
        </w:rPr>
      </w:pPr>
      <w:r w:rsidRPr="00C4381C">
        <w:rPr>
          <w:rFonts w:ascii="Arial" w:hAnsi="Arial" w:cs="Arial"/>
          <w:szCs w:val="24"/>
        </w:rPr>
        <w:t xml:space="preserve"> </w:t>
      </w:r>
    </w:p>
    <w:p w:rsidR="00301791" w:rsidP="00941C58" w14:paraId="1D9487F1" w14:textId="14FDE974">
      <w:pPr>
        <w:ind w:left="540"/>
        <w:rPr>
          <w:rFonts w:ascii="Arial" w:hAnsi="Arial" w:cs="Arial"/>
          <w:szCs w:val="24"/>
        </w:rPr>
      </w:pPr>
      <w:r w:rsidRPr="00941C58">
        <w:rPr>
          <w:rFonts w:ascii="Arial" w:hAnsi="Arial" w:cs="Arial"/>
          <w:szCs w:val="24"/>
        </w:rPr>
        <w:t>Employers use Form 5310-A to give notice of a plan merger, consolidation, spin-off, transfer of plan assets or liabilities, or qualified separate lines of business.</w:t>
      </w:r>
    </w:p>
    <w:p w:rsidR="00301791" w:rsidRPr="00C4381C" w:rsidP="00551038" w14:paraId="56B6B797" w14:textId="77777777">
      <w:pPr>
        <w:tabs>
          <w:tab w:val="left" w:pos="540"/>
        </w:tabs>
        <w:rPr>
          <w:rFonts w:ascii="Arial" w:hAnsi="Arial" w:cs="Arial"/>
          <w:szCs w:val="24"/>
        </w:rPr>
      </w:pPr>
    </w:p>
    <w:tbl>
      <w:tblPr>
        <w:tblW w:w="9990" w:type="dxa"/>
        <w:tblInd w:w="85" w:type="dxa"/>
        <w:tblLayout w:type="fixed"/>
        <w:tblLook w:val="04A0"/>
      </w:tblPr>
      <w:tblGrid>
        <w:gridCol w:w="1170"/>
        <w:gridCol w:w="2160"/>
        <w:gridCol w:w="1524"/>
        <w:gridCol w:w="1495"/>
        <w:gridCol w:w="1285"/>
        <w:gridCol w:w="1180"/>
        <w:gridCol w:w="1176"/>
      </w:tblGrid>
      <w:tr w14:paraId="235062ED" w14:textId="77777777" w:rsidTr="00673913">
        <w:tblPrEx>
          <w:tblW w:w="9990" w:type="dxa"/>
          <w:tblInd w:w="85" w:type="dxa"/>
          <w:tblLayout w:type="fixed"/>
          <w:tblLook w:val="04A0"/>
        </w:tblPrEx>
        <w:trPr>
          <w:trHeight w:val="79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E58" w:rsidRPr="00C4381C" w:rsidP="00BA6F0C" w14:paraId="11955FF5" w14:textId="77777777">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Form/Part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2A8EEA69" w14:textId="77777777">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Description</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47C37EA8" w14:textId="568DCDAD">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 xml:space="preserve"> Respondents</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31DEDBEF" w14:textId="338D80AA">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Responses Per Respondent</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4DA81EB0" w14:textId="19185079">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 xml:space="preserve"> Annual Responses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45AE2EFD" w14:textId="77777777">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Hours Per Response</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D3E58" w:rsidRPr="00C4381C" w:rsidP="00BA6F0C" w14:paraId="464D6CB6" w14:textId="77777777">
            <w:pPr>
              <w:jc w:val="center"/>
              <w:rPr>
                <w:rFonts w:ascii="Arial" w:eastAsia="Times New Roman" w:hAnsi="Arial" w:cs="Arial"/>
                <w:b/>
                <w:color w:val="000000"/>
                <w:sz w:val="20"/>
                <w:szCs w:val="20"/>
              </w:rPr>
            </w:pPr>
            <w:r w:rsidRPr="00C4381C">
              <w:rPr>
                <w:rFonts w:ascii="Arial" w:eastAsia="Times New Roman" w:hAnsi="Arial" w:cs="Arial"/>
                <w:b/>
                <w:color w:val="000000"/>
                <w:sz w:val="20"/>
                <w:szCs w:val="20"/>
              </w:rPr>
              <w:t>Total Burden</w:t>
            </w:r>
          </w:p>
        </w:tc>
      </w:tr>
      <w:tr w14:paraId="6E17CCB4" w14:textId="77777777" w:rsidTr="007B3AAE">
        <w:tblPrEx>
          <w:tblW w:w="9990" w:type="dxa"/>
          <w:tblInd w:w="85" w:type="dxa"/>
          <w:tblLayout w:type="fixed"/>
          <w:tblLook w:val="04A0"/>
        </w:tblPrEx>
        <w:trPr>
          <w:trHeight w:val="79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03BB8" w:rsidRPr="00C4381C" w:rsidP="00BA6F0C" w14:paraId="5DEFEBA6"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5310-A (Part I)</w:t>
            </w:r>
          </w:p>
        </w:tc>
        <w:tc>
          <w:tcPr>
            <w:tcW w:w="216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58301911"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Notice of Plan Merger or Consolidation, Spinoff, or Transfer of Plan Assets or Liabilities; Notice of Qualified Separate Lines of Business</w:t>
            </w:r>
          </w:p>
        </w:tc>
        <w:tc>
          <w:tcPr>
            <w:tcW w:w="1524" w:type="dxa"/>
            <w:vMerge w:val="restart"/>
            <w:tcBorders>
              <w:top w:val="single" w:sz="4" w:space="0" w:color="auto"/>
              <w:left w:val="nil"/>
              <w:right w:val="single" w:sz="4" w:space="0" w:color="auto"/>
            </w:tcBorders>
            <w:shd w:val="clear" w:color="auto" w:fill="auto"/>
            <w:vAlign w:val="center"/>
          </w:tcPr>
          <w:p w:rsidR="00D03BB8" w:rsidRPr="00C4381C" w:rsidP="00BA6F0C" w14:paraId="765CFA1D" w14:textId="683482D3">
            <w:pPr>
              <w:jc w:val="center"/>
              <w:rPr>
                <w:rFonts w:ascii="Arial" w:eastAsia="Times New Roman" w:hAnsi="Arial" w:cs="Arial"/>
                <w:color w:val="000000"/>
                <w:sz w:val="20"/>
                <w:szCs w:val="20"/>
              </w:rPr>
            </w:pPr>
            <w:r>
              <w:rPr>
                <w:rFonts w:ascii="Arial" w:eastAsia="Times New Roman" w:hAnsi="Arial" w:cs="Arial"/>
                <w:color w:val="000000"/>
                <w:sz w:val="20"/>
                <w:szCs w:val="20"/>
              </w:rPr>
              <w:t>750</w:t>
            </w:r>
          </w:p>
          <w:p w:rsidR="00D03BB8" w:rsidRPr="00C4381C" w:rsidP="00BA6F0C" w14:paraId="483E923E" w14:textId="10D54710">
            <w:pPr>
              <w:jc w:val="center"/>
              <w:rPr>
                <w:rFonts w:ascii="Arial" w:eastAsia="Times New Roman" w:hAnsi="Arial" w:cs="Arial"/>
                <w:color w:val="000000"/>
                <w:sz w:val="20"/>
                <w:szCs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37D3209" w14:textId="1B5CFAF9">
            <w:pPr>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285" w:type="dxa"/>
            <w:vMerge w:val="restart"/>
            <w:tcBorders>
              <w:top w:val="single" w:sz="4" w:space="0" w:color="auto"/>
              <w:left w:val="nil"/>
              <w:right w:val="single" w:sz="4" w:space="0" w:color="auto"/>
            </w:tcBorders>
            <w:shd w:val="clear" w:color="auto" w:fill="auto"/>
            <w:vAlign w:val="center"/>
          </w:tcPr>
          <w:p w:rsidR="00D03BB8" w:rsidRPr="00C4381C" w:rsidP="00BA6F0C" w14:paraId="76626BF2" w14:textId="45C87F95">
            <w:pPr>
              <w:jc w:val="center"/>
              <w:rPr>
                <w:rFonts w:ascii="Arial" w:eastAsia="Times New Roman" w:hAnsi="Arial" w:cs="Arial"/>
                <w:color w:val="000000"/>
                <w:sz w:val="20"/>
                <w:szCs w:val="20"/>
              </w:rPr>
            </w:pPr>
            <w:r>
              <w:rPr>
                <w:rFonts w:ascii="Arial" w:eastAsia="Times New Roman" w:hAnsi="Arial" w:cs="Arial"/>
                <w:color w:val="000000"/>
                <w:sz w:val="20"/>
                <w:szCs w:val="20"/>
              </w:rPr>
              <w:t>750</w:t>
            </w:r>
          </w:p>
          <w:p w:rsidR="00D03BB8" w:rsidRPr="00C4381C" w:rsidP="00BA6F0C" w14:paraId="14F5511F" w14:textId="7069947C">
            <w:pPr>
              <w:jc w:val="center"/>
              <w:rPr>
                <w:rFonts w:ascii="Arial" w:eastAsia="Times New Roman" w:hAnsi="Arial" w:cs="Arial"/>
                <w:color w:val="00000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235E18A" w14:textId="471CBC06">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5.</w:t>
            </w:r>
            <w:r w:rsidR="00EF519D">
              <w:rPr>
                <w:rFonts w:ascii="Arial" w:eastAsia="Times New Roman" w:hAnsi="Arial" w:cs="Arial"/>
                <w:color w:val="000000"/>
                <w:sz w:val="20"/>
                <w:szCs w:val="20"/>
              </w:rPr>
              <w:t>05</w:t>
            </w:r>
          </w:p>
        </w:tc>
        <w:tc>
          <w:tcPr>
            <w:tcW w:w="1176"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081A255B" w14:textId="31BA00FE">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3,</w:t>
            </w:r>
            <w:r w:rsidR="00EF519D">
              <w:rPr>
                <w:rFonts w:ascii="Arial" w:eastAsia="Times New Roman" w:hAnsi="Arial" w:cs="Arial"/>
                <w:color w:val="000000"/>
                <w:sz w:val="20"/>
                <w:szCs w:val="20"/>
              </w:rPr>
              <w:t>788</w:t>
            </w:r>
          </w:p>
        </w:tc>
      </w:tr>
      <w:tr w14:paraId="3D1A89CA" w14:textId="77777777" w:rsidTr="007B3AAE">
        <w:tblPrEx>
          <w:tblW w:w="9990" w:type="dxa"/>
          <w:tblInd w:w="85" w:type="dxa"/>
          <w:tblLayout w:type="fixed"/>
          <w:tblLook w:val="04A0"/>
        </w:tblPrEx>
        <w:trPr>
          <w:trHeight w:val="79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03BB8" w:rsidRPr="00C4381C" w:rsidP="00BA6F0C" w14:paraId="2214FB85"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5310-A (Part II)</w:t>
            </w:r>
          </w:p>
        </w:tc>
        <w:tc>
          <w:tcPr>
            <w:tcW w:w="216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1A01E6F9"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Plan merger or consolidation, spinoff, or transfer of plan assets or liabilities to another plan.</w:t>
            </w:r>
          </w:p>
        </w:tc>
        <w:tc>
          <w:tcPr>
            <w:tcW w:w="1524" w:type="dxa"/>
            <w:vMerge/>
            <w:tcBorders>
              <w:left w:val="nil"/>
              <w:right w:val="single" w:sz="4" w:space="0" w:color="auto"/>
            </w:tcBorders>
            <w:shd w:val="clear" w:color="auto" w:fill="auto"/>
            <w:vAlign w:val="center"/>
          </w:tcPr>
          <w:p w:rsidR="00D03BB8" w:rsidRPr="00C4381C" w:rsidP="00BA6F0C" w14:paraId="5606A723" w14:textId="69016A6E">
            <w:pPr>
              <w:jc w:val="center"/>
              <w:rPr>
                <w:rFonts w:ascii="Arial" w:eastAsia="Times New Roman" w:hAnsi="Arial" w:cs="Arial"/>
                <w:color w:val="000000"/>
                <w:sz w:val="20"/>
                <w:szCs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5846CAE5" w14:textId="23FB93C2">
            <w:pPr>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1285" w:type="dxa"/>
            <w:vMerge/>
            <w:tcBorders>
              <w:left w:val="nil"/>
              <w:right w:val="single" w:sz="4" w:space="0" w:color="auto"/>
            </w:tcBorders>
            <w:shd w:val="clear" w:color="auto" w:fill="auto"/>
            <w:vAlign w:val="center"/>
          </w:tcPr>
          <w:p w:rsidR="00D03BB8" w:rsidRPr="00C4381C" w:rsidP="00BA6F0C" w14:paraId="2EE2A396" w14:textId="2FF21D7F">
            <w:pPr>
              <w:jc w:val="center"/>
              <w:rPr>
                <w:rFonts w:ascii="Arial" w:eastAsia="Times New Roman" w:hAnsi="Arial" w:cs="Arial"/>
                <w:color w:val="00000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47AA76A7" w14:textId="7C691B5F">
            <w:pPr>
              <w:jc w:val="center"/>
              <w:rPr>
                <w:rFonts w:ascii="Arial" w:eastAsia="Times New Roman" w:hAnsi="Arial" w:cs="Arial"/>
                <w:color w:val="000000"/>
                <w:sz w:val="20"/>
                <w:szCs w:val="20"/>
              </w:rPr>
            </w:pPr>
            <w:r>
              <w:rPr>
                <w:rFonts w:ascii="Arial" w:eastAsia="Times New Roman" w:hAnsi="Arial" w:cs="Arial"/>
                <w:color w:val="000000"/>
                <w:sz w:val="20"/>
                <w:szCs w:val="20"/>
              </w:rPr>
              <w:t>5.48</w:t>
            </w:r>
          </w:p>
        </w:tc>
        <w:tc>
          <w:tcPr>
            <w:tcW w:w="1176"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7196B13E" w14:textId="6CE9E50E">
            <w:pPr>
              <w:jc w:val="center"/>
              <w:rPr>
                <w:rFonts w:ascii="Arial" w:eastAsia="Times New Roman" w:hAnsi="Arial" w:cs="Arial"/>
                <w:color w:val="000000"/>
                <w:sz w:val="20"/>
                <w:szCs w:val="20"/>
              </w:rPr>
            </w:pPr>
            <w:r>
              <w:rPr>
                <w:rFonts w:ascii="Arial" w:eastAsia="Times New Roman" w:hAnsi="Arial" w:cs="Arial"/>
                <w:color w:val="000000"/>
                <w:sz w:val="20"/>
                <w:szCs w:val="20"/>
              </w:rPr>
              <w:t>2,740</w:t>
            </w:r>
          </w:p>
        </w:tc>
      </w:tr>
      <w:tr w14:paraId="2903D6EE" w14:textId="77777777" w:rsidTr="007B3AAE">
        <w:tblPrEx>
          <w:tblW w:w="9990" w:type="dxa"/>
          <w:tblInd w:w="85" w:type="dxa"/>
          <w:tblLayout w:type="fixed"/>
          <w:tblLook w:val="04A0"/>
        </w:tblPrEx>
        <w:trPr>
          <w:trHeight w:val="548"/>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03BB8" w:rsidRPr="00C4381C" w:rsidP="00BA6F0C" w14:paraId="3E24E45F"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5310-A (Part III)</w:t>
            </w:r>
          </w:p>
        </w:tc>
        <w:tc>
          <w:tcPr>
            <w:tcW w:w="216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859F01F" w14:textId="77777777">
            <w:pPr>
              <w:jc w:val="center"/>
              <w:rPr>
                <w:rFonts w:ascii="Arial" w:eastAsia="Times New Roman" w:hAnsi="Arial" w:cs="Arial"/>
                <w:color w:val="000000"/>
                <w:sz w:val="20"/>
                <w:szCs w:val="20"/>
              </w:rPr>
            </w:pPr>
            <w:r w:rsidRPr="00C4381C">
              <w:rPr>
                <w:rFonts w:ascii="Arial" w:eastAsia="Times New Roman" w:hAnsi="Arial" w:cs="Arial"/>
                <w:color w:val="000000"/>
                <w:sz w:val="20"/>
                <w:szCs w:val="20"/>
              </w:rPr>
              <w:t>For qualified separate line of business</w:t>
            </w:r>
          </w:p>
        </w:tc>
        <w:tc>
          <w:tcPr>
            <w:tcW w:w="1524" w:type="dxa"/>
            <w:vMerge/>
            <w:tcBorders>
              <w:left w:val="nil"/>
              <w:bottom w:val="single" w:sz="4" w:space="0" w:color="auto"/>
              <w:right w:val="single" w:sz="4" w:space="0" w:color="auto"/>
            </w:tcBorders>
            <w:shd w:val="clear" w:color="auto" w:fill="auto"/>
            <w:vAlign w:val="center"/>
          </w:tcPr>
          <w:p w:rsidR="00D03BB8" w:rsidRPr="00C4381C" w:rsidP="00BA6F0C" w14:paraId="1D5DA669" w14:textId="05CAD058">
            <w:pPr>
              <w:jc w:val="center"/>
              <w:rPr>
                <w:rFonts w:ascii="Arial" w:eastAsia="Times New Roman" w:hAnsi="Arial" w:cs="Arial"/>
                <w:color w:val="000000"/>
                <w:sz w:val="20"/>
                <w:szCs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CC5D91F" w14:textId="6A29F92D">
            <w:pPr>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1285" w:type="dxa"/>
            <w:vMerge/>
            <w:tcBorders>
              <w:left w:val="nil"/>
              <w:bottom w:val="single" w:sz="4" w:space="0" w:color="auto"/>
              <w:right w:val="single" w:sz="4" w:space="0" w:color="auto"/>
            </w:tcBorders>
            <w:shd w:val="clear" w:color="auto" w:fill="auto"/>
            <w:vAlign w:val="center"/>
          </w:tcPr>
          <w:p w:rsidR="00D03BB8" w:rsidRPr="00C4381C" w:rsidP="00BA6F0C" w14:paraId="3D273EF9" w14:textId="1A51C55D">
            <w:pPr>
              <w:jc w:val="center"/>
              <w:rPr>
                <w:rFonts w:ascii="Arial" w:eastAsia="Times New Roman" w:hAnsi="Arial" w:cs="Arial"/>
                <w:color w:val="000000"/>
                <w:sz w:val="20"/>
                <w:szCs w:val="20"/>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5A79F97" w14:textId="3C759D36">
            <w:pPr>
              <w:jc w:val="center"/>
              <w:rPr>
                <w:rFonts w:ascii="Arial" w:eastAsia="Times New Roman" w:hAnsi="Arial" w:cs="Arial"/>
                <w:color w:val="000000"/>
                <w:sz w:val="20"/>
                <w:szCs w:val="20"/>
              </w:rPr>
            </w:pPr>
            <w:r>
              <w:rPr>
                <w:rFonts w:ascii="Arial" w:eastAsia="Times New Roman" w:hAnsi="Arial" w:cs="Arial"/>
                <w:color w:val="000000"/>
                <w:sz w:val="20"/>
                <w:szCs w:val="20"/>
              </w:rPr>
              <w:t>4.41</w:t>
            </w:r>
          </w:p>
        </w:tc>
        <w:tc>
          <w:tcPr>
            <w:tcW w:w="1176" w:type="dxa"/>
            <w:tcBorders>
              <w:top w:val="single" w:sz="4" w:space="0" w:color="auto"/>
              <w:left w:val="nil"/>
              <w:bottom w:val="single" w:sz="4" w:space="0" w:color="auto"/>
              <w:right w:val="single" w:sz="4" w:space="0" w:color="auto"/>
            </w:tcBorders>
            <w:shd w:val="clear" w:color="auto" w:fill="auto"/>
            <w:vAlign w:val="center"/>
          </w:tcPr>
          <w:p w:rsidR="00D03BB8" w:rsidRPr="00C4381C" w:rsidP="00BA6F0C" w14:paraId="2AA2221F" w14:textId="2277BC1F">
            <w:pPr>
              <w:jc w:val="center"/>
              <w:rPr>
                <w:rFonts w:ascii="Arial" w:eastAsia="Times New Roman" w:hAnsi="Arial" w:cs="Arial"/>
                <w:color w:val="000000"/>
                <w:sz w:val="20"/>
                <w:szCs w:val="20"/>
              </w:rPr>
            </w:pPr>
            <w:r>
              <w:rPr>
                <w:rFonts w:ascii="Arial" w:eastAsia="Times New Roman" w:hAnsi="Arial" w:cs="Arial"/>
                <w:color w:val="000000"/>
                <w:sz w:val="20"/>
                <w:szCs w:val="20"/>
              </w:rPr>
              <w:t>1,103</w:t>
            </w:r>
          </w:p>
        </w:tc>
      </w:tr>
      <w:tr w14:paraId="5CC0D60B" w14:textId="77777777" w:rsidTr="00673913">
        <w:tblPrEx>
          <w:tblW w:w="9990" w:type="dxa"/>
          <w:tblInd w:w="85" w:type="dxa"/>
          <w:tblLayout w:type="fixed"/>
          <w:tblLook w:val="04A0"/>
        </w:tblPrEx>
        <w:trPr>
          <w:trHeight w:val="467"/>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EF519D" w:rsidP="00BA6F0C" w14:paraId="13592FDF" w14:textId="77777777">
            <w:pPr>
              <w:jc w:val="center"/>
              <w:rPr>
                <w:rFonts w:ascii="Arial" w:eastAsia="Times New Roman" w:hAnsi="Arial" w:cs="Arial"/>
                <w:b/>
                <w:color w:val="000000"/>
                <w:sz w:val="20"/>
                <w:szCs w:val="20"/>
              </w:rPr>
            </w:pPr>
            <w:r w:rsidRPr="00EF519D">
              <w:rPr>
                <w:rFonts w:ascii="Arial" w:eastAsia="Times New Roman" w:hAnsi="Arial" w:cs="Arial"/>
                <w:b/>
                <w:color w:val="000000"/>
                <w:sz w:val="20"/>
                <w:szCs w:val="20"/>
              </w:rPr>
              <w:t>Total</w:t>
            </w:r>
          </w:p>
        </w:tc>
        <w:tc>
          <w:tcPr>
            <w:tcW w:w="2160"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5F8E3575" w14:textId="77777777">
            <w:pPr>
              <w:jc w:val="center"/>
              <w:rPr>
                <w:rFonts w:ascii="Arial" w:eastAsia="Times New Roman" w:hAnsi="Arial" w:cs="Arial"/>
                <w:b/>
                <w:color w:val="000000"/>
                <w:sz w:val="20"/>
                <w:szCs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6DA5B33A" w14:textId="46950ED2">
            <w:pPr>
              <w:jc w:val="center"/>
              <w:rPr>
                <w:rFonts w:ascii="Arial" w:eastAsia="Times New Roman" w:hAnsi="Arial" w:cs="Arial"/>
                <w:b/>
                <w:color w:val="000000"/>
                <w:sz w:val="20"/>
                <w:szCs w:val="20"/>
              </w:rPr>
            </w:pPr>
            <w:r w:rsidRPr="00EF519D">
              <w:rPr>
                <w:rFonts w:ascii="Arial" w:eastAsia="Times New Roman" w:hAnsi="Arial" w:cs="Arial"/>
                <w:b/>
                <w:color w:val="000000"/>
                <w:sz w:val="20"/>
                <w:szCs w:val="20"/>
              </w:rPr>
              <w:t>750</w:t>
            </w:r>
          </w:p>
        </w:tc>
        <w:tc>
          <w:tcPr>
            <w:tcW w:w="1495"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08D99D3A" w14:textId="32F2BCE1">
            <w:pPr>
              <w:jc w:val="center"/>
              <w:rPr>
                <w:rFonts w:ascii="Arial" w:eastAsia="Times New Roman" w:hAnsi="Arial" w:cs="Arial"/>
                <w:b/>
                <w:color w:val="000000"/>
                <w:sz w:val="20"/>
                <w:szCs w:val="20"/>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1F7175F1" w14:textId="7FC4F270">
            <w:pPr>
              <w:jc w:val="center"/>
              <w:rPr>
                <w:rFonts w:ascii="Arial" w:eastAsia="Times New Roman" w:hAnsi="Arial" w:cs="Arial"/>
                <w:b/>
                <w:color w:val="000000"/>
                <w:sz w:val="20"/>
                <w:szCs w:val="20"/>
              </w:rPr>
            </w:pPr>
            <w:r w:rsidRPr="00EF519D">
              <w:rPr>
                <w:rFonts w:ascii="Arial" w:eastAsia="Times New Roman" w:hAnsi="Arial" w:cs="Arial"/>
                <w:b/>
                <w:color w:val="000000"/>
                <w:sz w:val="20"/>
                <w:szCs w:val="20"/>
              </w:rPr>
              <w:t>750</w:t>
            </w:r>
          </w:p>
        </w:tc>
        <w:tc>
          <w:tcPr>
            <w:tcW w:w="1180"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5EC6570C" w14:textId="77777777">
            <w:pPr>
              <w:jc w:val="center"/>
              <w:rPr>
                <w:rFonts w:ascii="Arial" w:eastAsia="Times New Roman" w:hAnsi="Arial" w:cs="Arial"/>
                <w:b/>
                <w:color w:val="000000"/>
                <w:sz w:val="20"/>
                <w:szCs w:val="20"/>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FD3E58" w:rsidRPr="00EF519D" w:rsidP="00BA6F0C" w14:paraId="7A063F8C" w14:textId="31AC1176">
            <w:pPr>
              <w:jc w:val="center"/>
              <w:rPr>
                <w:rFonts w:ascii="Arial" w:eastAsia="Times New Roman" w:hAnsi="Arial" w:cs="Arial"/>
                <w:b/>
                <w:color w:val="000000"/>
                <w:sz w:val="20"/>
                <w:szCs w:val="20"/>
              </w:rPr>
            </w:pPr>
            <w:r>
              <w:rPr>
                <w:rFonts w:ascii="Arial" w:eastAsia="Times New Roman" w:hAnsi="Arial" w:cs="Arial"/>
                <w:b/>
                <w:color w:val="000000"/>
                <w:sz w:val="20"/>
                <w:szCs w:val="20"/>
              </w:rPr>
              <w:t>7,631</w:t>
            </w:r>
          </w:p>
        </w:tc>
      </w:tr>
    </w:tbl>
    <w:p w:rsidR="006007BC" w:rsidRPr="00C4381C" w:rsidP="006007BC" w14:paraId="6CE04B52" w14:textId="77777777">
      <w:pPr>
        <w:autoSpaceDE w:val="0"/>
        <w:autoSpaceDN w:val="0"/>
        <w:adjustRightInd w:val="0"/>
        <w:ind w:left="540"/>
        <w:rPr>
          <w:rFonts w:ascii="Arial" w:hAnsi="Arial" w:cs="Arial"/>
          <w:szCs w:val="24"/>
        </w:rPr>
      </w:pPr>
    </w:p>
    <w:p w:rsidR="009E3D48" w:rsidRPr="00C4381C" w:rsidP="00BA6F0C" w14:paraId="77AF067A"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ESTIMATED TOTAL ANNUAL COST BURDEN TO RESPONDENTS </w:t>
      </w:r>
    </w:p>
    <w:p w:rsidR="009E3D48" w:rsidRPr="00C4381C" w:rsidP="009E3D48" w14:paraId="109871BB" w14:textId="77777777">
      <w:pPr>
        <w:tabs>
          <w:tab w:val="left" w:pos="540"/>
        </w:tabs>
        <w:ind w:left="540" w:hanging="540"/>
        <w:rPr>
          <w:rFonts w:ascii="Arial" w:hAnsi="Arial" w:cs="Arial"/>
          <w:b/>
          <w:szCs w:val="24"/>
        </w:rPr>
      </w:pPr>
    </w:p>
    <w:p w:rsidR="00976D6E" w:rsidP="008822BD" w14:paraId="09180D7A" w14:textId="515AF690">
      <w:pPr>
        <w:tabs>
          <w:tab w:val="left" w:pos="540"/>
        </w:tabs>
        <w:ind w:left="540"/>
        <w:rPr>
          <w:rFonts w:ascii="Arial" w:hAnsi="Arial" w:cs="Arial"/>
          <w:b/>
          <w:szCs w:val="24"/>
          <w:u w:val="single"/>
        </w:rPr>
      </w:pPr>
      <w:r w:rsidRPr="00F74797">
        <w:rPr>
          <w:rFonts w:ascii="Arial" w:hAnsi="Arial" w:cs="Arial"/>
          <w:szCs w:val="24"/>
        </w:rPr>
        <w:t xml:space="preserve">From our Federal Register notice dated </w:t>
      </w:r>
      <w:r>
        <w:rPr>
          <w:rFonts w:ascii="Arial" w:hAnsi="Arial" w:cs="Arial"/>
          <w:szCs w:val="24"/>
        </w:rPr>
        <w:t>May</w:t>
      </w:r>
      <w:r w:rsidRPr="00F74797">
        <w:rPr>
          <w:rFonts w:ascii="Arial" w:hAnsi="Arial" w:cs="Arial"/>
          <w:szCs w:val="24"/>
        </w:rPr>
        <w:t xml:space="preserve"> </w:t>
      </w:r>
      <w:r w:rsidR="00A667BE">
        <w:rPr>
          <w:rFonts w:ascii="Arial" w:hAnsi="Arial" w:cs="Arial"/>
          <w:szCs w:val="24"/>
        </w:rPr>
        <w:t>2</w:t>
      </w:r>
      <w:r w:rsidRPr="00F74797">
        <w:rPr>
          <w:rFonts w:ascii="Arial" w:hAnsi="Arial" w:cs="Arial"/>
          <w:szCs w:val="24"/>
        </w:rPr>
        <w:t xml:space="preserve">, 2025, no public comments were received on the estimates of cost burden that are not captured in the estimates of burden hours, i.e., estimates of capital or start-up costs and costs of operation, </w:t>
      </w:r>
      <w:r w:rsidRPr="00F74797">
        <w:rPr>
          <w:rFonts w:ascii="Arial" w:hAnsi="Arial" w:cs="Arial"/>
          <w:szCs w:val="24"/>
        </w:rPr>
        <w:t>maintenance, and purchase of services to provide information.  As a result, estimates of these cost burdens are considered nominal</w:t>
      </w:r>
      <w:r w:rsidRPr="00C4381C" w:rsidR="00A648C2">
        <w:rPr>
          <w:rFonts w:ascii="Arial" w:hAnsi="Arial" w:cs="Arial"/>
          <w:szCs w:val="24"/>
        </w:rPr>
        <w:t>.</w:t>
      </w:r>
      <w:r w:rsidRPr="00C4381C" w:rsidR="009302A1">
        <w:rPr>
          <w:rFonts w:ascii="Arial" w:hAnsi="Arial" w:cs="Arial"/>
          <w:szCs w:val="24"/>
        </w:rPr>
        <w:t xml:space="preserve">   </w:t>
      </w:r>
    </w:p>
    <w:p w:rsidR="00976D6E" w:rsidRPr="00C4381C" w:rsidP="009E3D48" w14:paraId="276BE4CF" w14:textId="77777777">
      <w:pPr>
        <w:tabs>
          <w:tab w:val="left" w:pos="540"/>
        </w:tabs>
        <w:ind w:left="540" w:hanging="540"/>
        <w:rPr>
          <w:rFonts w:ascii="Arial" w:hAnsi="Arial" w:cs="Arial"/>
          <w:b/>
          <w:szCs w:val="24"/>
          <w:u w:val="single"/>
        </w:rPr>
      </w:pPr>
    </w:p>
    <w:p w:rsidR="009E3D48" w:rsidRPr="00C4381C" w:rsidP="009E3D48" w14:paraId="59649921"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ESTIMATED ANNUALIZED COST TO THE FEDERAL GOVERNMENT </w:t>
      </w:r>
    </w:p>
    <w:p w:rsidR="009E3D48" w:rsidRPr="00C4381C" w:rsidP="009E3D48" w14:paraId="035374B0" w14:textId="77777777">
      <w:pPr>
        <w:tabs>
          <w:tab w:val="left" w:pos="540"/>
        </w:tabs>
        <w:ind w:left="540" w:hanging="540"/>
        <w:rPr>
          <w:rFonts w:ascii="Arial" w:hAnsi="Arial" w:cs="Arial"/>
          <w:szCs w:val="24"/>
        </w:rPr>
      </w:pPr>
    </w:p>
    <w:p w:rsidR="00A35947" w:rsidRPr="00C4381C" w:rsidP="00551038" w14:paraId="33B0346B" w14:textId="4E4A2EB3">
      <w:pPr>
        <w:ind w:left="540"/>
        <w:rPr>
          <w:rFonts w:ascii="Arial" w:hAnsi="Arial" w:cs="Arial"/>
          <w:szCs w:val="24"/>
        </w:rPr>
      </w:pPr>
      <w:r w:rsidRPr="00C4381C">
        <w:rPr>
          <w:rFonts w:ascii="Arial" w:hAnsi="Arial" w:cs="Arial"/>
          <w:szCs w:val="24"/>
        </w:rPr>
        <w:t xml:space="preserve">The Federal government cost estimate is based on a model that considers the following three cost factors for each information product: aggregate labor costs for development, including annualized </w:t>
      </w:r>
      <w:r w:rsidRPr="00C4381C" w:rsidR="00C4381C">
        <w:rPr>
          <w:rFonts w:ascii="Arial" w:hAnsi="Arial" w:cs="Arial"/>
          <w:szCs w:val="24"/>
        </w:rPr>
        <w:t>startup</w:t>
      </w:r>
      <w:r w:rsidRPr="00C4381C">
        <w:rPr>
          <w:rFonts w:ascii="Arial" w:hAnsi="Arial" w:cs="Arial"/>
          <w:szCs w:val="24"/>
        </w:rPr>
        <w:t xml:space="preserve"> expenses, operating and maintenance expenses, and distribution of the product that collects the information.  </w:t>
      </w:r>
    </w:p>
    <w:p w:rsidR="00A35947" w:rsidRPr="00C4381C" w:rsidP="00551038" w14:paraId="09D7B45C" w14:textId="77777777">
      <w:pPr>
        <w:ind w:left="540"/>
        <w:rPr>
          <w:rFonts w:ascii="Arial" w:hAnsi="Arial" w:cs="Arial"/>
          <w:szCs w:val="24"/>
        </w:rPr>
      </w:pPr>
    </w:p>
    <w:p w:rsidR="00A35947" w:rsidRPr="00C4381C" w:rsidP="00551038" w14:paraId="332EDC7A" w14:textId="26DF3BED">
      <w:pPr>
        <w:ind w:left="540"/>
        <w:rPr>
          <w:rFonts w:ascii="Arial" w:hAnsi="Arial" w:cs="Arial"/>
          <w:szCs w:val="24"/>
        </w:rPr>
      </w:pPr>
      <w:r w:rsidRPr="00C4381C">
        <w:rPr>
          <w:rFonts w:ascii="Arial" w:hAnsi="Arial" w:cs="Arial"/>
          <w:szCs w:val="24"/>
        </w:rPr>
        <w:t xml:space="preserve">The government computes cost using a multi-step process. First, the government creates a weighted factor for the level of effort to create each information collection product based on variables such </w:t>
      </w:r>
      <w:r w:rsidRPr="00C4381C" w:rsidR="00C4381C">
        <w:rPr>
          <w:rFonts w:ascii="Arial" w:hAnsi="Arial" w:cs="Arial"/>
          <w:szCs w:val="24"/>
        </w:rPr>
        <w:t>as</w:t>
      </w:r>
      <w:r w:rsidRPr="00C4381C">
        <w:rPr>
          <w:rFonts w:ascii="Arial" w:hAnsi="Arial" w:cs="Arial"/>
          <w:szCs w:val="24"/>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C4381C" w:rsidR="00C4381C">
        <w:rPr>
          <w:rFonts w:ascii="Arial" w:hAnsi="Arial" w:cs="Arial"/>
          <w:szCs w:val="24"/>
        </w:rPr>
        <w:t>libraries,</w:t>
      </w:r>
      <w:r w:rsidRPr="00C4381C">
        <w:rPr>
          <w:rFonts w:ascii="Arial" w:hAnsi="Arial" w:cs="Arial"/>
          <w:szCs w:val="24"/>
        </w:rPr>
        <w:t xml:space="preserve"> and other outlets. The result is the Government cost estimate per product.</w:t>
      </w:r>
    </w:p>
    <w:p w:rsidR="00A35947" w:rsidRPr="00C4381C" w:rsidP="00551038" w14:paraId="27CD10DC" w14:textId="77777777">
      <w:pPr>
        <w:ind w:left="540"/>
        <w:rPr>
          <w:rFonts w:ascii="Arial" w:hAnsi="Arial" w:cs="Arial"/>
          <w:szCs w:val="24"/>
        </w:rPr>
      </w:pPr>
    </w:p>
    <w:p w:rsidR="00971A62" w:rsidRPr="00971A62" w:rsidP="00971A62" w14:paraId="01CCC251" w14:textId="09ECEEA2">
      <w:pPr>
        <w:ind w:left="360"/>
        <w:rPr>
          <w:rFonts w:ascii="Arial" w:hAnsi="Arial" w:cs="Arial"/>
          <w:szCs w:val="24"/>
        </w:rPr>
      </w:pPr>
      <w:r w:rsidRPr="00C4381C">
        <w:rPr>
          <w:rFonts w:ascii="Arial" w:hAnsi="Arial" w:cs="Arial"/>
          <w:szCs w:val="24"/>
        </w:rPr>
        <w:t xml:space="preserve">  </w:t>
      </w:r>
      <w:r w:rsidRPr="00971A62">
        <w:rPr>
          <w:rFonts w:ascii="Arial" w:hAnsi="Arial" w:cs="Arial"/>
          <w:szCs w:val="24"/>
        </w:rPr>
        <w:t>The government cost estimate for this collection is summarized in the table below.</w:t>
      </w:r>
    </w:p>
    <w:p w:rsidR="00971A62" w:rsidRPr="00971A62" w:rsidP="00971A62" w14:paraId="27474896" w14:textId="77777777">
      <w:pPr>
        <w:ind w:left="360"/>
        <w:rPr>
          <w:rFonts w:ascii="Arial" w:hAnsi="Arial" w:cs="Arial"/>
          <w:szCs w:val="24"/>
        </w:rPr>
      </w:pPr>
      <w:r w:rsidRPr="00971A62">
        <w:rPr>
          <w:rFonts w:ascii="Arial" w:hAnsi="Arial" w:cs="Arial"/>
          <w:szCs w:val="24"/>
        </w:rPr>
        <w:t xml:space="preserve"> </w:t>
      </w:r>
    </w:p>
    <w:tbl>
      <w:tblPr>
        <w:tblW w:w="894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2562"/>
        <w:gridCol w:w="7"/>
        <w:gridCol w:w="353"/>
        <w:gridCol w:w="7"/>
        <w:gridCol w:w="1523"/>
        <w:gridCol w:w="7"/>
        <w:gridCol w:w="353"/>
        <w:gridCol w:w="7"/>
        <w:gridCol w:w="2243"/>
        <w:gridCol w:w="7"/>
      </w:tblGrid>
      <w:tr w14:paraId="54BB1268" w14:textId="77777777" w:rsidTr="009B0B45">
        <w:tblPrEx>
          <w:tblW w:w="894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5" w:type="dxa"/>
            <w:shd w:val="clear" w:color="auto" w:fill="auto"/>
            <w:vAlign w:val="bottom"/>
          </w:tcPr>
          <w:p w:rsidR="00971A62" w:rsidRPr="009B0B45" w:rsidP="009B0B45" w14:paraId="74B86DF2" w14:textId="77777777">
            <w:pPr>
              <w:ind w:left="-60"/>
              <w:jc w:val="center"/>
              <w:rPr>
                <w:rFonts w:ascii="Arial" w:hAnsi="Arial" w:cs="Arial"/>
                <w:b/>
                <w:sz w:val="20"/>
                <w:szCs w:val="20"/>
              </w:rPr>
            </w:pPr>
            <w:r w:rsidRPr="009B0B45">
              <w:rPr>
                <w:rFonts w:ascii="Arial" w:hAnsi="Arial" w:cs="Arial"/>
                <w:b/>
                <w:sz w:val="20"/>
                <w:szCs w:val="20"/>
              </w:rPr>
              <w:t>Product</w:t>
            </w:r>
          </w:p>
        </w:tc>
        <w:tc>
          <w:tcPr>
            <w:tcW w:w="2569" w:type="dxa"/>
            <w:gridSpan w:val="2"/>
            <w:shd w:val="clear" w:color="auto" w:fill="auto"/>
            <w:vAlign w:val="bottom"/>
          </w:tcPr>
          <w:p w:rsidR="00971A62" w:rsidRPr="009B0B45" w:rsidP="009B0B45" w14:paraId="625ECA62" w14:textId="27D7CCE7">
            <w:pPr>
              <w:jc w:val="center"/>
              <w:rPr>
                <w:rFonts w:ascii="Arial" w:hAnsi="Arial" w:cs="Arial"/>
                <w:b/>
                <w:sz w:val="20"/>
                <w:szCs w:val="20"/>
              </w:rPr>
            </w:pPr>
            <w:r w:rsidRPr="009B0B45">
              <w:rPr>
                <w:rFonts w:ascii="Arial" w:hAnsi="Arial" w:cs="Arial"/>
                <w:b/>
                <w:sz w:val="20"/>
                <w:szCs w:val="20"/>
              </w:rPr>
              <w:t xml:space="preserve">Aggregate Cost per Product </w:t>
            </w:r>
            <w:r w:rsidRPr="009B0B45" w:rsidR="009B0B45">
              <w:rPr>
                <w:rFonts w:ascii="Arial" w:hAnsi="Arial" w:cs="Arial"/>
                <w:b/>
                <w:sz w:val="20"/>
                <w:szCs w:val="20"/>
              </w:rPr>
              <w:t>(factor applied)</w:t>
            </w:r>
          </w:p>
        </w:tc>
        <w:tc>
          <w:tcPr>
            <w:tcW w:w="360" w:type="dxa"/>
            <w:gridSpan w:val="2"/>
            <w:shd w:val="clear" w:color="auto" w:fill="auto"/>
          </w:tcPr>
          <w:p w:rsidR="00971A62" w:rsidRPr="009B0B45" w:rsidP="009B0B45" w14:paraId="6986F9F9" w14:textId="77777777">
            <w:pPr>
              <w:ind w:left="360"/>
              <w:jc w:val="center"/>
              <w:rPr>
                <w:rFonts w:ascii="Arial" w:hAnsi="Arial" w:cs="Arial"/>
                <w:b/>
                <w:sz w:val="20"/>
                <w:szCs w:val="20"/>
              </w:rPr>
            </w:pPr>
          </w:p>
        </w:tc>
        <w:tc>
          <w:tcPr>
            <w:tcW w:w="1530" w:type="dxa"/>
            <w:gridSpan w:val="2"/>
            <w:shd w:val="clear" w:color="auto" w:fill="auto"/>
            <w:vAlign w:val="bottom"/>
          </w:tcPr>
          <w:p w:rsidR="00971A62" w:rsidRPr="009B0B45" w:rsidP="009B0B45" w14:paraId="7A30C6A1" w14:textId="77777777">
            <w:pPr>
              <w:jc w:val="center"/>
              <w:rPr>
                <w:rFonts w:ascii="Arial" w:hAnsi="Arial" w:cs="Arial"/>
                <w:b/>
                <w:sz w:val="20"/>
                <w:szCs w:val="20"/>
              </w:rPr>
            </w:pPr>
            <w:r w:rsidRPr="009B0B45">
              <w:rPr>
                <w:rFonts w:ascii="Arial" w:hAnsi="Arial" w:cs="Arial"/>
                <w:b/>
                <w:sz w:val="20"/>
                <w:szCs w:val="20"/>
              </w:rPr>
              <w:t>Printing and Distribution</w:t>
            </w:r>
          </w:p>
        </w:tc>
        <w:tc>
          <w:tcPr>
            <w:tcW w:w="360" w:type="dxa"/>
            <w:gridSpan w:val="2"/>
            <w:shd w:val="clear" w:color="auto" w:fill="auto"/>
          </w:tcPr>
          <w:p w:rsidR="00971A62" w:rsidRPr="009B0B45" w:rsidP="00971A62" w14:paraId="3C411463" w14:textId="77777777">
            <w:pPr>
              <w:ind w:left="360"/>
              <w:rPr>
                <w:rFonts w:ascii="Arial" w:hAnsi="Arial" w:cs="Arial"/>
                <w:b/>
                <w:sz w:val="20"/>
                <w:szCs w:val="20"/>
              </w:rPr>
            </w:pPr>
          </w:p>
        </w:tc>
        <w:tc>
          <w:tcPr>
            <w:tcW w:w="2250" w:type="dxa"/>
            <w:gridSpan w:val="2"/>
            <w:shd w:val="clear" w:color="auto" w:fill="auto"/>
            <w:vAlign w:val="bottom"/>
          </w:tcPr>
          <w:p w:rsidR="00971A62" w:rsidRPr="009B0B45" w:rsidP="009B0B45" w14:paraId="27B7E438" w14:textId="77777777">
            <w:pPr>
              <w:jc w:val="center"/>
              <w:rPr>
                <w:rFonts w:ascii="Arial" w:hAnsi="Arial" w:cs="Arial"/>
                <w:b/>
                <w:sz w:val="20"/>
                <w:szCs w:val="20"/>
              </w:rPr>
            </w:pPr>
            <w:r w:rsidRPr="009B0B45">
              <w:rPr>
                <w:rFonts w:ascii="Arial" w:hAnsi="Arial" w:cs="Arial"/>
                <w:b/>
                <w:sz w:val="20"/>
                <w:szCs w:val="20"/>
              </w:rPr>
              <w:t>Government Cost Estimate per Product</w:t>
            </w:r>
          </w:p>
        </w:tc>
      </w:tr>
      <w:tr w14:paraId="07943309" w14:textId="77777777" w:rsidTr="009B0B45">
        <w:tblPrEx>
          <w:tblW w:w="8944" w:type="dxa"/>
          <w:tblInd w:w="508" w:type="dxa"/>
          <w:tblLook w:val="04A0"/>
        </w:tblPrEx>
        <w:tc>
          <w:tcPr>
            <w:tcW w:w="1875" w:type="dxa"/>
            <w:shd w:val="clear" w:color="auto" w:fill="auto"/>
            <w:vAlign w:val="bottom"/>
          </w:tcPr>
          <w:p w:rsidR="00971A62" w:rsidRPr="009B0B45" w:rsidP="009B0B45" w14:paraId="27BE065C" w14:textId="3CE071F6">
            <w:pPr>
              <w:ind w:left="-60"/>
              <w:rPr>
                <w:rFonts w:ascii="Arial" w:hAnsi="Arial" w:cs="Arial"/>
                <w:sz w:val="20"/>
                <w:szCs w:val="20"/>
              </w:rPr>
            </w:pPr>
            <w:r w:rsidRPr="009B0B45">
              <w:rPr>
                <w:rFonts w:ascii="Arial" w:hAnsi="Arial" w:cs="Arial"/>
                <w:sz w:val="20"/>
                <w:szCs w:val="20"/>
              </w:rPr>
              <w:t>Form 5310-A</w:t>
            </w:r>
          </w:p>
        </w:tc>
        <w:tc>
          <w:tcPr>
            <w:tcW w:w="2569" w:type="dxa"/>
            <w:gridSpan w:val="2"/>
            <w:shd w:val="clear" w:color="auto" w:fill="auto"/>
          </w:tcPr>
          <w:p w:rsidR="00971A62" w:rsidRPr="009B0B45" w:rsidP="009B0B45" w14:paraId="4006C473" w14:textId="269BBD8D">
            <w:pPr>
              <w:jc w:val="center"/>
              <w:rPr>
                <w:rFonts w:ascii="Arial" w:hAnsi="Arial" w:cs="Arial"/>
                <w:sz w:val="20"/>
                <w:szCs w:val="20"/>
              </w:rPr>
            </w:pPr>
            <w:r>
              <w:rPr>
                <w:rFonts w:ascii="Arial" w:hAnsi="Arial" w:cs="Arial"/>
                <w:sz w:val="20"/>
                <w:szCs w:val="20"/>
              </w:rPr>
              <w:t>21,035</w:t>
            </w:r>
          </w:p>
        </w:tc>
        <w:tc>
          <w:tcPr>
            <w:tcW w:w="360" w:type="dxa"/>
            <w:gridSpan w:val="2"/>
            <w:shd w:val="clear" w:color="auto" w:fill="auto"/>
          </w:tcPr>
          <w:p w:rsidR="00971A62" w:rsidRPr="009B0B45" w:rsidP="009B0B45" w14:paraId="5EAB3F20" w14:textId="77777777">
            <w:pPr>
              <w:jc w:val="center"/>
              <w:rPr>
                <w:rFonts w:ascii="Arial" w:hAnsi="Arial" w:cs="Arial"/>
                <w:sz w:val="20"/>
                <w:szCs w:val="20"/>
              </w:rPr>
            </w:pPr>
            <w:r w:rsidRPr="009B0B45">
              <w:rPr>
                <w:rFonts w:ascii="Arial" w:hAnsi="Arial" w:cs="Arial"/>
                <w:sz w:val="20"/>
                <w:szCs w:val="20"/>
              </w:rPr>
              <w:t>+</w:t>
            </w:r>
          </w:p>
        </w:tc>
        <w:tc>
          <w:tcPr>
            <w:tcW w:w="1530" w:type="dxa"/>
            <w:gridSpan w:val="2"/>
            <w:shd w:val="clear" w:color="auto" w:fill="auto"/>
          </w:tcPr>
          <w:p w:rsidR="00971A62" w:rsidRPr="009B0B45" w:rsidP="009B0B45" w14:paraId="6AA1962C" w14:textId="77777777">
            <w:pPr>
              <w:jc w:val="center"/>
              <w:rPr>
                <w:rFonts w:ascii="Arial" w:hAnsi="Arial" w:cs="Arial"/>
                <w:sz w:val="20"/>
                <w:szCs w:val="20"/>
              </w:rPr>
            </w:pPr>
            <w:r w:rsidRPr="009B0B45">
              <w:rPr>
                <w:rFonts w:ascii="Arial" w:hAnsi="Arial" w:cs="Arial"/>
                <w:sz w:val="20"/>
                <w:szCs w:val="20"/>
              </w:rPr>
              <w:t>0</w:t>
            </w:r>
          </w:p>
        </w:tc>
        <w:tc>
          <w:tcPr>
            <w:tcW w:w="360" w:type="dxa"/>
            <w:gridSpan w:val="2"/>
            <w:shd w:val="clear" w:color="auto" w:fill="auto"/>
          </w:tcPr>
          <w:p w:rsidR="00971A62" w:rsidRPr="009B0B45" w:rsidP="009B0B45" w14:paraId="540B173C" w14:textId="77777777">
            <w:pPr>
              <w:ind w:left="-14"/>
              <w:rPr>
                <w:rFonts w:ascii="Arial" w:hAnsi="Arial" w:cs="Arial"/>
                <w:sz w:val="20"/>
                <w:szCs w:val="20"/>
              </w:rPr>
            </w:pPr>
            <w:r w:rsidRPr="009B0B45">
              <w:rPr>
                <w:rFonts w:ascii="Arial" w:hAnsi="Arial" w:cs="Arial"/>
                <w:sz w:val="20"/>
                <w:szCs w:val="20"/>
              </w:rPr>
              <w:t>=</w:t>
            </w:r>
          </w:p>
        </w:tc>
        <w:tc>
          <w:tcPr>
            <w:tcW w:w="2250" w:type="dxa"/>
            <w:gridSpan w:val="2"/>
            <w:shd w:val="clear" w:color="auto" w:fill="auto"/>
          </w:tcPr>
          <w:p w:rsidR="00971A62" w:rsidRPr="009B0B45" w:rsidP="009B0B45" w14:paraId="48873F4C" w14:textId="5F89DF8F">
            <w:pPr>
              <w:ind w:left="-104"/>
              <w:jc w:val="center"/>
              <w:rPr>
                <w:rFonts w:ascii="Arial" w:hAnsi="Arial" w:cs="Arial"/>
                <w:sz w:val="20"/>
                <w:szCs w:val="20"/>
              </w:rPr>
            </w:pPr>
            <w:r>
              <w:rPr>
                <w:rFonts w:ascii="Arial" w:hAnsi="Arial" w:cs="Arial"/>
                <w:sz w:val="20"/>
                <w:szCs w:val="20"/>
              </w:rPr>
              <w:t>21,035</w:t>
            </w:r>
          </w:p>
        </w:tc>
      </w:tr>
      <w:tr w14:paraId="0AC9D8C6" w14:textId="77777777" w:rsidTr="009B0B45">
        <w:tblPrEx>
          <w:tblW w:w="8944" w:type="dxa"/>
          <w:tblInd w:w="508" w:type="dxa"/>
          <w:tblLook w:val="04A0"/>
        </w:tblPrEx>
        <w:tc>
          <w:tcPr>
            <w:tcW w:w="1875" w:type="dxa"/>
            <w:shd w:val="clear" w:color="auto" w:fill="auto"/>
            <w:vAlign w:val="bottom"/>
          </w:tcPr>
          <w:p w:rsidR="00971A62" w:rsidRPr="009B0B45" w:rsidP="009B0B45" w14:paraId="5B768D60" w14:textId="48D378F7">
            <w:pPr>
              <w:ind w:left="-60"/>
              <w:rPr>
                <w:rFonts w:ascii="Arial" w:hAnsi="Arial" w:cs="Arial"/>
                <w:sz w:val="20"/>
                <w:szCs w:val="20"/>
              </w:rPr>
            </w:pPr>
            <w:r w:rsidRPr="009B0B45">
              <w:rPr>
                <w:rFonts w:ascii="Arial" w:hAnsi="Arial" w:cs="Arial"/>
                <w:sz w:val="20"/>
                <w:szCs w:val="20"/>
              </w:rPr>
              <w:t>Instructions</w:t>
            </w:r>
          </w:p>
        </w:tc>
        <w:tc>
          <w:tcPr>
            <w:tcW w:w="2569" w:type="dxa"/>
            <w:gridSpan w:val="2"/>
            <w:shd w:val="clear" w:color="auto" w:fill="auto"/>
          </w:tcPr>
          <w:p w:rsidR="00971A62" w:rsidRPr="009B0B45" w:rsidP="009B0B45" w14:paraId="6E1A830C" w14:textId="7F2FD841">
            <w:pPr>
              <w:jc w:val="center"/>
              <w:rPr>
                <w:rFonts w:ascii="Arial" w:hAnsi="Arial" w:cs="Arial"/>
                <w:sz w:val="20"/>
                <w:szCs w:val="20"/>
              </w:rPr>
            </w:pPr>
            <w:r>
              <w:rPr>
                <w:rFonts w:ascii="Arial" w:hAnsi="Arial" w:cs="Arial"/>
                <w:sz w:val="20"/>
                <w:szCs w:val="20"/>
              </w:rPr>
              <w:t xml:space="preserve">  4,854</w:t>
            </w:r>
          </w:p>
        </w:tc>
        <w:tc>
          <w:tcPr>
            <w:tcW w:w="360" w:type="dxa"/>
            <w:gridSpan w:val="2"/>
            <w:shd w:val="clear" w:color="auto" w:fill="auto"/>
          </w:tcPr>
          <w:p w:rsidR="00971A62" w:rsidRPr="009B0B45" w:rsidP="009B0B45" w14:paraId="0A226823" w14:textId="0D9F3612">
            <w:pPr>
              <w:jc w:val="center"/>
              <w:rPr>
                <w:rFonts w:ascii="Arial" w:hAnsi="Arial" w:cs="Arial"/>
                <w:sz w:val="20"/>
                <w:szCs w:val="20"/>
              </w:rPr>
            </w:pPr>
            <w:r w:rsidRPr="009B0B45">
              <w:rPr>
                <w:rFonts w:ascii="Arial" w:hAnsi="Arial" w:cs="Arial"/>
                <w:sz w:val="20"/>
                <w:szCs w:val="20"/>
              </w:rPr>
              <w:t>+</w:t>
            </w:r>
          </w:p>
        </w:tc>
        <w:tc>
          <w:tcPr>
            <w:tcW w:w="1530" w:type="dxa"/>
            <w:gridSpan w:val="2"/>
            <w:shd w:val="clear" w:color="auto" w:fill="auto"/>
          </w:tcPr>
          <w:p w:rsidR="00971A62" w:rsidRPr="009B0B45" w:rsidP="009B0B45" w14:paraId="6501B518" w14:textId="2FEA1626">
            <w:pPr>
              <w:jc w:val="center"/>
              <w:rPr>
                <w:rFonts w:ascii="Arial" w:hAnsi="Arial" w:cs="Arial"/>
                <w:sz w:val="20"/>
                <w:szCs w:val="20"/>
              </w:rPr>
            </w:pPr>
            <w:r w:rsidRPr="009B0B45">
              <w:rPr>
                <w:rFonts w:ascii="Arial" w:hAnsi="Arial" w:cs="Arial"/>
                <w:sz w:val="20"/>
                <w:szCs w:val="20"/>
              </w:rPr>
              <w:t>0</w:t>
            </w:r>
          </w:p>
        </w:tc>
        <w:tc>
          <w:tcPr>
            <w:tcW w:w="360" w:type="dxa"/>
            <w:gridSpan w:val="2"/>
            <w:shd w:val="clear" w:color="auto" w:fill="auto"/>
          </w:tcPr>
          <w:p w:rsidR="00971A62" w:rsidRPr="009B0B45" w:rsidP="009B0B45" w14:paraId="0D8D4445" w14:textId="42607FD4">
            <w:pPr>
              <w:ind w:left="-14"/>
              <w:rPr>
                <w:rFonts w:ascii="Arial" w:hAnsi="Arial" w:cs="Arial"/>
                <w:sz w:val="20"/>
                <w:szCs w:val="20"/>
              </w:rPr>
            </w:pPr>
            <w:r w:rsidRPr="009B0B45">
              <w:rPr>
                <w:rFonts w:ascii="Arial" w:hAnsi="Arial" w:cs="Arial"/>
                <w:sz w:val="20"/>
                <w:szCs w:val="20"/>
              </w:rPr>
              <w:t>=</w:t>
            </w:r>
          </w:p>
        </w:tc>
        <w:tc>
          <w:tcPr>
            <w:tcW w:w="2250" w:type="dxa"/>
            <w:gridSpan w:val="2"/>
            <w:shd w:val="clear" w:color="auto" w:fill="auto"/>
          </w:tcPr>
          <w:p w:rsidR="00971A62" w:rsidRPr="009B0B45" w:rsidP="009B0B45" w14:paraId="7F80C9C7" w14:textId="70F2152B">
            <w:pPr>
              <w:ind w:left="-104"/>
              <w:jc w:val="center"/>
              <w:rPr>
                <w:rFonts w:ascii="Arial" w:hAnsi="Arial" w:cs="Arial"/>
                <w:sz w:val="20"/>
                <w:szCs w:val="20"/>
              </w:rPr>
            </w:pPr>
            <w:r>
              <w:rPr>
                <w:rFonts w:ascii="Arial" w:hAnsi="Arial" w:cs="Arial"/>
                <w:sz w:val="20"/>
                <w:szCs w:val="20"/>
              </w:rPr>
              <w:t xml:space="preserve"> 4,854</w:t>
            </w:r>
          </w:p>
        </w:tc>
      </w:tr>
      <w:tr w14:paraId="25CB3642" w14:textId="77777777" w:rsidTr="009B0B45">
        <w:tblPrEx>
          <w:tblW w:w="8944" w:type="dxa"/>
          <w:tblInd w:w="508" w:type="dxa"/>
          <w:tblLook w:val="04A0"/>
        </w:tblPrEx>
        <w:trPr>
          <w:gridAfter w:val="1"/>
          <w:wAfter w:w="7" w:type="dxa"/>
        </w:trPr>
        <w:tc>
          <w:tcPr>
            <w:tcW w:w="1875" w:type="dxa"/>
            <w:shd w:val="clear" w:color="auto" w:fill="auto"/>
          </w:tcPr>
          <w:p w:rsidR="00971A62" w:rsidRPr="009B0B45" w:rsidP="009B0B45" w14:paraId="7C8DD29B" w14:textId="77777777">
            <w:pPr>
              <w:ind w:left="-60"/>
              <w:rPr>
                <w:rFonts w:ascii="Arial" w:hAnsi="Arial" w:cs="Arial"/>
                <w:b/>
                <w:sz w:val="20"/>
                <w:szCs w:val="20"/>
              </w:rPr>
            </w:pPr>
            <w:r w:rsidRPr="009B0B45">
              <w:rPr>
                <w:rFonts w:ascii="Arial" w:hAnsi="Arial" w:cs="Arial"/>
                <w:b/>
                <w:sz w:val="20"/>
                <w:szCs w:val="20"/>
              </w:rPr>
              <w:t>Grand Total</w:t>
            </w:r>
          </w:p>
        </w:tc>
        <w:tc>
          <w:tcPr>
            <w:tcW w:w="2562" w:type="dxa"/>
            <w:shd w:val="clear" w:color="auto" w:fill="auto"/>
          </w:tcPr>
          <w:p w:rsidR="00971A62" w:rsidRPr="009B0B45" w:rsidP="009B0B45" w14:paraId="67D58ABA" w14:textId="0A6AA952">
            <w:pPr>
              <w:jc w:val="center"/>
              <w:rPr>
                <w:rFonts w:ascii="Arial" w:hAnsi="Arial" w:cs="Arial"/>
                <w:b/>
                <w:sz w:val="20"/>
                <w:szCs w:val="20"/>
              </w:rPr>
            </w:pPr>
            <w:r w:rsidRPr="009B0B45">
              <w:rPr>
                <w:rFonts w:ascii="Arial" w:hAnsi="Arial" w:cs="Arial"/>
                <w:b/>
                <w:sz w:val="20"/>
                <w:szCs w:val="20"/>
              </w:rPr>
              <w:t>2</w:t>
            </w:r>
            <w:r w:rsidR="00156656">
              <w:rPr>
                <w:rFonts w:ascii="Arial" w:hAnsi="Arial" w:cs="Arial"/>
                <w:b/>
                <w:sz w:val="20"/>
                <w:szCs w:val="20"/>
              </w:rPr>
              <w:t>5,889</w:t>
            </w:r>
          </w:p>
        </w:tc>
        <w:tc>
          <w:tcPr>
            <w:tcW w:w="360" w:type="dxa"/>
            <w:gridSpan w:val="2"/>
            <w:shd w:val="clear" w:color="auto" w:fill="auto"/>
          </w:tcPr>
          <w:p w:rsidR="00971A62" w:rsidRPr="009B0B45" w:rsidP="009B0B45" w14:paraId="0637FCAE" w14:textId="77777777">
            <w:pPr>
              <w:ind w:left="360"/>
              <w:jc w:val="center"/>
              <w:rPr>
                <w:rFonts w:ascii="Arial" w:hAnsi="Arial" w:cs="Arial"/>
                <w:b/>
                <w:sz w:val="20"/>
                <w:szCs w:val="20"/>
              </w:rPr>
            </w:pPr>
          </w:p>
        </w:tc>
        <w:tc>
          <w:tcPr>
            <w:tcW w:w="1530" w:type="dxa"/>
            <w:gridSpan w:val="2"/>
            <w:shd w:val="clear" w:color="auto" w:fill="auto"/>
          </w:tcPr>
          <w:p w:rsidR="00971A62" w:rsidRPr="009B0B45" w:rsidP="009B0B45" w14:paraId="2CE56366" w14:textId="77777777">
            <w:pPr>
              <w:ind w:left="360"/>
              <w:jc w:val="center"/>
              <w:rPr>
                <w:rFonts w:ascii="Arial" w:hAnsi="Arial" w:cs="Arial"/>
                <w:b/>
                <w:sz w:val="20"/>
                <w:szCs w:val="20"/>
              </w:rPr>
            </w:pPr>
          </w:p>
        </w:tc>
        <w:tc>
          <w:tcPr>
            <w:tcW w:w="360" w:type="dxa"/>
            <w:gridSpan w:val="2"/>
            <w:shd w:val="clear" w:color="auto" w:fill="auto"/>
          </w:tcPr>
          <w:p w:rsidR="00971A62" w:rsidRPr="009B0B45" w:rsidP="009B0B45" w14:paraId="7722FEC4" w14:textId="77777777">
            <w:pPr>
              <w:ind w:left="360"/>
              <w:jc w:val="center"/>
              <w:rPr>
                <w:rFonts w:ascii="Arial" w:hAnsi="Arial" w:cs="Arial"/>
                <w:b/>
                <w:sz w:val="20"/>
                <w:szCs w:val="20"/>
              </w:rPr>
            </w:pPr>
          </w:p>
        </w:tc>
        <w:tc>
          <w:tcPr>
            <w:tcW w:w="2250" w:type="dxa"/>
            <w:gridSpan w:val="2"/>
            <w:shd w:val="clear" w:color="auto" w:fill="auto"/>
          </w:tcPr>
          <w:p w:rsidR="00971A62" w:rsidRPr="009B0B45" w:rsidP="009B0B45" w14:paraId="1494A6AF" w14:textId="3F41C3DD">
            <w:pPr>
              <w:ind w:left="-104"/>
              <w:jc w:val="center"/>
              <w:rPr>
                <w:rFonts w:ascii="Arial" w:hAnsi="Arial" w:cs="Arial"/>
                <w:b/>
                <w:sz w:val="20"/>
                <w:szCs w:val="20"/>
              </w:rPr>
            </w:pPr>
            <w:r w:rsidRPr="009B0B45">
              <w:rPr>
                <w:rFonts w:ascii="Arial" w:hAnsi="Arial" w:cs="Arial"/>
                <w:b/>
                <w:sz w:val="20"/>
                <w:szCs w:val="20"/>
              </w:rPr>
              <w:t>2</w:t>
            </w:r>
            <w:r w:rsidR="00156656">
              <w:rPr>
                <w:rFonts w:ascii="Arial" w:hAnsi="Arial" w:cs="Arial"/>
                <w:b/>
                <w:sz w:val="20"/>
                <w:szCs w:val="20"/>
              </w:rPr>
              <w:t>5,889</w:t>
            </w:r>
          </w:p>
        </w:tc>
      </w:tr>
      <w:tr w14:paraId="68D43472" w14:textId="77777777" w:rsidTr="009B0B45">
        <w:tblPrEx>
          <w:tblW w:w="8944" w:type="dxa"/>
          <w:tblInd w:w="508" w:type="dxa"/>
          <w:tblLook w:val="04A0"/>
        </w:tblPrEx>
        <w:trPr>
          <w:gridAfter w:val="1"/>
          <w:wAfter w:w="7" w:type="dxa"/>
        </w:trPr>
        <w:tc>
          <w:tcPr>
            <w:tcW w:w="8937" w:type="dxa"/>
            <w:gridSpan w:val="10"/>
            <w:shd w:val="clear" w:color="auto" w:fill="auto"/>
          </w:tcPr>
          <w:p w:rsidR="009B0B45" w:rsidRPr="00156656" w:rsidP="009B0B45" w14:paraId="4303189E" w14:textId="64052AF7">
            <w:pPr>
              <w:tabs>
                <w:tab w:val="left" w:pos="1530"/>
              </w:tabs>
              <w:ind w:left="-104"/>
              <w:rPr>
                <w:rFonts w:ascii="Arial" w:hAnsi="Arial" w:cs="Arial"/>
                <w:b/>
                <w:sz w:val="16"/>
                <w:szCs w:val="16"/>
              </w:rPr>
            </w:pPr>
            <w:r w:rsidRPr="00156656">
              <w:rPr>
                <w:rFonts w:ascii="Arial" w:hAnsi="Arial" w:cs="Arial"/>
                <w:sz w:val="16"/>
                <w:szCs w:val="16"/>
              </w:rPr>
              <w:t>Table costs are based on 202</w:t>
            </w:r>
            <w:r w:rsidR="008B03EE">
              <w:rPr>
                <w:rFonts w:ascii="Arial" w:hAnsi="Arial" w:cs="Arial"/>
                <w:sz w:val="16"/>
                <w:szCs w:val="16"/>
              </w:rPr>
              <w:t>3</w:t>
            </w:r>
            <w:r w:rsidRPr="00156656">
              <w:rPr>
                <w:rFonts w:ascii="Arial" w:hAnsi="Arial" w:cs="Arial"/>
                <w:sz w:val="16"/>
                <w:szCs w:val="16"/>
              </w:rPr>
              <w:t xml:space="preserve"> actuals obtained from IRS Chief Financial Officer and Media and Publications</w:t>
            </w:r>
          </w:p>
        </w:tc>
      </w:tr>
    </w:tbl>
    <w:p w:rsidR="008822BD" w:rsidRPr="00C4381C" w:rsidP="009E3D48" w14:paraId="4D4F1064" w14:textId="77777777">
      <w:pPr>
        <w:tabs>
          <w:tab w:val="left" w:pos="540"/>
        </w:tabs>
        <w:ind w:left="540" w:hanging="540"/>
        <w:rPr>
          <w:rFonts w:ascii="Arial" w:hAnsi="Arial" w:cs="Arial"/>
          <w:b/>
          <w:szCs w:val="24"/>
        </w:rPr>
      </w:pPr>
    </w:p>
    <w:p w:rsidR="00DB3926" w:rsidRPr="00C4381C" w:rsidP="009E3D48" w14:paraId="3FADB1EB"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REASONS FOR CHANGE IN BURDEN </w:t>
      </w:r>
    </w:p>
    <w:p w:rsidR="00DB3926" w:rsidRPr="00C4381C" w:rsidP="00DB3926" w14:paraId="058F61D0" w14:textId="77777777">
      <w:pPr>
        <w:pStyle w:val="ListParagraph"/>
        <w:tabs>
          <w:tab w:val="left" w:pos="540"/>
        </w:tabs>
        <w:ind w:left="540"/>
        <w:rPr>
          <w:rFonts w:ascii="Arial" w:hAnsi="Arial" w:cs="Arial"/>
          <w:b/>
          <w:szCs w:val="24"/>
        </w:rPr>
      </w:pPr>
    </w:p>
    <w:p w:rsidR="00FD3E58" w:rsidRPr="00FD3E58" w:rsidP="00FD3E58" w14:paraId="6F07240F" w14:textId="27D17811">
      <w:pPr>
        <w:tabs>
          <w:tab w:val="left" w:pos="540"/>
        </w:tabs>
        <w:ind w:left="540" w:hanging="540"/>
        <w:rPr>
          <w:rFonts w:ascii="Arial" w:hAnsi="Arial" w:cs="Arial"/>
          <w:szCs w:val="24"/>
        </w:rPr>
      </w:pPr>
      <w:r w:rsidRPr="00C4381C">
        <w:rPr>
          <w:rFonts w:ascii="Arial" w:hAnsi="Arial" w:cs="Arial"/>
          <w:szCs w:val="24"/>
        </w:rPr>
        <w:tab/>
      </w:r>
      <w:r w:rsidRPr="00FD3E58">
        <w:rPr>
          <w:rFonts w:ascii="Arial" w:hAnsi="Arial" w:cs="Arial"/>
          <w:szCs w:val="24"/>
        </w:rPr>
        <w:t xml:space="preserve">There are no changes being made to this form at this time.  </w:t>
      </w:r>
      <w:r w:rsidR="00EF519D">
        <w:rPr>
          <w:rFonts w:ascii="Arial" w:hAnsi="Arial" w:cs="Arial"/>
          <w:szCs w:val="24"/>
        </w:rPr>
        <w:t xml:space="preserve">However, updates in the estimated filers and burden times will result in an estimated annual burden increase of </w:t>
      </w:r>
      <w:r w:rsidR="002707A5">
        <w:rPr>
          <w:rFonts w:ascii="Arial" w:hAnsi="Arial" w:cs="Arial"/>
          <w:szCs w:val="24"/>
        </w:rPr>
        <w:t>284</w:t>
      </w:r>
      <w:r w:rsidR="00EF519D">
        <w:rPr>
          <w:rFonts w:ascii="Arial" w:hAnsi="Arial" w:cs="Arial"/>
          <w:szCs w:val="24"/>
        </w:rPr>
        <w:t xml:space="preserve"> hours.  </w:t>
      </w:r>
      <w:r w:rsidRPr="00FD3E58">
        <w:rPr>
          <w:rFonts w:ascii="Arial" w:hAnsi="Arial" w:cs="Arial"/>
          <w:szCs w:val="24"/>
        </w:rPr>
        <w:t>IRS is making this submission for renewal purposes.</w:t>
      </w:r>
    </w:p>
    <w:p w:rsidR="00B860C5" w:rsidRPr="00C4381C" w:rsidP="00DB3926" w14:paraId="11713E07" w14:textId="7FFF4DF4">
      <w:pPr>
        <w:tabs>
          <w:tab w:val="left" w:pos="540"/>
        </w:tabs>
        <w:ind w:left="540" w:hanging="540"/>
        <w:rPr>
          <w:rFonts w:ascii="Arial" w:hAnsi="Arial" w:cs="Arial"/>
          <w:szCs w:val="24"/>
        </w:rPr>
      </w:pPr>
    </w:p>
    <w:tbl>
      <w:tblPr>
        <w:tblDescription w:val="table that charts list of burden"/>
        <w:tblW w:w="5394" w:type="pct"/>
        <w:tblInd w:w="-98"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99"/>
        <w:gridCol w:w="1119"/>
        <w:gridCol w:w="1452"/>
        <w:gridCol w:w="1603"/>
        <w:gridCol w:w="1651"/>
        <w:gridCol w:w="1712"/>
        <w:gridCol w:w="1044"/>
      </w:tblGrid>
      <w:tr w14:paraId="1E8EE148" w14:textId="77777777" w:rsidTr="00057B88">
        <w:tblPrEx>
          <w:tblW w:w="5394" w:type="pct"/>
          <w:tblInd w:w="-98"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744" w:type="pct"/>
            <w:tcBorders>
              <w:top w:val="outset" w:sz="6" w:space="0" w:color="auto"/>
              <w:left w:val="outset" w:sz="6" w:space="0" w:color="auto"/>
              <w:bottom w:val="outset" w:sz="6" w:space="0" w:color="auto"/>
              <w:right w:val="outset" w:sz="6" w:space="0" w:color="auto"/>
            </w:tcBorders>
            <w:vAlign w:val="center"/>
            <w:hideMark/>
          </w:tcPr>
          <w:p w:rsidR="001B5BD6" w:rsidRPr="00673913" w:rsidP="00673913" w14:paraId="40654C63" w14:textId="2B6D3882">
            <w:pPr>
              <w:rPr>
                <w:rFonts w:ascii="Arial" w:eastAsia="Times New Roman" w:hAnsi="Arial" w:cs="Arial"/>
                <w:color w:val="000000"/>
                <w:sz w:val="20"/>
                <w:szCs w:val="20"/>
              </w:rPr>
            </w:pPr>
          </w:p>
        </w:tc>
        <w:tc>
          <w:tcPr>
            <w:tcW w:w="555" w:type="pct"/>
            <w:tcBorders>
              <w:top w:val="outset" w:sz="6" w:space="0" w:color="auto"/>
              <w:left w:val="outset" w:sz="6" w:space="0" w:color="auto"/>
              <w:bottom w:val="outset" w:sz="6" w:space="0" w:color="auto"/>
              <w:right w:val="outset" w:sz="6" w:space="0" w:color="auto"/>
            </w:tcBorders>
            <w:vAlign w:val="center"/>
            <w:hideMark/>
          </w:tcPr>
          <w:p w:rsidR="001B5BD6" w:rsidRPr="00673913" w:rsidP="00057B88" w14:paraId="09305480" w14:textId="77777777">
            <w:pPr>
              <w:ind w:right="75"/>
              <w:jc w:val="center"/>
              <w:rPr>
                <w:rFonts w:ascii="Arial" w:eastAsia="Times New Roman" w:hAnsi="Arial" w:cs="Arial"/>
                <w:color w:val="000000"/>
                <w:sz w:val="20"/>
                <w:szCs w:val="20"/>
              </w:rPr>
            </w:pPr>
            <w:r w:rsidRPr="00673913">
              <w:rPr>
                <w:rFonts w:ascii="Arial" w:eastAsia="Times New Roman" w:hAnsi="Arial" w:cs="Arial"/>
                <w:color w:val="000000"/>
                <w:sz w:val="20"/>
                <w:szCs w:val="20"/>
              </w:rPr>
              <w:t>Requested</w:t>
            </w:r>
          </w:p>
        </w:tc>
        <w:tc>
          <w:tcPr>
            <w:tcW w:w="720" w:type="pct"/>
            <w:tcBorders>
              <w:top w:val="outset" w:sz="6" w:space="0" w:color="auto"/>
              <w:left w:val="outset" w:sz="6" w:space="0" w:color="auto"/>
              <w:bottom w:val="outset" w:sz="6" w:space="0" w:color="auto"/>
              <w:right w:val="outset" w:sz="6" w:space="0" w:color="auto"/>
            </w:tcBorders>
            <w:vAlign w:val="center"/>
            <w:hideMark/>
          </w:tcPr>
          <w:p w:rsidR="001B5BD6" w:rsidRPr="00673913" w:rsidP="001B5BD6" w14:paraId="1E266082" w14:textId="77777777">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Program Change Due to New Statute</w:t>
            </w:r>
          </w:p>
        </w:tc>
        <w:tc>
          <w:tcPr>
            <w:tcW w:w="795" w:type="pct"/>
            <w:tcBorders>
              <w:top w:val="outset" w:sz="6" w:space="0" w:color="auto"/>
              <w:left w:val="outset" w:sz="6" w:space="0" w:color="auto"/>
              <w:bottom w:val="outset" w:sz="6" w:space="0" w:color="auto"/>
              <w:right w:val="outset" w:sz="6" w:space="0" w:color="auto"/>
            </w:tcBorders>
            <w:vAlign w:val="center"/>
            <w:hideMark/>
          </w:tcPr>
          <w:p w:rsidR="001B5BD6" w:rsidRPr="00673913" w:rsidP="001B5BD6" w14:paraId="415122EF" w14:textId="77777777">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Program Change Due to Agency Discretion</w:t>
            </w:r>
          </w:p>
        </w:tc>
        <w:tc>
          <w:tcPr>
            <w:tcW w:w="819" w:type="pct"/>
            <w:tcBorders>
              <w:top w:val="outset" w:sz="6" w:space="0" w:color="auto"/>
              <w:left w:val="outset" w:sz="6" w:space="0" w:color="auto"/>
              <w:bottom w:val="outset" w:sz="6" w:space="0" w:color="auto"/>
              <w:right w:val="outset" w:sz="6" w:space="0" w:color="auto"/>
            </w:tcBorders>
            <w:vAlign w:val="center"/>
            <w:hideMark/>
          </w:tcPr>
          <w:p w:rsidR="001B5BD6" w:rsidRPr="00673913" w:rsidP="001B5BD6" w14:paraId="60B5FE25" w14:textId="77777777">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Change Due to Adjustment in Agency Estimate</w:t>
            </w:r>
          </w:p>
        </w:tc>
        <w:tc>
          <w:tcPr>
            <w:tcW w:w="849" w:type="pct"/>
            <w:tcBorders>
              <w:top w:val="outset" w:sz="6" w:space="0" w:color="auto"/>
              <w:left w:val="outset" w:sz="6" w:space="0" w:color="auto"/>
              <w:bottom w:val="outset" w:sz="6" w:space="0" w:color="auto"/>
              <w:right w:val="outset" w:sz="6" w:space="0" w:color="auto"/>
            </w:tcBorders>
            <w:vAlign w:val="center"/>
            <w:hideMark/>
          </w:tcPr>
          <w:p w:rsidR="001B5BD6" w:rsidRPr="00673913" w:rsidP="001B5BD6" w14:paraId="40E3AAAE" w14:textId="77777777">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Change Due to Potential Violation of the PRA</w:t>
            </w:r>
          </w:p>
        </w:tc>
        <w:tc>
          <w:tcPr>
            <w:tcW w:w="518" w:type="pct"/>
            <w:tcBorders>
              <w:top w:val="outset" w:sz="6" w:space="0" w:color="auto"/>
              <w:left w:val="outset" w:sz="6" w:space="0" w:color="auto"/>
              <w:bottom w:val="outset" w:sz="6" w:space="0" w:color="auto"/>
              <w:right w:val="outset" w:sz="6" w:space="0" w:color="auto"/>
            </w:tcBorders>
            <w:vAlign w:val="center"/>
            <w:hideMark/>
          </w:tcPr>
          <w:p w:rsidR="001B5BD6" w:rsidRPr="00673913" w:rsidP="001B5BD6" w14:paraId="7917BBDC" w14:textId="77777777">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Previously Approved</w:t>
            </w:r>
          </w:p>
        </w:tc>
      </w:tr>
      <w:tr w14:paraId="586768A5" w14:textId="77777777" w:rsidTr="00057B88">
        <w:tblPrEx>
          <w:tblW w:w="5394" w:type="pct"/>
          <w:tblInd w:w="-98" w:type="dxa"/>
          <w:tblCellMar>
            <w:top w:w="15" w:type="dxa"/>
            <w:left w:w="15" w:type="dxa"/>
            <w:bottom w:w="15" w:type="dxa"/>
            <w:right w:w="15" w:type="dxa"/>
          </w:tblCellMar>
          <w:tblLook w:val="04A0"/>
        </w:tblPrEx>
        <w:tc>
          <w:tcPr>
            <w:tcW w:w="744" w:type="pct"/>
            <w:tcBorders>
              <w:top w:val="outset" w:sz="6" w:space="0" w:color="auto"/>
              <w:left w:val="outset" w:sz="6" w:space="0" w:color="auto"/>
              <w:bottom w:val="outset" w:sz="6" w:space="0" w:color="auto"/>
              <w:right w:val="outset" w:sz="6" w:space="0" w:color="auto"/>
            </w:tcBorders>
            <w:hideMark/>
          </w:tcPr>
          <w:p w:rsidR="001B5BD6" w:rsidRPr="00673913" w:rsidP="001B5BD6" w14:paraId="6A655275" w14:textId="77777777">
            <w:pPr>
              <w:rPr>
                <w:rFonts w:ascii="Arial" w:eastAsia="Times New Roman" w:hAnsi="Arial" w:cs="Arial"/>
                <w:color w:val="000000"/>
                <w:sz w:val="20"/>
                <w:szCs w:val="20"/>
              </w:rPr>
            </w:pPr>
            <w:r w:rsidRPr="00673913">
              <w:rPr>
                <w:rFonts w:ascii="Arial" w:eastAsia="Times New Roman" w:hAnsi="Arial" w:cs="Arial"/>
                <w:color w:val="000000"/>
                <w:sz w:val="20"/>
                <w:szCs w:val="20"/>
              </w:rPr>
              <w:t>Annual Number of Responses</w:t>
            </w:r>
          </w:p>
        </w:tc>
        <w:tc>
          <w:tcPr>
            <w:tcW w:w="555" w:type="pct"/>
            <w:tcBorders>
              <w:top w:val="outset" w:sz="6" w:space="0" w:color="auto"/>
              <w:left w:val="outset" w:sz="6" w:space="0" w:color="auto"/>
              <w:bottom w:val="outset" w:sz="6" w:space="0" w:color="auto"/>
              <w:right w:val="outset" w:sz="6" w:space="0" w:color="auto"/>
            </w:tcBorders>
          </w:tcPr>
          <w:p w:rsidR="001B5BD6" w:rsidRPr="00673913" w:rsidP="00673913" w14:paraId="4C194166" w14:textId="53FD315B">
            <w:pPr>
              <w:jc w:val="center"/>
              <w:rPr>
                <w:rFonts w:ascii="Arial" w:eastAsia="Times New Roman" w:hAnsi="Arial" w:cs="Arial"/>
                <w:color w:val="000000"/>
                <w:sz w:val="20"/>
                <w:szCs w:val="20"/>
              </w:rPr>
            </w:pPr>
            <w:r>
              <w:rPr>
                <w:rFonts w:ascii="Arial" w:eastAsia="Times New Roman" w:hAnsi="Arial" w:cs="Arial"/>
                <w:color w:val="000000"/>
                <w:sz w:val="20"/>
                <w:szCs w:val="20"/>
              </w:rPr>
              <w:t>750</w:t>
            </w:r>
          </w:p>
        </w:tc>
        <w:tc>
          <w:tcPr>
            <w:tcW w:w="720" w:type="pct"/>
            <w:tcBorders>
              <w:top w:val="outset" w:sz="6" w:space="0" w:color="auto"/>
              <w:left w:val="outset" w:sz="6" w:space="0" w:color="auto"/>
              <w:bottom w:val="outset" w:sz="6" w:space="0" w:color="auto"/>
              <w:right w:val="outset" w:sz="6" w:space="0" w:color="auto"/>
            </w:tcBorders>
            <w:hideMark/>
          </w:tcPr>
          <w:p w:rsidR="001B5BD6" w:rsidRPr="00673913" w:rsidP="00673913" w14:paraId="7FEEB94C" w14:textId="7DF3BAF5">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795" w:type="pct"/>
            <w:tcBorders>
              <w:top w:val="outset" w:sz="6" w:space="0" w:color="auto"/>
              <w:left w:val="outset" w:sz="6" w:space="0" w:color="auto"/>
              <w:bottom w:val="outset" w:sz="6" w:space="0" w:color="auto"/>
              <w:right w:val="outset" w:sz="6" w:space="0" w:color="auto"/>
            </w:tcBorders>
            <w:hideMark/>
          </w:tcPr>
          <w:p w:rsidR="001B5BD6" w:rsidRPr="00673913" w:rsidP="00673913" w14:paraId="0447913F" w14:textId="0A5855B9">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819" w:type="pct"/>
            <w:tcBorders>
              <w:top w:val="outset" w:sz="6" w:space="0" w:color="auto"/>
              <w:left w:val="outset" w:sz="6" w:space="0" w:color="auto"/>
              <w:bottom w:val="outset" w:sz="6" w:space="0" w:color="auto"/>
              <w:right w:val="outset" w:sz="6" w:space="0" w:color="auto"/>
            </w:tcBorders>
          </w:tcPr>
          <w:p w:rsidR="001B5BD6" w:rsidRPr="00673913" w:rsidP="00673913" w14:paraId="489BE272" w14:textId="0D5845B0">
            <w:pPr>
              <w:jc w:val="center"/>
              <w:rPr>
                <w:rFonts w:ascii="Arial" w:eastAsia="Times New Roman" w:hAnsi="Arial" w:cs="Arial"/>
                <w:color w:val="000000"/>
                <w:sz w:val="20"/>
                <w:szCs w:val="20"/>
              </w:rPr>
            </w:pPr>
            <w:r>
              <w:rPr>
                <w:rFonts w:ascii="Arial" w:eastAsia="Times New Roman" w:hAnsi="Arial" w:cs="Arial"/>
                <w:color w:val="000000"/>
                <w:sz w:val="20"/>
                <w:szCs w:val="20"/>
              </w:rPr>
              <w:t>5</w:t>
            </w:r>
            <w:r w:rsidR="00EF519D">
              <w:rPr>
                <w:rFonts w:ascii="Arial" w:eastAsia="Times New Roman" w:hAnsi="Arial" w:cs="Arial"/>
                <w:color w:val="000000"/>
                <w:sz w:val="20"/>
                <w:szCs w:val="20"/>
              </w:rPr>
              <w:t>6</w:t>
            </w:r>
          </w:p>
        </w:tc>
        <w:tc>
          <w:tcPr>
            <w:tcW w:w="849" w:type="pct"/>
            <w:tcBorders>
              <w:top w:val="outset" w:sz="6" w:space="0" w:color="auto"/>
              <w:left w:val="outset" w:sz="6" w:space="0" w:color="auto"/>
              <w:bottom w:val="outset" w:sz="6" w:space="0" w:color="auto"/>
              <w:right w:val="outset" w:sz="6" w:space="0" w:color="auto"/>
            </w:tcBorders>
            <w:hideMark/>
          </w:tcPr>
          <w:p w:rsidR="001B5BD6" w:rsidRPr="00673913" w:rsidP="00673913" w14:paraId="1F4B10F9" w14:textId="79DD527A">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518" w:type="pct"/>
            <w:tcBorders>
              <w:top w:val="outset" w:sz="6" w:space="0" w:color="auto"/>
              <w:left w:val="outset" w:sz="6" w:space="0" w:color="auto"/>
              <w:bottom w:val="outset" w:sz="6" w:space="0" w:color="auto"/>
              <w:right w:val="outset" w:sz="6" w:space="0" w:color="auto"/>
            </w:tcBorders>
          </w:tcPr>
          <w:p w:rsidR="001B5BD6" w:rsidRPr="00673913" w:rsidP="00673913" w14:paraId="1DD6E6F8" w14:textId="36849218">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694</w:t>
            </w:r>
          </w:p>
        </w:tc>
      </w:tr>
      <w:tr w14:paraId="27739922" w14:textId="77777777" w:rsidTr="00057B88">
        <w:tblPrEx>
          <w:tblW w:w="5394" w:type="pct"/>
          <w:tblInd w:w="-98" w:type="dxa"/>
          <w:tblCellMar>
            <w:top w:w="15" w:type="dxa"/>
            <w:left w:w="15" w:type="dxa"/>
            <w:bottom w:w="15" w:type="dxa"/>
            <w:right w:w="15" w:type="dxa"/>
          </w:tblCellMar>
          <w:tblLook w:val="04A0"/>
        </w:tblPrEx>
        <w:tc>
          <w:tcPr>
            <w:tcW w:w="744" w:type="pct"/>
            <w:tcBorders>
              <w:top w:val="outset" w:sz="6" w:space="0" w:color="auto"/>
              <w:left w:val="outset" w:sz="6" w:space="0" w:color="auto"/>
              <w:bottom w:val="outset" w:sz="6" w:space="0" w:color="auto"/>
              <w:right w:val="outset" w:sz="6" w:space="0" w:color="auto"/>
            </w:tcBorders>
            <w:hideMark/>
          </w:tcPr>
          <w:p w:rsidR="001B5BD6" w:rsidRPr="00673913" w:rsidP="001B5BD6" w14:paraId="122676C2" w14:textId="1BE97FB0">
            <w:pPr>
              <w:rPr>
                <w:rFonts w:ascii="Arial" w:eastAsia="Times New Roman" w:hAnsi="Arial" w:cs="Arial"/>
                <w:color w:val="000000"/>
                <w:sz w:val="20"/>
                <w:szCs w:val="20"/>
              </w:rPr>
            </w:pPr>
            <w:r w:rsidRPr="00673913">
              <w:rPr>
                <w:rFonts w:ascii="Arial" w:eastAsia="Times New Roman" w:hAnsi="Arial" w:cs="Arial"/>
                <w:color w:val="000000"/>
                <w:sz w:val="20"/>
                <w:szCs w:val="20"/>
              </w:rPr>
              <w:t>Annual Time Burden (Hr</w:t>
            </w:r>
            <w:r w:rsidR="00673913">
              <w:rPr>
                <w:rFonts w:ascii="Arial" w:eastAsia="Times New Roman" w:hAnsi="Arial" w:cs="Arial"/>
                <w:color w:val="000000"/>
                <w:sz w:val="20"/>
                <w:szCs w:val="20"/>
              </w:rPr>
              <w:t>.</w:t>
            </w:r>
            <w:r w:rsidRPr="00673913">
              <w:rPr>
                <w:rFonts w:ascii="Arial" w:eastAsia="Times New Roman" w:hAnsi="Arial" w:cs="Arial"/>
                <w:color w:val="000000"/>
                <w:sz w:val="20"/>
                <w:szCs w:val="20"/>
              </w:rPr>
              <w:t>)</w:t>
            </w:r>
          </w:p>
        </w:tc>
        <w:tc>
          <w:tcPr>
            <w:tcW w:w="555" w:type="pct"/>
            <w:tcBorders>
              <w:top w:val="outset" w:sz="6" w:space="0" w:color="auto"/>
              <w:left w:val="outset" w:sz="6" w:space="0" w:color="auto"/>
              <w:bottom w:val="outset" w:sz="6" w:space="0" w:color="auto"/>
              <w:right w:val="outset" w:sz="6" w:space="0" w:color="auto"/>
            </w:tcBorders>
          </w:tcPr>
          <w:p w:rsidR="001B5BD6" w:rsidRPr="00673913" w:rsidP="00673913" w14:paraId="68A6AAC5" w14:textId="095659C4">
            <w:pPr>
              <w:jc w:val="center"/>
              <w:rPr>
                <w:rFonts w:ascii="Arial" w:eastAsia="Times New Roman" w:hAnsi="Arial" w:cs="Arial"/>
                <w:color w:val="000000"/>
                <w:sz w:val="20"/>
                <w:szCs w:val="20"/>
              </w:rPr>
            </w:pPr>
            <w:r>
              <w:rPr>
                <w:rFonts w:ascii="Arial" w:eastAsia="Times New Roman" w:hAnsi="Arial" w:cs="Arial"/>
                <w:color w:val="000000"/>
                <w:sz w:val="20"/>
                <w:szCs w:val="20"/>
              </w:rPr>
              <w:t>7,631</w:t>
            </w:r>
          </w:p>
        </w:tc>
        <w:tc>
          <w:tcPr>
            <w:tcW w:w="720" w:type="pct"/>
            <w:tcBorders>
              <w:top w:val="outset" w:sz="6" w:space="0" w:color="auto"/>
              <w:left w:val="outset" w:sz="6" w:space="0" w:color="auto"/>
              <w:bottom w:val="outset" w:sz="6" w:space="0" w:color="auto"/>
              <w:right w:val="outset" w:sz="6" w:space="0" w:color="auto"/>
            </w:tcBorders>
            <w:hideMark/>
          </w:tcPr>
          <w:p w:rsidR="001B5BD6" w:rsidRPr="00673913" w:rsidP="00673913" w14:paraId="5CF22D8B" w14:textId="3AB1FBF8">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795" w:type="pct"/>
            <w:tcBorders>
              <w:top w:val="outset" w:sz="6" w:space="0" w:color="auto"/>
              <w:left w:val="outset" w:sz="6" w:space="0" w:color="auto"/>
              <w:bottom w:val="outset" w:sz="6" w:space="0" w:color="auto"/>
              <w:right w:val="outset" w:sz="6" w:space="0" w:color="auto"/>
            </w:tcBorders>
            <w:hideMark/>
          </w:tcPr>
          <w:p w:rsidR="001B5BD6" w:rsidRPr="00673913" w:rsidP="00673913" w14:paraId="51CA0F80" w14:textId="591C376D">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819" w:type="pct"/>
            <w:tcBorders>
              <w:top w:val="outset" w:sz="6" w:space="0" w:color="auto"/>
              <w:left w:val="outset" w:sz="6" w:space="0" w:color="auto"/>
              <w:bottom w:val="outset" w:sz="6" w:space="0" w:color="auto"/>
              <w:right w:val="outset" w:sz="6" w:space="0" w:color="auto"/>
            </w:tcBorders>
          </w:tcPr>
          <w:p w:rsidR="001B5BD6" w:rsidRPr="00673913" w:rsidP="00EF519D" w14:paraId="4FC191D1" w14:textId="62F2236F">
            <w:pPr>
              <w:tabs>
                <w:tab w:val="left" w:pos="735"/>
                <w:tab w:val="center" w:pos="810"/>
              </w:tabs>
              <w:rPr>
                <w:rFonts w:ascii="Arial" w:eastAsia="Times New Roman" w:hAnsi="Arial" w:cs="Arial"/>
                <w:color w:val="000000"/>
                <w:sz w:val="20"/>
                <w:szCs w:val="20"/>
              </w:rPr>
            </w:pPr>
            <w:r>
              <w:rPr>
                <w:rFonts w:ascii="Arial" w:eastAsia="Times New Roman" w:hAnsi="Arial" w:cs="Arial"/>
                <w:color w:val="000000"/>
                <w:sz w:val="20"/>
                <w:szCs w:val="20"/>
              </w:rPr>
              <w:tab/>
            </w:r>
            <w:r w:rsidR="002707A5">
              <w:rPr>
                <w:rFonts w:ascii="Arial" w:eastAsia="Times New Roman" w:hAnsi="Arial" w:cs="Arial"/>
                <w:color w:val="000000"/>
                <w:sz w:val="20"/>
                <w:szCs w:val="20"/>
              </w:rPr>
              <w:t>284</w:t>
            </w:r>
          </w:p>
        </w:tc>
        <w:tc>
          <w:tcPr>
            <w:tcW w:w="849" w:type="pct"/>
            <w:tcBorders>
              <w:top w:val="outset" w:sz="6" w:space="0" w:color="auto"/>
              <w:left w:val="outset" w:sz="6" w:space="0" w:color="auto"/>
              <w:bottom w:val="outset" w:sz="6" w:space="0" w:color="auto"/>
              <w:right w:val="outset" w:sz="6" w:space="0" w:color="auto"/>
            </w:tcBorders>
            <w:hideMark/>
          </w:tcPr>
          <w:p w:rsidR="001B5BD6" w:rsidRPr="00673913" w:rsidP="00673913" w14:paraId="5003E37B" w14:textId="2A8744BD">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0</w:t>
            </w:r>
          </w:p>
        </w:tc>
        <w:tc>
          <w:tcPr>
            <w:tcW w:w="518" w:type="pct"/>
            <w:tcBorders>
              <w:top w:val="outset" w:sz="6" w:space="0" w:color="auto"/>
              <w:left w:val="outset" w:sz="6" w:space="0" w:color="auto"/>
              <w:bottom w:val="outset" w:sz="6" w:space="0" w:color="auto"/>
              <w:right w:val="outset" w:sz="6" w:space="0" w:color="auto"/>
            </w:tcBorders>
          </w:tcPr>
          <w:p w:rsidR="001B5BD6" w:rsidRPr="00673913" w:rsidP="00673913" w14:paraId="403AB662" w14:textId="26A72DF0">
            <w:pPr>
              <w:jc w:val="center"/>
              <w:rPr>
                <w:rFonts w:ascii="Arial" w:eastAsia="Times New Roman" w:hAnsi="Arial" w:cs="Arial"/>
                <w:color w:val="000000"/>
                <w:sz w:val="20"/>
                <w:szCs w:val="20"/>
              </w:rPr>
            </w:pPr>
            <w:r w:rsidRPr="00673913">
              <w:rPr>
                <w:rFonts w:ascii="Arial" w:eastAsia="Times New Roman" w:hAnsi="Arial" w:cs="Arial"/>
                <w:color w:val="000000"/>
                <w:sz w:val="20"/>
                <w:szCs w:val="20"/>
              </w:rPr>
              <w:t>7,347</w:t>
            </w:r>
          </w:p>
        </w:tc>
      </w:tr>
    </w:tbl>
    <w:p w:rsidR="001B5BD6" w:rsidP="00DB3926" w14:paraId="18C6646D" w14:textId="106E2132">
      <w:pPr>
        <w:tabs>
          <w:tab w:val="left" w:pos="540"/>
        </w:tabs>
        <w:ind w:left="540" w:hanging="540"/>
        <w:rPr>
          <w:rFonts w:ascii="Arial" w:hAnsi="Arial" w:cs="Arial"/>
          <w:szCs w:val="24"/>
        </w:rPr>
      </w:pPr>
    </w:p>
    <w:p w:rsidR="009E3D48" w:rsidRPr="00C4381C" w:rsidP="009E3D48" w14:paraId="4E72F214"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PLANS FOR TABULATION, STATISTICAL ANALYSIS AND PUBLICATION </w:t>
      </w:r>
    </w:p>
    <w:p w:rsidR="009E3D48" w:rsidRPr="00C4381C" w:rsidP="009E3D48" w14:paraId="2ABDC97A" w14:textId="77777777">
      <w:pPr>
        <w:tabs>
          <w:tab w:val="left" w:pos="540"/>
        </w:tabs>
        <w:ind w:left="540" w:hanging="540"/>
        <w:rPr>
          <w:rFonts w:ascii="Arial" w:hAnsi="Arial" w:cs="Arial"/>
          <w:szCs w:val="24"/>
        </w:rPr>
      </w:pPr>
    </w:p>
    <w:p w:rsidR="0004104E" w:rsidRPr="00C4381C" w:rsidP="0004104E" w14:paraId="4DE7097D" w14:textId="77777777">
      <w:pPr>
        <w:tabs>
          <w:tab w:val="left" w:pos="540"/>
        </w:tabs>
        <w:ind w:left="540" w:hanging="540"/>
        <w:rPr>
          <w:rFonts w:ascii="Arial" w:hAnsi="Arial" w:cs="Arial"/>
          <w:szCs w:val="24"/>
        </w:rPr>
      </w:pPr>
      <w:r w:rsidRPr="00C4381C">
        <w:rPr>
          <w:rFonts w:ascii="Arial" w:hAnsi="Arial" w:cs="Arial"/>
          <w:szCs w:val="24"/>
        </w:rPr>
        <w:tab/>
      </w:r>
      <w:r w:rsidRPr="00C4381C" w:rsidR="00A648C2">
        <w:rPr>
          <w:rFonts w:ascii="Arial" w:hAnsi="Arial" w:cs="Arial"/>
          <w:szCs w:val="24"/>
        </w:rPr>
        <w:t>There are no plans for tabulation, statistical analysis, and publication.</w:t>
      </w:r>
    </w:p>
    <w:p w:rsidR="00D463E0" w:rsidRPr="00C4381C" w:rsidP="009E3D48" w14:paraId="3363D4C8" w14:textId="77777777">
      <w:pPr>
        <w:tabs>
          <w:tab w:val="left" w:pos="540"/>
        </w:tabs>
        <w:ind w:left="540" w:hanging="540"/>
        <w:rPr>
          <w:rFonts w:ascii="Arial" w:hAnsi="Arial" w:cs="Arial"/>
          <w:szCs w:val="24"/>
          <w:u w:val="single"/>
        </w:rPr>
      </w:pPr>
    </w:p>
    <w:p w:rsidR="009E3D48" w:rsidRPr="00C4381C" w:rsidP="009E3D48" w14:paraId="17E6C45E"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 xml:space="preserve">REASONS WHY DISPLAYING THE OMB EXPIRATION DATE IS INAPPROPRIATE </w:t>
      </w:r>
    </w:p>
    <w:p w:rsidR="009E3D48" w:rsidRPr="00C4381C" w:rsidP="009E3D48" w14:paraId="0B07F71C" w14:textId="77777777">
      <w:pPr>
        <w:tabs>
          <w:tab w:val="left" w:pos="540"/>
        </w:tabs>
        <w:ind w:left="540" w:hanging="540"/>
        <w:rPr>
          <w:rFonts w:ascii="Arial" w:hAnsi="Arial" w:cs="Arial"/>
          <w:b/>
          <w:szCs w:val="24"/>
        </w:rPr>
      </w:pPr>
    </w:p>
    <w:p w:rsidR="0004104E" w:rsidRPr="00C4381C" w:rsidP="004606C9" w14:paraId="4B9FA00C" w14:textId="354E40B0">
      <w:pPr>
        <w:tabs>
          <w:tab w:val="left" w:pos="540"/>
        </w:tabs>
        <w:ind w:left="540"/>
        <w:rPr>
          <w:rFonts w:ascii="Arial" w:hAnsi="Arial" w:cs="Arial"/>
          <w:szCs w:val="24"/>
        </w:rPr>
      </w:pPr>
      <w:r w:rsidRPr="00C4381C">
        <w:rPr>
          <w:rFonts w:ascii="Arial" w:hAnsi="Arial" w:cs="Arial"/>
          <w:szCs w:val="24"/>
        </w:rPr>
        <w:t xml:space="preserve">IRS believes that displaying the OMB expiration date is inappropriate because it could cause confusion by leading taxpayers to believe that the </w:t>
      </w:r>
      <w:r w:rsidR="008B03EE">
        <w:rPr>
          <w:rFonts w:ascii="Arial" w:hAnsi="Arial" w:cs="Arial"/>
          <w:szCs w:val="24"/>
        </w:rPr>
        <w:t>form expires</w:t>
      </w:r>
      <w:r w:rsidRPr="00C4381C">
        <w:rPr>
          <w:rFonts w:ascii="Arial" w:hAnsi="Arial" w:cs="Arial"/>
          <w:szCs w:val="24"/>
        </w:rPr>
        <w:t xml:space="preserve"> as of the expiration date. Taxpayers are not likely to be aware that the </w:t>
      </w:r>
      <w:r w:rsidR="00673913">
        <w:rPr>
          <w:rFonts w:ascii="Arial" w:hAnsi="Arial" w:cs="Arial"/>
          <w:szCs w:val="24"/>
        </w:rPr>
        <w:t xml:space="preserve">IRS </w:t>
      </w:r>
      <w:r w:rsidRPr="00C4381C">
        <w:rPr>
          <w:rFonts w:ascii="Arial" w:hAnsi="Arial" w:cs="Arial"/>
          <w:szCs w:val="24"/>
        </w:rPr>
        <w:t>intends to request renewal of the OMB approval and obtain a new expiration date before the old one expires.</w:t>
      </w:r>
    </w:p>
    <w:p w:rsidR="00D463E0" w:rsidRPr="00C4381C" w:rsidP="009E3D48" w14:paraId="45CBD303" w14:textId="77777777">
      <w:pPr>
        <w:tabs>
          <w:tab w:val="left" w:pos="540"/>
        </w:tabs>
        <w:ind w:left="540" w:hanging="540"/>
        <w:rPr>
          <w:rFonts w:ascii="Arial" w:hAnsi="Arial" w:cs="Arial"/>
          <w:b/>
          <w:szCs w:val="24"/>
          <w:u w:val="single"/>
        </w:rPr>
      </w:pPr>
    </w:p>
    <w:p w:rsidR="009E3D48" w:rsidRPr="00C4381C" w:rsidP="009E3D48" w14:paraId="376AEE16" w14:textId="77777777">
      <w:pPr>
        <w:pStyle w:val="ListParagraph"/>
        <w:numPr>
          <w:ilvl w:val="0"/>
          <w:numId w:val="1"/>
        </w:numPr>
        <w:tabs>
          <w:tab w:val="left" w:pos="540"/>
        </w:tabs>
        <w:ind w:hanging="540"/>
        <w:rPr>
          <w:rFonts w:ascii="Arial" w:hAnsi="Arial" w:cs="Arial"/>
          <w:b/>
          <w:szCs w:val="24"/>
          <w:u w:val="single"/>
        </w:rPr>
      </w:pPr>
      <w:r w:rsidRPr="00C4381C">
        <w:rPr>
          <w:rFonts w:ascii="Arial" w:hAnsi="Arial" w:cs="Arial"/>
          <w:b/>
          <w:szCs w:val="24"/>
          <w:u w:val="single"/>
        </w:rPr>
        <w:t>EXCEPTIONS TO THE CERTIFICATION STATEMENT</w:t>
      </w:r>
    </w:p>
    <w:p w:rsidR="009E3D48" w:rsidRPr="00C4381C" w:rsidP="009E3D48" w14:paraId="1C3C8D39" w14:textId="77777777">
      <w:pPr>
        <w:tabs>
          <w:tab w:val="left" w:pos="540"/>
        </w:tabs>
        <w:ind w:left="540" w:hanging="540"/>
        <w:rPr>
          <w:rFonts w:ascii="Arial" w:hAnsi="Arial" w:cs="Arial"/>
          <w:szCs w:val="24"/>
        </w:rPr>
      </w:pPr>
    </w:p>
    <w:p w:rsidR="00A648C2" w:rsidRPr="00C4381C" w:rsidP="00A648C2" w14:paraId="5A028545" w14:textId="77777777">
      <w:pPr>
        <w:ind w:left="540"/>
        <w:rPr>
          <w:rFonts w:ascii="Arial" w:hAnsi="Arial" w:cs="Arial"/>
          <w:szCs w:val="24"/>
        </w:rPr>
      </w:pPr>
      <w:r w:rsidRPr="00C4381C">
        <w:rPr>
          <w:rFonts w:ascii="Arial" w:hAnsi="Arial" w:cs="Arial"/>
          <w:szCs w:val="24"/>
        </w:rPr>
        <w:t xml:space="preserve"> There are no exceptions to the certification statement.</w:t>
      </w:r>
    </w:p>
    <w:p w:rsidR="0004104E" w:rsidRPr="00C4381C" w:rsidP="0004104E" w14:paraId="2DBF7F6F" w14:textId="77777777">
      <w:pPr>
        <w:tabs>
          <w:tab w:val="left" w:pos="540"/>
        </w:tabs>
        <w:ind w:left="540" w:hanging="540"/>
        <w:rPr>
          <w:rFonts w:ascii="Arial" w:hAnsi="Arial" w:cs="Arial"/>
          <w:szCs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1E8D26CB" w14:textId="77777777">
        <w:pPr>
          <w:pStyle w:val="Footer"/>
          <w:jc w:val="right"/>
        </w:pPr>
        <w:r>
          <w:fldChar w:fldCharType="begin"/>
        </w:r>
        <w:r>
          <w:instrText xml:space="preserve"> PAGE   \* MERGEFORMAT </w:instrText>
        </w:r>
        <w:r>
          <w:fldChar w:fldCharType="separate"/>
        </w:r>
        <w:r w:rsidR="007D7D4B">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BD55ED"/>
    <w:multiLevelType w:val="hybridMultilevel"/>
    <w:tmpl w:val="66F67A2E"/>
    <w:lvl w:ilvl="0">
      <w:start w:val="0"/>
      <w:numFmt w:val="bullet"/>
      <w:lvlText w:val="•"/>
      <w:lvlJc w:val="left"/>
      <w:pPr>
        <w:ind w:left="1440" w:hanging="360"/>
      </w:pPr>
      <w:rPr>
        <w:rFonts w:ascii="Arial" w:hAnsi="Arial" w:eastAsiaTheme="minorHAnsi"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507B3598"/>
    <w:multiLevelType w:val="hybridMultilevel"/>
    <w:tmpl w:val="7510616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568A219D"/>
    <w:multiLevelType w:val="hybridMultilevel"/>
    <w:tmpl w:val="1B26FB54"/>
    <w:lvl w:ilvl="0">
      <w:start w:val="1"/>
      <w:numFmt w:val="decimal"/>
      <w:lvlText w:val="%1."/>
      <w:lvlJc w:val="left"/>
      <w:pPr>
        <w:ind w:left="5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77D3F16"/>
    <w:multiLevelType w:val="hybridMultilevel"/>
    <w:tmpl w:val="78082F80"/>
    <w:lvl w:ilvl="0">
      <w:start w:val="0"/>
      <w:numFmt w:val="bullet"/>
      <w:lvlText w:val="•"/>
      <w:lvlJc w:val="left"/>
      <w:pPr>
        <w:ind w:left="900" w:hanging="360"/>
      </w:pPr>
      <w:rPr>
        <w:rFonts w:ascii="Arial" w:hAnsi="Arial" w:eastAsiaTheme="minorHAnsi" w:cs="Aria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7ABF3AFA"/>
    <w:multiLevelType w:val="hybridMultilevel"/>
    <w:tmpl w:val="0C42BB3A"/>
    <w:lvl w:ilvl="0">
      <w:start w:val="0"/>
      <w:numFmt w:val="bullet"/>
      <w:lvlText w:val="•"/>
      <w:lvlJc w:val="left"/>
      <w:pPr>
        <w:ind w:left="900" w:hanging="360"/>
      </w:pPr>
      <w:rPr>
        <w:rFonts w:ascii="Arial" w:hAnsi="Arial" w:eastAsiaTheme="minorHAnsi" w:cs="Aria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1184707162">
    <w:abstractNumId w:val="2"/>
  </w:num>
  <w:num w:numId="2" w16cid:durableId="396366841">
    <w:abstractNumId w:val="1"/>
  </w:num>
  <w:num w:numId="3" w16cid:durableId="1915820489">
    <w:abstractNumId w:val="4"/>
  </w:num>
  <w:num w:numId="4" w16cid:durableId="1883864126">
    <w:abstractNumId w:val="0"/>
  </w:num>
  <w:num w:numId="5" w16cid:durableId="13962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104BB"/>
    <w:rsid w:val="0004104E"/>
    <w:rsid w:val="000528AC"/>
    <w:rsid w:val="00057B88"/>
    <w:rsid w:val="000720DB"/>
    <w:rsid w:val="0007317C"/>
    <w:rsid w:val="00087805"/>
    <w:rsid w:val="000D26FB"/>
    <w:rsid w:val="00114481"/>
    <w:rsid w:val="0012304F"/>
    <w:rsid w:val="0012312C"/>
    <w:rsid w:val="00156656"/>
    <w:rsid w:val="001616BC"/>
    <w:rsid w:val="00163E8B"/>
    <w:rsid w:val="001825FB"/>
    <w:rsid w:val="00183523"/>
    <w:rsid w:val="00190335"/>
    <w:rsid w:val="0019453D"/>
    <w:rsid w:val="00197CEF"/>
    <w:rsid w:val="001B50B4"/>
    <w:rsid w:val="001B5BD6"/>
    <w:rsid w:val="001C5DFB"/>
    <w:rsid w:val="001D050E"/>
    <w:rsid w:val="001D1550"/>
    <w:rsid w:val="001E42B4"/>
    <w:rsid w:val="001E67A8"/>
    <w:rsid w:val="0020238A"/>
    <w:rsid w:val="002355C7"/>
    <w:rsid w:val="00235AD5"/>
    <w:rsid w:val="002456AB"/>
    <w:rsid w:val="00265A1D"/>
    <w:rsid w:val="002707A5"/>
    <w:rsid w:val="002736EC"/>
    <w:rsid w:val="00277A26"/>
    <w:rsid w:val="002911BE"/>
    <w:rsid w:val="002A463C"/>
    <w:rsid w:val="002A6B24"/>
    <w:rsid w:val="002C3D9E"/>
    <w:rsid w:val="002C7C4B"/>
    <w:rsid w:val="00301791"/>
    <w:rsid w:val="00307371"/>
    <w:rsid w:val="00313D91"/>
    <w:rsid w:val="00322912"/>
    <w:rsid w:val="003237B8"/>
    <w:rsid w:val="003335CC"/>
    <w:rsid w:val="0035436B"/>
    <w:rsid w:val="00355E2F"/>
    <w:rsid w:val="0035698E"/>
    <w:rsid w:val="0037339A"/>
    <w:rsid w:val="00377A8D"/>
    <w:rsid w:val="003965E9"/>
    <w:rsid w:val="003B113D"/>
    <w:rsid w:val="003F48FD"/>
    <w:rsid w:val="00453441"/>
    <w:rsid w:val="004606C9"/>
    <w:rsid w:val="004667C4"/>
    <w:rsid w:val="0047046A"/>
    <w:rsid w:val="0050203A"/>
    <w:rsid w:val="0054558D"/>
    <w:rsid w:val="00551038"/>
    <w:rsid w:val="00552E26"/>
    <w:rsid w:val="005661A4"/>
    <w:rsid w:val="00594456"/>
    <w:rsid w:val="005B45EA"/>
    <w:rsid w:val="005B773F"/>
    <w:rsid w:val="005E6135"/>
    <w:rsid w:val="006007BC"/>
    <w:rsid w:val="006031DF"/>
    <w:rsid w:val="00632AAB"/>
    <w:rsid w:val="00637C90"/>
    <w:rsid w:val="00651FD9"/>
    <w:rsid w:val="006546DD"/>
    <w:rsid w:val="00673913"/>
    <w:rsid w:val="006B08BA"/>
    <w:rsid w:val="006E290A"/>
    <w:rsid w:val="00700CA4"/>
    <w:rsid w:val="00700E6B"/>
    <w:rsid w:val="00707D8C"/>
    <w:rsid w:val="00732204"/>
    <w:rsid w:val="00736DBB"/>
    <w:rsid w:val="007659A2"/>
    <w:rsid w:val="00770EAA"/>
    <w:rsid w:val="00786EF0"/>
    <w:rsid w:val="007C611A"/>
    <w:rsid w:val="007D7D4B"/>
    <w:rsid w:val="00801000"/>
    <w:rsid w:val="00875FEB"/>
    <w:rsid w:val="008822BD"/>
    <w:rsid w:val="008A479F"/>
    <w:rsid w:val="008B03EE"/>
    <w:rsid w:val="008E1C8A"/>
    <w:rsid w:val="008F35C9"/>
    <w:rsid w:val="00913827"/>
    <w:rsid w:val="0091564B"/>
    <w:rsid w:val="009302A1"/>
    <w:rsid w:val="00941C58"/>
    <w:rsid w:val="00946CFC"/>
    <w:rsid w:val="00964FD7"/>
    <w:rsid w:val="00967A30"/>
    <w:rsid w:val="00971A62"/>
    <w:rsid w:val="00976D6E"/>
    <w:rsid w:val="00987C87"/>
    <w:rsid w:val="00996DDD"/>
    <w:rsid w:val="009A26B1"/>
    <w:rsid w:val="009B0B45"/>
    <w:rsid w:val="009E3D48"/>
    <w:rsid w:val="00A24315"/>
    <w:rsid w:val="00A35947"/>
    <w:rsid w:val="00A648C2"/>
    <w:rsid w:val="00A667BE"/>
    <w:rsid w:val="00A7229A"/>
    <w:rsid w:val="00A970CD"/>
    <w:rsid w:val="00AA034F"/>
    <w:rsid w:val="00AF29E4"/>
    <w:rsid w:val="00B041DE"/>
    <w:rsid w:val="00B05AB2"/>
    <w:rsid w:val="00B248B3"/>
    <w:rsid w:val="00B25B61"/>
    <w:rsid w:val="00B860C5"/>
    <w:rsid w:val="00BA6F0C"/>
    <w:rsid w:val="00BB0384"/>
    <w:rsid w:val="00BD1F42"/>
    <w:rsid w:val="00C14F69"/>
    <w:rsid w:val="00C4381C"/>
    <w:rsid w:val="00C55E78"/>
    <w:rsid w:val="00C94EBE"/>
    <w:rsid w:val="00C97FF0"/>
    <w:rsid w:val="00CB358B"/>
    <w:rsid w:val="00CE08A4"/>
    <w:rsid w:val="00CF61FE"/>
    <w:rsid w:val="00D01E6A"/>
    <w:rsid w:val="00D03BB8"/>
    <w:rsid w:val="00D33900"/>
    <w:rsid w:val="00D463E0"/>
    <w:rsid w:val="00D47DDC"/>
    <w:rsid w:val="00D91961"/>
    <w:rsid w:val="00DB08D0"/>
    <w:rsid w:val="00DB3926"/>
    <w:rsid w:val="00DC1585"/>
    <w:rsid w:val="00DF3D53"/>
    <w:rsid w:val="00DF6A65"/>
    <w:rsid w:val="00E20185"/>
    <w:rsid w:val="00E378C3"/>
    <w:rsid w:val="00E44BF6"/>
    <w:rsid w:val="00E546B4"/>
    <w:rsid w:val="00E6734F"/>
    <w:rsid w:val="00E729D0"/>
    <w:rsid w:val="00E7493B"/>
    <w:rsid w:val="00EA291B"/>
    <w:rsid w:val="00EB0140"/>
    <w:rsid w:val="00EB5D43"/>
    <w:rsid w:val="00EB6683"/>
    <w:rsid w:val="00ED3A16"/>
    <w:rsid w:val="00EE7DD2"/>
    <w:rsid w:val="00EF519D"/>
    <w:rsid w:val="00F011BC"/>
    <w:rsid w:val="00F02F40"/>
    <w:rsid w:val="00F25AFB"/>
    <w:rsid w:val="00F35D6A"/>
    <w:rsid w:val="00F674CA"/>
    <w:rsid w:val="00F71508"/>
    <w:rsid w:val="00F74797"/>
    <w:rsid w:val="00F82330"/>
    <w:rsid w:val="00F87A66"/>
    <w:rsid w:val="00F972DB"/>
    <w:rsid w:val="00FB7B94"/>
    <w:rsid w:val="00FD3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F2D1F"/>
  <w15:docId w15:val="{20091131-4167-4FE6-B45F-F65320B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E290A"/>
    <w:pPr>
      <w:keepNext/>
      <w:widowControl w:val="0"/>
      <w:outlineLvl w:val="1"/>
    </w:pPr>
    <w:rPr>
      <w:rFonts w:ascii="Courier" w:eastAsia="Times New Roman" w:hAnsi="Courier"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Heading2Char">
    <w:name w:val="Heading 2 Char"/>
    <w:basedOn w:val="DefaultParagraphFont"/>
    <w:link w:val="Heading2"/>
    <w:rsid w:val="006E290A"/>
    <w:rPr>
      <w:rFonts w:ascii="Courier" w:eastAsia="Times New Roman" w:hAnsi="Courier" w:cs="Times New Roman"/>
      <w:b/>
      <w:snapToGrid w:val="0"/>
      <w:szCs w:val="20"/>
    </w:rPr>
  </w:style>
  <w:style w:type="paragraph" w:styleId="BodyTextIndent">
    <w:name w:val="Body Text Indent"/>
    <w:basedOn w:val="Normal"/>
    <w:link w:val="BodyTextIndentChar"/>
    <w:rsid w:val="006E290A"/>
    <w:pPr>
      <w:widowControl w:val="0"/>
      <w:ind w:left="720"/>
    </w:pPr>
    <w:rPr>
      <w:rFonts w:ascii="Courier" w:eastAsia="Times New Roman" w:hAnsi="Courier" w:cs="Times New Roman"/>
      <w:b/>
      <w:snapToGrid w:val="0"/>
      <w:szCs w:val="20"/>
    </w:rPr>
  </w:style>
  <w:style w:type="character" w:customStyle="1" w:styleId="BodyTextIndentChar">
    <w:name w:val="Body Text Indent Char"/>
    <w:basedOn w:val="DefaultParagraphFont"/>
    <w:link w:val="BodyTextIndent"/>
    <w:rsid w:val="006E290A"/>
    <w:rPr>
      <w:rFonts w:ascii="Courier" w:eastAsia="Times New Roman" w:hAnsi="Courier" w:cs="Times New Roman"/>
      <w:b/>
      <w:snapToGrid w:val="0"/>
      <w:szCs w:val="20"/>
    </w:rPr>
  </w:style>
  <w:style w:type="character" w:customStyle="1" w:styleId="UnresolvedMention2">
    <w:name w:val="Unresolved Mention2"/>
    <w:basedOn w:val="DefaultParagraphFont"/>
    <w:uiPriority w:val="99"/>
    <w:semiHidden/>
    <w:unhideWhenUsed/>
    <w:rsid w:val="006E290A"/>
    <w:rPr>
      <w:color w:val="808080"/>
      <w:shd w:val="clear" w:color="auto" w:fill="E6E6E6"/>
    </w:rPr>
  </w:style>
  <w:style w:type="character" w:styleId="CommentReference">
    <w:name w:val="annotation reference"/>
    <w:basedOn w:val="DefaultParagraphFont"/>
    <w:uiPriority w:val="99"/>
    <w:semiHidden/>
    <w:unhideWhenUsed/>
    <w:rsid w:val="00707D8C"/>
    <w:rPr>
      <w:sz w:val="16"/>
      <w:szCs w:val="16"/>
    </w:rPr>
  </w:style>
  <w:style w:type="paragraph" w:styleId="CommentText">
    <w:name w:val="annotation text"/>
    <w:basedOn w:val="Normal"/>
    <w:link w:val="CommentTextChar"/>
    <w:uiPriority w:val="99"/>
    <w:unhideWhenUsed/>
    <w:rsid w:val="00707D8C"/>
    <w:rPr>
      <w:sz w:val="20"/>
      <w:szCs w:val="20"/>
    </w:rPr>
  </w:style>
  <w:style w:type="character" w:customStyle="1" w:styleId="CommentTextChar">
    <w:name w:val="Comment Text Char"/>
    <w:basedOn w:val="DefaultParagraphFont"/>
    <w:link w:val="CommentText"/>
    <w:uiPriority w:val="99"/>
    <w:rsid w:val="00707D8C"/>
    <w:rPr>
      <w:sz w:val="20"/>
      <w:szCs w:val="20"/>
    </w:rPr>
  </w:style>
  <w:style w:type="paragraph" w:styleId="CommentSubject">
    <w:name w:val="annotation subject"/>
    <w:basedOn w:val="CommentText"/>
    <w:next w:val="CommentText"/>
    <w:link w:val="CommentSubjectChar"/>
    <w:uiPriority w:val="99"/>
    <w:semiHidden/>
    <w:unhideWhenUsed/>
    <w:rsid w:val="00707D8C"/>
    <w:rPr>
      <w:b/>
      <w:bCs/>
    </w:rPr>
  </w:style>
  <w:style w:type="character" w:customStyle="1" w:styleId="CommentSubjectChar">
    <w:name w:val="Comment Subject Char"/>
    <w:basedOn w:val="CommentTextChar"/>
    <w:link w:val="CommentSubject"/>
    <w:uiPriority w:val="99"/>
    <w:semiHidden/>
    <w:rsid w:val="00707D8C"/>
    <w:rPr>
      <w:b/>
      <w:bCs/>
      <w:sz w:val="20"/>
      <w:szCs w:val="20"/>
    </w:rPr>
  </w:style>
  <w:style w:type="paragraph" w:styleId="Revision">
    <w:name w:val="Revision"/>
    <w:hidden/>
    <w:uiPriority w:val="99"/>
    <w:semiHidden/>
    <w:rsid w:val="003B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irs.gov/uac/Privacy-Impact-Assessments-PI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95BCC2-CE76-40AD-9126-381261D09B05}">
  <ds:schemaRefs>
    <ds:schemaRef ds:uri="http://schemas.openxmlformats.org/officeDocument/2006/bibliography"/>
  </ds:schemaRefs>
</ds:datastoreItem>
</file>

<file path=customXml/itemProps4.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Durbala R Joseph</cp:lastModifiedBy>
  <cp:revision>2</cp:revision>
  <dcterms:created xsi:type="dcterms:W3CDTF">2025-07-14T11:39:00Z</dcterms:created>
  <dcterms:modified xsi:type="dcterms:W3CDTF">2025-07-14T11:39:00Z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