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752F1B" w:rsidP="009E3D48" w14:paraId="058BE2FA" w14:textId="77777777">
      <w:pPr>
        <w:jc w:val="center"/>
        <w:rPr>
          <w:rFonts w:ascii="Arial" w:hAnsi="Arial" w:cs="Arial"/>
          <w:b/>
          <w:bCs/>
          <w:szCs w:val="24"/>
        </w:rPr>
      </w:pPr>
      <w:r w:rsidRPr="00752F1B">
        <w:rPr>
          <w:rFonts w:ascii="Arial" w:hAnsi="Arial" w:cs="Arial"/>
          <w:b/>
          <w:bCs/>
          <w:szCs w:val="24"/>
        </w:rPr>
        <w:t>SUPPORTING STATEMENT</w:t>
      </w:r>
    </w:p>
    <w:p w:rsidR="00A24315" w:rsidRPr="00752F1B" w:rsidP="009E3D48" w14:paraId="628F35D5" w14:textId="77777777">
      <w:pPr>
        <w:jc w:val="center"/>
        <w:rPr>
          <w:rFonts w:ascii="Arial" w:hAnsi="Arial" w:cs="Arial"/>
          <w:szCs w:val="24"/>
        </w:rPr>
      </w:pPr>
      <w:r w:rsidRPr="00752F1B">
        <w:rPr>
          <w:rFonts w:ascii="Arial" w:hAnsi="Arial" w:cs="Arial"/>
          <w:szCs w:val="24"/>
        </w:rPr>
        <w:t>Internal Revenue Service (IRS)</w:t>
      </w:r>
    </w:p>
    <w:p w:rsidR="009302A1" w:rsidRPr="00752F1B" w:rsidP="009E3D48" w14:paraId="4B5B73A6" w14:textId="1FA0449D">
      <w:pPr>
        <w:jc w:val="center"/>
        <w:rPr>
          <w:rFonts w:ascii="Arial" w:hAnsi="Arial" w:cs="Arial"/>
          <w:szCs w:val="24"/>
        </w:rPr>
      </w:pPr>
      <w:r w:rsidRPr="00A52E7F">
        <w:rPr>
          <w:rFonts w:ascii="Arial" w:hAnsi="Arial" w:cs="Arial"/>
          <w:szCs w:val="24"/>
        </w:rPr>
        <w:t xml:space="preserve">Contributions of Motor Vehicles, Boats, and Airplanes </w:t>
      </w:r>
      <w:r w:rsidR="00752F1B">
        <w:rPr>
          <w:rFonts w:ascii="Arial" w:hAnsi="Arial" w:cs="Arial"/>
          <w:szCs w:val="24"/>
        </w:rPr>
        <w:t>(</w:t>
      </w:r>
      <w:r w:rsidRPr="00752F1B" w:rsidR="00163E8B">
        <w:rPr>
          <w:rFonts w:ascii="Arial" w:hAnsi="Arial" w:cs="Arial"/>
          <w:szCs w:val="24"/>
        </w:rPr>
        <w:t xml:space="preserve">Form </w:t>
      </w:r>
      <w:r>
        <w:rPr>
          <w:rFonts w:ascii="Arial" w:hAnsi="Arial" w:cs="Arial"/>
          <w:szCs w:val="24"/>
        </w:rPr>
        <w:t>1098-C</w:t>
      </w:r>
      <w:r w:rsidR="00752F1B">
        <w:rPr>
          <w:rFonts w:ascii="Arial" w:hAnsi="Arial" w:cs="Arial"/>
          <w:szCs w:val="24"/>
        </w:rPr>
        <w:t>)</w:t>
      </w:r>
    </w:p>
    <w:p w:rsidR="00F87A66" w:rsidRPr="00752F1B" w:rsidP="009E3D48" w14:paraId="0E7079F4" w14:textId="353FC61B">
      <w:pPr>
        <w:jc w:val="center"/>
        <w:rPr>
          <w:rFonts w:ascii="Arial" w:hAnsi="Arial" w:cs="Arial"/>
          <w:szCs w:val="24"/>
        </w:rPr>
      </w:pPr>
      <w:r w:rsidRPr="00752F1B">
        <w:rPr>
          <w:rFonts w:ascii="Arial" w:hAnsi="Arial" w:cs="Arial"/>
          <w:szCs w:val="24"/>
        </w:rPr>
        <w:t xml:space="preserve">OMB Control Number </w:t>
      </w:r>
      <w:r w:rsidRPr="00752F1B">
        <w:rPr>
          <w:rFonts w:ascii="Arial" w:hAnsi="Arial" w:cs="Arial"/>
          <w:b/>
          <w:bCs/>
          <w:szCs w:val="24"/>
        </w:rPr>
        <w:t>1545-</w:t>
      </w:r>
      <w:r w:rsidR="00A52E7F">
        <w:rPr>
          <w:rFonts w:ascii="Arial" w:hAnsi="Arial" w:cs="Arial"/>
          <w:b/>
          <w:bCs/>
          <w:szCs w:val="24"/>
        </w:rPr>
        <w:t>1959</w:t>
      </w:r>
    </w:p>
    <w:p w:rsidR="009E3D48" w:rsidRPr="00752F1B" w:rsidP="009E3D48" w14:paraId="0C034688" w14:textId="77777777">
      <w:pPr>
        <w:rPr>
          <w:rFonts w:ascii="Arial" w:hAnsi="Arial" w:cs="Arial"/>
          <w:szCs w:val="24"/>
          <w:u w:val="single"/>
        </w:rPr>
      </w:pPr>
    </w:p>
    <w:p w:rsidR="009E3D48" w:rsidRPr="00752F1B" w:rsidP="009E3D48" w14:paraId="74B58E6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CIRCUMSTANCES NECESSITATING COLLECTION OF INFORMATION </w:t>
      </w:r>
    </w:p>
    <w:p w:rsidR="006D2216" w:rsidP="00182BE3" w14:paraId="38FAAB49" w14:textId="77777777">
      <w:pPr>
        <w:ind w:left="540"/>
        <w:rPr>
          <w:rFonts w:ascii="Arial" w:hAnsi="Arial" w:cs="Arial"/>
          <w:szCs w:val="24"/>
        </w:rPr>
      </w:pPr>
    </w:p>
    <w:p w:rsidR="00A52E7F" w:rsidP="00182BE3" w14:paraId="4D8BF6AC" w14:textId="4CBE5F4D">
      <w:pPr>
        <w:ind w:left="540"/>
        <w:rPr>
          <w:rFonts w:ascii="Arial" w:hAnsi="Arial" w:cs="Arial"/>
          <w:szCs w:val="24"/>
        </w:rPr>
      </w:pPr>
      <w:r w:rsidRPr="00A52E7F">
        <w:rPr>
          <w:rFonts w:ascii="Arial" w:hAnsi="Arial" w:cs="Arial"/>
          <w:szCs w:val="24"/>
        </w:rPr>
        <w:t xml:space="preserve">Section 884 of the American Jobs Creation Act of 2004 Public Law 108-357) added paragraph 12 to section 170(f) for contributions of used motor vehicles, boats, and airplanes. Section 170(f)(12) requires that a </w:t>
      </w:r>
      <w:r w:rsidRPr="00A52E7F">
        <w:rPr>
          <w:rFonts w:ascii="Arial" w:hAnsi="Arial" w:cs="Arial"/>
          <w:szCs w:val="24"/>
        </w:rPr>
        <w:t>donee</w:t>
      </w:r>
      <w:r w:rsidRPr="00A52E7F">
        <w:rPr>
          <w:rFonts w:ascii="Arial" w:hAnsi="Arial" w:cs="Arial"/>
          <w:szCs w:val="24"/>
        </w:rPr>
        <w:t xml:space="preserve"> organization provide an acknowledgement to the donor of this type of property and is required to file the same information to the Internal Revenue Service</w:t>
      </w:r>
      <w:r>
        <w:rPr>
          <w:rFonts w:ascii="Arial" w:hAnsi="Arial" w:cs="Arial"/>
          <w:szCs w:val="24"/>
        </w:rPr>
        <w:t xml:space="preserve"> (IRS)</w:t>
      </w:r>
      <w:r w:rsidRPr="00A52E7F">
        <w:rPr>
          <w:rFonts w:ascii="Arial" w:hAnsi="Arial" w:cs="Arial"/>
          <w:szCs w:val="24"/>
        </w:rPr>
        <w:t xml:space="preserve">. </w:t>
      </w:r>
    </w:p>
    <w:p w:rsidR="00A52E7F" w:rsidP="00182BE3" w14:paraId="75BCA3D0" w14:textId="77777777">
      <w:pPr>
        <w:ind w:left="540"/>
        <w:rPr>
          <w:rFonts w:ascii="Arial" w:hAnsi="Arial" w:cs="Arial"/>
          <w:szCs w:val="24"/>
        </w:rPr>
      </w:pPr>
    </w:p>
    <w:p w:rsidR="00500201" w:rsidP="00182BE3" w14:paraId="23A082B8" w14:textId="77777777">
      <w:pPr>
        <w:ind w:left="540"/>
        <w:rPr>
          <w:rFonts w:ascii="Arial" w:hAnsi="Arial" w:cs="Arial"/>
          <w:szCs w:val="24"/>
        </w:rPr>
      </w:pPr>
      <w:r w:rsidRPr="00500201">
        <w:rPr>
          <w:rFonts w:ascii="Arial" w:hAnsi="Arial" w:cs="Arial"/>
          <w:szCs w:val="24"/>
        </w:rPr>
        <w:t>Form 1098-C is used to report charitable contributions of motor vehicles, boats, and airplanes after December 31, 2004.</w:t>
      </w:r>
    </w:p>
    <w:p w:rsidR="00500201" w:rsidP="00182BE3" w14:paraId="6D323806" w14:textId="77777777">
      <w:pPr>
        <w:ind w:left="540"/>
        <w:rPr>
          <w:rFonts w:ascii="Arial" w:hAnsi="Arial" w:cs="Arial"/>
          <w:szCs w:val="24"/>
        </w:rPr>
      </w:pPr>
    </w:p>
    <w:p w:rsidR="00E37E63" w:rsidRPr="00752F1B" w:rsidP="00175B3E" w14:paraId="60279950" w14:textId="20DADF5B">
      <w:pPr>
        <w:tabs>
          <w:tab w:val="left" w:pos="540"/>
        </w:tabs>
        <w:rPr>
          <w:rFonts w:ascii="Arial" w:hAnsi="Arial" w:cs="Arial"/>
          <w:szCs w:val="24"/>
        </w:rPr>
      </w:pPr>
    </w:p>
    <w:p w:rsidR="009E3D48" w:rsidRPr="00752F1B" w:rsidP="009E3D48" w14:paraId="6A3185E6"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DATA </w:t>
      </w:r>
    </w:p>
    <w:p w:rsidR="009E3D48" w:rsidRPr="00752F1B" w:rsidP="009E3D48" w14:paraId="08EAC1B8" w14:textId="77777777">
      <w:pPr>
        <w:tabs>
          <w:tab w:val="left" w:pos="540"/>
        </w:tabs>
        <w:ind w:left="540" w:hanging="540"/>
        <w:rPr>
          <w:rFonts w:ascii="Arial" w:hAnsi="Arial" w:cs="Arial"/>
          <w:szCs w:val="24"/>
        </w:rPr>
      </w:pPr>
    </w:p>
    <w:p w:rsidR="00E20185" w:rsidRPr="00752F1B" w:rsidP="00E37E63" w14:paraId="3116584E" w14:textId="68C70019">
      <w:pPr>
        <w:widowControl w:val="0"/>
        <w:autoSpaceDE w:val="0"/>
        <w:autoSpaceDN w:val="0"/>
        <w:adjustRightInd w:val="0"/>
        <w:ind w:left="540"/>
        <w:rPr>
          <w:rFonts w:ascii="Arial" w:eastAsia="Times New Roman" w:hAnsi="Arial" w:cs="Arial"/>
          <w:szCs w:val="24"/>
        </w:rPr>
      </w:pPr>
      <w:r w:rsidRPr="00500201">
        <w:rPr>
          <w:rFonts w:ascii="Arial" w:hAnsi="Arial" w:cs="Arial"/>
          <w:szCs w:val="24"/>
        </w:rPr>
        <w:t xml:space="preserve">IRS uses Form 1098-C to verify that the amount of the deduction for contributions of used motor vehicles, boats, and airplanes </w:t>
      </w:r>
      <w:r w:rsidRPr="00500201">
        <w:rPr>
          <w:rFonts w:ascii="Arial" w:hAnsi="Arial" w:cs="Arial"/>
          <w:szCs w:val="24"/>
        </w:rPr>
        <w:t>are</w:t>
      </w:r>
      <w:r w:rsidRPr="00500201">
        <w:rPr>
          <w:rFonts w:ascii="Arial" w:hAnsi="Arial" w:cs="Arial"/>
          <w:szCs w:val="24"/>
        </w:rPr>
        <w:t xml:space="preserve"> reported on the recipient’s income tax return</w:t>
      </w:r>
      <w:r w:rsidRPr="00752F1B" w:rsidR="00182BE3">
        <w:rPr>
          <w:rFonts w:ascii="Arial" w:eastAsia="Times New Roman" w:hAnsi="Arial" w:cs="Arial"/>
          <w:szCs w:val="24"/>
        </w:rPr>
        <w:t xml:space="preserve">.  </w:t>
      </w:r>
      <w:r w:rsidR="006D4D7A">
        <w:rPr>
          <w:rFonts w:ascii="Arial" w:eastAsia="Times New Roman" w:hAnsi="Arial" w:cs="Arial"/>
          <w:szCs w:val="24"/>
        </w:rPr>
        <w:t xml:space="preserve"> </w:t>
      </w:r>
      <w:r>
        <w:rPr>
          <w:rFonts w:ascii="Arial" w:eastAsia="Times New Roman" w:hAnsi="Arial" w:cs="Arial"/>
          <w:szCs w:val="24"/>
        </w:rPr>
        <w:t xml:space="preserve"> </w:t>
      </w:r>
    </w:p>
    <w:p w:rsidR="00E37E63" w:rsidRPr="00752F1B" w:rsidP="00E37E63" w14:paraId="41468579" w14:textId="77777777">
      <w:pPr>
        <w:widowControl w:val="0"/>
        <w:autoSpaceDE w:val="0"/>
        <w:autoSpaceDN w:val="0"/>
        <w:adjustRightInd w:val="0"/>
        <w:ind w:left="540"/>
        <w:rPr>
          <w:rFonts w:ascii="Arial" w:eastAsia="Times New Roman" w:hAnsi="Arial" w:cs="Arial"/>
          <w:szCs w:val="24"/>
        </w:rPr>
      </w:pPr>
    </w:p>
    <w:p w:rsidR="009E3D48" w:rsidRPr="00752F1B" w:rsidP="009E3D48" w14:paraId="497B44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IMPROVED INFORMATION TECHNOLOGY TO REDUCE BURDEN </w:t>
      </w:r>
    </w:p>
    <w:p w:rsidR="009E3D48" w:rsidRPr="00752F1B" w:rsidP="009E3D48" w14:paraId="18F92E66" w14:textId="77777777">
      <w:pPr>
        <w:tabs>
          <w:tab w:val="left" w:pos="540"/>
        </w:tabs>
        <w:ind w:left="540" w:hanging="540"/>
        <w:rPr>
          <w:rFonts w:ascii="Arial" w:hAnsi="Arial" w:cs="Arial"/>
          <w:szCs w:val="24"/>
        </w:rPr>
      </w:pPr>
    </w:p>
    <w:p w:rsidR="00801000" w:rsidRPr="00752F1B" w:rsidP="00801000" w14:paraId="0109B4AD" w14:textId="6B43F5AA">
      <w:pPr>
        <w:ind w:left="540"/>
        <w:rPr>
          <w:rFonts w:ascii="Arial" w:hAnsi="Arial" w:cs="Arial"/>
          <w:szCs w:val="24"/>
        </w:rPr>
      </w:pPr>
      <w:r>
        <w:rPr>
          <w:rFonts w:ascii="Arial" w:hAnsi="Arial" w:cs="Arial"/>
          <w:szCs w:val="24"/>
        </w:rPr>
        <w:t>E</w:t>
      </w:r>
      <w:r w:rsidRPr="00500201">
        <w:rPr>
          <w:rFonts w:ascii="Arial" w:hAnsi="Arial" w:cs="Arial"/>
          <w:szCs w:val="24"/>
        </w:rPr>
        <w:t>lectronic filing o</w:t>
      </w:r>
      <w:r>
        <w:rPr>
          <w:rFonts w:ascii="Arial" w:hAnsi="Arial" w:cs="Arial"/>
          <w:szCs w:val="24"/>
        </w:rPr>
        <w:t>f</w:t>
      </w:r>
      <w:r w:rsidRPr="00500201">
        <w:rPr>
          <w:rFonts w:ascii="Arial" w:hAnsi="Arial" w:cs="Arial"/>
          <w:szCs w:val="24"/>
        </w:rPr>
        <w:t xml:space="preserve"> Form 1098-C</w:t>
      </w:r>
      <w:r>
        <w:rPr>
          <w:rFonts w:ascii="Arial" w:hAnsi="Arial" w:cs="Arial"/>
          <w:szCs w:val="24"/>
        </w:rPr>
        <w:t xml:space="preserve"> is currently offered</w:t>
      </w:r>
      <w:r w:rsidRPr="00500201">
        <w:rPr>
          <w:rFonts w:ascii="Arial" w:hAnsi="Arial" w:cs="Arial"/>
          <w:szCs w:val="24"/>
        </w:rPr>
        <w:t>.</w:t>
      </w:r>
    </w:p>
    <w:p w:rsidR="00E20185" w:rsidRPr="00752F1B" w:rsidP="00801000" w14:paraId="6C65048C" w14:textId="77777777">
      <w:pPr>
        <w:tabs>
          <w:tab w:val="left" w:pos="540"/>
        </w:tabs>
        <w:ind w:left="540" w:hanging="540"/>
        <w:rPr>
          <w:rFonts w:ascii="Arial" w:hAnsi="Arial" w:cs="Arial"/>
          <w:szCs w:val="24"/>
        </w:rPr>
      </w:pPr>
    </w:p>
    <w:p w:rsidR="009E3D48" w:rsidRPr="00752F1B" w:rsidP="009E3D48" w14:paraId="7A6C556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EFFORTS TO IDENTIFY DUPLICATION </w:t>
      </w:r>
    </w:p>
    <w:p w:rsidR="009E3D48" w:rsidRPr="00752F1B" w:rsidP="009E3D48" w14:paraId="29168254" w14:textId="77777777">
      <w:pPr>
        <w:tabs>
          <w:tab w:val="left" w:pos="540"/>
        </w:tabs>
        <w:ind w:left="540" w:hanging="540"/>
        <w:rPr>
          <w:rFonts w:ascii="Arial" w:hAnsi="Arial" w:cs="Arial"/>
          <w:szCs w:val="24"/>
        </w:rPr>
      </w:pPr>
    </w:p>
    <w:p w:rsidR="001D050E" w:rsidRPr="00752F1B" w:rsidP="009E3D48" w14:paraId="5F92A5DB"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 xml:space="preserve">The information obtained through this collection is unique and is not already available or use or adaption from another source.  </w:t>
      </w:r>
    </w:p>
    <w:p w:rsidR="009E3D48" w:rsidRPr="00752F1B" w:rsidP="009E3D48" w14:paraId="17F1BE7E" w14:textId="77777777">
      <w:pPr>
        <w:tabs>
          <w:tab w:val="left" w:pos="540"/>
        </w:tabs>
        <w:ind w:left="540" w:hanging="540"/>
        <w:rPr>
          <w:rFonts w:ascii="Arial" w:hAnsi="Arial" w:cs="Arial"/>
          <w:szCs w:val="24"/>
        </w:rPr>
      </w:pPr>
    </w:p>
    <w:p w:rsidR="009E3D48" w:rsidRPr="00752F1B" w:rsidP="009E3D48" w14:paraId="3025ABE2"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METHODS TO MINIMIZE BURDEN ON SMALL BUSINESSES OR OTHER SMALL ENTITIES </w:t>
      </w:r>
    </w:p>
    <w:p w:rsidR="009E3D48" w:rsidRPr="00752F1B" w:rsidP="009E3D48" w14:paraId="303FDB36" w14:textId="77777777">
      <w:pPr>
        <w:tabs>
          <w:tab w:val="left" w:pos="540"/>
        </w:tabs>
        <w:ind w:left="540" w:hanging="540"/>
        <w:rPr>
          <w:rFonts w:ascii="Arial" w:hAnsi="Arial" w:cs="Arial"/>
          <w:szCs w:val="24"/>
        </w:rPr>
      </w:pPr>
    </w:p>
    <w:p w:rsidR="00500201" w:rsidP="009E3D48" w14:paraId="3C928763" w14:textId="1C2FEB5D">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is no burden on small businesses or other small entities due to the inapplicability of the authorizing statute to this type of entity</w:t>
      </w:r>
      <w:r w:rsidRPr="00752F1B">
        <w:rPr>
          <w:rFonts w:ascii="Arial" w:hAnsi="Arial" w:cs="Arial"/>
          <w:szCs w:val="24"/>
        </w:rPr>
        <w:t>.</w:t>
      </w:r>
    </w:p>
    <w:p w:rsidR="003E713D" w:rsidRPr="00752F1B" w:rsidP="009E3D48" w14:paraId="675FE653" w14:textId="77777777">
      <w:pPr>
        <w:tabs>
          <w:tab w:val="left" w:pos="540"/>
        </w:tabs>
        <w:ind w:left="540" w:hanging="540"/>
        <w:rPr>
          <w:rFonts w:ascii="Arial" w:hAnsi="Arial" w:cs="Arial"/>
          <w:szCs w:val="24"/>
        </w:rPr>
      </w:pPr>
    </w:p>
    <w:p w:rsidR="009E3D48" w:rsidRPr="00752F1B" w:rsidP="009E3D48" w14:paraId="57F991D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CONSEQUENCES OF LESS FREQUENT COLLECTION ON FEDERAL PROGRAMS OR POLICY ACTIVITIES </w:t>
      </w:r>
    </w:p>
    <w:p w:rsidR="009E3D48" w:rsidRPr="00752F1B" w:rsidP="009E3D48" w14:paraId="1C5DB490" w14:textId="77777777">
      <w:pPr>
        <w:tabs>
          <w:tab w:val="left" w:pos="540"/>
        </w:tabs>
        <w:ind w:left="540" w:hanging="540"/>
        <w:rPr>
          <w:rFonts w:ascii="Arial" w:hAnsi="Arial" w:cs="Arial"/>
          <w:szCs w:val="24"/>
        </w:rPr>
      </w:pPr>
    </w:p>
    <w:p w:rsidR="00A24315" w:rsidRPr="00752F1B" w:rsidP="00F65CC0" w14:paraId="51E4B3A8" w14:textId="2160803B">
      <w:pPr>
        <w:tabs>
          <w:tab w:val="left" w:pos="540"/>
        </w:tabs>
        <w:ind w:left="540" w:hanging="540"/>
        <w:rPr>
          <w:rFonts w:ascii="Arial" w:hAnsi="Arial" w:cs="Arial"/>
          <w:szCs w:val="24"/>
        </w:rPr>
      </w:pPr>
      <w:r w:rsidRPr="00752F1B">
        <w:rPr>
          <w:rFonts w:ascii="Arial" w:hAnsi="Arial" w:cs="Arial"/>
          <w:szCs w:val="24"/>
        </w:rPr>
        <w:tab/>
        <w:t xml:space="preserve">The information required </w:t>
      </w:r>
      <w:r w:rsidR="006D4D7A">
        <w:rPr>
          <w:rFonts w:ascii="Arial" w:hAnsi="Arial" w:cs="Arial"/>
          <w:szCs w:val="24"/>
        </w:rPr>
        <w:t xml:space="preserve">on this form </w:t>
      </w:r>
      <w:r w:rsidRPr="00752F1B">
        <w:rPr>
          <w:rFonts w:ascii="Arial" w:hAnsi="Arial" w:cs="Arial"/>
          <w:szCs w:val="24"/>
        </w:rPr>
        <w:t xml:space="preserve">is needed to </w:t>
      </w:r>
      <w:r w:rsidR="00F65CC0">
        <w:rPr>
          <w:rFonts w:ascii="Arial" w:hAnsi="Arial" w:cs="Arial"/>
          <w:szCs w:val="24"/>
        </w:rPr>
        <w:t xml:space="preserve">ensure proper </w:t>
      </w:r>
      <w:r w:rsidRPr="00F65CC0" w:rsidR="00F65CC0">
        <w:rPr>
          <w:rFonts w:ascii="Arial" w:hAnsi="Arial" w:cs="Arial"/>
          <w:szCs w:val="24"/>
        </w:rPr>
        <w:t>compl</w:t>
      </w:r>
      <w:r w:rsidR="00F65CC0">
        <w:rPr>
          <w:rFonts w:ascii="Arial" w:hAnsi="Arial" w:cs="Arial"/>
          <w:szCs w:val="24"/>
        </w:rPr>
        <w:t xml:space="preserve">iance with tax </w:t>
      </w:r>
      <w:r w:rsidRPr="00F65CC0" w:rsidR="00F65CC0">
        <w:rPr>
          <w:rFonts w:ascii="Arial" w:hAnsi="Arial" w:cs="Arial"/>
          <w:szCs w:val="24"/>
        </w:rPr>
        <w:t xml:space="preserve">laws and </w:t>
      </w:r>
      <w:r w:rsidRPr="00F244EE" w:rsidR="00F244EE">
        <w:rPr>
          <w:rFonts w:ascii="Arial" w:hAnsi="Arial" w:cs="Arial"/>
          <w:szCs w:val="24"/>
        </w:rPr>
        <w:t>to report charitable contributions of motor vehicles, boats, and airplanes</w:t>
      </w:r>
      <w:r w:rsidR="00F65CC0">
        <w:rPr>
          <w:rFonts w:ascii="Arial" w:eastAsia="Times New Roman" w:hAnsi="Arial" w:cs="Arial"/>
          <w:szCs w:val="24"/>
        </w:rPr>
        <w:t xml:space="preserve">.  </w:t>
      </w:r>
      <w:r w:rsidRPr="00752F1B">
        <w:rPr>
          <w:rFonts w:ascii="Arial" w:hAnsi="Arial" w:cs="Arial"/>
          <w:szCs w:val="24"/>
        </w:rPr>
        <w:t xml:space="preserve">A less frequent collection of taxes and tax information could adversely affect the government’s effectiveness and would reduce the oversight of the public </w:t>
      </w:r>
      <w:r w:rsidRPr="00752F1B">
        <w:rPr>
          <w:rFonts w:ascii="Arial" w:hAnsi="Arial" w:cs="Arial"/>
          <w:szCs w:val="24"/>
        </w:rPr>
        <w:t>in ensuring compliance with Internal Revenue Code and hinder the IRS from meeting its mission.</w:t>
      </w:r>
    </w:p>
    <w:p w:rsidR="009E3D48" w:rsidRPr="00752F1B" w:rsidP="009E3D48" w14:paraId="4DCD087A" w14:textId="77777777">
      <w:pPr>
        <w:tabs>
          <w:tab w:val="left" w:pos="540"/>
        </w:tabs>
        <w:ind w:left="540" w:hanging="540"/>
        <w:rPr>
          <w:rFonts w:ascii="Arial" w:hAnsi="Arial" w:cs="Arial"/>
          <w:szCs w:val="24"/>
        </w:rPr>
      </w:pPr>
    </w:p>
    <w:p w:rsidR="009E3D48" w:rsidRPr="00752F1B" w:rsidP="00CB358B" w14:paraId="4DCAFEF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SPECIAL CIRCUMSTANCES REQUIRING DATA COLLECTION TO BE INCONSISTENT WITH GUIDELINES IN 5 CFR 1320.5(d)(2) </w:t>
      </w:r>
    </w:p>
    <w:p w:rsidR="009E3D48" w:rsidRPr="00752F1B" w:rsidP="009E3D48" w14:paraId="7FA54BD5" w14:textId="77777777">
      <w:pPr>
        <w:tabs>
          <w:tab w:val="left" w:pos="540"/>
        </w:tabs>
        <w:ind w:left="540" w:hanging="540"/>
        <w:rPr>
          <w:rFonts w:ascii="Arial" w:hAnsi="Arial" w:cs="Arial"/>
          <w:szCs w:val="24"/>
        </w:rPr>
      </w:pPr>
    </w:p>
    <w:p w:rsidR="009E3D48" w:rsidRPr="00752F1B" w:rsidP="009E3D48" w14:paraId="035B2A5C"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are no special circumstances requiring data collection to be inconsistent with Guidelines in 5 CFR 1320.5(d)(2).</w:t>
      </w:r>
    </w:p>
    <w:p w:rsidR="009E3D48" w:rsidRPr="00752F1B" w:rsidP="009E3D48" w14:paraId="5B74C830" w14:textId="77777777">
      <w:pPr>
        <w:tabs>
          <w:tab w:val="left" w:pos="540"/>
        </w:tabs>
        <w:ind w:left="540" w:hanging="540"/>
        <w:rPr>
          <w:rFonts w:ascii="Arial" w:hAnsi="Arial" w:cs="Arial"/>
          <w:szCs w:val="24"/>
        </w:rPr>
      </w:pPr>
    </w:p>
    <w:p w:rsidR="009E3D48" w:rsidRPr="00CA2D83" w:rsidP="00D717BF" w14:paraId="2B2387E7" w14:textId="0AB03F3C">
      <w:pPr>
        <w:pStyle w:val="ListParagraph"/>
        <w:numPr>
          <w:ilvl w:val="0"/>
          <w:numId w:val="1"/>
        </w:numPr>
        <w:tabs>
          <w:tab w:val="left" w:pos="540"/>
        </w:tabs>
        <w:ind w:left="540" w:hanging="540"/>
        <w:rPr>
          <w:rFonts w:ascii="Arial" w:hAnsi="Arial" w:cs="Arial"/>
          <w:szCs w:val="24"/>
        </w:rPr>
      </w:pPr>
      <w:r w:rsidRPr="00CA2D83">
        <w:rPr>
          <w:rFonts w:ascii="Arial" w:hAnsi="Arial" w:cs="Arial"/>
          <w:szCs w:val="24"/>
          <w:u w:val="single"/>
        </w:rPr>
        <w:t xml:space="preserve">CONSULTATION WITH INDIVIDUALS OUTSIDE OF THE AGENCY ON AVAILABILITY OF DATA, FREQUENCY OF COLLECTION, CLARITY OF INSTRUCTIONS AND FORMS, AND DATA ELEMENTS </w:t>
      </w:r>
    </w:p>
    <w:p w:rsidR="00F65CC0" w:rsidRPr="00F65CC0" w:rsidP="00F65CC0" w14:paraId="6DBDBB46" w14:textId="0690E4CC">
      <w:pPr>
        <w:tabs>
          <w:tab w:val="left" w:pos="540"/>
        </w:tabs>
        <w:ind w:left="540" w:hanging="540"/>
        <w:rPr>
          <w:rFonts w:ascii="Arial" w:hAnsi="Arial" w:cs="Arial"/>
          <w:szCs w:val="24"/>
        </w:rPr>
      </w:pPr>
      <w:r w:rsidRPr="00752F1B">
        <w:rPr>
          <w:rFonts w:ascii="Arial" w:hAnsi="Arial" w:cs="Arial"/>
          <w:szCs w:val="24"/>
        </w:rPr>
        <w:tab/>
      </w:r>
    </w:p>
    <w:p w:rsidR="00183523" w:rsidRPr="00752F1B" w:rsidP="00F65CC0" w14:paraId="0D217F3D" w14:textId="76201954">
      <w:pPr>
        <w:ind w:left="540"/>
        <w:rPr>
          <w:rFonts w:ascii="Arial" w:hAnsi="Arial" w:cs="Arial"/>
          <w:szCs w:val="24"/>
        </w:rPr>
      </w:pPr>
      <w:r w:rsidRPr="00F65CC0">
        <w:rPr>
          <w:rFonts w:ascii="Arial" w:hAnsi="Arial" w:cs="Arial"/>
          <w:szCs w:val="24"/>
        </w:rPr>
        <w:t>A Federal Register Notice (</w:t>
      </w:r>
      <w:r w:rsidR="00067DDF">
        <w:rPr>
          <w:rFonts w:ascii="Arial" w:hAnsi="Arial" w:cs="Arial"/>
          <w:szCs w:val="24"/>
        </w:rPr>
        <w:t>90</w:t>
      </w:r>
      <w:r w:rsidRPr="00F65CC0">
        <w:rPr>
          <w:rFonts w:ascii="Arial" w:hAnsi="Arial" w:cs="Arial"/>
          <w:szCs w:val="24"/>
        </w:rPr>
        <w:t xml:space="preserve"> FR </w:t>
      </w:r>
      <w:r w:rsidR="00CA2D83">
        <w:rPr>
          <w:rFonts w:ascii="Arial" w:hAnsi="Arial" w:cs="Arial"/>
          <w:szCs w:val="24"/>
        </w:rPr>
        <w:t>24866</w:t>
      </w:r>
      <w:r w:rsidRPr="00F65CC0">
        <w:rPr>
          <w:rFonts w:ascii="Arial" w:hAnsi="Arial" w:cs="Arial"/>
          <w:szCs w:val="24"/>
        </w:rPr>
        <w:t xml:space="preserve">) was published regarding </w:t>
      </w:r>
      <w:r w:rsidR="00500201">
        <w:rPr>
          <w:rFonts w:ascii="Arial" w:hAnsi="Arial" w:cs="Arial"/>
          <w:szCs w:val="24"/>
        </w:rPr>
        <w:t>the burden for this form</w:t>
      </w:r>
      <w:r w:rsidRPr="00F65CC0">
        <w:rPr>
          <w:rFonts w:ascii="Arial" w:hAnsi="Arial" w:cs="Arial"/>
          <w:szCs w:val="24"/>
        </w:rPr>
        <w:t xml:space="preserve"> on </w:t>
      </w:r>
      <w:r w:rsidR="001253BB">
        <w:rPr>
          <w:rFonts w:ascii="Arial" w:hAnsi="Arial" w:cs="Arial"/>
          <w:szCs w:val="24"/>
        </w:rPr>
        <w:t>June 12</w:t>
      </w:r>
      <w:r w:rsidRPr="00F65CC0">
        <w:rPr>
          <w:rFonts w:ascii="Arial" w:hAnsi="Arial" w:cs="Arial"/>
          <w:szCs w:val="24"/>
        </w:rPr>
        <w:t xml:space="preserve">, </w:t>
      </w:r>
      <w:r w:rsidRPr="00F65CC0" w:rsidR="001253BB">
        <w:rPr>
          <w:rFonts w:ascii="Arial" w:hAnsi="Arial" w:cs="Arial"/>
          <w:szCs w:val="24"/>
        </w:rPr>
        <w:t>202</w:t>
      </w:r>
      <w:r w:rsidR="001253BB">
        <w:rPr>
          <w:rFonts w:ascii="Arial" w:hAnsi="Arial" w:cs="Arial"/>
          <w:szCs w:val="24"/>
        </w:rPr>
        <w:t>5</w:t>
      </w:r>
      <w:r w:rsidRPr="00F65CC0">
        <w:rPr>
          <w:rFonts w:ascii="Arial" w:hAnsi="Arial" w:cs="Arial"/>
          <w:szCs w:val="24"/>
        </w:rPr>
        <w:t>, inviting public comments.  No comments were received</w:t>
      </w:r>
      <w:r w:rsidRPr="00752F1B" w:rsidR="004606C9">
        <w:rPr>
          <w:rFonts w:ascii="Arial" w:hAnsi="Arial" w:cs="Arial"/>
          <w:szCs w:val="24"/>
        </w:rPr>
        <w:t xml:space="preserve">.  </w:t>
      </w:r>
    </w:p>
    <w:p w:rsidR="009E3D48" w:rsidRPr="00752F1B" w:rsidP="009E3D48" w14:paraId="591B043A" w14:textId="77777777">
      <w:pPr>
        <w:tabs>
          <w:tab w:val="left" w:pos="540"/>
        </w:tabs>
        <w:ind w:left="540" w:hanging="540"/>
        <w:rPr>
          <w:rFonts w:ascii="Arial" w:hAnsi="Arial" w:cs="Arial"/>
          <w:szCs w:val="24"/>
        </w:rPr>
      </w:pPr>
    </w:p>
    <w:p w:rsidR="009E3D48" w:rsidRPr="00752F1B" w:rsidP="009E3D48" w14:paraId="7C7E00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EXPLANATION OF DECISION TO PROVIDE ANY PAYMENT OR GIFT TO RESPONDENTS </w:t>
      </w:r>
    </w:p>
    <w:p w:rsidR="009E3D48" w:rsidRPr="00752F1B" w:rsidP="009E3D48" w14:paraId="08DF9FDD" w14:textId="77777777">
      <w:pPr>
        <w:tabs>
          <w:tab w:val="left" w:pos="540"/>
        </w:tabs>
        <w:ind w:left="540" w:hanging="540"/>
        <w:rPr>
          <w:rFonts w:ascii="Arial" w:hAnsi="Arial" w:cs="Arial"/>
          <w:szCs w:val="24"/>
        </w:rPr>
      </w:pPr>
    </w:p>
    <w:p w:rsidR="00A24315" w:rsidRPr="00752F1B" w:rsidP="009E3D48" w14:paraId="060492D1" w14:textId="77777777">
      <w:pPr>
        <w:tabs>
          <w:tab w:val="left" w:pos="540"/>
        </w:tabs>
        <w:ind w:left="540" w:hanging="540"/>
        <w:rPr>
          <w:rFonts w:ascii="Arial" w:hAnsi="Arial" w:cs="Arial"/>
          <w:szCs w:val="24"/>
        </w:rPr>
      </w:pPr>
      <w:r w:rsidRPr="00752F1B">
        <w:rPr>
          <w:rFonts w:ascii="Arial" w:hAnsi="Arial" w:cs="Arial"/>
          <w:szCs w:val="24"/>
        </w:rPr>
        <w:tab/>
        <w:t>No payment or gift has been provided to any respondents.</w:t>
      </w:r>
    </w:p>
    <w:p w:rsidR="009E3D48" w:rsidRPr="00752F1B" w:rsidP="009E3D48" w14:paraId="788111DF" w14:textId="77777777">
      <w:pPr>
        <w:tabs>
          <w:tab w:val="left" w:pos="540"/>
        </w:tabs>
        <w:ind w:left="540" w:hanging="540"/>
        <w:rPr>
          <w:rFonts w:ascii="Arial" w:hAnsi="Arial" w:cs="Arial"/>
          <w:szCs w:val="24"/>
        </w:rPr>
      </w:pPr>
    </w:p>
    <w:p w:rsidR="009E3D48" w:rsidRPr="00752F1B" w:rsidP="009E3D48" w14:paraId="0A978FD3"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ASSURANCE OF CONFIDENTIALITY OF RESPONSES </w:t>
      </w:r>
    </w:p>
    <w:p w:rsidR="009E3D48" w:rsidRPr="00752F1B" w:rsidP="009E3D48" w14:paraId="73755635" w14:textId="77777777">
      <w:pPr>
        <w:tabs>
          <w:tab w:val="left" w:pos="540"/>
        </w:tabs>
        <w:ind w:left="540" w:hanging="540"/>
        <w:rPr>
          <w:rFonts w:ascii="Arial" w:hAnsi="Arial" w:cs="Arial"/>
          <w:szCs w:val="24"/>
        </w:rPr>
      </w:pPr>
    </w:p>
    <w:p w:rsidR="009E3D48" w:rsidRPr="00752F1B" w:rsidP="009E3D48" w14:paraId="7779372C" w14:textId="77777777">
      <w:pPr>
        <w:tabs>
          <w:tab w:val="left" w:pos="540"/>
        </w:tabs>
        <w:ind w:left="540" w:hanging="540"/>
        <w:rPr>
          <w:rFonts w:ascii="Arial" w:hAnsi="Arial" w:cs="Arial"/>
          <w:szCs w:val="24"/>
        </w:rPr>
      </w:pPr>
      <w:r w:rsidRPr="00752F1B">
        <w:rPr>
          <w:rFonts w:ascii="Arial" w:hAnsi="Arial" w:cs="Arial"/>
          <w:szCs w:val="24"/>
        </w:rPr>
        <w:tab/>
        <w:t>Generally, tax returns and tax return information are confidential as required by 26 U.S.C. 6103.</w:t>
      </w:r>
    </w:p>
    <w:p w:rsidR="00183523" w:rsidRPr="00752F1B" w:rsidP="009E3D48" w14:paraId="00468002" w14:textId="77777777">
      <w:pPr>
        <w:tabs>
          <w:tab w:val="left" w:pos="540"/>
        </w:tabs>
        <w:ind w:left="540" w:hanging="540"/>
        <w:rPr>
          <w:rFonts w:ascii="Arial" w:hAnsi="Arial" w:cs="Arial"/>
          <w:szCs w:val="24"/>
          <w:u w:val="single"/>
        </w:rPr>
      </w:pPr>
    </w:p>
    <w:p w:rsidR="009E3D48" w:rsidRPr="00752F1B" w:rsidP="009E3D48" w14:paraId="2BA98B4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JUSTIFICATION OF SENSITIVE QUESTIONS </w:t>
      </w:r>
    </w:p>
    <w:p w:rsidR="009E3D48" w:rsidRPr="00752F1B" w:rsidP="009E3D48" w14:paraId="2251896D" w14:textId="77777777">
      <w:pPr>
        <w:tabs>
          <w:tab w:val="left" w:pos="540"/>
        </w:tabs>
        <w:ind w:left="540" w:hanging="540"/>
        <w:rPr>
          <w:rFonts w:ascii="Arial" w:hAnsi="Arial" w:cs="Arial"/>
          <w:szCs w:val="24"/>
        </w:rPr>
      </w:pPr>
    </w:p>
    <w:p w:rsidR="00182BE3" w:rsidP="00182BE3" w14:paraId="21C7A1CC" w14:textId="04938884">
      <w:pPr>
        <w:ind w:left="540"/>
        <w:rPr>
          <w:rFonts w:ascii="Arial" w:hAnsi="Arial" w:cs="Arial"/>
          <w:szCs w:val="24"/>
        </w:rPr>
      </w:pPr>
      <w:r w:rsidRPr="00500201">
        <w:rPr>
          <w:rFonts w:ascii="Arial" w:hAnsi="Arial" w:cs="Arial"/>
          <w:szCs w:val="24"/>
        </w:rPr>
        <w:t xml:space="preserve">A privacy impact assessment (PIA) has been conducted for information collected under this request as part of the “Information Returns Master File (IRMF)” system and a Privacy Act System of Records notice (SORN) has been issued for this system under; IRS 24.030 CADE Individual Master File and IRS 34.037 IRS Audit Trail and Security Records System. The Internal Revenue Service PIA’s can be found at </w:t>
      </w:r>
      <w:hyperlink r:id="rId8" w:history="1">
        <w:r w:rsidRPr="005A709A">
          <w:rPr>
            <w:rStyle w:val="Hyperlink"/>
            <w:rFonts w:ascii="Arial" w:hAnsi="Arial" w:cs="Arial"/>
            <w:szCs w:val="24"/>
          </w:rPr>
          <w:t>http://www.irs.gov/uac/Privacy-Impact-Assessments-PIA</w:t>
        </w:r>
      </w:hyperlink>
      <w:r>
        <w:rPr>
          <w:rFonts w:ascii="Arial" w:hAnsi="Arial" w:cs="Arial"/>
          <w:szCs w:val="24"/>
        </w:rPr>
        <w:t xml:space="preserve">. </w:t>
      </w:r>
    </w:p>
    <w:p w:rsidR="00500201" w:rsidRPr="00752F1B" w:rsidP="00182BE3" w14:paraId="2AE8EBBF" w14:textId="77777777">
      <w:pPr>
        <w:ind w:left="540"/>
        <w:rPr>
          <w:rFonts w:ascii="Arial" w:hAnsi="Arial" w:cs="Arial"/>
          <w:szCs w:val="24"/>
        </w:rPr>
      </w:pPr>
    </w:p>
    <w:p w:rsidR="00B860C5" w:rsidRPr="00752F1B" w:rsidP="00182BE3" w14:paraId="0296D2C6" w14:textId="77777777">
      <w:pPr>
        <w:ind w:left="540"/>
        <w:rPr>
          <w:rFonts w:ascii="Arial" w:hAnsi="Arial" w:cs="Arial"/>
          <w:szCs w:val="24"/>
        </w:rPr>
      </w:pPr>
      <w:r w:rsidRPr="00752F1B">
        <w:rPr>
          <w:rFonts w:ascii="Arial" w:hAnsi="Arial" w:cs="Arial"/>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2C7C4B" w:rsidRPr="00752F1B" w:rsidP="00637C90" w14:paraId="6F20AA3A" w14:textId="77777777">
      <w:pPr>
        <w:ind w:left="540"/>
        <w:rPr>
          <w:rFonts w:ascii="Arial" w:hAnsi="Arial" w:cs="Arial"/>
          <w:szCs w:val="24"/>
        </w:rPr>
      </w:pPr>
    </w:p>
    <w:p w:rsidR="00277A26" w:rsidRPr="00752F1B" w:rsidP="001B5BD6" w14:paraId="532F6B08" w14:textId="77777777">
      <w:pPr>
        <w:pStyle w:val="ListParagraph"/>
        <w:numPr>
          <w:ilvl w:val="0"/>
          <w:numId w:val="1"/>
        </w:numPr>
        <w:tabs>
          <w:tab w:val="left" w:pos="540"/>
        </w:tabs>
        <w:ind w:left="540" w:hanging="540"/>
        <w:rPr>
          <w:rFonts w:ascii="Arial" w:hAnsi="Arial" w:cs="Arial"/>
          <w:szCs w:val="24"/>
        </w:rPr>
      </w:pPr>
      <w:r w:rsidRPr="00752F1B">
        <w:rPr>
          <w:rFonts w:ascii="Arial" w:hAnsi="Arial" w:cs="Arial"/>
          <w:szCs w:val="24"/>
          <w:u w:val="single"/>
        </w:rPr>
        <w:t xml:space="preserve">ESTIMATED BURDEN OF INFORMATION COLLECTION </w:t>
      </w:r>
    </w:p>
    <w:p w:rsidR="00B860C5" w:rsidRPr="00752F1B" w:rsidP="00B860C5" w14:paraId="5D29FB54" w14:textId="77777777">
      <w:pPr>
        <w:tabs>
          <w:tab w:val="left" w:pos="540"/>
        </w:tabs>
        <w:rPr>
          <w:rFonts w:ascii="Arial" w:hAnsi="Arial" w:cs="Arial"/>
          <w:szCs w:val="24"/>
        </w:rPr>
      </w:pPr>
    </w:p>
    <w:p w:rsidR="008D37B4" w:rsidP="00500201" w14:paraId="738B8A45" w14:textId="77777777">
      <w:pPr>
        <w:ind w:left="540"/>
        <w:rPr>
          <w:rFonts w:ascii="Arial" w:eastAsia="Times New Roman" w:hAnsi="Arial" w:cs="Arial"/>
          <w:szCs w:val="24"/>
        </w:rPr>
      </w:pPr>
      <w:r w:rsidRPr="00500201">
        <w:rPr>
          <w:rFonts w:ascii="Arial" w:eastAsia="Times New Roman" w:hAnsi="Arial" w:cs="Arial"/>
          <w:szCs w:val="24"/>
        </w:rPr>
        <w:t xml:space="preserve">Section 170(f)(12) requires that a </w:t>
      </w:r>
      <w:r w:rsidRPr="00500201">
        <w:rPr>
          <w:rFonts w:ascii="Arial" w:eastAsia="Times New Roman" w:hAnsi="Arial" w:cs="Arial"/>
          <w:szCs w:val="24"/>
        </w:rPr>
        <w:t>donee</w:t>
      </w:r>
      <w:r w:rsidRPr="00500201">
        <w:rPr>
          <w:rFonts w:ascii="Arial" w:eastAsia="Times New Roman" w:hAnsi="Arial" w:cs="Arial"/>
          <w:szCs w:val="24"/>
        </w:rPr>
        <w:t xml:space="preserve"> organization provide an acknowledgement to the donor of this type of property and is required to file the same information to </w:t>
      </w:r>
      <w:r w:rsidRPr="00500201">
        <w:rPr>
          <w:rFonts w:ascii="Arial" w:eastAsia="Times New Roman" w:hAnsi="Arial" w:cs="Arial"/>
          <w:szCs w:val="24"/>
        </w:rPr>
        <w:t>the Internal Revenue Service. Form 1098-C is used to report charitable contributions of motor vehicles, boats, and airplanes after December 31, 2004.</w:t>
      </w:r>
    </w:p>
    <w:p w:rsidR="008D37B4" w:rsidP="00500201" w14:paraId="76174D04" w14:textId="77777777">
      <w:pPr>
        <w:ind w:left="540"/>
        <w:rPr>
          <w:rFonts w:ascii="Arial" w:eastAsia="Times New Roman" w:hAnsi="Arial" w:cs="Arial"/>
          <w:szCs w:val="24"/>
        </w:rPr>
      </w:pPr>
    </w:p>
    <w:p w:rsidR="00F515E5" w:rsidRPr="00752F1B" w:rsidP="00500201" w14:paraId="2E9BB529" w14:textId="5B21FAC6">
      <w:pPr>
        <w:ind w:left="540"/>
        <w:rPr>
          <w:rFonts w:ascii="Arial" w:hAnsi="Arial" w:cs="Arial"/>
          <w:szCs w:val="24"/>
        </w:rPr>
      </w:pPr>
      <w:r>
        <w:rPr>
          <w:rFonts w:ascii="Arial" w:eastAsia="Times New Roman" w:hAnsi="Arial" w:cs="Arial"/>
          <w:szCs w:val="24"/>
        </w:rPr>
        <w:t xml:space="preserve">IRS estimates </w:t>
      </w:r>
      <w:r w:rsidR="008D37B4">
        <w:rPr>
          <w:rFonts w:ascii="Arial" w:eastAsia="Times New Roman" w:hAnsi="Arial" w:cs="Arial"/>
          <w:szCs w:val="24"/>
        </w:rPr>
        <w:t>110,400</w:t>
      </w:r>
      <w:r w:rsidRPr="00752F1B" w:rsidR="00B06943">
        <w:rPr>
          <w:rFonts w:ascii="Arial" w:eastAsia="Times New Roman" w:hAnsi="Arial" w:cs="Arial"/>
          <w:szCs w:val="24"/>
        </w:rPr>
        <w:t xml:space="preserve"> respondents </w:t>
      </w:r>
      <w:r>
        <w:rPr>
          <w:rFonts w:ascii="Arial" w:eastAsia="Times New Roman" w:hAnsi="Arial" w:cs="Arial"/>
          <w:szCs w:val="24"/>
        </w:rPr>
        <w:t xml:space="preserve">annually.  It is estimated to take </w:t>
      </w:r>
      <w:r w:rsidRPr="00752F1B" w:rsidR="00B06943">
        <w:rPr>
          <w:rFonts w:ascii="Arial" w:eastAsia="Times New Roman" w:hAnsi="Arial" w:cs="Arial"/>
          <w:szCs w:val="24"/>
        </w:rPr>
        <w:t>approximately 1</w:t>
      </w:r>
      <w:r w:rsidR="008D37B4">
        <w:rPr>
          <w:rFonts w:ascii="Arial" w:eastAsia="Times New Roman" w:hAnsi="Arial" w:cs="Arial"/>
          <w:szCs w:val="24"/>
        </w:rPr>
        <w:t>8</w:t>
      </w:r>
      <w:r w:rsidRPr="00752F1B" w:rsidR="00B06943">
        <w:rPr>
          <w:rFonts w:ascii="Arial" w:eastAsia="Times New Roman" w:hAnsi="Arial" w:cs="Arial"/>
          <w:szCs w:val="24"/>
        </w:rPr>
        <w:t xml:space="preserve"> minutes to complete the Form </w:t>
      </w:r>
      <w:r w:rsidR="00E85A93">
        <w:rPr>
          <w:rFonts w:ascii="Arial" w:eastAsia="Times New Roman" w:hAnsi="Arial" w:cs="Arial"/>
          <w:szCs w:val="24"/>
        </w:rPr>
        <w:t>1098-C</w:t>
      </w:r>
      <w:r w:rsidRPr="00752F1B" w:rsidR="00E85A93">
        <w:rPr>
          <w:rFonts w:ascii="Arial" w:eastAsia="Times New Roman" w:hAnsi="Arial" w:cs="Arial"/>
          <w:szCs w:val="24"/>
        </w:rPr>
        <w:t xml:space="preserve"> </w:t>
      </w:r>
      <w:r w:rsidRPr="00752F1B" w:rsidR="00B06943">
        <w:rPr>
          <w:rFonts w:ascii="Arial" w:eastAsia="Times New Roman" w:hAnsi="Arial" w:cs="Arial"/>
          <w:szCs w:val="24"/>
        </w:rPr>
        <w:t xml:space="preserve">for a total of </w:t>
      </w:r>
      <w:r w:rsidR="008D37B4">
        <w:rPr>
          <w:rFonts w:ascii="Arial" w:eastAsia="Times New Roman" w:hAnsi="Arial" w:cs="Arial"/>
          <w:szCs w:val="24"/>
        </w:rPr>
        <w:t>34,224</w:t>
      </w:r>
      <w:r w:rsidRPr="00752F1B" w:rsidR="00B06943">
        <w:rPr>
          <w:rFonts w:ascii="Arial" w:eastAsia="Times New Roman" w:hAnsi="Arial" w:cs="Arial"/>
          <w:szCs w:val="24"/>
        </w:rPr>
        <w:t xml:space="preserve"> burden hours.  </w:t>
      </w:r>
    </w:p>
    <w:p w:rsidR="00B06943" w:rsidRPr="00752F1B" w:rsidP="00B860C5" w14:paraId="2681B219" w14:textId="77777777">
      <w:pPr>
        <w:tabs>
          <w:tab w:val="left" w:pos="540"/>
        </w:tabs>
        <w:rPr>
          <w:rFonts w:ascii="Arial" w:hAnsi="Arial" w:cs="Arial"/>
          <w:szCs w:val="24"/>
        </w:rPr>
      </w:pPr>
    </w:p>
    <w:tbl>
      <w:tblPr>
        <w:tblW w:w="9748" w:type="dxa"/>
        <w:tblInd w:w="530" w:type="dxa"/>
        <w:tblLayout w:type="fixed"/>
        <w:tblLook w:val="04A0"/>
      </w:tblPr>
      <w:tblGrid>
        <w:gridCol w:w="1080"/>
        <w:gridCol w:w="1890"/>
        <w:gridCol w:w="1530"/>
        <w:gridCol w:w="1530"/>
        <w:gridCol w:w="1260"/>
        <w:gridCol w:w="1198"/>
        <w:gridCol w:w="1260"/>
      </w:tblGrid>
      <w:tr w14:paraId="73C20C50" w14:textId="77777777" w:rsidTr="00CF67FC">
        <w:tblPrEx>
          <w:tblW w:w="9748" w:type="dxa"/>
          <w:tblInd w:w="530" w:type="dxa"/>
          <w:tblLayout w:type="fixed"/>
          <w:tblLook w:val="04A0"/>
        </w:tblPrEx>
        <w:trPr>
          <w:trHeight w:val="675"/>
        </w:trPr>
        <w:tc>
          <w:tcPr>
            <w:tcW w:w="1080" w:type="dxa"/>
            <w:tcBorders>
              <w:top w:val="single" w:sz="8" w:space="0" w:color="auto"/>
              <w:left w:val="single" w:sz="8" w:space="0" w:color="auto"/>
              <w:bottom w:val="single" w:sz="8" w:space="0" w:color="auto"/>
              <w:right w:val="single" w:sz="8" w:space="0" w:color="auto"/>
            </w:tcBorders>
            <w:noWrap/>
            <w:vAlign w:val="center"/>
            <w:hideMark/>
          </w:tcPr>
          <w:p w:rsidR="00A648C2" w:rsidRPr="00AC1F93" w14:paraId="589A3881"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Form</w:t>
            </w:r>
          </w:p>
        </w:tc>
        <w:tc>
          <w:tcPr>
            <w:tcW w:w="1890" w:type="dxa"/>
            <w:tcBorders>
              <w:top w:val="single" w:sz="8" w:space="0" w:color="auto"/>
              <w:left w:val="nil"/>
              <w:bottom w:val="single" w:sz="8" w:space="0" w:color="auto"/>
              <w:right w:val="single" w:sz="8" w:space="0" w:color="auto"/>
            </w:tcBorders>
            <w:noWrap/>
            <w:vAlign w:val="center"/>
            <w:hideMark/>
          </w:tcPr>
          <w:p w:rsidR="00A648C2" w:rsidRPr="00AC1F93" w14:paraId="2F769B62"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Description</w:t>
            </w:r>
          </w:p>
        </w:tc>
        <w:tc>
          <w:tcPr>
            <w:tcW w:w="1530" w:type="dxa"/>
            <w:tcBorders>
              <w:top w:val="single" w:sz="8" w:space="0" w:color="auto"/>
              <w:left w:val="nil"/>
              <w:bottom w:val="single" w:sz="8" w:space="0" w:color="auto"/>
              <w:right w:val="single" w:sz="8" w:space="0" w:color="auto"/>
            </w:tcBorders>
            <w:vAlign w:val="center"/>
            <w:hideMark/>
          </w:tcPr>
          <w:p w:rsidR="00A648C2" w:rsidRPr="00AC1F93" w14:paraId="7433D55E"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 Respondents</w:t>
            </w:r>
          </w:p>
        </w:tc>
        <w:tc>
          <w:tcPr>
            <w:tcW w:w="1530" w:type="dxa"/>
            <w:tcBorders>
              <w:top w:val="single" w:sz="8" w:space="0" w:color="auto"/>
              <w:left w:val="nil"/>
              <w:bottom w:val="single" w:sz="8" w:space="0" w:color="auto"/>
              <w:right w:val="single" w:sz="8" w:space="0" w:color="auto"/>
            </w:tcBorders>
            <w:vAlign w:val="center"/>
            <w:hideMark/>
          </w:tcPr>
          <w:p w:rsidR="00A648C2" w:rsidRPr="00AC1F93" w:rsidP="00077870" w14:paraId="615CF527" w14:textId="101BBAE9">
            <w:pPr>
              <w:keepNext/>
              <w:keepLines/>
              <w:jc w:val="center"/>
              <w:rPr>
                <w:rFonts w:ascii="Arial" w:hAnsi="Arial" w:cs="Arial"/>
                <w:color w:val="000000"/>
                <w:sz w:val="20"/>
                <w:szCs w:val="20"/>
              </w:rPr>
            </w:pPr>
            <w:r w:rsidRPr="00AC1F93">
              <w:rPr>
                <w:rFonts w:ascii="Arial" w:hAnsi="Arial" w:cs="Arial"/>
                <w:color w:val="000000"/>
                <w:sz w:val="20"/>
                <w:szCs w:val="20"/>
              </w:rPr>
              <w:t># Responses Per Respondent</w:t>
            </w:r>
          </w:p>
        </w:tc>
        <w:tc>
          <w:tcPr>
            <w:tcW w:w="1260" w:type="dxa"/>
            <w:tcBorders>
              <w:top w:val="single" w:sz="8" w:space="0" w:color="auto"/>
              <w:left w:val="nil"/>
              <w:bottom w:val="single" w:sz="8" w:space="0" w:color="auto"/>
              <w:right w:val="single" w:sz="8" w:space="0" w:color="auto"/>
            </w:tcBorders>
            <w:vAlign w:val="center"/>
            <w:hideMark/>
          </w:tcPr>
          <w:p w:rsidR="00A648C2" w:rsidRPr="00AC1F93" w14:paraId="4635C55D"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 Annual Responses</w:t>
            </w:r>
          </w:p>
        </w:tc>
        <w:tc>
          <w:tcPr>
            <w:tcW w:w="1198" w:type="dxa"/>
            <w:tcBorders>
              <w:top w:val="single" w:sz="8" w:space="0" w:color="auto"/>
              <w:left w:val="nil"/>
              <w:bottom w:val="single" w:sz="8" w:space="0" w:color="auto"/>
              <w:right w:val="single" w:sz="8" w:space="0" w:color="auto"/>
            </w:tcBorders>
            <w:vAlign w:val="center"/>
            <w:hideMark/>
          </w:tcPr>
          <w:p w:rsidR="00A648C2" w:rsidRPr="00AC1F93" w14:paraId="17E165B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Pr="00AC1F93" w14:paraId="3D07EAA8"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 Burden</w:t>
            </w:r>
          </w:p>
        </w:tc>
      </w:tr>
      <w:tr w14:paraId="322D0E47" w14:textId="77777777" w:rsidTr="00CF67FC">
        <w:tblPrEx>
          <w:tblW w:w="9748"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A648C2" w:rsidRPr="00AC1F93" w14:paraId="765F5EBB" w14:textId="7C2F9818">
            <w:pPr>
              <w:keepNext/>
              <w:keepLines/>
              <w:widowControl w:val="0"/>
              <w:autoSpaceDN w:val="0"/>
              <w:jc w:val="center"/>
              <w:rPr>
                <w:rFonts w:ascii="Arial" w:hAnsi="Arial" w:cs="Arial"/>
                <w:color w:val="000000"/>
                <w:sz w:val="20"/>
                <w:szCs w:val="20"/>
              </w:rPr>
            </w:pPr>
            <w:r>
              <w:rPr>
                <w:rFonts w:ascii="Arial" w:hAnsi="Arial" w:cs="Arial"/>
                <w:color w:val="000000"/>
                <w:sz w:val="20"/>
                <w:szCs w:val="20"/>
              </w:rPr>
              <w:t>1098-C</w:t>
            </w:r>
          </w:p>
        </w:tc>
        <w:tc>
          <w:tcPr>
            <w:tcW w:w="1890" w:type="dxa"/>
            <w:tcBorders>
              <w:top w:val="single" w:sz="8" w:space="0" w:color="auto"/>
              <w:left w:val="single" w:sz="8" w:space="0" w:color="auto"/>
              <w:bottom w:val="single" w:sz="8" w:space="0" w:color="auto"/>
              <w:right w:val="single" w:sz="8" w:space="0" w:color="auto"/>
            </w:tcBorders>
            <w:vAlign w:val="center"/>
          </w:tcPr>
          <w:p w:rsidR="00A648C2" w:rsidRPr="00AC1F93" w:rsidP="008D37B4" w14:paraId="43C22DEF" w14:textId="433A8BFA">
            <w:pPr>
              <w:keepNext/>
              <w:keepLines/>
              <w:widowControl w:val="0"/>
              <w:autoSpaceDN w:val="0"/>
              <w:jc w:val="center"/>
              <w:rPr>
                <w:rFonts w:ascii="Arial" w:hAnsi="Arial" w:cs="Arial"/>
                <w:color w:val="000000"/>
                <w:sz w:val="20"/>
                <w:szCs w:val="20"/>
              </w:rPr>
            </w:pPr>
            <w:r>
              <w:rPr>
                <w:rFonts w:ascii="Arial" w:hAnsi="Arial" w:cs="Arial"/>
                <w:color w:val="000000"/>
                <w:sz w:val="20"/>
                <w:szCs w:val="20"/>
              </w:rPr>
              <w:t>IRC 170(f)</w:t>
            </w:r>
          </w:p>
        </w:tc>
        <w:tc>
          <w:tcPr>
            <w:tcW w:w="1530" w:type="dxa"/>
            <w:tcBorders>
              <w:top w:val="single" w:sz="8" w:space="0" w:color="auto"/>
              <w:left w:val="nil"/>
              <w:bottom w:val="single" w:sz="8" w:space="0" w:color="auto"/>
              <w:right w:val="single" w:sz="8" w:space="0" w:color="auto"/>
            </w:tcBorders>
            <w:noWrap/>
            <w:vAlign w:val="center"/>
          </w:tcPr>
          <w:p w:rsidR="00A648C2" w:rsidRPr="00AC1F93" w14:paraId="0B69095C" w14:textId="48A89163">
            <w:pPr>
              <w:keepNext/>
              <w:keepLines/>
              <w:widowControl w:val="0"/>
              <w:autoSpaceDN w:val="0"/>
              <w:jc w:val="center"/>
              <w:rPr>
                <w:rFonts w:ascii="Arial" w:hAnsi="Arial" w:cs="Arial"/>
                <w:color w:val="000000"/>
                <w:sz w:val="20"/>
                <w:szCs w:val="20"/>
              </w:rPr>
            </w:pPr>
            <w:r>
              <w:rPr>
                <w:rFonts w:ascii="Arial" w:hAnsi="Arial" w:cs="Arial"/>
                <w:color w:val="000000"/>
                <w:sz w:val="20"/>
                <w:szCs w:val="20"/>
              </w:rPr>
              <w:t>110,400</w:t>
            </w:r>
          </w:p>
        </w:tc>
        <w:tc>
          <w:tcPr>
            <w:tcW w:w="1530" w:type="dxa"/>
            <w:tcBorders>
              <w:top w:val="single" w:sz="8" w:space="0" w:color="auto"/>
              <w:left w:val="nil"/>
              <w:bottom w:val="single" w:sz="8" w:space="0" w:color="auto"/>
              <w:right w:val="single" w:sz="8" w:space="0" w:color="auto"/>
            </w:tcBorders>
            <w:noWrap/>
            <w:vAlign w:val="center"/>
          </w:tcPr>
          <w:p w:rsidR="00A648C2" w:rsidRPr="00AC1F93" w14:paraId="5798D89A"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tcPr>
          <w:p w:rsidR="00A648C2" w:rsidRPr="00AC1F93" w14:paraId="1DBA5F0B" w14:textId="772FEAF7">
            <w:pPr>
              <w:keepNext/>
              <w:keepLines/>
              <w:widowControl w:val="0"/>
              <w:autoSpaceDN w:val="0"/>
              <w:jc w:val="center"/>
              <w:rPr>
                <w:rFonts w:ascii="Arial" w:hAnsi="Arial" w:cs="Arial"/>
                <w:color w:val="000000"/>
                <w:sz w:val="20"/>
                <w:szCs w:val="20"/>
              </w:rPr>
            </w:pPr>
            <w:r>
              <w:rPr>
                <w:rFonts w:ascii="Arial" w:hAnsi="Arial" w:cs="Arial"/>
                <w:color w:val="000000"/>
                <w:sz w:val="20"/>
                <w:szCs w:val="20"/>
              </w:rPr>
              <w:t>110,400</w:t>
            </w:r>
          </w:p>
        </w:tc>
        <w:tc>
          <w:tcPr>
            <w:tcW w:w="1198" w:type="dxa"/>
            <w:tcBorders>
              <w:top w:val="single" w:sz="8" w:space="0" w:color="auto"/>
              <w:left w:val="nil"/>
              <w:bottom w:val="single" w:sz="8" w:space="0" w:color="auto"/>
              <w:right w:val="single" w:sz="8" w:space="0" w:color="auto"/>
            </w:tcBorders>
            <w:noWrap/>
            <w:vAlign w:val="center"/>
          </w:tcPr>
          <w:p w:rsidR="00A648C2" w:rsidRPr="00AC1F93" w:rsidP="00F87A66" w14:paraId="11DCED55" w14:textId="0F6948E0">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w:t>
            </w:r>
            <w:r w:rsidR="008D37B4">
              <w:rPr>
                <w:rFonts w:ascii="Arial" w:hAnsi="Arial" w:cs="Arial"/>
                <w:color w:val="000000"/>
                <w:sz w:val="20"/>
                <w:szCs w:val="20"/>
              </w:rPr>
              <w:t>31</w:t>
            </w:r>
          </w:p>
        </w:tc>
        <w:tc>
          <w:tcPr>
            <w:tcW w:w="1260" w:type="dxa"/>
            <w:tcBorders>
              <w:top w:val="single" w:sz="8" w:space="0" w:color="auto"/>
              <w:left w:val="nil"/>
              <w:bottom w:val="single" w:sz="8" w:space="0" w:color="auto"/>
              <w:right w:val="single" w:sz="8" w:space="0" w:color="auto"/>
            </w:tcBorders>
            <w:noWrap/>
            <w:vAlign w:val="center"/>
          </w:tcPr>
          <w:p w:rsidR="00A648C2" w:rsidRPr="00AC1F93" w:rsidP="00F87A66" w14:paraId="6389A287" w14:textId="5BC7D409">
            <w:pPr>
              <w:keepNext/>
              <w:keepLines/>
              <w:widowControl w:val="0"/>
              <w:autoSpaceDN w:val="0"/>
              <w:jc w:val="center"/>
              <w:rPr>
                <w:rFonts w:ascii="Arial" w:hAnsi="Arial" w:cs="Arial"/>
                <w:color w:val="000000"/>
                <w:sz w:val="20"/>
                <w:szCs w:val="20"/>
              </w:rPr>
            </w:pPr>
            <w:r>
              <w:rPr>
                <w:rFonts w:ascii="Arial" w:hAnsi="Arial" w:cs="Arial"/>
                <w:color w:val="000000"/>
                <w:sz w:val="20"/>
                <w:szCs w:val="20"/>
              </w:rPr>
              <w:t>34,224</w:t>
            </w:r>
          </w:p>
        </w:tc>
      </w:tr>
      <w:tr w14:paraId="32330A09" w14:textId="77777777" w:rsidTr="00CF67FC">
        <w:tblPrEx>
          <w:tblW w:w="9748"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6007BC" w:rsidRPr="00CF67FC" w14:paraId="05898F97" w14:textId="77777777">
            <w:pPr>
              <w:keepNext/>
              <w:keepLines/>
              <w:widowControl w:val="0"/>
              <w:autoSpaceDN w:val="0"/>
              <w:jc w:val="center"/>
              <w:rPr>
                <w:rFonts w:ascii="Arial" w:hAnsi="Arial" w:cs="Arial"/>
                <w:b/>
                <w:bCs/>
                <w:color w:val="000000"/>
                <w:sz w:val="20"/>
                <w:szCs w:val="20"/>
              </w:rPr>
            </w:pPr>
            <w:r w:rsidRPr="00CF67FC">
              <w:rPr>
                <w:rFonts w:ascii="Arial" w:hAnsi="Arial" w:cs="Arial"/>
                <w:b/>
                <w:bCs/>
                <w:color w:val="000000"/>
                <w:sz w:val="20"/>
                <w:szCs w:val="20"/>
              </w:rPr>
              <w:t>TOTAL</w:t>
            </w:r>
          </w:p>
        </w:tc>
        <w:tc>
          <w:tcPr>
            <w:tcW w:w="1890" w:type="dxa"/>
            <w:tcBorders>
              <w:top w:val="single" w:sz="8" w:space="0" w:color="auto"/>
              <w:left w:val="single" w:sz="8" w:space="0" w:color="auto"/>
              <w:bottom w:val="single" w:sz="8" w:space="0" w:color="auto"/>
              <w:right w:val="single" w:sz="8" w:space="0" w:color="auto"/>
            </w:tcBorders>
            <w:vAlign w:val="center"/>
          </w:tcPr>
          <w:p w:rsidR="006007BC" w:rsidRPr="00CF67FC" w:rsidP="005E6135" w14:paraId="09564683" w14:textId="77777777">
            <w:pPr>
              <w:keepNext/>
              <w:keepLines/>
              <w:widowControl w:val="0"/>
              <w:autoSpaceDN w:val="0"/>
              <w:rPr>
                <w:rFonts w:ascii="Arial" w:hAnsi="Arial" w:cs="Arial"/>
                <w:b/>
                <w:bCs/>
                <w:color w:val="000000"/>
                <w:sz w:val="20"/>
                <w:szCs w:val="20"/>
              </w:rPr>
            </w:pPr>
          </w:p>
        </w:tc>
        <w:tc>
          <w:tcPr>
            <w:tcW w:w="1530" w:type="dxa"/>
            <w:tcBorders>
              <w:top w:val="single" w:sz="8" w:space="0" w:color="auto"/>
              <w:left w:val="nil"/>
              <w:bottom w:val="single" w:sz="8" w:space="0" w:color="auto"/>
              <w:right w:val="single" w:sz="8" w:space="0" w:color="auto"/>
            </w:tcBorders>
            <w:noWrap/>
            <w:vAlign w:val="center"/>
          </w:tcPr>
          <w:p w:rsidR="006007BC" w:rsidRPr="00CF67FC" w14:paraId="4DDBBAF9" w14:textId="29C001C8">
            <w:pPr>
              <w:keepNext/>
              <w:keepLines/>
              <w:widowControl w:val="0"/>
              <w:autoSpaceDN w:val="0"/>
              <w:jc w:val="center"/>
              <w:rPr>
                <w:rFonts w:ascii="Arial" w:hAnsi="Arial" w:cs="Arial"/>
                <w:b/>
                <w:bCs/>
                <w:color w:val="000000"/>
                <w:sz w:val="20"/>
                <w:szCs w:val="20"/>
              </w:rPr>
            </w:pPr>
            <w:r w:rsidRPr="00CF67FC">
              <w:rPr>
                <w:rFonts w:ascii="Arial" w:hAnsi="Arial" w:cs="Arial"/>
                <w:b/>
                <w:bCs/>
                <w:color w:val="000000"/>
                <w:sz w:val="20"/>
                <w:szCs w:val="20"/>
              </w:rPr>
              <w:t>110,400</w:t>
            </w:r>
          </w:p>
        </w:tc>
        <w:tc>
          <w:tcPr>
            <w:tcW w:w="1530" w:type="dxa"/>
            <w:tcBorders>
              <w:top w:val="single" w:sz="8" w:space="0" w:color="auto"/>
              <w:left w:val="nil"/>
              <w:bottom w:val="single" w:sz="8" w:space="0" w:color="auto"/>
              <w:right w:val="single" w:sz="8" w:space="0" w:color="auto"/>
            </w:tcBorders>
            <w:noWrap/>
            <w:vAlign w:val="center"/>
          </w:tcPr>
          <w:p w:rsidR="006007BC" w:rsidRPr="00CF67FC" w14:paraId="01A0C2D2" w14:textId="77777777">
            <w:pPr>
              <w:keepNext/>
              <w:keepLines/>
              <w:widowControl w:val="0"/>
              <w:autoSpaceDN w:val="0"/>
              <w:jc w:val="center"/>
              <w:rPr>
                <w:rFonts w:ascii="Arial" w:hAnsi="Arial" w:cs="Arial"/>
                <w:b/>
                <w:bCs/>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6007BC" w:rsidRPr="00CF67FC" w14:paraId="0F5E9608" w14:textId="727BE020">
            <w:pPr>
              <w:keepNext/>
              <w:keepLines/>
              <w:widowControl w:val="0"/>
              <w:autoSpaceDN w:val="0"/>
              <w:jc w:val="center"/>
              <w:rPr>
                <w:rFonts w:ascii="Arial" w:hAnsi="Arial" w:cs="Arial"/>
                <w:b/>
                <w:bCs/>
                <w:color w:val="000000"/>
                <w:sz w:val="20"/>
                <w:szCs w:val="20"/>
              </w:rPr>
            </w:pPr>
            <w:r w:rsidRPr="00CF67FC">
              <w:rPr>
                <w:rFonts w:ascii="Arial" w:hAnsi="Arial" w:cs="Arial"/>
                <w:b/>
                <w:bCs/>
                <w:color w:val="000000"/>
                <w:sz w:val="20"/>
                <w:szCs w:val="20"/>
              </w:rPr>
              <w:t>110,400</w:t>
            </w:r>
          </w:p>
        </w:tc>
        <w:tc>
          <w:tcPr>
            <w:tcW w:w="1198" w:type="dxa"/>
            <w:tcBorders>
              <w:top w:val="single" w:sz="8" w:space="0" w:color="auto"/>
              <w:left w:val="nil"/>
              <w:bottom w:val="single" w:sz="8" w:space="0" w:color="auto"/>
              <w:right w:val="single" w:sz="8" w:space="0" w:color="auto"/>
            </w:tcBorders>
            <w:noWrap/>
            <w:vAlign w:val="center"/>
          </w:tcPr>
          <w:p w:rsidR="006007BC" w:rsidRPr="00CF67FC" w:rsidP="00F87A66" w14:paraId="3AAE7D09" w14:textId="77777777">
            <w:pPr>
              <w:keepNext/>
              <w:keepLines/>
              <w:widowControl w:val="0"/>
              <w:autoSpaceDN w:val="0"/>
              <w:jc w:val="center"/>
              <w:rPr>
                <w:rFonts w:ascii="Arial" w:hAnsi="Arial" w:cs="Arial"/>
                <w:b/>
                <w:bCs/>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6007BC" w:rsidRPr="00CF67FC" w:rsidP="00F87A66" w14:paraId="52FF963A" w14:textId="6E89DB81">
            <w:pPr>
              <w:keepNext/>
              <w:keepLines/>
              <w:widowControl w:val="0"/>
              <w:autoSpaceDN w:val="0"/>
              <w:jc w:val="center"/>
              <w:rPr>
                <w:rFonts w:ascii="Arial" w:hAnsi="Arial" w:cs="Arial"/>
                <w:b/>
                <w:bCs/>
                <w:color w:val="000000"/>
                <w:sz w:val="20"/>
                <w:szCs w:val="20"/>
              </w:rPr>
            </w:pPr>
            <w:r w:rsidRPr="00CF67FC">
              <w:rPr>
                <w:rFonts w:ascii="Arial" w:hAnsi="Arial" w:cs="Arial"/>
                <w:b/>
                <w:bCs/>
                <w:color w:val="000000"/>
                <w:sz w:val="20"/>
                <w:szCs w:val="20"/>
              </w:rPr>
              <w:t>34,224</w:t>
            </w:r>
          </w:p>
        </w:tc>
      </w:tr>
    </w:tbl>
    <w:p w:rsidR="006007BC" w:rsidRPr="00752F1B" w:rsidP="006007BC" w14:paraId="6B14C260" w14:textId="77777777">
      <w:pPr>
        <w:autoSpaceDE w:val="0"/>
        <w:autoSpaceDN w:val="0"/>
        <w:adjustRightInd w:val="0"/>
        <w:ind w:left="540"/>
        <w:rPr>
          <w:rFonts w:ascii="Arial" w:hAnsi="Arial" w:cs="Arial"/>
          <w:szCs w:val="24"/>
        </w:rPr>
      </w:pPr>
    </w:p>
    <w:p w:rsidR="009E3D48" w:rsidRPr="00752F1B" w:rsidP="006007BC" w14:paraId="25A62332" w14:textId="77777777">
      <w:pPr>
        <w:pStyle w:val="ListParagraph"/>
        <w:numPr>
          <w:ilvl w:val="0"/>
          <w:numId w:val="1"/>
        </w:numPr>
        <w:tabs>
          <w:tab w:val="left" w:pos="540"/>
        </w:tabs>
        <w:ind w:left="540" w:hanging="810"/>
        <w:rPr>
          <w:rFonts w:ascii="Arial" w:hAnsi="Arial" w:cs="Arial"/>
          <w:szCs w:val="24"/>
          <w:u w:val="single"/>
        </w:rPr>
      </w:pPr>
      <w:r w:rsidRPr="00752F1B">
        <w:rPr>
          <w:rFonts w:ascii="Arial" w:hAnsi="Arial" w:cs="Arial"/>
          <w:szCs w:val="24"/>
          <w:u w:val="single"/>
        </w:rPr>
        <w:t xml:space="preserve">ESTIMATED TOTAL ANNUAL COST BURDEN TO RESPONDENTS </w:t>
      </w:r>
    </w:p>
    <w:p w:rsidR="009E3D48" w:rsidRPr="00752F1B" w:rsidP="009E3D48" w14:paraId="71A0F274" w14:textId="77777777">
      <w:pPr>
        <w:tabs>
          <w:tab w:val="left" w:pos="540"/>
        </w:tabs>
        <w:ind w:left="540" w:hanging="540"/>
        <w:rPr>
          <w:rFonts w:ascii="Arial" w:hAnsi="Arial" w:cs="Arial"/>
          <w:szCs w:val="24"/>
        </w:rPr>
      </w:pPr>
    </w:p>
    <w:p w:rsidR="00FB5A88" w:rsidRPr="00752F1B" w:rsidP="00FB5A88" w14:paraId="1B4BFD20" w14:textId="77777777">
      <w:pPr>
        <w:tabs>
          <w:tab w:val="left" w:pos="540"/>
        </w:tabs>
        <w:ind w:left="540"/>
        <w:rPr>
          <w:rFonts w:ascii="Arial" w:hAnsi="Arial" w:cs="Arial"/>
          <w:szCs w:val="24"/>
        </w:rPr>
      </w:pPr>
      <w:r>
        <w:rPr>
          <w:rFonts w:ascii="Arial" w:hAnsi="Arial" w:cs="Arial"/>
          <w:szCs w:val="24"/>
        </w:rPr>
        <w:t>This information collection will be included in the consolidated OMB submission for information returns currently being developed</w:t>
      </w:r>
      <w:r w:rsidRPr="00752F1B">
        <w:rPr>
          <w:rFonts w:ascii="Arial" w:hAnsi="Arial" w:cs="Arial"/>
          <w:szCs w:val="24"/>
        </w:rPr>
        <w:t xml:space="preserve">. </w:t>
      </w:r>
      <w:r>
        <w:rPr>
          <w:rFonts w:ascii="Arial" w:hAnsi="Arial" w:cs="Arial"/>
          <w:szCs w:val="24"/>
        </w:rPr>
        <w:t xml:space="preserve">IRS is working on the methodology for evaluating information return burden and cost; and will update the cost and burden estimates as part of the consolidation. </w:t>
      </w:r>
      <w:r w:rsidRPr="00752F1B">
        <w:rPr>
          <w:rFonts w:ascii="Arial" w:hAnsi="Arial" w:cs="Arial"/>
          <w:szCs w:val="24"/>
        </w:rPr>
        <w:t xml:space="preserve">  </w:t>
      </w:r>
    </w:p>
    <w:p w:rsidR="009E3D48" w:rsidRPr="00752F1B" w:rsidP="009E3D48" w14:paraId="3B60D7D1" w14:textId="77777777">
      <w:pPr>
        <w:tabs>
          <w:tab w:val="left" w:pos="540"/>
        </w:tabs>
        <w:ind w:left="540" w:hanging="540"/>
        <w:rPr>
          <w:rFonts w:ascii="Arial" w:hAnsi="Arial" w:cs="Arial"/>
          <w:szCs w:val="24"/>
          <w:u w:val="single"/>
        </w:rPr>
      </w:pPr>
    </w:p>
    <w:p w:rsidR="009E3D48" w:rsidRPr="00752F1B" w:rsidP="009E3D48" w14:paraId="0D4451C8"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ESTIMATED ANNUALIZED COST TO THE FEDERAL GOVERNMENT </w:t>
      </w:r>
    </w:p>
    <w:p w:rsidR="009E3D48" w:rsidRPr="00752F1B" w:rsidP="009E3D48" w14:paraId="11022BDE" w14:textId="77777777">
      <w:pPr>
        <w:tabs>
          <w:tab w:val="left" w:pos="540"/>
        </w:tabs>
        <w:ind w:left="540" w:hanging="540"/>
        <w:rPr>
          <w:rFonts w:ascii="Arial" w:hAnsi="Arial" w:cs="Arial"/>
          <w:szCs w:val="24"/>
        </w:rPr>
      </w:pPr>
    </w:p>
    <w:p w:rsidR="00A35947" w:rsidRPr="00752F1B" w:rsidP="00E37E63" w14:paraId="1B599EB2" w14:textId="0565EAB7">
      <w:pPr>
        <w:tabs>
          <w:tab w:val="left" w:pos="450"/>
        </w:tabs>
        <w:ind w:left="540"/>
        <w:rPr>
          <w:rFonts w:ascii="Arial" w:hAnsi="Arial" w:cs="Arial"/>
          <w:szCs w:val="24"/>
        </w:rPr>
      </w:pPr>
      <w:r w:rsidRPr="00752F1B">
        <w:rPr>
          <w:rFonts w:ascii="Arial" w:hAnsi="Arial" w:cs="Arial"/>
          <w:szCs w:val="24"/>
        </w:rPr>
        <w:t xml:space="preserve">The Federal government cost estimate is based on a model that considers the following three cost factors for each information product: aggregate labor costs for development, including annualized </w:t>
      </w:r>
      <w:r w:rsidRPr="00752F1B" w:rsidR="00017DBD">
        <w:rPr>
          <w:rFonts w:ascii="Arial" w:hAnsi="Arial" w:cs="Arial"/>
          <w:szCs w:val="24"/>
        </w:rPr>
        <w:t>startup</w:t>
      </w:r>
      <w:r w:rsidRPr="00752F1B">
        <w:rPr>
          <w:rFonts w:ascii="Arial" w:hAnsi="Arial" w:cs="Arial"/>
          <w:szCs w:val="24"/>
        </w:rPr>
        <w:t xml:space="preserve"> expenses, operating and maintenance expenses, and distribution of the product that collects the information.  </w:t>
      </w:r>
    </w:p>
    <w:p w:rsidR="00A35947" w:rsidRPr="00752F1B" w:rsidP="00A35947" w14:paraId="5829CB3C" w14:textId="77777777">
      <w:pPr>
        <w:ind w:left="360"/>
        <w:rPr>
          <w:rFonts w:ascii="Arial" w:hAnsi="Arial" w:cs="Arial"/>
          <w:szCs w:val="24"/>
        </w:rPr>
      </w:pPr>
    </w:p>
    <w:p w:rsidR="00A35947" w:rsidRPr="00752F1B" w:rsidP="00E37E63" w14:paraId="56669BF4" w14:textId="611968C8">
      <w:pPr>
        <w:ind w:left="540"/>
        <w:rPr>
          <w:rFonts w:ascii="Arial" w:hAnsi="Arial" w:cs="Arial"/>
          <w:szCs w:val="24"/>
        </w:rPr>
      </w:pPr>
      <w:r w:rsidRPr="00752F1B">
        <w:rPr>
          <w:rFonts w:ascii="Arial" w:hAnsi="Arial" w:cs="Arial"/>
          <w:szCs w:val="24"/>
        </w:rPr>
        <w:t xml:space="preserve">The government computes cost using a multi-step process.  First, the government creates a weighted factor for the level of effort to create each information collection product based on variables such </w:t>
      </w:r>
      <w:r w:rsidRPr="00752F1B" w:rsidR="00017DBD">
        <w:rPr>
          <w:rFonts w:ascii="Arial" w:hAnsi="Arial" w:cs="Arial"/>
          <w:szCs w:val="24"/>
        </w:rPr>
        <w:t>as</w:t>
      </w:r>
      <w:r w:rsidRPr="00752F1B">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752F1B" w:rsidR="00017DBD">
        <w:rPr>
          <w:rFonts w:ascii="Arial" w:hAnsi="Arial" w:cs="Arial"/>
          <w:szCs w:val="24"/>
        </w:rPr>
        <w:t>libraries,</w:t>
      </w:r>
      <w:r w:rsidRPr="00752F1B">
        <w:rPr>
          <w:rFonts w:ascii="Arial" w:hAnsi="Arial" w:cs="Arial"/>
          <w:szCs w:val="24"/>
        </w:rPr>
        <w:t xml:space="preserve"> and other outlets. The result is the Government cost estimate per product.</w:t>
      </w:r>
    </w:p>
    <w:p w:rsidR="00A35947" w:rsidRPr="00752F1B" w:rsidP="00A35947" w14:paraId="3979D3B5" w14:textId="77777777">
      <w:pPr>
        <w:ind w:left="360"/>
        <w:rPr>
          <w:rFonts w:ascii="Arial" w:hAnsi="Arial" w:cs="Arial"/>
          <w:szCs w:val="24"/>
        </w:rPr>
      </w:pPr>
    </w:p>
    <w:p w:rsidR="00A35947" w:rsidRPr="00752F1B" w:rsidP="00266072" w14:paraId="11BB8818" w14:textId="1A71B13E">
      <w:pPr>
        <w:ind w:left="540"/>
        <w:rPr>
          <w:rFonts w:ascii="Arial" w:hAnsi="Arial" w:cs="Arial"/>
          <w:szCs w:val="24"/>
        </w:rPr>
      </w:pPr>
      <w:r w:rsidRPr="00752F1B">
        <w:rPr>
          <w:rFonts w:ascii="Arial" w:hAnsi="Arial" w:cs="Arial"/>
          <w:szCs w:val="24"/>
        </w:rPr>
        <w:t>The government cost estimate for this collection is summarized in the table below.</w:t>
      </w:r>
    </w:p>
    <w:p w:rsidR="00A35947" w:rsidRPr="00752F1B" w:rsidP="00A35947" w14:paraId="6260C32E" w14:textId="77777777">
      <w:pPr>
        <w:ind w:left="360"/>
        <w:rPr>
          <w:rFonts w:ascii="Arial" w:hAnsi="Arial" w:cs="Arial"/>
          <w:szCs w:val="24"/>
        </w:rPr>
      </w:pPr>
    </w:p>
    <w:p w:rsidR="00D463E0" w:rsidP="009E3D48" w14:paraId="3BD72369" w14:textId="77777777">
      <w:pPr>
        <w:tabs>
          <w:tab w:val="left" w:pos="540"/>
        </w:tabs>
        <w:ind w:left="540" w:hanging="540"/>
        <w:rPr>
          <w:rFonts w:ascii="Arial" w:hAnsi="Arial" w:cs="Arial"/>
          <w:szCs w:val="24"/>
        </w:rPr>
      </w:pPr>
    </w:p>
    <w:p w:rsidR="00DD1DF7" w:rsidP="009E3D48" w14:paraId="1A4825E7" w14:textId="77777777">
      <w:pPr>
        <w:tabs>
          <w:tab w:val="left" w:pos="540"/>
        </w:tabs>
        <w:ind w:left="540" w:hanging="540"/>
        <w:rPr>
          <w:rFonts w:ascii="Arial" w:hAnsi="Arial" w:cs="Arial"/>
          <w:szCs w:val="24"/>
        </w:rPr>
      </w:pPr>
    </w:p>
    <w:tbl>
      <w:tblPr>
        <w:tblpPr w:leftFromText="180" w:rightFromText="180" w:bottomFromText="160" w:vertAnchor="text" w:horzAnchor="page" w:tblpX="1910" w:tblpY="-31"/>
        <w:tblW w:w="9361" w:type="dxa"/>
        <w:tblCellMar>
          <w:left w:w="0" w:type="dxa"/>
          <w:right w:w="0" w:type="dxa"/>
        </w:tblCellMar>
        <w:tblLook w:val="04A0"/>
      </w:tblPr>
      <w:tblGrid>
        <w:gridCol w:w="2828"/>
        <w:gridCol w:w="2143"/>
        <w:gridCol w:w="361"/>
        <w:gridCol w:w="1890"/>
        <w:gridCol w:w="420"/>
        <w:gridCol w:w="1719"/>
      </w:tblGrid>
      <w:tr w14:paraId="72A7496D" w14:textId="77777777" w:rsidTr="00CA474E">
        <w:tblPrEx>
          <w:tblW w:w="9361" w:type="dxa"/>
          <w:tblCellMar>
            <w:left w:w="0" w:type="dxa"/>
            <w:right w:w="0" w:type="dxa"/>
          </w:tblCellMar>
          <w:tblLook w:val="04A0"/>
        </w:tblPrEx>
        <w:trPr>
          <w:trHeight w:val="762"/>
        </w:trPr>
        <w:tc>
          <w:tcPr>
            <w:tcW w:w="2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D1DF7" w:rsidRPr="00CA474E" w:rsidP="00CA474E" w14:paraId="76A8CCED" w14:textId="77777777">
            <w:pPr>
              <w:keepNext/>
              <w:spacing w:line="256" w:lineRule="auto"/>
              <w:jc w:val="center"/>
              <w:rPr>
                <w:rFonts w:ascii="Arial" w:eastAsia="Calibri" w:hAnsi="Arial" w:cs="Arial"/>
                <w:b/>
                <w:bCs/>
                <w:sz w:val="20"/>
                <w:szCs w:val="20"/>
                <w:u w:val="single"/>
              </w:rPr>
            </w:pPr>
            <w:r w:rsidRPr="00CA474E">
              <w:rPr>
                <w:rFonts w:ascii="Arial" w:hAnsi="Arial" w:cs="Arial"/>
                <w:b/>
                <w:bCs/>
                <w:sz w:val="20"/>
                <w:szCs w:val="20"/>
                <w:u w:val="single"/>
              </w:rPr>
              <w:t>Product</w:t>
            </w:r>
          </w:p>
        </w:tc>
        <w:tc>
          <w:tcPr>
            <w:tcW w:w="2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D1DF7" w:rsidRPr="00CA474E" w:rsidP="00CA474E" w14:paraId="44CA858D" w14:textId="77777777">
            <w:pPr>
              <w:keepNext/>
              <w:spacing w:line="256" w:lineRule="auto"/>
              <w:jc w:val="center"/>
              <w:rPr>
                <w:rFonts w:ascii="Arial" w:hAnsi="Arial" w:cs="Arial"/>
                <w:b/>
                <w:bCs/>
                <w:sz w:val="20"/>
                <w:szCs w:val="20"/>
                <w:u w:val="single"/>
              </w:rPr>
            </w:pPr>
            <w:r w:rsidRPr="00CA474E">
              <w:rPr>
                <w:rFonts w:ascii="Arial" w:hAnsi="Arial" w:cs="Arial"/>
                <w:b/>
                <w:bCs/>
                <w:sz w:val="20"/>
                <w:szCs w:val="20"/>
                <w:u w:val="single"/>
              </w:rPr>
              <w:t>Aggregate Cost per Product (factor applied)</w:t>
            </w:r>
          </w:p>
        </w:tc>
        <w:tc>
          <w:tcPr>
            <w:tcW w:w="3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D1DF7" w:rsidRPr="00CA474E" w:rsidP="00CA474E" w14:paraId="287249F7" w14:textId="77777777">
            <w:pPr>
              <w:keepNext/>
              <w:spacing w:line="256" w:lineRule="auto"/>
              <w:jc w:val="center"/>
              <w:rPr>
                <w:rFonts w:ascii="Arial" w:hAnsi="Arial" w:cs="Arial"/>
                <w:b/>
                <w:bCs/>
                <w:sz w:val="20"/>
                <w:szCs w:val="20"/>
                <w:u w:val="single"/>
              </w:rPr>
            </w:pP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D1DF7" w:rsidRPr="00CA474E" w:rsidP="00CA474E" w14:paraId="438C571B" w14:textId="77777777">
            <w:pPr>
              <w:keepNext/>
              <w:spacing w:line="256" w:lineRule="auto"/>
              <w:jc w:val="center"/>
              <w:rPr>
                <w:rFonts w:ascii="Arial" w:hAnsi="Arial" w:cs="Arial"/>
                <w:b/>
                <w:bCs/>
                <w:sz w:val="20"/>
                <w:szCs w:val="20"/>
                <w:u w:val="single"/>
              </w:rPr>
            </w:pPr>
            <w:r w:rsidRPr="00CA474E">
              <w:rPr>
                <w:rFonts w:ascii="Arial" w:hAnsi="Arial" w:cs="Arial"/>
                <w:b/>
                <w:bCs/>
                <w:sz w:val="20"/>
                <w:szCs w:val="20"/>
                <w:u w:val="single"/>
              </w:rPr>
              <w:t>Printing and Distribution</w:t>
            </w:r>
          </w:p>
        </w:tc>
        <w:tc>
          <w:tcPr>
            <w:tcW w:w="4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D1DF7" w:rsidRPr="00CA474E" w:rsidP="00CA474E" w14:paraId="79F6807F" w14:textId="77777777">
            <w:pPr>
              <w:keepNext/>
              <w:spacing w:line="256" w:lineRule="auto"/>
              <w:jc w:val="center"/>
              <w:rPr>
                <w:rFonts w:ascii="Arial" w:hAnsi="Arial" w:cs="Arial"/>
                <w:b/>
                <w:bCs/>
                <w:sz w:val="20"/>
                <w:szCs w:val="20"/>
                <w:u w:val="single"/>
              </w:rPr>
            </w:pPr>
          </w:p>
        </w:tc>
        <w:tc>
          <w:tcPr>
            <w:tcW w:w="1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D1DF7" w:rsidRPr="00CA474E" w:rsidP="00CA474E" w14:paraId="00AC723D" w14:textId="77777777">
            <w:pPr>
              <w:keepNext/>
              <w:spacing w:line="256" w:lineRule="auto"/>
              <w:jc w:val="center"/>
              <w:rPr>
                <w:rFonts w:ascii="Arial" w:hAnsi="Arial" w:cs="Arial"/>
                <w:b/>
                <w:bCs/>
                <w:sz w:val="20"/>
                <w:szCs w:val="20"/>
                <w:u w:val="single"/>
              </w:rPr>
            </w:pPr>
            <w:r w:rsidRPr="00CA474E">
              <w:rPr>
                <w:rFonts w:ascii="Arial" w:hAnsi="Arial" w:cs="Arial"/>
                <w:b/>
                <w:bCs/>
                <w:sz w:val="20"/>
                <w:szCs w:val="20"/>
                <w:u w:val="single"/>
              </w:rPr>
              <w:t>Government Cost Estimate per Product</w:t>
            </w:r>
          </w:p>
        </w:tc>
      </w:tr>
      <w:tr w14:paraId="574C5C5F" w14:textId="77777777" w:rsidTr="00CA474E">
        <w:tblPrEx>
          <w:tblW w:w="9361" w:type="dxa"/>
          <w:tblCellMar>
            <w:left w:w="0" w:type="dxa"/>
            <w:right w:w="0" w:type="dxa"/>
          </w:tblCellMar>
          <w:tblLook w:val="04A0"/>
        </w:tblPrEx>
        <w:trPr>
          <w:trHeight w:val="250"/>
        </w:trPr>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D1DF7" w:rsidRPr="00CA474E" w:rsidP="00CA474E" w14:paraId="16B8CE71" w14:textId="451A1DC8">
            <w:pPr>
              <w:keepNext/>
              <w:numPr>
                <w:ilvl w:val="12"/>
                <w:numId w:val="0"/>
              </w:numPr>
              <w:spacing w:line="256" w:lineRule="auto"/>
              <w:rPr>
                <w:rFonts w:ascii="Arial" w:hAnsi="Arial" w:cs="Arial"/>
                <w:sz w:val="20"/>
                <w:szCs w:val="20"/>
              </w:rPr>
            </w:pPr>
            <w:r w:rsidRPr="00CA474E">
              <w:rPr>
                <w:rFonts w:ascii="Arial" w:hAnsi="Arial" w:cs="Arial"/>
                <w:sz w:val="20"/>
                <w:szCs w:val="20"/>
              </w:rPr>
              <w:t>Form 1098 C</w:t>
            </w:r>
          </w:p>
        </w:tc>
        <w:tc>
          <w:tcPr>
            <w:tcW w:w="2143" w:type="dxa"/>
            <w:tcBorders>
              <w:top w:val="nil"/>
              <w:left w:val="nil"/>
              <w:bottom w:val="single" w:sz="8" w:space="0" w:color="auto"/>
              <w:right w:val="single" w:sz="8" w:space="0" w:color="auto"/>
            </w:tcBorders>
            <w:tcMar>
              <w:top w:w="0" w:type="dxa"/>
              <w:left w:w="108" w:type="dxa"/>
              <w:bottom w:w="0" w:type="dxa"/>
              <w:right w:w="108" w:type="dxa"/>
            </w:tcMar>
            <w:hideMark/>
          </w:tcPr>
          <w:p w:rsidR="00DD1DF7" w:rsidRPr="00CA474E" w:rsidP="00CA474E" w14:paraId="4AD47D06" w14:textId="31393380">
            <w:pPr>
              <w:keepNext/>
              <w:spacing w:line="256" w:lineRule="auto"/>
              <w:jc w:val="center"/>
              <w:rPr>
                <w:rFonts w:ascii="Arial" w:hAnsi="Arial" w:cs="Arial"/>
                <w:sz w:val="20"/>
                <w:szCs w:val="20"/>
              </w:rPr>
            </w:pPr>
            <w:r w:rsidRPr="00CA474E">
              <w:rPr>
                <w:rFonts w:ascii="Arial" w:hAnsi="Arial" w:cs="Arial"/>
                <w:sz w:val="20"/>
                <w:szCs w:val="20"/>
              </w:rPr>
              <w:t>$107,281</w:t>
            </w:r>
          </w:p>
        </w:tc>
        <w:tc>
          <w:tcPr>
            <w:tcW w:w="361" w:type="dxa"/>
            <w:tcBorders>
              <w:top w:val="nil"/>
              <w:left w:val="nil"/>
              <w:bottom w:val="single" w:sz="8" w:space="0" w:color="auto"/>
              <w:right w:val="single" w:sz="8" w:space="0" w:color="auto"/>
            </w:tcBorders>
            <w:tcMar>
              <w:top w:w="0" w:type="dxa"/>
              <w:left w:w="108" w:type="dxa"/>
              <w:bottom w:w="0" w:type="dxa"/>
              <w:right w:w="108" w:type="dxa"/>
            </w:tcMar>
            <w:hideMark/>
          </w:tcPr>
          <w:p w:rsidR="00DD1DF7" w:rsidRPr="00CA474E" w:rsidP="00CA474E" w14:paraId="54CD1CF4" w14:textId="77777777">
            <w:pPr>
              <w:keepNext/>
              <w:spacing w:line="256" w:lineRule="auto"/>
              <w:jc w:val="center"/>
              <w:rPr>
                <w:rFonts w:ascii="Arial" w:hAnsi="Arial" w:cs="Arial"/>
                <w:sz w:val="20"/>
                <w:szCs w:val="20"/>
              </w:rPr>
            </w:pPr>
            <w:r w:rsidRPr="00CA474E">
              <w:rPr>
                <w:rFonts w:ascii="Arial" w:hAnsi="Arial" w:cs="Arial"/>
                <w:sz w:val="20"/>
                <w:szCs w:val="20"/>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DD1DF7" w:rsidRPr="00CA474E" w:rsidP="00CA474E" w14:paraId="5BDCAB4F" w14:textId="77777777">
            <w:pPr>
              <w:keepNext/>
              <w:spacing w:line="256" w:lineRule="auto"/>
              <w:jc w:val="center"/>
              <w:rPr>
                <w:rFonts w:ascii="Arial" w:hAnsi="Arial" w:cs="Arial"/>
                <w:sz w:val="20"/>
                <w:szCs w:val="20"/>
              </w:rPr>
            </w:pPr>
            <w:r w:rsidRPr="00CA474E">
              <w:rPr>
                <w:rFonts w:ascii="Arial" w:hAnsi="Arial" w:cs="Arial"/>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rsidR="00DD1DF7" w:rsidRPr="00CA474E" w:rsidP="00CA474E" w14:paraId="3BA4DA67" w14:textId="77777777">
            <w:pPr>
              <w:keepNext/>
              <w:spacing w:line="256" w:lineRule="auto"/>
              <w:jc w:val="center"/>
              <w:rPr>
                <w:rFonts w:ascii="Arial" w:hAnsi="Arial" w:cs="Arial"/>
                <w:sz w:val="20"/>
                <w:szCs w:val="20"/>
              </w:rPr>
            </w:pPr>
            <w:r w:rsidRPr="00CA474E">
              <w:rPr>
                <w:rFonts w:ascii="Arial" w:hAnsi="Arial" w:cs="Arial"/>
                <w:sz w:val="20"/>
                <w:szCs w:val="20"/>
              </w:rPr>
              <w:t>=</w:t>
            </w:r>
          </w:p>
        </w:tc>
        <w:tc>
          <w:tcPr>
            <w:tcW w:w="1719" w:type="dxa"/>
            <w:tcBorders>
              <w:top w:val="nil"/>
              <w:left w:val="nil"/>
              <w:bottom w:val="single" w:sz="8" w:space="0" w:color="auto"/>
              <w:right w:val="single" w:sz="8" w:space="0" w:color="auto"/>
            </w:tcBorders>
            <w:tcMar>
              <w:top w:w="0" w:type="dxa"/>
              <w:left w:w="108" w:type="dxa"/>
              <w:bottom w:w="0" w:type="dxa"/>
              <w:right w:w="108" w:type="dxa"/>
            </w:tcMar>
            <w:hideMark/>
          </w:tcPr>
          <w:p w:rsidR="00DD1DF7" w:rsidRPr="00CA474E" w:rsidP="00CA474E" w14:paraId="3E5B800E" w14:textId="4BF31D30">
            <w:pPr>
              <w:keepNext/>
              <w:spacing w:line="256" w:lineRule="auto"/>
              <w:jc w:val="center"/>
              <w:rPr>
                <w:rFonts w:ascii="Arial" w:hAnsi="Arial" w:cs="Arial"/>
                <w:sz w:val="20"/>
                <w:szCs w:val="20"/>
              </w:rPr>
            </w:pPr>
            <w:r w:rsidRPr="00CA474E">
              <w:rPr>
                <w:rFonts w:ascii="Arial" w:hAnsi="Arial" w:cs="Arial"/>
                <w:sz w:val="20"/>
                <w:szCs w:val="20"/>
              </w:rPr>
              <w:t>$107,281</w:t>
            </w:r>
          </w:p>
        </w:tc>
      </w:tr>
      <w:tr w14:paraId="4AFAE2FF" w14:textId="77777777" w:rsidTr="00CA474E">
        <w:tblPrEx>
          <w:tblW w:w="9361" w:type="dxa"/>
          <w:tblCellMar>
            <w:left w:w="0" w:type="dxa"/>
            <w:right w:w="0" w:type="dxa"/>
          </w:tblCellMar>
          <w:tblLook w:val="04A0"/>
        </w:tblPrEx>
        <w:trPr>
          <w:trHeight w:val="250"/>
        </w:trPr>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D1DF7" w:rsidRPr="00CA474E" w:rsidP="00CA474E" w14:paraId="72EF5211" w14:textId="4A83570A">
            <w:pPr>
              <w:keepNext/>
              <w:numPr>
                <w:ilvl w:val="12"/>
                <w:numId w:val="0"/>
              </w:numPr>
              <w:spacing w:line="256" w:lineRule="auto"/>
              <w:rPr>
                <w:rFonts w:ascii="Arial" w:hAnsi="Arial" w:cs="Arial"/>
                <w:sz w:val="20"/>
                <w:szCs w:val="20"/>
              </w:rPr>
            </w:pPr>
            <w:r w:rsidRPr="00CA474E">
              <w:rPr>
                <w:rFonts w:ascii="Arial" w:hAnsi="Arial" w:cs="Arial"/>
                <w:sz w:val="20"/>
                <w:szCs w:val="20"/>
              </w:rPr>
              <w:t>Instructions 1098 C</w:t>
            </w:r>
          </w:p>
        </w:tc>
        <w:tc>
          <w:tcPr>
            <w:tcW w:w="2143" w:type="dxa"/>
            <w:tcBorders>
              <w:top w:val="nil"/>
              <w:left w:val="nil"/>
              <w:bottom w:val="single" w:sz="8" w:space="0" w:color="auto"/>
              <w:right w:val="single" w:sz="8" w:space="0" w:color="auto"/>
            </w:tcBorders>
            <w:tcMar>
              <w:top w:w="0" w:type="dxa"/>
              <w:left w:w="108" w:type="dxa"/>
              <w:bottom w:w="0" w:type="dxa"/>
              <w:right w:w="108" w:type="dxa"/>
            </w:tcMar>
          </w:tcPr>
          <w:p w:rsidR="00DD1DF7" w:rsidRPr="00CA474E" w:rsidP="00CA474E" w14:paraId="622C58ED" w14:textId="0DDD4F54">
            <w:pPr>
              <w:keepNext/>
              <w:spacing w:line="256" w:lineRule="auto"/>
              <w:jc w:val="center"/>
              <w:rPr>
                <w:rFonts w:ascii="Arial" w:hAnsi="Arial" w:cs="Arial"/>
                <w:sz w:val="20"/>
                <w:szCs w:val="20"/>
              </w:rPr>
            </w:pPr>
            <w:r w:rsidRPr="00CA474E">
              <w:rPr>
                <w:rFonts w:ascii="Arial" w:hAnsi="Arial" w:cs="Arial"/>
                <w:sz w:val="20"/>
                <w:szCs w:val="20"/>
              </w:rPr>
              <w:t>$8,204</w:t>
            </w:r>
          </w:p>
        </w:tc>
        <w:tc>
          <w:tcPr>
            <w:tcW w:w="361" w:type="dxa"/>
            <w:tcBorders>
              <w:top w:val="nil"/>
              <w:left w:val="nil"/>
              <w:bottom w:val="single" w:sz="8" w:space="0" w:color="auto"/>
              <w:right w:val="single" w:sz="8" w:space="0" w:color="auto"/>
            </w:tcBorders>
            <w:tcMar>
              <w:top w:w="0" w:type="dxa"/>
              <w:left w:w="108" w:type="dxa"/>
              <w:bottom w:w="0" w:type="dxa"/>
              <w:right w:w="108" w:type="dxa"/>
            </w:tcMar>
          </w:tcPr>
          <w:p w:rsidR="00DD1DF7" w:rsidRPr="00CA474E" w:rsidP="00CA474E" w14:paraId="5A5C5496" w14:textId="00D5E7EA">
            <w:pPr>
              <w:keepNext/>
              <w:spacing w:line="256" w:lineRule="auto"/>
              <w:jc w:val="center"/>
              <w:rPr>
                <w:rFonts w:ascii="Arial" w:hAnsi="Arial" w:cs="Arial"/>
                <w:sz w:val="20"/>
                <w:szCs w:val="20"/>
              </w:rPr>
            </w:pPr>
            <w:r>
              <w:rPr>
                <w:rFonts w:ascii="Arial" w:hAnsi="Arial" w:cs="Arial"/>
                <w:sz w:val="20"/>
                <w:szCs w:val="20"/>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DD1DF7" w:rsidRPr="00CA474E" w:rsidP="00CA474E" w14:paraId="2325EC30" w14:textId="696E638A">
            <w:pPr>
              <w:keepNext/>
              <w:spacing w:line="256" w:lineRule="auto"/>
              <w:jc w:val="center"/>
              <w:rPr>
                <w:rFonts w:ascii="Arial" w:hAnsi="Arial" w:cs="Arial"/>
                <w:sz w:val="20"/>
                <w:szCs w:val="20"/>
              </w:rPr>
            </w:pPr>
            <w:r w:rsidRPr="00CA474E">
              <w:rPr>
                <w:rFonts w:ascii="Arial" w:hAnsi="Arial" w:cs="Arial"/>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tcPr>
          <w:p w:rsidR="00DD1DF7" w:rsidRPr="00CA474E" w:rsidP="00CA474E" w14:paraId="00E2C449" w14:textId="292EA538">
            <w:pPr>
              <w:keepNext/>
              <w:spacing w:line="256" w:lineRule="auto"/>
              <w:jc w:val="center"/>
              <w:rPr>
                <w:rFonts w:ascii="Arial" w:hAnsi="Arial" w:cs="Arial"/>
                <w:sz w:val="20"/>
                <w:szCs w:val="20"/>
              </w:rPr>
            </w:pPr>
            <w:r>
              <w:rPr>
                <w:rFonts w:ascii="Arial" w:hAnsi="Arial" w:cs="Arial"/>
                <w:sz w:val="20"/>
                <w:szCs w:val="20"/>
              </w:rPr>
              <w:t>=</w:t>
            </w:r>
          </w:p>
        </w:tc>
        <w:tc>
          <w:tcPr>
            <w:tcW w:w="1719" w:type="dxa"/>
            <w:tcBorders>
              <w:top w:val="nil"/>
              <w:left w:val="nil"/>
              <w:bottom w:val="single" w:sz="8" w:space="0" w:color="auto"/>
              <w:right w:val="single" w:sz="8" w:space="0" w:color="auto"/>
            </w:tcBorders>
            <w:tcMar>
              <w:top w:w="0" w:type="dxa"/>
              <w:left w:w="108" w:type="dxa"/>
              <w:bottom w:w="0" w:type="dxa"/>
              <w:right w:w="108" w:type="dxa"/>
            </w:tcMar>
          </w:tcPr>
          <w:p w:rsidR="00DD1DF7" w:rsidRPr="00CA474E" w:rsidP="00CA474E" w14:paraId="1690C5A4" w14:textId="48DBC4FD">
            <w:pPr>
              <w:keepNext/>
              <w:spacing w:line="256" w:lineRule="auto"/>
              <w:jc w:val="center"/>
              <w:rPr>
                <w:rFonts w:ascii="Arial" w:hAnsi="Arial" w:cs="Arial"/>
                <w:sz w:val="20"/>
                <w:szCs w:val="20"/>
              </w:rPr>
            </w:pPr>
            <w:r w:rsidRPr="00CA474E">
              <w:rPr>
                <w:rFonts w:ascii="Arial" w:hAnsi="Arial" w:cs="Arial"/>
                <w:sz w:val="20"/>
                <w:szCs w:val="20"/>
              </w:rPr>
              <w:t>$8,204</w:t>
            </w:r>
          </w:p>
        </w:tc>
      </w:tr>
      <w:tr w14:paraId="44BE6BFE" w14:textId="77777777" w:rsidTr="00CA474E">
        <w:tblPrEx>
          <w:tblW w:w="9361" w:type="dxa"/>
          <w:tblCellMar>
            <w:left w:w="0" w:type="dxa"/>
            <w:right w:w="0" w:type="dxa"/>
          </w:tblCellMar>
          <w:tblLook w:val="04A0"/>
        </w:tblPrEx>
        <w:trPr>
          <w:trHeight w:val="250"/>
        </w:trPr>
        <w:tc>
          <w:tcPr>
            <w:tcW w:w="2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1DF7" w:rsidRPr="00CA474E" w:rsidP="00CA474E" w14:paraId="278086B3" w14:textId="77777777">
            <w:pPr>
              <w:keepNext/>
              <w:spacing w:line="256" w:lineRule="auto"/>
              <w:rPr>
                <w:rFonts w:ascii="Arial" w:hAnsi="Arial" w:cs="Arial"/>
                <w:b/>
                <w:bCs/>
                <w:sz w:val="20"/>
                <w:szCs w:val="20"/>
              </w:rPr>
            </w:pPr>
            <w:r w:rsidRPr="00CA474E">
              <w:rPr>
                <w:rFonts w:ascii="Arial" w:hAnsi="Arial" w:cs="Arial"/>
                <w:b/>
                <w:bCs/>
                <w:sz w:val="20"/>
                <w:szCs w:val="20"/>
              </w:rPr>
              <w:t>Grand Total</w:t>
            </w:r>
          </w:p>
        </w:tc>
        <w:tc>
          <w:tcPr>
            <w:tcW w:w="2143" w:type="dxa"/>
            <w:tcBorders>
              <w:top w:val="nil"/>
              <w:left w:val="nil"/>
              <w:bottom w:val="single" w:sz="8" w:space="0" w:color="auto"/>
              <w:right w:val="single" w:sz="8" w:space="0" w:color="auto"/>
            </w:tcBorders>
            <w:tcMar>
              <w:top w:w="0" w:type="dxa"/>
              <w:left w:w="108" w:type="dxa"/>
              <w:bottom w:w="0" w:type="dxa"/>
              <w:right w:w="108" w:type="dxa"/>
            </w:tcMar>
            <w:hideMark/>
          </w:tcPr>
          <w:p w:rsidR="00DD1DF7" w:rsidRPr="00CA474E" w:rsidP="00CA474E" w14:paraId="08BC40DF" w14:textId="54E4D932">
            <w:pPr>
              <w:keepNext/>
              <w:spacing w:line="256" w:lineRule="auto"/>
              <w:jc w:val="center"/>
              <w:rPr>
                <w:rFonts w:ascii="Arial" w:hAnsi="Arial" w:cs="Arial"/>
                <w:b/>
                <w:bCs/>
                <w:sz w:val="20"/>
                <w:szCs w:val="20"/>
              </w:rPr>
            </w:pPr>
            <w:r w:rsidRPr="00CA474E">
              <w:rPr>
                <w:rFonts w:ascii="Arial" w:hAnsi="Arial" w:cs="Arial"/>
                <w:b/>
                <w:bCs/>
                <w:sz w:val="20"/>
                <w:szCs w:val="20"/>
              </w:rPr>
              <w:t>$</w:t>
            </w:r>
            <w:r w:rsidRPr="00CA474E" w:rsidR="00986381">
              <w:rPr>
                <w:rFonts w:ascii="Arial" w:hAnsi="Arial" w:cs="Arial"/>
                <w:b/>
                <w:bCs/>
                <w:sz w:val="20"/>
                <w:szCs w:val="20"/>
              </w:rPr>
              <w:t>115,485</w:t>
            </w:r>
          </w:p>
        </w:tc>
        <w:tc>
          <w:tcPr>
            <w:tcW w:w="361" w:type="dxa"/>
            <w:tcBorders>
              <w:top w:val="nil"/>
              <w:left w:val="nil"/>
              <w:bottom w:val="single" w:sz="8" w:space="0" w:color="auto"/>
              <w:right w:val="single" w:sz="8" w:space="0" w:color="auto"/>
            </w:tcBorders>
            <w:tcMar>
              <w:top w:w="0" w:type="dxa"/>
              <w:left w:w="108" w:type="dxa"/>
              <w:bottom w:w="0" w:type="dxa"/>
              <w:right w:w="108" w:type="dxa"/>
            </w:tcMar>
          </w:tcPr>
          <w:p w:rsidR="00DD1DF7" w:rsidRPr="00CA474E" w:rsidP="00CA474E" w14:paraId="39115532" w14:textId="78E041B6">
            <w:pPr>
              <w:keepNext/>
              <w:spacing w:line="256" w:lineRule="auto"/>
              <w:jc w:val="center"/>
              <w:rPr>
                <w:rFonts w:ascii="Arial" w:hAnsi="Arial" w:cs="Arial"/>
                <w:b/>
                <w:bCs/>
                <w:sz w:val="20"/>
                <w:szCs w:val="20"/>
              </w:rPr>
            </w:pPr>
            <w:r>
              <w:rPr>
                <w:rFonts w:ascii="Arial" w:hAnsi="Arial" w:cs="Arial"/>
                <w:b/>
                <w:bCs/>
                <w:sz w:val="20"/>
                <w:szCs w:val="20"/>
              </w:rPr>
              <w:t>+</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DD1DF7" w:rsidRPr="00CA474E" w:rsidP="00CA474E" w14:paraId="68FE431E" w14:textId="77777777">
            <w:pPr>
              <w:keepNext/>
              <w:spacing w:line="256" w:lineRule="auto"/>
              <w:jc w:val="center"/>
              <w:rPr>
                <w:rFonts w:ascii="Arial" w:hAnsi="Arial" w:cs="Arial"/>
                <w:b/>
                <w:bCs/>
                <w:sz w:val="20"/>
                <w:szCs w:val="20"/>
              </w:rPr>
            </w:pPr>
            <w:r w:rsidRPr="00CA474E">
              <w:rPr>
                <w:rFonts w:ascii="Arial" w:hAnsi="Arial" w:cs="Arial"/>
                <w:b/>
                <w:bCs/>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tcPr>
          <w:p w:rsidR="00DD1DF7" w:rsidRPr="00CA474E" w:rsidP="00CA474E" w14:paraId="7D61BB93" w14:textId="7D852B6F">
            <w:pPr>
              <w:keepNext/>
              <w:spacing w:line="256" w:lineRule="auto"/>
              <w:jc w:val="center"/>
              <w:rPr>
                <w:rFonts w:ascii="Arial" w:hAnsi="Arial" w:cs="Arial"/>
                <w:b/>
                <w:bCs/>
                <w:sz w:val="20"/>
                <w:szCs w:val="20"/>
              </w:rPr>
            </w:pPr>
            <w:r>
              <w:rPr>
                <w:rFonts w:ascii="Arial" w:hAnsi="Arial" w:cs="Arial"/>
                <w:b/>
                <w:bCs/>
                <w:sz w:val="20"/>
                <w:szCs w:val="20"/>
              </w:rPr>
              <w:t>=</w:t>
            </w:r>
          </w:p>
        </w:tc>
        <w:tc>
          <w:tcPr>
            <w:tcW w:w="1719" w:type="dxa"/>
            <w:tcBorders>
              <w:top w:val="nil"/>
              <w:left w:val="nil"/>
              <w:bottom w:val="single" w:sz="8" w:space="0" w:color="auto"/>
              <w:right w:val="single" w:sz="8" w:space="0" w:color="auto"/>
            </w:tcBorders>
            <w:tcMar>
              <w:top w:w="0" w:type="dxa"/>
              <w:left w:w="108" w:type="dxa"/>
              <w:bottom w:w="0" w:type="dxa"/>
              <w:right w:w="108" w:type="dxa"/>
            </w:tcMar>
            <w:hideMark/>
          </w:tcPr>
          <w:p w:rsidR="00DD1DF7" w:rsidRPr="00CA474E" w:rsidP="00CA474E" w14:paraId="2965E2E6" w14:textId="0BB90575">
            <w:pPr>
              <w:keepNext/>
              <w:spacing w:line="256" w:lineRule="auto"/>
              <w:jc w:val="center"/>
              <w:rPr>
                <w:rFonts w:ascii="Arial" w:hAnsi="Arial" w:cs="Arial"/>
                <w:b/>
                <w:bCs/>
                <w:sz w:val="20"/>
                <w:szCs w:val="20"/>
              </w:rPr>
            </w:pPr>
            <w:r w:rsidRPr="00CA474E">
              <w:rPr>
                <w:rFonts w:ascii="Arial" w:hAnsi="Arial" w:cs="Arial"/>
                <w:b/>
                <w:bCs/>
                <w:sz w:val="20"/>
                <w:szCs w:val="20"/>
              </w:rPr>
              <w:t>$</w:t>
            </w:r>
            <w:r w:rsidRPr="00CA474E" w:rsidR="00986381">
              <w:rPr>
                <w:rFonts w:ascii="Arial" w:hAnsi="Arial" w:cs="Arial"/>
                <w:b/>
                <w:bCs/>
                <w:sz w:val="20"/>
                <w:szCs w:val="20"/>
              </w:rPr>
              <w:t>115,485</w:t>
            </w:r>
          </w:p>
        </w:tc>
      </w:tr>
      <w:tr w14:paraId="702EBF4C" w14:textId="77777777" w:rsidTr="00CA474E">
        <w:tblPrEx>
          <w:tblW w:w="9361" w:type="dxa"/>
          <w:tblCellMar>
            <w:left w:w="0" w:type="dxa"/>
            <w:right w:w="0" w:type="dxa"/>
          </w:tblCellMar>
          <w:tblLook w:val="04A0"/>
        </w:tblPrEx>
        <w:trPr>
          <w:trHeight w:val="186"/>
        </w:trPr>
        <w:tc>
          <w:tcPr>
            <w:tcW w:w="93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1DF7" w:rsidRPr="00CA474E" w:rsidP="00CA474E" w14:paraId="5841D254" w14:textId="768443C7">
            <w:pPr>
              <w:keepNext/>
              <w:spacing w:line="256" w:lineRule="auto"/>
              <w:rPr>
                <w:rFonts w:ascii="Arial" w:hAnsi="Arial" w:cs="Arial"/>
                <w:sz w:val="18"/>
                <w:szCs w:val="18"/>
              </w:rPr>
            </w:pPr>
            <w:r w:rsidRPr="00CA474E">
              <w:rPr>
                <w:rFonts w:ascii="Arial" w:hAnsi="Arial" w:cs="Arial"/>
                <w:sz w:val="18"/>
                <w:szCs w:val="18"/>
              </w:rPr>
              <w:t xml:space="preserve">Table costs are based on </w:t>
            </w:r>
            <w:r w:rsidRPr="00CA474E" w:rsidR="00FB5A88">
              <w:rPr>
                <w:rFonts w:ascii="Arial" w:hAnsi="Arial" w:cs="Arial"/>
                <w:sz w:val="18"/>
                <w:szCs w:val="18"/>
              </w:rPr>
              <w:t xml:space="preserve">2024 </w:t>
            </w:r>
            <w:r w:rsidRPr="00CA474E">
              <w:rPr>
                <w:rFonts w:ascii="Arial" w:hAnsi="Arial" w:cs="Arial"/>
                <w:sz w:val="18"/>
                <w:szCs w:val="18"/>
              </w:rPr>
              <w:t xml:space="preserve">actuals obtained from IRS Chief Financial </w:t>
            </w:r>
            <w:r w:rsidRPr="00CA474E">
              <w:rPr>
                <w:rFonts w:ascii="Arial" w:hAnsi="Arial" w:cs="Arial"/>
                <w:sz w:val="18"/>
                <w:szCs w:val="18"/>
              </w:rPr>
              <w:t>Office</w:t>
            </w:r>
            <w:r w:rsidRPr="00CA474E">
              <w:rPr>
                <w:rFonts w:ascii="Arial" w:hAnsi="Arial" w:cs="Arial"/>
                <w:sz w:val="18"/>
                <w:szCs w:val="18"/>
              </w:rPr>
              <w:t xml:space="preserve"> and Media and Publications</w:t>
            </w:r>
          </w:p>
        </w:tc>
      </w:tr>
    </w:tbl>
    <w:p w:rsidR="00DD1DF7" w:rsidRPr="00752F1B" w:rsidP="009E3D48" w14:paraId="711DE9D4" w14:textId="77777777">
      <w:pPr>
        <w:tabs>
          <w:tab w:val="left" w:pos="540"/>
        </w:tabs>
        <w:ind w:left="540" w:hanging="540"/>
        <w:rPr>
          <w:rFonts w:ascii="Arial" w:hAnsi="Arial" w:cs="Arial"/>
          <w:szCs w:val="24"/>
        </w:rPr>
      </w:pPr>
    </w:p>
    <w:p w:rsidR="00DB3926" w:rsidRPr="00752F1B" w:rsidP="009E3D48" w14:paraId="47763A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FOR CHANGE IN BURDEN </w:t>
      </w:r>
    </w:p>
    <w:p w:rsidR="00DB3926" w:rsidRPr="00752F1B" w:rsidP="00DB3926" w14:paraId="1DA8716C" w14:textId="77777777">
      <w:pPr>
        <w:pStyle w:val="ListParagraph"/>
        <w:tabs>
          <w:tab w:val="left" w:pos="540"/>
        </w:tabs>
        <w:ind w:left="540"/>
        <w:rPr>
          <w:rFonts w:ascii="Arial" w:hAnsi="Arial" w:cs="Arial"/>
          <w:szCs w:val="24"/>
        </w:rPr>
      </w:pPr>
    </w:p>
    <w:p w:rsidR="00CB358B" w:rsidP="00DB3926" w14:paraId="62140BF5" w14:textId="045F0AE1">
      <w:pPr>
        <w:tabs>
          <w:tab w:val="left" w:pos="540"/>
        </w:tabs>
        <w:ind w:left="540" w:hanging="540"/>
        <w:rPr>
          <w:rFonts w:ascii="Arial" w:hAnsi="Arial" w:cs="Arial"/>
          <w:szCs w:val="24"/>
        </w:rPr>
      </w:pPr>
      <w:r w:rsidRPr="00752F1B">
        <w:rPr>
          <w:rFonts w:ascii="Arial" w:hAnsi="Arial" w:cs="Arial"/>
          <w:szCs w:val="24"/>
        </w:rPr>
        <w:tab/>
      </w:r>
      <w:r w:rsidRPr="00B570C4" w:rsidR="00B570C4">
        <w:rPr>
          <w:rFonts w:ascii="Arial" w:hAnsi="Arial" w:cs="Arial"/>
          <w:szCs w:val="24"/>
        </w:rPr>
        <w:t>There are no changes being made to this form at this time IRS is making this submission for renewal purposes</w:t>
      </w:r>
      <w:r w:rsidRPr="00752F1B" w:rsidR="000104BB">
        <w:rPr>
          <w:rFonts w:ascii="Arial" w:hAnsi="Arial" w:cs="Arial"/>
          <w:szCs w:val="24"/>
        </w:rPr>
        <w:t xml:space="preserve">.  </w:t>
      </w:r>
    </w:p>
    <w:p w:rsidR="008F1865" w:rsidP="00DB3926" w14:paraId="2D4B9D6B" w14:textId="48E2DBFA">
      <w:pPr>
        <w:tabs>
          <w:tab w:val="left" w:pos="540"/>
        </w:tabs>
        <w:ind w:left="540" w:hanging="540"/>
        <w:rPr>
          <w:rFonts w:ascii="Arial" w:hAnsi="Arial" w:cs="Arial"/>
          <w:szCs w:val="24"/>
        </w:rPr>
      </w:pPr>
    </w:p>
    <w:p w:rsidR="00DB3926" w:rsidRPr="00752F1B" w:rsidP="00CB358B" w14:paraId="361B9A09" w14:textId="77777777">
      <w:pPr>
        <w:tabs>
          <w:tab w:val="left" w:pos="540"/>
        </w:tabs>
        <w:ind w:left="540" w:hanging="540"/>
        <w:rPr>
          <w:rFonts w:ascii="Arial" w:hAnsi="Arial" w:cs="Arial"/>
          <w:szCs w:val="24"/>
        </w:rPr>
      </w:pPr>
    </w:p>
    <w:p w:rsidR="009E3D48" w:rsidRPr="00752F1B" w:rsidP="009E3D48" w14:paraId="5BF1118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PLANS FOR TABULATION, STATISTICAL ANALYSIS AND PUBLICATION </w:t>
      </w:r>
    </w:p>
    <w:p w:rsidR="009E3D48" w:rsidRPr="00752F1B" w:rsidP="009E3D48" w14:paraId="4A3B3699" w14:textId="77777777">
      <w:pPr>
        <w:tabs>
          <w:tab w:val="left" w:pos="540"/>
        </w:tabs>
        <w:ind w:left="540" w:hanging="540"/>
        <w:rPr>
          <w:rFonts w:ascii="Arial" w:hAnsi="Arial" w:cs="Arial"/>
          <w:szCs w:val="24"/>
        </w:rPr>
      </w:pPr>
    </w:p>
    <w:p w:rsidR="0004104E" w:rsidP="0004104E" w14:paraId="5CAA6665" w14:textId="4E2C77F5">
      <w:pPr>
        <w:tabs>
          <w:tab w:val="left" w:pos="540"/>
        </w:tabs>
        <w:ind w:left="540" w:hanging="540"/>
        <w:rPr>
          <w:rFonts w:ascii="Arial" w:hAnsi="Arial" w:cs="Arial"/>
          <w:szCs w:val="24"/>
        </w:rPr>
      </w:pPr>
      <w:r w:rsidRPr="00752F1B">
        <w:rPr>
          <w:rFonts w:ascii="Arial" w:hAnsi="Arial" w:cs="Arial"/>
          <w:szCs w:val="24"/>
        </w:rPr>
        <w:tab/>
      </w:r>
      <w:r w:rsidRPr="00752F1B" w:rsidR="00A648C2">
        <w:rPr>
          <w:rFonts w:ascii="Arial" w:hAnsi="Arial" w:cs="Arial"/>
          <w:szCs w:val="24"/>
        </w:rPr>
        <w:t>There are no plans for tabulation, statistical analysis, and publication.</w:t>
      </w:r>
    </w:p>
    <w:p w:rsidR="008F1865" w:rsidRPr="00752F1B" w:rsidP="009E3D48" w14:paraId="1A3CA2EC" w14:textId="77777777">
      <w:pPr>
        <w:tabs>
          <w:tab w:val="left" w:pos="540"/>
        </w:tabs>
        <w:ind w:left="540" w:hanging="540"/>
        <w:rPr>
          <w:rFonts w:ascii="Arial" w:hAnsi="Arial" w:cs="Arial"/>
          <w:szCs w:val="24"/>
          <w:u w:val="single"/>
        </w:rPr>
      </w:pPr>
    </w:p>
    <w:p w:rsidR="009E3D48" w:rsidRPr="00752F1B" w:rsidP="009E3D48" w14:paraId="45A64B40"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WHY DISPLAYING THE OMB EXPIRATION DATE IS INAPPROPRIATE </w:t>
      </w:r>
    </w:p>
    <w:p w:rsidR="009E3D48" w:rsidRPr="00752F1B" w:rsidP="009E3D48" w14:paraId="17A1A959" w14:textId="77777777">
      <w:pPr>
        <w:tabs>
          <w:tab w:val="left" w:pos="540"/>
        </w:tabs>
        <w:ind w:left="540" w:hanging="540"/>
        <w:rPr>
          <w:rFonts w:ascii="Arial" w:hAnsi="Arial" w:cs="Arial"/>
          <w:szCs w:val="24"/>
        </w:rPr>
      </w:pPr>
    </w:p>
    <w:p w:rsidR="0004104E" w:rsidP="004606C9" w14:paraId="2FEA7FAB" w14:textId="0693EE98">
      <w:pPr>
        <w:tabs>
          <w:tab w:val="left" w:pos="540"/>
        </w:tabs>
        <w:ind w:left="540"/>
        <w:rPr>
          <w:rFonts w:ascii="Arial" w:hAnsi="Arial" w:cs="Arial"/>
          <w:szCs w:val="24"/>
        </w:rPr>
      </w:pPr>
      <w:r w:rsidRPr="00752F1B">
        <w:rPr>
          <w:rFonts w:ascii="Arial" w:hAnsi="Arial" w:cs="Arial"/>
          <w:szCs w:val="24"/>
        </w:rPr>
        <w:t xml:space="preserve">IRS believes that displaying the OMB expiration date is inappropriate because it could cause confusion by leading taxpayers to believe that the </w:t>
      </w:r>
      <w:r w:rsidR="00FA07D8">
        <w:rPr>
          <w:rFonts w:ascii="Arial" w:hAnsi="Arial" w:cs="Arial"/>
          <w:szCs w:val="24"/>
        </w:rPr>
        <w:t>collection</w:t>
      </w:r>
      <w:r w:rsidRPr="00752F1B" w:rsidR="00FA07D8">
        <w:rPr>
          <w:rFonts w:ascii="Arial" w:hAnsi="Arial" w:cs="Arial"/>
          <w:szCs w:val="24"/>
        </w:rPr>
        <w:t xml:space="preserve"> </w:t>
      </w:r>
      <w:r w:rsidRPr="00752F1B">
        <w:rPr>
          <w:rFonts w:ascii="Arial" w:hAnsi="Arial" w:cs="Arial"/>
          <w:szCs w:val="24"/>
        </w:rPr>
        <w:t xml:space="preserve">sunsets as of the expiration date.  Taxpayers are not likely to be aware that the </w:t>
      </w:r>
      <w:r w:rsidR="00F42086">
        <w:rPr>
          <w:rFonts w:ascii="Arial" w:hAnsi="Arial" w:cs="Arial"/>
          <w:szCs w:val="24"/>
        </w:rPr>
        <w:t>IRS</w:t>
      </w:r>
      <w:r w:rsidRPr="00752F1B" w:rsidR="00F42086">
        <w:rPr>
          <w:rFonts w:ascii="Arial" w:hAnsi="Arial" w:cs="Arial"/>
          <w:szCs w:val="24"/>
        </w:rPr>
        <w:t xml:space="preserve"> </w:t>
      </w:r>
      <w:r w:rsidRPr="00752F1B">
        <w:rPr>
          <w:rFonts w:ascii="Arial" w:hAnsi="Arial" w:cs="Arial"/>
          <w:szCs w:val="24"/>
        </w:rPr>
        <w:t>intends to request renewal of the OMB approval and obtain a new expiration date before the old one expires.</w:t>
      </w:r>
    </w:p>
    <w:p w:rsidR="00D463E0" w:rsidRPr="00752F1B" w:rsidP="009E3D48" w14:paraId="52308FC6" w14:textId="77777777">
      <w:pPr>
        <w:tabs>
          <w:tab w:val="left" w:pos="540"/>
        </w:tabs>
        <w:ind w:left="540" w:hanging="540"/>
        <w:rPr>
          <w:rFonts w:ascii="Arial" w:hAnsi="Arial" w:cs="Arial"/>
          <w:szCs w:val="24"/>
          <w:u w:val="single"/>
        </w:rPr>
      </w:pPr>
    </w:p>
    <w:p w:rsidR="009E3D48" w:rsidRPr="00752F1B" w:rsidP="009E3D48" w14:paraId="2C0871C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EXCEPTIONS TO THE CERTIFICATION STATEMENT</w:t>
      </w:r>
    </w:p>
    <w:p w:rsidR="009E3D48" w:rsidRPr="00752F1B" w:rsidP="009E3D48" w14:paraId="5B029B44" w14:textId="77777777">
      <w:pPr>
        <w:tabs>
          <w:tab w:val="left" w:pos="540"/>
        </w:tabs>
        <w:ind w:left="540" w:hanging="540"/>
        <w:rPr>
          <w:rFonts w:ascii="Arial" w:hAnsi="Arial" w:cs="Arial"/>
          <w:szCs w:val="24"/>
        </w:rPr>
      </w:pPr>
    </w:p>
    <w:p w:rsidR="00A648C2" w:rsidRPr="00752F1B" w:rsidP="00A648C2" w14:paraId="0E0B58B9" w14:textId="77777777">
      <w:pPr>
        <w:ind w:left="540"/>
        <w:rPr>
          <w:rFonts w:ascii="Arial" w:hAnsi="Arial" w:cs="Arial"/>
          <w:szCs w:val="24"/>
        </w:rPr>
      </w:pPr>
      <w:r w:rsidRPr="00752F1B">
        <w:rPr>
          <w:rFonts w:ascii="Arial" w:hAnsi="Arial" w:cs="Arial"/>
          <w:szCs w:val="24"/>
        </w:rPr>
        <w:t xml:space="preserve"> There are no exceptions to the certification statement.</w:t>
      </w:r>
    </w:p>
    <w:p w:rsidR="0004104E" w:rsidRPr="00752F1B" w:rsidP="0004104E" w14:paraId="64575C97" w14:textId="77777777">
      <w:pPr>
        <w:tabs>
          <w:tab w:val="left" w:pos="540"/>
        </w:tabs>
        <w:ind w:left="540" w:hanging="540"/>
        <w:rPr>
          <w:rFonts w:ascii="Arial" w:hAnsi="Arial" w:cs="Arial"/>
          <w:szCs w:val="24"/>
        </w:rPr>
      </w:pPr>
    </w:p>
    <w:p w:rsidR="00D463E0" w:rsidRPr="003E713D" w:rsidP="00132871" w14:paraId="5E96151E" w14:textId="729C9F81">
      <w:pPr>
        <w:tabs>
          <w:tab w:val="left" w:pos="630"/>
        </w:tabs>
        <w:ind w:left="630"/>
        <w:rPr>
          <w:rFonts w:ascii="Arial" w:hAnsi="Arial" w:cs="Arial"/>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6BE3A3AD" w14:textId="77777777">
        <w:pPr>
          <w:pStyle w:val="Footer"/>
          <w:jc w:val="right"/>
        </w:pPr>
        <w:r>
          <w:fldChar w:fldCharType="begin"/>
        </w:r>
        <w:r>
          <w:instrText xml:space="preserve"> PAGE   \* MERGEFORMAT </w:instrText>
        </w:r>
        <w:r>
          <w:fldChar w:fldCharType="separate"/>
        </w:r>
        <w:r w:rsidR="00C7049C">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238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05F57"/>
    <w:rsid w:val="000104BB"/>
    <w:rsid w:val="00017DBD"/>
    <w:rsid w:val="0004104E"/>
    <w:rsid w:val="00067DDF"/>
    <w:rsid w:val="000720DB"/>
    <w:rsid w:val="0007317C"/>
    <w:rsid w:val="00077870"/>
    <w:rsid w:val="000D26FB"/>
    <w:rsid w:val="0012304F"/>
    <w:rsid w:val="0012312C"/>
    <w:rsid w:val="001253BB"/>
    <w:rsid w:val="00132871"/>
    <w:rsid w:val="00132F0E"/>
    <w:rsid w:val="001616BC"/>
    <w:rsid w:val="00163E8B"/>
    <w:rsid w:val="00175B3E"/>
    <w:rsid w:val="00182BE3"/>
    <w:rsid w:val="00183523"/>
    <w:rsid w:val="00190335"/>
    <w:rsid w:val="0019453D"/>
    <w:rsid w:val="00197CEF"/>
    <w:rsid w:val="001B5BD6"/>
    <w:rsid w:val="001D050E"/>
    <w:rsid w:val="001D1550"/>
    <w:rsid w:val="00205EEC"/>
    <w:rsid w:val="00235AD5"/>
    <w:rsid w:val="002456AB"/>
    <w:rsid w:val="002600AF"/>
    <w:rsid w:val="00266072"/>
    <w:rsid w:val="0027134D"/>
    <w:rsid w:val="002736EC"/>
    <w:rsid w:val="00277A26"/>
    <w:rsid w:val="002911BE"/>
    <w:rsid w:val="00292FF6"/>
    <w:rsid w:val="0029639B"/>
    <w:rsid w:val="002A463C"/>
    <w:rsid w:val="002C7C4B"/>
    <w:rsid w:val="002F0393"/>
    <w:rsid w:val="003113AC"/>
    <w:rsid w:val="00313D91"/>
    <w:rsid w:val="00343DA9"/>
    <w:rsid w:val="00377A8D"/>
    <w:rsid w:val="003965E9"/>
    <w:rsid w:val="003E713D"/>
    <w:rsid w:val="00412B22"/>
    <w:rsid w:val="00432E0D"/>
    <w:rsid w:val="00453441"/>
    <w:rsid w:val="004606C9"/>
    <w:rsid w:val="0047046A"/>
    <w:rsid w:val="004A3628"/>
    <w:rsid w:val="00500201"/>
    <w:rsid w:val="00585B3C"/>
    <w:rsid w:val="005A709A"/>
    <w:rsid w:val="005B773F"/>
    <w:rsid w:val="005E6135"/>
    <w:rsid w:val="005F32E1"/>
    <w:rsid w:val="006007BC"/>
    <w:rsid w:val="006031DF"/>
    <w:rsid w:val="00637C90"/>
    <w:rsid w:val="00651FD9"/>
    <w:rsid w:val="006546DD"/>
    <w:rsid w:val="006B08BA"/>
    <w:rsid w:val="006D2216"/>
    <w:rsid w:val="006D4D7A"/>
    <w:rsid w:val="00700CA4"/>
    <w:rsid w:val="00732204"/>
    <w:rsid w:val="00736DBB"/>
    <w:rsid w:val="00752F1B"/>
    <w:rsid w:val="00770EAA"/>
    <w:rsid w:val="007A1EF8"/>
    <w:rsid w:val="007A55CA"/>
    <w:rsid w:val="007C611A"/>
    <w:rsid w:val="007D1418"/>
    <w:rsid w:val="007F6004"/>
    <w:rsid w:val="007F7B51"/>
    <w:rsid w:val="00801000"/>
    <w:rsid w:val="0085158E"/>
    <w:rsid w:val="00861FE5"/>
    <w:rsid w:val="00867256"/>
    <w:rsid w:val="00895855"/>
    <w:rsid w:val="008D37B4"/>
    <w:rsid w:val="008F1865"/>
    <w:rsid w:val="008F35C9"/>
    <w:rsid w:val="009302A1"/>
    <w:rsid w:val="00946CFC"/>
    <w:rsid w:val="0096150B"/>
    <w:rsid w:val="00964FD7"/>
    <w:rsid w:val="00970EDB"/>
    <w:rsid w:val="00983DC3"/>
    <w:rsid w:val="00986381"/>
    <w:rsid w:val="00996DDD"/>
    <w:rsid w:val="009E3D48"/>
    <w:rsid w:val="00A24315"/>
    <w:rsid w:val="00A35947"/>
    <w:rsid w:val="00A40176"/>
    <w:rsid w:val="00A478F3"/>
    <w:rsid w:val="00A52E7F"/>
    <w:rsid w:val="00A648C2"/>
    <w:rsid w:val="00A76E43"/>
    <w:rsid w:val="00AA034F"/>
    <w:rsid w:val="00AC1F93"/>
    <w:rsid w:val="00AC5045"/>
    <w:rsid w:val="00AE0BE9"/>
    <w:rsid w:val="00B041DE"/>
    <w:rsid w:val="00B06943"/>
    <w:rsid w:val="00B248B3"/>
    <w:rsid w:val="00B570C4"/>
    <w:rsid w:val="00B705C5"/>
    <w:rsid w:val="00B860C5"/>
    <w:rsid w:val="00BA4C4B"/>
    <w:rsid w:val="00BD1F42"/>
    <w:rsid w:val="00BD6F7D"/>
    <w:rsid w:val="00BF145B"/>
    <w:rsid w:val="00C14F69"/>
    <w:rsid w:val="00C1513F"/>
    <w:rsid w:val="00C266CD"/>
    <w:rsid w:val="00C7049C"/>
    <w:rsid w:val="00CA2D83"/>
    <w:rsid w:val="00CA474E"/>
    <w:rsid w:val="00CB358B"/>
    <w:rsid w:val="00CF61FE"/>
    <w:rsid w:val="00CF67FC"/>
    <w:rsid w:val="00D01D12"/>
    <w:rsid w:val="00D01E6A"/>
    <w:rsid w:val="00D463E0"/>
    <w:rsid w:val="00D47DDC"/>
    <w:rsid w:val="00D717BF"/>
    <w:rsid w:val="00D91961"/>
    <w:rsid w:val="00DB3926"/>
    <w:rsid w:val="00DC1585"/>
    <w:rsid w:val="00DD050B"/>
    <w:rsid w:val="00DD1DF7"/>
    <w:rsid w:val="00DF6A65"/>
    <w:rsid w:val="00E20185"/>
    <w:rsid w:val="00E378C3"/>
    <w:rsid w:val="00E37E63"/>
    <w:rsid w:val="00E37EF8"/>
    <w:rsid w:val="00E729D0"/>
    <w:rsid w:val="00E85A93"/>
    <w:rsid w:val="00E9507E"/>
    <w:rsid w:val="00EB0140"/>
    <w:rsid w:val="00EB5D43"/>
    <w:rsid w:val="00EB6683"/>
    <w:rsid w:val="00EC7078"/>
    <w:rsid w:val="00ED3A16"/>
    <w:rsid w:val="00EE7C90"/>
    <w:rsid w:val="00F011BC"/>
    <w:rsid w:val="00F02F40"/>
    <w:rsid w:val="00F244EE"/>
    <w:rsid w:val="00F42086"/>
    <w:rsid w:val="00F457F3"/>
    <w:rsid w:val="00F515E5"/>
    <w:rsid w:val="00F60644"/>
    <w:rsid w:val="00F65CC0"/>
    <w:rsid w:val="00F82330"/>
    <w:rsid w:val="00F87A66"/>
    <w:rsid w:val="00F972DB"/>
    <w:rsid w:val="00FA07D8"/>
    <w:rsid w:val="00FB5A88"/>
    <w:rsid w:val="00FB7B94"/>
    <w:rsid w:val="00FD23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F2D901"/>
  <w15:docId w15:val="{B47194F3-9F17-4E24-AB3B-6F9088C9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styleId="UnresolvedMention">
    <w:name w:val="Unresolved Mention"/>
    <w:basedOn w:val="DefaultParagraphFont"/>
    <w:uiPriority w:val="99"/>
    <w:semiHidden/>
    <w:unhideWhenUsed/>
    <w:rsid w:val="00500201"/>
    <w:rPr>
      <w:color w:val="605E5C"/>
      <w:shd w:val="clear" w:color="auto" w:fill="E1DFDD"/>
    </w:rPr>
  </w:style>
  <w:style w:type="character" w:styleId="CommentReference">
    <w:name w:val="annotation reference"/>
    <w:basedOn w:val="DefaultParagraphFont"/>
    <w:uiPriority w:val="99"/>
    <w:semiHidden/>
    <w:unhideWhenUsed/>
    <w:rsid w:val="00A478F3"/>
    <w:rPr>
      <w:sz w:val="16"/>
      <w:szCs w:val="16"/>
    </w:rPr>
  </w:style>
  <w:style w:type="paragraph" w:styleId="CommentText">
    <w:name w:val="annotation text"/>
    <w:basedOn w:val="Normal"/>
    <w:link w:val="CommentTextChar"/>
    <w:uiPriority w:val="99"/>
    <w:semiHidden/>
    <w:unhideWhenUsed/>
    <w:rsid w:val="00A478F3"/>
    <w:rPr>
      <w:sz w:val="20"/>
      <w:szCs w:val="20"/>
    </w:rPr>
  </w:style>
  <w:style w:type="character" w:customStyle="1" w:styleId="CommentTextChar">
    <w:name w:val="Comment Text Char"/>
    <w:basedOn w:val="DefaultParagraphFont"/>
    <w:link w:val="CommentText"/>
    <w:uiPriority w:val="99"/>
    <w:semiHidden/>
    <w:rsid w:val="00A478F3"/>
    <w:rPr>
      <w:sz w:val="20"/>
      <w:szCs w:val="20"/>
    </w:rPr>
  </w:style>
  <w:style w:type="paragraph" w:styleId="CommentSubject">
    <w:name w:val="annotation subject"/>
    <w:basedOn w:val="CommentText"/>
    <w:next w:val="CommentText"/>
    <w:link w:val="CommentSubjectChar"/>
    <w:uiPriority w:val="99"/>
    <w:semiHidden/>
    <w:unhideWhenUsed/>
    <w:rsid w:val="00A478F3"/>
    <w:rPr>
      <w:b/>
      <w:bCs/>
    </w:rPr>
  </w:style>
  <w:style w:type="character" w:customStyle="1" w:styleId="CommentSubjectChar">
    <w:name w:val="Comment Subject Char"/>
    <w:basedOn w:val="CommentTextChar"/>
    <w:link w:val="CommentSubject"/>
    <w:uiPriority w:val="99"/>
    <w:semiHidden/>
    <w:rsid w:val="00A478F3"/>
    <w:rPr>
      <w:b/>
      <w:bCs/>
      <w:sz w:val="20"/>
      <w:szCs w:val="20"/>
    </w:rPr>
  </w:style>
  <w:style w:type="character" w:styleId="FollowedHyperlink">
    <w:name w:val="FollowedHyperlink"/>
    <w:basedOn w:val="DefaultParagraphFont"/>
    <w:uiPriority w:val="99"/>
    <w:semiHidden/>
    <w:unhideWhenUsed/>
    <w:rsid w:val="00005F57"/>
    <w:rPr>
      <w:color w:val="800080" w:themeColor="followedHyperlink"/>
      <w:u w:val="single"/>
    </w:rPr>
  </w:style>
  <w:style w:type="paragraph" w:styleId="Revision">
    <w:name w:val="Revision"/>
    <w:hidden/>
    <w:uiPriority w:val="99"/>
    <w:semiHidden/>
    <w:rsid w:val="00125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5AE23-A2FD-4D7F-B566-90221C26EB32}">
  <ds:schemaRefs>
    <ds:schemaRef ds:uri="http://schemas.openxmlformats.org/officeDocument/2006/bibliography"/>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Van Dyke Lanita</cp:lastModifiedBy>
  <cp:revision>2</cp:revision>
  <dcterms:created xsi:type="dcterms:W3CDTF">2025-09-16T09:44:00Z</dcterms:created>
  <dcterms:modified xsi:type="dcterms:W3CDTF">2025-09-16T09:44:00Z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