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085F" w:rsidRPr="0023085F" w:rsidP="000409C0" w14:paraId="666F0800" w14:textId="1AE27821">
      <w:pPr>
        <w:tabs>
          <w:tab w:val="center" w:pos="4680"/>
        </w:tabs>
        <w:jc w:val="center"/>
        <w:rPr>
          <w:rFonts w:ascii="Times New Roman" w:hAnsi="Times New Roman"/>
          <w:b/>
          <w:bCs/>
        </w:rPr>
      </w:pPr>
      <w:r w:rsidRPr="0023085F">
        <w:rPr>
          <w:rFonts w:ascii="Times New Roman" w:hAnsi="Times New Roman"/>
          <w:b/>
          <w:bCs/>
        </w:rPr>
        <w:t>SUPPORTING STATEMENT</w:t>
      </w:r>
    </w:p>
    <w:p w:rsidR="0023085F" w:rsidP="000409C0" w14:paraId="4C92CE34" w14:textId="7D273C30">
      <w:pPr>
        <w:tabs>
          <w:tab w:val="center" w:pos="4680"/>
        </w:tabs>
        <w:jc w:val="center"/>
        <w:rPr>
          <w:rFonts w:ascii="Times New Roman" w:hAnsi="Times New Roman"/>
        </w:rPr>
      </w:pPr>
      <w:r w:rsidRPr="009F0CB5">
        <w:rPr>
          <w:rFonts w:ascii="Times New Roman" w:hAnsi="Times New Roman"/>
        </w:rPr>
        <w:t>Internal Revenue Service</w:t>
      </w:r>
      <w:r w:rsidR="000409C0">
        <w:rPr>
          <w:rFonts w:ascii="Times New Roman" w:hAnsi="Times New Roman"/>
        </w:rPr>
        <w:t xml:space="preserve"> (IRS)</w:t>
      </w:r>
    </w:p>
    <w:p w:rsidR="006B5CC7" w:rsidRPr="006B5CC7" w:rsidP="000409C0" w14:paraId="1D84F9E3" w14:textId="30B5E2C0">
      <w:pPr>
        <w:tabs>
          <w:tab w:val="center" w:pos="4680"/>
        </w:tabs>
        <w:jc w:val="center"/>
        <w:rPr>
          <w:rFonts w:ascii="Times New Roman" w:hAnsi="Times New Roman"/>
        </w:rPr>
      </w:pPr>
      <w:r w:rsidRPr="00CC7474">
        <w:rPr>
          <w:rFonts w:ascii="Times New Roman" w:hAnsi="Times New Roman"/>
        </w:rPr>
        <w:t xml:space="preserve">Allocation of </w:t>
      </w:r>
      <w:r w:rsidR="003D6409">
        <w:rPr>
          <w:rFonts w:ascii="Times New Roman" w:hAnsi="Times New Roman"/>
        </w:rPr>
        <w:t>E</w:t>
      </w:r>
      <w:r w:rsidRPr="00CC7474">
        <w:rPr>
          <w:rFonts w:ascii="Times New Roman" w:hAnsi="Times New Roman"/>
        </w:rPr>
        <w:t xml:space="preserve">xpenses by </w:t>
      </w:r>
      <w:r w:rsidR="003D6409">
        <w:rPr>
          <w:rFonts w:ascii="Times New Roman" w:hAnsi="Times New Roman"/>
        </w:rPr>
        <w:t>R</w:t>
      </w:r>
      <w:r w:rsidRPr="00CC7474">
        <w:rPr>
          <w:rFonts w:ascii="Times New Roman" w:hAnsi="Times New Roman"/>
        </w:rPr>
        <w:t xml:space="preserve">eal </w:t>
      </w:r>
      <w:r w:rsidR="003D6409">
        <w:rPr>
          <w:rFonts w:ascii="Times New Roman" w:hAnsi="Times New Roman"/>
        </w:rPr>
        <w:t>E</w:t>
      </w:r>
      <w:r w:rsidRPr="00CC7474">
        <w:rPr>
          <w:rFonts w:ascii="Times New Roman" w:hAnsi="Times New Roman"/>
        </w:rPr>
        <w:t xml:space="preserve">state </w:t>
      </w:r>
      <w:r w:rsidR="003D6409">
        <w:rPr>
          <w:rFonts w:ascii="Times New Roman" w:hAnsi="Times New Roman"/>
        </w:rPr>
        <w:t>M</w:t>
      </w:r>
      <w:r w:rsidRPr="00CC7474">
        <w:rPr>
          <w:rFonts w:ascii="Times New Roman" w:hAnsi="Times New Roman"/>
        </w:rPr>
        <w:t xml:space="preserve">ortgage </w:t>
      </w:r>
      <w:r w:rsidR="003D6409">
        <w:rPr>
          <w:rFonts w:ascii="Times New Roman" w:hAnsi="Times New Roman"/>
        </w:rPr>
        <w:t>I</w:t>
      </w:r>
      <w:r w:rsidRPr="00CC7474">
        <w:rPr>
          <w:rFonts w:ascii="Times New Roman" w:hAnsi="Times New Roman"/>
        </w:rPr>
        <w:t xml:space="preserve">nvestment </w:t>
      </w:r>
      <w:r w:rsidR="003D6409">
        <w:rPr>
          <w:rFonts w:ascii="Times New Roman" w:hAnsi="Times New Roman"/>
        </w:rPr>
        <w:t>C</w:t>
      </w:r>
      <w:r w:rsidRPr="00CC7474">
        <w:rPr>
          <w:rFonts w:ascii="Times New Roman" w:hAnsi="Times New Roman"/>
        </w:rPr>
        <w:t>onduits</w:t>
      </w:r>
      <w:r w:rsidR="00E26C93">
        <w:rPr>
          <w:rFonts w:ascii="Times New Roman" w:hAnsi="Times New Roman"/>
        </w:rPr>
        <w:t xml:space="preserve"> (REMIC)</w:t>
      </w:r>
    </w:p>
    <w:p w:rsidR="000B6330" w:rsidRPr="009F0CB5" w:rsidP="000409C0" w14:paraId="33F5B9A5" w14:textId="4CC89CBE">
      <w:pPr>
        <w:tabs>
          <w:tab w:val="center" w:pos="4680"/>
        </w:tabs>
        <w:jc w:val="center"/>
        <w:rPr>
          <w:rFonts w:ascii="Times New Roman" w:hAnsi="Times New Roman"/>
        </w:rPr>
      </w:pPr>
      <w:r w:rsidRPr="009F0CB5">
        <w:rPr>
          <w:rFonts w:ascii="Times New Roman" w:hAnsi="Times New Roman"/>
        </w:rPr>
        <w:t>OMB</w:t>
      </w:r>
      <w:r w:rsidR="00E14254">
        <w:rPr>
          <w:rFonts w:ascii="Times New Roman" w:hAnsi="Times New Roman"/>
        </w:rPr>
        <w:t xml:space="preserve"> Control Number</w:t>
      </w:r>
      <w:r w:rsidRPr="009F0CB5">
        <w:rPr>
          <w:rFonts w:ascii="Times New Roman" w:hAnsi="Times New Roman"/>
        </w:rPr>
        <w:t xml:space="preserve"> </w:t>
      </w:r>
      <w:r w:rsidRPr="00D352A8">
        <w:rPr>
          <w:rFonts w:ascii="Times New Roman" w:hAnsi="Times New Roman"/>
        </w:rPr>
        <w:t>1545-</w:t>
      </w:r>
      <w:r w:rsidRPr="00D352A8" w:rsidR="00CC7474">
        <w:rPr>
          <w:rFonts w:ascii="Times New Roman" w:hAnsi="Times New Roman"/>
        </w:rPr>
        <w:t>1018</w:t>
      </w:r>
    </w:p>
    <w:p w:rsidR="000B6330" w:rsidRPr="009F0CB5" w14:paraId="74DFAE41" w14:textId="77777777">
      <w:pPr>
        <w:rPr>
          <w:rFonts w:ascii="Times New Roman" w:hAnsi="Times New Roman"/>
        </w:rPr>
      </w:pPr>
    </w:p>
    <w:p w:rsidR="000B6330" w:rsidRPr="009F0CB5" w14:paraId="442CE01C" w14:textId="77777777">
      <w:pPr>
        <w:tabs>
          <w:tab w:val="left" w:pos="-1440"/>
        </w:tabs>
        <w:ind w:left="720" w:hanging="720"/>
        <w:rPr>
          <w:rFonts w:ascii="Times New Roman" w:hAnsi="Times New Roman"/>
        </w:rPr>
      </w:pPr>
      <w:r w:rsidRPr="009F0CB5">
        <w:rPr>
          <w:rFonts w:ascii="Times New Roman" w:hAnsi="Times New Roman"/>
        </w:rPr>
        <w:t>1.</w:t>
      </w:r>
      <w:r w:rsidRPr="009F0CB5">
        <w:rPr>
          <w:rFonts w:ascii="Times New Roman" w:hAnsi="Times New Roman"/>
        </w:rPr>
        <w:tab/>
      </w:r>
      <w:r w:rsidRPr="009F0CB5">
        <w:rPr>
          <w:rFonts w:ascii="Times New Roman" w:hAnsi="Times New Roman"/>
          <w:u w:val="single"/>
        </w:rPr>
        <w:t>CIRCUMSTANCES NECESSITATING COLLECTION OF INFORMATION</w:t>
      </w:r>
    </w:p>
    <w:p w:rsidR="000B6330" w:rsidRPr="009F0CB5" w14:paraId="089E6C9D" w14:textId="77777777">
      <w:pPr>
        <w:rPr>
          <w:rFonts w:ascii="Times New Roman" w:hAnsi="Times New Roman"/>
        </w:rPr>
      </w:pPr>
    </w:p>
    <w:p w:rsidR="00CC7474" w:rsidP="0080397F" w14:paraId="2A8D874E" w14:textId="7E70E006">
      <w:pPr>
        <w:ind w:left="720"/>
        <w:rPr>
          <w:rFonts w:ascii="Times New Roman" w:hAnsi="Times New Roman"/>
        </w:rPr>
      </w:pPr>
      <w:r w:rsidRPr="006A567F">
        <w:rPr>
          <w:rFonts w:ascii="Times New Roman" w:hAnsi="Times New Roman"/>
        </w:rPr>
        <w:t>In general, a REMIC is a fixed pool of mortgages in which multiple classes of interests are held by investors and which</w:t>
      </w:r>
      <w:r>
        <w:rPr>
          <w:rFonts w:ascii="Times New Roman" w:hAnsi="Times New Roman"/>
        </w:rPr>
        <w:t xml:space="preserve"> </w:t>
      </w:r>
      <w:r w:rsidRPr="006A567F">
        <w:rPr>
          <w:rFonts w:ascii="Times New Roman" w:hAnsi="Times New Roman"/>
        </w:rPr>
        <w:t xml:space="preserve">elects to be taxed as a REMIC. </w:t>
      </w:r>
      <w:r w:rsidR="008B77FB">
        <w:rPr>
          <w:rFonts w:ascii="Times New Roman" w:hAnsi="Times New Roman"/>
        </w:rPr>
        <w:t>The Internal Revenue Code (IRC)</w:t>
      </w:r>
      <w:r w:rsidRPr="006A567F">
        <w:rPr>
          <w:rFonts w:ascii="Times New Roman" w:hAnsi="Times New Roman"/>
        </w:rPr>
        <w:t xml:space="preserve"> section 860D </w:t>
      </w:r>
      <w:r w:rsidR="001927E2">
        <w:rPr>
          <w:rFonts w:ascii="Times New Roman" w:hAnsi="Times New Roman"/>
        </w:rPr>
        <w:t xml:space="preserve">and its regulations </w:t>
      </w:r>
      <w:r w:rsidRPr="006A567F">
        <w:rPr>
          <w:rFonts w:ascii="Times New Roman" w:hAnsi="Times New Roman"/>
        </w:rPr>
        <w:t xml:space="preserve">prescribe the </w:t>
      </w:r>
      <w:r w:rsidRPr="006A567F">
        <w:rPr>
          <w:rFonts w:ascii="Times New Roman" w:hAnsi="Times New Roman"/>
        </w:rPr>
        <w:t>manner in which</w:t>
      </w:r>
      <w:r w:rsidRPr="006A567F">
        <w:rPr>
          <w:rFonts w:ascii="Times New Roman" w:hAnsi="Times New Roman"/>
        </w:rPr>
        <w:t xml:space="preserve"> an entity elects status</w:t>
      </w:r>
      <w:r>
        <w:rPr>
          <w:rFonts w:ascii="Times New Roman" w:hAnsi="Times New Roman"/>
        </w:rPr>
        <w:t xml:space="preserve"> </w:t>
      </w:r>
      <w:r w:rsidRPr="006A567F">
        <w:rPr>
          <w:rFonts w:ascii="Times New Roman" w:hAnsi="Times New Roman"/>
        </w:rPr>
        <w:t xml:space="preserve">as a REMIC. </w:t>
      </w:r>
      <w:r w:rsidR="00EA7AD6">
        <w:rPr>
          <w:rFonts w:ascii="Times New Roman" w:hAnsi="Times New Roman"/>
        </w:rPr>
        <w:t>IRC</w:t>
      </w:r>
      <w:r w:rsidRPr="006A567F">
        <w:rPr>
          <w:rFonts w:ascii="Times New Roman" w:hAnsi="Times New Roman"/>
        </w:rPr>
        <w:t xml:space="preserve"> section 860F </w:t>
      </w:r>
      <w:r w:rsidR="00EA7AD6">
        <w:rPr>
          <w:rFonts w:ascii="Times New Roman" w:hAnsi="Times New Roman"/>
        </w:rPr>
        <w:t xml:space="preserve">and its regulations </w:t>
      </w:r>
      <w:r w:rsidRPr="006A567F">
        <w:rPr>
          <w:rFonts w:ascii="Times New Roman" w:hAnsi="Times New Roman"/>
        </w:rPr>
        <w:t xml:space="preserve">govern </w:t>
      </w:r>
      <w:r w:rsidR="00C35901">
        <w:rPr>
          <w:rFonts w:ascii="Times New Roman" w:hAnsi="Times New Roman"/>
        </w:rPr>
        <w:t xml:space="preserve">the rules for certain income and loss </w:t>
      </w:r>
      <w:r w:rsidRPr="006A567F">
        <w:rPr>
          <w:rFonts w:ascii="Times New Roman" w:hAnsi="Times New Roman"/>
        </w:rPr>
        <w:t>the filing of the REMIC's income tax return</w:t>
      </w:r>
      <w:r w:rsidR="00C96446">
        <w:rPr>
          <w:rFonts w:ascii="Times New Roman" w:hAnsi="Times New Roman"/>
        </w:rPr>
        <w:t>.</w:t>
      </w:r>
      <w:r w:rsidRPr="006A567F">
        <w:rPr>
          <w:rFonts w:ascii="Times New Roman" w:hAnsi="Times New Roman"/>
        </w:rPr>
        <w:t xml:space="preserve"> </w:t>
      </w:r>
      <w:r w:rsidR="00C96446">
        <w:rPr>
          <w:rFonts w:ascii="Times New Roman" w:hAnsi="Times New Roman"/>
        </w:rPr>
        <w:t>IRC sections</w:t>
      </w:r>
      <w:r w:rsidRPr="0080397F" w:rsidR="0080397F">
        <w:rPr>
          <w:rFonts w:ascii="Times New Roman" w:hAnsi="Times New Roman"/>
        </w:rPr>
        <w:t xml:space="preserve"> 67 and 6049 </w:t>
      </w:r>
      <w:r w:rsidR="00B8299D">
        <w:rPr>
          <w:rFonts w:ascii="Times New Roman" w:hAnsi="Times New Roman"/>
        </w:rPr>
        <w:t xml:space="preserve">and their regulations </w:t>
      </w:r>
      <w:r w:rsidRPr="00B8299D" w:rsidR="00B8299D">
        <w:rPr>
          <w:rFonts w:ascii="Times New Roman" w:hAnsi="Times New Roman"/>
        </w:rPr>
        <w:t>provide rules for certain deductions and income, as well as information disclosure requirements regarding the income and deductions.</w:t>
      </w:r>
    </w:p>
    <w:p w:rsidR="007B7C1D" w:rsidP="0080397F" w14:paraId="71A991EA" w14:textId="77777777">
      <w:pPr>
        <w:ind w:left="720"/>
        <w:rPr>
          <w:rFonts w:ascii="Times New Roman" w:hAnsi="Times New Roman"/>
        </w:rPr>
      </w:pPr>
    </w:p>
    <w:p w:rsidR="007B7C1D" w:rsidRPr="007B7C1D" w:rsidP="007B7C1D" w14:paraId="2186D567" w14:textId="77777777">
      <w:pPr>
        <w:ind w:left="720"/>
        <w:rPr>
          <w:rFonts w:ascii="Times New Roman" w:hAnsi="Times New Roman"/>
        </w:rPr>
      </w:pPr>
      <w:r w:rsidRPr="007B7C1D">
        <w:rPr>
          <w:rFonts w:ascii="Times New Roman" w:hAnsi="Times New Roman"/>
        </w:rPr>
        <w:t xml:space="preserve">The following regulations </w:t>
      </w:r>
      <w:r w:rsidRPr="007B7C1D">
        <w:rPr>
          <w:rFonts w:ascii="Times New Roman" w:hAnsi="Times New Roman"/>
        </w:rPr>
        <w:t>were added</w:t>
      </w:r>
      <w:r w:rsidRPr="007B7C1D">
        <w:rPr>
          <w:rFonts w:ascii="Times New Roman" w:hAnsi="Times New Roman"/>
        </w:rPr>
        <w:t xml:space="preserve"> by Treasury Decisions (TD) </w:t>
      </w:r>
      <w:bookmarkStart w:id="0" w:name="_Hlk193263913"/>
      <w:r w:rsidRPr="007B7C1D">
        <w:rPr>
          <w:rFonts w:ascii="Times New Roman" w:hAnsi="Times New Roman"/>
        </w:rPr>
        <w:t>8366 and 8431</w:t>
      </w:r>
      <w:bookmarkEnd w:id="0"/>
      <w:r w:rsidRPr="007B7C1D">
        <w:rPr>
          <w:rFonts w:ascii="Times New Roman" w:hAnsi="Times New Roman"/>
        </w:rPr>
        <w:t>:</w:t>
      </w:r>
    </w:p>
    <w:p w:rsidR="007B7C1D" w:rsidRPr="007B7C1D" w:rsidP="007B7C1D" w14:paraId="4CB5A011" w14:textId="77777777">
      <w:pPr>
        <w:ind w:left="720"/>
        <w:rPr>
          <w:rFonts w:ascii="Times New Roman" w:hAnsi="Times New Roman"/>
        </w:rPr>
      </w:pPr>
    </w:p>
    <w:p w:rsidR="007B7C1D" w:rsidRPr="007B7C1D" w:rsidP="007B7C1D" w14:paraId="6ECA893C" w14:textId="77777777">
      <w:pPr>
        <w:ind w:left="720"/>
        <w:rPr>
          <w:rFonts w:ascii="Times New Roman" w:hAnsi="Times New Roman"/>
        </w:rPr>
      </w:pPr>
      <w:bookmarkStart w:id="1" w:name="_Hlk193264595"/>
      <w:r w:rsidRPr="007B7C1D">
        <w:rPr>
          <w:rFonts w:ascii="Times New Roman" w:hAnsi="Times New Roman"/>
        </w:rPr>
        <w:t>Treasury Regulations section 1.67-3(f)(4)(ii) requires single-class REMICs to provide certain IRC section 67 information to a person holding a regular interest in the single-class REMIC pursuant to section 1.6049-7(e).</w:t>
      </w:r>
    </w:p>
    <w:p w:rsidR="007B7C1D" w:rsidRPr="007B7C1D" w:rsidP="007B7C1D" w14:paraId="6AFFB390" w14:textId="77777777">
      <w:pPr>
        <w:ind w:left="720"/>
        <w:rPr>
          <w:rFonts w:ascii="Times New Roman" w:hAnsi="Times New Roman"/>
        </w:rPr>
      </w:pPr>
    </w:p>
    <w:p w:rsidR="007B7C1D" w:rsidRPr="007B7C1D" w:rsidP="007B7C1D" w14:paraId="6E988363" w14:textId="77777777">
      <w:pPr>
        <w:ind w:left="720"/>
        <w:rPr>
          <w:rFonts w:ascii="Times New Roman" w:hAnsi="Times New Roman"/>
        </w:rPr>
      </w:pPr>
      <w:r w:rsidRPr="007B7C1D">
        <w:rPr>
          <w:rFonts w:ascii="Times New Roman" w:hAnsi="Times New Roman"/>
        </w:rPr>
        <w:t>Treasury Regulations section 1.6049-7(e) requires the REMIC to provide certain information to brokers and middlemen who request the information to complete information returns.</w:t>
      </w:r>
    </w:p>
    <w:p w:rsidR="007B7C1D" w:rsidRPr="007B7C1D" w:rsidP="007B7C1D" w14:paraId="6BF55257" w14:textId="77777777">
      <w:pPr>
        <w:ind w:left="720"/>
        <w:rPr>
          <w:rFonts w:ascii="Times New Roman" w:hAnsi="Times New Roman"/>
        </w:rPr>
      </w:pPr>
    </w:p>
    <w:p w:rsidR="007B7C1D" w:rsidP="007B7C1D" w14:paraId="48BEF6F9" w14:textId="1CC29247">
      <w:pPr>
        <w:ind w:left="720"/>
        <w:rPr>
          <w:rFonts w:ascii="Times New Roman" w:hAnsi="Times New Roman"/>
        </w:rPr>
      </w:pPr>
      <w:r w:rsidRPr="007B7C1D">
        <w:rPr>
          <w:rFonts w:ascii="Times New Roman" w:hAnsi="Times New Roman"/>
        </w:rPr>
        <w:t xml:space="preserve">Treasury Regulations </w:t>
      </w:r>
      <w:r w:rsidR="00223420">
        <w:rPr>
          <w:rFonts w:ascii="Times New Roman" w:hAnsi="Times New Roman"/>
        </w:rPr>
        <w:t>s</w:t>
      </w:r>
      <w:r w:rsidRPr="007B7C1D">
        <w:rPr>
          <w:rFonts w:ascii="Times New Roman" w:hAnsi="Times New Roman"/>
        </w:rPr>
        <w:t>ection 1.6049-7(f)(7) requires brokers and middlemen to furnish certain information to corporations, non-calendar year taxpayers, and other specified persons who requests the information and for whom the broker or middleman holds as a nominee a REMIC regular interest or a collateralized debt obligation.</w:t>
      </w:r>
      <w:bookmarkEnd w:id="1"/>
    </w:p>
    <w:p w:rsidR="00CC7474" w:rsidRPr="009F0CB5" w:rsidP="00D352A8" w14:paraId="6A3F7342" w14:textId="77777777">
      <w:pPr>
        <w:ind w:left="720"/>
        <w:rPr>
          <w:rFonts w:ascii="Times New Roman" w:hAnsi="Times New Roman"/>
        </w:rPr>
      </w:pPr>
    </w:p>
    <w:p w:rsidR="000B6330" w:rsidRPr="009F0CB5" w14:paraId="31C168B2" w14:textId="77777777">
      <w:pPr>
        <w:tabs>
          <w:tab w:val="left" w:pos="-1440"/>
        </w:tabs>
        <w:ind w:left="720" w:hanging="720"/>
        <w:rPr>
          <w:rFonts w:ascii="Times New Roman" w:hAnsi="Times New Roman"/>
        </w:rPr>
      </w:pPr>
      <w:r w:rsidRPr="009F0CB5">
        <w:rPr>
          <w:rFonts w:ascii="Times New Roman" w:hAnsi="Times New Roman"/>
        </w:rPr>
        <w:t>2.</w:t>
      </w:r>
      <w:r w:rsidRPr="009F0CB5">
        <w:rPr>
          <w:rFonts w:ascii="Times New Roman" w:hAnsi="Times New Roman"/>
        </w:rPr>
        <w:tab/>
      </w:r>
      <w:r w:rsidRPr="009F0CB5">
        <w:rPr>
          <w:rFonts w:ascii="Times New Roman" w:hAnsi="Times New Roman"/>
          <w:u w:val="single"/>
        </w:rPr>
        <w:t>USE OF DATA</w:t>
      </w:r>
      <w:r w:rsidRPr="009F0CB5">
        <w:rPr>
          <w:rFonts w:ascii="Times New Roman" w:hAnsi="Times New Roman"/>
        </w:rPr>
        <w:t xml:space="preserve">              </w:t>
      </w:r>
    </w:p>
    <w:p w:rsidR="000B6330" w:rsidRPr="009F0CB5" w14:paraId="63DA3DF1" w14:textId="77777777">
      <w:pPr>
        <w:rPr>
          <w:rFonts w:ascii="Times New Roman" w:hAnsi="Times New Roman"/>
        </w:rPr>
      </w:pPr>
    </w:p>
    <w:p w:rsidR="000B6330" w:rsidRPr="00682D2B" w:rsidP="00682D2B" w14:paraId="4CA70352" w14:textId="339A6E0E">
      <w:pPr>
        <w:ind w:left="720"/>
        <w:rPr>
          <w:rFonts w:ascii="Times New Roman" w:hAnsi="Times New Roman"/>
        </w:rPr>
      </w:pPr>
      <w:r w:rsidRPr="00BD6824">
        <w:rPr>
          <w:rFonts w:ascii="Times New Roman" w:hAnsi="Times New Roman"/>
        </w:rPr>
        <w:t>The data will be used by the recipients</w:t>
      </w:r>
      <w:r w:rsidRPr="00BD6824">
        <w:rPr>
          <w:rFonts w:ascii="Times New Roman" w:hAnsi="Times New Roman"/>
        </w:rPr>
        <w:t xml:space="preserve"> to accurately complete required information returns and other tax return information.</w:t>
      </w:r>
      <w:r w:rsidR="00D352A8">
        <w:rPr>
          <w:rFonts w:ascii="Times New Roman" w:hAnsi="Times New Roman"/>
        </w:rPr>
        <w:t xml:space="preserve">  </w:t>
      </w:r>
    </w:p>
    <w:p w:rsidR="00063D00" w14:paraId="49D8F828" w14:textId="77777777">
      <w:pPr>
        <w:ind w:left="720"/>
        <w:rPr>
          <w:rFonts w:ascii="Times New Roman" w:hAnsi="Times New Roman"/>
        </w:rPr>
      </w:pPr>
    </w:p>
    <w:p w:rsidR="00682D2B" w:rsidRPr="009F0CB5" w14:paraId="3E374F4F" w14:textId="1FC0FDE5">
      <w:pPr>
        <w:ind w:left="720"/>
        <w:rPr>
          <w:rFonts w:ascii="Times New Roman" w:hAnsi="Times New Roman"/>
        </w:rPr>
        <w:sectPr>
          <w:pgSz w:w="12240" w:h="15840"/>
          <w:pgMar w:top="1440" w:right="1440" w:bottom="1440" w:left="1440" w:header="1440" w:footer="1440" w:gutter="0"/>
          <w:cols w:space="720"/>
          <w:noEndnote/>
        </w:sectPr>
      </w:pPr>
    </w:p>
    <w:p w:rsidR="000B6330" w:rsidRPr="009F0CB5" w14:paraId="6AEA6077" w14:textId="77777777">
      <w:pPr>
        <w:tabs>
          <w:tab w:val="left" w:pos="-1440"/>
        </w:tabs>
        <w:ind w:left="720" w:hanging="720"/>
        <w:rPr>
          <w:rFonts w:ascii="Times New Roman" w:hAnsi="Times New Roman"/>
        </w:rPr>
      </w:pPr>
      <w:r w:rsidRPr="009F0CB5">
        <w:rPr>
          <w:rFonts w:ascii="Times New Roman" w:hAnsi="Times New Roman"/>
        </w:rPr>
        <w:t>3.</w:t>
      </w:r>
      <w:r w:rsidRPr="009F0CB5">
        <w:rPr>
          <w:rFonts w:ascii="Times New Roman" w:hAnsi="Times New Roman"/>
        </w:rPr>
        <w:tab/>
      </w:r>
      <w:r w:rsidRPr="009F0CB5">
        <w:rPr>
          <w:rFonts w:ascii="Times New Roman" w:hAnsi="Times New Roman"/>
          <w:u w:val="single"/>
        </w:rPr>
        <w:t>USE OF IMPROVED INFORMATION TECHNOLOGY TO REDUCE BURDEN</w:t>
      </w:r>
    </w:p>
    <w:p w:rsidR="000B6330" w:rsidRPr="009F0CB5" w14:paraId="3C839C1C" w14:textId="77777777">
      <w:pPr>
        <w:rPr>
          <w:rFonts w:ascii="Times New Roman" w:hAnsi="Times New Roman"/>
        </w:rPr>
      </w:pPr>
    </w:p>
    <w:p w:rsidR="000B6330" w:rsidRPr="009F0CB5" w14:paraId="2008A0C9" w14:textId="67AA1FF7">
      <w:pPr>
        <w:ind w:left="720"/>
        <w:rPr>
          <w:rFonts w:ascii="Times New Roman" w:hAnsi="Times New Roman"/>
        </w:rPr>
      </w:pPr>
      <w:bookmarkStart w:id="2" w:name="_Hlk504984057"/>
      <w:r w:rsidRPr="00FF7787">
        <w:rPr>
          <w:rFonts w:ascii="Times New Roman" w:hAnsi="Times New Roman"/>
        </w:rPr>
        <w:t>The regulations provide that the parties may exchange the data by telephone, written mail, or any other method agreed to by both parties.</w:t>
      </w:r>
    </w:p>
    <w:bookmarkEnd w:id="2"/>
    <w:p w:rsidR="000B6330" w:rsidRPr="009F0CB5" w14:paraId="060D04DB" w14:textId="77777777">
      <w:pPr>
        <w:rPr>
          <w:rFonts w:ascii="Times New Roman" w:hAnsi="Times New Roman"/>
        </w:rPr>
      </w:pPr>
    </w:p>
    <w:p w:rsidR="000B6330" w:rsidRPr="009F0CB5" w14:paraId="3C800420" w14:textId="77777777">
      <w:pPr>
        <w:tabs>
          <w:tab w:val="left" w:pos="-1440"/>
        </w:tabs>
        <w:ind w:left="720" w:hanging="720"/>
        <w:rPr>
          <w:rFonts w:ascii="Times New Roman" w:hAnsi="Times New Roman"/>
        </w:rPr>
      </w:pPr>
      <w:r w:rsidRPr="009F0CB5">
        <w:rPr>
          <w:rFonts w:ascii="Times New Roman" w:hAnsi="Times New Roman"/>
        </w:rPr>
        <w:t>4.</w:t>
      </w:r>
      <w:r w:rsidRPr="009F0CB5">
        <w:rPr>
          <w:rFonts w:ascii="Times New Roman" w:hAnsi="Times New Roman"/>
        </w:rPr>
        <w:tab/>
      </w:r>
      <w:r w:rsidRPr="009F0CB5">
        <w:rPr>
          <w:rFonts w:ascii="Times New Roman" w:hAnsi="Times New Roman"/>
          <w:u w:val="single"/>
        </w:rPr>
        <w:t>EFFORTS TO IDENTIFY DUPLICATION</w:t>
      </w:r>
    </w:p>
    <w:p w:rsidR="000B6330" w:rsidRPr="009F0CB5" w14:paraId="162B0CCE" w14:textId="77777777">
      <w:pPr>
        <w:rPr>
          <w:rFonts w:ascii="Times New Roman" w:hAnsi="Times New Roman"/>
        </w:rPr>
      </w:pPr>
    </w:p>
    <w:p w:rsidR="001B0514" w14:paraId="0C96F1C3" w14:textId="77777777">
      <w:pPr>
        <w:ind w:left="720"/>
        <w:rPr>
          <w:rFonts w:ascii="Times New Roman" w:hAnsi="Times New Roman"/>
          <w:iCs/>
        </w:rPr>
      </w:pPr>
      <w:r w:rsidRPr="009F0CB5">
        <w:rPr>
          <w:rFonts w:ascii="Times New Roman" w:hAnsi="Times New Roman"/>
          <w:iCs/>
        </w:rPr>
        <w:t>The information obtained through this collection is unique and is not already available for use or adaptation from another source.</w:t>
      </w:r>
    </w:p>
    <w:p w:rsidR="00D00370" w:rsidRPr="009F0CB5" w14:paraId="28202A49" w14:textId="77777777">
      <w:pPr>
        <w:ind w:left="720"/>
        <w:rPr>
          <w:rFonts w:ascii="Times New Roman" w:hAnsi="Times New Roman"/>
          <w:iCs/>
        </w:rPr>
      </w:pPr>
    </w:p>
    <w:p w:rsidR="000B6330" w:rsidRPr="009F0CB5" w:rsidP="00140C82" w14:paraId="15C57ECA" w14:textId="77777777">
      <w:pPr>
        <w:ind w:left="720"/>
        <w:rPr>
          <w:rFonts w:ascii="Times New Roman" w:hAnsi="Times New Roman"/>
        </w:rPr>
      </w:pPr>
      <w:r w:rsidRPr="009F0CB5">
        <w:rPr>
          <w:rFonts w:ascii="Times New Roman" w:hAnsi="Times New Roman"/>
        </w:rPr>
        <w:t xml:space="preserve"> </w:t>
      </w:r>
    </w:p>
    <w:p w:rsidR="000B6330" w:rsidRPr="009F0CB5" w14:paraId="549DC0A8" w14:textId="77777777">
      <w:pPr>
        <w:tabs>
          <w:tab w:val="left" w:pos="-1440"/>
        </w:tabs>
        <w:ind w:left="720" w:hanging="720"/>
        <w:rPr>
          <w:rFonts w:ascii="Times New Roman" w:hAnsi="Times New Roman"/>
        </w:rPr>
      </w:pPr>
      <w:r w:rsidRPr="009F0CB5">
        <w:rPr>
          <w:rFonts w:ascii="Times New Roman" w:hAnsi="Times New Roman"/>
        </w:rPr>
        <w:t>5.</w:t>
      </w:r>
      <w:r w:rsidRPr="009F0CB5">
        <w:rPr>
          <w:rFonts w:ascii="Times New Roman" w:hAnsi="Times New Roman"/>
        </w:rPr>
        <w:tab/>
      </w:r>
      <w:r w:rsidRPr="009F0CB5">
        <w:rPr>
          <w:rFonts w:ascii="Times New Roman" w:hAnsi="Times New Roman"/>
          <w:u w:val="single"/>
        </w:rPr>
        <w:t>METHODS TO MINIMIZE BURDEN ON SMALL BUSINESSES OR OTHER</w:t>
      </w:r>
      <w:r w:rsidRPr="009F0CB5" w:rsidR="00AD5EF7">
        <w:rPr>
          <w:rFonts w:ascii="Times New Roman" w:hAnsi="Times New Roman"/>
          <w:u w:val="single"/>
        </w:rPr>
        <w:t xml:space="preserve"> </w:t>
      </w:r>
      <w:r w:rsidRPr="009F0CB5">
        <w:rPr>
          <w:rFonts w:ascii="Times New Roman" w:hAnsi="Times New Roman"/>
          <w:u w:val="single"/>
        </w:rPr>
        <w:t>SMALL ENTITIES</w:t>
      </w:r>
    </w:p>
    <w:p w:rsidR="000B6330" w:rsidRPr="009F0CB5" w14:paraId="42F4CC7D" w14:textId="77777777">
      <w:pPr>
        <w:rPr>
          <w:rFonts w:ascii="Times New Roman" w:hAnsi="Times New Roman"/>
        </w:rPr>
      </w:pPr>
    </w:p>
    <w:p w:rsidR="000B6330" w:rsidRPr="009F0CB5" w:rsidP="00962AEC" w14:paraId="4455C0FC" w14:textId="77777777">
      <w:pPr>
        <w:ind w:left="720"/>
        <w:rPr>
          <w:rFonts w:ascii="Times New Roman" w:hAnsi="Times New Roman"/>
        </w:rPr>
      </w:pPr>
      <w:r w:rsidRPr="00962AEC">
        <w:rPr>
          <w:rFonts w:ascii="Times New Roman" w:hAnsi="Times New Roman"/>
        </w:rPr>
        <w:t>The collection of information requirement will not have a significant economic impact on a substantial number of small entities</w:t>
      </w:r>
      <w:r w:rsidRPr="009F0CB5" w:rsidR="001B0514">
        <w:rPr>
          <w:rFonts w:ascii="Times New Roman" w:hAnsi="Times New Roman"/>
        </w:rPr>
        <w:t>.</w:t>
      </w:r>
      <w:r>
        <w:rPr>
          <w:rFonts w:ascii="Times New Roman" w:hAnsi="Times New Roman"/>
        </w:rPr>
        <w:t xml:space="preserve">  </w:t>
      </w:r>
      <w:r w:rsidRPr="009F0CB5" w:rsidR="001B0514">
        <w:rPr>
          <w:rFonts w:ascii="Times New Roman" w:hAnsi="Times New Roman"/>
        </w:rPr>
        <w:t xml:space="preserve"> </w:t>
      </w:r>
    </w:p>
    <w:p w:rsidR="000B6330" w:rsidRPr="009F0CB5" w14:paraId="28D95AC4" w14:textId="77777777">
      <w:pPr>
        <w:rPr>
          <w:rFonts w:ascii="Times New Roman" w:hAnsi="Times New Roman"/>
        </w:rPr>
      </w:pPr>
    </w:p>
    <w:p w:rsidR="000B6330" w:rsidRPr="009F0CB5" w14:paraId="357BD52A" w14:textId="77777777">
      <w:pPr>
        <w:tabs>
          <w:tab w:val="left" w:pos="-1440"/>
        </w:tabs>
        <w:ind w:left="720" w:hanging="720"/>
        <w:rPr>
          <w:rFonts w:ascii="Times New Roman" w:hAnsi="Times New Roman"/>
        </w:rPr>
      </w:pPr>
      <w:r w:rsidRPr="009F0CB5">
        <w:rPr>
          <w:rFonts w:ascii="Times New Roman" w:hAnsi="Times New Roman"/>
        </w:rPr>
        <w:t>6.</w:t>
      </w:r>
      <w:r w:rsidRPr="009F0CB5">
        <w:rPr>
          <w:rFonts w:ascii="Times New Roman" w:hAnsi="Times New Roman"/>
        </w:rPr>
        <w:tab/>
      </w:r>
      <w:r w:rsidRPr="009F0CB5">
        <w:rPr>
          <w:rFonts w:ascii="Times New Roman" w:hAnsi="Times New Roman"/>
          <w:u w:val="single"/>
        </w:rPr>
        <w:t>CONSEQUENCES OF LESS FREQUENT COLLECTION ON FEDERAL PROGRAMS OR POLICY ACTIVITIES</w:t>
      </w:r>
    </w:p>
    <w:p w:rsidR="000B6330" w:rsidRPr="009F0CB5" w14:paraId="6AAD7C6E" w14:textId="77777777">
      <w:pPr>
        <w:rPr>
          <w:rFonts w:ascii="Times New Roman" w:hAnsi="Times New Roman"/>
        </w:rPr>
      </w:pPr>
    </w:p>
    <w:p w:rsidR="000B6330" w:rsidRPr="009F0CB5" w:rsidP="001B0514" w14:paraId="1C8B6F70" w14:textId="4A411627">
      <w:pPr>
        <w:ind w:left="720"/>
        <w:rPr>
          <w:rFonts w:ascii="Times New Roman" w:hAnsi="Times New Roman"/>
        </w:rPr>
      </w:pPr>
      <w:r w:rsidRPr="008E5222">
        <w:rPr>
          <w:rFonts w:ascii="Times New Roman" w:hAnsi="Times New Roman"/>
        </w:rPr>
        <w:t xml:space="preserve">Consequences of less frequent collection </w:t>
      </w:r>
      <w:r w:rsidRPr="009F0CB5" w:rsidR="001B0514">
        <w:rPr>
          <w:rFonts w:ascii="Times New Roman" w:hAnsi="Times New Roman"/>
        </w:rPr>
        <w:t xml:space="preserve">would prevent the taxpayer from </w:t>
      </w:r>
      <w:r w:rsidR="00CC29F1">
        <w:rPr>
          <w:rFonts w:ascii="Times New Roman" w:hAnsi="Times New Roman"/>
        </w:rPr>
        <w:t>proper tax compliance</w:t>
      </w:r>
      <w:r w:rsidRPr="009F0CB5" w:rsidR="00AD5EF7">
        <w:rPr>
          <w:rFonts w:ascii="Times New Roman" w:hAnsi="Times New Roman"/>
        </w:rPr>
        <w:t xml:space="preserve"> and hinder the IRS from meeting its mission</w:t>
      </w:r>
      <w:r w:rsidRPr="009F0CB5" w:rsidR="001B0514">
        <w:rPr>
          <w:rFonts w:ascii="Times New Roman" w:hAnsi="Times New Roman"/>
        </w:rPr>
        <w:t>.</w:t>
      </w:r>
    </w:p>
    <w:p w:rsidR="000B6330" w:rsidRPr="009F0CB5" w14:paraId="2C3EEF9C" w14:textId="77777777">
      <w:pPr>
        <w:rPr>
          <w:rFonts w:ascii="Times New Roman" w:hAnsi="Times New Roman"/>
        </w:rPr>
      </w:pPr>
    </w:p>
    <w:p w:rsidR="000B6330" w:rsidRPr="009F0CB5" w14:paraId="057AF7EF" w14:textId="77777777">
      <w:pPr>
        <w:tabs>
          <w:tab w:val="left" w:pos="-1440"/>
        </w:tabs>
        <w:ind w:left="720" w:hanging="720"/>
        <w:rPr>
          <w:rFonts w:ascii="Times New Roman" w:hAnsi="Times New Roman"/>
        </w:rPr>
      </w:pPr>
      <w:r w:rsidRPr="009F0CB5">
        <w:rPr>
          <w:rFonts w:ascii="Times New Roman" w:hAnsi="Times New Roman"/>
        </w:rPr>
        <w:t>7.</w:t>
      </w:r>
      <w:r w:rsidRPr="009F0CB5">
        <w:rPr>
          <w:rFonts w:ascii="Times New Roman" w:hAnsi="Times New Roman"/>
        </w:rPr>
        <w:tab/>
      </w:r>
      <w:r w:rsidRPr="009F0CB5">
        <w:rPr>
          <w:rFonts w:ascii="Times New Roman" w:hAnsi="Times New Roman"/>
          <w:u w:val="single"/>
        </w:rPr>
        <w:t>SPECIAL CIRCUMSTANCES REQUIRING DATA COLLECTION TO BE</w:t>
      </w:r>
      <w:r w:rsidRPr="009F0CB5" w:rsidR="00AD5EF7">
        <w:rPr>
          <w:rFonts w:ascii="Times New Roman" w:hAnsi="Times New Roman"/>
          <w:u w:val="single"/>
        </w:rPr>
        <w:t xml:space="preserve"> </w:t>
      </w:r>
      <w:r w:rsidRPr="009F0CB5">
        <w:rPr>
          <w:rFonts w:ascii="Times New Roman" w:hAnsi="Times New Roman"/>
          <w:u w:val="single"/>
        </w:rPr>
        <w:t>INCONSISTENT WITH GUIDELINES IN 5 CFR 1320.5(d)(2)</w:t>
      </w:r>
    </w:p>
    <w:p w:rsidR="000B6330" w:rsidRPr="009F0CB5" w14:paraId="59865182" w14:textId="77777777">
      <w:pPr>
        <w:rPr>
          <w:rFonts w:ascii="Times New Roman" w:hAnsi="Times New Roman"/>
        </w:rPr>
      </w:pPr>
    </w:p>
    <w:p w:rsidR="000B6330" w:rsidRPr="009F0CB5" w:rsidP="00D352A8" w14:paraId="10F1BF39" w14:textId="3DFBA78A">
      <w:pPr>
        <w:ind w:left="720"/>
        <w:rPr>
          <w:rFonts w:ascii="Times New Roman" w:hAnsi="Times New Roman"/>
        </w:rPr>
      </w:pPr>
      <w:r w:rsidRPr="009F0CB5">
        <w:rPr>
          <w:rFonts w:ascii="Times New Roman" w:hAnsi="Times New Roman"/>
        </w:rPr>
        <w:t>There are no special circumstances requiring data collection to be inconsistent with guidelines in 5 CFR 1320.5(d)(2).</w:t>
      </w:r>
    </w:p>
    <w:p w:rsidR="000B6330" w:rsidRPr="009F0CB5" w14:paraId="25419CC4" w14:textId="77777777">
      <w:pPr>
        <w:rPr>
          <w:rFonts w:ascii="Times New Roman" w:hAnsi="Times New Roman"/>
        </w:rPr>
      </w:pPr>
    </w:p>
    <w:p w:rsidR="000B6330" w:rsidRPr="009F0CB5" w14:paraId="6127C160" w14:textId="77777777">
      <w:pPr>
        <w:tabs>
          <w:tab w:val="left" w:pos="-1440"/>
        </w:tabs>
        <w:ind w:left="720" w:hanging="720"/>
        <w:rPr>
          <w:rFonts w:ascii="Times New Roman" w:hAnsi="Times New Roman"/>
        </w:rPr>
      </w:pPr>
      <w:r w:rsidRPr="009F0CB5">
        <w:rPr>
          <w:rFonts w:ascii="Times New Roman" w:hAnsi="Times New Roman"/>
        </w:rPr>
        <w:t>8.</w:t>
      </w:r>
      <w:r w:rsidRPr="009F0CB5">
        <w:rPr>
          <w:rFonts w:ascii="Times New Roman" w:hAnsi="Times New Roman"/>
        </w:rPr>
        <w:tab/>
      </w:r>
      <w:r w:rsidRPr="009F0CB5">
        <w:rPr>
          <w:rFonts w:ascii="Times New Roman" w:hAnsi="Times New Roman"/>
          <w:u w:val="single"/>
        </w:rPr>
        <w:t>CONSULTATION WITH INDIVIDUALS OUTSIDE OF THE AGENCY ON</w:t>
      </w:r>
      <w:r w:rsidRPr="009F0CB5" w:rsidR="00AD5EF7">
        <w:rPr>
          <w:rFonts w:ascii="Times New Roman" w:hAnsi="Times New Roman"/>
          <w:u w:val="single"/>
        </w:rPr>
        <w:t xml:space="preserve"> </w:t>
      </w:r>
      <w:r w:rsidRPr="009F0CB5">
        <w:rPr>
          <w:rFonts w:ascii="Times New Roman" w:hAnsi="Times New Roman"/>
          <w:u w:val="single"/>
        </w:rPr>
        <w:t>AVAILABILITY OF DATA, FREQUENCY OF COLLECTION, CLARITY OF INSTRUCTIONS AND FORMS, AND DATA ELEMENTS</w:t>
      </w:r>
    </w:p>
    <w:p w:rsidR="000B6330" w:rsidRPr="009F0CB5" w14:paraId="4D32663A" w14:textId="77777777">
      <w:pPr>
        <w:rPr>
          <w:rFonts w:ascii="Times New Roman" w:hAnsi="Times New Roman"/>
        </w:rPr>
      </w:pPr>
    </w:p>
    <w:p w:rsidR="00140C82" w:rsidP="00682D2B" w14:paraId="593ED4FC" w14:textId="62979173">
      <w:pPr>
        <w:ind w:left="720"/>
        <w:rPr>
          <w:rFonts w:ascii="Times New Roman" w:hAnsi="Times New Roman"/>
        </w:rPr>
      </w:pPr>
      <w:r w:rsidRPr="00962AEC">
        <w:rPr>
          <w:rFonts w:ascii="Times New Roman" w:hAnsi="Times New Roman"/>
        </w:rPr>
        <w:t xml:space="preserve">In response to the Federal Register notice dated </w:t>
      </w:r>
      <w:r w:rsidR="00C052C3">
        <w:rPr>
          <w:rFonts w:ascii="Times New Roman" w:hAnsi="Times New Roman"/>
        </w:rPr>
        <w:t>March 26, 2025</w:t>
      </w:r>
      <w:r w:rsidRPr="00962AEC">
        <w:rPr>
          <w:rFonts w:ascii="Times New Roman" w:hAnsi="Times New Roman"/>
        </w:rPr>
        <w:t xml:space="preserve"> (</w:t>
      </w:r>
      <w:r w:rsidR="00F05FE5">
        <w:rPr>
          <w:rFonts w:ascii="Times New Roman" w:hAnsi="Times New Roman"/>
        </w:rPr>
        <w:t>90</w:t>
      </w:r>
      <w:r w:rsidRPr="00962AEC">
        <w:rPr>
          <w:rFonts w:ascii="Times New Roman" w:hAnsi="Times New Roman"/>
        </w:rPr>
        <w:t xml:space="preserve"> FR </w:t>
      </w:r>
      <w:r w:rsidR="00F05FE5">
        <w:rPr>
          <w:rFonts w:ascii="Times New Roman" w:hAnsi="Times New Roman"/>
        </w:rPr>
        <w:t>13825</w:t>
      </w:r>
      <w:r w:rsidRPr="00962AEC">
        <w:rPr>
          <w:rFonts w:ascii="Times New Roman" w:hAnsi="Times New Roman"/>
        </w:rPr>
        <w:t>), we received no comments during the comment period regarding this guidance</w:t>
      </w:r>
      <w:r w:rsidRPr="009F0CB5" w:rsidR="0032747C">
        <w:rPr>
          <w:rFonts w:ascii="Times New Roman" w:hAnsi="Times New Roman"/>
        </w:rPr>
        <w:t>.</w:t>
      </w:r>
    </w:p>
    <w:p w:rsidR="00140C82" w:rsidRPr="009F0CB5" w14:paraId="5A7DB085" w14:textId="77777777">
      <w:pPr>
        <w:rPr>
          <w:rFonts w:ascii="Times New Roman" w:hAnsi="Times New Roman"/>
        </w:rPr>
      </w:pPr>
    </w:p>
    <w:p w:rsidR="000B6330" w:rsidRPr="009F0CB5" w14:paraId="22E9CA84" w14:textId="77777777">
      <w:pPr>
        <w:tabs>
          <w:tab w:val="left" w:pos="-1440"/>
        </w:tabs>
        <w:ind w:left="720" w:hanging="720"/>
        <w:rPr>
          <w:rFonts w:ascii="Times New Roman" w:hAnsi="Times New Roman"/>
        </w:rPr>
      </w:pPr>
      <w:r w:rsidRPr="009F0CB5">
        <w:rPr>
          <w:rFonts w:ascii="Times New Roman" w:hAnsi="Times New Roman"/>
        </w:rPr>
        <w:t>9.</w:t>
      </w:r>
      <w:r w:rsidRPr="009F0CB5">
        <w:rPr>
          <w:rFonts w:ascii="Times New Roman" w:hAnsi="Times New Roman"/>
        </w:rPr>
        <w:tab/>
      </w:r>
      <w:r w:rsidRPr="009F0CB5">
        <w:rPr>
          <w:rFonts w:ascii="Times New Roman" w:hAnsi="Times New Roman"/>
          <w:u w:val="single"/>
        </w:rPr>
        <w:t>EXPLANATION OF DECISION TO PROVIDE ANY PAYMENT OR GIFT TO</w:t>
      </w:r>
      <w:r w:rsidRPr="009F0CB5" w:rsidR="00AD5EF7">
        <w:rPr>
          <w:rFonts w:ascii="Times New Roman" w:hAnsi="Times New Roman"/>
          <w:u w:val="single"/>
        </w:rPr>
        <w:t xml:space="preserve"> </w:t>
      </w:r>
      <w:r w:rsidRPr="009F0CB5">
        <w:rPr>
          <w:rFonts w:ascii="Times New Roman" w:hAnsi="Times New Roman"/>
          <w:u w:val="single"/>
        </w:rPr>
        <w:t>RESPONDENTS</w:t>
      </w:r>
    </w:p>
    <w:p w:rsidR="000B6330" w:rsidRPr="009F0CB5" w14:paraId="7E0AE884" w14:textId="77777777">
      <w:pPr>
        <w:rPr>
          <w:rFonts w:ascii="Times New Roman" w:hAnsi="Times New Roman"/>
        </w:rPr>
      </w:pPr>
    </w:p>
    <w:p w:rsidR="000B6330" w:rsidP="00D352A8" w14:paraId="6D9DD635" w14:textId="7138B75F">
      <w:pPr>
        <w:ind w:left="720"/>
        <w:rPr>
          <w:rFonts w:ascii="Times New Roman" w:hAnsi="Times New Roman"/>
        </w:rPr>
      </w:pPr>
      <w:bookmarkStart w:id="3" w:name="_Hlk103317405"/>
      <w:r w:rsidRPr="00453AD3">
        <w:rPr>
          <w:rFonts w:asciiTheme="minorHAnsi" w:hAnsiTheme="minorHAnsi"/>
          <w:sz w:val="22"/>
          <w:szCs w:val="22"/>
        </w:rPr>
        <w:t xml:space="preserve">No payment or gift has </w:t>
      </w:r>
      <w:r w:rsidRPr="00453AD3">
        <w:rPr>
          <w:rFonts w:asciiTheme="minorHAnsi" w:hAnsiTheme="minorHAnsi"/>
          <w:sz w:val="22"/>
          <w:szCs w:val="22"/>
        </w:rPr>
        <w:t>been provided</w:t>
      </w:r>
      <w:r w:rsidRPr="00453AD3">
        <w:rPr>
          <w:rFonts w:asciiTheme="minorHAnsi" w:hAnsiTheme="minorHAnsi"/>
          <w:sz w:val="22"/>
          <w:szCs w:val="22"/>
        </w:rPr>
        <w:t xml:space="preserve"> to any respondents.</w:t>
      </w:r>
      <w:bookmarkEnd w:id="3"/>
    </w:p>
    <w:p w:rsidR="00832615" w:rsidRPr="009F0CB5" w14:paraId="4E89CAC8" w14:textId="77777777">
      <w:pPr>
        <w:rPr>
          <w:rFonts w:ascii="Times New Roman" w:hAnsi="Times New Roman"/>
        </w:rPr>
      </w:pPr>
    </w:p>
    <w:p w:rsidR="000B6330" w:rsidRPr="009F0CB5" w14:paraId="5B2F9C7F" w14:textId="77777777">
      <w:pPr>
        <w:rPr>
          <w:rFonts w:ascii="Times New Roman" w:hAnsi="Times New Roman"/>
        </w:rPr>
      </w:pPr>
      <w:r w:rsidRPr="009F0CB5">
        <w:rPr>
          <w:rFonts w:ascii="Times New Roman" w:hAnsi="Times New Roman"/>
        </w:rPr>
        <w:t>10.</w:t>
      </w:r>
      <w:r w:rsidRPr="009F0CB5">
        <w:rPr>
          <w:rFonts w:ascii="Times New Roman" w:hAnsi="Times New Roman"/>
        </w:rPr>
        <w:tab/>
      </w:r>
      <w:r w:rsidRPr="009F0CB5">
        <w:rPr>
          <w:rFonts w:ascii="Times New Roman" w:hAnsi="Times New Roman"/>
          <w:u w:val="single"/>
        </w:rPr>
        <w:t>ASSURANCE OF CONFIDENTIALITY OF RESPONSES</w:t>
      </w:r>
    </w:p>
    <w:p w:rsidR="000B6330" w:rsidRPr="009F0CB5" w14:paraId="4C93AE0B" w14:textId="77777777">
      <w:pPr>
        <w:rPr>
          <w:rFonts w:ascii="Times New Roman" w:hAnsi="Times New Roman"/>
        </w:rPr>
      </w:pPr>
    </w:p>
    <w:p w:rsidR="000B6330" w:rsidRPr="009F0CB5" w14:paraId="5888CA24" w14:textId="74F72CED">
      <w:pPr>
        <w:ind w:left="720"/>
        <w:rPr>
          <w:rFonts w:ascii="Times New Roman" w:hAnsi="Times New Roman"/>
        </w:rPr>
      </w:pPr>
      <w:r w:rsidRPr="009F0CB5">
        <w:rPr>
          <w:rFonts w:ascii="Times New Roman" w:hAnsi="Times New Roman"/>
        </w:rPr>
        <w:t>Generally, tax returns and tax return information are confidential as required by 26</w:t>
      </w:r>
      <w:r w:rsidR="00E1205F">
        <w:rPr>
          <w:rFonts w:ascii="Times New Roman" w:hAnsi="Times New Roman"/>
        </w:rPr>
        <w:t xml:space="preserve"> </w:t>
      </w:r>
      <w:r w:rsidRPr="009F0CB5">
        <w:rPr>
          <w:rFonts w:ascii="Times New Roman" w:hAnsi="Times New Roman"/>
        </w:rPr>
        <w:t>U</w:t>
      </w:r>
      <w:r w:rsidR="00A33491">
        <w:rPr>
          <w:rFonts w:ascii="Times New Roman" w:hAnsi="Times New Roman"/>
        </w:rPr>
        <w:t>.</w:t>
      </w:r>
      <w:r w:rsidRPr="009F0CB5">
        <w:rPr>
          <w:rFonts w:ascii="Times New Roman" w:hAnsi="Times New Roman"/>
        </w:rPr>
        <w:t>S</w:t>
      </w:r>
      <w:r w:rsidR="00A33491">
        <w:rPr>
          <w:rFonts w:ascii="Times New Roman" w:hAnsi="Times New Roman"/>
        </w:rPr>
        <w:t>.</w:t>
      </w:r>
      <w:r w:rsidRPr="009F0CB5">
        <w:rPr>
          <w:rFonts w:ascii="Times New Roman" w:hAnsi="Times New Roman"/>
        </w:rPr>
        <w:t>C</w:t>
      </w:r>
      <w:r w:rsidR="00A33491">
        <w:rPr>
          <w:rFonts w:ascii="Times New Roman" w:hAnsi="Times New Roman"/>
        </w:rPr>
        <w:t>.</w:t>
      </w:r>
      <w:r w:rsidRPr="009F0CB5">
        <w:rPr>
          <w:rFonts w:ascii="Times New Roman" w:hAnsi="Times New Roman"/>
        </w:rPr>
        <w:t xml:space="preserve"> 6103.</w:t>
      </w:r>
    </w:p>
    <w:p w:rsidR="000B6330" w:rsidRPr="009F0CB5" w14:paraId="12BFA15F" w14:textId="77777777">
      <w:pPr>
        <w:rPr>
          <w:rFonts w:ascii="Times New Roman" w:hAnsi="Times New Roman"/>
        </w:rPr>
      </w:pPr>
    </w:p>
    <w:p w:rsidR="000B6330" w:rsidRPr="009F0CB5" w14:paraId="5C9E6844" w14:textId="77777777">
      <w:pPr>
        <w:rPr>
          <w:rFonts w:ascii="Times New Roman" w:hAnsi="Times New Roman"/>
        </w:rPr>
        <w:sectPr>
          <w:headerReference w:type="default" r:id="rId6"/>
          <w:type w:val="continuous"/>
          <w:pgSz w:w="12240" w:h="15840"/>
          <w:pgMar w:top="1440" w:right="1440" w:bottom="1440" w:left="1440" w:header="1440" w:footer="1440" w:gutter="0"/>
          <w:cols w:space="720"/>
          <w:noEndnote/>
        </w:sectPr>
      </w:pPr>
    </w:p>
    <w:p w:rsidR="000B6330" w:rsidRPr="009F0CB5" w14:paraId="4412DFBB" w14:textId="77777777">
      <w:pPr>
        <w:tabs>
          <w:tab w:val="left" w:pos="-1440"/>
        </w:tabs>
        <w:ind w:left="720" w:hanging="720"/>
        <w:rPr>
          <w:rFonts w:ascii="Times New Roman" w:hAnsi="Times New Roman"/>
          <w:u w:val="single"/>
        </w:rPr>
      </w:pPr>
      <w:r w:rsidRPr="009F0CB5">
        <w:rPr>
          <w:rFonts w:ascii="Times New Roman" w:hAnsi="Times New Roman"/>
        </w:rPr>
        <w:t>11.</w:t>
      </w:r>
      <w:r w:rsidRPr="009F0CB5">
        <w:rPr>
          <w:rFonts w:ascii="Times New Roman" w:hAnsi="Times New Roman"/>
        </w:rPr>
        <w:tab/>
      </w:r>
      <w:r w:rsidRPr="009F0CB5">
        <w:rPr>
          <w:rFonts w:ascii="Times New Roman" w:hAnsi="Times New Roman"/>
          <w:u w:val="single"/>
        </w:rPr>
        <w:t>JUSTIFICATION OF SENSITIVE QUESTIONS</w:t>
      </w:r>
    </w:p>
    <w:p w:rsidR="000B6330" w:rsidRPr="009F0CB5" w14:paraId="231DD969" w14:textId="77777777">
      <w:pPr>
        <w:rPr>
          <w:rFonts w:ascii="Times New Roman" w:hAnsi="Times New Roman"/>
          <w:u w:val="single"/>
        </w:rPr>
      </w:pPr>
    </w:p>
    <w:p w:rsidR="000B6330" w:rsidRPr="009F0CB5" w14:paraId="4B2A47C4" w14:textId="18DAF8D1">
      <w:pPr>
        <w:ind w:left="720"/>
        <w:rPr>
          <w:rFonts w:ascii="Times New Roman" w:hAnsi="Times New Roman"/>
        </w:rPr>
      </w:pPr>
      <w:r w:rsidRPr="009F0CB5">
        <w:rPr>
          <w:rFonts w:ascii="Times New Roman" w:hAnsi="Times New Roman"/>
        </w:rPr>
        <w:t>There is no sensitive personally identifiable information (PII) in this collection.</w:t>
      </w:r>
      <w:r w:rsidR="00AE3A63">
        <w:rPr>
          <w:rFonts w:ascii="Times New Roman" w:hAnsi="Times New Roman"/>
        </w:rPr>
        <w:t xml:space="preserve"> These are third-party disclosure requirements.</w:t>
      </w:r>
    </w:p>
    <w:p w:rsidR="000B6330" w:rsidRPr="009F0CB5" w14:paraId="30101401" w14:textId="77777777">
      <w:pPr>
        <w:rPr>
          <w:rFonts w:ascii="Times New Roman" w:hAnsi="Times New Roman"/>
        </w:rPr>
      </w:pPr>
    </w:p>
    <w:p w:rsidR="000B6330" w:rsidRPr="009F0CB5" w14:paraId="73DC301E" w14:textId="77777777">
      <w:pPr>
        <w:tabs>
          <w:tab w:val="left" w:pos="-1440"/>
        </w:tabs>
        <w:ind w:left="720" w:hanging="720"/>
        <w:rPr>
          <w:rFonts w:ascii="Times New Roman" w:hAnsi="Times New Roman"/>
          <w:u w:val="single"/>
        </w:rPr>
      </w:pPr>
      <w:r w:rsidRPr="009F0CB5">
        <w:rPr>
          <w:rFonts w:ascii="Times New Roman" w:hAnsi="Times New Roman"/>
        </w:rPr>
        <w:t>12.</w:t>
      </w:r>
      <w:r w:rsidRPr="009F0CB5">
        <w:rPr>
          <w:rFonts w:ascii="Times New Roman" w:hAnsi="Times New Roman"/>
        </w:rPr>
        <w:tab/>
      </w:r>
      <w:r w:rsidRPr="009F0CB5">
        <w:rPr>
          <w:rFonts w:ascii="Times New Roman" w:hAnsi="Times New Roman"/>
          <w:u w:val="single"/>
        </w:rPr>
        <w:t>ESTIMATED BURDEN OF INFORMATION COLLECTION</w:t>
      </w:r>
    </w:p>
    <w:p w:rsidR="000B6330" w:rsidRPr="009F0CB5" w14:paraId="612EF338" w14:textId="77777777">
      <w:pPr>
        <w:rPr>
          <w:rFonts w:ascii="Times New Roman" w:hAnsi="Times New Roman"/>
          <w:u w:val="single"/>
        </w:rPr>
      </w:pPr>
    </w:p>
    <w:p w:rsidR="00CC29F1" w:rsidP="00CC29F1" w14:paraId="54B4BBF8" w14:textId="77777777">
      <w:pPr>
        <w:ind w:left="720"/>
        <w:rPr>
          <w:rFonts w:ascii="Times New Roman" w:hAnsi="Times New Roman"/>
        </w:rPr>
      </w:pPr>
      <w:r w:rsidRPr="004C685B">
        <w:rPr>
          <w:rFonts w:ascii="Times New Roman" w:hAnsi="Times New Roman"/>
        </w:rPr>
        <w:t xml:space="preserve">The collection of information in </w:t>
      </w:r>
      <w:r>
        <w:rPr>
          <w:rFonts w:ascii="Times New Roman" w:hAnsi="Times New Roman"/>
        </w:rPr>
        <w:t xml:space="preserve">these </w:t>
      </w:r>
      <w:r w:rsidRPr="004C685B">
        <w:rPr>
          <w:rFonts w:ascii="Times New Roman" w:hAnsi="Times New Roman"/>
        </w:rPr>
        <w:t>regulation</w:t>
      </w:r>
      <w:r>
        <w:rPr>
          <w:rFonts w:ascii="Times New Roman" w:hAnsi="Times New Roman"/>
        </w:rPr>
        <w:t>s are as follows:</w:t>
      </w:r>
      <w:r w:rsidRPr="004C685B">
        <w:rPr>
          <w:rFonts w:ascii="Times New Roman" w:hAnsi="Times New Roman"/>
        </w:rPr>
        <w:t xml:space="preserve"> </w:t>
      </w:r>
    </w:p>
    <w:p w:rsidR="00CC29F1" w:rsidP="00CC29F1" w14:paraId="61A61FBF" w14:textId="77777777">
      <w:pPr>
        <w:ind w:left="720"/>
        <w:rPr>
          <w:rFonts w:ascii="Times New Roman" w:hAnsi="Times New Roman"/>
        </w:rPr>
      </w:pPr>
    </w:p>
    <w:p w:rsidR="00CC29F1" w:rsidRPr="00D75C48" w:rsidP="00CC29F1" w14:paraId="2E14710E" w14:textId="4F2369D5">
      <w:pPr>
        <w:ind w:left="720"/>
        <w:rPr>
          <w:rFonts w:ascii="Times New Roman" w:hAnsi="Times New Roman"/>
        </w:rPr>
      </w:pPr>
      <w:bookmarkStart w:id="4" w:name="_Hlk193258491"/>
      <w:r>
        <w:rPr>
          <w:rFonts w:ascii="Times New Roman" w:hAnsi="Times New Roman"/>
        </w:rPr>
        <w:t>Treasury Regulations s</w:t>
      </w:r>
      <w:r w:rsidRPr="00CC29F1">
        <w:rPr>
          <w:rFonts w:ascii="Times New Roman" w:hAnsi="Times New Roman"/>
        </w:rPr>
        <w:t>ection 1.67</w:t>
      </w:r>
      <w:r>
        <w:rPr>
          <w:rFonts w:ascii="Times New Roman" w:hAnsi="Times New Roman"/>
        </w:rPr>
        <w:t>-</w:t>
      </w:r>
      <w:r w:rsidRPr="00CC29F1">
        <w:rPr>
          <w:rFonts w:ascii="Times New Roman" w:hAnsi="Times New Roman"/>
        </w:rPr>
        <w:t xml:space="preserve">3(f)(4)(ii) requires </w:t>
      </w:r>
      <w:r w:rsidRPr="00C22A87">
        <w:rPr>
          <w:rFonts w:ascii="Times New Roman" w:hAnsi="Times New Roman"/>
        </w:rPr>
        <w:t>single</w:t>
      </w:r>
      <w:r>
        <w:rPr>
          <w:rFonts w:ascii="Times New Roman" w:hAnsi="Times New Roman"/>
        </w:rPr>
        <w:t>-</w:t>
      </w:r>
      <w:r w:rsidRPr="00C22A87">
        <w:rPr>
          <w:rFonts w:ascii="Times New Roman" w:hAnsi="Times New Roman"/>
        </w:rPr>
        <w:t xml:space="preserve">class REMICs to provide certain </w:t>
      </w:r>
      <w:r>
        <w:rPr>
          <w:rFonts w:ascii="Times New Roman" w:hAnsi="Times New Roman"/>
        </w:rPr>
        <w:t xml:space="preserve">IRC </w:t>
      </w:r>
      <w:r w:rsidRPr="00C22A87">
        <w:rPr>
          <w:rFonts w:ascii="Times New Roman" w:hAnsi="Times New Roman"/>
        </w:rPr>
        <w:t xml:space="preserve">section 67 information to </w:t>
      </w:r>
      <w:r>
        <w:rPr>
          <w:rFonts w:ascii="Times New Roman" w:hAnsi="Times New Roman"/>
        </w:rPr>
        <w:t>a person holding a regular interest in the single-class REMIC</w:t>
      </w:r>
      <w:r w:rsidRPr="00C22A87">
        <w:rPr>
          <w:rFonts w:ascii="Times New Roman" w:hAnsi="Times New Roman"/>
        </w:rPr>
        <w:t xml:space="preserve"> pursuant to section 1.6049-7(e)</w:t>
      </w:r>
      <w:r w:rsidRPr="00CC29F1">
        <w:rPr>
          <w:rFonts w:ascii="Times New Roman" w:hAnsi="Times New Roman"/>
        </w:rPr>
        <w:t>.</w:t>
      </w:r>
      <w:bookmarkEnd w:id="4"/>
      <w:r w:rsidRPr="00CC29F1">
        <w:rPr>
          <w:rFonts w:ascii="Times New Roman" w:hAnsi="Times New Roman"/>
        </w:rPr>
        <w:t xml:space="preserve"> We estimate that approximately 5 single class REMICs will have to provide the information to 5 brokers each and that each request will take .3 hour to furnish. Total burden: 8 hours.</w:t>
      </w:r>
    </w:p>
    <w:p w:rsidR="00CC29F1" w:rsidRPr="00D75C48" w:rsidP="00CC29F1" w14:paraId="0526E27F" w14:textId="77777777">
      <w:pPr>
        <w:ind w:left="720"/>
        <w:rPr>
          <w:rFonts w:ascii="Times New Roman" w:hAnsi="Times New Roman"/>
        </w:rPr>
      </w:pPr>
    </w:p>
    <w:p w:rsidR="004C5919" w:rsidRPr="004C5919" w:rsidP="004C5919" w14:paraId="6B896B00" w14:textId="77777777">
      <w:pPr>
        <w:ind w:left="720"/>
        <w:rPr>
          <w:rFonts w:ascii="Times New Roman" w:hAnsi="Times New Roman"/>
        </w:rPr>
      </w:pPr>
      <w:r w:rsidRPr="004C5919">
        <w:rPr>
          <w:rFonts w:ascii="Times New Roman" w:hAnsi="Times New Roman"/>
        </w:rPr>
        <w:t>Treasury Regulations section 1.6049-7(e) requires the REMIC to provide certain information to brokers and middlemen who request the information to complete information returns. We estimate that approximately 600 REMICs or other issuers of collateralized debt obligation will have to provide the information to 12 brokers or middlemen, and that each request will take .1 hour to furnish. Total burden: 720 hours.</w:t>
      </w:r>
    </w:p>
    <w:p w:rsidR="004C5919" w:rsidRPr="004C5919" w:rsidP="004C5919" w14:paraId="11DAD6F7" w14:textId="77777777">
      <w:pPr>
        <w:ind w:left="720"/>
        <w:rPr>
          <w:rFonts w:ascii="Times New Roman" w:hAnsi="Times New Roman"/>
        </w:rPr>
      </w:pPr>
    </w:p>
    <w:p w:rsidR="00216DF0" w:rsidP="004C5919" w14:paraId="6F8A1101" w14:textId="5F0C7C7E">
      <w:pPr>
        <w:ind w:left="720"/>
        <w:rPr>
          <w:rFonts w:ascii="Times New Roman" w:hAnsi="Times New Roman"/>
        </w:rPr>
      </w:pPr>
      <w:r w:rsidRPr="004C5919">
        <w:rPr>
          <w:rFonts w:ascii="Times New Roman" w:hAnsi="Times New Roman"/>
        </w:rPr>
        <w:t>Treasury Regulations section 1.6049-7(f)(7) Treasury Regulations Section 1.6049-7(f)(7) requires brokers and middlemen to furnish certain information to corporations, non-calendar year taxpayers, and other specified persons who requests the information and for whom the broker or middleman holds as a nominee a REMIC regular interest or a collateralized debt obligation. We estimate that approximately 50 brokers or middlemen will have to provide the information to 50 corporations each, and that each request will take .1 hour to furnish. Total burden: 250 hours.</w:t>
      </w:r>
    </w:p>
    <w:p w:rsidR="00216DF0" w:rsidP="004C5919" w14:paraId="415A5363" w14:textId="77777777">
      <w:pPr>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1546"/>
        <w:gridCol w:w="1283"/>
        <w:gridCol w:w="1308"/>
        <w:gridCol w:w="1091"/>
        <w:gridCol w:w="1158"/>
        <w:gridCol w:w="1100"/>
      </w:tblGrid>
      <w:tr w14:paraId="50DC4C84" w14:textId="77777777" w:rsidTr="00D77708">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54" w:type="dxa"/>
            <w:shd w:val="clear" w:color="auto" w:fill="auto"/>
            <w:vAlign w:val="bottom"/>
          </w:tcPr>
          <w:p w:rsidR="00216DF0" w:rsidRPr="001222FC" w:rsidP="00D77708" w14:paraId="26868ECA" w14:textId="77777777">
            <w:pPr>
              <w:keepNext/>
              <w:keepLines/>
              <w:numPr>
                <w:ilvl w:val="12"/>
                <w:numId w:val="0"/>
              </w:numPr>
              <w:jc w:val="center"/>
              <w:rPr>
                <w:rFonts w:ascii="Arial Narrow" w:hAnsi="Arial Narrow"/>
                <w:b/>
                <w:sz w:val="20"/>
                <w:szCs w:val="20"/>
              </w:rPr>
            </w:pPr>
            <w:bookmarkStart w:id="5" w:name="_Hlk103748992"/>
            <w:r w:rsidRPr="001222FC">
              <w:rPr>
                <w:rFonts w:ascii="Arial Narrow" w:hAnsi="Arial Narrow"/>
                <w:b/>
                <w:sz w:val="20"/>
                <w:szCs w:val="20"/>
              </w:rPr>
              <w:t>Authority</w:t>
            </w:r>
          </w:p>
        </w:tc>
        <w:tc>
          <w:tcPr>
            <w:tcW w:w="1546" w:type="dxa"/>
            <w:vAlign w:val="bottom"/>
          </w:tcPr>
          <w:p w:rsidR="00216DF0" w:rsidRPr="001222FC" w:rsidP="00D77708" w14:paraId="1320AC62"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83" w:type="dxa"/>
            <w:vAlign w:val="bottom"/>
          </w:tcPr>
          <w:p w:rsidR="00216DF0" w:rsidRPr="001222FC" w:rsidP="00D77708" w14:paraId="6781ECA3"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308" w:type="dxa"/>
            <w:vAlign w:val="bottom"/>
          </w:tcPr>
          <w:p w:rsidR="00216DF0" w:rsidRPr="001222FC" w:rsidP="00D77708" w14:paraId="7E601C87"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091" w:type="dxa"/>
            <w:shd w:val="clear" w:color="auto" w:fill="auto"/>
            <w:vAlign w:val="bottom"/>
          </w:tcPr>
          <w:p w:rsidR="00216DF0" w:rsidRPr="001222FC" w:rsidP="00D77708" w14:paraId="483355C9"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158" w:type="dxa"/>
            <w:vAlign w:val="bottom"/>
          </w:tcPr>
          <w:p w:rsidR="00216DF0" w:rsidRPr="001222FC" w:rsidP="00D77708" w14:paraId="746EEBD7"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100" w:type="dxa"/>
            <w:shd w:val="clear" w:color="auto" w:fill="auto"/>
            <w:vAlign w:val="bottom"/>
          </w:tcPr>
          <w:p w:rsidR="00216DF0" w:rsidRPr="001222FC" w:rsidP="00D77708" w14:paraId="5E5A7F8E"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6663B723" w14:textId="77777777" w:rsidTr="00D77708">
        <w:tblPrEx>
          <w:tblW w:w="8640" w:type="dxa"/>
          <w:tblInd w:w="715" w:type="dxa"/>
          <w:tblLayout w:type="fixed"/>
          <w:tblLook w:val="04A0"/>
        </w:tblPrEx>
        <w:tc>
          <w:tcPr>
            <w:tcW w:w="1154" w:type="dxa"/>
            <w:shd w:val="clear" w:color="auto" w:fill="auto"/>
            <w:vAlign w:val="bottom"/>
          </w:tcPr>
          <w:p w:rsidR="00216DF0" w:rsidRPr="001222FC" w:rsidP="00D77708" w14:paraId="2E704D4E" w14:textId="77777777">
            <w:pPr>
              <w:keepNext/>
              <w:keepLines/>
              <w:numPr>
                <w:ilvl w:val="12"/>
                <w:numId w:val="0"/>
              </w:numPr>
              <w:jc w:val="center"/>
              <w:rPr>
                <w:rFonts w:ascii="Arial Narrow" w:hAnsi="Arial Narrow"/>
                <w:sz w:val="20"/>
                <w:szCs w:val="20"/>
              </w:rPr>
            </w:pPr>
            <w:r>
              <w:rPr>
                <w:rFonts w:ascii="Arial Narrow" w:hAnsi="Arial Narrow"/>
                <w:sz w:val="20"/>
                <w:szCs w:val="20"/>
              </w:rPr>
              <w:t>IRC § 67</w:t>
            </w:r>
          </w:p>
        </w:tc>
        <w:tc>
          <w:tcPr>
            <w:tcW w:w="1546" w:type="dxa"/>
            <w:vAlign w:val="bottom"/>
          </w:tcPr>
          <w:p w:rsidR="00216DF0" w:rsidRPr="001222FC" w:rsidP="00D77708" w14:paraId="25526BA6" w14:textId="77777777">
            <w:pPr>
              <w:keepNext/>
              <w:keepLines/>
              <w:numPr>
                <w:ilvl w:val="12"/>
                <w:numId w:val="0"/>
              </w:numPr>
              <w:jc w:val="center"/>
              <w:rPr>
                <w:rFonts w:ascii="Arial Narrow" w:hAnsi="Arial Narrow"/>
                <w:sz w:val="20"/>
                <w:szCs w:val="20"/>
              </w:rPr>
            </w:pPr>
            <w:r w:rsidRPr="0002296F">
              <w:rPr>
                <w:rFonts w:ascii="Arial Narrow" w:hAnsi="Arial Narrow"/>
                <w:sz w:val="20"/>
                <w:szCs w:val="20"/>
              </w:rPr>
              <w:t>1.67-3(f)(4)(ii)</w:t>
            </w:r>
          </w:p>
        </w:tc>
        <w:tc>
          <w:tcPr>
            <w:tcW w:w="1283" w:type="dxa"/>
            <w:vAlign w:val="bottom"/>
          </w:tcPr>
          <w:p w:rsidR="00216DF0" w:rsidRPr="001222FC" w:rsidP="00D77708" w14:paraId="65F88FA0" w14:textId="77777777">
            <w:pPr>
              <w:keepNext/>
              <w:keepLines/>
              <w:numPr>
                <w:ilvl w:val="12"/>
                <w:numId w:val="0"/>
              </w:numPr>
              <w:jc w:val="center"/>
              <w:rPr>
                <w:rFonts w:ascii="Arial Narrow" w:hAnsi="Arial Narrow"/>
                <w:sz w:val="20"/>
                <w:szCs w:val="20"/>
              </w:rPr>
            </w:pPr>
            <w:r>
              <w:rPr>
                <w:rFonts w:ascii="Arial Narrow" w:hAnsi="Arial Narrow"/>
                <w:sz w:val="20"/>
                <w:szCs w:val="20"/>
              </w:rPr>
              <w:t>5</w:t>
            </w:r>
          </w:p>
        </w:tc>
        <w:tc>
          <w:tcPr>
            <w:tcW w:w="1308" w:type="dxa"/>
            <w:vAlign w:val="bottom"/>
          </w:tcPr>
          <w:p w:rsidR="00216DF0" w:rsidRPr="001222FC" w:rsidP="00D77708" w14:paraId="0BAAE28B" w14:textId="77777777">
            <w:pPr>
              <w:keepNext/>
              <w:keepLines/>
              <w:numPr>
                <w:ilvl w:val="12"/>
                <w:numId w:val="0"/>
              </w:numPr>
              <w:jc w:val="center"/>
              <w:rPr>
                <w:rFonts w:ascii="Arial Narrow" w:hAnsi="Arial Narrow"/>
                <w:sz w:val="20"/>
                <w:szCs w:val="20"/>
              </w:rPr>
            </w:pPr>
            <w:r>
              <w:rPr>
                <w:rFonts w:ascii="Arial Narrow" w:hAnsi="Arial Narrow"/>
                <w:sz w:val="20"/>
                <w:szCs w:val="20"/>
              </w:rPr>
              <w:t>5</w:t>
            </w:r>
          </w:p>
        </w:tc>
        <w:tc>
          <w:tcPr>
            <w:tcW w:w="1091" w:type="dxa"/>
            <w:shd w:val="clear" w:color="auto" w:fill="auto"/>
            <w:vAlign w:val="bottom"/>
          </w:tcPr>
          <w:p w:rsidR="00216DF0" w:rsidRPr="001222FC" w:rsidP="00D77708" w14:paraId="35C193D0" w14:textId="77777777">
            <w:pPr>
              <w:keepNext/>
              <w:keepLines/>
              <w:numPr>
                <w:ilvl w:val="12"/>
                <w:numId w:val="0"/>
              </w:numPr>
              <w:jc w:val="center"/>
              <w:rPr>
                <w:rFonts w:ascii="Arial Narrow" w:hAnsi="Arial Narrow"/>
                <w:sz w:val="20"/>
                <w:szCs w:val="20"/>
              </w:rPr>
            </w:pPr>
            <w:r>
              <w:rPr>
                <w:rFonts w:ascii="Arial Narrow" w:hAnsi="Arial Narrow"/>
                <w:sz w:val="20"/>
                <w:szCs w:val="20"/>
              </w:rPr>
              <w:t>25</w:t>
            </w:r>
          </w:p>
        </w:tc>
        <w:tc>
          <w:tcPr>
            <w:tcW w:w="1158" w:type="dxa"/>
            <w:vAlign w:val="bottom"/>
          </w:tcPr>
          <w:p w:rsidR="00216DF0" w:rsidRPr="001222FC" w:rsidP="00D77708" w14:paraId="5E505792" w14:textId="77777777">
            <w:pPr>
              <w:keepNext/>
              <w:keepLines/>
              <w:numPr>
                <w:ilvl w:val="12"/>
                <w:numId w:val="0"/>
              </w:numPr>
              <w:jc w:val="center"/>
              <w:rPr>
                <w:rFonts w:ascii="Arial Narrow" w:hAnsi="Arial Narrow"/>
                <w:sz w:val="20"/>
                <w:szCs w:val="20"/>
              </w:rPr>
            </w:pPr>
            <w:r>
              <w:rPr>
                <w:rFonts w:ascii="Arial Narrow" w:hAnsi="Arial Narrow"/>
                <w:sz w:val="20"/>
                <w:szCs w:val="20"/>
              </w:rPr>
              <w:t>.3</w:t>
            </w:r>
          </w:p>
        </w:tc>
        <w:tc>
          <w:tcPr>
            <w:tcW w:w="1100" w:type="dxa"/>
            <w:shd w:val="clear" w:color="auto" w:fill="auto"/>
            <w:vAlign w:val="bottom"/>
          </w:tcPr>
          <w:p w:rsidR="00216DF0" w:rsidRPr="001222FC" w:rsidP="00D77708" w14:paraId="4B3C610B" w14:textId="77777777">
            <w:pPr>
              <w:keepNext/>
              <w:keepLines/>
              <w:numPr>
                <w:ilvl w:val="12"/>
                <w:numId w:val="0"/>
              </w:numPr>
              <w:jc w:val="center"/>
              <w:rPr>
                <w:rFonts w:ascii="Arial Narrow" w:hAnsi="Arial Narrow"/>
                <w:sz w:val="20"/>
                <w:szCs w:val="20"/>
              </w:rPr>
            </w:pPr>
            <w:r>
              <w:rPr>
                <w:rFonts w:ascii="Arial Narrow" w:hAnsi="Arial Narrow"/>
                <w:sz w:val="20"/>
                <w:szCs w:val="20"/>
              </w:rPr>
              <w:t>8</w:t>
            </w:r>
          </w:p>
        </w:tc>
      </w:tr>
      <w:tr w14:paraId="407D9878" w14:textId="77777777" w:rsidTr="00D77708">
        <w:tblPrEx>
          <w:tblW w:w="8640" w:type="dxa"/>
          <w:tblInd w:w="715" w:type="dxa"/>
          <w:tblLayout w:type="fixed"/>
          <w:tblLook w:val="04A0"/>
        </w:tblPrEx>
        <w:tc>
          <w:tcPr>
            <w:tcW w:w="1154" w:type="dxa"/>
            <w:shd w:val="clear" w:color="auto" w:fill="auto"/>
            <w:vAlign w:val="bottom"/>
          </w:tcPr>
          <w:p w:rsidR="00216DF0" w:rsidP="00D77708" w14:paraId="1A75B93F" w14:textId="77777777">
            <w:pPr>
              <w:keepNext/>
              <w:keepLines/>
              <w:numPr>
                <w:ilvl w:val="12"/>
                <w:numId w:val="0"/>
              </w:numPr>
              <w:jc w:val="center"/>
              <w:rPr>
                <w:rFonts w:ascii="Arial Narrow" w:hAnsi="Arial Narrow"/>
                <w:sz w:val="20"/>
                <w:szCs w:val="20"/>
              </w:rPr>
            </w:pPr>
            <w:r>
              <w:rPr>
                <w:rFonts w:ascii="Arial Narrow" w:hAnsi="Arial Narrow"/>
                <w:sz w:val="20"/>
                <w:szCs w:val="20"/>
              </w:rPr>
              <w:t>IRC § 6049</w:t>
            </w:r>
          </w:p>
        </w:tc>
        <w:tc>
          <w:tcPr>
            <w:tcW w:w="1546" w:type="dxa"/>
            <w:vAlign w:val="bottom"/>
          </w:tcPr>
          <w:p w:rsidR="00216DF0" w:rsidRPr="0002296F" w:rsidP="00D77708" w14:paraId="31505F35" w14:textId="77777777">
            <w:pPr>
              <w:keepNext/>
              <w:keepLines/>
              <w:numPr>
                <w:ilvl w:val="12"/>
                <w:numId w:val="0"/>
              </w:numPr>
              <w:jc w:val="center"/>
              <w:rPr>
                <w:rFonts w:ascii="Arial Narrow" w:hAnsi="Arial Narrow"/>
                <w:sz w:val="20"/>
                <w:szCs w:val="20"/>
              </w:rPr>
            </w:pPr>
            <w:r w:rsidRPr="0002296F">
              <w:rPr>
                <w:rFonts w:ascii="Arial Narrow" w:hAnsi="Arial Narrow"/>
                <w:sz w:val="20"/>
                <w:szCs w:val="20"/>
              </w:rPr>
              <w:t>1.6049-7(e)</w:t>
            </w:r>
          </w:p>
        </w:tc>
        <w:tc>
          <w:tcPr>
            <w:tcW w:w="1283" w:type="dxa"/>
            <w:vAlign w:val="bottom"/>
          </w:tcPr>
          <w:p w:rsidR="00216DF0" w:rsidP="00D77708" w14:paraId="73614C5E" w14:textId="77777777">
            <w:pPr>
              <w:keepNext/>
              <w:keepLines/>
              <w:numPr>
                <w:ilvl w:val="12"/>
                <w:numId w:val="0"/>
              </w:numPr>
              <w:jc w:val="center"/>
              <w:rPr>
                <w:rFonts w:ascii="Arial Narrow" w:hAnsi="Arial Narrow"/>
                <w:sz w:val="20"/>
                <w:szCs w:val="20"/>
              </w:rPr>
            </w:pPr>
            <w:r>
              <w:rPr>
                <w:rFonts w:ascii="Arial Narrow" w:hAnsi="Arial Narrow"/>
                <w:sz w:val="20"/>
                <w:szCs w:val="20"/>
              </w:rPr>
              <w:t>600</w:t>
            </w:r>
          </w:p>
        </w:tc>
        <w:tc>
          <w:tcPr>
            <w:tcW w:w="1308" w:type="dxa"/>
            <w:vAlign w:val="bottom"/>
          </w:tcPr>
          <w:p w:rsidR="00216DF0" w:rsidP="00D77708" w14:paraId="76BBA35D" w14:textId="77777777">
            <w:pPr>
              <w:keepNext/>
              <w:keepLines/>
              <w:numPr>
                <w:ilvl w:val="12"/>
                <w:numId w:val="0"/>
              </w:numPr>
              <w:jc w:val="center"/>
              <w:rPr>
                <w:rFonts w:ascii="Arial Narrow" w:hAnsi="Arial Narrow"/>
                <w:sz w:val="20"/>
                <w:szCs w:val="20"/>
              </w:rPr>
            </w:pPr>
            <w:r>
              <w:rPr>
                <w:rFonts w:ascii="Arial Narrow" w:hAnsi="Arial Narrow"/>
                <w:sz w:val="20"/>
                <w:szCs w:val="20"/>
              </w:rPr>
              <w:t>12</w:t>
            </w:r>
          </w:p>
        </w:tc>
        <w:tc>
          <w:tcPr>
            <w:tcW w:w="1091" w:type="dxa"/>
            <w:shd w:val="clear" w:color="auto" w:fill="auto"/>
            <w:vAlign w:val="bottom"/>
          </w:tcPr>
          <w:p w:rsidR="00216DF0" w:rsidP="00D77708" w14:paraId="1777124F" w14:textId="77777777">
            <w:pPr>
              <w:keepNext/>
              <w:keepLines/>
              <w:numPr>
                <w:ilvl w:val="12"/>
                <w:numId w:val="0"/>
              </w:numPr>
              <w:jc w:val="center"/>
              <w:rPr>
                <w:rFonts w:ascii="Arial Narrow" w:hAnsi="Arial Narrow"/>
                <w:sz w:val="20"/>
                <w:szCs w:val="20"/>
              </w:rPr>
            </w:pPr>
            <w:r>
              <w:rPr>
                <w:rFonts w:ascii="Arial Narrow" w:hAnsi="Arial Narrow"/>
                <w:sz w:val="20"/>
                <w:szCs w:val="20"/>
              </w:rPr>
              <w:t>7,200</w:t>
            </w:r>
          </w:p>
        </w:tc>
        <w:tc>
          <w:tcPr>
            <w:tcW w:w="1158" w:type="dxa"/>
            <w:vAlign w:val="bottom"/>
          </w:tcPr>
          <w:p w:rsidR="00216DF0" w:rsidP="00D77708" w14:paraId="4E062D5A" w14:textId="77777777">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00" w:type="dxa"/>
            <w:shd w:val="clear" w:color="auto" w:fill="auto"/>
            <w:vAlign w:val="bottom"/>
          </w:tcPr>
          <w:p w:rsidR="00216DF0" w:rsidP="00D77708" w14:paraId="5E06A891" w14:textId="77777777">
            <w:pPr>
              <w:keepNext/>
              <w:keepLines/>
              <w:numPr>
                <w:ilvl w:val="12"/>
                <w:numId w:val="0"/>
              </w:numPr>
              <w:jc w:val="center"/>
              <w:rPr>
                <w:rFonts w:ascii="Arial Narrow" w:hAnsi="Arial Narrow"/>
                <w:sz w:val="20"/>
                <w:szCs w:val="20"/>
              </w:rPr>
            </w:pPr>
            <w:r>
              <w:rPr>
                <w:rFonts w:ascii="Arial Narrow" w:hAnsi="Arial Narrow"/>
                <w:sz w:val="20"/>
                <w:szCs w:val="20"/>
              </w:rPr>
              <w:t>720</w:t>
            </w:r>
          </w:p>
        </w:tc>
      </w:tr>
      <w:tr w14:paraId="3B67FA3A" w14:textId="77777777" w:rsidTr="00D77708">
        <w:tblPrEx>
          <w:tblW w:w="8640" w:type="dxa"/>
          <w:tblInd w:w="715" w:type="dxa"/>
          <w:tblLayout w:type="fixed"/>
          <w:tblLook w:val="04A0"/>
        </w:tblPrEx>
        <w:tc>
          <w:tcPr>
            <w:tcW w:w="1154" w:type="dxa"/>
            <w:shd w:val="clear" w:color="auto" w:fill="auto"/>
            <w:vAlign w:val="bottom"/>
          </w:tcPr>
          <w:p w:rsidR="00216DF0" w:rsidP="00D77708" w14:paraId="2D4F0C9C" w14:textId="77777777">
            <w:pPr>
              <w:keepNext/>
              <w:keepLines/>
              <w:numPr>
                <w:ilvl w:val="12"/>
                <w:numId w:val="0"/>
              </w:numPr>
              <w:jc w:val="center"/>
              <w:rPr>
                <w:rFonts w:ascii="Arial Narrow" w:hAnsi="Arial Narrow"/>
                <w:sz w:val="20"/>
                <w:szCs w:val="20"/>
              </w:rPr>
            </w:pPr>
            <w:r>
              <w:rPr>
                <w:rFonts w:ascii="Arial Narrow" w:hAnsi="Arial Narrow"/>
                <w:sz w:val="20"/>
                <w:szCs w:val="20"/>
              </w:rPr>
              <w:t>IRC § 6049</w:t>
            </w:r>
          </w:p>
        </w:tc>
        <w:tc>
          <w:tcPr>
            <w:tcW w:w="1546" w:type="dxa"/>
            <w:vAlign w:val="bottom"/>
          </w:tcPr>
          <w:p w:rsidR="00216DF0" w:rsidRPr="0002296F" w:rsidP="00D77708" w14:paraId="4CA38E6B" w14:textId="77777777">
            <w:pPr>
              <w:keepNext/>
              <w:keepLines/>
              <w:numPr>
                <w:ilvl w:val="12"/>
                <w:numId w:val="0"/>
              </w:numPr>
              <w:jc w:val="center"/>
              <w:rPr>
                <w:rFonts w:ascii="Arial Narrow" w:hAnsi="Arial Narrow"/>
                <w:sz w:val="20"/>
                <w:szCs w:val="20"/>
              </w:rPr>
            </w:pPr>
            <w:r w:rsidRPr="0002296F">
              <w:rPr>
                <w:rFonts w:ascii="Arial Narrow" w:hAnsi="Arial Narrow"/>
                <w:sz w:val="20"/>
                <w:szCs w:val="20"/>
              </w:rPr>
              <w:t>1.6049-7(f)(7)</w:t>
            </w:r>
          </w:p>
        </w:tc>
        <w:tc>
          <w:tcPr>
            <w:tcW w:w="1283" w:type="dxa"/>
            <w:vAlign w:val="bottom"/>
          </w:tcPr>
          <w:p w:rsidR="00216DF0" w:rsidP="00D77708" w14:paraId="399B7F3B" w14:textId="77777777">
            <w:pPr>
              <w:keepNext/>
              <w:keepLines/>
              <w:numPr>
                <w:ilvl w:val="12"/>
                <w:numId w:val="0"/>
              </w:numPr>
              <w:jc w:val="center"/>
              <w:rPr>
                <w:rFonts w:ascii="Arial Narrow" w:hAnsi="Arial Narrow"/>
                <w:sz w:val="20"/>
                <w:szCs w:val="20"/>
              </w:rPr>
            </w:pPr>
            <w:r>
              <w:rPr>
                <w:rFonts w:ascii="Arial Narrow" w:hAnsi="Arial Narrow"/>
                <w:sz w:val="20"/>
                <w:szCs w:val="20"/>
              </w:rPr>
              <w:t>50</w:t>
            </w:r>
          </w:p>
        </w:tc>
        <w:tc>
          <w:tcPr>
            <w:tcW w:w="1308" w:type="dxa"/>
            <w:vAlign w:val="bottom"/>
          </w:tcPr>
          <w:p w:rsidR="00216DF0" w:rsidP="00D77708" w14:paraId="1D6CC48A" w14:textId="77777777">
            <w:pPr>
              <w:keepNext/>
              <w:keepLines/>
              <w:numPr>
                <w:ilvl w:val="12"/>
                <w:numId w:val="0"/>
              </w:numPr>
              <w:jc w:val="center"/>
              <w:rPr>
                <w:rFonts w:ascii="Arial Narrow" w:hAnsi="Arial Narrow"/>
                <w:sz w:val="20"/>
                <w:szCs w:val="20"/>
              </w:rPr>
            </w:pPr>
            <w:r>
              <w:rPr>
                <w:rFonts w:ascii="Arial Narrow" w:hAnsi="Arial Narrow"/>
                <w:sz w:val="20"/>
                <w:szCs w:val="20"/>
              </w:rPr>
              <w:t>50</w:t>
            </w:r>
          </w:p>
        </w:tc>
        <w:tc>
          <w:tcPr>
            <w:tcW w:w="1091" w:type="dxa"/>
            <w:shd w:val="clear" w:color="auto" w:fill="auto"/>
            <w:vAlign w:val="bottom"/>
          </w:tcPr>
          <w:p w:rsidR="00216DF0" w:rsidP="00D77708" w14:paraId="70BCAE42" w14:textId="77777777">
            <w:pPr>
              <w:keepNext/>
              <w:keepLines/>
              <w:numPr>
                <w:ilvl w:val="12"/>
                <w:numId w:val="0"/>
              </w:numPr>
              <w:jc w:val="center"/>
              <w:rPr>
                <w:rFonts w:ascii="Arial Narrow" w:hAnsi="Arial Narrow"/>
                <w:sz w:val="20"/>
                <w:szCs w:val="20"/>
              </w:rPr>
            </w:pPr>
            <w:r>
              <w:rPr>
                <w:rFonts w:ascii="Arial Narrow" w:hAnsi="Arial Narrow"/>
                <w:sz w:val="20"/>
                <w:szCs w:val="20"/>
              </w:rPr>
              <w:t>2,500</w:t>
            </w:r>
          </w:p>
        </w:tc>
        <w:tc>
          <w:tcPr>
            <w:tcW w:w="1158" w:type="dxa"/>
            <w:vAlign w:val="bottom"/>
          </w:tcPr>
          <w:p w:rsidR="00216DF0" w:rsidP="00D77708" w14:paraId="117608CC" w14:textId="77777777">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00" w:type="dxa"/>
            <w:shd w:val="clear" w:color="auto" w:fill="auto"/>
            <w:vAlign w:val="bottom"/>
          </w:tcPr>
          <w:p w:rsidR="00216DF0" w:rsidP="00D77708" w14:paraId="783C4675" w14:textId="77777777">
            <w:pPr>
              <w:keepNext/>
              <w:keepLines/>
              <w:numPr>
                <w:ilvl w:val="12"/>
                <w:numId w:val="0"/>
              </w:numPr>
              <w:jc w:val="center"/>
              <w:rPr>
                <w:rFonts w:ascii="Arial Narrow" w:hAnsi="Arial Narrow"/>
                <w:sz w:val="20"/>
                <w:szCs w:val="20"/>
              </w:rPr>
            </w:pPr>
            <w:r>
              <w:rPr>
                <w:rFonts w:ascii="Arial Narrow" w:hAnsi="Arial Narrow"/>
                <w:sz w:val="20"/>
                <w:szCs w:val="20"/>
              </w:rPr>
              <w:t>250</w:t>
            </w:r>
          </w:p>
        </w:tc>
      </w:tr>
      <w:tr w14:paraId="00212B0A" w14:textId="77777777" w:rsidTr="00D77708">
        <w:tblPrEx>
          <w:tblW w:w="8640" w:type="dxa"/>
          <w:tblInd w:w="715" w:type="dxa"/>
          <w:tblLayout w:type="fixed"/>
          <w:tblLook w:val="04A0"/>
        </w:tblPrEx>
        <w:tc>
          <w:tcPr>
            <w:tcW w:w="1154" w:type="dxa"/>
            <w:shd w:val="clear" w:color="auto" w:fill="auto"/>
            <w:vAlign w:val="bottom"/>
          </w:tcPr>
          <w:p w:rsidR="00216DF0" w:rsidRPr="001222FC" w:rsidP="00D77708" w14:paraId="1EF76980"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546" w:type="dxa"/>
            <w:vAlign w:val="bottom"/>
          </w:tcPr>
          <w:p w:rsidR="00216DF0" w:rsidRPr="001222FC" w:rsidP="00D77708" w14:paraId="14971298" w14:textId="77777777">
            <w:pPr>
              <w:keepNext/>
              <w:keepLines/>
              <w:numPr>
                <w:ilvl w:val="12"/>
                <w:numId w:val="0"/>
              </w:numPr>
              <w:jc w:val="center"/>
              <w:rPr>
                <w:rFonts w:ascii="Arial Narrow" w:hAnsi="Arial Narrow"/>
                <w:b/>
                <w:bCs/>
                <w:sz w:val="20"/>
                <w:szCs w:val="20"/>
              </w:rPr>
            </w:pPr>
          </w:p>
        </w:tc>
        <w:tc>
          <w:tcPr>
            <w:tcW w:w="1283" w:type="dxa"/>
            <w:vAlign w:val="bottom"/>
          </w:tcPr>
          <w:p w:rsidR="00216DF0" w:rsidRPr="001222FC" w:rsidP="00D77708" w14:paraId="02B10273" w14:textId="77777777">
            <w:pPr>
              <w:keepNext/>
              <w:keepLines/>
              <w:numPr>
                <w:ilvl w:val="12"/>
                <w:numId w:val="0"/>
              </w:numPr>
              <w:jc w:val="center"/>
              <w:rPr>
                <w:rFonts w:ascii="Arial Narrow" w:hAnsi="Arial Narrow"/>
                <w:b/>
                <w:bCs/>
                <w:sz w:val="20"/>
                <w:szCs w:val="20"/>
              </w:rPr>
            </w:pPr>
            <w:r>
              <w:rPr>
                <w:rFonts w:ascii="Arial Narrow" w:hAnsi="Arial Narrow"/>
                <w:b/>
                <w:bCs/>
                <w:sz w:val="20"/>
                <w:szCs w:val="20"/>
              </w:rPr>
              <w:t>655</w:t>
            </w:r>
          </w:p>
        </w:tc>
        <w:tc>
          <w:tcPr>
            <w:tcW w:w="1308" w:type="dxa"/>
            <w:vAlign w:val="bottom"/>
          </w:tcPr>
          <w:p w:rsidR="00216DF0" w:rsidRPr="001222FC" w:rsidP="00D77708" w14:paraId="5BB7B637" w14:textId="77777777">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00216DF0" w:rsidRPr="001222FC" w:rsidP="00D77708" w14:paraId="31D63DEA" w14:textId="77777777">
            <w:pPr>
              <w:keepNext/>
              <w:keepLines/>
              <w:numPr>
                <w:ilvl w:val="12"/>
                <w:numId w:val="0"/>
              </w:numPr>
              <w:jc w:val="center"/>
              <w:rPr>
                <w:rFonts w:ascii="Arial Narrow" w:hAnsi="Arial Narrow"/>
                <w:b/>
                <w:bCs/>
                <w:sz w:val="20"/>
                <w:szCs w:val="20"/>
              </w:rPr>
            </w:pPr>
            <w:bookmarkStart w:id="6" w:name="_Hlk193265582"/>
            <w:r>
              <w:rPr>
                <w:rFonts w:ascii="Arial Narrow" w:hAnsi="Arial Narrow"/>
                <w:b/>
                <w:bCs/>
                <w:sz w:val="20"/>
                <w:szCs w:val="20"/>
              </w:rPr>
              <w:t>9,725</w:t>
            </w:r>
            <w:bookmarkEnd w:id="6"/>
          </w:p>
        </w:tc>
        <w:tc>
          <w:tcPr>
            <w:tcW w:w="1158" w:type="dxa"/>
            <w:vAlign w:val="bottom"/>
          </w:tcPr>
          <w:p w:rsidR="00216DF0" w:rsidRPr="001222FC" w:rsidP="00D77708" w14:paraId="03121400" w14:textId="77777777">
            <w:pPr>
              <w:keepNext/>
              <w:keepLines/>
              <w:numPr>
                <w:ilvl w:val="12"/>
                <w:numId w:val="0"/>
              </w:numPr>
              <w:jc w:val="center"/>
              <w:rPr>
                <w:rFonts w:ascii="Arial Narrow" w:hAnsi="Arial Narrow"/>
                <w:b/>
                <w:bCs/>
                <w:sz w:val="20"/>
                <w:szCs w:val="20"/>
              </w:rPr>
            </w:pPr>
          </w:p>
        </w:tc>
        <w:tc>
          <w:tcPr>
            <w:tcW w:w="1100" w:type="dxa"/>
            <w:shd w:val="clear" w:color="auto" w:fill="auto"/>
            <w:vAlign w:val="bottom"/>
          </w:tcPr>
          <w:p w:rsidR="00216DF0" w:rsidRPr="001222FC" w:rsidP="00D77708" w14:paraId="6795FD3E" w14:textId="77777777">
            <w:pPr>
              <w:keepNext/>
              <w:keepLines/>
              <w:numPr>
                <w:ilvl w:val="12"/>
                <w:numId w:val="0"/>
              </w:numPr>
              <w:jc w:val="center"/>
              <w:rPr>
                <w:rFonts w:ascii="Arial Narrow" w:hAnsi="Arial Narrow"/>
                <w:b/>
                <w:bCs/>
                <w:sz w:val="20"/>
                <w:szCs w:val="20"/>
              </w:rPr>
            </w:pPr>
            <w:bookmarkStart w:id="7" w:name="_Hlk193265615"/>
            <w:r>
              <w:rPr>
                <w:rFonts w:ascii="Arial Narrow" w:hAnsi="Arial Narrow"/>
                <w:b/>
                <w:bCs/>
                <w:sz w:val="20"/>
                <w:szCs w:val="20"/>
              </w:rPr>
              <w:t>978</w:t>
            </w:r>
            <w:bookmarkEnd w:id="7"/>
          </w:p>
        </w:tc>
      </w:tr>
      <w:bookmarkEnd w:id="5"/>
    </w:tbl>
    <w:p w:rsidR="00D87B61" w:rsidRPr="009F0CB5" w14:paraId="61743C49" w14:textId="77777777">
      <w:pPr>
        <w:tabs>
          <w:tab w:val="left" w:pos="-1440"/>
        </w:tabs>
        <w:ind w:left="720" w:hanging="720"/>
        <w:rPr>
          <w:rFonts w:ascii="Times New Roman" w:hAnsi="Times New Roman"/>
        </w:rPr>
      </w:pPr>
    </w:p>
    <w:p w:rsidR="00962AEC" w:rsidRPr="00962AEC" w:rsidP="00962AEC" w14:paraId="43399C6E" w14:textId="08A17651">
      <w:pPr>
        <w:ind w:left="720"/>
        <w:rPr>
          <w:rFonts w:ascii="Times New Roman" w:hAnsi="Times New Roman"/>
        </w:rPr>
      </w:pPr>
      <w:r w:rsidRPr="00962AEC">
        <w:rPr>
          <w:rFonts w:ascii="Times New Roman" w:hAnsi="Times New Roman"/>
        </w:rPr>
        <w:t xml:space="preserve">Please continue to assign OMB </w:t>
      </w:r>
      <w:r w:rsidR="00C35594">
        <w:rPr>
          <w:rFonts w:ascii="Times New Roman" w:hAnsi="Times New Roman"/>
        </w:rPr>
        <w:t xml:space="preserve">control </w:t>
      </w:r>
      <w:r w:rsidRPr="00962AEC">
        <w:rPr>
          <w:rFonts w:ascii="Times New Roman" w:hAnsi="Times New Roman"/>
        </w:rPr>
        <w:t>number 1545-</w:t>
      </w:r>
      <w:r w:rsidR="00347B5C">
        <w:rPr>
          <w:rFonts w:ascii="Times New Roman" w:hAnsi="Times New Roman"/>
        </w:rPr>
        <w:t>1018</w:t>
      </w:r>
      <w:r w:rsidRPr="00962AEC">
        <w:rPr>
          <w:rFonts w:ascii="Times New Roman" w:hAnsi="Times New Roman"/>
        </w:rPr>
        <w:t xml:space="preserve"> to these regulations</w:t>
      </w:r>
      <w:r w:rsidR="00C35594">
        <w:rPr>
          <w:rFonts w:ascii="Times New Roman" w:hAnsi="Times New Roman"/>
        </w:rPr>
        <w:t>:</w:t>
      </w:r>
    </w:p>
    <w:p w:rsidR="00962AEC" w:rsidRPr="00962AEC" w:rsidP="00962AEC" w14:paraId="1432EE9F" w14:textId="77777777">
      <w:pPr>
        <w:ind w:left="720"/>
        <w:rPr>
          <w:rFonts w:ascii="Times New Roman" w:hAnsi="Times New Roman"/>
        </w:rPr>
      </w:pPr>
    </w:p>
    <w:p w:rsidR="00962AEC" w:rsidRPr="009F0CB5" w:rsidP="004C685B" w14:paraId="6CBE6BD2" w14:textId="18607F9E">
      <w:pPr>
        <w:ind w:left="720"/>
        <w:rPr>
          <w:rFonts w:ascii="Times New Roman" w:hAnsi="Times New Roman"/>
        </w:rPr>
      </w:pPr>
      <w:r>
        <w:rPr>
          <w:rFonts w:ascii="Times New Roman" w:hAnsi="Times New Roman"/>
        </w:rPr>
        <w:t>1.</w:t>
      </w:r>
      <w:r w:rsidR="00347B5C">
        <w:rPr>
          <w:rFonts w:ascii="Times New Roman" w:hAnsi="Times New Roman"/>
        </w:rPr>
        <w:t>67-3</w:t>
      </w:r>
      <w:r w:rsidR="00347B5C">
        <w:rPr>
          <w:rFonts w:ascii="Times New Roman" w:hAnsi="Times New Roman"/>
        </w:rPr>
        <w:tab/>
      </w:r>
      <w:r w:rsidR="00347B5C">
        <w:rPr>
          <w:rFonts w:ascii="Times New Roman" w:hAnsi="Times New Roman"/>
        </w:rPr>
        <w:tab/>
      </w:r>
      <w:r w:rsidR="00347B5C">
        <w:rPr>
          <w:rFonts w:ascii="Times New Roman" w:hAnsi="Times New Roman"/>
        </w:rPr>
        <w:tab/>
        <w:t>1.6049-4</w:t>
      </w:r>
      <w:r w:rsidR="00347B5C">
        <w:rPr>
          <w:rFonts w:ascii="Times New Roman" w:hAnsi="Times New Roman"/>
        </w:rPr>
        <w:tab/>
      </w:r>
      <w:r w:rsidR="00347B5C">
        <w:rPr>
          <w:rFonts w:ascii="Times New Roman" w:hAnsi="Times New Roman"/>
        </w:rPr>
        <w:tab/>
      </w:r>
      <w:r w:rsidR="00347B5C">
        <w:rPr>
          <w:rFonts w:ascii="Times New Roman" w:hAnsi="Times New Roman"/>
        </w:rPr>
        <w:tab/>
        <w:t>1.6049-7</w:t>
      </w:r>
      <w:r w:rsidR="00347B5C">
        <w:rPr>
          <w:rFonts w:ascii="Times New Roman" w:hAnsi="Times New Roman"/>
        </w:rPr>
        <w:tab/>
      </w:r>
      <w:r w:rsidR="00347B5C">
        <w:rPr>
          <w:rFonts w:ascii="Times New Roman" w:hAnsi="Times New Roman"/>
        </w:rPr>
        <w:tab/>
      </w:r>
      <w:r w:rsidR="00347B5C">
        <w:rPr>
          <w:rFonts w:ascii="Times New Roman" w:hAnsi="Times New Roman"/>
        </w:rPr>
        <w:tab/>
      </w:r>
    </w:p>
    <w:p w:rsidR="000B6330" w:rsidRPr="009F0CB5" w14:paraId="603B38B2" w14:textId="77777777">
      <w:pPr>
        <w:rPr>
          <w:rFonts w:ascii="Times New Roman" w:hAnsi="Times New Roman"/>
        </w:rPr>
      </w:pPr>
      <w:r w:rsidRPr="009F0CB5">
        <w:rPr>
          <w:rFonts w:ascii="Times New Roman" w:hAnsi="Times New Roman"/>
        </w:rPr>
        <w:t xml:space="preserve">      </w:t>
      </w:r>
    </w:p>
    <w:p w:rsidR="000B6330" w:rsidRPr="009F0CB5" w14:paraId="5AFAEF23" w14:textId="1F0D6558">
      <w:pPr>
        <w:tabs>
          <w:tab w:val="left" w:pos="-1440"/>
        </w:tabs>
        <w:ind w:left="720" w:hanging="720"/>
        <w:rPr>
          <w:rFonts w:ascii="Times New Roman" w:hAnsi="Times New Roman"/>
        </w:rPr>
      </w:pPr>
      <w:r w:rsidRPr="009F0CB5">
        <w:rPr>
          <w:rFonts w:ascii="Times New Roman" w:hAnsi="Times New Roman"/>
        </w:rPr>
        <w:t>13.</w:t>
      </w:r>
      <w:r w:rsidRPr="009F0CB5">
        <w:rPr>
          <w:rFonts w:ascii="Times New Roman" w:hAnsi="Times New Roman"/>
        </w:rPr>
        <w:tab/>
      </w:r>
      <w:r w:rsidRPr="009F0CB5">
        <w:rPr>
          <w:rFonts w:ascii="Times New Roman" w:hAnsi="Times New Roman"/>
          <w:u w:val="single"/>
        </w:rPr>
        <w:t>ESTIMATED TOTAL ANNUAL COST BURDEN TO RESPONDENTS</w:t>
      </w:r>
    </w:p>
    <w:p w:rsidR="000B6330" w:rsidP="00D352A8" w14:paraId="67B4EFD3" w14:textId="77777777">
      <w:pPr>
        <w:ind w:left="720"/>
        <w:rPr>
          <w:rFonts w:ascii="Times New Roman" w:hAnsi="Times New Roman"/>
        </w:rPr>
      </w:pPr>
    </w:p>
    <w:p w:rsidR="006E5986" w:rsidRPr="005E6A5F" w:rsidP="006E5986" w14:paraId="0D7F27CF" w14:textId="22078ECD">
      <w:pPr>
        <w:widowControl/>
        <w:autoSpaceDE/>
        <w:autoSpaceDN/>
        <w:adjustRightInd/>
        <w:spacing w:after="160" w:line="278" w:lineRule="auto"/>
        <w:ind w:left="720"/>
        <w:rPr>
          <w:rFonts w:ascii="Times New Roman" w:hAnsi="Times New Roman"/>
        </w:rPr>
      </w:pPr>
      <w:r>
        <w:rPr>
          <w:rFonts w:ascii="Times New Roman" w:hAnsi="Times New Roman"/>
        </w:rPr>
        <w:t xml:space="preserve">The </w:t>
      </w:r>
      <w:r w:rsidRPr="005E6A5F">
        <w:rPr>
          <w:rFonts w:ascii="Times New Roman" w:hAnsi="Times New Roman"/>
        </w:rPr>
        <w:t>IRS estimates the total annual cost to respondents at $</w:t>
      </w:r>
      <w:r>
        <w:rPr>
          <w:rFonts w:ascii="Times New Roman" w:hAnsi="Times New Roman"/>
        </w:rPr>
        <w:t>32,570.33.</w:t>
      </w:r>
    </w:p>
    <w:p w:rsidR="006E5986" w:rsidRPr="00832A3B" w:rsidP="006E5986" w14:paraId="6226E758" w14:textId="285EB14C">
      <w:pPr>
        <w:widowControl/>
        <w:autoSpaceDE/>
        <w:autoSpaceDN/>
        <w:adjustRightInd/>
        <w:spacing w:after="160" w:line="278" w:lineRule="auto"/>
        <w:ind w:left="720"/>
        <w:rPr>
          <w:rFonts w:ascii="Times New Roman" w:hAnsi="Times New Roman"/>
        </w:rPr>
      </w:pPr>
      <w:r w:rsidRPr="005E6A5F">
        <w:rPr>
          <w:rFonts w:ascii="Times New Roman" w:hAnsi="Times New Roman"/>
        </w:rPr>
        <w:t>To arrive at this figure, 51%</w:t>
      </w:r>
      <w:r>
        <w:rPr>
          <w:rFonts w:ascii="Times New Roman" w:hAnsi="Times New Roman"/>
          <w:vertAlign w:val="superscript"/>
        </w:rPr>
        <w:footnoteReference w:id="2"/>
      </w:r>
      <w:r w:rsidRPr="005E6A5F">
        <w:rPr>
          <w:rFonts w:ascii="Times New Roman" w:hAnsi="Times New Roman"/>
        </w:rPr>
        <w:t xml:space="preserve"> of burden of </w:t>
      </w:r>
      <w:r>
        <w:rPr>
          <w:rFonts w:ascii="Times New Roman" w:hAnsi="Times New Roman"/>
        </w:rPr>
        <w:t>978</w:t>
      </w:r>
      <w:r w:rsidRPr="005E6A5F">
        <w:rPr>
          <w:rFonts w:ascii="Times New Roman" w:hAnsi="Times New Roman"/>
        </w:rPr>
        <w:t xml:space="preserve"> </w:t>
      </w:r>
      <w:r w:rsidRPr="005E6A5F">
        <w:rPr>
          <w:rFonts w:ascii="Times New Roman" w:hAnsi="Times New Roman"/>
        </w:rPr>
        <w:t>was multiplied</w:t>
      </w:r>
      <w:r w:rsidRPr="005E6A5F">
        <w:rPr>
          <w:rFonts w:ascii="Times New Roman" w:hAnsi="Times New Roman"/>
        </w:rPr>
        <w:t xml:space="preserve"> by $</w:t>
      </w:r>
      <w:r>
        <w:rPr>
          <w:rFonts w:ascii="Times New Roman" w:hAnsi="Times New Roman"/>
        </w:rPr>
        <w:t>65</w:t>
      </w:r>
      <w:r w:rsidRPr="005E6A5F">
        <w:rPr>
          <w:rFonts w:ascii="Times New Roman" w:hAnsi="Times New Roman"/>
        </w:rPr>
        <w:t>.</w:t>
      </w:r>
      <w:r>
        <w:rPr>
          <w:rFonts w:ascii="Times New Roman" w:hAnsi="Times New Roman"/>
        </w:rPr>
        <w:t>30</w:t>
      </w:r>
      <w:r w:rsidRPr="005E6A5F">
        <w:rPr>
          <w:rFonts w:ascii="Times New Roman" w:hAnsi="Times New Roman"/>
        </w:rPr>
        <w:t xml:space="preserve"> per hour. </w:t>
      </w:r>
      <w:r w:rsidR="000623C9">
        <w:rPr>
          <w:rFonts w:ascii="Times New Roman" w:hAnsi="Times New Roman"/>
        </w:rPr>
        <w:t xml:space="preserve">The </w:t>
      </w:r>
      <w:r w:rsidRPr="005E6A5F">
        <w:rPr>
          <w:rFonts w:ascii="Times New Roman" w:hAnsi="Times New Roman"/>
        </w:rPr>
        <w:t>IRS anticipates that 51% of taxpayers may use a</w:t>
      </w:r>
      <w:r>
        <w:rPr>
          <w:rFonts w:ascii="Times New Roman" w:hAnsi="Times New Roman"/>
        </w:rPr>
        <w:t xml:space="preserve">n accountant </w:t>
      </w:r>
      <w:r w:rsidRPr="005E6A5F">
        <w:rPr>
          <w:rFonts w:ascii="Times New Roman" w:hAnsi="Times New Roman"/>
        </w:rPr>
        <w:t xml:space="preserve">to </w:t>
      </w:r>
      <w:r>
        <w:rPr>
          <w:rFonts w:ascii="Times New Roman" w:hAnsi="Times New Roman"/>
        </w:rPr>
        <w:t xml:space="preserve">provide data needed for </w:t>
      </w:r>
      <w:r w:rsidRPr="00832A3B">
        <w:rPr>
          <w:rFonts w:ascii="Times New Roman" w:hAnsi="Times New Roman"/>
        </w:rPr>
        <w:t xml:space="preserve">information returns and other tax return information. </w:t>
      </w:r>
    </w:p>
    <w:p w:rsidR="006E5986" w:rsidRPr="005E6A5F" w:rsidP="006E5986" w14:paraId="09860F30" w14:textId="77777777">
      <w:pPr>
        <w:widowControl/>
        <w:autoSpaceDE/>
        <w:autoSpaceDN/>
        <w:adjustRightInd/>
        <w:spacing w:after="160" w:line="278" w:lineRule="auto"/>
        <w:ind w:left="720"/>
        <w:rPr>
          <w:rFonts w:ascii="Times New Roman" w:eastAsia="Aptos" w:hAnsi="Times New Roman"/>
          <w:kern w:val="2"/>
          <w14:ligatures w14:val="standardContextual"/>
        </w:rPr>
      </w:pPr>
      <w:r w:rsidRPr="005E6A5F">
        <w:rPr>
          <w:rFonts w:ascii="Times New Roman" w:hAnsi="Times New Roman"/>
        </w:rPr>
        <w:t>The above Hourly Wage Rate is the</w:t>
      </w:r>
      <w:r w:rsidRPr="005E6A5F">
        <w:rPr>
          <w:rFonts w:ascii="Times New Roman" w:eastAsia="Aptos" w:hAnsi="Times New Roman"/>
          <w:kern w:val="2"/>
          <w14:ligatures w14:val="standardContextual"/>
        </w:rPr>
        <w:t xml:space="preserve"> </w:t>
      </w:r>
      <w:hyperlink r:id="rId7" w:history="1">
        <w:r w:rsidRPr="005E6A5F">
          <w:rPr>
            <w:rFonts w:ascii="Times New Roman" w:eastAsia="Aptos" w:hAnsi="Times New Roman"/>
            <w:color w:val="467886"/>
            <w:kern w:val="2"/>
            <w:u w:val="single"/>
            <w14:ligatures w14:val="standardContextual"/>
          </w:rPr>
          <w:t>May 2024 Bureau of Labor Statistics</w:t>
        </w:r>
      </w:hyperlink>
      <w:r w:rsidRPr="005E6A5F">
        <w:rPr>
          <w:rFonts w:ascii="Times New Roman" w:eastAsia="Aptos" w:hAnsi="Times New Roman"/>
          <w:kern w:val="2"/>
          <w14:ligatures w14:val="standardContextual"/>
        </w:rPr>
        <w:t xml:space="preserve"> mean wage for “</w:t>
      </w:r>
      <w:r>
        <w:rPr>
          <w:rFonts w:ascii="Times New Roman" w:eastAsia="Aptos" w:hAnsi="Times New Roman"/>
          <w:kern w:val="2"/>
          <w14:ligatures w14:val="standardContextual"/>
        </w:rPr>
        <w:t>Accountant and Auditors</w:t>
      </w:r>
      <w:r w:rsidRPr="005E6A5F">
        <w:rPr>
          <w:rFonts w:ascii="Times New Roman" w:eastAsia="Aptos" w:hAnsi="Times New Roman"/>
          <w:kern w:val="2"/>
          <w14:ligatures w14:val="standardContextual"/>
        </w:rPr>
        <w:t>” (Major Group (13-20</w:t>
      </w:r>
      <w:r>
        <w:rPr>
          <w:rFonts w:ascii="Times New Roman" w:eastAsia="Aptos" w:hAnsi="Times New Roman"/>
          <w:kern w:val="2"/>
          <w14:ligatures w14:val="standardContextual"/>
        </w:rPr>
        <w:t>11</w:t>
      </w:r>
      <w:r w:rsidRPr="005E6A5F">
        <w:rPr>
          <w:rFonts w:ascii="Times New Roman" w:eastAsia="Aptos" w:hAnsi="Times New Roman"/>
          <w:kern w:val="2"/>
          <w14:ligatures w14:val="standardContextual"/>
        </w:rPr>
        <w:t>)” of $</w:t>
      </w:r>
      <w:r>
        <w:rPr>
          <w:rFonts w:ascii="Times New Roman" w:eastAsia="Aptos" w:hAnsi="Times New Roman"/>
          <w:kern w:val="2"/>
          <w14:ligatures w14:val="standardContextual"/>
        </w:rPr>
        <w:t>44.96</w:t>
      </w:r>
      <w:r w:rsidRPr="005E6A5F">
        <w:rPr>
          <w:rFonts w:ascii="Times New Roman" w:eastAsia="Aptos" w:hAnsi="Times New Roman"/>
          <w:kern w:val="2"/>
          <w14:ligatures w14:val="standardContextual"/>
        </w:rPr>
        <w:t xml:space="preserve"> times the wage rate </w:t>
      </w:r>
      <w:r w:rsidRPr="005E6A5F">
        <w:rPr>
          <w:rFonts w:ascii="Times New Roman" w:eastAsia="Aptos" w:hAnsi="Times New Roman"/>
          <w:kern w:val="2"/>
          <w14:ligatures w14:val="standardContextual"/>
        </w:rPr>
        <w:t>benefit multiplier of 1.4524 (to account for fringe benefits) equaling a fully-loaded wage rate of $</w:t>
      </w:r>
      <w:r>
        <w:rPr>
          <w:rFonts w:ascii="Times New Roman" w:eastAsia="Aptos" w:hAnsi="Times New Roman"/>
          <w:kern w:val="2"/>
          <w14:ligatures w14:val="standardContextual"/>
        </w:rPr>
        <w:t>65.30</w:t>
      </w:r>
      <w:r w:rsidRPr="005E6A5F">
        <w:rPr>
          <w:rFonts w:ascii="Times New Roman" w:eastAsia="Aptos" w:hAnsi="Times New Roman"/>
          <w:kern w:val="2"/>
          <w14:ligatures w14:val="standardContextual"/>
        </w:rPr>
        <w:t>.</w:t>
      </w:r>
    </w:p>
    <w:p w:rsidR="00977403" w:rsidRPr="009F0CB5" w:rsidP="006E5986" w14:paraId="6BF083B6" w14:textId="77014D58">
      <w:pPr>
        <w:ind w:left="720"/>
        <w:rPr>
          <w:rFonts w:ascii="Times New Roman" w:hAnsi="Times New Roman"/>
        </w:rPr>
      </w:pPr>
      <w:r w:rsidRPr="005E6A5F">
        <w:rPr>
          <w:rFonts w:ascii="Times New Roman" w:eastAsia="Aptos" w:hAnsi="Times New Roman"/>
          <w:kern w:val="2"/>
          <w14:ligatures w14:val="standardContextual"/>
        </w:rPr>
        <w:t xml:space="preserve">The benefits multiplier is estimated by dividing total compensation of $46.84 by salaries and wages of $32.25, based on Employer Cost for Employee Compensation, September 2024 data, released </w:t>
      </w:r>
      <w:hyperlink r:id="rId8" w:history="1">
        <w:r w:rsidRPr="005E6A5F">
          <w:rPr>
            <w:rFonts w:ascii="Times New Roman" w:eastAsia="Aptos" w:hAnsi="Times New Roman"/>
            <w:color w:val="467886"/>
            <w:kern w:val="2"/>
            <w:u w:val="single"/>
            <w14:ligatures w14:val="standardContextual"/>
          </w:rPr>
          <w:t>December 17, 2024</w:t>
        </w:r>
      </w:hyperlink>
      <w:r w:rsidRPr="005E6A5F">
        <w:rPr>
          <w:rFonts w:ascii="Times New Roman" w:eastAsia="Aptos" w:hAnsi="Times New Roman"/>
          <w:kern w:val="2"/>
          <w14:ligatures w14:val="standardContextual"/>
        </w:rPr>
        <w:t>.</w:t>
      </w:r>
    </w:p>
    <w:p w:rsidR="000B6330" w:rsidRPr="009F0CB5" w:rsidP="00D352A8" w14:paraId="236150E3" w14:textId="77777777">
      <w:pPr>
        <w:ind w:left="720"/>
        <w:rPr>
          <w:rFonts w:ascii="Times New Roman" w:hAnsi="Times New Roman"/>
        </w:rPr>
        <w:sectPr>
          <w:type w:val="continuous"/>
          <w:pgSz w:w="12240" w:h="15840"/>
          <w:pgMar w:top="1440" w:right="1440" w:bottom="1440" w:left="1440" w:header="1440" w:footer="1440" w:gutter="0"/>
          <w:cols w:space="720"/>
          <w:noEndnote/>
        </w:sectPr>
      </w:pPr>
    </w:p>
    <w:p w:rsidR="000B6330" w:rsidRPr="009F0CB5" w:rsidP="00D352A8" w14:paraId="185EB3AA" w14:textId="77777777">
      <w:pPr>
        <w:ind w:left="720"/>
        <w:rPr>
          <w:rFonts w:ascii="Times New Roman" w:hAnsi="Times New Roman"/>
        </w:rPr>
      </w:pPr>
    </w:p>
    <w:p w:rsidR="000B6330" w:rsidRPr="009F0CB5" w14:paraId="041F3523" w14:textId="77777777">
      <w:pPr>
        <w:tabs>
          <w:tab w:val="left" w:pos="-1440"/>
        </w:tabs>
        <w:ind w:left="720" w:hanging="720"/>
        <w:rPr>
          <w:rFonts w:ascii="Times New Roman" w:hAnsi="Times New Roman"/>
        </w:rPr>
      </w:pPr>
      <w:r w:rsidRPr="009F0CB5">
        <w:rPr>
          <w:rFonts w:ascii="Times New Roman" w:hAnsi="Times New Roman"/>
        </w:rPr>
        <w:t>14.</w:t>
      </w:r>
      <w:r w:rsidRPr="009F0CB5">
        <w:rPr>
          <w:rFonts w:ascii="Times New Roman" w:hAnsi="Times New Roman"/>
        </w:rPr>
        <w:tab/>
      </w:r>
      <w:r w:rsidRPr="009F0CB5">
        <w:rPr>
          <w:rFonts w:ascii="Times New Roman" w:hAnsi="Times New Roman"/>
          <w:u w:val="single"/>
        </w:rPr>
        <w:t>ESTIMATED ANNUALIZED COST TO THE FEDERAL GOVERNMENT</w:t>
      </w:r>
    </w:p>
    <w:p w:rsidR="000B6330" w:rsidRPr="009F0CB5" w:rsidP="00977403" w14:paraId="3C4631EB" w14:textId="77777777">
      <w:pPr>
        <w:ind w:left="720"/>
        <w:rPr>
          <w:rFonts w:ascii="Times New Roman" w:hAnsi="Times New Roman"/>
        </w:rPr>
      </w:pPr>
    </w:p>
    <w:p w:rsidR="00D75C48" w:rsidP="00977403" w14:paraId="5CDC6563" w14:textId="0DE1F9FE">
      <w:pPr>
        <w:ind w:left="720"/>
        <w:rPr>
          <w:rFonts w:ascii="Times New Roman" w:hAnsi="Times New Roman"/>
        </w:rPr>
      </w:pPr>
      <w:r w:rsidRPr="000139F9">
        <w:rPr>
          <w:rFonts w:ascii="Times New Roman" w:hAnsi="Times New Roman"/>
        </w:rPr>
        <w:t>There are no annualized costs to the Federal government. These are third-party disclosure requirements.</w:t>
      </w:r>
    </w:p>
    <w:p w:rsidR="00D75C48" w:rsidP="00977403" w14:paraId="0B3DCB99" w14:textId="77777777">
      <w:pPr>
        <w:ind w:left="720"/>
        <w:rPr>
          <w:rFonts w:ascii="Times New Roman" w:hAnsi="Times New Roman"/>
        </w:rPr>
      </w:pPr>
    </w:p>
    <w:p w:rsidR="000B6330" w:rsidRPr="009F0CB5" w14:paraId="20DC301D" w14:textId="181E80AE">
      <w:pPr>
        <w:tabs>
          <w:tab w:val="left" w:pos="-1440"/>
        </w:tabs>
        <w:ind w:left="720" w:hanging="720"/>
        <w:rPr>
          <w:rFonts w:ascii="Times New Roman" w:hAnsi="Times New Roman"/>
        </w:rPr>
      </w:pPr>
      <w:r w:rsidRPr="009F0CB5">
        <w:rPr>
          <w:rFonts w:ascii="Times New Roman" w:hAnsi="Times New Roman"/>
        </w:rPr>
        <w:t>15.</w:t>
      </w:r>
      <w:r w:rsidRPr="009F0CB5">
        <w:rPr>
          <w:rFonts w:ascii="Times New Roman" w:hAnsi="Times New Roman"/>
        </w:rPr>
        <w:tab/>
      </w:r>
      <w:r w:rsidRPr="009F0CB5">
        <w:rPr>
          <w:rFonts w:ascii="Times New Roman" w:hAnsi="Times New Roman"/>
          <w:u w:val="single"/>
        </w:rPr>
        <w:t>REASONS FOR CHANGE IN BURDEN</w:t>
      </w:r>
    </w:p>
    <w:p w:rsidR="000B6330" w:rsidRPr="009F0CB5" w14:paraId="3A2E836E" w14:textId="77777777">
      <w:pPr>
        <w:rPr>
          <w:rFonts w:ascii="Times New Roman" w:hAnsi="Times New Roman"/>
        </w:rPr>
      </w:pPr>
    </w:p>
    <w:p w:rsidR="001B65E1" w:rsidP="00962AEC" w14:paraId="7EE016CF" w14:textId="608B7836">
      <w:pPr>
        <w:ind w:left="720"/>
        <w:rPr>
          <w:rFonts w:ascii="Times New Roman" w:hAnsi="Times New Roman"/>
        </w:rPr>
      </w:pPr>
      <w:r w:rsidRPr="009F0CB5">
        <w:rPr>
          <w:rFonts w:ascii="Times New Roman" w:hAnsi="Times New Roman"/>
        </w:rPr>
        <w:t>There is no change in the paperwork burden previously approved by OMB</w:t>
      </w:r>
      <w:r w:rsidRPr="009F0CB5" w:rsidR="000B6330">
        <w:rPr>
          <w:rFonts w:ascii="Times New Roman" w:hAnsi="Times New Roman"/>
        </w:rPr>
        <w:t>.</w:t>
      </w:r>
      <w:r w:rsidRPr="009F0CB5" w:rsidR="00484576">
        <w:rPr>
          <w:rFonts w:ascii="Times New Roman" w:hAnsi="Times New Roman"/>
        </w:rPr>
        <w:t xml:space="preserve"> </w:t>
      </w:r>
      <w:r w:rsidRPr="009F0CB5">
        <w:rPr>
          <w:rFonts w:ascii="Times New Roman" w:hAnsi="Times New Roman"/>
        </w:rPr>
        <w:t>We are making this submission to renew the OMB approval.</w:t>
      </w:r>
    </w:p>
    <w:p w:rsidR="001B65E1" w:rsidP="00962AEC" w14:paraId="418584FB" w14:textId="77777777">
      <w:pPr>
        <w:ind w:left="720"/>
        <w:rPr>
          <w:rFonts w:ascii="Times New Roman" w:hAnsi="Times New Roman"/>
        </w:rPr>
      </w:pPr>
    </w:p>
    <w:tbl>
      <w:tblPr>
        <w:tblW w:w="4506" w:type="pct"/>
        <w:tblInd w:w="80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350"/>
        <w:gridCol w:w="1078"/>
        <w:gridCol w:w="1061"/>
        <w:gridCol w:w="1213"/>
        <w:gridCol w:w="1415"/>
        <w:gridCol w:w="1171"/>
        <w:gridCol w:w="1133"/>
      </w:tblGrid>
      <w:tr w14:paraId="4726BF5A" w14:textId="77777777" w:rsidTr="00D352A8">
        <w:tblPrEx>
          <w:tblW w:w="4506" w:type="pct"/>
          <w:tblInd w:w="80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rPr>
          <w:trHeight w:val="1041"/>
        </w:trPr>
        <w:tc>
          <w:tcPr>
            <w:tcW w:w="802" w:type="pct"/>
            <w:tcBorders>
              <w:top w:val="outset" w:sz="6" w:space="0" w:color="auto"/>
              <w:left w:val="outset" w:sz="6" w:space="0" w:color="auto"/>
              <w:bottom w:val="outset" w:sz="6" w:space="0" w:color="auto"/>
              <w:right w:val="outset" w:sz="6" w:space="0" w:color="auto"/>
            </w:tcBorders>
            <w:vAlign w:val="center"/>
            <w:hideMark/>
          </w:tcPr>
          <w:p w:rsidR="001B65E1" w:rsidRPr="001B65E1" w:rsidP="00E1205F" w14:paraId="768C29C6"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 </w:t>
            </w:r>
          </w:p>
        </w:tc>
        <w:tc>
          <w:tcPr>
            <w:tcW w:w="640" w:type="pct"/>
            <w:tcBorders>
              <w:top w:val="outset" w:sz="6" w:space="0" w:color="auto"/>
              <w:left w:val="outset" w:sz="6" w:space="0" w:color="auto"/>
              <w:bottom w:val="outset" w:sz="6" w:space="0" w:color="auto"/>
              <w:right w:val="outset" w:sz="6" w:space="0" w:color="auto"/>
            </w:tcBorders>
            <w:vAlign w:val="center"/>
            <w:hideMark/>
          </w:tcPr>
          <w:p w:rsidR="001B65E1" w:rsidRPr="001B65E1" w:rsidP="00E1205F" w14:paraId="7A2B9147"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Requested</w:t>
            </w:r>
          </w:p>
        </w:tc>
        <w:tc>
          <w:tcPr>
            <w:tcW w:w="630" w:type="pct"/>
            <w:tcBorders>
              <w:top w:val="outset" w:sz="6" w:space="0" w:color="auto"/>
              <w:left w:val="outset" w:sz="6" w:space="0" w:color="auto"/>
              <w:bottom w:val="outset" w:sz="6" w:space="0" w:color="auto"/>
              <w:right w:val="outset" w:sz="6" w:space="0" w:color="auto"/>
            </w:tcBorders>
            <w:vAlign w:val="center"/>
            <w:hideMark/>
          </w:tcPr>
          <w:p w:rsidR="001B65E1" w:rsidRPr="001B65E1" w:rsidP="00E1205F" w14:paraId="747156D6"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Program Change Due to New Statute</w:t>
            </w:r>
          </w:p>
        </w:tc>
        <w:tc>
          <w:tcPr>
            <w:tcW w:w="720" w:type="pct"/>
            <w:tcBorders>
              <w:top w:val="outset" w:sz="6" w:space="0" w:color="auto"/>
              <w:left w:val="outset" w:sz="6" w:space="0" w:color="auto"/>
              <w:bottom w:val="outset" w:sz="6" w:space="0" w:color="auto"/>
              <w:right w:val="outset" w:sz="6" w:space="0" w:color="auto"/>
            </w:tcBorders>
            <w:vAlign w:val="center"/>
            <w:hideMark/>
          </w:tcPr>
          <w:p w:rsidR="001B65E1" w:rsidRPr="001B65E1" w:rsidP="00E1205F" w14:paraId="3B1D4E4C"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Program Change Due to Agency Discretion</w:t>
            </w:r>
          </w:p>
        </w:tc>
        <w:tc>
          <w:tcPr>
            <w:tcW w:w="840" w:type="pct"/>
            <w:tcBorders>
              <w:top w:val="outset" w:sz="6" w:space="0" w:color="auto"/>
              <w:left w:val="outset" w:sz="6" w:space="0" w:color="auto"/>
              <w:bottom w:val="outset" w:sz="6" w:space="0" w:color="auto"/>
              <w:right w:val="outset" w:sz="6" w:space="0" w:color="auto"/>
            </w:tcBorders>
            <w:vAlign w:val="center"/>
            <w:hideMark/>
          </w:tcPr>
          <w:p w:rsidR="001B65E1" w:rsidRPr="001B65E1" w:rsidP="00E1205F" w14:paraId="6E518B81"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Change Due to Adjustment in Agency Estimate</w:t>
            </w:r>
          </w:p>
        </w:tc>
        <w:tc>
          <w:tcPr>
            <w:tcW w:w="695" w:type="pct"/>
            <w:tcBorders>
              <w:top w:val="outset" w:sz="6" w:space="0" w:color="auto"/>
              <w:left w:val="outset" w:sz="6" w:space="0" w:color="auto"/>
              <w:bottom w:val="outset" w:sz="6" w:space="0" w:color="auto"/>
              <w:right w:val="outset" w:sz="6" w:space="0" w:color="auto"/>
            </w:tcBorders>
            <w:vAlign w:val="center"/>
            <w:hideMark/>
          </w:tcPr>
          <w:p w:rsidR="001B65E1" w:rsidRPr="001B65E1" w:rsidP="00E1205F" w14:paraId="4961C228"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Change Due to Potential Violation of the PRA</w:t>
            </w:r>
          </w:p>
        </w:tc>
        <w:tc>
          <w:tcPr>
            <w:tcW w:w="673" w:type="pct"/>
            <w:tcBorders>
              <w:top w:val="outset" w:sz="6" w:space="0" w:color="auto"/>
              <w:left w:val="outset" w:sz="6" w:space="0" w:color="auto"/>
              <w:bottom w:val="outset" w:sz="6" w:space="0" w:color="auto"/>
              <w:right w:val="outset" w:sz="6" w:space="0" w:color="auto"/>
            </w:tcBorders>
            <w:vAlign w:val="center"/>
            <w:hideMark/>
          </w:tcPr>
          <w:p w:rsidR="001B65E1" w:rsidRPr="001B65E1" w:rsidP="00E1205F" w14:paraId="466260C2" w14:textId="77777777">
            <w:pPr>
              <w:jc w:val="center"/>
              <w:rPr>
                <w:rFonts w:ascii="Times New Roman" w:hAnsi="Times New Roman"/>
                <w:b/>
                <w:bCs/>
                <w:color w:val="000000"/>
                <w:sz w:val="20"/>
                <w:szCs w:val="20"/>
              </w:rPr>
            </w:pPr>
            <w:r w:rsidRPr="001B65E1">
              <w:rPr>
                <w:rFonts w:ascii="Times New Roman" w:hAnsi="Times New Roman"/>
                <w:b/>
                <w:bCs/>
                <w:color w:val="000000"/>
                <w:sz w:val="20"/>
                <w:szCs w:val="20"/>
              </w:rPr>
              <w:t>Previously Approved</w:t>
            </w:r>
          </w:p>
        </w:tc>
      </w:tr>
      <w:tr w14:paraId="08A84CC7" w14:textId="77777777" w:rsidTr="00D352A8">
        <w:tblPrEx>
          <w:tblW w:w="4506" w:type="pct"/>
          <w:tblInd w:w="802" w:type="dxa"/>
          <w:tblCellMar>
            <w:top w:w="15" w:type="dxa"/>
            <w:left w:w="15" w:type="dxa"/>
            <w:bottom w:w="15" w:type="dxa"/>
            <w:right w:w="15" w:type="dxa"/>
          </w:tblCellMar>
          <w:tblLook w:val="04A0"/>
        </w:tblPrEx>
        <w:trPr>
          <w:trHeight w:val="630"/>
        </w:trPr>
        <w:tc>
          <w:tcPr>
            <w:tcW w:w="802" w:type="pct"/>
            <w:tcBorders>
              <w:top w:val="outset" w:sz="6" w:space="0" w:color="auto"/>
              <w:left w:val="outset" w:sz="6" w:space="0" w:color="auto"/>
              <w:bottom w:val="outset" w:sz="6" w:space="0" w:color="auto"/>
              <w:right w:val="outset" w:sz="6" w:space="0" w:color="auto"/>
            </w:tcBorders>
            <w:hideMark/>
          </w:tcPr>
          <w:p w:rsidR="001B65E1" w:rsidRPr="00A05FF9" w:rsidP="00A05FF9" w14:paraId="3487C779" w14:textId="77777777">
            <w:pPr>
              <w:rPr>
                <w:rFonts w:ascii="Times New Roman" w:hAnsi="Times New Roman"/>
                <w:color w:val="000000"/>
                <w:sz w:val="20"/>
                <w:szCs w:val="20"/>
              </w:rPr>
            </w:pPr>
            <w:r w:rsidRPr="00A05FF9">
              <w:rPr>
                <w:rFonts w:ascii="Times New Roman" w:hAnsi="Times New Roman"/>
                <w:color w:val="000000"/>
                <w:sz w:val="20"/>
                <w:szCs w:val="20"/>
              </w:rPr>
              <w:t>Annual Number of Responses</w:t>
            </w:r>
          </w:p>
        </w:tc>
        <w:tc>
          <w:tcPr>
            <w:tcW w:w="640" w:type="pct"/>
            <w:tcBorders>
              <w:top w:val="outset" w:sz="6" w:space="0" w:color="auto"/>
              <w:left w:val="outset" w:sz="6" w:space="0" w:color="auto"/>
              <w:bottom w:val="outset" w:sz="6" w:space="0" w:color="auto"/>
              <w:right w:val="outset" w:sz="6" w:space="0" w:color="auto"/>
            </w:tcBorders>
          </w:tcPr>
          <w:p w:rsidR="001B65E1" w:rsidRPr="00A05FF9" w:rsidP="00D352A8" w14:paraId="57FC3663" w14:textId="04870461">
            <w:pPr>
              <w:jc w:val="center"/>
              <w:rPr>
                <w:rFonts w:ascii="Times New Roman" w:hAnsi="Times New Roman"/>
                <w:color w:val="000000"/>
                <w:sz w:val="20"/>
                <w:szCs w:val="20"/>
              </w:rPr>
            </w:pPr>
            <w:r w:rsidRPr="00A05FF9">
              <w:rPr>
                <w:rFonts w:ascii="Times New Roman" w:hAnsi="Times New Roman"/>
                <w:color w:val="000000"/>
                <w:sz w:val="20"/>
                <w:szCs w:val="20"/>
              </w:rPr>
              <w:t>9,725</w:t>
            </w:r>
          </w:p>
        </w:tc>
        <w:tc>
          <w:tcPr>
            <w:tcW w:w="630" w:type="pct"/>
            <w:tcBorders>
              <w:top w:val="outset" w:sz="6" w:space="0" w:color="auto"/>
              <w:left w:val="outset" w:sz="6" w:space="0" w:color="auto"/>
              <w:bottom w:val="outset" w:sz="6" w:space="0" w:color="auto"/>
              <w:right w:val="outset" w:sz="6" w:space="0" w:color="auto"/>
            </w:tcBorders>
            <w:hideMark/>
          </w:tcPr>
          <w:p w:rsidR="001B65E1" w:rsidRPr="00A05FF9" w:rsidP="00D352A8" w14:paraId="01BF4E1C" w14:textId="77777777">
            <w:pPr>
              <w:jc w:val="center"/>
              <w:rPr>
                <w:rFonts w:ascii="Times New Roman" w:hAnsi="Times New Roman"/>
                <w:color w:val="000000"/>
                <w:sz w:val="20"/>
                <w:szCs w:val="20"/>
              </w:rPr>
            </w:pPr>
            <w:r w:rsidRPr="00A05FF9">
              <w:rPr>
                <w:rFonts w:ascii="Times New Roman" w:hAnsi="Times New Roman"/>
                <w:color w:val="000000"/>
                <w:sz w:val="20"/>
                <w:szCs w:val="20"/>
              </w:rPr>
              <w:t>  0</w:t>
            </w:r>
          </w:p>
        </w:tc>
        <w:tc>
          <w:tcPr>
            <w:tcW w:w="720" w:type="pct"/>
            <w:tcBorders>
              <w:top w:val="outset" w:sz="6" w:space="0" w:color="auto"/>
              <w:left w:val="outset" w:sz="6" w:space="0" w:color="auto"/>
              <w:bottom w:val="outset" w:sz="6" w:space="0" w:color="auto"/>
              <w:right w:val="outset" w:sz="6" w:space="0" w:color="auto"/>
            </w:tcBorders>
            <w:hideMark/>
          </w:tcPr>
          <w:p w:rsidR="001B65E1" w:rsidRPr="00A05FF9" w:rsidP="00D352A8" w14:paraId="232428FE" w14:textId="77777777">
            <w:pPr>
              <w:jc w:val="center"/>
              <w:rPr>
                <w:rFonts w:ascii="Times New Roman" w:hAnsi="Times New Roman"/>
                <w:color w:val="000000"/>
                <w:sz w:val="20"/>
                <w:szCs w:val="20"/>
              </w:rPr>
            </w:pPr>
            <w:r w:rsidRPr="00A05FF9">
              <w:rPr>
                <w:rFonts w:ascii="Times New Roman" w:hAnsi="Times New Roman"/>
                <w:color w:val="000000"/>
                <w:sz w:val="20"/>
                <w:szCs w:val="20"/>
              </w:rPr>
              <w:t>  0</w:t>
            </w:r>
          </w:p>
        </w:tc>
        <w:tc>
          <w:tcPr>
            <w:tcW w:w="840" w:type="pct"/>
            <w:tcBorders>
              <w:top w:val="outset" w:sz="6" w:space="0" w:color="auto"/>
              <w:left w:val="outset" w:sz="6" w:space="0" w:color="auto"/>
              <w:bottom w:val="outset" w:sz="6" w:space="0" w:color="auto"/>
              <w:right w:val="outset" w:sz="6" w:space="0" w:color="auto"/>
            </w:tcBorders>
          </w:tcPr>
          <w:p w:rsidR="001B65E1" w:rsidRPr="00A05FF9" w:rsidP="00D352A8" w14:paraId="3D45612E" w14:textId="77777777">
            <w:pPr>
              <w:jc w:val="center"/>
              <w:rPr>
                <w:rFonts w:ascii="Times New Roman" w:hAnsi="Times New Roman"/>
                <w:color w:val="000000"/>
                <w:sz w:val="20"/>
                <w:szCs w:val="20"/>
              </w:rPr>
            </w:pPr>
            <w:r w:rsidRPr="00A05FF9">
              <w:rPr>
                <w:rFonts w:ascii="Times New Roman" w:hAnsi="Times New Roman"/>
                <w:color w:val="000000"/>
                <w:sz w:val="20"/>
                <w:szCs w:val="20"/>
              </w:rPr>
              <w:t>0</w:t>
            </w:r>
          </w:p>
        </w:tc>
        <w:tc>
          <w:tcPr>
            <w:tcW w:w="695" w:type="pct"/>
            <w:tcBorders>
              <w:top w:val="outset" w:sz="6" w:space="0" w:color="auto"/>
              <w:left w:val="outset" w:sz="6" w:space="0" w:color="auto"/>
              <w:bottom w:val="outset" w:sz="6" w:space="0" w:color="auto"/>
              <w:right w:val="outset" w:sz="6" w:space="0" w:color="auto"/>
            </w:tcBorders>
            <w:hideMark/>
          </w:tcPr>
          <w:p w:rsidR="001B65E1" w:rsidRPr="00A05FF9" w:rsidP="00D352A8" w14:paraId="29AE0870" w14:textId="77777777">
            <w:pPr>
              <w:jc w:val="center"/>
              <w:rPr>
                <w:rFonts w:ascii="Times New Roman" w:hAnsi="Times New Roman"/>
                <w:color w:val="000000"/>
                <w:sz w:val="20"/>
                <w:szCs w:val="20"/>
              </w:rPr>
            </w:pPr>
            <w:r w:rsidRPr="00A05FF9">
              <w:rPr>
                <w:rFonts w:ascii="Times New Roman" w:hAnsi="Times New Roman"/>
                <w:color w:val="000000"/>
                <w:sz w:val="20"/>
                <w:szCs w:val="20"/>
              </w:rPr>
              <w:t>  0</w:t>
            </w:r>
          </w:p>
        </w:tc>
        <w:tc>
          <w:tcPr>
            <w:tcW w:w="673" w:type="pct"/>
            <w:tcBorders>
              <w:top w:val="outset" w:sz="6" w:space="0" w:color="auto"/>
              <w:left w:val="outset" w:sz="6" w:space="0" w:color="auto"/>
              <w:bottom w:val="outset" w:sz="6" w:space="0" w:color="auto"/>
              <w:right w:val="outset" w:sz="6" w:space="0" w:color="auto"/>
            </w:tcBorders>
          </w:tcPr>
          <w:p w:rsidR="001B65E1" w:rsidRPr="00A05FF9" w:rsidP="00D352A8" w14:paraId="14868BA7" w14:textId="7BAFB8C2">
            <w:pPr>
              <w:jc w:val="center"/>
              <w:rPr>
                <w:rFonts w:ascii="Times New Roman" w:hAnsi="Times New Roman"/>
                <w:color w:val="000000"/>
                <w:sz w:val="20"/>
                <w:szCs w:val="20"/>
              </w:rPr>
            </w:pPr>
            <w:r w:rsidRPr="00A05FF9">
              <w:rPr>
                <w:rFonts w:ascii="Times New Roman" w:hAnsi="Times New Roman"/>
                <w:color w:val="000000"/>
                <w:sz w:val="20"/>
                <w:szCs w:val="20"/>
              </w:rPr>
              <w:t>9,725</w:t>
            </w:r>
          </w:p>
        </w:tc>
      </w:tr>
      <w:tr w14:paraId="17FE1BBA" w14:textId="77777777" w:rsidTr="00D352A8">
        <w:tblPrEx>
          <w:tblW w:w="4506" w:type="pct"/>
          <w:tblInd w:w="802" w:type="dxa"/>
          <w:tblCellMar>
            <w:top w:w="15" w:type="dxa"/>
            <w:left w:w="15" w:type="dxa"/>
            <w:bottom w:w="15" w:type="dxa"/>
            <w:right w:w="15" w:type="dxa"/>
          </w:tblCellMar>
          <w:tblLook w:val="04A0"/>
        </w:tblPrEx>
        <w:trPr>
          <w:trHeight w:val="417"/>
        </w:trPr>
        <w:tc>
          <w:tcPr>
            <w:tcW w:w="802" w:type="pct"/>
            <w:tcBorders>
              <w:top w:val="outset" w:sz="6" w:space="0" w:color="auto"/>
              <w:left w:val="outset" w:sz="6" w:space="0" w:color="auto"/>
              <w:bottom w:val="outset" w:sz="6" w:space="0" w:color="auto"/>
              <w:right w:val="outset" w:sz="6" w:space="0" w:color="auto"/>
            </w:tcBorders>
            <w:hideMark/>
          </w:tcPr>
          <w:p w:rsidR="001B65E1" w:rsidRPr="00A05FF9" w:rsidP="00A05FF9" w14:paraId="3B96303B" w14:textId="10D1210D">
            <w:pPr>
              <w:rPr>
                <w:rFonts w:ascii="Times New Roman" w:hAnsi="Times New Roman"/>
                <w:color w:val="000000"/>
                <w:sz w:val="20"/>
                <w:szCs w:val="20"/>
              </w:rPr>
            </w:pPr>
            <w:r w:rsidRPr="00A05FF9">
              <w:rPr>
                <w:rFonts w:ascii="Times New Roman" w:hAnsi="Times New Roman"/>
                <w:color w:val="000000"/>
                <w:sz w:val="20"/>
                <w:szCs w:val="20"/>
              </w:rPr>
              <w:t>Annual Time Burden (Hr</w:t>
            </w:r>
            <w:r w:rsidRPr="00A05FF9" w:rsidR="008A0342">
              <w:rPr>
                <w:rFonts w:ascii="Times New Roman" w:hAnsi="Times New Roman"/>
                <w:color w:val="000000"/>
                <w:sz w:val="20"/>
                <w:szCs w:val="20"/>
              </w:rPr>
              <w:t>.</w:t>
            </w:r>
            <w:r w:rsidRPr="00A05FF9">
              <w:rPr>
                <w:rFonts w:ascii="Times New Roman" w:hAnsi="Times New Roman"/>
                <w:color w:val="000000"/>
                <w:sz w:val="20"/>
                <w:szCs w:val="20"/>
              </w:rPr>
              <w:t>)</w:t>
            </w:r>
          </w:p>
        </w:tc>
        <w:tc>
          <w:tcPr>
            <w:tcW w:w="640" w:type="pct"/>
            <w:tcBorders>
              <w:top w:val="outset" w:sz="6" w:space="0" w:color="auto"/>
              <w:left w:val="outset" w:sz="6" w:space="0" w:color="auto"/>
              <w:bottom w:val="outset" w:sz="6" w:space="0" w:color="auto"/>
              <w:right w:val="outset" w:sz="6" w:space="0" w:color="auto"/>
            </w:tcBorders>
          </w:tcPr>
          <w:p w:rsidR="001B65E1" w:rsidRPr="00A05FF9" w:rsidP="00D352A8" w14:paraId="0BC51B48" w14:textId="58BF22BE">
            <w:pPr>
              <w:jc w:val="center"/>
              <w:rPr>
                <w:rFonts w:ascii="Times New Roman" w:hAnsi="Times New Roman"/>
                <w:color w:val="000000"/>
                <w:sz w:val="20"/>
                <w:szCs w:val="20"/>
              </w:rPr>
            </w:pPr>
            <w:r w:rsidRPr="00A05FF9">
              <w:rPr>
                <w:rFonts w:ascii="Times New Roman" w:hAnsi="Times New Roman"/>
                <w:color w:val="000000"/>
                <w:sz w:val="20"/>
                <w:szCs w:val="20"/>
              </w:rPr>
              <w:t>978</w:t>
            </w:r>
          </w:p>
        </w:tc>
        <w:tc>
          <w:tcPr>
            <w:tcW w:w="630" w:type="pct"/>
            <w:tcBorders>
              <w:top w:val="outset" w:sz="6" w:space="0" w:color="auto"/>
              <w:left w:val="outset" w:sz="6" w:space="0" w:color="auto"/>
              <w:bottom w:val="outset" w:sz="6" w:space="0" w:color="auto"/>
              <w:right w:val="outset" w:sz="6" w:space="0" w:color="auto"/>
            </w:tcBorders>
            <w:hideMark/>
          </w:tcPr>
          <w:p w:rsidR="001B65E1" w:rsidRPr="00A05FF9" w:rsidP="00D352A8" w14:paraId="23B45673" w14:textId="77777777">
            <w:pPr>
              <w:jc w:val="center"/>
              <w:rPr>
                <w:rFonts w:ascii="Times New Roman" w:hAnsi="Times New Roman"/>
                <w:color w:val="000000"/>
                <w:sz w:val="20"/>
                <w:szCs w:val="20"/>
              </w:rPr>
            </w:pPr>
            <w:r w:rsidRPr="00A05FF9">
              <w:rPr>
                <w:rFonts w:ascii="Times New Roman" w:hAnsi="Times New Roman"/>
                <w:color w:val="000000"/>
                <w:sz w:val="20"/>
                <w:szCs w:val="20"/>
              </w:rPr>
              <w:t>  0</w:t>
            </w:r>
          </w:p>
        </w:tc>
        <w:tc>
          <w:tcPr>
            <w:tcW w:w="720" w:type="pct"/>
            <w:tcBorders>
              <w:top w:val="outset" w:sz="6" w:space="0" w:color="auto"/>
              <w:left w:val="outset" w:sz="6" w:space="0" w:color="auto"/>
              <w:bottom w:val="outset" w:sz="6" w:space="0" w:color="auto"/>
              <w:right w:val="outset" w:sz="6" w:space="0" w:color="auto"/>
            </w:tcBorders>
            <w:hideMark/>
          </w:tcPr>
          <w:p w:rsidR="001B65E1" w:rsidRPr="00A05FF9" w:rsidP="00D352A8" w14:paraId="58654395" w14:textId="77777777">
            <w:pPr>
              <w:jc w:val="center"/>
              <w:rPr>
                <w:rFonts w:ascii="Times New Roman" w:hAnsi="Times New Roman"/>
                <w:color w:val="000000"/>
                <w:sz w:val="20"/>
                <w:szCs w:val="20"/>
              </w:rPr>
            </w:pPr>
            <w:r w:rsidRPr="00A05FF9">
              <w:rPr>
                <w:rFonts w:ascii="Times New Roman" w:hAnsi="Times New Roman"/>
                <w:color w:val="000000"/>
                <w:sz w:val="20"/>
                <w:szCs w:val="20"/>
              </w:rPr>
              <w:t>  0</w:t>
            </w:r>
          </w:p>
        </w:tc>
        <w:tc>
          <w:tcPr>
            <w:tcW w:w="840" w:type="pct"/>
            <w:tcBorders>
              <w:top w:val="outset" w:sz="6" w:space="0" w:color="auto"/>
              <w:left w:val="outset" w:sz="6" w:space="0" w:color="auto"/>
              <w:bottom w:val="outset" w:sz="6" w:space="0" w:color="auto"/>
              <w:right w:val="outset" w:sz="6" w:space="0" w:color="auto"/>
            </w:tcBorders>
          </w:tcPr>
          <w:p w:rsidR="001B65E1" w:rsidRPr="00A05FF9" w:rsidP="00D352A8" w14:paraId="3FDE81BF" w14:textId="77777777">
            <w:pPr>
              <w:jc w:val="center"/>
              <w:rPr>
                <w:rFonts w:ascii="Times New Roman" w:hAnsi="Times New Roman"/>
                <w:color w:val="000000"/>
                <w:sz w:val="20"/>
                <w:szCs w:val="20"/>
              </w:rPr>
            </w:pPr>
            <w:r w:rsidRPr="00A05FF9">
              <w:rPr>
                <w:rFonts w:ascii="Times New Roman" w:hAnsi="Times New Roman"/>
                <w:color w:val="000000"/>
                <w:sz w:val="20"/>
                <w:szCs w:val="20"/>
              </w:rPr>
              <w:t>0</w:t>
            </w:r>
          </w:p>
        </w:tc>
        <w:tc>
          <w:tcPr>
            <w:tcW w:w="695" w:type="pct"/>
            <w:tcBorders>
              <w:top w:val="outset" w:sz="6" w:space="0" w:color="auto"/>
              <w:left w:val="outset" w:sz="6" w:space="0" w:color="auto"/>
              <w:bottom w:val="outset" w:sz="6" w:space="0" w:color="auto"/>
              <w:right w:val="outset" w:sz="6" w:space="0" w:color="auto"/>
            </w:tcBorders>
            <w:hideMark/>
          </w:tcPr>
          <w:p w:rsidR="001B65E1" w:rsidRPr="00A05FF9" w:rsidP="00D352A8" w14:paraId="56245553" w14:textId="77777777">
            <w:pPr>
              <w:jc w:val="center"/>
              <w:rPr>
                <w:rFonts w:ascii="Times New Roman" w:hAnsi="Times New Roman"/>
                <w:color w:val="000000"/>
                <w:sz w:val="20"/>
                <w:szCs w:val="20"/>
              </w:rPr>
            </w:pPr>
            <w:r w:rsidRPr="00A05FF9">
              <w:rPr>
                <w:rFonts w:ascii="Times New Roman" w:hAnsi="Times New Roman"/>
                <w:color w:val="000000"/>
                <w:sz w:val="20"/>
                <w:szCs w:val="20"/>
              </w:rPr>
              <w:t>  0</w:t>
            </w:r>
          </w:p>
        </w:tc>
        <w:tc>
          <w:tcPr>
            <w:tcW w:w="673" w:type="pct"/>
            <w:tcBorders>
              <w:top w:val="outset" w:sz="6" w:space="0" w:color="auto"/>
              <w:left w:val="outset" w:sz="6" w:space="0" w:color="auto"/>
              <w:bottom w:val="outset" w:sz="6" w:space="0" w:color="auto"/>
              <w:right w:val="outset" w:sz="6" w:space="0" w:color="auto"/>
            </w:tcBorders>
          </w:tcPr>
          <w:p w:rsidR="001B65E1" w:rsidRPr="00A05FF9" w:rsidP="00D352A8" w14:paraId="4AEA424B" w14:textId="36DF210F">
            <w:pPr>
              <w:jc w:val="center"/>
              <w:rPr>
                <w:rFonts w:ascii="Times New Roman" w:hAnsi="Times New Roman"/>
                <w:color w:val="000000"/>
                <w:sz w:val="20"/>
                <w:szCs w:val="20"/>
              </w:rPr>
            </w:pPr>
            <w:r w:rsidRPr="00A05FF9">
              <w:rPr>
                <w:rFonts w:ascii="Times New Roman" w:hAnsi="Times New Roman"/>
                <w:color w:val="000000"/>
                <w:sz w:val="20"/>
                <w:szCs w:val="20"/>
              </w:rPr>
              <w:t>978</w:t>
            </w:r>
          </w:p>
        </w:tc>
      </w:tr>
    </w:tbl>
    <w:p w:rsidR="00E1205F" w14:paraId="06D4F7D9" w14:textId="77777777">
      <w:pPr>
        <w:tabs>
          <w:tab w:val="left" w:pos="-1440"/>
        </w:tabs>
        <w:ind w:left="720" w:hanging="720"/>
        <w:rPr>
          <w:rFonts w:ascii="Times New Roman" w:hAnsi="Times New Roman"/>
        </w:rPr>
      </w:pPr>
    </w:p>
    <w:p w:rsidR="000B6330" w:rsidRPr="009F0CB5" w14:paraId="6AF403BB" w14:textId="7E470D44">
      <w:pPr>
        <w:tabs>
          <w:tab w:val="left" w:pos="-1440"/>
        </w:tabs>
        <w:ind w:left="720" w:hanging="720"/>
        <w:rPr>
          <w:rFonts w:ascii="Times New Roman" w:hAnsi="Times New Roman"/>
        </w:rPr>
      </w:pPr>
      <w:r w:rsidRPr="009F0CB5">
        <w:rPr>
          <w:rFonts w:ascii="Times New Roman" w:hAnsi="Times New Roman"/>
        </w:rPr>
        <w:t>16.</w:t>
      </w:r>
      <w:r w:rsidRPr="009F0CB5">
        <w:rPr>
          <w:rFonts w:ascii="Times New Roman" w:hAnsi="Times New Roman"/>
        </w:rPr>
        <w:tab/>
      </w:r>
      <w:r w:rsidRPr="009F0CB5">
        <w:rPr>
          <w:rFonts w:ascii="Times New Roman" w:hAnsi="Times New Roman"/>
          <w:u w:val="single"/>
        </w:rPr>
        <w:t>PLANS FOR TABULATION, STATISTICAL ANALYSIS AND PUBLICATION</w:t>
      </w:r>
    </w:p>
    <w:p w:rsidR="000B6330" w:rsidRPr="009F0CB5" w14:paraId="2E400BAE" w14:textId="77777777">
      <w:pPr>
        <w:rPr>
          <w:rFonts w:ascii="Times New Roman" w:hAnsi="Times New Roman"/>
        </w:rPr>
      </w:pPr>
    </w:p>
    <w:p w:rsidR="00832615" w:rsidP="004C685B" w14:paraId="59F57EFC" w14:textId="1C8F6111">
      <w:pPr>
        <w:ind w:left="720"/>
        <w:rPr>
          <w:rFonts w:ascii="Times New Roman" w:hAnsi="Times New Roman"/>
        </w:rPr>
      </w:pPr>
      <w:r w:rsidRPr="009F0CB5">
        <w:rPr>
          <w:rFonts w:ascii="Times New Roman" w:hAnsi="Times New Roman"/>
        </w:rPr>
        <w:t xml:space="preserve">There are no plans for tabulation, statistical analysis, and publication. </w:t>
      </w:r>
    </w:p>
    <w:p w:rsidR="00832615" w:rsidRPr="009F0CB5" w:rsidP="004C685B" w14:paraId="623C3701" w14:textId="77777777">
      <w:pPr>
        <w:ind w:left="720"/>
        <w:rPr>
          <w:rFonts w:ascii="Times New Roman" w:hAnsi="Times New Roman"/>
        </w:rPr>
      </w:pPr>
    </w:p>
    <w:p w:rsidR="000B6330" w:rsidRPr="009F0CB5" w14:paraId="3F957B81" w14:textId="77777777">
      <w:pPr>
        <w:tabs>
          <w:tab w:val="left" w:pos="-1440"/>
        </w:tabs>
        <w:ind w:left="720" w:hanging="720"/>
        <w:rPr>
          <w:rFonts w:ascii="Times New Roman" w:hAnsi="Times New Roman"/>
        </w:rPr>
      </w:pPr>
      <w:r w:rsidRPr="009F0CB5">
        <w:rPr>
          <w:rFonts w:ascii="Times New Roman" w:hAnsi="Times New Roman"/>
        </w:rPr>
        <w:t>17.</w:t>
      </w:r>
      <w:r w:rsidRPr="009F0CB5">
        <w:rPr>
          <w:rFonts w:ascii="Times New Roman" w:hAnsi="Times New Roman"/>
        </w:rPr>
        <w:tab/>
      </w:r>
      <w:r w:rsidRPr="009F0CB5">
        <w:rPr>
          <w:rFonts w:ascii="Times New Roman" w:hAnsi="Times New Roman"/>
          <w:u w:val="single"/>
        </w:rPr>
        <w:t>REASONS WHY DISPLAYING THE OMB EXPIRATION DATE IS</w:t>
      </w:r>
      <w:r w:rsidR="00962AEC">
        <w:rPr>
          <w:rFonts w:ascii="Times New Roman" w:hAnsi="Times New Roman"/>
          <w:u w:val="single"/>
        </w:rPr>
        <w:t xml:space="preserve"> </w:t>
      </w:r>
      <w:r w:rsidRPr="009F0CB5">
        <w:rPr>
          <w:rFonts w:ascii="Times New Roman" w:hAnsi="Times New Roman"/>
          <w:u w:val="single"/>
        </w:rPr>
        <w:t>INAPPROPRIATE</w:t>
      </w:r>
    </w:p>
    <w:p w:rsidR="000B6330" w:rsidRPr="009F0CB5" w14:paraId="64AFD263" w14:textId="77777777">
      <w:pPr>
        <w:rPr>
          <w:rFonts w:ascii="Times New Roman" w:hAnsi="Times New Roman"/>
        </w:rPr>
      </w:pPr>
    </w:p>
    <w:p w:rsidR="000B6330" w:rsidRPr="009F0CB5" w14:paraId="48270797" w14:textId="142EC507">
      <w:pPr>
        <w:ind w:left="720"/>
        <w:rPr>
          <w:rFonts w:ascii="Times New Roman" w:hAnsi="Times New Roman"/>
        </w:rPr>
      </w:pPr>
      <w:r w:rsidRPr="00D00370">
        <w:rPr>
          <w:rFonts w:ascii="Times New Roman" w:hAnsi="Times New Roman"/>
        </w:rPr>
        <w:t>The IRS believes that displaying the OMB expiration date is inappropriate because it could cause confusion by leading taxpayers to believe that the regulations expire as of the expiration date. Taxpayers are not likely to be aware that the IRS intends to request renewal of the OMB approval and obtain a new expiration date before the old one expires.</w:t>
      </w:r>
    </w:p>
    <w:p w:rsidR="000B6330" w:rsidRPr="009F0CB5" w14:paraId="1C5B0DB7" w14:textId="77777777">
      <w:pPr>
        <w:rPr>
          <w:rFonts w:ascii="Times New Roman" w:hAnsi="Times New Roman"/>
        </w:rPr>
      </w:pPr>
    </w:p>
    <w:p w:rsidR="000B6330" w:rsidRPr="009F0CB5" w14:paraId="6C29E17F" w14:textId="77777777">
      <w:pPr>
        <w:tabs>
          <w:tab w:val="left" w:pos="-1440"/>
        </w:tabs>
        <w:ind w:left="720" w:hanging="720"/>
        <w:rPr>
          <w:rFonts w:ascii="Times New Roman" w:hAnsi="Times New Roman"/>
        </w:rPr>
      </w:pPr>
      <w:r w:rsidRPr="009F0CB5">
        <w:rPr>
          <w:rFonts w:ascii="Times New Roman" w:hAnsi="Times New Roman"/>
        </w:rPr>
        <w:t>18.</w:t>
      </w:r>
      <w:r w:rsidRPr="009F0CB5">
        <w:rPr>
          <w:rFonts w:ascii="Times New Roman" w:hAnsi="Times New Roman"/>
        </w:rPr>
        <w:tab/>
      </w:r>
      <w:r w:rsidRPr="009F0CB5">
        <w:rPr>
          <w:rFonts w:ascii="Times New Roman" w:hAnsi="Times New Roman"/>
          <w:u w:val="single"/>
        </w:rPr>
        <w:t>EXCEPTIONS TO THE CERTIFICATION STATEMENT</w:t>
      </w:r>
    </w:p>
    <w:p w:rsidR="000B6330" w:rsidRPr="009F0CB5" w14:paraId="1DBCB1EF" w14:textId="77777777">
      <w:pPr>
        <w:rPr>
          <w:rFonts w:ascii="Times New Roman" w:hAnsi="Times New Roman"/>
        </w:rPr>
      </w:pPr>
    </w:p>
    <w:p w:rsidR="000B6330" w:rsidRPr="009F0CB5" w:rsidP="00D352A8" w14:paraId="6A689780" w14:textId="58CCD3C6">
      <w:pPr>
        <w:ind w:left="720"/>
        <w:rPr>
          <w:rFonts w:ascii="Times New Roman" w:hAnsi="Times New Roman"/>
        </w:rPr>
      </w:pPr>
      <w:r w:rsidRPr="009F0CB5">
        <w:rPr>
          <w:rFonts w:ascii="Times New Roman" w:hAnsi="Times New Roman"/>
        </w:rPr>
        <w:t>There are no exceptions</w:t>
      </w:r>
      <w:r w:rsidR="00D00370">
        <w:rPr>
          <w:rFonts w:ascii="Times New Roman" w:hAnsi="Times New Roman"/>
        </w:rPr>
        <w:t xml:space="preserve"> to the certification statement</w:t>
      </w:r>
      <w:r w:rsidRPr="009F0CB5">
        <w:rPr>
          <w:rFonts w:ascii="Times New Roman" w:hAnsi="Times New Roman"/>
        </w:rPr>
        <w:t>.</w:t>
      </w:r>
    </w:p>
    <w:sectPr w:rsidSect="000B633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304F" w14:paraId="02B3C978" w14:textId="77777777">
      <w:r>
        <w:separator/>
      </w:r>
    </w:p>
  </w:footnote>
  <w:footnote w:type="continuationSeparator" w:id="1">
    <w:p w:rsidR="00CF304F" w14:paraId="55EABAA2" w14:textId="77777777">
      <w:r>
        <w:continuationSeparator/>
      </w:r>
    </w:p>
  </w:footnote>
  <w:footnote w:id="2">
    <w:p w:rsidR="006E5986" w:rsidP="006E5986" w14:paraId="08012FEB" w14:textId="3E581E6D">
      <w:pPr>
        <w:pStyle w:val="FootnoteText"/>
      </w:pPr>
      <w:r w:rsidRPr="005E6A5F">
        <w:rPr>
          <w:rStyle w:val="FootnoteReference"/>
          <w:rFonts w:ascii="Times New Roman" w:hAnsi="Times New Roman"/>
        </w:rPr>
        <w:footnoteRef/>
      </w:r>
      <w:r>
        <w:t xml:space="preserve"> </w:t>
      </w:r>
      <w:r w:rsidRPr="00FF2243" w:rsidR="00FF2243">
        <w:rPr>
          <w:rFonts w:ascii="Times New Roman" w:hAnsi="Times New Roman"/>
        </w:rPr>
        <w:t xml:space="preserve">The </w:t>
      </w:r>
      <w:r>
        <w:rPr>
          <w:rFonts w:ascii="Times New Roman" w:hAnsi="Times New Roman"/>
        </w:rPr>
        <w:t>IRS estimates 51% of taxpayers would seek a tax professional to complete their tax return based on IRS Data Book,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85F" w14:paraId="72D55297"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251AD">
      <w:rPr>
        <w:rFonts w:cs="Courier"/>
        <w:noProof/>
      </w:rPr>
      <w:t>2</w:t>
    </w:r>
    <w:r>
      <w:rPr>
        <w:rFonts w:cs="Courier"/>
      </w:rPr>
      <w:fldChar w:fldCharType="end"/>
    </w:r>
  </w:p>
  <w:p w:rsidR="00B0485F" w14:paraId="7CCE62E3" w14:textId="77777777"/>
  <w:p w:rsidR="00B0485F" w14:paraId="14B49E5F" w14:textId="7777777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30"/>
    <w:rsid w:val="000139F9"/>
    <w:rsid w:val="000168A5"/>
    <w:rsid w:val="0002296F"/>
    <w:rsid w:val="00035123"/>
    <w:rsid w:val="000409C0"/>
    <w:rsid w:val="000623C9"/>
    <w:rsid w:val="00063D00"/>
    <w:rsid w:val="000B6330"/>
    <w:rsid w:val="000C1D42"/>
    <w:rsid w:val="000C3036"/>
    <w:rsid w:val="00104F38"/>
    <w:rsid w:val="001222FC"/>
    <w:rsid w:val="00132E90"/>
    <w:rsid w:val="00140C82"/>
    <w:rsid w:val="00151A58"/>
    <w:rsid w:val="001761A2"/>
    <w:rsid w:val="001927E2"/>
    <w:rsid w:val="00193F60"/>
    <w:rsid w:val="001B0514"/>
    <w:rsid w:val="001B65E1"/>
    <w:rsid w:val="00216DF0"/>
    <w:rsid w:val="00223420"/>
    <w:rsid w:val="0023085F"/>
    <w:rsid w:val="00233386"/>
    <w:rsid w:val="00255578"/>
    <w:rsid w:val="00271437"/>
    <w:rsid w:val="0027270E"/>
    <w:rsid w:val="002D54BD"/>
    <w:rsid w:val="003260E2"/>
    <w:rsid w:val="0032747C"/>
    <w:rsid w:val="00336B82"/>
    <w:rsid w:val="00347B5C"/>
    <w:rsid w:val="003C34BB"/>
    <w:rsid w:val="003D6409"/>
    <w:rsid w:val="00400A6F"/>
    <w:rsid w:val="00423C8F"/>
    <w:rsid w:val="00453AD3"/>
    <w:rsid w:val="00484576"/>
    <w:rsid w:val="00490784"/>
    <w:rsid w:val="004A3320"/>
    <w:rsid w:val="004C5919"/>
    <w:rsid w:val="004C685B"/>
    <w:rsid w:val="004F2939"/>
    <w:rsid w:val="00555E43"/>
    <w:rsid w:val="005814A2"/>
    <w:rsid w:val="005E6A5F"/>
    <w:rsid w:val="00682D2B"/>
    <w:rsid w:val="006A567F"/>
    <w:rsid w:val="006B4A75"/>
    <w:rsid w:val="006B5CC7"/>
    <w:rsid w:val="006E5986"/>
    <w:rsid w:val="00704D1F"/>
    <w:rsid w:val="007251AD"/>
    <w:rsid w:val="00735D2F"/>
    <w:rsid w:val="007429CF"/>
    <w:rsid w:val="007960A0"/>
    <w:rsid w:val="007B7C1D"/>
    <w:rsid w:val="007C2E3C"/>
    <w:rsid w:val="007C2F81"/>
    <w:rsid w:val="007E2E4A"/>
    <w:rsid w:val="0080397F"/>
    <w:rsid w:val="008047BD"/>
    <w:rsid w:val="008268FD"/>
    <w:rsid w:val="00832615"/>
    <w:rsid w:val="00832A3B"/>
    <w:rsid w:val="00852671"/>
    <w:rsid w:val="00874A30"/>
    <w:rsid w:val="0089493A"/>
    <w:rsid w:val="008A0342"/>
    <w:rsid w:val="008B77FB"/>
    <w:rsid w:val="008E18B3"/>
    <w:rsid w:val="008E5222"/>
    <w:rsid w:val="00915905"/>
    <w:rsid w:val="0092401A"/>
    <w:rsid w:val="00962AEC"/>
    <w:rsid w:val="00977403"/>
    <w:rsid w:val="009A0830"/>
    <w:rsid w:val="009A0D1B"/>
    <w:rsid w:val="009E3E50"/>
    <w:rsid w:val="009F0CB5"/>
    <w:rsid w:val="009F22C3"/>
    <w:rsid w:val="00A05FF9"/>
    <w:rsid w:val="00A14273"/>
    <w:rsid w:val="00A33491"/>
    <w:rsid w:val="00A70C92"/>
    <w:rsid w:val="00AA5388"/>
    <w:rsid w:val="00AB2F73"/>
    <w:rsid w:val="00AB68A3"/>
    <w:rsid w:val="00AD5EF7"/>
    <w:rsid w:val="00AE0454"/>
    <w:rsid w:val="00AE3A63"/>
    <w:rsid w:val="00B0485F"/>
    <w:rsid w:val="00B36638"/>
    <w:rsid w:val="00B37DFF"/>
    <w:rsid w:val="00B608B3"/>
    <w:rsid w:val="00B8299D"/>
    <w:rsid w:val="00BB7307"/>
    <w:rsid w:val="00BD6824"/>
    <w:rsid w:val="00C052C3"/>
    <w:rsid w:val="00C22A87"/>
    <w:rsid w:val="00C35594"/>
    <w:rsid w:val="00C35901"/>
    <w:rsid w:val="00C51B41"/>
    <w:rsid w:val="00C96446"/>
    <w:rsid w:val="00CA66AB"/>
    <w:rsid w:val="00CC29F1"/>
    <w:rsid w:val="00CC7474"/>
    <w:rsid w:val="00CF304F"/>
    <w:rsid w:val="00D00370"/>
    <w:rsid w:val="00D064B3"/>
    <w:rsid w:val="00D352A8"/>
    <w:rsid w:val="00D5499F"/>
    <w:rsid w:val="00D75C48"/>
    <w:rsid w:val="00D77708"/>
    <w:rsid w:val="00D87B61"/>
    <w:rsid w:val="00DA6EF7"/>
    <w:rsid w:val="00DB5F2A"/>
    <w:rsid w:val="00E1205F"/>
    <w:rsid w:val="00E136DA"/>
    <w:rsid w:val="00E14254"/>
    <w:rsid w:val="00E2289B"/>
    <w:rsid w:val="00E26C93"/>
    <w:rsid w:val="00E86070"/>
    <w:rsid w:val="00EA7AD6"/>
    <w:rsid w:val="00EB4918"/>
    <w:rsid w:val="00EC02EA"/>
    <w:rsid w:val="00F05FE5"/>
    <w:rsid w:val="00F26F71"/>
    <w:rsid w:val="00F73761"/>
    <w:rsid w:val="00F741C8"/>
    <w:rsid w:val="00FA5016"/>
    <w:rsid w:val="00FF2243"/>
    <w:rsid w:val="00FF77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F4F57D9"/>
  <w15:chartTrackingRefBased/>
  <w15:docId w15:val="{7CB7C6EC-3E57-4C66-901A-47859721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D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D87B61"/>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E0454"/>
    <w:rPr>
      <w:rFonts w:ascii="Segoe UI" w:hAnsi="Segoe UI" w:cs="Segoe UI"/>
      <w:sz w:val="18"/>
      <w:szCs w:val="18"/>
    </w:rPr>
  </w:style>
  <w:style w:type="character" w:customStyle="1" w:styleId="BalloonTextChar">
    <w:name w:val="Balloon Text Char"/>
    <w:link w:val="BalloonText"/>
    <w:rsid w:val="00AE0454"/>
    <w:rPr>
      <w:rFonts w:ascii="Segoe UI" w:hAnsi="Segoe UI" w:cs="Segoe UI"/>
      <w:sz w:val="18"/>
      <w:szCs w:val="18"/>
    </w:rPr>
  </w:style>
  <w:style w:type="paragraph" w:styleId="Revision">
    <w:name w:val="Revision"/>
    <w:hidden/>
    <w:uiPriority w:val="99"/>
    <w:semiHidden/>
    <w:rsid w:val="00A70C92"/>
    <w:rPr>
      <w:rFonts w:ascii="Courier" w:hAnsi="Courier"/>
      <w:sz w:val="24"/>
      <w:szCs w:val="24"/>
    </w:rPr>
  </w:style>
  <w:style w:type="paragraph" w:styleId="FootnoteText">
    <w:name w:val="footnote text"/>
    <w:basedOn w:val="Normal"/>
    <w:link w:val="FootnoteTextChar"/>
    <w:rsid w:val="00F741C8"/>
    <w:rPr>
      <w:sz w:val="20"/>
      <w:szCs w:val="20"/>
    </w:rPr>
  </w:style>
  <w:style w:type="character" w:customStyle="1" w:styleId="FootnoteTextChar">
    <w:name w:val="Footnote Text Char"/>
    <w:basedOn w:val="DefaultParagraphFont"/>
    <w:link w:val="FootnoteText"/>
    <w:rsid w:val="00F741C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yperlink" Target="https://www.bls.gov/oes/current/oes132082.htm" TargetMode="External" /><Relationship Id="rId8" Type="http://schemas.openxmlformats.org/officeDocument/2006/relationships/hyperlink" Target="https://www.bls.gov/news.release/archives/ecec_12172024.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262C-7AD2-4D9E-B279-FA3A9DD6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Jon R. Callahan</cp:lastModifiedBy>
  <cp:revision>7</cp:revision>
  <cp:lastPrinted>2005-08-19T14:51:00Z</cp:lastPrinted>
  <dcterms:created xsi:type="dcterms:W3CDTF">2025-07-22T16:54:00Z</dcterms:created>
  <dcterms:modified xsi:type="dcterms:W3CDTF">2025-07-22T17:00:00Z</dcterms:modified>
</cp:coreProperties>
</file>