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5E96" w:rsidRPr="00596A43" w:rsidP="006A0B1C" w14:paraId="05EAD520" w14:textId="1972D479">
      <w:pPr>
        <w:pStyle w:val="Title"/>
        <w:rPr>
          <w:sz w:val="24"/>
          <w:szCs w:val="24"/>
        </w:rPr>
      </w:pPr>
      <w:r w:rsidRPr="00596A43">
        <w:rPr>
          <w:sz w:val="24"/>
          <w:szCs w:val="24"/>
        </w:rPr>
        <w:t>Supporting Statement for Paperwork Reduction Act Submissions</w:t>
      </w:r>
    </w:p>
    <w:p w:rsidR="00EB5E96" w:rsidRPr="00596A43" w:rsidP="008D7988" w14:paraId="1CFEDD8E" w14:textId="77777777">
      <w:pPr>
        <w:tabs>
          <w:tab w:val="left" w:pos="-720"/>
        </w:tabs>
        <w:suppressAutoHyphens/>
        <w:jc w:val="center"/>
        <w:rPr>
          <w:b/>
        </w:rPr>
      </w:pPr>
    </w:p>
    <w:p w:rsidR="00CA5D9A" w:rsidRPr="003F1520" w:rsidP="00CA5D9A" w14:paraId="78865B83" w14:textId="77777777">
      <w:pPr>
        <w:spacing w:line="480" w:lineRule="auto"/>
        <w:jc w:val="center"/>
        <w:rPr>
          <w:b/>
        </w:rPr>
      </w:pPr>
      <w:r w:rsidRPr="00596A43">
        <w:rPr>
          <w:b/>
        </w:rPr>
        <w:t>Title:</w:t>
      </w:r>
      <w:r w:rsidR="00FF5DDF">
        <w:rPr>
          <w:b/>
        </w:rPr>
        <w:t xml:space="preserve"> </w:t>
      </w:r>
      <w:r>
        <w:rPr>
          <w:b/>
        </w:rPr>
        <w:t>SAFECOM Membership Questionnaire</w:t>
      </w:r>
    </w:p>
    <w:p w:rsidR="00EB5E96" w:rsidP="00CA5D9A" w14:paraId="5571A301" w14:textId="1D2E6688">
      <w:pPr>
        <w:tabs>
          <w:tab w:val="left" w:pos="-720"/>
        </w:tabs>
        <w:suppressAutoHyphens/>
        <w:jc w:val="center"/>
        <w:rPr>
          <w:b/>
        </w:rPr>
      </w:pPr>
      <w:r w:rsidRPr="00596A43">
        <w:rPr>
          <w:b/>
        </w:rPr>
        <w:t xml:space="preserve">OMB Control Number: </w:t>
      </w:r>
      <w:r w:rsidR="00FF5DDF">
        <w:rPr>
          <w:b/>
        </w:rPr>
        <w:t>1670-</w:t>
      </w:r>
      <w:r w:rsidR="00E20CDB">
        <w:rPr>
          <w:b/>
        </w:rPr>
        <w:t>0046</w:t>
      </w:r>
    </w:p>
    <w:p w:rsidR="00CA5D9A" w:rsidP="00CA5D9A" w14:paraId="0387454B" w14:textId="77777777">
      <w:pPr>
        <w:tabs>
          <w:tab w:val="left" w:pos="-720"/>
        </w:tabs>
        <w:suppressAutoHyphens/>
        <w:jc w:val="center"/>
        <w:rPr>
          <w:b/>
        </w:rPr>
      </w:pPr>
    </w:p>
    <w:p w:rsidR="00CA5D9A" w:rsidRPr="00CB393B" w:rsidP="00CA5D9A" w14:paraId="7779FF3F" w14:textId="77777777">
      <w:pPr>
        <w:spacing w:line="480" w:lineRule="auto"/>
        <w:jc w:val="center"/>
        <w:rPr>
          <w:b/>
        </w:rPr>
      </w:pPr>
      <w:r w:rsidRPr="00CB393B">
        <w:rPr>
          <w:b/>
        </w:rPr>
        <w:t>Supporting Statement A</w:t>
      </w:r>
    </w:p>
    <w:p w:rsidR="00CA5D9A" w:rsidRPr="00596A43" w:rsidP="00D73BBC" w14:paraId="1E420C26" w14:textId="77777777">
      <w:pPr>
        <w:tabs>
          <w:tab w:val="left" w:pos="-720"/>
        </w:tabs>
        <w:suppressAutoHyphens/>
        <w:jc w:val="center"/>
        <w:rPr>
          <w:b/>
        </w:rPr>
      </w:pPr>
    </w:p>
    <w:p w:rsidR="00EB5E96" w:rsidP="00D73BBC" w14:paraId="66D8D5CF" w14:textId="77777777">
      <w:pPr>
        <w:tabs>
          <w:tab w:val="left" w:pos="-720"/>
        </w:tabs>
        <w:suppressAutoHyphens/>
        <w:jc w:val="center"/>
      </w:pPr>
    </w:p>
    <w:p w:rsidR="009F06EB" w:rsidRPr="00596A43" w:rsidP="000C4293" w14:paraId="278F5565" w14:textId="77777777">
      <w:pPr>
        <w:tabs>
          <w:tab w:val="left" w:pos="-720"/>
        </w:tabs>
        <w:suppressAutoHyphens/>
        <w:jc w:val="both"/>
      </w:pPr>
    </w:p>
    <w:p w:rsidR="00EB5E96" w:rsidRPr="00596A43" w:rsidP="000C4293" w14:paraId="40CBCC72" w14:textId="77777777">
      <w:pPr>
        <w:pStyle w:val="Heading1"/>
        <w:jc w:val="both"/>
        <w:rPr>
          <w:sz w:val="24"/>
          <w:szCs w:val="24"/>
        </w:rPr>
      </w:pPr>
      <w:r w:rsidRPr="00596A43">
        <w:rPr>
          <w:sz w:val="24"/>
          <w:szCs w:val="24"/>
        </w:rPr>
        <w:t>A.  Justification</w:t>
      </w:r>
    </w:p>
    <w:p w:rsidR="00EB5E96" w:rsidRPr="00596A43" w:rsidP="000C4293" w14:paraId="656F1990" w14:textId="77777777">
      <w:pPr>
        <w:tabs>
          <w:tab w:val="left" w:pos="-720"/>
        </w:tabs>
        <w:suppressAutoHyphens/>
        <w:jc w:val="both"/>
      </w:pPr>
    </w:p>
    <w:p w:rsidR="00EB5E96" w:rsidRPr="00596A43" w:rsidP="000C4293" w14:paraId="72349595" w14:textId="44C4038D">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w:t>
      </w:r>
      <w:r w:rsidRPr="00596A43">
        <w:t>.  Explain</w:t>
      </w:r>
      <w:r w:rsidRPr="00596A43">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A5D9A" w:rsidP="14D97E27" w14:paraId="7CE7074F" w14:textId="08656919">
      <w:pPr>
        <w:suppressAutoHyphens/>
        <w:jc w:val="both"/>
      </w:pPr>
      <w:r>
        <w:t xml:space="preserve"> </w:t>
      </w:r>
      <w:r>
        <w:t xml:space="preserve"> </w:t>
      </w:r>
    </w:p>
    <w:p w:rsidR="00CA5D9A" w:rsidP="14D97E27" w14:paraId="46104F18" w14:textId="1E9DE540">
      <w:pPr>
        <w:suppressAutoHyphens/>
        <w:jc w:val="both"/>
      </w:pPr>
      <w:r>
        <w:t xml:space="preserve">The </w:t>
      </w:r>
      <w:r>
        <w:t>C</w:t>
      </w:r>
      <w:r w:rsidR="12D3E23E">
        <w:t xml:space="preserve">ybersecurity and </w:t>
      </w:r>
      <w:r>
        <w:t>I</w:t>
      </w:r>
      <w:r w:rsidR="7475A9F4">
        <w:t xml:space="preserve">nfrastructure </w:t>
      </w:r>
      <w:r>
        <w:t>S</w:t>
      </w:r>
      <w:r w:rsidR="3E88DABB">
        <w:t xml:space="preserve">ecurity </w:t>
      </w:r>
      <w:r>
        <w:t>A</w:t>
      </w:r>
      <w:r w:rsidR="2D476D1B">
        <w:t>gency (</w:t>
      </w:r>
      <w:r w:rsidRPr="007C2D40">
        <w:t>CISA</w:t>
      </w:r>
      <w:r w:rsidR="2D476D1B">
        <w:t>)</w:t>
      </w:r>
      <w:r w:rsidRPr="007C2D40">
        <w:t xml:space="preserve"> enhances public safety interoperable communications at all levels of government to help partners across the country develop their emergency communications capabilities.</w:t>
      </w:r>
      <w:r>
        <w:t xml:space="preserve"> </w:t>
      </w:r>
      <w:r w:rsidRPr="007C2D40">
        <w:t>Working with stakeholders across the country, CISA conducts extensive, nationwide outreach to support and promote the ability of emergency response providers and relevant government officials to continue to communicate in the event of a natural disaster, act of terrorism, or other man-made disaster.</w:t>
      </w:r>
      <w:r>
        <w:t xml:space="preserve"> </w:t>
      </w:r>
      <w:r w:rsidR="4072B8EA">
        <w:t>Under the Homeland Security Act of 2002, Public Law 107</w:t>
      </w:r>
      <w:r w:rsidRPr="00925C4F">
        <w:t xml:space="preserve">-296, </w:t>
      </w:r>
      <w:r w:rsidR="4072B8EA">
        <w:t>November 25, 2002,</w:t>
      </w:r>
      <w:r>
        <w:t xml:space="preserve"> DHS </w:t>
      </w:r>
      <w:r w:rsidR="690850B7">
        <w:t xml:space="preserve">is </w:t>
      </w:r>
      <w:r w:rsidR="4072B8EA">
        <w:t>mandat</w:t>
      </w:r>
      <w:r w:rsidR="1A803837">
        <w:t>ed</w:t>
      </w:r>
      <w:r w:rsidR="4072B8EA">
        <w:t xml:space="preserve"> </w:t>
      </w:r>
      <w:r>
        <w:t xml:space="preserve">through CISA to administrate and manage </w:t>
      </w:r>
      <w:r w:rsidR="43AD0DBE">
        <w:t>S</w:t>
      </w:r>
      <w:r w:rsidR="7C38051C">
        <w:t xml:space="preserve">afe </w:t>
      </w:r>
      <w:r w:rsidR="6B211E14">
        <w:t>C</w:t>
      </w:r>
      <w:r w:rsidR="7C38051C">
        <w:t>ommunications (</w:t>
      </w:r>
      <w:r w:rsidRPr="00402A39">
        <w:t>SAFECOM</w:t>
      </w:r>
      <w:r w:rsidR="38448561">
        <w:t>)</w:t>
      </w:r>
      <w:r w:rsidRPr="00402A39">
        <w:t>, a state, local, tribal, and territorial</w:t>
      </w:r>
      <w:r w:rsidR="00D15DA5">
        <w:t xml:space="preserve"> (SLTT) </w:t>
      </w:r>
      <w:r w:rsidRPr="00402A39">
        <w:t>stakeholder-driven public safety communications program</w:t>
      </w:r>
      <w:r w:rsidRPr="00925C4F">
        <w:t>.</w:t>
      </w:r>
      <w:r>
        <w:t xml:space="preserve"> </w:t>
      </w:r>
      <w:r w:rsidRPr="009A0346" w:rsidR="403E548B">
        <w:rPr>
          <w:i/>
          <w:iCs/>
        </w:rPr>
        <w:t xml:space="preserve">See </w:t>
      </w:r>
      <w:r w:rsidR="403E548B">
        <w:t>6 U.S.C. §571(c)(2).</w:t>
      </w:r>
      <w:r>
        <w:t xml:space="preserve"> </w:t>
      </w:r>
      <w:r w:rsidRPr="002246A7">
        <w:t>In an effort to</w:t>
      </w:r>
      <w:r w:rsidRPr="002246A7">
        <w:t xml:space="preserve"> resolve major communications issues identified during the September 11, 2001, terrorist attacks, SAFECOM was created as a Presidential E-Government Initiative to </w:t>
      </w:r>
      <w:r w:rsidRPr="00402A39">
        <w:t>improve interoperability, allowing emergency responders to communicate more effectively before, during, and after emergencies and disasters.</w:t>
      </w:r>
    </w:p>
    <w:p w:rsidR="00CA5D9A" w:rsidP="00CA5D9A" w14:paraId="7AB72D0C" w14:textId="77777777">
      <w:pPr>
        <w:tabs>
          <w:tab w:val="left" w:pos="-720"/>
        </w:tabs>
        <w:suppressAutoHyphens/>
        <w:jc w:val="both"/>
      </w:pPr>
    </w:p>
    <w:p w:rsidR="00CA5D9A" w:rsidP="00CA5D9A" w14:paraId="4A8DFA5E" w14:textId="0F6508B4">
      <w:pPr>
        <w:tabs>
          <w:tab w:val="left" w:pos="-720"/>
        </w:tabs>
        <w:suppressAutoHyphens/>
        <w:jc w:val="both"/>
      </w:pPr>
      <w:r w:rsidRPr="00DB53C6">
        <w:t xml:space="preserve">Through collaboration with emergency responders and elected officials across all levels of government, SAFECOM works to improve emergency response providers’ inter-jurisdictional and interdisciplinary emergency communications interoperability across local, regional, tribal, </w:t>
      </w:r>
      <w:r w:rsidR="00BF47A9">
        <w:t>s</w:t>
      </w:r>
      <w:r w:rsidRPr="00DB53C6">
        <w:t xml:space="preserve">tate, territorial, international borders, and with </w:t>
      </w:r>
      <w:r w:rsidR="00BF47A9">
        <w:t>f</w:t>
      </w:r>
      <w:r w:rsidRPr="00DB53C6">
        <w:t xml:space="preserve">ederal government entities. </w:t>
      </w:r>
      <w:r w:rsidR="00BF47A9">
        <w:t xml:space="preserve"> </w:t>
      </w:r>
      <w:r w:rsidRPr="00DB53C6">
        <w:t xml:space="preserve">SAFECOM works with existing </w:t>
      </w:r>
      <w:r w:rsidR="00BF47A9">
        <w:t>f</w:t>
      </w:r>
      <w:r w:rsidRPr="00DB53C6">
        <w:t>ederal communications programs and key emergency response stakeholders to address the need to develop better technologies and processes for the coordination of existing communications systems and future networks.</w:t>
      </w:r>
    </w:p>
    <w:p w:rsidR="00CA5D9A" w:rsidP="00CA5D9A" w14:paraId="43CAC369" w14:textId="77777777">
      <w:pPr>
        <w:tabs>
          <w:tab w:val="left" w:pos="-720"/>
        </w:tabs>
        <w:suppressAutoHyphens/>
        <w:jc w:val="both"/>
      </w:pPr>
    </w:p>
    <w:p w:rsidR="00CA5D9A" w:rsidP="00CA5D9A" w14:paraId="54B77620" w14:textId="2FE2DF04">
      <w:pPr>
        <w:tabs>
          <w:tab w:val="left" w:pos="-720"/>
        </w:tabs>
        <w:suppressAutoHyphens/>
        <w:jc w:val="both"/>
      </w:pPr>
      <w:r>
        <w:t xml:space="preserve">The SAFECOM Membership Questionnaire is an internal SAFECOM document disseminated only to active SAFECOM </w:t>
      </w:r>
      <w:r w:rsidR="00D15DA5">
        <w:t>m</w:t>
      </w:r>
      <w:r>
        <w:t xml:space="preserve">embers. </w:t>
      </w:r>
      <w:r w:rsidR="00BF47A9">
        <w:t xml:space="preserve"> </w:t>
      </w:r>
      <w:r w:rsidRPr="00402A39">
        <w:t xml:space="preserve">SAFECOM uses the Questionnaire to identify membership gaps, obtain updated information on SAFECOM’s membership body (e.g., public safety communications experience, accolades, acquired skills/certifications), update SAFECOM marketing materials, and to assist SAFECOM when responding </w:t>
      </w:r>
      <w:r w:rsidR="00392776">
        <w:t>to U.S. Government</w:t>
      </w:r>
      <w:r w:rsidRPr="00402A39">
        <w:t xml:space="preserve"> </w:t>
      </w:r>
      <w:r w:rsidR="00392776">
        <w:t>Accountability</w:t>
      </w:r>
      <w:r w:rsidRPr="00402A39">
        <w:t xml:space="preserve"> Office (GAO) inquiries.</w:t>
      </w:r>
      <w:r>
        <w:t xml:space="preserve">  </w:t>
      </w:r>
      <w:r w:rsidR="00F81058">
        <w:t xml:space="preserve">SAFECOM members are a highly technical body with a wide depth and breadth of public safety expertise. </w:t>
      </w:r>
      <w:r w:rsidR="00BF47A9">
        <w:t xml:space="preserve"> </w:t>
      </w:r>
      <w:r w:rsidR="00F81058">
        <w:t xml:space="preserve">The repository will list specialized training, </w:t>
      </w:r>
      <w:r w:rsidR="00F81058">
        <w:t xml:space="preserve">certifications, and experience for members to use as a networking tool for knowledge sharing and collaboration. </w:t>
      </w:r>
      <w:r w:rsidR="00BF47A9">
        <w:t xml:space="preserve"> </w:t>
      </w:r>
      <w:r w:rsidR="00F81058">
        <w:t>Any gaps found will shape scheduling future training for professional development.</w:t>
      </w:r>
    </w:p>
    <w:p w:rsidR="00CA5D9A" w:rsidP="00CA5D9A" w14:paraId="1D3B8172" w14:textId="77777777">
      <w:pPr>
        <w:tabs>
          <w:tab w:val="left" w:pos="-720"/>
        </w:tabs>
        <w:suppressAutoHyphens/>
        <w:jc w:val="both"/>
      </w:pPr>
    </w:p>
    <w:p w:rsidR="00CA5D9A" w:rsidP="13286BAC" w14:paraId="7D144F72" w14:textId="6C18FC82">
      <w:pPr>
        <w:suppressAutoHyphens/>
        <w:jc w:val="both"/>
      </w:pPr>
      <w:r w:rsidRPr="006C21D0">
        <w:t>6 U.S.C</w:t>
      </w:r>
      <w:r>
        <w:t>.</w:t>
      </w:r>
      <w:r w:rsidRPr="006C21D0">
        <w:t xml:space="preserve"> §</w:t>
      </w:r>
      <w:r>
        <w:t>652 (c)(2)</w:t>
      </w:r>
      <w:r w:rsidRPr="006C21D0">
        <w:t xml:space="preserve"> requires the </w:t>
      </w:r>
      <w:r>
        <w:t xml:space="preserve">DHS Secretary through the CISA Director </w:t>
      </w:r>
      <w:r w:rsidRPr="006C21D0">
        <w:t xml:space="preserve">to </w:t>
      </w:r>
      <w:r>
        <w:t xml:space="preserve">coordinate with </w:t>
      </w:r>
      <w:r w:rsidR="00BF47A9">
        <w:t>f</w:t>
      </w:r>
      <w:r>
        <w:t>ederal entities, including Sector-Specific Agencies, and non-</w:t>
      </w:r>
      <w:r w:rsidR="00BF47A9">
        <w:t>f</w:t>
      </w:r>
      <w:r>
        <w:t>ederal entities, including international entities, to carry out the cybersecurity and critical infrastructure activities of the Agency.</w:t>
      </w:r>
    </w:p>
    <w:p w:rsidR="00CA5D9A" w:rsidP="00CA5D9A" w14:paraId="0F38CCE4" w14:textId="77777777">
      <w:pPr>
        <w:tabs>
          <w:tab w:val="left" w:pos="-720"/>
        </w:tabs>
        <w:suppressAutoHyphens/>
        <w:jc w:val="both"/>
      </w:pPr>
    </w:p>
    <w:p w:rsidR="00CA5D9A" w:rsidP="00CA5D9A" w14:paraId="11190B3E" w14:textId="5E60E243">
      <w:pPr>
        <w:tabs>
          <w:tab w:val="left" w:pos="-720"/>
        </w:tabs>
        <w:suppressAutoHyphens/>
        <w:jc w:val="both"/>
      </w:pPr>
      <w:r>
        <w:t xml:space="preserve">6 U.S.C. </w:t>
      </w:r>
      <w:r w:rsidRPr="006C21D0">
        <w:t>§</w:t>
      </w:r>
      <w:r>
        <w:t>652 (c)(10) requires DHS through CISA to carry out cybersecurity, infrastructure security, and emergency communications stakeholder outreach and engagement and coordinate that outreach and engagement with critical infrastructure Sector-Specific Agencies.</w:t>
      </w:r>
    </w:p>
    <w:p w:rsidR="00CA5D9A" w:rsidP="00CA5D9A" w14:paraId="08D0F6C9" w14:textId="77777777">
      <w:pPr>
        <w:tabs>
          <w:tab w:val="left" w:pos="-720"/>
        </w:tabs>
        <w:suppressAutoHyphens/>
        <w:jc w:val="both"/>
      </w:pPr>
    </w:p>
    <w:p w:rsidR="00CA5D9A" w:rsidP="00CA5D9A" w14:paraId="53982568" w14:textId="45D50406">
      <w:pPr>
        <w:tabs>
          <w:tab w:val="left" w:pos="-720"/>
        </w:tabs>
        <w:suppressAutoHyphens/>
        <w:jc w:val="both"/>
        <w:rPr>
          <w:color w:val="000000"/>
        </w:rPr>
      </w:pPr>
      <w:r>
        <w:rPr>
          <w:color w:val="000000"/>
        </w:rPr>
        <w:t xml:space="preserve">These authorities in addition to DHS’s responsibilities through Executive Order 13618 </w:t>
      </w:r>
      <w:r>
        <w:rPr>
          <w:color w:val="000000"/>
        </w:rPr>
        <w:t>in the area of</w:t>
      </w:r>
      <w:r>
        <w:rPr>
          <w:color w:val="000000"/>
        </w:rPr>
        <w:t xml:space="preserve"> national security and emergency providers’ communications require a renewed examination periodically by SAFECOM to ensure its membership is indicative of the national public safety communications community.</w:t>
      </w:r>
    </w:p>
    <w:p w:rsidR="00CA5D9A" w:rsidRPr="00596A43" w:rsidP="000C4293" w14:paraId="0EDFDCF4" w14:textId="77777777">
      <w:pPr>
        <w:tabs>
          <w:tab w:val="left" w:pos="-720"/>
        </w:tabs>
        <w:suppressAutoHyphens/>
        <w:jc w:val="both"/>
        <w:rPr>
          <w:b/>
          <w:spacing w:val="-3"/>
          <w:u w:val="single"/>
        </w:rPr>
      </w:pPr>
    </w:p>
    <w:p w:rsidR="00EB5E96" w:rsidRPr="00596A43" w:rsidP="000C4293" w14:paraId="3D2C2BC5" w14:textId="2451D2F2">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2</w:t>
      </w:r>
      <w:r w:rsidRPr="00596A43">
        <w:t>.  Indicate</w:t>
      </w:r>
      <w:r w:rsidRPr="00596A43">
        <w:t xml:space="preserve"> how, by whom, and for what purpose the information is to be used.  Except for a new collection, indicate the actual use the agency has made of the information received from the current collection.</w:t>
      </w:r>
    </w:p>
    <w:p w:rsidR="00D73BBC" w:rsidP="00D73BBC" w14:paraId="62980812" w14:textId="77777777">
      <w:pPr>
        <w:tabs>
          <w:tab w:val="left" w:pos="-720"/>
        </w:tabs>
        <w:suppressAutoHyphens/>
        <w:jc w:val="both"/>
        <w:rPr>
          <w:i/>
          <w:spacing w:val="-3"/>
          <w:sz w:val="20"/>
        </w:rPr>
      </w:pPr>
    </w:p>
    <w:p w:rsidR="00CA5D9A" w:rsidP="13286BAC" w14:paraId="7D7A7CC4" w14:textId="423B43F8">
      <w:pPr>
        <w:suppressAutoHyphens/>
        <w:jc w:val="both"/>
        <w:rPr>
          <w:i/>
          <w:spacing w:val="-3"/>
          <w:sz w:val="20"/>
          <w:szCs w:val="20"/>
        </w:rPr>
      </w:pPr>
    </w:p>
    <w:p w:rsidR="00CA5D9A" w:rsidP="00CA5D9A" w14:paraId="5F11706D" w14:textId="2E7DBD58">
      <w:pPr>
        <w:tabs>
          <w:tab w:val="left" w:pos="-720"/>
        </w:tabs>
        <w:suppressAutoHyphens/>
        <w:jc w:val="both"/>
      </w:pPr>
      <w:r>
        <w:t>The DHS/CISA</w:t>
      </w:r>
      <w:r w:rsidR="00BF47A9">
        <w:t xml:space="preserve"> </w:t>
      </w:r>
      <w:r>
        <w:t>E</w:t>
      </w:r>
      <w:r w:rsidR="00BF47A9">
        <w:t xml:space="preserve">mergency </w:t>
      </w:r>
      <w:r>
        <w:t>C</w:t>
      </w:r>
      <w:r w:rsidR="00BF47A9">
        <w:t xml:space="preserve">ommunications </w:t>
      </w:r>
      <w:r>
        <w:t>D</w:t>
      </w:r>
      <w:r w:rsidR="00BF47A9">
        <w:t>ivision</w:t>
      </w:r>
      <w:r>
        <w:t xml:space="preserve"> will disseminate the SAFECOM Membership Questionnaire to active SAFECOM </w:t>
      </w:r>
      <w:r w:rsidR="00D15DA5">
        <w:t>m</w:t>
      </w:r>
      <w:r>
        <w:t xml:space="preserve">embers as a fillable PDF document. </w:t>
      </w:r>
      <w:r w:rsidR="00392776">
        <w:t xml:space="preserve"> </w:t>
      </w:r>
      <w:r>
        <w:t>SAFECOM intend</w:t>
      </w:r>
      <w:r w:rsidR="002D54F0">
        <w:t>s</w:t>
      </w:r>
      <w:r>
        <w:t xml:space="preserve"> to use the Questionnaire to examine its </w:t>
      </w:r>
      <w:r w:rsidR="00392776">
        <w:t>m</w:t>
      </w:r>
      <w:r>
        <w:t>embership body, identify membership gaps</w:t>
      </w:r>
      <w:r w:rsidR="00392776">
        <w:t>,</w:t>
      </w:r>
      <w:r>
        <w:t xml:space="preserve"> obtain updated information on SAFECOM’s membership body (e.g., public safety communications experience, accolades, acquired skills/certifications), update SAFECOM marketing materials, and </w:t>
      </w:r>
      <w:r>
        <w:t>to assist</w:t>
      </w:r>
      <w:r>
        <w:t xml:space="preserve"> SAFECOM when responding </w:t>
      </w:r>
      <w:r w:rsidR="00392776">
        <w:t xml:space="preserve">to </w:t>
      </w:r>
      <w:r>
        <w:t>GAO inquiries.</w:t>
      </w:r>
    </w:p>
    <w:p w:rsidR="00CA5D9A" w:rsidP="00CA5D9A" w14:paraId="3B12DDF0" w14:textId="77777777">
      <w:pPr>
        <w:tabs>
          <w:tab w:val="left" w:pos="-720"/>
        </w:tabs>
        <w:suppressAutoHyphens/>
        <w:jc w:val="both"/>
      </w:pPr>
    </w:p>
    <w:p w:rsidR="00CA5D9A" w:rsidP="00CA5D9A" w14:paraId="5DD91FF2" w14:textId="0099C3F6">
      <w:pPr>
        <w:tabs>
          <w:tab w:val="left" w:pos="-720"/>
        </w:tabs>
        <w:suppressAutoHyphens/>
        <w:jc w:val="both"/>
      </w:pPr>
      <w:r>
        <w:t xml:space="preserve">SAFECOM </w:t>
      </w:r>
      <w:r w:rsidRPr="00555B2A">
        <w:t>is one of the first organizations to bring together elected and appointed officials, representatives from public safety associations, and emergency responders in the field to promote governance, best practices, and lessons learned related to emergency communications.</w:t>
      </w:r>
      <w:r>
        <w:t xml:space="preserve"> </w:t>
      </w:r>
      <w:r w:rsidR="00392776">
        <w:t xml:space="preserve"> </w:t>
      </w:r>
      <w:r>
        <w:t xml:space="preserve">It is imperative for SAFECOM’s </w:t>
      </w:r>
      <w:r w:rsidR="00392776">
        <w:t>m</w:t>
      </w:r>
      <w:r>
        <w:t xml:space="preserve">embership to consist of public safety communications stakeholders representing all public safety disciplines, jurisdictions, and </w:t>
      </w:r>
      <w:r w:rsidR="00392776">
        <w:t>levels of government.</w:t>
      </w:r>
    </w:p>
    <w:p w:rsidR="00CA5D9A" w:rsidP="00CA5D9A" w14:paraId="6DAB65FF" w14:textId="77777777">
      <w:pPr>
        <w:tabs>
          <w:tab w:val="left" w:pos="-720"/>
        </w:tabs>
        <w:suppressAutoHyphens/>
        <w:jc w:val="both"/>
      </w:pPr>
    </w:p>
    <w:p w:rsidR="00CA5D9A" w:rsidP="14D97E27" w14:paraId="6374D4BB" w14:textId="7945B652">
      <w:pPr>
        <w:suppressAutoHyphens/>
        <w:jc w:val="both"/>
      </w:pPr>
      <w:r w:rsidRPr="00866F16">
        <w:t>SAFECOM has created key documents such as the Interoperability Continuum, the Statement of Requirements (</w:t>
      </w:r>
      <w:r w:rsidRPr="00866F16">
        <w:t>SoR</w:t>
      </w:r>
      <w:r w:rsidRPr="00866F16">
        <w:t>) for baseline communications and interoperability standards, the Statewide Communication Interoperability Plan (SCIP) Methodology, and the National Emergency Communications Plan (NECP) to assist emergency responders nationwide with improving communications and interoperability.</w:t>
      </w:r>
      <w:r>
        <w:t xml:space="preserve"> </w:t>
      </w:r>
      <w:r w:rsidR="00392776">
        <w:t xml:space="preserve"> </w:t>
      </w:r>
      <w:r>
        <w:t xml:space="preserve">SAFECOM’s accomplished, diverse, and knowledgeable </w:t>
      </w:r>
      <w:r w:rsidR="00392776">
        <w:t>m</w:t>
      </w:r>
      <w:r>
        <w:t>embership was critical in the development and promotion of the aforementioned documents</w:t>
      </w:r>
      <w:r w:rsidR="57BFAF7B">
        <w:t>,</w:t>
      </w:r>
      <w:r>
        <w:t xml:space="preserve"> providing public safety practitioner oversight, expertise, guidance, and best practices.</w:t>
      </w:r>
    </w:p>
    <w:p w:rsidR="00CA5D9A" w:rsidP="00CA5D9A" w14:paraId="1411F5C2" w14:textId="77777777">
      <w:pPr>
        <w:tabs>
          <w:tab w:val="left" w:pos="-720"/>
        </w:tabs>
        <w:suppressAutoHyphens/>
        <w:jc w:val="both"/>
      </w:pPr>
    </w:p>
    <w:p w:rsidR="00CA5D9A" w:rsidP="00CA5D9A" w14:paraId="100DD591" w14:textId="250C30FB">
      <w:pPr>
        <w:tabs>
          <w:tab w:val="left" w:pos="-720"/>
        </w:tabs>
        <w:suppressAutoHyphens/>
        <w:jc w:val="both"/>
      </w:pPr>
      <w:r>
        <w:t xml:space="preserve">The Questionnaire will encompass </w:t>
      </w:r>
      <w:r w:rsidRPr="00402A39">
        <w:t>eight interdependent sections of questions.</w:t>
      </w:r>
      <w:r>
        <w:t xml:space="preserve"> </w:t>
      </w:r>
      <w:r w:rsidR="00392776">
        <w:t xml:space="preserve"> </w:t>
      </w:r>
      <w:r w:rsidR="002D54F0">
        <w:t xml:space="preserve">All questions are voluntary.  </w:t>
      </w:r>
      <w:r>
        <w:t xml:space="preserve">The SAFECOM Internal Membership section </w:t>
      </w:r>
      <w:r w:rsidR="002D54F0">
        <w:t xml:space="preserve">provides an option for </w:t>
      </w:r>
      <w:r>
        <w:t xml:space="preserve">each </w:t>
      </w:r>
      <w:r w:rsidR="00392776">
        <w:t>M</w:t>
      </w:r>
      <w:r>
        <w:t>ember to provide</w:t>
      </w:r>
      <w:r w:rsidR="002D54F0">
        <w:t xml:space="preserve"> a photo, biography, LinkedIn URL,</w:t>
      </w:r>
      <w:r>
        <w:t xml:space="preserve"> name, </w:t>
      </w:r>
      <w:r w:rsidR="00F81058">
        <w:t>email, full address, phone number,</w:t>
      </w:r>
      <w:r>
        <w:t xml:space="preserve"> and the number of hours per month he/she contributes </w:t>
      </w:r>
      <w:r w:rsidR="00F81058">
        <w:t xml:space="preserve">to </w:t>
      </w:r>
      <w:r>
        <w:t xml:space="preserve">SAFECOM led initiatives (e.g., conference calls </w:t>
      </w:r>
      <w:r>
        <w:t xml:space="preserve">and deliverable development). </w:t>
      </w:r>
      <w:r w:rsidR="00392776">
        <w:t xml:space="preserve"> </w:t>
      </w:r>
      <w:r w:rsidRPr="00497A86">
        <w:t xml:space="preserve">SAFECOM consists of </w:t>
      </w:r>
      <w:r>
        <w:t xml:space="preserve">public safety </w:t>
      </w:r>
      <w:r w:rsidRPr="00497A86">
        <w:t xml:space="preserve">association representatives and </w:t>
      </w:r>
      <w:r w:rsidR="00D15DA5">
        <w:t>a</w:t>
      </w:r>
      <w:r w:rsidRPr="00497A86">
        <w:t>t-</w:t>
      </w:r>
      <w:r w:rsidR="00D15DA5">
        <w:t>l</w:t>
      </w:r>
      <w:r w:rsidRPr="00497A86">
        <w:t xml:space="preserve">arge members. </w:t>
      </w:r>
      <w:r w:rsidR="00392776">
        <w:t xml:space="preserve"> </w:t>
      </w:r>
      <w:r w:rsidRPr="00497A86">
        <w:t xml:space="preserve">The </w:t>
      </w:r>
      <w:r w:rsidRPr="004D1FE1">
        <w:t>Association Representative Information</w:t>
      </w:r>
      <w:r>
        <w:t xml:space="preserve"> </w:t>
      </w:r>
      <w:r w:rsidRPr="00497A86">
        <w:t xml:space="preserve">section pertains to </w:t>
      </w:r>
      <w:r>
        <w:t xml:space="preserve">public safety </w:t>
      </w:r>
      <w:r w:rsidRPr="00497A86">
        <w:t>associations represented in SAFECOM.</w:t>
      </w:r>
      <w:r w:rsidR="00392776">
        <w:t xml:space="preserve">  </w:t>
      </w:r>
      <w:r>
        <w:t>Association Representatives serving in SAFECOM are asked to provide the name of their Association, approximate Association size, Association contact, and addition</w:t>
      </w:r>
      <w:r w:rsidR="00392776">
        <w:t>al</w:t>
      </w:r>
      <w:r>
        <w:t xml:space="preserve"> Association point</w:t>
      </w:r>
      <w:r w:rsidR="00392776">
        <w:t xml:space="preserve"> </w:t>
      </w:r>
      <w:r>
        <w:t>of</w:t>
      </w:r>
      <w:r w:rsidR="00392776">
        <w:t xml:space="preserve"> </w:t>
      </w:r>
      <w:r>
        <w:t>contact (POC) information.</w:t>
      </w:r>
      <w:r w:rsidRPr="00497A86">
        <w:t xml:space="preserve"> </w:t>
      </w:r>
      <w:r w:rsidR="00392776">
        <w:t xml:space="preserve"> </w:t>
      </w:r>
      <w:r>
        <w:t>A</w:t>
      </w:r>
      <w:r w:rsidRPr="00497A86">
        <w:t>t-</w:t>
      </w:r>
      <w:r w:rsidR="00D15DA5">
        <w:t>l</w:t>
      </w:r>
      <w:r w:rsidRPr="00497A86">
        <w:t xml:space="preserve">arge </w:t>
      </w:r>
      <w:r w:rsidR="00D15DA5">
        <w:t>m</w:t>
      </w:r>
      <w:r w:rsidRPr="00497A86">
        <w:t>ember</w:t>
      </w:r>
      <w:r>
        <w:t xml:space="preserve">s are instructed to </w:t>
      </w:r>
      <w:r>
        <w:t>s</w:t>
      </w:r>
      <w:r w:rsidRPr="00497A86">
        <w:t>kip to</w:t>
      </w:r>
      <w:r w:rsidRPr="00497A86">
        <w:t xml:space="preserve"> </w:t>
      </w:r>
      <w:r>
        <w:t>the next s</w:t>
      </w:r>
      <w:r w:rsidRPr="00497A86">
        <w:t>ection.</w:t>
      </w:r>
      <w:r>
        <w:t xml:space="preserve"> </w:t>
      </w:r>
      <w:r w:rsidR="00392776">
        <w:t xml:space="preserve"> The </w:t>
      </w:r>
      <w:r w:rsidRPr="00A5167A">
        <w:t>Public Safety Service</w:t>
      </w:r>
      <w:r>
        <w:t xml:space="preserve"> section will focus on questions related to each Member’s public safety and first responder career. </w:t>
      </w:r>
      <w:r w:rsidR="00392776">
        <w:t xml:space="preserve"> </w:t>
      </w:r>
      <w:r>
        <w:t xml:space="preserve">Members are asked to designate their current public safety status (i.e., active, retired, other), to identify their public safety discipline(s), to provide level of government for current employment (e.g., </w:t>
      </w:r>
      <w:r w:rsidR="00D15DA5">
        <w:t>SLTT</w:t>
      </w:r>
      <w:r>
        <w:t xml:space="preserve">, federal), to provide years of service, to list current agency and agency’s contact information, to provide a brief description on their current role and responsibilities, to </w:t>
      </w:r>
      <w:r w:rsidRPr="006D71E0">
        <w:t xml:space="preserve">select the population range that best describes the population of </w:t>
      </w:r>
      <w:r w:rsidR="0075406E">
        <w:t>their</w:t>
      </w:r>
      <w:r w:rsidRPr="006D71E0" w:rsidR="0075406E">
        <w:t xml:space="preserve"> </w:t>
      </w:r>
      <w:r w:rsidRPr="006D71E0">
        <w:t>current organization’s jurisdiction serviced</w:t>
      </w:r>
      <w:r>
        <w:t xml:space="preserve">, to </w:t>
      </w:r>
      <w:r w:rsidRPr="006D71E0">
        <w:t xml:space="preserve">indicate the number of public safety personnel employed at </w:t>
      </w:r>
      <w:r w:rsidR="0075406E">
        <w:t>their</w:t>
      </w:r>
      <w:r w:rsidRPr="006D71E0" w:rsidR="0075406E">
        <w:t xml:space="preserve"> </w:t>
      </w:r>
      <w:r w:rsidRPr="006D71E0">
        <w:t>current organization</w:t>
      </w:r>
      <w:r>
        <w:t xml:space="preserve">, to </w:t>
      </w:r>
      <w:r w:rsidRPr="006D71E0">
        <w:t xml:space="preserve">indicate the number of responses </w:t>
      </w:r>
      <w:r w:rsidR="0075406E">
        <w:t>the</w:t>
      </w:r>
      <w:r w:rsidRPr="006D71E0" w:rsidR="0075406E">
        <w:t xml:space="preserve"> </w:t>
      </w:r>
      <w:r w:rsidRPr="006D71E0">
        <w:t>current organization responds to each year</w:t>
      </w:r>
      <w:r>
        <w:t xml:space="preserve">, and if current position entails collaborating with Tribal Nations. </w:t>
      </w:r>
      <w:r w:rsidR="00994F52">
        <w:t xml:space="preserve"> </w:t>
      </w:r>
      <w:r>
        <w:t xml:space="preserve">The </w:t>
      </w:r>
      <w:r w:rsidRPr="004C46BB">
        <w:t>Volunteer Experience</w:t>
      </w:r>
      <w:r>
        <w:t xml:space="preserve"> section asks </w:t>
      </w:r>
      <w:r w:rsidR="00D15DA5">
        <w:t>m</w:t>
      </w:r>
      <w:r>
        <w:t xml:space="preserve">embers to provide details on their volunteer experience. </w:t>
      </w:r>
      <w:r w:rsidR="00994F52">
        <w:t xml:space="preserve"> </w:t>
      </w:r>
      <w:r>
        <w:t xml:space="preserve">The </w:t>
      </w:r>
      <w:r w:rsidRPr="00A1404F">
        <w:t>Public Safety Experience</w:t>
      </w:r>
      <w:r>
        <w:t xml:space="preserve"> section asks </w:t>
      </w:r>
      <w:r w:rsidR="00D15DA5">
        <w:t>m</w:t>
      </w:r>
      <w:r>
        <w:t xml:space="preserve">embers to identify the public safety events he/she responded to throughout their career, and to identify the communications technology he/she has used. </w:t>
      </w:r>
      <w:r w:rsidR="00994F52">
        <w:t xml:space="preserve"> </w:t>
      </w:r>
      <w:r>
        <w:t>The Education section focuses on the</w:t>
      </w:r>
      <w:r w:rsidR="00994F52">
        <w:t>ir</w:t>
      </w:r>
      <w:r>
        <w:t xml:space="preserve"> education (e.g., which is an optional question), proficiencies, and professional certifications. </w:t>
      </w:r>
      <w:r w:rsidR="00994F52">
        <w:t xml:space="preserve"> The </w:t>
      </w:r>
      <w:r w:rsidRPr="0079409B">
        <w:t>External Conference Attendance</w:t>
      </w:r>
      <w:r>
        <w:t xml:space="preserve"> section focuses on Member’s experience at public safety conferences as well as their interest in representing SAFECOM in the future at a conference.</w:t>
      </w:r>
      <w:r w:rsidR="00994F52">
        <w:t xml:space="preserve"> </w:t>
      </w:r>
      <w:r>
        <w:t xml:space="preserve"> The final section focuses on Member</w:t>
      </w:r>
      <w:r w:rsidR="00994F52">
        <w:t>’</w:t>
      </w:r>
      <w:r>
        <w:t>s public safety usage.</w:t>
      </w:r>
    </w:p>
    <w:p w:rsidR="002F49E0" w:rsidRPr="002451D9" w:rsidP="002F49E0" w14:paraId="7DC6D717" w14:textId="18BE003E">
      <w:pPr>
        <w:pStyle w:val="Default"/>
        <w:rPr>
          <w:color w:val="auto"/>
          <w:sz w:val="22"/>
          <w:szCs w:val="22"/>
        </w:rPr>
      </w:pPr>
    </w:p>
    <w:p w:rsidR="00EB5E96" w:rsidRPr="00596A43" w:rsidP="000C4293" w14:paraId="50368F21" w14:textId="63DB41DB">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3</w:t>
      </w:r>
      <w:r w:rsidRPr="00596A43">
        <w:t>.  Describe</w:t>
      </w:r>
      <w:r w:rsidRPr="00596A43">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596A43">
        <w:t>for adopting</w:t>
      </w:r>
      <w:r w:rsidRPr="00596A43">
        <w:t xml:space="preserve"> this means of collection.  Also describe any consideration of using information technology to reduce burden.</w:t>
      </w:r>
    </w:p>
    <w:p w:rsidR="00EB5E96" w:rsidRPr="00596A43" w:rsidP="000C4293" w14:paraId="581DD5E7" w14:textId="77777777">
      <w:pPr>
        <w:tabs>
          <w:tab w:val="left" w:pos="-720"/>
        </w:tabs>
        <w:suppressAutoHyphens/>
        <w:jc w:val="both"/>
      </w:pPr>
    </w:p>
    <w:p w:rsidR="00DC6E79" w:rsidP="13286BAC" w14:paraId="2BF54BA7" w14:textId="109DC49D">
      <w:pPr>
        <w:suppressAutoHyphens/>
        <w:jc w:val="both"/>
        <w:rPr>
          <w:i/>
          <w:sz w:val="20"/>
          <w:szCs w:val="20"/>
        </w:rPr>
      </w:pPr>
      <w:r>
        <w:t xml:space="preserve">CISA </w:t>
      </w:r>
      <w:r w:rsidRPr="008A0C9A">
        <w:t>intends to allow electronic submission to reduce the burden on respondents</w:t>
      </w:r>
      <w:r>
        <w:t xml:space="preserve"> including the use of an Adobe PDF-fillable form which can be returned via email to </w:t>
      </w:r>
      <w:hyperlink r:id="rId10" w:history="1">
        <w:r w:rsidRPr="00ED5D9B" w:rsidR="008C39D5">
          <w:rPr>
            <w:rStyle w:val="Hyperlink"/>
          </w:rPr>
          <w:t>SAFECOMGovernance@mail.cisa.dhs.gov</w:t>
        </w:r>
      </w:hyperlink>
      <w:r w:rsidR="008C39D5">
        <w:rPr>
          <w:color w:val="0000FF"/>
          <w:u w:val="single"/>
        </w:rPr>
        <w:t xml:space="preserve"> </w:t>
      </w:r>
      <w:r>
        <w:t xml:space="preserve"> or uploaded to the Homeland Security Information Network (HSIN), and a paper copy that will be mailed directly to the respondent(s) requesting a hard copy and returned either via a prepaid enveloped through the U.S. Postal Service to DHS – CISA, </w:t>
      </w:r>
      <w:r w:rsidR="00356698">
        <w:t>ATTN:</w:t>
      </w:r>
      <w:r w:rsidR="00252E04">
        <w:t xml:space="preserve"> </w:t>
      </w:r>
      <w:r w:rsidR="00356698">
        <w:t>Mike Rits</w:t>
      </w:r>
      <w:r>
        <w:t xml:space="preserve"> c/o Ralph Barnett III, </w:t>
      </w:r>
      <w:r w:rsidRPr="00871D7C" w:rsidR="00871D7C">
        <w:t>CISA – WB2 Stop 0612 7</w:t>
      </w:r>
      <w:r w:rsidRPr="00871D7C" w:rsidR="00871D7C">
        <w:rPr>
          <w:i/>
          <w:iCs/>
        </w:rPr>
        <w:t>th</w:t>
      </w:r>
      <w:r w:rsidRPr="00871D7C" w:rsidR="00871D7C">
        <w:t> Floor Room 762</w:t>
      </w:r>
      <w:r w:rsidR="007377A4">
        <w:t xml:space="preserve">, </w:t>
      </w:r>
      <w:r w:rsidRPr="007377A4" w:rsidR="007377A4">
        <w:t>Cybersecurity and Infrastructure Security Agency</w:t>
      </w:r>
      <w:r w:rsidR="007377A4">
        <w:t xml:space="preserve">, </w:t>
      </w:r>
      <w:r w:rsidRPr="00252E04" w:rsidR="00252E04">
        <w:t>4200 Wilson Blvd</w:t>
      </w:r>
      <w:r w:rsidR="00252E04">
        <w:t xml:space="preserve">, </w:t>
      </w:r>
      <w:r w:rsidRPr="00252E04" w:rsidR="00252E04">
        <w:t>Arlington</w:t>
      </w:r>
      <w:r>
        <w:t>,</w:t>
      </w:r>
      <w:r w:rsidR="00356698">
        <w:t xml:space="preserve"> </w:t>
      </w:r>
      <w:r w:rsidR="00252E04">
        <w:t>VA</w:t>
      </w:r>
      <w:r w:rsidR="00356698">
        <w:t xml:space="preserve"> </w:t>
      </w:r>
      <w:r>
        <w:t>20598-061</w:t>
      </w:r>
      <w:r w:rsidR="00252E04">
        <w:t>2</w:t>
      </w:r>
      <w:r>
        <w:t xml:space="preserve">; scanned and emailed to </w:t>
      </w:r>
      <w:hyperlink r:id="rId10" w:history="1">
        <w:r w:rsidRPr="00ED5D9B" w:rsidR="008C39D5">
          <w:rPr>
            <w:rStyle w:val="Hyperlink"/>
          </w:rPr>
          <w:t>SAFECOMGovernance@mail.cisa.dhs.gov</w:t>
        </w:r>
      </w:hyperlink>
      <w:r w:rsidR="008C39D5">
        <w:rPr>
          <w:color w:val="0000FF"/>
          <w:u w:val="single"/>
        </w:rPr>
        <w:t xml:space="preserve"> </w:t>
      </w:r>
      <w:r>
        <w:t>and/or faxed to CISA E</w:t>
      </w:r>
      <w:r w:rsidR="00994F52">
        <w:t>mergency Communications Division</w:t>
      </w:r>
      <w:r>
        <w:t xml:space="preserve">, ATTN: Ralph Barnett III at (703) 705-6130. </w:t>
      </w:r>
      <w:r w:rsidR="00994F52">
        <w:t xml:space="preserve"> </w:t>
      </w:r>
      <w:r>
        <w:t>We anticipate</w:t>
      </w:r>
      <w:r w:rsidRPr="000F0FFF">
        <w:t xml:space="preserve"> that </w:t>
      </w:r>
      <w:r>
        <w:t>less than 1</w:t>
      </w:r>
      <w:r w:rsidRPr="000F0FFF">
        <w:t xml:space="preserve">% of respondents will request a paper version </w:t>
      </w:r>
      <w:r>
        <w:t>of the survey, which is about 1-2</w:t>
      </w:r>
      <w:r w:rsidRPr="000F0FFF">
        <w:t xml:space="preserve"> surveys</w:t>
      </w:r>
      <w:r>
        <w:t>.</w:t>
      </w:r>
    </w:p>
    <w:p w:rsidR="00AA3F82" w:rsidP="000C4293" w14:paraId="7C641431" w14:textId="77777777">
      <w:pPr>
        <w:tabs>
          <w:tab w:val="left" w:pos="-720"/>
        </w:tabs>
        <w:suppressAutoHyphens/>
        <w:jc w:val="both"/>
      </w:pPr>
    </w:p>
    <w:p w:rsidR="000F5F4B" w:rsidP="000C4293" w14:paraId="00CE0E49" w14:textId="5F5EDE81">
      <w:pPr>
        <w:tabs>
          <w:tab w:val="left" w:pos="-720"/>
        </w:tabs>
        <w:suppressAutoHyphens/>
        <w:jc w:val="both"/>
      </w:pPr>
      <w:r w:rsidRPr="000F5F4B">
        <w:t xml:space="preserve">CISA conducted usability testing on </w:t>
      </w:r>
      <w:r w:rsidR="00A528AA">
        <w:t>the information collection</w:t>
      </w:r>
      <w:r w:rsidRPr="000F5F4B">
        <w:t xml:space="preserve"> to help with verification of the burden hours and to verify the ease of use.  The usability testing participants confirmed the accuracy of the burden hours and had no </w:t>
      </w:r>
      <w:r w:rsidRPr="000F5F4B">
        <w:t>difficult</w:t>
      </w:r>
      <w:r w:rsidRPr="000F5F4B">
        <w:t xml:space="preserve"> traversing through the documents.  As such, CISA made no changes to the forms</w:t>
      </w:r>
      <w:r w:rsidR="00A528AA">
        <w:t xml:space="preserve"> based on the testing</w:t>
      </w:r>
      <w:r w:rsidRPr="000F5F4B">
        <w:t>.</w:t>
      </w:r>
    </w:p>
    <w:p w:rsidR="000F5F4B" w:rsidRPr="00596A43" w:rsidP="000C4293" w14:paraId="6F1B9447" w14:textId="77777777">
      <w:pPr>
        <w:tabs>
          <w:tab w:val="left" w:pos="-720"/>
        </w:tabs>
        <w:suppressAutoHyphens/>
        <w:jc w:val="both"/>
      </w:pPr>
    </w:p>
    <w:p w:rsidR="00EB5E96" w:rsidRPr="00596A43" w:rsidP="1335D765" w14:paraId="2667836E" w14:textId="6AD1D394">
      <w:pPr>
        <w:suppressAutoHyphens/>
        <w:jc w:val="both"/>
      </w:pPr>
      <w:r w:rsidRPr="00596A43">
        <w:fldChar w:fldCharType="begin"/>
      </w:r>
      <w:r w:rsidRPr="00596A43">
        <w:instrText>ADVANCE \R 0.95</w:instrText>
      </w:r>
      <w:r w:rsidRPr="00596A43">
        <w:fldChar w:fldCharType="end"/>
      </w:r>
      <w:r w:rsidRPr="00596A43">
        <w:t>4</w:t>
      </w:r>
      <w:r w:rsidRPr="00596A43" w:rsidR="00E20CDB">
        <w:t>. Describe</w:t>
      </w:r>
      <w:r w:rsidRPr="00596A43">
        <w:t xml:space="preserve"> efforts to identify duplication.  Show specifically why any similar information already available cannot be used or modified for use for the purposes described in Item 2 above.</w:t>
      </w:r>
    </w:p>
    <w:p w:rsidR="14D97E27" w:rsidP="14D97E27" w14:paraId="220AA1B0" w14:textId="289152B5">
      <w:pPr>
        <w:jc w:val="both"/>
      </w:pPr>
    </w:p>
    <w:p w:rsidR="00AA3F82" w:rsidRPr="00596A43" w:rsidP="426AA0AB" w14:paraId="488D316D" w14:textId="5206DEDB">
      <w:pPr>
        <w:suppressAutoHyphens/>
        <w:jc w:val="both"/>
      </w:pPr>
      <w:r>
        <w:t xml:space="preserve">This was a </w:t>
      </w:r>
      <w:r w:rsidR="23AE1956">
        <w:t>previously</w:t>
      </w:r>
      <w:r>
        <w:t xml:space="preserve"> approved </w:t>
      </w:r>
      <w:r w:rsidRPr="00596A43" w:rsidR="00EB5E96">
        <w:fldChar w:fldCharType="begin"/>
      </w:r>
      <w:r w:rsidRPr="00596A43" w:rsidR="00EB5E96">
        <w:instrText>ADVANCE \R 0.95</w:instrText>
      </w:r>
      <w:r w:rsidRPr="00596A43" w:rsidR="00EB5E96">
        <w:fldChar w:fldCharType="end"/>
      </w:r>
      <w:r w:rsidR="493DB081">
        <w:t xml:space="preserve">information collection request was approved by OMB on </w:t>
      </w:r>
      <w:r w:rsidRPr="009A0346" w:rsidR="4355CFA9">
        <w:t>07/21/2022</w:t>
      </w:r>
      <w:r w:rsidR="493DB081">
        <w:t xml:space="preserve"> </w:t>
      </w:r>
      <w:r w:rsidR="0AAE463C">
        <w:t xml:space="preserve">with an expiration date </w:t>
      </w:r>
      <w:r w:rsidR="4DB91A8D">
        <w:t>of</w:t>
      </w:r>
      <w:r w:rsidR="493DB081">
        <w:t xml:space="preserve"> </w:t>
      </w:r>
      <w:r w:rsidRPr="009A0346" w:rsidR="07AF133A">
        <w:t>07/31/2025</w:t>
      </w:r>
      <w:r w:rsidR="00CA5D9A">
        <w:t xml:space="preserve">. </w:t>
      </w:r>
      <w:r w:rsidR="00392776">
        <w:t xml:space="preserve"> </w:t>
      </w:r>
      <w:r w:rsidR="79D84903">
        <w:t xml:space="preserve">This is a request for </w:t>
      </w:r>
      <w:r w:rsidR="79D84903">
        <w:t>an</w:t>
      </w:r>
      <w:r w:rsidR="00E806E1">
        <w:t xml:space="preserve"> reinstatement</w:t>
      </w:r>
      <w:r w:rsidR="79D84903">
        <w:t>.</w:t>
      </w:r>
    </w:p>
    <w:p w:rsidR="426AA0AB" w:rsidP="426AA0AB" w14:paraId="3D8D2860" w14:textId="7A737939">
      <w:pPr>
        <w:jc w:val="both"/>
      </w:pPr>
    </w:p>
    <w:p w:rsidR="00EB5E96" w:rsidRPr="00596A43" w:rsidP="14D97E27" w14:paraId="6BAE0FC4" w14:textId="77777777">
      <w:pPr>
        <w:suppressAutoHyphens/>
        <w:jc w:val="both"/>
      </w:pPr>
      <w:r w:rsidRPr="00596A43">
        <w:fldChar w:fldCharType="begin"/>
      </w:r>
      <w:r w:rsidRPr="00596A43">
        <w:instrText>ADVANCE \R 0.95</w:instrText>
      </w:r>
      <w:r w:rsidRPr="00596A43">
        <w:fldChar w:fldCharType="end"/>
      </w:r>
      <w:r w:rsidRPr="00596A43">
        <w:t>5</w:t>
      </w:r>
      <w:r w:rsidRPr="00596A43">
        <w:t>.  If</w:t>
      </w:r>
      <w:r w:rsidRPr="00596A43">
        <w:t xml:space="preserve"> the collection of information impacts small businesses or other small entities (Item 5 of OMB Form 83-I), describe any </w:t>
      </w:r>
      <w:r w:rsidRPr="00596A43">
        <w:t>methods</w:t>
      </w:r>
      <w:r w:rsidRPr="00596A43">
        <w:t xml:space="preserve"> used to </w:t>
      </w:r>
      <w:bookmarkStart w:id="0" w:name="_Int_QiHJYuMB"/>
      <w:r w:rsidRPr="00596A43">
        <w:t>minimize.</w:t>
      </w:r>
      <w:r w:rsidRPr="00596A43">
        <w:tab/>
      </w:r>
      <w:bookmarkEnd w:id="0"/>
    </w:p>
    <w:p w:rsidR="00EB5E96" w:rsidRPr="00596A43" w:rsidP="000C4293" w14:paraId="0F9FC4FF" w14:textId="77777777">
      <w:pPr>
        <w:tabs>
          <w:tab w:val="left" w:pos="-720"/>
        </w:tabs>
        <w:suppressAutoHyphens/>
        <w:jc w:val="both"/>
        <w:rPr>
          <w:spacing w:val="-3"/>
        </w:rPr>
      </w:pPr>
    </w:p>
    <w:p w:rsidR="00CA5D9A" w:rsidP="14D97E27" w14:paraId="01037E1B" w14:textId="3D440EAE">
      <w:pPr>
        <w:suppressAutoHyphens/>
        <w:jc w:val="both"/>
        <w:rPr>
          <w:i/>
          <w:spacing w:val="-3"/>
          <w:sz w:val="20"/>
          <w:szCs w:val="20"/>
        </w:rPr>
      </w:pPr>
      <w:r>
        <w:rPr>
          <w:spacing w:val="-3"/>
        </w:rPr>
        <w:t>This collection will impact</w:t>
      </w:r>
      <w:r w:rsidR="00994F52">
        <w:rPr>
          <w:spacing w:val="-3"/>
        </w:rPr>
        <w:t xml:space="preserve"> </w:t>
      </w:r>
      <w:r w:rsidR="00D15DA5">
        <w:rPr>
          <w:spacing w:val="-3"/>
        </w:rPr>
        <w:t>SLTT</w:t>
      </w:r>
      <w:r w:rsidR="00994F52">
        <w:rPr>
          <w:spacing w:val="-3"/>
        </w:rPr>
        <w:t xml:space="preserve"> </w:t>
      </w:r>
      <w:r>
        <w:rPr>
          <w:spacing w:val="-3"/>
        </w:rPr>
        <w:t xml:space="preserve">public safety responders and officials. </w:t>
      </w:r>
      <w:r w:rsidR="00994F52">
        <w:rPr>
          <w:spacing w:val="-3"/>
        </w:rPr>
        <w:t xml:space="preserve"> </w:t>
      </w:r>
      <w:r>
        <w:rPr>
          <w:spacing w:val="-3"/>
        </w:rPr>
        <w:t xml:space="preserve">Use of electronic submission should assist in minimizing </w:t>
      </w:r>
      <w:r w:rsidR="00994F52">
        <w:rPr>
          <w:spacing w:val="-3"/>
        </w:rPr>
        <w:t xml:space="preserve">the </w:t>
      </w:r>
      <w:r>
        <w:rPr>
          <w:spacing w:val="-3"/>
        </w:rPr>
        <w:t>impact of said entities.</w:t>
      </w:r>
    </w:p>
    <w:p w:rsidR="00AA3F82" w:rsidRPr="00596A43" w:rsidP="000C4293" w14:paraId="7E09837C" w14:textId="77777777">
      <w:pPr>
        <w:tabs>
          <w:tab w:val="left" w:pos="-720"/>
        </w:tabs>
        <w:suppressAutoHyphens/>
        <w:jc w:val="both"/>
        <w:rPr>
          <w:spacing w:val="-3"/>
        </w:rPr>
      </w:pPr>
    </w:p>
    <w:p w:rsidR="00EB5E96" w:rsidRPr="00596A43" w:rsidP="000C4293" w14:paraId="4E06164C"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6</w:t>
      </w:r>
      <w:r w:rsidRPr="00596A43">
        <w:t>.  Describe</w:t>
      </w:r>
      <w:r w:rsidRPr="00596A43">
        <w:t xml:space="preserve"> the </w:t>
      </w:r>
      <w:r w:rsidRPr="00596A43">
        <w:t>consequence</w:t>
      </w:r>
      <w:r w:rsidRPr="00596A43">
        <w:t xml:space="preserve"> </w:t>
      </w:r>
      <w:r w:rsidRPr="00596A43">
        <w:t>to Federal</w:t>
      </w:r>
      <w:r w:rsidRPr="00596A43">
        <w:t>/</w:t>
      </w:r>
      <w:r w:rsidRPr="00596A43" w:rsidR="00460234">
        <w:t>DHS</w:t>
      </w:r>
      <w:r w:rsidRPr="00596A43">
        <w:t xml:space="preserve"> program or policy activities if the collection of information is not conducted, or is conducted less frequently, as well as any technical or legal obstacles to reducing </w:t>
      </w:r>
      <w:r w:rsidRPr="00596A43">
        <w:t>burden</w:t>
      </w:r>
      <w:r w:rsidRPr="00596A43">
        <w:t>.</w:t>
      </w:r>
    </w:p>
    <w:p w:rsidR="00EB5E96" w:rsidRPr="00596A43" w:rsidP="000C4293" w14:paraId="5A92365A" w14:textId="77777777">
      <w:pPr>
        <w:tabs>
          <w:tab w:val="left" w:pos="-720"/>
        </w:tabs>
        <w:suppressAutoHyphens/>
        <w:jc w:val="both"/>
        <w:rPr>
          <w:spacing w:val="-3"/>
        </w:rPr>
      </w:pPr>
    </w:p>
    <w:p w:rsidR="00CA5D9A" w:rsidRPr="00D73BBC" w:rsidP="14D97E27" w14:paraId="363C053F" w14:textId="77777777">
      <w:pPr>
        <w:suppressAutoHyphens/>
        <w:jc w:val="both"/>
        <w:rPr>
          <w:i/>
          <w:spacing w:val="-3"/>
          <w:sz w:val="20"/>
          <w:szCs w:val="20"/>
        </w:rPr>
      </w:pPr>
    </w:p>
    <w:p w:rsidR="00CA5D9A" w:rsidP="00CA5D9A" w14:paraId="37A2009A" w14:textId="1077B1F2">
      <w:pPr>
        <w:tabs>
          <w:tab w:val="left" w:pos="-720"/>
        </w:tabs>
        <w:suppressAutoHyphens/>
        <w:jc w:val="both"/>
        <w:rPr>
          <w:spacing w:val="-3"/>
        </w:rPr>
      </w:pPr>
      <w:r>
        <w:rPr>
          <w:spacing w:val="-3"/>
        </w:rPr>
        <w:t>DHS/CISA has a statutory requirement to conduct this collection.</w:t>
      </w:r>
      <w:r w:rsidR="00994F52">
        <w:rPr>
          <w:spacing w:val="-3"/>
        </w:rPr>
        <w:t xml:space="preserve"> </w:t>
      </w:r>
      <w:r>
        <w:rPr>
          <w:spacing w:val="-3"/>
        </w:rPr>
        <w:t xml:space="preserve"> Failure to do so will result in non-compliance with the law. </w:t>
      </w:r>
      <w:r w:rsidR="00994F52">
        <w:rPr>
          <w:spacing w:val="-3"/>
        </w:rPr>
        <w:t xml:space="preserve"> </w:t>
      </w:r>
      <w:r>
        <w:rPr>
          <w:spacing w:val="-3"/>
        </w:rPr>
        <w:t>The collection of data from the survey will inform the next iteration of SAFECOM</w:t>
      </w:r>
      <w:r w:rsidR="00D15DA5">
        <w:rPr>
          <w:spacing w:val="-3"/>
        </w:rPr>
        <w:t>-</w:t>
      </w:r>
      <w:r>
        <w:rPr>
          <w:spacing w:val="-3"/>
        </w:rPr>
        <w:t>developed guidance products and initiatives</w:t>
      </w:r>
      <w:r w:rsidR="00994F52">
        <w:rPr>
          <w:spacing w:val="-3"/>
        </w:rPr>
        <w:t>,</w:t>
      </w:r>
      <w:r>
        <w:rPr>
          <w:spacing w:val="-3"/>
        </w:rPr>
        <w:t xml:space="preserve"> which lays the groundwork for emergency communications planning nationwide. </w:t>
      </w:r>
      <w:r w:rsidR="00994F52">
        <w:rPr>
          <w:spacing w:val="-3"/>
        </w:rPr>
        <w:t xml:space="preserve"> </w:t>
      </w:r>
      <w:r>
        <w:rPr>
          <w:spacing w:val="-3"/>
        </w:rPr>
        <w:t>The Questionnaire will aid in prioritizing programmatic and strategic planning needs for federal</w:t>
      </w:r>
      <w:r w:rsidR="00D15DA5">
        <w:rPr>
          <w:spacing w:val="-3"/>
        </w:rPr>
        <w:t xml:space="preserve"> and SLTT </w:t>
      </w:r>
      <w:r>
        <w:rPr>
          <w:spacing w:val="-3"/>
        </w:rPr>
        <w:t>public safety agencies.</w:t>
      </w:r>
    </w:p>
    <w:p w:rsidR="00CA5D9A" w:rsidRPr="00596A43" w:rsidP="00CA5D9A" w14:paraId="5CFDEF0F" w14:textId="77777777">
      <w:pPr>
        <w:tabs>
          <w:tab w:val="left" w:pos="-720"/>
        </w:tabs>
        <w:suppressAutoHyphens/>
        <w:jc w:val="both"/>
        <w:rPr>
          <w:spacing w:val="-3"/>
        </w:rPr>
      </w:pPr>
    </w:p>
    <w:p w:rsidR="00EB5E96" w:rsidRPr="00596A43" w:rsidP="000C4293" w14:paraId="14C8E77F"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7</w:t>
      </w:r>
      <w:r w:rsidRPr="00596A43">
        <w:t>.  Explain</w:t>
      </w:r>
      <w:r w:rsidRPr="00596A43">
        <w:t xml:space="preserve"> any special circumstances that would cause an information collection to be conducted in a manner:</w:t>
      </w:r>
    </w:p>
    <w:p w:rsidR="00EB5E96" w:rsidP="005C472E" w14:paraId="7A65ACD4" w14:textId="77777777">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Requiring respondents to report information to the agency more often than quarterly.</w:t>
      </w:r>
    </w:p>
    <w:p w:rsidR="005C472E" w:rsidP="005C472E" w14:paraId="29A43BFA" w14:textId="77777777">
      <w:pPr>
        <w:tabs>
          <w:tab w:val="left" w:pos="-720"/>
        </w:tabs>
        <w:suppressAutoHyphens/>
        <w:contextualSpacing/>
      </w:pPr>
    </w:p>
    <w:p w:rsidR="00EB5E96" w:rsidP="005C472E" w14:paraId="1C9D9C25" w14:textId="77777777">
      <w:pPr>
        <w:numPr>
          <w:ilvl w:val="0"/>
          <w:numId w:val="26"/>
        </w:numPr>
        <w:shd w:val="clear" w:color="auto" w:fill="C0C0C0"/>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Requiring respondents to prepare a written response to a collection of information in fewer than 30 days after </w:t>
      </w:r>
      <w:r w:rsidRPr="00596A43">
        <w:t>receipt of</w:t>
      </w:r>
      <w:r w:rsidRPr="00596A43">
        <w:t xml:space="preserve"> it.</w:t>
      </w:r>
    </w:p>
    <w:p w:rsidR="005C472E" w:rsidP="005C472E" w14:paraId="657C055D" w14:textId="77777777">
      <w:pPr>
        <w:tabs>
          <w:tab w:val="left" w:pos="-720"/>
        </w:tabs>
        <w:suppressAutoHyphens/>
        <w:contextualSpacing/>
      </w:pPr>
    </w:p>
    <w:p w:rsidR="00EB5E96" w:rsidP="005C472E" w14:paraId="61E6BD64" w14:textId="77777777">
      <w:pPr>
        <w:numPr>
          <w:ilvl w:val="0"/>
          <w:numId w:val="26"/>
        </w:num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Requiring respondents to submit more than </w:t>
      </w:r>
      <w:r w:rsidRPr="00596A43">
        <w:t>an original and two</w:t>
      </w:r>
      <w:r w:rsidRPr="00596A43">
        <w:t xml:space="preserve"> copies of any document.</w:t>
      </w:r>
    </w:p>
    <w:p w:rsidR="005C472E" w:rsidP="005C472E" w14:paraId="6BFC81CA" w14:textId="77777777">
      <w:pPr>
        <w:tabs>
          <w:tab w:val="left" w:pos="-720"/>
        </w:tabs>
        <w:suppressAutoHyphens/>
        <w:contextualSpacing/>
        <w:jc w:val="both"/>
      </w:pPr>
    </w:p>
    <w:p w:rsidR="00EB5E96" w:rsidP="005C472E" w14:paraId="510C01C4" w14:textId="77777777">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Requiring respondents to retain records, other than health, medical, government contract, grant-in-aid, or tax records for more than three years.</w:t>
      </w:r>
    </w:p>
    <w:p w:rsidR="005C472E" w:rsidP="005C472E" w14:paraId="54AC9EE2" w14:textId="77777777">
      <w:pPr>
        <w:tabs>
          <w:tab w:val="left" w:pos="-720"/>
        </w:tabs>
        <w:suppressAutoHyphens/>
        <w:contextualSpacing/>
      </w:pPr>
    </w:p>
    <w:p w:rsidR="00EB5E96" w:rsidP="005C472E" w14:paraId="7D582667" w14:textId="77777777">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In connection with a statistical survey, that is not designed to produce valid and reliable results that can be generalized to the universe of study.</w:t>
      </w:r>
    </w:p>
    <w:p w:rsidR="005C472E" w:rsidP="005C472E" w14:paraId="39C6499C" w14:textId="77777777">
      <w:pPr>
        <w:tabs>
          <w:tab w:val="left" w:pos="-720"/>
        </w:tabs>
        <w:suppressAutoHyphens/>
        <w:contextualSpacing/>
      </w:pPr>
    </w:p>
    <w:p w:rsidR="00EB5E96" w:rsidP="005C472E" w14:paraId="0702B9D2" w14:textId="77777777">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Requiring the use of a statistical data classification that has not been reviewed and approved by OMB.</w:t>
      </w:r>
    </w:p>
    <w:p w:rsidR="005C472E" w:rsidP="005C472E" w14:paraId="0E9F6018" w14:textId="77777777">
      <w:pPr>
        <w:tabs>
          <w:tab w:val="left" w:pos="-720"/>
        </w:tabs>
        <w:suppressAutoHyphens/>
        <w:contextualSpacing/>
      </w:pPr>
    </w:p>
    <w:p w:rsidR="00EB5E96" w:rsidP="005C472E" w14:paraId="1336320B" w14:textId="77777777">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5C472E" w:rsidP="005C472E" w14:paraId="212A81C0" w14:textId="77777777">
      <w:pPr>
        <w:contextualSpacing/>
        <w:rPr>
          <w:color w:val="000000"/>
        </w:rPr>
      </w:pPr>
    </w:p>
    <w:p w:rsidR="00EB5E96" w:rsidRPr="00596A43" w:rsidP="00AE41B7" w14:paraId="76C06D9A"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00CA5D9A">
        <w:t xml:space="preserve">     </w:t>
      </w:r>
      <w:r w:rsidRPr="00596A43">
        <w:rPr>
          <w:shd w:val="clear" w:color="auto" w:fill="C0C0C0"/>
        </w:rPr>
        <w:t xml:space="preserve">(h) Requiring respondents to submit proprietary trade </w:t>
      </w:r>
      <w:r w:rsidRPr="00596A43">
        <w:rPr>
          <w:shd w:val="clear" w:color="auto" w:fill="C0C0C0"/>
        </w:rPr>
        <w:t>secret</w:t>
      </w:r>
      <w:r w:rsidRPr="00596A43">
        <w:rPr>
          <w:shd w:val="clear" w:color="auto" w:fill="C0C0C0"/>
        </w:rPr>
        <w:t>, or other confidential information unless the agency can demonstrate that it has instituted procedures to protect the information’s confidentiality to the extent permitted by law.</w:t>
      </w:r>
    </w:p>
    <w:p w:rsidR="002B0649" w:rsidRPr="00596A43" w:rsidP="000C4293" w14:paraId="4F399864" w14:textId="77777777">
      <w:pPr>
        <w:tabs>
          <w:tab w:val="left" w:pos="-720"/>
        </w:tabs>
        <w:suppressAutoHyphens/>
        <w:ind w:left="144"/>
        <w:jc w:val="both"/>
      </w:pPr>
      <w:r w:rsidRPr="00596A43">
        <w:fldChar w:fldCharType="begin"/>
      </w:r>
      <w:r w:rsidRPr="00596A43">
        <w:instrText>ADVANCE \R 0.95</w:instrText>
      </w:r>
      <w:r w:rsidRPr="00596A43">
        <w:fldChar w:fldCharType="end"/>
      </w:r>
    </w:p>
    <w:p w:rsidR="009960C6" w:rsidRPr="00AB5A92" w:rsidP="009960C6" w14:paraId="6F982072" w14:textId="1150298D">
      <w:pPr>
        <w:tabs>
          <w:tab w:val="left" w:pos="-720"/>
        </w:tabs>
        <w:suppressAutoHyphens/>
        <w:contextualSpacing/>
      </w:pPr>
      <w:r>
        <w:t>The special circumstances contained in item 7 of the Supporting Statement are not applicable to this information collection.</w:t>
      </w:r>
    </w:p>
    <w:p w:rsidR="00AE41B7" w:rsidRPr="00596A43" w:rsidP="000C4293" w14:paraId="3A21B9BD" w14:textId="77777777">
      <w:pPr>
        <w:tabs>
          <w:tab w:val="left" w:pos="-720"/>
        </w:tabs>
        <w:suppressAutoHyphens/>
        <w:jc w:val="both"/>
      </w:pPr>
    </w:p>
    <w:p w:rsidR="00EB5E96" w:rsidRPr="00596A43" w:rsidP="004C21F8" w14:paraId="3ADF591C"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8</w:t>
      </w:r>
      <w:r w:rsidRPr="00596A43">
        <w:t>.  Federal</w:t>
      </w:r>
      <w:r w:rsidRPr="00596A43">
        <w:t xml:space="preserve"> Register Notice: </w:t>
      </w:r>
    </w:p>
    <w:p w:rsidR="00EB5E96" w:rsidRPr="00596A43" w:rsidP="14D97E27" w14:paraId="256A4BA9" w14:textId="5BB6DBD3">
      <w:pPr>
        <w:shd w:val="clear" w:color="auto" w:fill="C0C0C0"/>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a.  </w:t>
      </w:r>
      <w:r w:rsidR="00994F52">
        <w:t xml:space="preserve"> </w:t>
      </w:r>
      <w:r w:rsidRPr="00596A43">
        <w:t xml:space="preserve">Provide a copy and identify the date and page number of </w:t>
      </w:r>
      <w:bookmarkStart w:id="1" w:name="_Int_LNc39nPE"/>
      <w:r w:rsidRPr="00596A43">
        <w:t>publication</w:t>
      </w:r>
      <w:bookmarkEnd w:id="1"/>
      <w:r w:rsidRPr="00596A43">
        <w:t xml:space="preserve">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B5E96" w:rsidRPr="00596A43" w:rsidP="004C21F8" w14:paraId="79E5469E" w14:textId="59DB4512">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b.  Describe efforts to consult with </w:t>
      </w:r>
      <w:r w:rsidRPr="00596A43">
        <w:t>persons</w:t>
      </w:r>
      <w:r w:rsidRPr="00596A43">
        <w:t xml:space="preserve"> outside the agency to obtain their views on the availability of data, frequency of collection, the clarity of instructions and recordkeeping, disclosure, or reporting format (if any), and on the data elements to be recorded, disclosed, or reported.</w:t>
      </w:r>
    </w:p>
    <w:p w:rsidR="00EB5E96" w:rsidRPr="00596A43" w:rsidP="004C21F8" w14:paraId="6BD30C63" w14:textId="7C5812EF">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c.  Describe consultations with representatives of those from whom information is </w:t>
      </w:r>
      <w:r w:rsidRPr="00596A43">
        <w:t>to be obtained</w:t>
      </w:r>
      <w:r w:rsidRPr="00596A43">
        <w:t xml:space="preserve">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EB5E96" w:rsidRPr="00596A43" w:rsidP="000C4293" w14:paraId="1A8F2EDF" w14:textId="77777777">
      <w:pPr>
        <w:tabs>
          <w:tab w:val="left" w:pos="-720"/>
        </w:tabs>
        <w:suppressAutoHyphens/>
        <w:jc w:val="both"/>
      </w:pPr>
      <w:r w:rsidRPr="00596A43">
        <w:fldChar w:fldCharType="begin"/>
      </w:r>
      <w:r w:rsidRPr="00596A43">
        <w:instrText>ADVANCE \R 0.95</w:instrText>
      </w:r>
      <w:r w:rsidRPr="00596A43">
        <w:fldChar w:fldCharType="end"/>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5"/>
        <w:gridCol w:w="2070"/>
        <w:gridCol w:w="1260"/>
        <w:gridCol w:w="1260"/>
        <w:gridCol w:w="990"/>
        <w:gridCol w:w="1915"/>
      </w:tblGrid>
      <w:tr w14:paraId="27D82F9D" w14:textId="77777777" w:rsidTr="7A8D8275">
        <w:tblPrEx>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85" w:type="dxa"/>
            <w:shd w:val="clear" w:color="auto" w:fill="000000" w:themeFill="text1"/>
            <w:vAlign w:val="center"/>
          </w:tcPr>
          <w:p w:rsidR="00B67664" w:rsidRPr="00D3149C" w:rsidP="00994F52" w14:paraId="0205F310" w14:textId="77777777">
            <w:pPr>
              <w:tabs>
                <w:tab w:val="left" w:pos="-720"/>
              </w:tabs>
              <w:suppressAutoHyphens/>
              <w:jc w:val="center"/>
              <w:rPr>
                <w:sz w:val="22"/>
                <w:szCs w:val="22"/>
              </w:rPr>
            </w:pPr>
          </w:p>
        </w:tc>
        <w:tc>
          <w:tcPr>
            <w:tcW w:w="2070" w:type="dxa"/>
            <w:shd w:val="clear" w:color="auto" w:fill="D9D9D9" w:themeFill="background1" w:themeFillShade="D9"/>
            <w:vAlign w:val="center"/>
          </w:tcPr>
          <w:p w:rsidR="00B67664" w:rsidRPr="00D3149C" w:rsidP="00994F52" w14:paraId="394A5C51" w14:textId="77777777">
            <w:pPr>
              <w:tabs>
                <w:tab w:val="left" w:pos="-720"/>
              </w:tabs>
              <w:suppressAutoHyphens/>
              <w:jc w:val="center"/>
              <w:rPr>
                <w:b/>
                <w:sz w:val="22"/>
                <w:szCs w:val="22"/>
              </w:rPr>
            </w:pPr>
            <w:r w:rsidRPr="00D3149C">
              <w:rPr>
                <w:b/>
                <w:sz w:val="22"/>
                <w:szCs w:val="22"/>
              </w:rPr>
              <w:t>Date of Publication</w:t>
            </w:r>
          </w:p>
        </w:tc>
        <w:tc>
          <w:tcPr>
            <w:tcW w:w="1260" w:type="dxa"/>
            <w:shd w:val="clear" w:color="auto" w:fill="D9D9D9" w:themeFill="background1" w:themeFillShade="D9"/>
            <w:vAlign w:val="center"/>
          </w:tcPr>
          <w:p w:rsidR="00B67664" w:rsidRPr="00D3149C" w:rsidP="00994F52" w14:paraId="74C46F69" w14:textId="77777777">
            <w:pPr>
              <w:tabs>
                <w:tab w:val="left" w:pos="-720"/>
              </w:tabs>
              <w:suppressAutoHyphens/>
              <w:jc w:val="center"/>
              <w:rPr>
                <w:b/>
                <w:sz w:val="22"/>
                <w:szCs w:val="22"/>
              </w:rPr>
            </w:pPr>
            <w:r w:rsidRPr="00D3149C">
              <w:rPr>
                <w:b/>
                <w:sz w:val="22"/>
                <w:szCs w:val="22"/>
              </w:rPr>
              <w:t>Volume #</w:t>
            </w:r>
          </w:p>
        </w:tc>
        <w:tc>
          <w:tcPr>
            <w:tcW w:w="1260" w:type="dxa"/>
            <w:shd w:val="clear" w:color="auto" w:fill="D9D9D9" w:themeFill="background1" w:themeFillShade="D9"/>
            <w:vAlign w:val="center"/>
          </w:tcPr>
          <w:p w:rsidR="00B67664" w:rsidRPr="00D3149C" w:rsidP="00994F52" w14:paraId="2EF2F3C6" w14:textId="77777777">
            <w:pPr>
              <w:tabs>
                <w:tab w:val="left" w:pos="-720"/>
              </w:tabs>
              <w:suppressAutoHyphens/>
              <w:jc w:val="center"/>
              <w:rPr>
                <w:b/>
                <w:sz w:val="22"/>
                <w:szCs w:val="22"/>
              </w:rPr>
            </w:pPr>
            <w:r w:rsidRPr="00D3149C">
              <w:rPr>
                <w:b/>
                <w:sz w:val="22"/>
                <w:szCs w:val="22"/>
              </w:rPr>
              <w:t>Number #</w:t>
            </w:r>
          </w:p>
        </w:tc>
        <w:tc>
          <w:tcPr>
            <w:tcW w:w="990" w:type="dxa"/>
            <w:shd w:val="clear" w:color="auto" w:fill="D9D9D9" w:themeFill="background1" w:themeFillShade="D9"/>
            <w:vAlign w:val="center"/>
          </w:tcPr>
          <w:p w:rsidR="00B67664" w:rsidRPr="00D3149C" w:rsidP="00994F52" w14:paraId="397ECAAC" w14:textId="77777777">
            <w:pPr>
              <w:tabs>
                <w:tab w:val="left" w:pos="-720"/>
              </w:tabs>
              <w:suppressAutoHyphens/>
              <w:jc w:val="center"/>
              <w:rPr>
                <w:b/>
                <w:sz w:val="22"/>
                <w:szCs w:val="22"/>
              </w:rPr>
            </w:pPr>
            <w:r w:rsidRPr="00D3149C">
              <w:rPr>
                <w:b/>
                <w:sz w:val="22"/>
                <w:szCs w:val="22"/>
              </w:rPr>
              <w:t>Page #</w:t>
            </w:r>
          </w:p>
        </w:tc>
        <w:tc>
          <w:tcPr>
            <w:tcW w:w="1915" w:type="dxa"/>
            <w:shd w:val="clear" w:color="auto" w:fill="D9D9D9" w:themeFill="background1" w:themeFillShade="D9"/>
            <w:vAlign w:val="center"/>
          </w:tcPr>
          <w:p w:rsidR="00B67664" w:rsidRPr="00D3149C" w:rsidP="00994F52" w14:paraId="5031F6DC" w14:textId="77777777">
            <w:pPr>
              <w:tabs>
                <w:tab w:val="left" w:pos="-720"/>
              </w:tabs>
              <w:suppressAutoHyphens/>
              <w:jc w:val="center"/>
              <w:rPr>
                <w:b/>
                <w:sz w:val="22"/>
                <w:szCs w:val="22"/>
              </w:rPr>
            </w:pPr>
            <w:r w:rsidRPr="00D3149C">
              <w:rPr>
                <w:b/>
                <w:sz w:val="22"/>
                <w:szCs w:val="22"/>
              </w:rPr>
              <w:t>Comments Addressed</w:t>
            </w:r>
          </w:p>
        </w:tc>
      </w:tr>
      <w:tr w14:paraId="4A105572" w14:textId="77777777" w:rsidTr="7A8D8275">
        <w:tblPrEx>
          <w:tblW w:w="9380" w:type="dxa"/>
          <w:tblLayout w:type="fixed"/>
          <w:tblLook w:val="04A0"/>
        </w:tblPrEx>
        <w:tc>
          <w:tcPr>
            <w:tcW w:w="1885" w:type="dxa"/>
            <w:vAlign w:val="center"/>
          </w:tcPr>
          <w:p w:rsidR="00B67664" w:rsidRPr="00D3149C" w:rsidP="00994F52" w14:paraId="2BA75DC6" w14:textId="04835B3A">
            <w:pPr>
              <w:tabs>
                <w:tab w:val="left" w:pos="-720"/>
              </w:tabs>
              <w:suppressAutoHyphens/>
              <w:jc w:val="center"/>
              <w:rPr>
                <w:i/>
                <w:sz w:val="22"/>
                <w:szCs w:val="22"/>
              </w:rPr>
            </w:pPr>
            <w:r w:rsidRPr="00D3149C">
              <w:rPr>
                <w:i/>
                <w:sz w:val="22"/>
                <w:szCs w:val="22"/>
              </w:rPr>
              <w:t>60</w:t>
            </w:r>
            <w:r w:rsidRPr="00D3149C" w:rsidR="00994F52">
              <w:rPr>
                <w:i/>
                <w:sz w:val="22"/>
                <w:szCs w:val="22"/>
              </w:rPr>
              <w:t>-</w:t>
            </w:r>
            <w:r w:rsidRPr="00D3149C">
              <w:rPr>
                <w:i/>
                <w:sz w:val="22"/>
                <w:szCs w:val="22"/>
              </w:rPr>
              <w:t>Day Federal Register Notice</w:t>
            </w:r>
          </w:p>
        </w:tc>
        <w:tc>
          <w:tcPr>
            <w:tcW w:w="2070" w:type="dxa"/>
            <w:vAlign w:val="center"/>
          </w:tcPr>
          <w:p w:rsidR="00B67664" w:rsidRPr="00D3149C" w:rsidP="7A8D8275" w14:paraId="4EC53033" w14:textId="3C08A6F7">
            <w:pPr>
              <w:suppressAutoHyphens/>
              <w:jc w:val="center"/>
              <w:rPr>
                <w:sz w:val="22"/>
                <w:szCs w:val="22"/>
              </w:rPr>
            </w:pPr>
            <w:r>
              <w:rPr>
                <w:sz w:val="22"/>
                <w:szCs w:val="22"/>
              </w:rPr>
              <w:t>06/16/2025</w:t>
            </w:r>
          </w:p>
        </w:tc>
        <w:tc>
          <w:tcPr>
            <w:tcW w:w="1260" w:type="dxa"/>
            <w:vAlign w:val="center"/>
          </w:tcPr>
          <w:p w:rsidR="00B67664" w:rsidRPr="00D3149C" w:rsidP="7A8D8275" w14:paraId="7DD6E200" w14:textId="104582E3">
            <w:pPr>
              <w:suppressAutoHyphens/>
              <w:jc w:val="center"/>
              <w:rPr>
                <w:sz w:val="22"/>
                <w:szCs w:val="22"/>
              </w:rPr>
            </w:pPr>
            <w:r>
              <w:rPr>
                <w:sz w:val="22"/>
                <w:szCs w:val="22"/>
              </w:rPr>
              <w:t>90</w:t>
            </w:r>
          </w:p>
        </w:tc>
        <w:tc>
          <w:tcPr>
            <w:tcW w:w="1260" w:type="dxa"/>
            <w:vAlign w:val="center"/>
          </w:tcPr>
          <w:p w:rsidR="00B67664" w:rsidRPr="00D3149C" w:rsidP="7A8D8275" w14:paraId="37A91329" w14:textId="2DA02503">
            <w:pPr>
              <w:suppressAutoHyphens/>
              <w:jc w:val="center"/>
              <w:rPr>
                <w:sz w:val="22"/>
                <w:szCs w:val="22"/>
              </w:rPr>
            </w:pPr>
            <w:r>
              <w:rPr>
                <w:sz w:val="22"/>
                <w:szCs w:val="22"/>
              </w:rPr>
              <w:t>114</w:t>
            </w:r>
          </w:p>
        </w:tc>
        <w:tc>
          <w:tcPr>
            <w:tcW w:w="990" w:type="dxa"/>
            <w:vAlign w:val="center"/>
          </w:tcPr>
          <w:p w:rsidR="00B67664" w:rsidRPr="00D3149C" w:rsidP="7A8D8275" w14:paraId="6C50DACB" w14:textId="0EE202D4">
            <w:pPr>
              <w:suppressAutoHyphens/>
              <w:jc w:val="center"/>
              <w:rPr>
                <w:sz w:val="22"/>
                <w:szCs w:val="22"/>
              </w:rPr>
            </w:pPr>
            <w:r>
              <w:rPr>
                <w:sz w:val="22"/>
                <w:szCs w:val="22"/>
              </w:rPr>
              <w:t>25355-25356</w:t>
            </w:r>
          </w:p>
        </w:tc>
        <w:tc>
          <w:tcPr>
            <w:tcW w:w="1915" w:type="dxa"/>
            <w:vAlign w:val="center"/>
          </w:tcPr>
          <w:p w:rsidR="00B67664" w:rsidRPr="00D3149C" w:rsidP="7A8D8275" w14:paraId="74E681D9" w14:textId="5B157F53">
            <w:pPr>
              <w:suppressAutoHyphens/>
              <w:jc w:val="center"/>
              <w:rPr>
                <w:sz w:val="22"/>
                <w:szCs w:val="22"/>
              </w:rPr>
            </w:pPr>
            <w:r>
              <w:rPr>
                <w:sz w:val="22"/>
                <w:szCs w:val="22"/>
              </w:rPr>
              <w:t>0</w:t>
            </w:r>
          </w:p>
        </w:tc>
      </w:tr>
      <w:tr w14:paraId="3718D2D4" w14:textId="77777777" w:rsidTr="7A8D8275">
        <w:tblPrEx>
          <w:tblW w:w="9380" w:type="dxa"/>
          <w:tblLayout w:type="fixed"/>
          <w:tblLook w:val="04A0"/>
        </w:tblPrEx>
        <w:trPr>
          <w:trHeight w:val="836"/>
        </w:trPr>
        <w:tc>
          <w:tcPr>
            <w:tcW w:w="1885" w:type="dxa"/>
            <w:vAlign w:val="center"/>
          </w:tcPr>
          <w:p w:rsidR="00B67664" w:rsidRPr="00D3149C" w:rsidP="00994F52" w14:paraId="6FAADABE" w14:textId="77777777">
            <w:pPr>
              <w:tabs>
                <w:tab w:val="left" w:pos="-720"/>
              </w:tabs>
              <w:suppressAutoHyphens/>
              <w:jc w:val="center"/>
              <w:rPr>
                <w:sz w:val="22"/>
                <w:szCs w:val="22"/>
              </w:rPr>
            </w:pPr>
            <w:r w:rsidRPr="00D3149C">
              <w:rPr>
                <w:i/>
                <w:sz w:val="22"/>
                <w:szCs w:val="22"/>
              </w:rPr>
              <w:t>30-Day Federal Register Notice</w:t>
            </w:r>
          </w:p>
        </w:tc>
        <w:tc>
          <w:tcPr>
            <w:tcW w:w="2070" w:type="dxa"/>
            <w:vAlign w:val="center"/>
          </w:tcPr>
          <w:p w:rsidR="00B67664" w:rsidRPr="00D3149C" w:rsidP="7A8D8275" w14:paraId="08968D2F" w14:textId="2CAEFF0B">
            <w:pPr>
              <w:suppressAutoHyphens/>
              <w:jc w:val="center"/>
              <w:rPr>
                <w:sz w:val="22"/>
                <w:szCs w:val="22"/>
              </w:rPr>
            </w:pPr>
            <w:r>
              <w:rPr>
                <w:sz w:val="22"/>
                <w:szCs w:val="22"/>
              </w:rPr>
              <w:t>8/28/2025</w:t>
            </w:r>
          </w:p>
        </w:tc>
        <w:tc>
          <w:tcPr>
            <w:tcW w:w="1260" w:type="dxa"/>
            <w:vAlign w:val="center"/>
          </w:tcPr>
          <w:p w:rsidR="00B67664" w:rsidRPr="00D3149C" w:rsidP="7A8D8275" w14:paraId="12B2F5C1" w14:textId="58F0954A">
            <w:pPr>
              <w:suppressAutoHyphens/>
              <w:jc w:val="center"/>
              <w:rPr>
                <w:sz w:val="22"/>
                <w:szCs w:val="22"/>
              </w:rPr>
            </w:pPr>
            <w:r>
              <w:rPr>
                <w:sz w:val="22"/>
                <w:szCs w:val="22"/>
              </w:rPr>
              <w:t>90</w:t>
            </w:r>
          </w:p>
        </w:tc>
        <w:tc>
          <w:tcPr>
            <w:tcW w:w="1260" w:type="dxa"/>
            <w:vAlign w:val="center"/>
          </w:tcPr>
          <w:p w:rsidR="00B67664" w:rsidRPr="00D3149C" w:rsidP="7A8D8275" w14:paraId="768AB0FF" w14:textId="670C33FF">
            <w:pPr>
              <w:suppressAutoHyphens/>
              <w:jc w:val="center"/>
              <w:rPr>
                <w:sz w:val="22"/>
                <w:szCs w:val="22"/>
              </w:rPr>
            </w:pPr>
            <w:r>
              <w:rPr>
                <w:sz w:val="22"/>
                <w:szCs w:val="22"/>
              </w:rPr>
              <w:t>165</w:t>
            </w:r>
          </w:p>
        </w:tc>
        <w:tc>
          <w:tcPr>
            <w:tcW w:w="990" w:type="dxa"/>
            <w:vAlign w:val="center"/>
          </w:tcPr>
          <w:p w:rsidR="00B67664" w:rsidRPr="00D3149C" w:rsidP="7A8D8275" w14:paraId="41B51635" w14:textId="305F5696">
            <w:pPr>
              <w:suppressAutoHyphens/>
              <w:jc w:val="center"/>
              <w:rPr>
                <w:sz w:val="22"/>
                <w:szCs w:val="22"/>
              </w:rPr>
            </w:pPr>
            <w:r w:rsidRPr="00954FC1">
              <w:rPr>
                <w:sz w:val="22"/>
                <w:szCs w:val="22"/>
              </w:rPr>
              <w:t>42030-42031</w:t>
            </w:r>
          </w:p>
        </w:tc>
        <w:tc>
          <w:tcPr>
            <w:tcW w:w="1915" w:type="dxa"/>
            <w:vAlign w:val="center"/>
          </w:tcPr>
          <w:p w:rsidR="00B67664" w:rsidRPr="00D3149C" w:rsidP="7A8D8275" w14:paraId="5B21B490" w14:textId="0D28FE0C">
            <w:pPr>
              <w:suppressAutoHyphens/>
              <w:jc w:val="center"/>
              <w:rPr>
                <w:sz w:val="22"/>
                <w:szCs w:val="22"/>
              </w:rPr>
            </w:pPr>
            <w:r>
              <w:rPr>
                <w:sz w:val="22"/>
                <w:szCs w:val="22"/>
              </w:rPr>
              <w:t>0</w:t>
            </w:r>
          </w:p>
        </w:tc>
      </w:tr>
    </w:tbl>
    <w:p w:rsidR="00392229" w:rsidP="002C6DBA" w14:paraId="5A0B1182" w14:textId="54E6BC43">
      <w:r>
        <w:t xml:space="preserve">A 60-day public notice for comments was published in the </w:t>
      </w:r>
      <w:r w:rsidRPr="7A8D8275">
        <w:rPr>
          <w:i/>
          <w:iCs/>
        </w:rPr>
        <w:t>Federal Register</w:t>
      </w:r>
      <w:r>
        <w:t xml:space="preserve"> on</w:t>
      </w:r>
      <w:r w:rsidR="0076620B">
        <w:t xml:space="preserve"> </w:t>
      </w:r>
      <w:r w:rsidR="00CA7099">
        <w:t xml:space="preserve">June 16, </w:t>
      </w:r>
      <w:r w:rsidR="00CA7099">
        <w:t>2025</w:t>
      </w:r>
      <w:r w:rsidR="00CA7099">
        <w:t xml:space="preserve"> and no comments were received.</w:t>
      </w:r>
      <w:r w:rsidR="002C6DBA">
        <w:t xml:space="preserve"> </w:t>
      </w:r>
      <w:r w:rsidR="00756682">
        <w:t xml:space="preserve"> </w:t>
      </w:r>
    </w:p>
    <w:p w:rsidR="00021D67" w:rsidP="004E34AB" w14:paraId="3528A49D" w14:textId="77777777">
      <w:pPr>
        <w:jc w:val="both"/>
      </w:pPr>
    </w:p>
    <w:p w:rsidR="00756682" w:rsidP="004E34AB" w14:paraId="542D23DC" w14:textId="1820341E">
      <w:pPr>
        <w:jc w:val="both"/>
      </w:pPr>
      <w:r>
        <w:t xml:space="preserve">A 30-day public notice for comments was published in the </w:t>
      </w:r>
      <w:r w:rsidRPr="7A8D8275">
        <w:rPr>
          <w:i/>
          <w:iCs/>
        </w:rPr>
        <w:t>Federal Register</w:t>
      </w:r>
      <w:r>
        <w:t xml:space="preserve"> on </w:t>
      </w:r>
      <w:r w:rsidR="0003249B">
        <w:t xml:space="preserve">August </w:t>
      </w:r>
      <w:r w:rsidR="00954FC1">
        <w:t>28</w:t>
      </w:r>
      <w:r w:rsidR="0003249B">
        <w:t xml:space="preserve">, </w:t>
      </w:r>
      <w:r w:rsidR="0003249B">
        <w:t>2025</w:t>
      </w:r>
      <w:r w:rsidR="0003249B">
        <w:t xml:space="preserve"> </w:t>
      </w:r>
      <w:r w:rsidR="00075306">
        <w:t>and no comments were received.</w:t>
      </w:r>
    </w:p>
    <w:p w:rsidR="00021D67" w:rsidP="004E34AB" w14:paraId="2A25143E" w14:textId="77777777">
      <w:pPr>
        <w:jc w:val="both"/>
      </w:pPr>
    </w:p>
    <w:p w:rsidR="00EB5E96" w:rsidRPr="00596A43" w:rsidP="000C4293" w14:paraId="62C58144"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9</w:t>
      </w:r>
      <w:r w:rsidRPr="00596A43">
        <w:t>.  Explain</w:t>
      </w:r>
      <w:r w:rsidRPr="00596A43">
        <w:t xml:space="preserve"> any decision to provide any payment or gift to respondents, other than remuneration of contractors or grantees.</w:t>
      </w:r>
    </w:p>
    <w:p w:rsidR="00EB5E96" w:rsidRPr="00596A43" w:rsidP="000C4293" w14:paraId="4DFCFF72" w14:textId="77777777">
      <w:pPr>
        <w:tabs>
          <w:tab w:val="left" w:pos="-720"/>
        </w:tabs>
        <w:suppressAutoHyphens/>
        <w:jc w:val="both"/>
      </w:pPr>
    </w:p>
    <w:p w:rsidR="002D4AD9" w:rsidRPr="00AB5A92" w:rsidP="004E34AB" w14:paraId="7DE087E9" w14:textId="1F32233D">
      <w:pPr>
        <w:tabs>
          <w:tab w:val="left" w:pos="-720"/>
        </w:tabs>
        <w:suppressAutoHyphens/>
        <w:contextualSpacing/>
        <w:jc w:val="both"/>
      </w:pPr>
      <w:r>
        <w:t>There is no offer of monetary or material value for this information collection.</w:t>
      </w:r>
    </w:p>
    <w:p w:rsidR="00F861A5" w:rsidRPr="00AB5A92" w:rsidP="00F861A5" w14:paraId="29CAEB22" w14:textId="77777777">
      <w:pPr>
        <w:tabs>
          <w:tab w:val="left" w:pos="-720"/>
        </w:tabs>
        <w:suppressAutoHyphens/>
        <w:contextualSpacing/>
      </w:pPr>
    </w:p>
    <w:p w:rsidR="00EB5E96" w:rsidRPr="00596A43" w:rsidP="000C4293" w14:paraId="68AB49FF" w14:textId="31B3AA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10</w:t>
      </w:r>
      <w:r w:rsidRPr="00596A43">
        <w:t>.  Describe</w:t>
      </w:r>
      <w:r w:rsidRPr="00596A43">
        <w:t xml:space="preserve"> any assurance of confidentiality provided to respondents and the basis for the assurance in statute, regulation, or agency policy.</w:t>
      </w:r>
    </w:p>
    <w:p w:rsidR="00EB5E96" w:rsidRPr="00596A43" w:rsidP="000C4293" w14:paraId="0E42A2E4" w14:textId="77777777">
      <w:pPr>
        <w:tabs>
          <w:tab w:val="left" w:pos="-720"/>
        </w:tabs>
        <w:suppressAutoHyphens/>
        <w:jc w:val="both"/>
      </w:pPr>
      <w:r w:rsidRPr="00596A43">
        <w:fldChar w:fldCharType="begin"/>
      </w:r>
      <w:r w:rsidRPr="00596A43">
        <w:instrText>ADVANCE \R 0.95</w:instrText>
      </w:r>
      <w:r w:rsidRPr="00596A43">
        <w:fldChar w:fldCharType="end"/>
      </w:r>
    </w:p>
    <w:p w:rsidR="003421DA" w:rsidP="004E34AB" w14:paraId="2D6FC3D8" w14:textId="4FF64C18">
      <w:pPr>
        <w:jc w:val="both"/>
        <w:rPr>
          <w:color w:val="000000"/>
        </w:rPr>
      </w:pPr>
      <w:r>
        <w:rPr>
          <w:color w:val="000000"/>
        </w:rPr>
        <w:t>There are no assurances of confidentiality.</w:t>
      </w:r>
    </w:p>
    <w:p w:rsidR="00F74376" w:rsidP="004E34AB" w14:paraId="613A77CF" w14:textId="77777777">
      <w:pPr>
        <w:jc w:val="both"/>
        <w:rPr>
          <w:color w:val="000000"/>
        </w:rPr>
      </w:pPr>
    </w:p>
    <w:p w:rsidR="006C5395" w:rsidP="004E34AB" w14:paraId="03C9E337" w14:textId="77777777">
      <w:pPr>
        <w:jc w:val="both"/>
        <w:rPr>
          <w:color w:val="000000"/>
        </w:rPr>
      </w:pPr>
      <w:r w:rsidRPr="006C5395">
        <w:rPr>
          <w:color w:val="000000"/>
        </w:rPr>
        <w:t xml:space="preserve">PIA coverage is provided by: </w:t>
      </w:r>
    </w:p>
    <w:p w:rsidR="003421DA" w:rsidP="006C5395" w14:paraId="33B90618" w14:textId="49AEE638">
      <w:pPr>
        <w:ind w:firstLine="720"/>
        <w:jc w:val="both"/>
        <w:rPr>
          <w:color w:val="000000"/>
        </w:rPr>
      </w:pPr>
      <w:r w:rsidRPr="006C5395">
        <w:rPr>
          <w:color w:val="000000"/>
        </w:rPr>
        <w:t>•</w:t>
      </w:r>
      <w:r>
        <w:rPr>
          <w:color w:val="000000"/>
        </w:rPr>
        <w:t xml:space="preserve"> </w:t>
      </w:r>
      <w:r w:rsidRPr="006C5395">
        <w:rPr>
          <w:color w:val="000000"/>
        </w:rPr>
        <w:t xml:space="preserve">DHS/ALL/PIA-006 DHS General Contacts List collects a minimal amount of contact information </w:t>
      </w:r>
      <w:r w:rsidRPr="006C5395">
        <w:rPr>
          <w:color w:val="000000"/>
        </w:rPr>
        <w:t>in order to</w:t>
      </w:r>
      <w:r w:rsidRPr="006C5395">
        <w:rPr>
          <w:color w:val="000000"/>
        </w:rPr>
        <w:t xml:space="preserve"> distribute information and perform various other administrative tasks.</w:t>
      </w:r>
    </w:p>
    <w:p w:rsidR="006B27A5" w:rsidP="006C5395" w14:paraId="6EFB8D0C" w14:textId="77777777">
      <w:pPr>
        <w:ind w:firstLine="720"/>
        <w:jc w:val="both"/>
        <w:rPr>
          <w:color w:val="000000"/>
        </w:rPr>
      </w:pPr>
      <w:r w:rsidRPr="006B27A5">
        <w:rPr>
          <w:color w:val="000000"/>
        </w:rPr>
        <w:t>•</w:t>
      </w:r>
      <w:r>
        <w:rPr>
          <w:color w:val="000000"/>
        </w:rPr>
        <w:t xml:space="preserve"> </w:t>
      </w:r>
      <w:r w:rsidRPr="006B27A5">
        <w:rPr>
          <w:color w:val="000000"/>
        </w:rPr>
        <w:t xml:space="preserve">DHS/ALL/PIA-061 HSIN 3.0 Shared Spaces </w:t>
      </w:r>
      <w:r w:rsidRPr="006B27A5">
        <w:rPr>
          <w:color w:val="000000"/>
        </w:rPr>
        <w:t>On</w:t>
      </w:r>
      <w:r w:rsidRPr="006B27A5">
        <w:rPr>
          <w:color w:val="000000"/>
        </w:rPr>
        <w:t xml:space="preserve"> </w:t>
      </w:r>
      <w:r w:rsidRPr="006B27A5">
        <w:rPr>
          <w:color w:val="000000"/>
        </w:rPr>
        <w:t>The</w:t>
      </w:r>
      <w:r w:rsidRPr="006B27A5">
        <w:rPr>
          <w:color w:val="000000"/>
        </w:rPr>
        <w:t xml:space="preserve"> Sensitive </w:t>
      </w:r>
      <w:r w:rsidRPr="006B27A5">
        <w:rPr>
          <w:color w:val="000000"/>
        </w:rPr>
        <w:t>But</w:t>
      </w:r>
      <w:r w:rsidRPr="006B27A5">
        <w:rPr>
          <w:color w:val="000000"/>
        </w:rPr>
        <w:t xml:space="preserve"> Unclassified Network enables information sharing on HSIN.  </w:t>
      </w:r>
    </w:p>
    <w:p w:rsidR="006B27A5" w:rsidP="006C5395" w14:paraId="105F34A6" w14:textId="6AB4FB42">
      <w:pPr>
        <w:ind w:firstLine="720"/>
        <w:jc w:val="both"/>
        <w:rPr>
          <w:color w:val="000000"/>
        </w:rPr>
      </w:pPr>
      <w:r w:rsidRPr="006B27A5">
        <w:rPr>
          <w:color w:val="000000"/>
        </w:rPr>
        <w:t>•</w:t>
      </w:r>
      <w:r>
        <w:rPr>
          <w:color w:val="000000"/>
        </w:rPr>
        <w:t xml:space="preserve"> </w:t>
      </w:r>
      <w:r w:rsidRPr="006B27A5">
        <w:rPr>
          <w:color w:val="000000"/>
        </w:rPr>
        <w:t xml:space="preserve">DHS/ALL/PIA-069 DHS Surveys, Interviews, and Focus Groups permits DHS and its Components to periodically solicit voluntary feedback from its employees, contractors, external stakeholders, and the </w:t>
      </w:r>
      <w:r w:rsidRPr="006B27A5">
        <w:rPr>
          <w:color w:val="000000"/>
        </w:rPr>
        <w:t>general public</w:t>
      </w:r>
      <w:r w:rsidRPr="006B27A5">
        <w:rPr>
          <w:color w:val="000000"/>
        </w:rPr>
        <w:t xml:space="preserve"> </w:t>
      </w:r>
      <w:r w:rsidRPr="006B27A5">
        <w:rPr>
          <w:color w:val="000000"/>
        </w:rPr>
        <w:t>through the use of</w:t>
      </w:r>
      <w:r w:rsidRPr="006B27A5">
        <w:rPr>
          <w:color w:val="000000"/>
        </w:rPr>
        <w:t xml:space="preserve"> surveys, interviews, and focus groups to improve DHS services and operations.</w:t>
      </w:r>
    </w:p>
    <w:p w:rsidR="00DF187A" w:rsidP="006C5395" w14:paraId="02D3FCBC" w14:textId="77777777">
      <w:pPr>
        <w:ind w:firstLine="720"/>
        <w:jc w:val="both"/>
        <w:rPr>
          <w:color w:val="000000"/>
        </w:rPr>
      </w:pPr>
    </w:p>
    <w:p w:rsidR="00DF187A" w:rsidP="00DF187A" w14:paraId="0767FEFA" w14:textId="4A598238">
      <w:pPr>
        <w:jc w:val="both"/>
        <w:rPr>
          <w:color w:val="000000"/>
        </w:rPr>
      </w:pPr>
      <w:r w:rsidRPr="00DF187A">
        <w:rPr>
          <w:color w:val="000000"/>
        </w:rPr>
        <w:t xml:space="preserve">SORN coverage is provided </w:t>
      </w:r>
      <w:r w:rsidRPr="00DF187A">
        <w:rPr>
          <w:color w:val="000000"/>
        </w:rPr>
        <w:t>By</w:t>
      </w:r>
      <w:r w:rsidRPr="00DF187A">
        <w:rPr>
          <w:color w:val="000000"/>
        </w:rPr>
        <w:t xml:space="preserve"> DHS/ALL-002 DHS Mailing and Other Lists System, which maintains lists of individuals who are members.</w:t>
      </w:r>
    </w:p>
    <w:p w:rsidR="00AA3F82" w:rsidRPr="00596A43" w:rsidP="002D4AD9" w14:paraId="0D8B045A" w14:textId="77777777">
      <w:pPr>
        <w:pStyle w:val="Default"/>
      </w:pPr>
    </w:p>
    <w:p w:rsidR="00EB5E96" w:rsidRPr="00596A43" w:rsidP="000C4293" w14:paraId="2932B734" w14:textId="21397B8C">
      <w:pPr>
        <w:shd w:val="pct25" w:color="auto" w:fill="auto"/>
        <w:tabs>
          <w:tab w:val="left" w:pos="-720"/>
        </w:tabs>
        <w:suppressAutoHyphens/>
        <w:jc w:val="both"/>
      </w:pPr>
      <w:r w:rsidRPr="00596A43">
        <w:t>11</w:t>
      </w:r>
      <w:r w:rsidRPr="00596A43">
        <w:t>.  Provide</w:t>
      </w:r>
      <w:r w:rsidRPr="00596A43">
        <w:t xml:space="preserv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596A43">
        <w:t>persons</w:t>
      </w:r>
      <w:r w:rsidRPr="00596A43">
        <w:t xml:space="preserve"> from whom the information is requested, and any steps to be taken to obtain their consent.</w:t>
      </w:r>
    </w:p>
    <w:p w:rsidR="00EB5E96" w:rsidRPr="00596A43" w:rsidP="000C4293" w14:paraId="19AB1CCF" w14:textId="77777777">
      <w:pPr>
        <w:shd w:val="clear" w:color="auto" w:fill="FFFFFF"/>
        <w:tabs>
          <w:tab w:val="left" w:pos="-720"/>
        </w:tabs>
        <w:suppressAutoHyphens/>
        <w:jc w:val="both"/>
      </w:pPr>
    </w:p>
    <w:p w:rsidR="002D4AD9" w:rsidP="004E34AB" w14:paraId="547CFFA6" w14:textId="54A38BDD">
      <w:pPr>
        <w:tabs>
          <w:tab w:val="left" w:pos="-720"/>
        </w:tabs>
        <w:suppressAutoHyphens/>
        <w:contextualSpacing/>
        <w:jc w:val="both"/>
      </w:pPr>
      <w:r>
        <w:t>There are no questions of a sensitive nature.</w:t>
      </w:r>
    </w:p>
    <w:p w:rsidR="002C5055" w:rsidRPr="00AB5A92" w:rsidP="002D4AD9" w14:paraId="5A6863F6" w14:textId="77777777">
      <w:pPr>
        <w:tabs>
          <w:tab w:val="left" w:pos="-720"/>
        </w:tabs>
        <w:suppressAutoHyphens/>
        <w:contextualSpacing/>
      </w:pPr>
    </w:p>
    <w:p w:rsidR="00EB5E96" w:rsidRPr="00596A43" w:rsidP="000C4293" w14:paraId="71CFBA58" w14:textId="77777777">
      <w:pPr>
        <w:shd w:val="pct25" w:color="auto" w:fill="FFFFFF"/>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12. Provide estimates of the hour burden of the collection of information.  The statement should:</w:t>
      </w:r>
    </w:p>
    <w:p w:rsidR="00EB5E96" w:rsidRPr="00596A43" w:rsidP="000C4293" w14:paraId="492CA3FA" w14:textId="77777777">
      <w:pPr>
        <w:tabs>
          <w:tab w:val="left" w:pos="-720"/>
        </w:tabs>
        <w:suppressAutoHyphens/>
        <w:jc w:val="both"/>
      </w:pPr>
      <w:r w:rsidRPr="00596A43">
        <w:fldChar w:fldCharType="begin"/>
      </w:r>
      <w:r w:rsidRPr="00596A43">
        <w:instrText>ADVANCE \R 0.95</w:instrText>
      </w:r>
      <w:r w:rsidRPr="00596A43">
        <w:fldChar w:fldCharType="end"/>
      </w:r>
    </w:p>
    <w:p w:rsidR="00EB5E96" w:rsidP="00F861A5" w14:paraId="509B77C6" w14:textId="56C08431">
      <w:pPr>
        <w:numPr>
          <w:ilvl w:val="0"/>
          <w:numId w:val="27"/>
        </w:num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Indicate the number of respondents, frequency of response, annual hour burden, and an explanation of how the burden was estimated. </w:t>
      </w:r>
      <w:r w:rsidR="00BF47A9">
        <w:t xml:space="preserve"> </w:t>
      </w:r>
      <w:r w:rsidRPr="00596A43">
        <w:t>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861A5" w:rsidP="00F861A5" w14:paraId="774ECB7B" w14:textId="77777777">
      <w:pPr>
        <w:widowControl w:val="0"/>
        <w:tabs>
          <w:tab w:val="left" w:pos="720"/>
          <w:tab w:val="left" w:pos="1440"/>
        </w:tabs>
        <w:spacing w:before="120"/>
        <w:ind w:left="765"/>
        <w:contextualSpacing/>
      </w:pPr>
    </w:p>
    <w:p w:rsidR="008B6331" w:rsidP="00BF47A9" w14:paraId="24E124BF" w14:textId="684AE76C">
      <w:pPr>
        <w:jc w:val="both"/>
      </w:pPr>
      <w:r w:rsidRPr="002516F4">
        <w:t>To estimate the burden associated with this collection, CISA multiplies the number of responses</w:t>
      </w:r>
      <w:r w:rsidRPr="002516F4" w:rsidR="03187D80">
        <w:t>,</w:t>
      </w:r>
      <w:r w:rsidRPr="002516F4">
        <w:t xml:space="preserve"> and the estimated time needed to respond.  Based on </w:t>
      </w:r>
      <w:r w:rsidRPr="002516F4">
        <w:t>subject</w:t>
      </w:r>
      <w:r w:rsidRPr="002516F4">
        <w:t xml:space="preserve"> </w:t>
      </w:r>
      <w:r w:rsidRPr="002516F4">
        <w:t>matter</w:t>
      </w:r>
      <w:r w:rsidRPr="002516F4">
        <w:t xml:space="preserve"> expert elicitation, CISA estimates approximately </w:t>
      </w:r>
      <w:r w:rsidR="00F81058">
        <w:t>95% of</w:t>
      </w:r>
      <w:r w:rsidRPr="002516F4">
        <w:t xml:space="preserve"> SAFECOM members</w:t>
      </w:r>
      <w:r w:rsidR="00F81058">
        <w:t xml:space="preserve"> will respond</w:t>
      </w:r>
      <w:r w:rsidRPr="002516F4">
        <w:t>,</w:t>
      </w:r>
      <w:r w:rsidRPr="002516F4" w:rsidR="18B9470A">
        <w:t xml:space="preserve"> 36</w:t>
      </w:r>
      <w:r w:rsidRPr="002516F4">
        <w:t xml:space="preserve"> of which will be from </w:t>
      </w:r>
      <w:r w:rsidR="00D3149C">
        <w:t xml:space="preserve">SLTT </w:t>
      </w:r>
      <w:r w:rsidRPr="002516F4">
        <w:t>stakeholders and 5</w:t>
      </w:r>
      <w:r w:rsidR="00CF665A">
        <w:t>5</w:t>
      </w:r>
      <w:r w:rsidRPr="002516F4">
        <w:t xml:space="preserve"> from private sector stakeholders. </w:t>
      </w:r>
      <w:r w:rsidR="00D3149C">
        <w:t xml:space="preserve"> </w:t>
      </w:r>
      <w:r w:rsidRPr="002516F4">
        <w:t xml:space="preserve">Each submission is estimated to take approximately 15 minutes. </w:t>
      </w:r>
      <w:r w:rsidR="00D3149C">
        <w:t xml:space="preserve"> </w:t>
      </w:r>
      <w:r w:rsidRPr="002516F4">
        <w:t xml:space="preserve">To estimate the total compensation rate for each set of respondents, </w:t>
      </w:r>
      <w:r w:rsidRPr="002516F4" w:rsidR="2C0CC96E">
        <w:t>the load factor is calculated for SLTT and private sector employees. The SLTT load factor is 1.6191</w:t>
      </w:r>
      <w:r>
        <w:rPr>
          <w:vertAlign w:val="superscript"/>
        </w:rPr>
        <w:footnoteReference w:id="3"/>
      </w:r>
      <w:r w:rsidRPr="002516F4" w:rsidR="2C0CC96E">
        <w:t xml:space="preserve"> </w:t>
      </w:r>
      <w:r w:rsidRPr="002516F4" w:rsidR="2C0CC96E">
        <w:t>and the private industry load factor is 1.4208</w:t>
      </w:r>
      <w:r>
        <w:rPr>
          <w:vertAlign w:val="superscript"/>
        </w:rPr>
        <w:footnoteReference w:id="4"/>
      </w:r>
      <w:r w:rsidRPr="002516F4" w:rsidR="2C0CC96E">
        <w:t>.</w:t>
      </w:r>
      <w:r w:rsidRPr="002516F4" w:rsidR="6BC09493">
        <w:t xml:space="preserve"> </w:t>
      </w:r>
      <w:r w:rsidRPr="002516F4">
        <w:t xml:space="preserve">The </w:t>
      </w:r>
      <w:r w:rsidR="00D3149C">
        <w:t>SLTT</w:t>
      </w:r>
      <w:r w:rsidRPr="002516F4">
        <w:t xml:space="preserve"> respondent’s average hourly compensation rate of $</w:t>
      </w:r>
      <w:r w:rsidRPr="002516F4" w:rsidR="3AC93D3D">
        <w:t>94.20</w:t>
      </w:r>
      <w:r w:rsidRPr="002516F4">
        <w:t xml:space="preserve"> is based on an average hourly wage rate of $</w:t>
      </w:r>
      <w:r w:rsidRPr="002516F4" w:rsidR="6EDBC0B7">
        <w:t>58.18</w:t>
      </w:r>
      <w:r>
        <w:rPr>
          <w:rStyle w:val="FootnoteReference"/>
        </w:rPr>
        <w:footnoteReference w:id="5"/>
      </w:r>
      <w:r w:rsidRPr="002516F4">
        <w:t xml:space="preserve"> multiplied by </w:t>
      </w:r>
      <w:r w:rsidRPr="002516F4" w:rsidR="32C8BEE7">
        <w:t>1.6191</w:t>
      </w:r>
      <w:r w:rsidRPr="002516F4">
        <w:t>.  The private sector average hourly compensation rate of $</w:t>
      </w:r>
      <w:r w:rsidRPr="002516F4" w:rsidR="04A2B31F">
        <w:t>95.61</w:t>
      </w:r>
      <w:r w:rsidRPr="002516F4">
        <w:t xml:space="preserve"> is based on an average hourly wage rate of $</w:t>
      </w:r>
      <w:r w:rsidRPr="002516F4" w:rsidR="2EA014B9">
        <w:t>67.29</w:t>
      </w:r>
      <w:r>
        <w:rPr>
          <w:rStyle w:val="FootnoteReference"/>
        </w:rPr>
        <w:footnoteReference w:id="6"/>
      </w:r>
      <w:r w:rsidRPr="002516F4">
        <w:t xml:space="preserve"> multiplied by </w:t>
      </w:r>
      <w:r w:rsidRPr="002516F4" w:rsidR="6E97D483">
        <w:t>1.4208</w:t>
      </w:r>
      <w:r w:rsidRPr="002516F4">
        <w:t xml:space="preserve">. </w:t>
      </w:r>
      <w:r w:rsidR="00D3149C">
        <w:t xml:space="preserve"> </w:t>
      </w:r>
      <w:r w:rsidRPr="002516F4">
        <w:t xml:space="preserve">To estimate the cost, we apply </w:t>
      </w:r>
      <w:r w:rsidRPr="002516F4">
        <w:t>a fully</w:t>
      </w:r>
      <w:r w:rsidRPr="002516F4">
        <w:t xml:space="preserve"> loaded hourly compensation rates for each population to the time required to file a submission.</w:t>
      </w:r>
    </w:p>
    <w:p w:rsidR="009F2117" w:rsidP="008B6331" w14:paraId="6C4B7EFD" w14:textId="77777777"/>
    <w:p w:rsidR="009F2117" w:rsidP="009F2117" w14:paraId="27539451" w14:textId="7F9CC106">
      <w:pPr>
        <w:tabs>
          <w:tab w:val="left" w:pos="7740"/>
        </w:tabs>
      </w:pPr>
      <w:r>
        <w:t>As shown in Table 2, the estimated cost associated with reporting is $</w:t>
      </w:r>
      <w:r w:rsidR="192F4198">
        <w:t>2,162.39</w:t>
      </w:r>
      <w:r>
        <w:t>.</w:t>
      </w:r>
    </w:p>
    <w:p w:rsidR="009F2117" w:rsidP="009F2117" w14:paraId="4C6DAA30" w14:textId="77777777">
      <w:pPr>
        <w:tabs>
          <w:tab w:val="left" w:pos="7740"/>
        </w:tabs>
      </w:pPr>
    </w:p>
    <w:p w:rsidR="009F2117" w:rsidRPr="00BF3CEF" w:rsidP="009F2117" w14:paraId="2626C736" w14:textId="77777777">
      <w:pPr>
        <w:tabs>
          <w:tab w:val="left" w:pos="7740"/>
        </w:tabs>
      </w:pPr>
      <w:r>
        <w:t>Table 2: Burden Estimate</w:t>
      </w:r>
    </w:p>
    <w:tbl>
      <w:tblPr>
        <w:tblW w:w="9360" w:type="dxa"/>
        <w:tblInd w:w="-5" w:type="dxa"/>
        <w:tblLook w:val="04A0"/>
      </w:tblPr>
      <w:tblGrid>
        <w:gridCol w:w="1413"/>
        <w:gridCol w:w="1306"/>
        <w:gridCol w:w="1488"/>
        <w:gridCol w:w="1350"/>
        <w:gridCol w:w="1350"/>
        <w:gridCol w:w="1260"/>
        <w:gridCol w:w="1193"/>
      </w:tblGrid>
      <w:tr w14:paraId="6AF01073" w14:textId="77777777" w:rsidTr="62C3365A">
        <w:tblPrEx>
          <w:tblW w:w="9360" w:type="dxa"/>
          <w:tblInd w:w="-5" w:type="dxa"/>
          <w:tblLook w:val="04A0"/>
        </w:tblPrEx>
        <w:trPr>
          <w:trHeight w:val="1020"/>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3149C" w14:paraId="148AE3B1" w14:textId="77777777">
            <w:pPr>
              <w:jc w:val="center"/>
              <w:rPr>
                <w:b/>
                <w:bCs/>
                <w:color w:val="000000"/>
                <w:sz w:val="20"/>
                <w:szCs w:val="20"/>
              </w:rPr>
            </w:pPr>
            <w:r>
              <w:rPr>
                <w:b/>
                <w:bCs/>
                <w:color w:val="000000"/>
                <w:sz w:val="20"/>
                <w:szCs w:val="20"/>
              </w:rPr>
              <w:t xml:space="preserve">Type of </w:t>
            </w:r>
          </w:p>
          <w:p w:rsidR="009F2117" w14:paraId="38B518F1" w14:textId="7BD0CE65">
            <w:pPr>
              <w:jc w:val="center"/>
              <w:rPr>
                <w:b/>
                <w:bCs/>
                <w:color w:val="000000"/>
                <w:sz w:val="20"/>
                <w:szCs w:val="20"/>
              </w:rPr>
            </w:pPr>
            <w:r>
              <w:rPr>
                <w:b/>
                <w:bCs/>
                <w:color w:val="000000"/>
                <w:sz w:val="20"/>
                <w:szCs w:val="20"/>
              </w:rPr>
              <w:t>Respondent</w:t>
            </w:r>
          </w:p>
        </w:tc>
        <w:tc>
          <w:tcPr>
            <w:tcW w:w="130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F2117" w14:paraId="168AA37B" w14:textId="77777777">
            <w:pPr>
              <w:jc w:val="center"/>
              <w:rPr>
                <w:b/>
                <w:bCs/>
                <w:color w:val="000000"/>
                <w:sz w:val="20"/>
                <w:szCs w:val="20"/>
              </w:rPr>
            </w:pPr>
            <w:r>
              <w:rPr>
                <w:b/>
                <w:bCs/>
                <w:color w:val="000000"/>
                <w:sz w:val="20"/>
                <w:szCs w:val="20"/>
              </w:rPr>
              <w:t>Number of Respondents</w:t>
            </w:r>
          </w:p>
        </w:tc>
        <w:tc>
          <w:tcPr>
            <w:tcW w:w="148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F2117" w14:paraId="5FAE5590" w14:textId="77777777">
            <w:pPr>
              <w:jc w:val="center"/>
              <w:rPr>
                <w:b/>
                <w:bCs/>
                <w:color w:val="000000"/>
                <w:sz w:val="20"/>
                <w:szCs w:val="20"/>
              </w:rPr>
            </w:pPr>
            <w:r>
              <w:rPr>
                <w:b/>
                <w:bCs/>
                <w:color w:val="000000"/>
                <w:sz w:val="20"/>
                <w:szCs w:val="20"/>
              </w:rPr>
              <w:t>Responses per Respondent</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F2117" w14:paraId="3E1551C6" w14:textId="77777777">
            <w:pPr>
              <w:jc w:val="center"/>
              <w:rPr>
                <w:b/>
                <w:bCs/>
                <w:color w:val="000000"/>
                <w:sz w:val="20"/>
                <w:szCs w:val="20"/>
              </w:rPr>
            </w:pPr>
            <w:r>
              <w:rPr>
                <w:b/>
                <w:bCs/>
                <w:color w:val="000000"/>
                <w:sz w:val="20"/>
                <w:szCs w:val="20"/>
              </w:rPr>
              <w:t xml:space="preserve">Average Burden per Response </w:t>
            </w:r>
            <w:r>
              <w:rPr>
                <w:b/>
                <w:bCs/>
                <w:color w:val="000000"/>
                <w:sz w:val="20"/>
                <w:szCs w:val="20"/>
              </w:rPr>
              <w:br/>
              <w:t>(in hours)</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F2117" w:rsidP="00D3149C" w14:paraId="52EEF850" w14:textId="77777777">
            <w:pPr>
              <w:ind w:left="-110" w:right="-110"/>
              <w:jc w:val="center"/>
              <w:rPr>
                <w:b/>
                <w:bCs/>
                <w:color w:val="000000"/>
                <w:sz w:val="20"/>
                <w:szCs w:val="20"/>
              </w:rPr>
            </w:pPr>
            <w:r>
              <w:rPr>
                <w:b/>
                <w:bCs/>
                <w:color w:val="000000"/>
                <w:sz w:val="20"/>
                <w:szCs w:val="20"/>
              </w:rPr>
              <w:t xml:space="preserve">Total Annual Burden </w:t>
            </w:r>
            <w:r>
              <w:rPr>
                <w:b/>
                <w:bCs/>
                <w:color w:val="000000"/>
                <w:sz w:val="20"/>
                <w:szCs w:val="20"/>
              </w:rPr>
              <w:br/>
              <w:t>(in hours)</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F2117" w14:paraId="34B8F7AB" w14:textId="77777777">
            <w:pPr>
              <w:jc w:val="center"/>
              <w:rPr>
                <w:b/>
                <w:bCs/>
                <w:color w:val="000000"/>
                <w:sz w:val="20"/>
                <w:szCs w:val="20"/>
              </w:rPr>
            </w:pPr>
            <w:r>
              <w:rPr>
                <w:b/>
                <w:bCs/>
                <w:color w:val="000000"/>
                <w:sz w:val="20"/>
                <w:szCs w:val="20"/>
              </w:rPr>
              <w:t>Average Hourly Wage Rate</w:t>
            </w:r>
          </w:p>
        </w:tc>
        <w:tc>
          <w:tcPr>
            <w:tcW w:w="11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F2117" w14:paraId="37023676" w14:textId="77777777">
            <w:pPr>
              <w:jc w:val="center"/>
              <w:rPr>
                <w:b/>
                <w:bCs/>
                <w:color w:val="000000"/>
                <w:sz w:val="20"/>
                <w:szCs w:val="20"/>
              </w:rPr>
            </w:pPr>
            <w:r>
              <w:rPr>
                <w:b/>
                <w:bCs/>
                <w:color w:val="000000"/>
                <w:sz w:val="20"/>
                <w:szCs w:val="20"/>
              </w:rPr>
              <w:t>Total Cost</w:t>
            </w:r>
          </w:p>
        </w:tc>
      </w:tr>
      <w:tr w14:paraId="4383E53D" w14:textId="77777777" w:rsidTr="62C3365A">
        <w:tblPrEx>
          <w:tblW w:w="9360" w:type="dxa"/>
          <w:tblInd w:w="-5" w:type="dxa"/>
          <w:tblLook w:val="04A0"/>
        </w:tblPrEx>
        <w:trPr>
          <w:trHeight w:val="30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9F2117" w14:paraId="16B405D7" w14:textId="77777777">
            <w:pPr>
              <w:jc w:val="center"/>
              <w:rPr>
                <w:color w:val="000000"/>
                <w:sz w:val="20"/>
                <w:szCs w:val="20"/>
              </w:rPr>
            </w:pPr>
            <w:r>
              <w:rPr>
                <w:color w:val="000000"/>
                <w:sz w:val="20"/>
                <w:szCs w:val="20"/>
              </w:rPr>
              <w:t>SLTT</w:t>
            </w:r>
          </w:p>
        </w:tc>
        <w:tc>
          <w:tcPr>
            <w:tcW w:w="1306" w:type="dxa"/>
            <w:tcBorders>
              <w:top w:val="nil"/>
              <w:left w:val="nil"/>
              <w:bottom w:val="single" w:sz="4" w:space="0" w:color="auto"/>
              <w:right w:val="single" w:sz="4" w:space="0" w:color="auto"/>
            </w:tcBorders>
            <w:shd w:val="clear" w:color="auto" w:fill="auto"/>
            <w:noWrap/>
            <w:vAlign w:val="center"/>
            <w:hideMark/>
          </w:tcPr>
          <w:p w:rsidR="009F2117" w14:paraId="1350B88A" w14:textId="76722D46">
            <w:pPr>
              <w:jc w:val="center"/>
              <w:rPr>
                <w:color w:val="000000"/>
                <w:sz w:val="20"/>
                <w:szCs w:val="20"/>
              </w:rPr>
            </w:pPr>
            <w:r>
              <w:rPr>
                <w:color w:val="000000"/>
                <w:sz w:val="20"/>
                <w:szCs w:val="20"/>
              </w:rPr>
              <w:t>36</w:t>
            </w:r>
          </w:p>
        </w:tc>
        <w:tc>
          <w:tcPr>
            <w:tcW w:w="1488" w:type="dxa"/>
            <w:tcBorders>
              <w:top w:val="nil"/>
              <w:left w:val="nil"/>
              <w:bottom w:val="single" w:sz="4" w:space="0" w:color="auto"/>
              <w:right w:val="single" w:sz="4" w:space="0" w:color="auto"/>
            </w:tcBorders>
            <w:shd w:val="clear" w:color="auto" w:fill="auto"/>
            <w:noWrap/>
            <w:vAlign w:val="center"/>
            <w:hideMark/>
          </w:tcPr>
          <w:p w:rsidR="009F2117" w14:paraId="1AC438C9" w14:textId="77777777">
            <w:pPr>
              <w:jc w:val="center"/>
              <w:rPr>
                <w:color w:val="000000"/>
                <w:sz w:val="20"/>
                <w:szCs w:val="20"/>
              </w:rPr>
            </w:pPr>
            <w:r>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9F2117" w14:paraId="74C348C3" w14:textId="31D4BDA3">
            <w:pPr>
              <w:jc w:val="center"/>
              <w:rPr>
                <w:color w:val="000000"/>
                <w:sz w:val="20"/>
                <w:szCs w:val="20"/>
              </w:rPr>
            </w:pPr>
            <w:r>
              <w:rPr>
                <w:color w:val="000000"/>
                <w:sz w:val="20"/>
                <w:szCs w:val="20"/>
              </w:rPr>
              <w:t>0.25</w:t>
            </w:r>
            <w:r w:rsidR="006D6681">
              <w:rPr>
                <w:color w:val="000000"/>
                <w:sz w:val="20"/>
                <w:szCs w:val="20"/>
              </w:rPr>
              <w:t xml:space="preserve"> (15</w:t>
            </w:r>
            <w:r w:rsidR="000117DF">
              <w:rPr>
                <w:color w:val="000000"/>
                <w:sz w:val="20"/>
                <w:szCs w:val="20"/>
              </w:rPr>
              <w:t xml:space="preserve"> minutes</w:t>
            </w:r>
            <w:r w:rsidR="006D6681">
              <w:rPr>
                <w:color w:val="000000"/>
                <w:sz w:val="20"/>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rsidR="009F2117" w14:paraId="02CB6791" w14:textId="21E22972">
            <w:pPr>
              <w:jc w:val="center"/>
              <w:rPr>
                <w:color w:val="000000"/>
                <w:sz w:val="20"/>
                <w:szCs w:val="20"/>
              </w:rPr>
            </w:pPr>
            <w:r>
              <w:rPr>
                <w:color w:val="000000"/>
                <w:sz w:val="20"/>
                <w:szCs w:val="20"/>
              </w:rPr>
              <w:t>9</w:t>
            </w:r>
          </w:p>
        </w:tc>
        <w:tc>
          <w:tcPr>
            <w:tcW w:w="1260" w:type="dxa"/>
            <w:tcBorders>
              <w:top w:val="nil"/>
              <w:left w:val="nil"/>
              <w:bottom w:val="single" w:sz="4" w:space="0" w:color="auto"/>
              <w:right w:val="single" w:sz="4" w:space="0" w:color="auto"/>
            </w:tcBorders>
            <w:shd w:val="clear" w:color="auto" w:fill="auto"/>
            <w:noWrap/>
            <w:vAlign w:val="center"/>
            <w:hideMark/>
          </w:tcPr>
          <w:p w:rsidR="009F2117" w14:paraId="5050C991" w14:textId="5A718CAB">
            <w:pPr>
              <w:jc w:val="center"/>
              <w:rPr>
                <w:color w:val="000000"/>
                <w:sz w:val="20"/>
                <w:szCs w:val="20"/>
              </w:rPr>
            </w:pPr>
            <w:r w:rsidRPr="62C3365A">
              <w:rPr>
                <w:color w:val="000000" w:themeColor="text1"/>
                <w:sz w:val="20"/>
                <w:szCs w:val="20"/>
              </w:rPr>
              <w:t>$</w:t>
            </w:r>
            <w:r w:rsidRPr="62C3365A" w:rsidR="26C2EF0D">
              <w:rPr>
                <w:color w:val="000000" w:themeColor="text1"/>
                <w:sz w:val="20"/>
                <w:szCs w:val="20"/>
              </w:rPr>
              <w:t>94.20</w:t>
            </w:r>
          </w:p>
        </w:tc>
        <w:tc>
          <w:tcPr>
            <w:tcW w:w="1193" w:type="dxa"/>
            <w:tcBorders>
              <w:top w:val="nil"/>
              <w:left w:val="nil"/>
              <w:bottom w:val="single" w:sz="4" w:space="0" w:color="auto"/>
              <w:right w:val="single" w:sz="4" w:space="0" w:color="auto"/>
            </w:tcBorders>
            <w:shd w:val="clear" w:color="auto" w:fill="auto"/>
            <w:noWrap/>
            <w:vAlign w:val="center"/>
            <w:hideMark/>
          </w:tcPr>
          <w:p w:rsidR="009F2117" w14:paraId="465199BE" w14:textId="5A4EAAD3">
            <w:pPr>
              <w:jc w:val="center"/>
              <w:rPr>
                <w:color w:val="000000"/>
                <w:sz w:val="20"/>
                <w:szCs w:val="20"/>
              </w:rPr>
            </w:pPr>
            <w:r w:rsidRPr="62C3365A">
              <w:rPr>
                <w:color w:val="000000" w:themeColor="text1"/>
                <w:sz w:val="20"/>
                <w:szCs w:val="20"/>
              </w:rPr>
              <w:t>$</w:t>
            </w:r>
            <w:r w:rsidRPr="62C3365A" w:rsidR="4F3D5E69">
              <w:rPr>
                <w:color w:val="000000" w:themeColor="text1"/>
                <w:sz w:val="20"/>
                <w:szCs w:val="20"/>
              </w:rPr>
              <w:t>847.82</w:t>
            </w:r>
          </w:p>
        </w:tc>
      </w:tr>
      <w:tr w14:paraId="40647ADC" w14:textId="77777777" w:rsidTr="62C3365A">
        <w:tblPrEx>
          <w:tblW w:w="9360" w:type="dxa"/>
          <w:tblInd w:w="-5" w:type="dxa"/>
          <w:tblLook w:val="04A0"/>
        </w:tblPrEx>
        <w:trPr>
          <w:trHeight w:val="30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9F2117" w14:paraId="35FE3F7C" w14:textId="77777777">
            <w:pPr>
              <w:jc w:val="center"/>
              <w:rPr>
                <w:color w:val="000000"/>
                <w:sz w:val="20"/>
                <w:szCs w:val="20"/>
              </w:rPr>
            </w:pPr>
            <w:r>
              <w:rPr>
                <w:color w:val="000000"/>
                <w:sz w:val="20"/>
                <w:szCs w:val="20"/>
              </w:rPr>
              <w:t>Private Sector</w:t>
            </w:r>
          </w:p>
        </w:tc>
        <w:tc>
          <w:tcPr>
            <w:tcW w:w="1306" w:type="dxa"/>
            <w:tcBorders>
              <w:top w:val="nil"/>
              <w:left w:val="nil"/>
              <w:bottom w:val="single" w:sz="4" w:space="0" w:color="auto"/>
              <w:right w:val="single" w:sz="4" w:space="0" w:color="auto"/>
            </w:tcBorders>
            <w:shd w:val="clear" w:color="auto" w:fill="auto"/>
            <w:noWrap/>
            <w:vAlign w:val="center"/>
            <w:hideMark/>
          </w:tcPr>
          <w:p w:rsidR="009F2117" w14:paraId="75D64838" w14:textId="3AB323AC">
            <w:pPr>
              <w:jc w:val="center"/>
              <w:rPr>
                <w:color w:val="000000"/>
                <w:sz w:val="20"/>
                <w:szCs w:val="20"/>
              </w:rPr>
            </w:pPr>
            <w:r>
              <w:rPr>
                <w:color w:val="000000"/>
                <w:sz w:val="20"/>
                <w:szCs w:val="20"/>
              </w:rPr>
              <w:t>55</w:t>
            </w:r>
          </w:p>
        </w:tc>
        <w:tc>
          <w:tcPr>
            <w:tcW w:w="1488" w:type="dxa"/>
            <w:tcBorders>
              <w:top w:val="nil"/>
              <w:left w:val="nil"/>
              <w:bottom w:val="single" w:sz="4" w:space="0" w:color="auto"/>
              <w:right w:val="single" w:sz="4" w:space="0" w:color="auto"/>
            </w:tcBorders>
            <w:shd w:val="clear" w:color="auto" w:fill="auto"/>
            <w:noWrap/>
            <w:vAlign w:val="center"/>
            <w:hideMark/>
          </w:tcPr>
          <w:p w:rsidR="009F2117" w14:paraId="389D73D2" w14:textId="77777777">
            <w:pPr>
              <w:jc w:val="center"/>
              <w:rPr>
                <w:color w:val="000000"/>
                <w:sz w:val="20"/>
                <w:szCs w:val="20"/>
              </w:rPr>
            </w:pPr>
            <w:r>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9F2117" w14:paraId="0B71134A" w14:textId="2C149CA5">
            <w:pPr>
              <w:jc w:val="center"/>
              <w:rPr>
                <w:color w:val="000000"/>
                <w:sz w:val="20"/>
                <w:szCs w:val="20"/>
              </w:rPr>
            </w:pPr>
            <w:r>
              <w:rPr>
                <w:color w:val="000000"/>
                <w:sz w:val="20"/>
                <w:szCs w:val="20"/>
              </w:rPr>
              <w:t>0.25</w:t>
            </w:r>
            <w:r w:rsidR="000117DF">
              <w:rPr>
                <w:color w:val="000000"/>
                <w:sz w:val="20"/>
                <w:szCs w:val="20"/>
              </w:rPr>
              <w:t xml:space="preserve"> (15 minutes)</w:t>
            </w:r>
          </w:p>
        </w:tc>
        <w:tc>
          <w:tcPr>
            <w:tcW w:w="1350" w:type="dxa"/>
            <w:tcBorders>
              <w:top w:val="nil"/>
              <w:left w:val="nil"/>
              <w:bottom w:val="single" w:sz="4" w:space="0" w:color="auto"/>
              <w:right w:val="single" w:sz="4" w:space="0" w:color="auto"/>
            </w:tcBorders>
            <w:shd w:val="clear" w:color="auto" w:fill="auto"/>
            <w:noWrap/>
            <w:vAlign w:val="center"/>
            <w:hideMark/>
          </w:tcPr>
          <w:p w:rsidR="00196122" w:rsidP="00196122" w14:paraId="0BFDA2C0" w14:textId="238EC541">
            <w:pPr>
              <w:jc w:val="center"/>
              <w:rPr>
                <w:color w:val="000000"/>
                <w:sz w:val="20"/>
                <w:szCs w:val="20"/>
              </w:rPr>
            </w:pPr>
            <w:r>
              <w:rPr>
                <w:color w:val="000000"/>
                <w:sz w:val="20"/>
                <w:szCs w:val="20"/>
              </w:rPr>
              <w:t>13.75</w:t>
            </w:r>
          </w:p>
        </w:tc>
        <w:tc>
          <w:tcPr>
            <w:tcW w:w="1260" w:type="dxa"/>
            <w:tcBorders>
              <w:top w:val="nil"/>
              <w:left w:val="nil"/>
              <w:bottom w:val="single" w:sz="4" w:space="0" w:color="auto"/>
              <w:right w:val="single" w:sz="4" w:space="0" w:color="auto"/>
            </w:tcBorders>
            <w:shd w:val="clear" w:color="auto" w:fill="auto"/>
            <w:noWrap/>
            <w:vAlign w:val="center"/>
            <w:hideMark/>
          </w:tcPr>
          <w:p w:rsidR="009F2117" w14:paraId="1C596151" w14:textId="5BF41FB4">
            <w:pPr>
              <w:jc w:val="center"/>
              <w:rPr>
                <w:color w:val="000000"/>
                <w:sz w:val="20"/>
                <w:szCs w:val="20"/>
              </w:rPr>
            </w:pPr>
            <w:r w:rsidRPr="62C3365A">
              <w:rPr>
                <w:color w:val="000000" w:themeColor="text1"/>
                <w:sz w:val="20"/>
                <w:szCs w:val="20"/>
              </w:rPr>
              <w:t>$</w:t>
            </w:r>
            <w:r w:rsidRPr="62C3365A" w:rsidR="0FF9F846">
              <w:rPr>
                <w:color w:val="000000" w:themeColor="text1"/>
                <w:sz w:val="20"/>
                <w:szCs w:val="20"/>
              </w:rPr>
              <w:t>95.61</w:t>
            </w:r>
          </w:p>
        </w:tc>
        <w:tc>
          <w:tcPr>
            <w:tcW w:w="1193" w:type="dxa"/>
            <w:tcBorders>
              <w:top w:val="nil"/>
              <w:left w:val="nil"/>
              <w:bottom w:val="single" w:sz="4" w:space="0" w:color="auto"/>
              <w:right w:val="single" w:sz="4" w:space="0" w:color="auto"/>
            </w:tcBorders>
            <w:shd w:val="clear" w:color="auto" w:fill="auto"/>
            <w:noWrap/>
            <w:vAlign w:val="center"/>
            <w:hideMark/>
          </w:tcPr>
          <w:p w:rsidR="009F2117" w14:paraId="2BF7116E" w14:textId="11051F0A">
            <w:pPr>
              <w:jc w:val="center"/>
              <w:rPr>
                <w:color w:val="000000"/>
                <w:sz w:val="20"/>
                <w:szCs w:val="20"/>
              </w:rPr>
            </w:pPr>
            <w:r w:rsidRPr="62C3365A">
              <w:rPr>
                <w:color w:val="000000" w:themeColor="text1"/>
                <w:sz w:val="20"/>
                <w:szCs w:val="20"/>
              </w:rPr>
              <w:t>$</w:t>
            </w:r>
            <w:r w:rsidRPr="62C3365A" w:rsidR="01EB9040">
              <w:rPr>
                <w:color w:val="000000" w:themeColor="text1"/>
                <w:sz w:val="20"/>
                <w:szCs w:val="20"/>
              </w:rPr>
              <w:t>1,314.58</w:t>
            </w:r>
          </w:p>
        </w:tc>
      </w:tr>
      <w:tr w14:paraId="716BD8ED" w14:textId="77777777" w:rsidTr="62C3365A">
        <w:tblPrEx>
          <w:tblW w:w="9360" w:type="dxa"/>
          <w:tblInd w:w="-5" w:type="dxa"/>
          <w:tblLook w:val="04A0"/>
        </w:tblPrEx>
        <w:trPr>
          <w:trHeight w:val="30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9F2117" w14:paraId="69CA11DA" w14:textId="77777777">
            <w:pPr>
              <w:jc w:val="center"/>
              <w:rPr>
                <w:color w:val="000000"/>
                <w:sz w:val="20"/>
                <w:szCs w:val="20"/>
              </w:rPr>
            </w:pPr>
            <w:r>
              <w:rPr>
                <w:color w:val="000000"/>
                <w:sz w:val="20"/>
                <w:szCs w:val="20"/>
              </w:rPr>
              <w:t>Total</w:t>
            </w:r>
          </w:p>
        </w:tc>
        <w:tc>
          <w:tcPr>
            <w:tcW w:w="1306" w:type="dxa"/>
            <w:tcBorders>
              <w:top w:val="nil"/>
              <w:left w:val="nil"/>
              <w:bottom w:val="single" w:sz="4" w:space="0" w:color="auto"/>
              <w:right w:val="single" w:sz="4" w:space="0" w:color="auto"/>
            </w:tcBorders>
            <w:shd w:val="clear" w:color="auto" w:fill="auto"/>
            <w:vAlign w:val="center"/>
            <w:hideMark/>
          </w:tcPr>
          <w:p w:rsidR="009F2117" w14:paraId="081BC06D" w14:textId="7E325618">
            <w:pPr>
              <w:jc w:val="center"/>
              <w:rPr>
                <w:color w:val="000000"/>
                <w:sz w:val="20"/>
                <w:szCs w:val="20"/>
              </w:rPr>
            </w:pPr>
            <w:r>
              <w:rPr>
                <w:color w:val="000000"/>
                <w:sz w:val="20"/>
                <w:szCs w:val="20"/>
              </w:rPr>
              <w:t>91</w:t>
            </w:r>
          </w:p>
        </w:tc>
        <w:tc>
          <w:tcPr>
            <w:tcW w:w="1488" w:type="dxa"/>
            <w:tcBorders>
              <w:top w:val="nil"/>
              <w:left w:val="nil"/>
              <w:bottom w:val="single" w:sz="4" w:space="0" w:color="auto"/>
              <w:right w:val="single" w:sz="4" w:space="0" w:color="auto"/>
            </w:tcBorders>
            <w:shd w:val="clear" w:color="auto" w:fill="auto"/>
            <w:vAlign w:val="center"/>
            <w:hideMark/>
          </w:tcPr>
          <w:p w:rsidR="009F2117" w14:paraId="2BB1BC1D" w14:textId="77777777">
            <w:pPr>
              <w:jc w:val="center"/>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9F2117" w14:paraId="5C8A65F2" w14:textId="77777777">
            <w:pPr>
              <w:jc w:val="center"/>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9F2117" w14:paraId="4475E4B5" w14:textId="318C967B">
            <w:pPr>
              <w:jc w:val="center"/>
              <w:rPr>
                <w:color w:val="000000"/>
                <w:sz w:val="20"/>
                <w:szCs w:val="20"/>
              </w:rPr>
            </w:pPr>
            <w:r>
              <w:rPr>
                <w:color w:val="000000"/>
                <w:sz w:val="20"/>
                <w:szCs w:val="20"/>
              </w:rPr>
              <w:t>22.75</w:t>
            </w:r>
          </w:p>
        </w:tc>
        <w:tc>
          <w:tcPr>
            <w:tcW w:w="1260" w:type="dxa"/>
            <w:tcBorders>
              <w:top w:val="nil"/>
              <w:left w:val="nil"/>
              <w:bottom w:val="single" w:sz="4" w:space="0" w:color="auto"/>
              <w:right w:val="single" w:sz="4" w:space="0" w:color="auto"/>
            </w:tcBorders>
            <w:shd w:val="clear" w:color="auto" w:fill="auto"/>
            <w:vAlign w:val="center"/>
            <w:hideMark/>
          </w:tcPr>
          <w:p w:rsidR="009F2117" w14:paraId="79D3CDE4" w14:textId="77777777">
            <w:pPr>
              <w:jc w:val="center"/>
              <w:rPr>
                <w:color w:val="000000"/>
                <w:sz w:val="20"/>
                <w:szCs w:val="20"/>
              </w:rPr>
            </w:pPr>
            <w:r>
              <w:rPr>
                <w:color w:val="000000"/>
                <w:sz w:val="20"/>
                <w:szCs w:val="20"/>
              </w:rPr>
              <w:t> </w:t>
            </w:r>
          </w:p>
        </w:tc>
        <w:tc>
          <w:tcPr>
            <w:tcW w:w="1193" w:type="dxa"/>
            <w:tcBorders>
              <w:top w:val="nil"/>
              <w:left w:val="nil"/>
              <w:bottom w:val="single" w:sz="4" w:space="0" w:color="auto"/>
              <w:right w:val="single" w:sz="4" w:space="0" w:color="auto"/>
            </w:tcBorders>
            <w:shd w:val="clear" w:color="auto" w:fill="auto"/>
            <w:noWrap/>
            <w:vAlign w:val="center"/>
            <w:hideMark/>
          </w:tcPr>
          <w:p w:rsidR="009F2117" w14:paraId="4D8E915F" w14:textId="6AAFAE3F">
            <w:pPr>
              <w:jc w:val="center"/>
              <w:rPr>
                <w:color w:val="000000"/>
                <w:sz w:val="20"/>
                <w:szCs w:val="20"/>
              </w:rPr>
            </w:pPr>
            <w:r w:rsidRPr="62C3365A">
              <w:rPr>
                <w:color w:val="000000" w:themeColor="text1"/>
                <w:sz w:val="20"/>
                <w:szCs w:val="20"/>
              </w:rPr>
              <w:t>$</w:t>
            </w:r>
            <w:r w:rsidRPr="62C3365A" w:rsidR="2CB9B820">
              <w:rPr>
                <w:color w:val="000000" w:themeColor="text1"/>
                <w:sz w:val="20"/>
                <w:szCs w:val="20"/>
              </w:rPr>
              <w:t>2,162.39</w:t>
            </w:r>
          </w:p>
        </w:tc>
      </w:tr>
    </w:tbl>
    <w:p w:rsidR="002D4AD9" w:rsidRPr="00596A43" w:rsidP="000C4293" w14:paraId="2EF4567F" w14:textId="77777777">
      <w:pPr>
        <w:tabs>
          <w:tab w:val="left" w:pos="-720"/>
        </w:tabs>
        <w:suppressAutoHyphens/>
        <w:jc w:val="both"/>
      </w:pPr>
    </w:p>
    <w:p w:rsidR="00FE5661" w:rsidP="000C4293" w14:paraId="6EA71F39"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13.   Provide an estimate of the total annual cost burden to respondents or record</w:t>
      </w:r>
      <w:r w:rsidR="00D93841">
        <w:t xml:space="preserve"> </w:t>
      </w:r>
      <w:r w:rsidRPr="00596A43">
        <w:t>keepers resulting from the collection of information.  (Do not include the cost of any hour burden shown in Items 12 and 14.)</w:t>
      </w:r>
    </w:p>
    <w:p w:rsidR="00FE5661" w:rsidP="00FE5661" w14:paraId="1C65CCCA" w14:textId="77777777">
      <w:pPr>
        <w:tabs>
          <w:tab w:val="left" w:pos="-720"/>
        </w:tabs>
        <w:suppressAutoHyphens/>
        <w:contextualSpacing/>
      </w:pPr>
    </w:p>
    <w:p w:rsidR="002D4AD9" w:rsidRPr="00AB5A92" w:rsidP="00D3149C" w14:paraId="086E1743" w14:textId="2F4DBF77">
      <w:pPr>
        <w:tabs>
          <w:tab w:val="left" w:pos="-720"/>
        </w:tabs>
        <w:suppressAutoHyphens/>
        <w:contextualSpacing/>
        <w:jc w:val="both"/>
      </w:pPr>
      <w:r>
        <w:t xml:space="preserve">There are no recordkeeping, capital, start-up, or </w:t>
      </w:r>
      <w:r w:rsidR="00CE29BF">
        <w:t>maintenance</w:t>
      </w:r>
      <w:r>
        <w:t xml:space="preserve"> costs associated with this information collection.</w:t>
      </w:r>
    </w:p>
    <w:p w:rsidR="00FE5661" w:rsidP="00FE5661" w14:paraId="027F0976" w14:textId="77777777">
      <w:pPr>
        <w:tabs>
          <w:tab w:val="left" w:pos="-720"/>
        </w:tabs>
        <w:suppressAutoHyphens/>
        <w:contextualSpacing/>
      </w:pPr>
    </w:p>
    <w:p w:rsidR="00EB5E96" w:rsidRPr="00596A43" w:rsidP="000C4293" w14:paraId="5E9A961C" w14:textId="5CF2F0E8">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     14</w:t>
      </w:r>
      <w:r w:rsidRPr="00596A43">
        <w:t>.  Provide</w:t>
      </w:r>
      <w:r w:rsidRPr="00596A43">
        <w:t xml:space="preserve"> estimates of annualized cost to the Federal Government.  </w:t>
      </w:r>
      <w:r w:rsidRPr="00596A43" w:rsidR="008924F0">
        <w:t xml:space="preserve">Also, provide a description of the method used to estimate cost, which should include quantification of hours, operational expenses (such as equipment, overhead, printing and support staff), and any other </w:t>
      </w:r>
      <w:r w:rsidRPr="00596A43" w:rsidR="008924F0">
        <w:t>expense</w:t>
      </w:r>
      <w:r w:rsidRPr="00596A43" w:rsidR="008924F0">
        <w:t xml:space="preserve"> that would have been incurred without this collection of information.  </w:t>
      </w:r>
      <w:r w:rsidRPr="00596A43">
        <w:t>You may also aggregate cost estimates for Items 12, 13, and 14 in a single table.</w:t>
      </w:r>
    </w:p>
    <w:p w:rsidR="00EB5E96" w:rsidRPr="00596A43" w:rsidP="000C4293" w14:paraId="6B7D8A63" w14:textId="77777777">
      <w:pPr>
        <w:suppressAutoHyphens/>
        <w:jc w:val="both"/>
      </w:pPr>
      <w:r w:rsidRPr="00596A43">
        <w:fldChar w:fldCharType="begin"/>
      </w:r>
      <w:r w:rsidRPr="00596A43">
        <w:instrText>ADVANCE \R 0.95</w:instrText>
      </w:r>
      <w:r w:rsidRPr="00596A43">
        <w:fldChar w:fldCharType="end"/>
      </w:r>
    </w:p>
    <w:p w:rsidR="009F2117" w:rsidP="00F100E7" w14:paraId="4A32DD1E" w14:textId="2C3D5FE5">
      <w:pPr>
        <w:jc w:val="both"/>
      </w:pPr>
      <w:r w:rsidRPr="002516F4">
        <w:t xml:space="preserve">CISA estimates the burden on the government of this collection by estimating the time required for CISA personnel to review the submissions.  All reports will be reviewed by </w:t>
      </w:r>
      <w:r w:rsidRPr="002516F4">
        <w:t>a GS</w:t>
      </w:r>
      <w:r w:rsidRPr="002516F4">
        <w:t xml:space="preserve">-14. </w:t>
      </w:r>
      <w:r w:rsidR="00D3149C">
        <w:t xml:space="preserve"> </w:t>
      </w:r>
      <w:r w:rsidRPr="002516F4">
        <w:t xml:space="preserve">The </w:t>
      </w:r>
      <w:r w:rsidRPr="002516F4">
        <w:t xml:space="preserve">burden of the GS labor is estimated by multiplying the fully loaded hourly compensation rate of the employee by the number of hours to review.  CISA estimates it will take 15 minutes for each review. </w:t>
      </w:r>
      <w:r w:rsidR="00D3149C">
        <w:t xml:space="preserve"> </w:t>
      </w:r>
      <w:r w:rsidRPr="002516F4">
        <w:t>The hourly rate for a GS-14, Step 3 is $</w:t>
      </w:r>
      <w:r w:rsidR="5A986BC6">
        <w:t>61.63</w:t>
      </w:r>
      <w:r>
        <w:rPr>
          <w:rStyle w:val="FootnoteReference"/>
        </w:rPr>
        <w:footnoteReference w:id="7"/>
      </w:r>
      <w:r w:rsidRPr="002516F4">
        <w:t>, which is multiplied by the load factor of 1.</w:t>
      </w:r>
      <w:r w:rsidR="35293D81">
        <w:t>6919</w:t>
      </w:r>
      <w:r>
        <w:footnoteReference w:id="8"/>
      </w:r>
      <w:r w:rsidRPr="002516F4">
        <w:t xml:space="preserve"> for a loaded compensation rate of $</w:t>
      </w:r>
      <w:r w:rsidR="669BD2BB">
        <w:t>104.27</w:t>
      </w:r>
      <w:r w:rsidRPr="002516F4">
        <w:t xml:space="preserve">. </w:t>
      </w:r>
      <w:r w:rsidR="00D3149C">
        <w:t xml:space="preserve"> </w:t>
      </w:r>
      <w:r w:rsidR="6345BEAB">
        <w:t>The load factor of 1.6919 is estimated by dividing average total compensation for all levels of education in Table 4 ($64.80) by average wages for all levels of education in Table 2 ($38.30), from the Congressional Budget Office publication Comparing the Compensation of Federal and Private-Sector Employees, 2011 to 2015.</w:t>
      </w:r>
      <w:r>
        <w:rPr>
          <w:vertAlign w:val="superscript"/>
        </w:rPr>
        <w:footnoteReference w:id="9"/>
      </w:r>
      <w:r w:rsidR="6345BEAB">
        <w:t xml:space="preserve"> </w:t>
      </w:r>
      <w:r w:rsidRPr="002516F4">
        <w:t xml:space="preserve">As shown in Table 3 the estimated cost to the </w:t>
      </w:r>
      <w:r w:rsidR="00D3149C">
        <w:t>F</w:t>
      </w:r>
      <w:r w:rsidRPr="002516F4">
        <w:t xml:space="preserve">ederal </w:t>
      </w:r>
      <w:r w:rsidR="00D3149C">
        <w:t>G</w:t>
      </w:r>
      <w:r w:rsidRPr="002516F4">
        <w:t>overnment is $</w:t>
      </w:r>
      <w:r w:rsidR="477CA7C1">
        <w:t>286.75</w:t>
      </w:r>
      <w:r w:rsidRPr="002516F4">
        <w:t>.</w:t>
      </w:r>
    </w:p>
    <w:p w:rsidR="009F2117" w:rsidP="009F2117" w14:paraId="1C59AA22" w14:textId="77777777"/>
    <w:p w:rsidR="009F2117" w:rsidP="009F2117" w14:paraId="36E092D9" w14:textId="77777777">
      <w:r>
        <w:t>Table 3: Government Burden</w:t>
      </w:r>
    </w:p>
    <w:tbl>
      <w:tblPr>
        <w:tblW w:w="9360" w:type="dxa"/>
        <w:tblInd w:w="-5" w:type="dxa"/>
        <w:tblLayout w:type="fixed"/>
        <w:tblLook w:val="04A0"/>
      </w:tblPr>
      <w:tblGrid>
        <w:gridCol w:w="1178"/>
        <w:gridCol w:w="1306"/>
        <w:gridCol w:w="1500"/>
        <w:gridCol w:w="1327"/>
        <w:gridCol w:w="1350"/>
        <w:gridCol w:w="1350"/>
        <w:gridCol w:w="1349"/>
      </w:tblGrid>
      <w:tr w14:paraId="09ADFE34" w14:textId="77777777" w:rsidTr="62C3365A">
        <w:tblPrEx>
          <w:tblW w:w="9360" w:type="dxa"/>
          <w:tblInd w:w="-5" w:type="dxa"/>
          <w:tblLayout w:type="fixed"/>
          <w:tblLook w:val="04A0"/>
        </w:tblPrEx>
        <w:trPr>
          <w:trHeight w:val="1133"/>
        </w:trPr>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00E7" w:rsidP="00E23A3C" w14:paraId="677A905B" w14:textId="77777777">
            <w:pPr>
              <w:jc w:val="center"/>
              <w:rPr>
                <w:b/>
                <w:bCs/>
                <w:color w:val="000000"/>
                <w:sz w:val="20"/>
                <w:szCs w:val="20"/>
              </w:rPr>
            </w:pPr>
            <w:r>
              <w:rPr>
                <w:b/>
                <w:bCs/>
                <w:color w:val="000000"/>
                <w:sz w:val="20"/>
                <w:szCs w:val="20"/>
              </w:rPr>
              <w:t xml:space="preserve">Cost </w:t>
            </w:r>
          </w:p>
          <w:p w:rsidR="009F2117" w:rsidP="00E23A3C" w14:paraId="06732301" w14:textId="36FEC93A">
            <w:pPr>
              <w:jc w:val="center"/>
              <w:rPr>
                <w:b/>
                <w:bCs/>
                <w:color w:val="000000"/>
                <w:sz w:val="20"/>
                <w:szCs w:val="20"/>
              </w:rPr>
            </w:pPr>
            <w:r>
              <w:rPr>
                <w:b/>
                <w:bCs/>
                <w:color w:val="000000"/>
                <w:sz w:val="20"/>
                <w:szCs w:val="20"/>
              </w:rPr>
              <w:t>Category</w:t>
            </w:r>
          </w:p>
        </w:tc>
        <w:tc>
          <w:tcPr>
            <w:tcW w:w="130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F2117" w:rsidP="00E23A3C" w14:paraId="0A129E54" w14:textId="77777777">
            <w:pPr>
              <w:jc w:val="center"/>
              <w:rPr>
                <w:b/>
                <w:bCs/>
                <w:color w:val="000000"/>
                <w:sz w:val="20"/>
                <w:szCs w:val="20"/>
              </w:rPr>
            </w:pPr>
            <w:r>
              <w:rPr>
                <w:b/>
                <w:bCs/>
                <w:color w:val="000000"/>
                <w:sz w:val="20"/>
                <w:szCs w:val="20"/>
              </w:rPr>
              <w:t>Number of Respondents</w:t>
            </w:r>
          </w:p>
        </w:tc>
        <w:tc>
          <w:tcPr>
            <w:tcW w:w="15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F2117" w:rsidP="00E23A3C" w14:paraId="0750C281" w14:textId="77777777">
            <w:pPr>
              <w:jc w:val="center"/>
              <w:rPr>
                <w:b/>
                <w:bCs/>
                <w:color w:val="000000"/>
                <w:sz w:val="20"/>
                <w:szCs w:val="20"/>
              </w:rPr>
            </w:pPr>
            <w:r>
              <w:rPr>
                <w:b/>
                <w:bCs/>
                <w:color w:val="000000"/>
                <w:sz w:val="20"/>
                <w:szCs w:val="20"/>
              </w:rPr>
              <w:t>Responses per Respondent</w:t>
            </w:r>
          </w:p>
        </w:tc>
        <w:tc>
          <w:tcPr>
            <w:tcW w:w="132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F2117" w:rsidP="00E23A3C" w14:paraId="40427501" w14:textId="77777777">
            <w:pPr>
              <w:jc w:val="center"/>
              <w:rPr>
                <w:b/>
                <w:bCs/>
                <w:color w:val="000000"/>
                <w:sz w:val="20"/>
                <w:szCs w:val="20"/>
              </w:rPr>
            </w:pPr>
            <w:r>
              <w:rPr>
                <w:b/>
                <w:bCs/>
                <w:color w:val="000000"/>
                <w:sz w:val="20"/>
                <w:szCs w:val="20"/>
              </w:rPr>
              <w:t xml:space="preserve">Average Burden per Response </w:t>
            </w:r>
            <w:r>
              <w:rPr>
                <w:b/>
                <w:bCs/>
                <w:color w:val="000000"/>
                <w:sz w:val="20"/>
                <w:szCs w:val="20"/>
              </w:rPr>
              <w:br/>
              <w:t>(in hours)</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F2117" w:rsidP="00D3149C" w14:paraId="508F6C4C" w14:textId="77777777">
            <w:pPr>
              <w:ind w:left="-110" w:right="-80"/>
              <w:jc w:val="center"/>
              <w:rPr>
                <w:b/>
                <w:bCs/>
                <w:color w:val="000000"/>
                <w:sz w:val="20"/>
                <w:szCs w:val="20"/>
              </w:rPr>
            </w:pPr>
            <w:r>
              <w:rPr>
                <w:b/>
                <w:bCs/>
                <w:color w:val="000000"/>
                <w:sz w:val="20"/>
                <w:szCs w:val="20"/>
              </w:rPr>
              <w:t>Total Annual Burden</w:t>
            </w:r>
          </w:p>
          <w:p w:rsidR="009F2117" w:rsidP="00E23A3C" w14:paraId="293A7DA5" w14:textId="77777777">
            <w:pPr>
              <w:jc w:val="center"/>
              <w:rPr>
                <w:b/>
                <w:bCs/>
                <w:color w:val="000000"/>
                <w:sz w:val="20"/>
                <w:szCs w:val="20"/>
              </w:rPr>
            </w:pPr>
            <w:r>
              <w:rPr>
                <w:b/>
                <w:bCs/>
                <w:color w:val="000000"/>
                <w:sz w:val="20"/>
                <w:szCs w:val="20"/>
              </w:rPr>
              <w:t>(in hours)</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F2117" w:rsidP="00E23A3C" w14:paraId="43F2FB35" w14:textId="77777777">
            <w:pPr>
              <w:jc w:val="center"/>
              <w:rPr>
                <w:b/>
                <w:bCs/>
                <w:color w:val="000000"/>
                <w:sz w:val="20"/>
                <w:szCs w:val="20"/>
              </w:rPr>
            </w:pPr>
            <w:r>
              <w:rPr>
                <w:b/>
                <w:bCs/>
                <w:color w:val="000000"/>
                <w:sz w:val="20"/>
                <w:szCs w:val="20"/>
              </w:rPr>
              <w:t>Average Hourly Wage Rate</w:t>
            </w:r>
          </w:p>
        </w:tc>
        <w:tc>
          <w:tcPr>
            <w:tcW w:w="134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F2117" w:rsidP="00E23A3C" w14:paraId="5B9BF90B" w14:textId="77777777">
            <w:pPr>
              <w:jc w:val="center"/>
              <w:rPr>
                <w:b/>
                <w:bCs/>
                <w:color w:val="000000"/>
                <w:sz w:val="20"/>
                <w:szCs w:val="20"/>
              </w:rPr>
            </w:pPr>
            <w:r>
              <w:rPr>
                <w:b/>
                <w:bCs/>
                <w:color w:val="000000"/>
                <w:sz w:val="20"/>
                <w:szCs w:val="20"/>
              </w:rPr>
              <w:t>Total Cost</w:t>
            </w:r>
          </w:p>
        </w:tc>
      </w:tr>
      <w:tr w14:paraId="4995098D" w14:textId="77777777" w:rsidTr="62C3365A">
        <w:tblPrEx>
          <w:tblW w:w="9360" w:type="dxa"/>
          <w:tblInd w:w="-5" w:type="dxa"/>
          <w:tblLayout w:type="fixed"/>
          <w:tblLook w:val="04A0"/>
        </w:tblPrEx>
        <w:trPr>
          <w:trHeight w:val="300"/>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9F2117" w:rsidP="009F2117" w14:paraId="72FDD73F" w14:textId="77777777">
            <w:pPr>
              <w:jc w:val="center"/>
              <w:rPr>
                <w:color w:val="000000"/>
                <w:sz w:val="20"/>
                <w:szCs w:val="20"/>
              </w:rPr>
            </w:pPr>
            <w:r>
              <w:rPr>
                <w:color w:val="000000"/>
                <w:sz w:val="20"/>
                <w:szCs w:val="20"/>
              </w:rPr>
              <w:t>GS-14</w:t>
            </w:r>
          </w:p>
        </w:tc>
        <w:tc>
          <w:tcPr>
            <w:tcW w:w="1306" w:type="dxa"/>
            <w:tcBorders>
              <w:top w:val="nil"/>
              <w:left w:val="nil"/>
              <w:bottom w:val="single" w:sz="4" w:space="0" w:color="auto"/>
              <w:right w:val="single" w:sz="4" w:space="0" w:color="auto"/>
            </w:tcBorders>
            <w:shd w:val="clear" w:color="auto" w:fill="auto"/>
            <w:noWrap/>
            <w:vAlign w:val="center"/>
            <w:hideMark/>
          </w:tcPr>
          <w:p w:rsidR="009F2117" w:rsidP="009F2117" w14:paraId="0F377B3C" w14:textId="76CB6184">
            <w:pPr>
              <w:jc w:val="center"/>
              <w:rPr>
                <w:color w:val="000000"/>
                <w:sz w:val="20"/>
                <w:szCs w:val="20"/>
              </w:rPr>
            </w:pPr>
            <w:r>
              <w:rPr>
                <w:color w:val="000000"/>
                <w:sz w:val="20"/>
                <w:szCs w:val="20"/>
              </w:rPr>
              <w:t>9</w:t>
            </w:r>
            <w:r w:rsidR="0051520A">
              <w:rPr>
                <w:color w:val="000000"/>
                <w:sz w:val="20"/>
                <w:szCs w:val="20"/>
              </w:rPr>
              <w:t>1</w:t>
            </w:r>
          </w:p>
        </w:tc>
        <w:tc>
          <w:tcPr>
            <w:tcW w:w="1500" w:type="dxa"/>
            <w:tcBorders>
              <w:top w:val="nil"/>
              <w:left w:val="nil"/>
              <w:bottom w:val="single" w:sz="4" w:space="0" w:color="auto"/>
              <w:right w:val="single" w:sz="4" w:space="0" w:color="auto"/>
            </w:tcBorders>
            <w:shd w:val="clear" w:color="auto" w:fill="auto"/>
            <w:noWrap/>
            <w:vAlign w:val="center"/>
            <w:hideMark/>
          </w:tcPr>
          <w:p w:rsidR="009F2117" w:rsidP="009F2117" w14:paraId="5E7F5D46" w14:textId="77777777">
            <w:pPr>
              <w:jc w:val="center"/>
              <w:rPr>
                <w:color w:val="000000"/>
                <w:sz w:val="20"/>
                <w:szCs w:val="20"/>
              </w:rPr>
            </w:pPr>
            <w:r>
              <w:rPr>
                <w:color w:val="000000"/>
                <w:sz w:val="20"/>
                <w:szCs w:val="20"/>
              </w:rPr>
              <w:t>1</w:t>
            </w:r>
          </w:p>
        </w:tc>
        <w:tc>
          <w:tcPr>
            <w:tcW w:w="1327" w:type="dxa"/>
            <w:tcBorders>
              <w:top w:val="nil"/>
              <w:left w:val="nil"/>
              <w:bottom w:val="single" w:sz="4" w:space="0" w:color="auto"/>
              <w:right w:val="single" w:sz="4" w:space="0" w:color="auto"/>
            </w:tcBorders>
            <w:shd w:val="clear" w:color="auto" w:fill="auto"/>
            <w:noWrap/>
            <w:vAlign w:val="center"/>
            <w:hideMark/>
          </w:tcPr>
          <w:p w:rsidR="009F2117" w:rsidP="009F2117" w14:paraId="572A3446" w14:textId="7CB5E87C">
            <w:pPr>
              <w:jc w:val="center"/>
              <w:rPr>
                <w:color w:val="000000"/>
                <w:sz w:val="20"/>
                <w:szCs w:val="20"/>
              </w:rPr>
            </w:pPr>
            <w:r>
              <w:rPr>
                <w:color w:val="000000"/>
                <w:sz w:val="20"/>
                <w:szCs w:val="20"/>
              </w:rPr>
              <w:t>0.</w:t>
            </w:r>
            <w:r w:rsidR="00466E72">
              <w:rPr>
                <w:color w:val="000000"/>
                <w:sz w:val="20"/>
                <w:szCs w:val="20"/>
              </w:rPr>
              <w:t>03</w:t>
            </w:r>
            <w:r w:rsidR="00997A98">
              <w:rPr>
                <w:color w:val="000000"/>
                <w:sz w:val="20"/>
                <w:szCs w:val="20"/>
              </w:rPr>
              <w:t xml:space="preserve"> (2 minutes)</w:t>
            </w:r>
          </w:p>
        </w:tc>
        <w:tc>
          <w:tcPr>
            <w:tcW w:w="1350" w:type="dxa"/>
            <w:tcBorders>
              <w:top w:val="nil"/>
              <w:left w:val="nil"/>
              <w:bottom w:val="single" w:sz="4" w:space="0" w:color="auto"/>
              <w:right w:val="single" w:sz="4" w:space="0" w:color="auto"/>
            </w:tcBorders>
            <w:shd w:val="clear" w:color="auto" w:fill="auto"/>
            <w:vAlign w:val="center"/>
            <w:hideMark/>
          </w:tcPr>
          <w:p w:rsidR="009F2117" w:rsidP="009F2117" w14:paraId="09244636" w14:textId="6CCBAD1F">
            <w:pPr>
              <w:jc w:val="center"/>
              <w:rPr>
                <w:color w:val="000000"/>
                <w:sz w:val="20"/>
                <w:szCs w:val="20"/>
              </w:rPr>
            </w:pPr>
            <w:r>
              <w:rPr>
                <w:color w:val="000000"/>
                <w:sz w:val="20"/>
                <w:szCs w:val="20"/>
              </w:rPr>
              <w:t>2.75</w:t>
            </w:r>
          </w:p>
        </w:tc>
        <w:tc>
          <w:tcPr>
            <w:tcW w:w="1350" w:type="dxa"/>
            <w:tcBorders>
              <w:top w:val="nil"/>
              <w:left w:val="nil"/>
              <w:bottom w:val="single" w:sz="4" w:space="0" w:color="auto"/>
              <w:right w:val="single" w:sz="4" w:space="0" w:color="auto"/>
            </w:tcBorders>
            <w:shd w:val="clear" w:color="auto" w:fill="auto"/>
            <w:noWrap/>
            <w:vAlign w:val="center"/>
            <w:hideMark/>
          </w:tcPr>
          <w:p w:rsidR="009F2117" w:rsidP="009F2117" w14:paraId="4FA644DB" w14:textId="46670D6C">
            <w:pPr>
              <w:jc w:val="center"/>
              <w:rPr>
                <w:color w:val="000000"/>
                <w:sz w:val="20"/>
                <w:szCs w:val="20"/>
              </w:rPr>
            </w:pPr>
            <w:r w:rsidRPr="62C3365A">
              <w:rPr>
                <w:color w:val="000000" w:themeColor="text1"/>
                <w:sz w:val="20"/>
                <w:szCs w:val="20"/>
              </w:rPr>
              <w:t>$</w:t>
            </w:r>
            <w:r w:rsidRPr="62C3365A" w:rsidR="6DD858B9">
              <w:rPr>
                <w:color w:val="000000" w:themeColor="text1"/>
                <w:sz w:val="20"/>
                <w:szCs w:val="20"/>
              </w:rPr>
              <w:t>104.27</w:t>
            </w:r>
          </w:p>
        </w:tc>
        <w:tc>
          <w:tcPr>
            <w:tcW w:w="1349" w:type="dxa"/>
            <w:tcBorders>
              <w:top w:val="nil"/>
              <w:left w:val="nil"/>
              <w:bottom w:val="single" w:sz="4" w:space="0" w:color="auto"/>
              <w:right w:val="single" w:sz="4" w:space="0" w:color="auto"/>
            </w:tcBorders>
            <w:shd w:val="clear" w:color="auto" w:fill="auto"/>
            <w:noWrap/>
            <w:vAlign w:val="center"/>
            <w:hideMark/>
          </w:tcPr>
          <w:p w:rsidR="009F2117" w:rsidP="009F2117" w14:paraId="38AC6B16" w14:textId="157FFE98">
            <w:pPr>
              <w:jc w:val="center"/>
              <w:rPr>
                <w:color w:val="000000"/>
                <w:sz w:val="20"/>
                <w:szCs w:val="20"/>
              </w:rPr>
            </w:pPr>
            <w:r w:rsidRPr="62C3365A">
              <w:rPr>
                <w:color w:val="000000" w:themeColor="text1"/>
                <w:sz w:val="20"/>
                <w:szCs w:val="20"/>
              </w:rPr>
              <w:t>$</w:t>
            </w:r>
            <w:r w:rsidRPr="62C3365A" w:rsidR="4141D4E4">
              <w:rPr>
                <w:color w:val="000000" w:themeColor="text1"/>
                <w:sz w:val="20"/>
                <w:szCs w:val="20"/>
              </w:rPr>
              <w:t>286.75</w:t>
            </w:r>
          </w:p>
        </w:tc>
      </w:tr>
    </w:tbl>
    <w:p w:rsidR="00EB5E96" w:rsidRPr="00596A43" w:rsidP="000C4293" w14:paraId="759C48E6" w14:textId="77777777">
      <w:pPr>
        <w:suppressAutoHyphens/>
        <w:jc w:val="both"/>
      </w:pPr>
    </w:p>
    <w:p w:rsidR="00EB5E96" w:rsidRPr="000D0877" w:rsidP="000C4293" w14:paraId="07A5A83A" w14:textId="28AF00A7">
      <w:pPr>
        <w:shd w:val="pct25" w:color="auto" w:fill="auto"/>
        <w:tabs>
          <w:tab w:val="left" w:pos="-720"/>
        </w:tabs>
        <w:suppressAutoHyphens/>
        <w:jc w:val="both"/>
      </w:pPr>
      <w:r w:rsidRPr="000D0877">
        <w:fldChar w:fldCharType="begin"/>
      </w:r>
      <w:r w:rsidRPr="000D0877">
        <w:instrText>ADVANCE \R 0.95</w:instrText>
      </w:r>
      <w:r w:rsidRPr="000D0877">
        <w:fldChar w:fldCharType="end"/>
      </w:r>
      <w:r w:rsidRPr="000D0877">
        <w:t xml:space="preserve">15.  Explain the reasons for any program changes or adjustments reported in Items 13 or 14 of the OMB Form 83-I.  Changes in hour burden, i.e., program changes or adjustments made to annual reporting and recordkeeping </w:t>
      </w:r>
      <w:r w:rsidRPr="000D0877">
        <w:rPr>
          <w:b/>
        </w:rPr>
        <w:t>hour</w:t>
      </w:r>
      <w:r w:rsidRPr="000D0877">
        <w:t xml:space="preserve"> and </w:t>
      </w:r>
      <w:r w:rsidRPr="000D0877">
        <w:rPr>
          <w:b/>
        </w:rPr>
        <w:t>cost</w:t>
      </w:r>
      <w:r w:rsidRPr="000D0877">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w:t>
      </w:r>
      <w:r w:rsidRPr="000D0877">
        <w:t>controllable</w:t>
      </w:r>
      <w:r w:rsidRPr="000D0877">
        <w:t xml:space="preserve"> by the Federal government are recorded as adjustments.</w:t>
      </w:r>
    </w:p>
    <w:p w:rsidR="00EB5E96" w:rsidRPr="00FE5661" w:rsidP="000C4293" w14:paraId="79337888" w14:textId="77777777">
      <w:pPr>
        <w:tabs>
          <w:tab w:val="left" w:pos="-720"/>
        </w:tabs>
        <w:suppressAutoHyphens/>
        <w:jc w:val="both"/>
        <w:rPr>
          <w:highlight w:val="yellow"/>
        </w:rPr>
      </w:pPr>
      <w:r w:rsidRPr="00FE5661">
        <w:rPr>
          <w:highlight w:val="yellow"/>
        </w:rPr>
        <w:fldChar w:fldCharType="begin"/>
      </w:r>
      <w:r w:rsidRPr="00FE5661">
        <w:rPr>
          <w:highlight w:val="yellow"/>
        </w:rPr>
        <w:instrText>ADVANCE \R 0.95</w:instrText>
      </w:r>
      <w:r w:rsidRPr="00FE5661">
        <w:rPr>
          <w:highlight w:val="yellow"/>
        </w:rPr>
        <w:fldChar w:fldCharType="end"/>
      </w:r>
    </w:p>
    <w:p w:rsidR="002D4AD9" w:rsidRPr="00AB5A92" w:rsidP="00D3149C" w14:paraId="46A3F3D7" w14:textId="1E9FE191">
      <w:pPr>
        <w:tabs>
          <w:tab w:val="left" w:pos="-720"/>
        </w:tabs>
        <w:suppressAutoHyphens/>
        <w:contextualSpacing/>
        <w:jc w:val="both"/>
      </w:pPr>
      <w:r>
        <w:t xml:space="preserve">There were changes </w:t>
      </w:r>
      <w:r w:rsidR="00293E81">
        <w:t xml:space="preserve">in the number of respondents due to </w:t>
      </w:r>
      <w:r w:rsidR="00E82AA2">
        <w:t xml:space="preserve">historical responses received during the use of </w:t>
      </w:r>
      <w:r w:rsidR="00E82AA2">
        <w:t>the information</w:t>
      </w:r>
      <w:r w:rsidR="00E82AA2">
        <w:t xml:space="preserve"> collection</w:t>
      </w:r>
      <w:r w:rsidR="00861C89">
        <w:t xml:space="preserve">. </w:t>
      </w:r>
      <w:r w:rsidR="00A93A3C">
        <w:t xml:space="preserve">There were changes to the question in the information collection that did not result in a change in burden. </w:t>
      </w:r>
      <w:r>
        <w:t xml:space="preserve"> </w:t>
      </w:r>
      <w:r w:rsidR="00DC65A4">
        <w:t xml:space="preserve">There were updates to </w:t>
      </w:r>
      <w:r w:rsidR="004C2E8B">
        <w:t>some</w:t>
      </w:r>
      <w:r w:rsidR="00A862A0">
        <w:t xml:space="preserve"> of the questions to include additional option</w:t>
      </w:r>
      <w:r w:rsidR="005E11D7">
        <w:t>s</w:t>
      </w:r>
      <w:r w:rsidR="00A862A0">
        <w:t xml:space="preserve"> for selection</w:t>
      </w:r>
      <w:r w:rsidR="005A4284">
        <w:t xml:space="preserve"> in Section 3</w:t>
      </w:r>
      <w:r w:rsidR="00CC5371">
        <w:t xml:space="preserve"> and Section 5</w:t>
      </w:r>
      <w:r w:rsidR="005E11D7">
        <w:t xml:space="preserve">. </w:t>
      </w:r>
    </w:p>
    <w:p w:rsidR="00EB5E96" w:rsidRPr="00596A43" w:rsidP="000C4293" w14:paraId="1ACE5174" w14:textId="77777777">
      <w:pPr>
        <w:tabs>
          <w:tab w:val="left" w:pos="-720"/>
        </w:tabs>
        <w:suppressAutoHyphens/>
        <w:jc w:val="both"/>
      </w:pPr>
    </w:p>
    <w:p w:rsidR="00EB5E96" w:rsidRPr="00596A43" w:rsidP="000C4293" w14:paraId="78179A84" w14:textId="3BB4CAF6">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16</w:t>
      </w:r>
      <w:r w:rsidRPr="00596A43">
        <w:t>.  For</w:t>
      </w:r>
      <w:r w:rsidRPr="00596A43">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B5E96" w:rsidRPr="00596A43" w:rsidP="000C4293" w14:paraId="3C8FAFD1" w14:textId="77777777">
      <w:pPr>
        <w:suppressAutoHyphens/>
        <w:jc w:val="both"/>
      </w:pPr>
      <w:r w:rsidRPr="00596A43">
        <w:fldChar w:fldCharType="begin"/>
      </w:r>
      <w:r w:rsidRPr="00596A43">
        <w:instrText>ADVANCE \R 0.95</w:instrText>
      </w:r>
      <w:r w:rsidRPr="00596A43">
        <w:fldChar w:fldCharType="end"/>
      </w:r>
    </w:p>
    <w:p w:rsidR="002D4AD9" w:rsidRPr="00AB5A92" w:rsidP="00BF47A9" w14:paraId="6F58B41F" w14:textId="21DB014E">
      <w:pPr>
        <w:tabs>
          <w:tab w:val="left" w:pos="-720"/>
        </w:tabs>
        <w:suppressAutoHyphens/>
        <w:contextualSpacing/>
        <w:jc w:val="both"/>
      </w:pPr>
      <w:r>
        <w:t xml:space="preserve">CISA </w:t>
      </w:r>
      <w:r w:rsidR="009960C6">
        <w:t>does not intend to employ the use of statistics or the publication thereof for this information collection.</w:t>
      </w:r>
    </w:p>
    <w:p w:rsidR="00EB5E96" w:rsidRPr="00596A43" w:rsidP="000C4293" w14:paraId="44864C4A" w14:textId="77777777">
      <w:pPr>
        <w:suppressAutoHyphens/>
        <w:jc w:val="both"/>
      </w:pPr>
    </w:p>
    <w:p w:rsidR="00EB5E96" w:rsidRPr="00596A43" w:rsidP="000C4293" w14:paraId="6F2998A2"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17</w:t>
      </w:r>
      <w:r w:rsidRPr="00596A43">
        <w:t>.  If</w:t>
      </w:r>
      <w:r w:rsidRPr="00596A43">
        <w:t xml:space="preserve"> seeking approval to not display the expiration date for OMB approval of the information collection, explain reasons that display would be inappropriate.</w:t>
      </w:r>
    </w:p>
    <w:p w:rsidR="00EB5E96" w:rsidRPr="00596A43" w:rsidP="000C4293" w14:paraId="29D17251" w14:textId="77777777">
      <w:pPr>
        <w:tabs>
          <w:tab w:val="left" w:pos="-720"/>
        </w:tabs>
        <w:suppressAutoHyphens/>
        <w:jc w:val="both"/>
      </w:pPr>
      <w:r w:rsidRPr="00596A43">
        <w:fldChar w:fldCharType="begin"/>
      </w:r>
      <w:r w:rsidRPr="00596A43">
        <w:instrText>ADVANCE \R 0.95</w:instrText>
      </w:r>
      <w:r w:rsidRPr="00596A43">
        <w:fldChar w:fldCharType="end"/>
      </w:r>
    </w:p>
    <w:p w:rsidR="002D4AD9" w:rsidRPr="00AB5A92" w:rsidP="00D3149C" w14:paraId="631B63D1" w14:textId="4609D4AB">
      <w:pPr>
        <w:tabs>
          <w:tab w:val="left" w:pos="-720"/>
        </w:tabs>
        <w:suppressAutoHyphens/>
        <w:contextualSpacing/>
        <w:jc w:val="both"/>
      </w:pPr>
      <w:r>
        <w:t xml:space="preserve">CISA </w:t>
      </w:r>
      <w:r w:rsidR="009960C6">
        <w:t>will display the expiration date for OMB approval of this information collection.</w:t>
      </w:r>
    </w:p>
    <w:p w:rsidR="00BF47A9" w:rsidRPr="00596A43" w:rsidP="000C4293" w14:paraId="1A44855E" w14:textId="77777777">
      <w:pPr>
        <w:tabs>
          <w:tab w:val="left" w:pos="-720"/>
        </w:tabs>
        <w:suppressAutoHyphens/>
        <w:jc w:val="both"/>
      </w:pPr>
    </w:p>
    <w:p w:rsidR="0077056F" w:rsidRPr="00596A43" w:rsidP="000C4293" w14:paraId="70AACE4B"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18.  Explain each exception to the certification statement identified in Item 19 “Certification for Paperwork Reduction Act Submissions,” of OMB Form 83-I.</w:t>
      </w:r>
    </w:p>
    <w:p w:rsidR="0077056F" w:rsidRPr="00596A43" w:rsidP="0077056F" w14:paraId="63B8F699" w14:textId="77777777">
      <w:pPr>
        <w:tabs>
          <w:tab w:val="left" w:pos="-720"/>
        </w:tabs>
        <w:suppressAutoHyphens/>
        <w:jc w:val="both"/>
      </w:pPr>
    </w:p>
    <w:p w:rsidR="0077056F" w:rsidRPr="00596A43" w:rsidP="00D3149C" w14:paraId="49D94664" w14:textId="4CA81F6F">
      <w:pPr>
        <w:tabs>
          <w:tab w:val="left" w:pos="-720"/>
        </w:tabs>
        <w:suppressAutoHyphens/>
        <w:contextualSpacing/>
        <w:jc w:val="both"/>
      </w:pPr>
      <w:r>
        <w:t xml:space="preserve">CISA </w:t>
      </w:r>
      <w:r w:rsidR="009960C6">
        <w:t>does not request an exception to the certification of this information collection.</w:t>
      </w:r>
    </w:p>
    <w:sectPr w:rsidSect="00460234">
      <w:footerReference w:type="even" r:id="rId11"/>
      <w:footerReference w:type="default" r:id="rId12"/>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6BBD7ABB"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A199D" w:rsidP="00DC6E79" w14:paraId="5F1A51B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5A0DE4A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1689">
      <w:rPr>
        <w:rStyle w:val="PageNumber"/>
        <w:noProof/>
      </w:rPr>
      <w:t>6</w:t>
    </w:r>
    <w:r>
      <w:rPr>
        <w:rStyle w:val="PageNumber"/>
      </w:rPr>
      <w:fldChar w:fldCharType="end"/>
    </w:r>
  </w:p>
  <w:p w:rsidR="001A199D" w:rsidP="00DC6E79" w14:paraId="6208C4BC" w14:textId="77777777">
    <w:pPr>
      <w:pStyle w:val="Footer"/>
      <w:tabs>
        <w:tab w:val="clear" w:pos="8640"/>
        <w:tab w:val="right" w:pos="93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04BDE" w14:paraId="37085488" w14:textId="77777777">
      <w:r>
        <w:separator/>
      </w:r>
    </w:p>
  </w:footnote>
  <w:footnote w:type="continuationSeparator" w:id="1">
    <w:p w:rsidR="00504BDE" w14:paraId="6A67BD5A" w14:textId="77777777">
      <w:r>
        <w:continuationSeparator/>
      </w:r>
    </w:p>
  </w:footnote>
  <w:footnote w:type="continuationNotice" w:id="2">
    <w:p w:rsidR="00504BDE" w14:paraId="05C88A87" w14:textId="77777777"/>
  </w:footnote>
  <w:footnote w:id="3">
    <w:p w:rsidR="1456BE32" w:rsidP="1456BE32" w14:paraId="4D82D62D" w14:textId="57F5AF95">
      <w:pPr>
        <w:spacing w:after="160" w:line="276" w:lineRule="auto"/>
      </w:pPr>
      <w:r w:rsidRPr="1456BE32">
        <w:rPr>
          <w:sz w:val="20"/>
          <w:szCs w:val="20"/>
        </w:rPr>
        <w:footnoteRef/>
      </w:r>
      <w:r w:rsidRPr="00773760">
        <w:rPr>
          <w:sz w:val="20"/>
          <w:szCs w:val="20"/>
        </w:rPr>
        <w:t xml:space="preserve"> </w:t>
      </w:r>
      <w:r w:rsidRPr="1456BE32">
        <w:rPr>
          <w:sz w:val="20"/>
          <w:szCs w:val="20"/>
        </w:rPr>
        <w:t xml:space="preserve">The load factor is estimated by dividing total compensation (62.92) by salaries and wages (38.86) from the State and local column of Table 1 of the BLS Employer Costs for Employee Compensation News Release from December 2024. </w:t>
      </w:r>
      <w:hyperlink r:id="rId1" w:history="1">
        <w:r w:rsidRPr="1456BE32">
          <w:rPr>
            <w:rStyle w:val="Hyperlink"/>
            <w:sz w:val="20"/>
            <w:szCs w:val="20"/>
          </w:rPr>
          <w:t>https://www.bls.gov/news.release/archives/ecec_12172024.htm</w:t>
        </w:r>
      </w:hyperlink>
    </w:p>
    <w:p w:rsidR="1456BE32" w:rsidP="1456BE32" w14:paraId="0FD9063F" w14:textId="7167ABDE">
      <w:pPr>
        <w:pStyle w:val="FootnoteText"/>
      </w:pPr>
    </w:p>
  </w:footnote>
  <w:footnote w:id="4">
    <w:p w:rsidR="1456BE32" w:rsidP="1456BE32" w14:paraId="53C22FDD" w14:textId="26C638A1">
      <w:pPr>
        <w:spacing w:after="160" w:line="276" w:lineRule="auto"/>
        <w:rPr>
          <w:rStyle w:val="Hyperlink"/>
          <w:rFonts w:ascii="Aptos" w:eastAsia="Aptos" w:hAnsi="Aptos" w:cs="Aptos"/>
          <w:sz w:val="20"/>
          <w:szCs w:val="20"/>
        </w:rPr>
      </w:pPr>
      <w:r w:rsidRPr="1456BE32">
        <w:rPr>
          <w:sz w:val="20"/>
          <w:szCs w:val="20"/>
        </w:rPr>
        <w:footnoteRef/>
      </w:r>
      <w:r w:rsidRPr="00773760">
        <w:rPr>
          <w:sz w:val="20"/>
          <w:szCs w:val="20"/>
        </w:rPr>
        <w:t xml:space="preserve"> The load factor is estimated by dividing total compensation (44.40) by salaries and wages (31.25) from the Private industry column of Table 1 of the BLS Employer Costs for Employee Compensation News Release from December 2024. </w:t>
      </w:r>
      <w:hyperlink r:id="rId1" w:history="1">
        <w:r w:rsidRPr="1456BE32">
          <w:rPr>
            <w:rFonts w:ascii="Aptos" w:eastAsia="Aptos" w:hAnsi="Aptos" w:cs="Aptos"/>
            <w:color w:val="0000FF"/>
            <w:sz w:val="20"/>
            <w:szCs w:val="20"/>
          </w:rPr>
          <w:t>https://www.bls.gov/news.release/</w:t>
        </w:r>
        <w:r w:rsidRPr="1456BE32">
          <w:rPr>
            <w:rStyle w:val="Hyperlink"/>
            <w:rFonts w:ascii="Aptos" w:eastAsia="Aptos" w:hAnsi="Aptos" w:cs="Aptos"/>
            <w:sz w:val="20"/>
            <w:szCs w:val="20"/>
          </w:rPr>
          <w:t>archives/ecec_12172024.htm</w:t>
        </w:r>
      </w:hyperlink>
    </w:p>
    <w:p w:rsidR="1456BE32" w:rsidP="1456BE32" w14:paraId="4C9189AC" w14:textId="73DBD4B7">
      <w:pPr>
        <w:pStyle w:val="FootnoteText"/>
      </w:pPr>
    </w:p>
  </w:footnote>
  <w:footnote w:id="5">
    <w:p w:rsidR="008B6331" w:rsidRPr="00150723" w:rsidP="1456BE32" w14:paraId="1F9273B5" w14:textId="7E9FEE22">
      <w:pPr>
        <w:rPr>
          <w:rFonts w:ascii="Aptos" w:eastAsia="Aptos" w:hAnsi="Aptos" w:cs="Aptos"/>
          <w:sz w:val="20"/>
          <w:szCs w:val="20"/>
        </w:rPr>
      </w:pPr>
      <w:r w:rsidRPr="1456BE32">
        <w:rPr>
          <w:rStyle w:val="FootnoteReference"/>
          <w:sz w:val="20"/>
          <w:szCs w:val="20"/>
        </w:rPr>
        <w:footnoteRef/>
      </w:r>
      <w:r w:rsidRPr="1456BE32" w:rsidR="1456BE32">
        <w:rPr>
          <w:sz w:val="20"/>
          <w:szCs w:val="20"/>
        </w:rPr>
        <w:t xml:space="preserve"> </w:t>
      </w:r>
    </w:p>
    <w:p w:rsidR="1456BE32" w:rsidP="00773760" w14:paraId="57565A28" w14:textId="23054A9D">
      <w:pPr>
        <w:spacing w:after="160" w:line="276" w:lineRule="auto"/>
        <w:rPr>
          <w:rFonts w:ascii="Aptos" w:eastAsia="Aptos" w:hAnsi="Aptos" w:cs="Aptos"/>
          <w:color w:val="000000" w:themeColor="text1"/>
          <w:sz w:val="20"/>
          <w:szCs w:val="20"/>
        </w:rPr>
      </w:pPr>
      <w:r w:rsidRPr="00773760">
        <w:rPr>
          <w:color w:val="000000" w:themeColor="text1"/>
          <w:sz w:val="20"/>
          <w:szCs w:val="20"/>
        </w:rPr>
        <w:t xml:space="preserve">Bureau of Labor Statistics (BLS). Occupational Employment Statistics. May 2023. </w:t>
      </w:r>
      <w:r w:rsidRPr="00773760">
        <w:rPr>
          <w:sz w:val="20"/>
          <w:szCs w:val="20"/>
        </w:rPr>
        <w:t xml:space="preserve">Federal, state, and local government, including government-owned schools and hospitals and the U.S. Postal Service, Management Occupations (SOC 11-0000). </w:t>
      </w:r>
      <w:hyperlink r:id="rId2" w:anchor="00-0000" w:history="1">
        <w:r w:rsidRPr="1456BE32">
          <w:rPr>
            <w:rStyle w:val="Hyperlink"/>
            <w:rFonts w:ascii="Aptos" w:eastAsia="Aptos" w:hAnsi="Aptos" w:cs="Aptos"/>
            <w:sz w:val="20"/>
            <w:szCs w:val="20"/>
          </w:rPr>
          <w:t>https://www.bls.gov/oes/2023/may/999001.htm#00-0000</w:t>
        </w:r>
      </w:hyperlink>
      <w:r w:rsidRPr="00773760">
        <w:rPr>
          <w:color w:val="000000" w:themeColor="text1"/>
          <w:sz w:val="20"/>
          <w:szCs w:val="20"/>
        </w:rPr>
        <w:t>.</w:t>
      </w:r>
    </w:p>
    <w:p w:rsidR="1456BE32" w:rsidP="1456BE32" w14:paraId="1EBEAE81" w14:textId="09BC71B1">
      <w:pPr>
        <w:rPr>
          <w:sz w:val="20"/>
          <w:szCs w:val="20"/>
        </w:rPr>
      </w:pPr>
    </w:p>
  </w:footnote>
  <w:footnote w:id="6">
    <w:p w:rsidR="008B6331" w:rsidP="1456BE32" w14:paraId="506DB7FA" w14:textId="2BD6C2D6">
      <w:pPr>
        <w:pStyle w:val="FootnoteText"/>
        <w:rPr>
          <w:rFonts w:ascii="Aptos" w:eastAsia="Aptos" w:hAnsi="Aptos" w:cs="Aptos"/>
        </w:rPr>
      </w:pPr>
      <w:r w:rsidRPr="1456BE32">
        <w:rPr>
          <w:rStyle w:val="FootnoteReference"/>
        </w:rPr>
        <w:footnoteRef/>
      </w:r>
      <w:r w:rsidRPr="1456BE32" w:rsidR="1456BE32">
        <w:t xml:space="preserve"> </w:t>
      </w:r>
    </w:p>
    <w:p w:rsidR="1456BE32" w:rsidP="00773760" w14:paraId="09954DEA" w14:textId="1B6795BB">
      <w:pPr>
        <w:pStyle w:val="FootnoteText"/>
      </w:pPr>
      <w:r w:rsidRPr="00773760">
        <w:rPr>
          <w:color w:val="000000" w:themeColor="text1"/>
        </w:rPr>
        <w:t>Bureau of Labor Statistics (BL</w:t>
      </w:r>
      <w:r w:rsidRPr="000719BF">
        <w:t xml:space="preserve">S). Occupational Employment Statistics. May 2023. Cross Industry, Private Ownership Only, Management Occupations (SOC 11-0000). </w:t>
      </w:r>
      <w:hyperlink r:id="rId3" w:history="1">
        <w:r w:rsidRPr="1456BE32">
          <w:rPr>
            <w:rStyle w:val="Hyperlink"/>
            <w:rFonts w:ascii="Aptos" w:eastAsia="Aptos" w:hAnsi="Aptos" w:cs="Aptos"/>
          </w:rPr>
          <w:t>https://www.bls.gov/oes/2023/may/000001.htm</w:t>
        </w:r>
      </w:hyperlink>
      <w:r w:rsidRPr="00773760">
        <w:rPr>
          <w:color w:val="000000" w:themeColor="text1"/>
        </w:rPr>
        <w:t>.</w:t>
      </w:r>
    </w:p>
  </w:footnote>
  <w:footnote w:id="7">
    <w:p w:rsidR="004A2538" w:rsidP="1456BE32" w14:paraId="100D7165" w14:textId="43A287CA">
      <w:pPr>
        <w:pStyle w:val="FootnoteText"/>
      </w:pPr>
      <w:r w:rsidRPr="1456BE32">
        <w:rPr>
          <w:rStyle w:val="FootnoteReference"/>
        </w:rPr>
        <w:footnoteRef/>
      </w:r>
      <w:r w:rsidRPr="1456BE32" w:rsidR="1456BE32">
        <w:t xml:space="preserve"> </w:t>
      </w:r>
    </w:p>
    <w:p w:rsidR="1456BE32" w:rsidP="1456BE32" w14:paraId="741726D5" w14:textId="3513E6D0">
      <w:pPr>
        <w:pStyle w:val="FootnoteText"/>
        <w:rPr>
          <w:rStyle w:val="Hyperlink"/>
        </w:rPr>
      </w:pPr>
      <w:r w:rsidRPr="1456BE32">
        <w:rPr>
          <w:rStyle w:val="Hyperlink"/>
        </w:rPr>
        <w:t>https://www.opm.gov/policy-data-oversight/pay-leave/salaries-wages/salary-tables/25Tables/html/DCB_h.aspx</w:t>
      </w:r>
    </w:p>
    <w:p w:rsidR="009F2117" w:rsidP="1456BE32" w14:paraId="1C37C7C4" w14:textId="4328D202">
      <w:pPr>
        <w:pStyle w:val="FootnoteText"/>
      </w:pPr>
      <w:r w:rsidRPr="1456BE32">
        <w:t>.</w:t>
      </w:r>
    </w:p>
  </w:footnote>
  <w:footnote w:id="8">
    <w:p w:rsidR="1456BE32" w:rsidP="00773760" w14:paraId="3D699458" w14:textId="765D4032">
      <w:pPr>
        <w:pStyle w:val="FootnoteText"/>
      </w:pPr>
      <w:r>
        <w:footnoteRef/>
      </w:r>
      <w:r>
        <w:t xml:space="preserve"> CBO. Comparing the Compensation of Federal and Private-Sector Employees, 2011 to 2015. April 2017. </w:t>
      </w:r>
      <w:hyperlink r:id="rId4" w:history="1">
        <w:r>
          <w:t>https</w:t>
        </w:r>
        <w:r w:rsidRPr="1456BE32">
          <w:rPr>
            <w:rStyle w:val="Hyperlink"/>
          </w:rPr>
          <w:t>://www.cbo.gov/publications/52637</w:t>
        </w:r>
      </w:hyperlink>
    </w:p>
    <w:p w:rsidR="1456BE32" w:rsidP="1456BE32" w14:paraId="5C7623ED" w14:textId="70B1816D">
      <w:pPr>
        <w:pStyle w:val="FootnoteText"/>
      </w:pPr>
      <w:r>
        <w:t>According</w:t>
      </w:r>
      <w:r>
        <w:t xml:space="preserve"> </w:t>
      </w:r>
      <w:r>
        <w:t>tot</w:t>
      </w:r>
      <w:r>
        <w:t xml:space="preserve"> Table 4, Average Total Compensation for all levels of education is $64.80. According to Table 2, Average wages for all levels of education is $38.30. We estimate the compensation factor by dividing total compensation by average wages.</w:t>
      </w:r>
    </w:p>
  </w:footnote>
  <w:footnote w:id="9">
    <w:p w:rsidR="7F565637" w:rsidP="00773760" w14:paraId="3473D31C" w14:textId="42B63349">
      <w:pPr>
        <w:pStyle w:val="FootnoteText"/>
      </w:pPr>
      <w:r>
        <w:footnoteRef/>
      </w:r>
      <w:r>
        <w:t xml:space="preserve"> </w:t>
      </w:r>
      <w:r w:rsidRPr="7F565637">
        <w:rPr>
          <w:color w:val="D13438"/>
          <w:u w:val="single"/>
        </w:rPr>
        <w:t>Congressional Budget Office.  Comparing the Compensation of Federal and Private-Sector Employees, 2011 to 2015. April 2017.  https://www.cbo.gov/publication/52637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237358F"/>
    <w:multiLevelType w:val="hybridMultilevel"/>
    <w:tmpl w:val="A694F816"/>
    <w:lvl w:ilvl="0">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val="0"/>
        <w:i w:val="0"/>
        <w:sz w:val="24"/>
        <w:szCs w:val="24"/>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264650"/>
    <w:multiLevelType w:val="hybridMultilevel"/>
    <w:tmpl w:val="6B946B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7E671F"/>
    <w:multiLevelType w:val="hybridMultilevel"/>
    <w:tmpl w:val="B96CDE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A2370EB"/>
    <w:multiLevelType w:val="hybridMultilevel"/>
    <w:tmpl w:val="B5121A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7">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2E9E2F2E"/>
    <w:multiLevelType w:val="hybridMultilevel"/>
    <w:tmpl w:val="CC4E82FA"/>
    <w:lvl w:ilvl="0">
      <w:start w:val="1"/>
      <w:numFmt w:val="lowerLetter"/>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2">
    <w:nsid w:val="40A82AB2"/>
    <w:multiLevelType w:val="hybridMultilevel"/>
    <w:tmpl w:val="EB6C4D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5">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4B890193"/>
    <w:multiLevelType w:val="hybridMultilevel"/>
    <w:tmpl w:val="28FEEAC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19">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1">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3">
    <w:nsid w:val="5CF86000"/>
    <w:multiLevelType w:val="hybridMultilevel"/>
    <w:tmpl w:val="D932E5D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5">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6">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7">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16cid:durableId="190148435">
    <w:abstractNumId w:val="6"/>
  </w:num>
  <w:num w:numId="2" w16cid:durableId="529294564">
    <w:abstractNumId w:val="19"/>
  </w:num>
  <w:num w:numId="3" w16cid:durableId="217789586">
    <w:abstractNumId w:val="22"/>
  </w:num>
  <w:num w:numId="4" w16cid:durableId="675112830">
    <w:abstractNumId w:val="11"/>
  </w:num>
  <w:num w:numId="5" w16cid:durableId="302733729">
    <w:abstractNumId w:val="14"/>
  </w:num>
  <w:num w:numId="6" w16cid:durableId="791165784">
    <w:abstractNumId w:val="20"/>
  </w:num>
  <w:num w:numId="7" w16cid:durableId="1932160094">
    <w:abstractNumId w:val="21"/>
  </w:num>
  <w:num w:numId="8" w16cid:durableId="758721292">
    <w:abstractNumId w:val="16"/>
  </w:num>
  <w:num w:numId="9" w16cid:durableId="1125154009">
    <w:abstractNumId w:val="8"/>
  </w:num>
  <w:num w:numId="10" w16cid:durableId="722605373">
    <w:abstractNumId w:val="26"/>
  </w:num>
  <w:num w:numId="11" w16cid:durableId="5524717">
    <w:abstractNumId w:val="13"/>
  </w:num>
  <w:num w:numId="12" w16cid:durableId="2092461553">
    <w:abstractNumId w:val="7"/>
  </w:num>
  <w:num w:numId="13" w16cid:durableId="81031762">
    <w:abstractNumId w:val="27"/>
  </w:num>
  <w:num w:numId="14" w16cid:durableId="2025469711">
    <w:abstractNumId w:val="5"/>
  </w:num>
  <w:num w:numId="15" w16cid:durableId="1110248373">
    <w:abstractNumId w:val="15"/>
  </w:num>
  <w:num w:numId="16" w16cid:durableId="1567955308">
    <w:abstractNumId w:val="10"/>
  </w:num>
  <w:num w:numId="17" w16cid:durableId="196434449">
    <w:abstractNumId w:val="25"/>
  </w:num>
  <w:num w:numId="18" w16cid:durableId="1833907962">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16cid:durableId="1903053845">
    <w:abstractNumId w:val="18"/>
  </w:num>
  <w:num w:numId="20" w16cid:durableId="1675109038">
    <w:abstractNumId w:val="24"/>
  </w:num>
  <w:num w:numId="21" w16cid:durableId="389766239">
    <w:abstractNumId w:val="17"/>
  </w:num>
  <w:num w:numId="22" w16cid:durableId="1837264627">
    <w:abstractNumId w:val="12"/>
  </w:num>
  <w:num w:numId="23" w16cid:durableId="686714572">
    <w:abstractNumId w:val="3"/>
  </w:num>
  <w:num w:numId="24" w16cid:durableId="806974156">
    <w:abstractNumId w:val="2"/>
  </w:num>
  <w:num w:numId="25" w16cid:durableId="2075540666">
    <w:abstractNumId w:val="1"/>
  </w:num>
  <w:num w:numId="26" w16cid:durableId="528569581">
    <w:abstractNumId w:val="4"/>
  </w:num>
  <w:num w:numId="27" w16cid:durableId="1741559880">
    <w:abstractNumId w:val="9"/>
  </w:num>
  <w:num w:numId="28" w16cid:durableId="4636949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autoHyphenatio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D6"/>
    <w:rsid w:val="0000521E"/>
    <w:rsid w:val="00006DF5"/>
    <w:rsid w:val="00007D6C"/>
    <w:rsid w:val="000117DF"/>
    <w:rsid w:val="00012DE3"/>
    <w:rsid w:val="00012FBC"/>
    <w:rsid w:val="00014C82"/>
    <w:rsid w:val="00021D67"/>
    <w:rsid w:val="000319C5"/>
    <w:rsid w:val="0003249B"/>
    <w:rsid w:val="000333BA"/>
    <w:rsid w:val="000335C8"/>
    <w:rsid w:val="00042924"/>
    <w:rsid w:val="00044440"/>
    <w:rsid w:val="00047173"/>
    <w:rsid w:val="00051FDA"/>
    <w:rsid w:val="00053802"/>
    <w:rsid w:val="000719BF"/>
    <w:rsid w:val="00071F21"/>
    <w:rsid w:val="00075306"/>
    <w:rsid w:val="00076EF2"/>
    <w:rsid w:val="00083034"/>
    <w:rsid w:val="00085F0F"/>
    <w:rsid w:val="00087459"/>
    <w:rsid w:val="00093607"/>
    <w:rsid w:val="000963AA"/>
    <w:rsid w:val="00097259"/>
    <w:rsid w:val="000A10A8"/>
    <w:rsid w:val="000A4447"/>
    <w:rsid w:val="000A6FA3"/>
    <w:rsid w:val="000A6FC5"/>
    <w:rsid w:val="000A74D0"/>
    <w:rsid w:val="000B399B"/>
    <w:rsid w:val="000B6171"/>
    <w:rsid w:val="000C4293"/>
    <w:rsid w:val="000D0877"/>
    <w:rsid w:val="000D26F2"/>
    <w:rsid w:val="000E3E1B"/>
    <w:rsid w:val="000E5D46"/>
    <w:rsid w:val="000E6F7F"/>
    <w:rsid w:val="000E7B5C"/>
    <w:rsid w:val="000F0FFF"/>
    <w:rsid w:val="000F5F4B"/>
    <w:rsid w:val="00101DD4"/>
    <w:rsid w:val="001137C6"/>
    <w:rsid w:val="00117762"/>
    <w:rsid w:val="0013020D"/>
    <w:rsid w:val="001408DE"/>
    <w:rsid w:val="00141549"/>
    <w:rsid w:val="00141C5C"/>
    <w:rsid w:val="00143C0C"/>
    <w:rsid w:val="00150723"/>
    <w:rsid w:val="00152F29"/>
    <w:rsid w:val="00153951"/>
    <w:rsid w:val="00155241"/>
    <w:rsid w:val="00156247"/>
    <w:rsid w:val="00191158"/>
    <w:rsid w:val="00194A62"/>
    <w:rsid w:val="00196122"/>
    <w:rsid w:val="001A1132"/>
    <w:rsid w:val="001A199D"/>
    <w:rsid w:val="001A2C95"/>
    <w:rsid w:val="001B0203"/>
    <w:rsid w:val="001B2714"/>
    <w:rsid w:val="001B6DF0"/>
    <w:rsid w:val="001C18B1"/>
    <w:rsid w:val="001C4B22"/>
    <w:rsid w:val="001C4CB7"/>
    <w:rsid w:val="001C4CC1"/>
    <w:rsid w:val="001E25FC"/>
    <w:rsid w:val="001E4D4A"/>
    <w:rsid w:val="001E59E2"/>
    <w:rsid w:val="001F3173"/>
    <w:rsid w:val="002030D4"/>
    <w:rsid w:val="00205739"/>
    <w:rsid w:val="002134CD"/>
    <w:rsid w:val="00213CA8"/>
    <w:rsid w:val="00222489"/>
    <w:rsid w:val="0022399E"/>
    <w:rsid w:val="002246A7"/>
    <w:rsid w:val="0023040A"/>
    <w:rsid w:val="00235123"/>
    <w:rsid w:val="002366B4"/>
    <w:rsid w:val="00237711"/>
    <w:rsid w:val="002451D9"/>
    <w:rsid w:val="002455C3"/>
    <w:rsid w:val="002516F4"/>
    <w:rsid w:val="00251725"/>
    <w:rsid w:val="00252E04"/>
    <w:rsid w:val="00256798"/>
    <w:rsid w:val="00264251"/>
    <w:rsid w:val="00264743"/>
    <w:rsid w:val="0026736D"/>
    <w:rsid w:val="00272CF0"/>
    <w:rsid w:val="002777BC"/>
    <w:rsid w:val="00280754"/>
    <w:rsid w:val="002900C5"/>
    <w:rsid w:val="00290AAB"/>
    <w:rsid w:val="002914CF"/>
    <w:rsid w:val="0029290D"/>
    <w:rsid w:val="00292D20"/>
    <w:rsid w:val="00293E81"/>
    <w:rsid w:val="0029721C"/>
    <w:rsid w:val="00297C37"/>
    <w:rsid w:val="002A03E2"/>
    <w:rsid w:val="002A3463"/>
    <w:rsid w:val="002A626D"/>
    <w:rsid w:val="002A7031"/>
    <w:rsid w:val="002B0649"/>
    <w:rsid w:val="002B401B"/>
    <w:rsid w:val="002B4BF6"/>
    <w:rsid w:val="002C05B0"/>
    <w:rsid w:val="002C2208"/>
    <w:rsid w:val="002C2F51"/>
    <w:rsid w:val="002C5055"/>
    <w:rsid w:val="002C6DBA"/>
    <w:rsid w:val="002D4AD9"/>
    <w:rsid w:val="002D54F0"/>
    <w:rsid w:val="002D5A9C"/>
    <w:rsid w:val="002D6219"/>
    <w:rsid w:val="002D7C6B"/>
    <w:rsid w:val="002F2A01"/>
    <w:rsid w:val="002F49E0"/>
    <w:rsid w:val="00303417"/>
    <w:rsid w:val="00310987"/>
    <w:rsid w:val="00333D1E"/>
    <w:rsid w:val="00336855"/>
    <w:rsid w:val="00340EE1"/>
    <w:rsid w:val="00341049"/>
    <w:rsid w:val="0034148A"/>
    <w:rsid w:val="003421DA"/>
    <w:rsid w:val="00345A57"/>
    <w:rsid w:val="00350700"/>
    <w:rsid w:val="003556F7"/>
    <w:rsid w:val="00356698"/>
    <w:rsid w:val="00360B5A"/>
    <w:rsid w:val="00360C02"/>
    <w:rsid w:val="00364EE8"/>
    <w:rsid w:val="0037135B"/>
    <w:rsid w:val="00372D4F"/>
    <w:rsid w:val="00377D10"/>
    <w:rsid w:val="00381F93"/>
    <w:rsid w:val="00383A50"/>
    <w:rsid w:val="003841DB"/>
    <w:rsid w:val="00390A59"/>
    <w:rsid w:val="00392229"/>
    <w:rsid w:val="00392776"/>
    <w:rsid w:val="0039325E"/>
    <w:rsid w:val="00394081"/>
    <w:rsid w:val="003946D3"/>
    <w:rsid w:val="003A0D4D"/>
    <w:rsid w:val="003A221C"/>
    <w:rsid w:val="003A3B94"/>
    <w:rsid w:val="003A4655"/>
    <w:rsid w:val="003B165C"/>
    <w:rsid w:val="003B41D3"/>
    <w:rsid w:val="003B5E20"/>
    <w:rsid w:val="003B68FA"/>
    <w:rsid w:val="003C4891"/>
    <w:rsid w:val="003C4DEC"/>
    <w:rsid w:val="003D3B36"/>
    <w:rsid w:val="003D64C9"/>
    <w:rsid w:val="003D6ED3"/>
    <w:rsid w:val="003E0A3D"/>
    <w:rsid w:val="003E0D23"/>
    <w:rsid w:val="003E2CC1"/>
    <w:rsid w:val="003E4418"/>
    <w:rsid w:val="003E6DD8"/>
    <w:rsid w:val="003F1520"/>
    <w:rsid w:val="004006DC"/>
    <w:rsid w:val="004019EB"/>
    <w:rsid w:val="00402A39"/>
    <w:rsid w:val="004076BD"/>
    <w:rsid w:val="00410AC1"/>
    <w:rsid w:val="00413E8E"/>
    <w:rsid w:val="00415E15"/>
    <w:rsid w:val="004163C7"/>
    <w:rsid w:val="00417DE7"/>
    <w:rsid w:val="00424132"/>
    <w:rsid w:val="00425D27"/>
    <w:rsid w:val="004273B2"/>
    <w:rsid w:val="00447C3A"/>
    <w:rsid w:val="00457A18"/>
    <w:rsid w:val="00460234"/>
    <w:rsid w:val="00462C47"/>
    <w:rsid w:val="00466E72"/>
    <w:rsid w:val="0047247E"/>
    <w:rsid w:val="00472AAB"/>
    <w:rsid w:val="00480505"/>
    <w:rsid w:val="00482F9B"/>
    <w:rsid w:val="004845D0"/>
    <w:rsid w:val="00492E98"/>
    <w:rsid w:val="00497A86"/>
    <w:rsid w:val="004A0DE6"/>
    <w:rsid w:val="004A2538"/>
    <w:rsid w:val="004A42B4"/>
    <w:rsid w:val="004B50C4"/>
    <w:rsid w:val="004B57CC"/>
    <w:rsid w:val="004B6227"/>
    <w:rsid w:val="004B62D9"/>
    <w:rsid w:val="004B7CB4"/>
    <w:rsid w:val="004C21F8"/>
    <w:rsid w:val="004C2E8B"/>
    <w:rsid w:val="004C41CD"/>
    <w:rsid w:val="004C46BB"/>
    <w:rsid w:val="004C5B33"/>
    <w:rsid w:val="004C5DDB"/>
    <w:rsid w:val="004C73D5"/>
    <w:rsid w:val="004D1FE1"/>
    <w:rsid w:val="004D5706"/>
    <w:rsid w:val="004E34AB"/>
    <w:rsid w:val="004E5C50"/>
    <w:rsid w:val="004F0116"/>
    <w:rsid w:val="004F06CC"/>
    <w:rsid w:val="004F19C6"/>
    <w:rsid w:val="004F1AF5"/>
    <w:rsid w:val="00504BDE"/>
    <w:rsid w:val="00507C7F"/>
    <w:rsid w:val="0051005D"/>
    <w:rsid w:val="00512470"/>
    <w:rsid w:val="00513942"/>
    <w:rsid w:val="00513C8E"/>
    <w:rsid w:val="0051520A"/>
    <w:rsid w:val="005202D4"/>
    <w:rsid w:val="00521689"/>
    <w:rsid w:val="00522032"/>
    <w:rsid w:val="00525CB9"/>
    <w:rsid w:val="00530BC4"/>
    <w:rsid w:val="00531951"/>
    <w:rsid w:val="0053774F"/>
    <w:rsid w:val="005420D3"/>
    <w:rsid w:val="00545AFB"/>
    <w:rsid w:val="00550B78"/>
    <w:rsid w:val="0055357B"/>
    <w:rsid w:val="00555B2A"/>
    <w:rsid w:val="005614C9"/>
    <w:rsid w:val="00565BED"/>
    <w:rsid w:val="00573B59"/>
    <w:rsid w:val="00573EBE"/>
    <w:rsid w:val="00580711"/>
    <w:rsid w:val="005817B5"/>
    <w:rsid w:val="00582F4C"/>
    <w:rsid w:val="00590524"/>
    <w:rsid w:val="005924FE"/>
    <w:rsid w:val="00595AB0"/>
    <w:rsid w:val="00596A43"/>
    <w:rsid w:val="005A0C14"/>
    <w:rsid w:val="005A30A6"/>
    <w:rsid w:val="005A4284"/>
    <w:rsid w:val="005A5D0D"/>
    <w:rsid w:val="005B3B46"/>
    <w:rsid w:val="005C3DCA"/>
    <w:rsid w:val="005C472E"/>
    <w:rsid w:val="005C7058"/>
    <w:rsid w:val="005C7088"/>
    <w:rsid w:val="005D0717"/>
    <w:rsid w:val="005D1E65"/>
    <w:rsid w:val="005D3A34"/>
    <w:rsid w:val="005D4E0E"/>
    <w:rsid w:val="005D6EC2"/>
    <w:rsid w:val="005D7769"/>
    <w:rsid w:val="005D781B"/>
    <w:rsid w:val="005E11D7"/>
    <w:rsid w:val="005E57E0"/>
    <w:rsid w:val="005F049A"/>
    <w:rsid w:val="00611490"/>
    <w:rsid w:val="00611B95"/>
    <w:rsid w:val="006145D1"/>
    <w:rsid w:val="00615DFD"/>
    <w:rsid w:val="006250C3"/>
    <w:rsid w:val="00625391"/>
    <w:rsid w:val="0063553D"/>
    <w:rsid w:val="00656EA2"/>
    <w:rsid w:val="00656FF7"/>
    <w:rsid w:val="00657687"/>
    <w:rsid w:val="00661921"/>
    <w:rsid w:val="006651B2"/>
    <w:rsid w:val="00671761"/>
    <w:rsid w:val="00673E16"/>
    <w:rsid w:val="006749D4"/>
    <w:rsid w:val="0068258B"/>
    <w:rsid w:val="00684E63"/>
    <w:rsid w:val="006A0B1C"/>
    <w:rsid w:val="006A50A5"/>
    <w:rsid w:val="006A7FF1"/>
    <w:rsid w:val="006B27A5"/>
    <w:rsid w:val="006B4994"/>
    <w:rsid w:val="006C21D0"/>
    <w:rsid w:val="006C3F09"/>
    <w:rsid w:val="006C5395"/>
    <w:rsid w:val="006D028D"/>
    <w:rsid w:val="006D0E62"/>
    <w:rsid w:val="006D5CCE"/>
    <w:rsid w:val="006D6681"/>
    <w:rsid w:val="006D71E0"/>
    <w:rsid w:val="006D7546"/>
    <w:rsid w:val="006D785E"/>
    <w:rsid w:val="006E2FC3"/>
    <w:rsid w:val="006E316F"/>
    <w:rsid w:val="006E32D9"/>
    <w:rsid w:val="006E4F17"/>
    <w:rsid w:val="00712A0B"/>
    <w:rsid w:val="007130F1"/>
    <w:rsid w:val="007277A8"/>
    <w:rsid w:val="007377A4"/>
    <w:rsid w:val="00740C68"/>
    <w:rsid w:val="00741B83"/>
    <w:rsid w:val="00742F2D"/>
    <w:rsid w:val="007443F3"/>
    <w:rsid w:val="00752D76"/>
    <w:rsid w:val="0075406E"/>
    <w:rsid w:val="00756682"/>
    <w:rsid w:val="0075772E"/>
    <w:rsid w:val="0076620B"/>
    <w:rsid w:val="0077056F"/>
    <w:rsid w:val="00770CF4"/>
    <w:rsid w:val="00773760"/>
    <w:rsid w:val="00774C99"/>
    <w:rsid w:val="0078044C"/>
    <w:rsid w:val="00784B44"/>
    <w:rsid w:val="00790CF1"/>
    <w:rsid w:val="0079409B"/>
    <w:rsid w:val="007967F0"/>
    <w:rsid w:val="00796AB1"/>
    <w:rsid w:val="007A42B1"/>
    <w:rsid w:val="007A528E"/>
    <w:rsid w:val="007A66B5"/>
    <w:rsid w:val="007C0AF0"/>
    <w:rsid w:val="007C2D40"/>
    <w:rsid w:val="007D0399"/>
    <w:rsid w:val="007D6212"/>
    <w:rsid w:val="007D6E99"/>
    <w:rsid w:val="007F61EC"/>
    <w:rsid w:val="007F79EE"/>
    <w:rsid w:val="00820238"/>
    <w:rsid w:val="00823308"/>
    <w:rsid w:val="00826580"/>
    <w:rsid w:val="00840338"/>
    <w:rsid w:val="008419A6"/>
    <w:rsid w:val="008447AF"/>
    <w:rsid w:val="008500FB"/>
    <w:rsid w:val="00851BF1"/>
    <w:rsid w:val="008555C3"/>
    <w:rsid w:val="00861C89"/>
    <w:rsid w:val="00865E92"/>
    <w:rsid w:val="00866F16"/>
    <w:rsid w:val="008719E8"/>
    <w:rsid w:val="00871D7C"/>
    <w:rsid w:val="00873AEF"/>
    <w:rsid w:val="00875586"/>
    <w:rsid w:val="008804CB"/>
    <w:rsid w:val="00887178"/>
    <w:rsid w:val="00890154"/>
    <w:rsid w:val="008916EE"/>
    <w:rsid w:val="008924F0"/>
    <w:rsid w:val="0089711A"/>
    <w:rsid w:val="0089745E"/>
    <w:rsid w:val="00897784"/>
    <w:rsid w:val="008A035F"/>
    <w:rsid w:val="008A0C9A"/>
    <w:rsid w:val="008A165F"/>
    <w:rsid w:val="008A221D"/>
    <w:rsid w:val="008A516E"/>
    <w:rsid w:val="008A698A"/>
    <w:rsid w:val="008B6194"/>
    <w:rsid w:val="008B6331"/>
    <w:rsid w:val="008B7403"/>
    <w:rsid w:val="008C1A77"/>
    <w:rsid w:val="008C27C3"/>
    <w:rsid w:val="008C39D5"/>
    <w:rsid w:val="008C3EC7"/>
    <w:rsid w:val="008D5A33"/>
    <w:rsid w:val="008D61ED"/>
    <w:rsid w:val="008D744F"/>
    <w:rsid w:val="008D7988"/>
    <w:rsid w:val="008E12FD"/>
    <w:rsid w:val="008E2061"/>
    <w:rsid w:val="008E4152"/>
    <w:rsid w:val="008F2F44"/>
    <w:rsid w:val="008F74DF"/>
    <w:rsid w:val="0090796D"/>
    <w:rsid w:val="00907DE7"/>
    <w:rsid w:val="00911783"/>
    <w:rsid w:val="009117D0"/>
    <w:rsid w:val="00913A27"/>
    <w:rsid w:val="00917BAF"/>
    <w:rsid w:val="00924C84"/>
    <w:rsid w:val="00925C4F"/>
    <w:rsid w:val="00925DA2"/>
    <w:rsid w:val="009304DF"/>
    <w:rsid w:val="009319FE"/>
    <w:rsid w:val="00933488"/>
    <w:rsid w:val="0093542A"/>
    <w:rsid w:val="00942617"/>
    <w:rsid w:val="0094389A"/>
    <w:rsid w:val="00944494"/>
    <w:rsid w:val="00945106"/>
    <w:rsid w:val="00946F53"/>
    <w:rsid w:val="009501B2"/>
    <w:rsid w:val="009539A8"/>
    <w:rsid w:val="00954901"/>
    <w:rsid w:val="00954FC1"/>
    <w:rsid w:val="00961FD6"/>
    <w:rsid w:val="0096211A"/>
    <w:rsid w:val="009632C6"/>
    <w:rsid w:val="0096453F"/>
    <w:rsid w:val="0096736F"/>
    <w:rsid w:val="0097473E"/>
    <w:rsid w:val="00987C2D"/>
    <w:rsid w:val="00993095"/>
    <w:rsid w:val="00993F06"/>
    <w:rsid w:val="00994BD2"/>
    <w:rsid w:val="00994F52"/>
    <w:rsid w:val="00995075"/>
    <w:rsid w:val="00995211"/>
    <w:rsid w:val="009960C6"/>
    <w:rsid w:val="00997A98"/>
    <w:rsid w:val="009A0346"/>
    <w:rsid w:val="009A7B24"/>
    <w:rsid w:val="009B4A68"/>
    <w:rsid w:val="009C4719"/>
    <w:rsid w:val="009C4DD8"/>
    <w:rsid w:val="009D0EDC"/>
    <w:rsid w:val="009D0F79"/>
    <w:rsid w:val="009E4783"/>
    <w:rsid w:val="009F06EB"/>
    <w:rsid w:val="009F2117"/>
    <w:rsid w:val="009F25F0"/>
    <w:rsid w:val="009F5E5D"/>
    <w:rsid w:val="009F604E"/>
    <w:rsid w:val="00A00007"/>
    <w:rsid w:val="00A02C4D"/>
    <w:rsid w:val="00A0781B"/>
    <w:rsid w:val="00A0F41F"/>
    <w:rsid w:val="00A1404F"/>
    <w:rsid w:val="00A15785"/>
    <w:rsid w:val="00A23902"/>
    <w:rsid w:val="00A42A18"/>
    <w:rsid w:val="00A460C5"/>
    <w:rsid w:val="00A476E8"/>
    <w:rsid w:val="00A5167A"/>
    <w:rsid w:val="00A528AA"/>
    <w:rsid w:val="00A55593"/>
    <w:rsid w:val="00A60288"/>
    <w:rsid w:val="00A74610"/>
    <w:rsid w:val="00A75B9B"/>
    <w:rsid w:val="00A763A6"/>
    <w:rsid w:val="00A862A0"/>
    <w:rsid w:val="00A90F3D"/>
    <w:rsid w:val="00A91BB6"/>
    <w:rsid w:val="00A93A3C"/>
    <w:rsid w:val="00A962C0"/>
    <w:rsid w:val="00A96F5F"/>
    <w:rsid w:val="00AA34C3"/>
    <w:rsid w:val="00AA3F82"/>
    <w:rsid w:val="00AA6813"/>
    <w:rsid w:val="00AB15D7"/>
    <w:rsid w:val="00AB3547"/>
    <w:rsid w:val="00AB3DA6"/>
    <w:rsid w:val="00AB4142"/>
    <w:rsid w:val="00AB5A92"/>
    <w:rsid w:val="00AC215C"/>
    <w:rsid w:val="00AD45BF"/>
    <w:rsid w:val="00AE0D1F"/>
    <w:rsid w:val="00AE2606"/>
    <w:rsid w:val="00AE41B7"/>
    <w:rsid w:val="00AE652E"/>
    <w:rsid w:val="00AF4918"/>
    <w:rsid w:val="00AF71FB"/>
    <w:rsid w:val="00B02152"/>
    <w:rsid w:val="00B109D4"/>
    <w:rsid w:val="00B11C74"/>
    <w:rsid w:val="00B139CF"/>
    <w:rsid w:val="00B160E8"/>
    <w:rsid w:val="00B17D05"/>
    <w:rsid w:val="00B22DB6"/>
    <w:rsid w:val="00B23792"/>
    <w:rsid w:val="00B25B20"/>
    <w:rsid w:val="00B302A0"/>
    <w:rsid w:val="00B32A02"/>
    <w:rsid w:val="00B35A9A"/>
    <w:rsid w:val="00B35CF1"/>
    <w:rsid w:val="00B410FE"/>
    <w:rsid w:val="00B43AFE"/>
    <w:rsid w:val="00B53613"/>
    <w:rsid w:val="00B57157"/>
    <w:rsid w:val="00B64BF8"/>
    <w:rsid w:val="00B67664"/>
    <w:rsid w:val="00B760F2"/>
    <w:rsid w:val="00B83D4C"/>
    <w:rsid w:val="00B84492"/>
    <w:rsid w:val="00B91395"/>
    <w:rsid w:val="00B91E6A"/>
    <w:rsid w:val="00B92CF5"/>
    <w:rsid w:val="00BA11D1"/>
    <w:rsid w:val="00BA2768"/>
    <w:rsid w:val="00BB4C94"/>
    <w:rsid w:val="00BC0228"/>
    <w:rsid w:val="00BC3232"/>
    <w:rsid w:val="00BC4542"/>
    <w:rsid w:val="00BC6D1D"/>
    <w:rsid w:val="00BC6EF5"/>
    <w:rsid w:val="00BC72C0"/>
    <w:rsid w:val="00BE3542"/>
    <w:rsid w:val="00BE387A"/>
    <w:rsid w:val="00BE4994"/>
    <w:rsid w:val="00BE4B9B"/>
    <w:rsid w:val="00BF1853"/>
    <w:rsid w:val="00BF27B0"/>
    <w:rsid w:val="00BF3CEF"/>
    <w:rsid w:val="00BF47A9"/>
    <w:rsid w:val="00C10465"/>
    <w:rsid w:val="00C10ACB"/>
    <w:rsid w:val="00C12F37"/>
    <w:rsid w:val="00C234A4"/>
    <w:rsid w:val="00C3419E"/>
    <w:rsid w:val="00C443A2"/>
    <w:rsid w:val="00C458E1"/>
    <w:rsid w:val="00C520DC"/>
    <w:rsid w:val="00C63FA4"/>
    <w:rsid w:val="00C75797"/>
    <w:rsid w:val="00C77539"/>
    <w:rsid w:val="00C77612"/>
    <w:rsid w:val="00C77C49"/>
    <w:rsid w:val="00C86F44"/>
    <w:rsid w:val="00CA51E1"/>
    <w:rsid w:val="00CA5D9A"/>
    <w:rsid w:val="00CA7099"/>
    <w:rsid w:val="00CA7AF8"/>
    <w:rsid w:val="00CB393B"/>
    <w:rsid w:val="00CB3E16"/>
    <w:rsid w:val="00CB5356"/>
    <w:rsid w:val="00CB54ED"/>
    <w:rsid w:val="00CB6507"/>
    <w:rsid w:val="00CC0DAF"/>
    <w:rsid w:val="00CC4EFA"/>
    <w:rsid w:val="00CC5371"/>
    <w:rsid w:val="00CC6A91"/>
    <w:rsid w:val="00CD29CD"/>
    <w:rsid w:val="00CD2DFE"/>
    <w:rsid w:val="00CE29BF"/>
    <w:rsid w:val="00CE3BCB"/>
    <w:rsid w:val="00CE3D0D"/>
    <w:rsid w:val="00CE45F2"/>
    <w:rsid w:val="00CE74E3"/>
    <w:rsid w:val="00CF07AB"/>
    <w:rsid w:val="00CF1651"/>
    <w:rsid w:val="00CF45CF"/>
    <w:rsid w:val="00CF5D67"/>
    <w:rsid w:val="00CF665A"/>
    <w:rsid w:val="00D03C11"/>
    <w:rsid w:val="00D04C05"/>
    <w:rsid w:val="00D0687F"/>
    <w:rsid w:val="00D14455"/>
    <w:rsid w:val="00D15DA5"/>
    <w:rsid w:val="00D253AC"/>
    <w:rsid w:val="00D27628"/>
    <w:rsid w:val="00D3149C"/>
    <w:rsid w:val="00D3411B"/>
    <w:rsid w:val="00D3607D"/>
    <w:rsid w:val="00D435BB"/>
    <w:rsid w:val="00D52290"/>
    <w:rsid w:val="00D60048"/>
    <w:rsid w:val="00D60926"/>
    <w:rsid w:val="00D701F3"/>
    <w:rsid w:val="00D70CAF"/>
    <w:rsid w:val="00D70CE6"/>
    <w:rsid w:val="00D73BBC"/>
    <w:rsid w:val="00D76442"/>
    <w:rsid w:val="00D81BD6"/>
    <w:rsid w:val="00D855CA"/>
    <w:rsid w:val="00D93841"/>
    <w:rsid w:val="00D94254"/>
    <w:rsid w:val="00DA0968"/>
    <w:rsid w:val="00DA1C59"/>
    <w:rsid w:val="00DA6095"/>
    <w:rsid w:val="00DB0532"/>
    <w:rsid w:val="00DB53C6"/>
    <w:rsid w:val="00DB6BCE"/>
    <w:rsid w:val="00DC636C"/>
    <w:rsid w:val="00DC65A4"/>
    <w:rsid w:val="00DC6E79"/>
    <w:rsid w:val="00DC704B"/>
    <w:rsid w:val="00DD0AB5"/>
    <w:rsid w:val="00DD300E"/>
    <w:rsid w:val="00DD6682"/>
    <w:rsid w:val="00DE3E05"/>
    <w:rsid w:val="00DF187A"/>
    <w:rsid w:val="00E03BFB"/>
    <w:rsid w:val="00E05127"/>
    <w:rsid w:val="00E12104"/>
    <w:rsid w:val="00E15F2E"/>
    <w:rsid w:val="00E20BD5"/>
    <w:rsid w:val="00E20CDB"/>
    <w:rsid w:val="00E23A3C"/>
    <w:rsid w:val="00E2481E"/>
    <w:rsid w:val="00E42561"/>
    <w:rsid w:val="00E458FE"/>
    <w:rsid w:val="00E476EF"/>
    <w:rsid w:val="00E63C3E"/>
    <w:rsid w:val="00E6B4AB"/>
    <w:rsid w:val="00E806E1"/>
    <w:rsid w:val="00E82AA2"/>
    <w:rsid w:val="00EA2BAB"/>
    <w:rsid w:val="00EA3151"/>
    <w:rsid w:val="00EB06DA"/>
    <w:rsid w:val="00EB452C"/>
    <w:rsid w:val="00EB5E96"/>
    <w:rsid w:val="00ED0CF0"/>
    <w:rsid w:val="00ED5D9B"/>
    <w:rsid w:val="00EF22C3"/>
    <w:rsid w:val="00EF73D7"/>
    <w:rsid w:val="00F049F5"/>
    <w:rsid w:val="00F055E7"/>
    <w:rsid w:val="00F100E7"/>
    <w:rsid w:val="00F117F1"/>
    <w:rsid w:val="00F33B1A"/>
    <w:rsid w:val="00F37F32"/>
    <w:rsid w:val="00F415B7"/>
    <w:rsid w:val="00F4411A"/>
    <w:rsid w:val="00F55548"/>
    <w:rsid w:val="00F575A3"/>
    <w:rsid w:val="00F6040B"/>
    <w:rsid w:val="00F7152E"/>
    <w:rsid w:val="00F71616"/>
    <w:rsid w:val="00F74376"/>
    <w:rsid w:val="00F81058"/>
    <w:rsid w:val="00F861A5"/>
    <w:rsid w:val="00F87ECF"/>
    <w:rsid w:val="00F9065D"/>
    <w:rsid w:val="00F91756"/>
    <w:rsid w:val="00F930EE"/>
    <w:rsid w:val="00FA4006"/>
    <w:rsid w:val="00FD2846"/>
    <w:rsid w:val="00FD6B0D"/>
    <w:rsid w:val="00FE5661"/>
    <w:rsid w:val="00FE5940"/>
    <w:rsid w:val="00FF1073"/>
    <w:rsid w:val="00FF390A"/>
    <w:rsid w:val="00FF39AE"/>
    <w:rsid w:val="00FF5DDF"/>
    <w:rsid w:val="00FF7F27"/>
    <w:rsid w:val="018CFF07"/>
    <w:rsid w:val="01EB9040"/>
    <w:rsid w:val="03187D80"/>
    <w:rsid w:val="048748B9"/>
    <w:rsid w:val="04A2B31F"/>
    <w:rsid w:val="04F2B1E0"/>
    <w:rsid w:val="0671A262"/>
    <w:rsid w:val="07AF133A"/>
    <w:rsid w:val="095CBFED"/>
    <w:rsid w:val="0974E5E6"/>
    <w:rsid w:val="09A69C71"/>
    <w:rsid w:val="0AAE463C"/>
    <w:rsid w:val="0F671EF8"/>
    <w:rsid w:val="0FF33794"/>
    <w:rsid w:val="0FF9F846"/>
    <w:rsid w:val="104B6EA4"/>
    <w:rsid w:val="10C67149"/>
    <w:rsid w:val="10F4EE4B"/>
    <w:rsid w:val="12B1BFF1"/>
    <w:rsid w:val="12C15218"/>
    <w:rsid w:val="12D3E23E"/>
    <w:rsid w:val="13286BAC"/>
    <w:rsid w:val="1335D765"/>
    <w:rsid w:val="1456BE32"/>
    <w:rsid w:val="14B98056"/>
    <w:rsid w:val="14D97E27"/>
    <w:rsid w:val="1693C241"/>
    <w:rsid w:val="16F5753C"/>
    <w:rsid w:val="17D0504D"/>
    <w:rsid w:val="183E61E4"/>
    <w:rsid w:val="18B9470A"/>
    <w:rsid w:val="192F4198"/>
    <w:rsid w:val="1A803837"/>
    <w:rsid w:val="1B345428"/>
    <w:rsid w:val="1C324692"/>
    <w:rsid w:val="1C4B336D"/>
    <w:rsid w:val="1CB78F5A"/>
    <w:rsid w:val="1D0D63E1"/>
    <w:rsid w:val="210500D1"/>
    <w:rsid w:val="23AE1956"/>
    <w:rsid w:val="23B74188"/>
    <w:rsid w:val="240A4E1A"/>
    <w:rsid w:val="2522159A"/>
    <w:rsid w:val="26C2EF0D"/>
    <w:rsid w:val="27017FC8"/>
    <w:rsid w:val="2790A715"/>
    <w:rsid w:val="27CDF7F2"/>
    <w:rsid w:val="2864291E"/>
    <w:rsid w:val="286C01A2"/>
    <w:rsid w:val="290C2DE5"/>
    <w:rsid w:val="293FD76B"/>
    <w:rsid w:val="2946C724"/>
    <w:rsid w:val="29589810"/>
    <w:rsid w:val="2B1F62F5"/>
    <w:rsid w:val="2C0CC96E"/>
    <w:rsid w:val="2C39F032"/>
    <w:rsid w:val="2CB9B820"/>
    <w:rsid w:val="2D476D1B"/>
    <w:rsid w:val="2DA099BE"/>
    <w:rsid w:val="2EA014B9"/>
    <w:rsid w:val="2EB2187B"/>
    <w:rsid w:val="2ED3D341"/>
    <w:rsid w:val="3076D8B2"/>
    <w:rsid w:val="322BC375"/>
    <w:rsid w:val="32AD89A4"/>
    <w:rsid w:val="32C8BEE7"/>
    <w:rsid w:val="345368D6"/>
    <w:rsid w:val="35293D81"/>
    <w:rsid w:val="363D2669"/>
    <w:rsid w:val="3657C966"/>
    <w:rsid w:val="3668145A"/>
    <w:rsid w:val="368A5E56"/>
    <w:rsid w:val="374F9287"/>
    <w:rsid w:val="37711A2C"/>
    <w:rsid w:val="38448561"/>
    <w:rsid w:val="38884A01"/>
    <w:rsid w:val="38F938C5"/>
    <w:rsid w:val="3939F5AB"/>
    <w:rsid w:val="396AE73A"/>
    <w:rsid w:val="3A59E4A6"/>
    <w:rsid w:val="3AB0C59C"/>
    <w:rsid w:val="3AC93D3D"/>
    <w:rsid w:val="3B3A91A4"/>
    <w:rsid w:val="3C396F2D"/>
    <w:rsid w:val="3E88DABB"/>
    <w:rsid w:val="3EB20B1D"/>
    <w:rsid w:val="3F0D200D"/>
    <w:rsid w:val="401929BD"/>
    <w:rsid w:val="403E548B"/>
    <w:rsid w:val="4072B8EA"/>
    <w:rsid w:val="40B5F6B1"/>
    <w:rsid w:val="4141D4E4"/>
    <w:rsid w:val="417649D1"/>
    <w:rsid w:val="4237B8CB"/>
    <w:rsid w:val="426AA0AB"/>
    <w:rsid w:val="42F953D5"/>
    <w:rsid w:val="432BF262"/>
    <w:rsid w:val="4355CFA9"/>
    <w:rsid w:val="43AD0DBE"/>
    <w:rsid w:val="4423E595"/>
    <w:rsid w:val="4471408C"/>
    <w:rsid w:val="466BD7F5"/>
    <w:rsid w:val="4765CEA5"/>
    <w:rsid w:val="477CA7C1"/>
    <w:rsid w:val="47C21782"/>
    <w:rsid w:val="4800B4CC"/>
    <w:rsid w:val="48947134"/>
    <w:rsid w:val="49163F1B"/>
    <w:rsid w:val="49202B3A"/>
    <w:rsid w:val="493DB081"/>
    <w:rsid w:val="4D446109"/>
    <w:rsid w:val="4DB91A8D"/>
    <w:rsid w:val="4F3D5E69"/>
    <w:rsid w:val="4F602E9A"/>
    <w:rsid w:val="520A6956"/>
    <w:rsid w:val="520D09CC"/>
    <w:rsid w:val="52FDB464"/>
    <w:rsid w:val="53AFA2D1"/>
    <w:rsid w:val="54055BED"/>
    <w:rsid w:val="54137CFD"/>
    <w:rsid w:val="57BFAF7B"/>
    <w:rsid w:val="57D7F9B8"/>
    <w:rsid w:val="58303BDE"/>
    <w:rsid w:val="5A003904"/>
    <w:rsid w:val="5A986BC6"/>
    <w:rsid w:val="5D50EB30"/>
    <w:rsid w:val="5F0EF10A"/>
    <w:rsid w:val="61E03AF5"/>
    <w:rsid w:val="62C3365A"/>
    <w:rsid w:val="6345BEAB"/>
    <w:rsid w:val="63C74CB7"/>
    <w:rsid w:val="63FA5578"/>
    <w:rsid w:val="645E5965"/>
    <w:rsid w:val="64BB11A7"/>
    <w:rsid w:val="669BD2BB"/>
    <w:rsid w:val="68C9D6CE"/>
    <w:rsid w:val="690850B7"/>
    <w:rsid w:val="6B211E14"/>
    <w:rsid w:val="6B25CB99"/>
    <w:rsid w:val="6B7D11F6"/>
    <w:rsid w:val="6BB3B6CC"/>
    <w:rsid w:val="6BC09493"/>
    <w:rsid w:val="6C05F01B"/>
    <w:rsid w:val="6DD858B9"/>
    <w:rsid w:val="6E97D483"/>
    <w:rsid w:val="6EDBC0B7"/>
    <w:rsid w:val="70133490"/>
    <w:rsid w:val="705596BD"/>
    <w:rsid w:val="72726C53"/>
    <w:rsid w:val="7475A9F4"/>
    <w:rsid w:val="748685BA"/>
    <w:rsid w:val="763FFEFB"/>
    <w:rsid w:val="77EA9B04"/>
    <w:rsid w:val="79D84903"/>
    <w:rsid w:val="7A8D8275"/>
    <w:rsid w:val="7BD32154"/>
    <w:rsid w:val="7BDCAD1C"/>
    <w:rsid w:val="7C24B79C"/>
    <w:rsid w:val="7C38051C"/>
    <w:rsid w:val="7D0E553B"/>
    <w:rsid w:val="7DA2C22A"/>
    <w:rsid w:val="7F565637"/>
    <w:rsid w:val="7F7F4652"/>
    <w:rsid w:val="7FB2A42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7AC0554"/>
  <w15:chartTrackingRefBased/>
  <w15:docId w15:val="{4A8715CE-2F55-46F0-9897-60B3E947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semiHidden/>
    <w:rsid w:val="008F2F44"/>
    <w:rPr>
      <w:sz w:val="16"/>
      <w:szCs w:val="16"/>
    </w:rPr>
  </w:style>
  <w:style w:type="paragraph" w:styleId="CommentText">
    <w:name w:val="annotation text"/>
    <w:basedOn w:val="Normal"/>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9E0"/>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FE5661"/>
    <w:rPr>
      <w:rFonts w:ascii="Consolas" w:eastAsia="Calibri" w:hAnsi="Consolas"/>
      <w:sz w:val="21"/>
      <w:szCs w:val="21"/>
    </w:rPr>
  </w:style>
  <w:style w:type="character" w:customStyle="1" w:styleId="PlainTextChar">
    <w:name w:val="Plain Text Char"/>
    <w:link w:val="PlainText"/>
    <w:uiPriority w:val="99"/>
    <w:rsid w:val="00FE5661"/>
    <w:rPr>
      <w:rFonts w:ascii="Consolas" w:eastAsia="Calibri" w:hAnsi="Consolas"/>
      <w:sz w:val="21"/>
      <w:szCs w:val="21"/>
    </w:rPr>
  </w:style>
  <w:style w:type="character" w:styleId="FootnoteReference">
    <w:name w:val="footnote reference"/>
    <w:aliases w:val="Number"/>
    <w:uiPriority w:val="99"/>
    <w:unhideWhenUsed/>
    <w:qFormat/>
    <w:rsid w:val="002900C5"/>
    <w:rPr>
      <w:vertAlign w:val="superscript"/>
    </w:rPr>
  </w:style>
  <w:style w:type="character" w:styleId="FollowedHyperlink">
    <w:name w:val="FollowedHyperlink"/>
    <w:rsid w:val="00A96F5F"/>
    <w:rPr>
      <w:color w:val="954F72"/>
      <w:u w:val="single"/>
    </w:rPr>
  </w:style>
  <w:style w:type="paragraph" w:styleId="FootnoteText">
    <w:name w:val="footnote text"/>
    <w:basedOn w:val="Normal"/>
    <w:link w:val="FootnoteTextChar"/>
    <w:uiPriority w:val="99"/>
    <w:unhideWhenUsed/>
    <w:rsid w:val="008B6331"/>
    <w:pPr>
      <w:textboxTightWrap w:val="allLines"/>
    </w:pPr>
    <w:rPr>
      <w:sz w:val="20"/>
      <w:szCs w:val="20"/>
    </w:rPr>
  </w:style>
  <w:style w:type="character" w:customStyle="1" w:styleId="FootnoteTextChar">
    <w:name w:val="Footnote Text Char"/>
    <w:basedOn w:val="DefaultParagraphFont"/>
    <w:link w:val="FootnoteText"/>
    <w:uiPriority w:val="99"/>
    <w:rsid w:val="008B6331"/>
  </w:style>
  <w:style w:type="character" w:styleId="UnresolvedMention">
    <w:name w:val="Unresolved Mention"/>
    <w:uiPriority w:val="99"/>
    <w:semiHidden/>
    <w:unhideWhenUsed/>
    <w:rsid w:val="008B6331"/>
    <w:rPr>
      <w:color w:val="605E5C"/>
      <w:shd w:val="clear" w:color="auto" w:fill="E1DFDD"/>
    </w:rPr>
  </w:style>
  <w:style w:type="paragraph" w:styleId="Revision">
    <w:name w:val="Revision"/>
    <w:hidden/>
    <w:uiPriority w:val="99"/>
    <w:semiHidden/>
    <w:rsid w:val="002A62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AFECOMGovernance@mail.cisa.dhs.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12172024.htm" TargetMode="External" /><Relationship Id="rId2" Type="http://schemas.openxmlformats.org/officeDocument/2006/relationships/hyperlink" Target="https://www.bls.gov/oes/2023/may/999001.htm" TargetMode="External" /><Relationship Id="rId3" Type="http://schemas.openxmlformats.org/officeDocument/2006/relationships/hyperlink" Target="https://www.bls.gov/oes/2023/may/000001.htm" TargetMode="External" /><Relationship Id="rId4" Type="http://schemas.openxmlformats.org/officeDocument/2006/relationships/hyperlink" Target="https://www.cbo.gov/publications/526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AD730B1073B4D802BC4182255FE43" ma:contentTypeVersion="54" ma:contentTypeDescription="Create a new document." ma:contentTypeScope="" ma:versionID="aae8f6b5f823115893430496550018d0">
  <xsd:schema xmlns:xsd="http://www.w3.org/2001/XMLSchema" xmlns:xs="http://www.w3.org/2001/XMLSchema" xmlns:p="http://schemas.microsoft.com/office/2006/metadata/properties" xmlns:ns2="2180239d-0abf-47fe-a2ff-93ad2a6acf3a" xmlns:ns3="7930e7e9-e5f5-4f39-b126-2ecec21c1b10" targetNamespace="http://schemas.microsoft.com/office/2006/metadata/properties" ma:root="true" ma:fieldsID="3e3d51eec942acd0a2df15a347306189" ns2:_="" ns3:_="">
    <xsd:import namespace="2180239d-0abf-47fe-a2ff-93ad2a6acf3a"/>
    <xsd:import namespace="7930e7e9-e5f5-4f39-b126-2ecec21c1b10"/>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RequestTitle"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O_x002d_Review_x0020_Date" minOccurs="0"/>
                <xsd:element ref="ns2:OCC_x0020_Reviewer_x0020_Name" minOccurs="0"/>
                <xsd:element ref="ns2:UnderReviewDateOCEPACT" minOccurs="0"/>
                <xsd:element ref="ns2:OCCReminder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0239d-0abf-47fe-a2ff-93ad2a6acf3a"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ATT Approval (30 Day FRN)"/>
          <xsd:enumeration value="Pending CIO Signature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RequestTitle" ma:index="22" nillable="true" ma:displayName="Request Title" ma:internalName="RequestTitle" ma:readOnly="false">
      <xsd:simpleType>
        <xsd:restriction base="dms:Text">
          <xsd:maxLength value="255"/>
        </xsd:restriction>
      </xsd:simpleType>
    </xsd:element>
    <xsd:element name="DHSHQEmail" ma:index="23" nillable="true" ma:displayName="DHSHQEmail" ma:default="No" ma:format="Dropdown" ma:internalName="DHSHQEmail" ma:readOnly="false">
      <xsd:simpleType>
        <xsd:restriction base="dms:Choice">
          <xsd:enumeration value="No"/>
          <xsd:enumeration value="Yes"/>
        </xsd:restriction>
      </xsd:simpleType>
    </xsd:element>
    <xsd:element name="DraftEmailSent_x003f_" ma:index="24" nillable="true" ma:displayName="DraftEmailSent?" ma:default="No" ma:format="Dropdown" ma:internalName="DraftEmailSent_x003f_" ma:readOnly="false">
      <xsd:simpleType>
        <xsd:restriction base="dms:Choice">
          <xsd:enumeration value="Yes"/>
          <xsd:enumeration value="No"/>
        </xsd:restriction>
      </xsd:simpleType>
    </xsd:element>
    <xsd:element name="FinalEmail" ma:index="25" nillable="true" ma:displayName="FinalEmail" ma:default="No" ma:format="Dropdown" ma:internalName="FinalEmail" ma:readOnly="false">
      <xsd:simpleType>
        <xsd:restriction base="dms:Choice">
          <xsd:enumeration value="Yes"/>
          <xsd:enumeration value="No"/>
        </xsd:restriction>
      </xsd:simpleType>
    </xsd:element>
    <xsd:element name="OCCApprove" ma:index="26" nillable="true" ma:displayName="OCCApprove" ma:default="No" ma:format="Dropdown" ma:internalName="OCCApprove" ma:readOnly="false">
      <xsd:simpleType>
        <xsd:restriction base="dms:Choice">
          <xsd:enumeration value="Yes"/>
          <xsd:enumeration value="No"/>
          <xsd:enumeration value="Need More Information"/>
        </xsd:restriction>
      </xsd:simpleType>
    </xsd:element>
    <xsd:element name="OCCRegulatoryApprove" ma:index="27" nillable="true" ma:displayName="OCCRegulatoryApprove" ma:default="No" ma:format="Dropdown" ma:internalName="OCCRegulatoryApprove" ma:readOnly="false">
      <xsd:simpleType>
        <xsd:restriction base="dms:Choice">
          <xsd:enumeration value="Yes"/>
          <xsd:enumeration value="No"/>
          <xsd:enumeration value="Need More Information"/>
        </xsd:restriction>
      </xsd:simpleType>
    </xsd:element>
    <xsd:element name="OCIOApprove" ma:index="28" nillable="true" ma:displayName="OCIOApprove" ma:default="No" ma:format="Dropdown" ma:internalName="OCIOApprove" ma:readOnly="false">
      <xsd:simpleType>
        <xsd:restriction base="dms:Choice">
          <xsd:enumeration value="Yes"/>
          <xsd:enumeration value="No"/>
          <xsd:enumeration value="Need More Information"/>
        </xsd:restriction>
      </xsd:simpleType>
    </xsd:element>
    <xsd:element name="OCEApprove" ma:index="29" nillable="true" ma:displayName="OCEApprove" ma:default="No" ma:format="Dropdown" ma:internalName="OCEApprove" ma:readOnly="false">
      <xsd:simpleType>
        <xsd:restriction base="dms:Choice">
          <xsd:enumeration value="Yes"/>
          <xsd:enumeration value="No"/>
          <xsd:enumeration value="Need More Information"/>
        </xsd:restriction>
      </xsd:simpleType>
    </xsd:element>
    <xsd:element name="OCIO_x002d_Current_x002d_Stage" ma:index="30" nillable="true" ma:displayName="OCIO-Current-Stage" ma:format="Dropdown" ma:internalName="OCIO_x002d_Current_x002d_Stage" ma:readOnly="false">
      <xsd:simpleType>
        <xsd:restriction base="dms:Choice">
          <xsd:enumeration value="OCIO Generic Approval"/>
          <xsd:enumeration value="OCIO 60 Days FRN Approval"/>
          <xsd:enumeration value="OCIO 30 Days FRN Approval"/>
          <xsd:enumeration value="OCIO Pending 60 Days CATT Approval"/>
          <xsd:enumeration value="OCIO Pending 30 Days CATT Approval"/>
        </xsd:restriction>
      </xsd:simpleType>
    </xsd:element>
    <xsd:element name="PACTApprove" ma:index="31" nillable="true" ma:displayName="PACTApprove" ma:default="No" ma:format="Dropdown" ma:internalName="PACTApprove" ma:readOnly="false">
      <xsd:simpleType>
        <xsd:restriction base="dms:Choice">
          <xsd:enumeration value="Yes"/>
          <xsd:enumeration value="No"/>
          <xsd:enumeration value="Need More Information"/>
        </xsd:restriction>
      </xsd:simpleType>
    </xsd:element>
    <xsd:element name="ROCISUpload" ma:index="32" nillable="true" ma:displayName="ROCISUpload" ma:default="No" ma:format="Dropdown" ma:internalName="ROCISUpload" ma:readOnly="false">
      <xsd:simpleType>
        <xsd:restriction base="dms:Choice">
          <xsd:enumeration value="Yes"/>
          <xsd:enumeration value="No"/>
        </xsd:restriction>
      </xsd:simpleType>
    </xsd:element>
    <xsd:element name="SenttoOMB" ma:index="33" nillable="true" ma:displayName="SenttoOMB" ma:default="No" ma:format="Dropdown" ma:internalName="SenttoOMB" ma:readOnly="false">
      <xsd:simpleType>
        <xsd:restriction base="dms:Choice">
          <xsd:enumeration value="Yes"/>
          <xsd:enumeration value="No"/>
        </xsd:restriction>
      </xsd:simpleType>
    </xsd:element>
    <xsd:element name="UnderReviewDateCIO" ma:index="34" nillable="true" ma:displayName="UnderReviewDateCIO" ma:format="DateOnly" ma:internalName="UnderReviewDateCIO" ma:readOnly="false">
      <xsd:simpleType>
        <xsd:restriction base="dms:DateTime"/>
      </xsd:simpleType>
    </xsd:element>
    <xsd:element name="UnderReviewDateOCC" ma:index="35" nillable="true" ma:displayName="UnderReviewDateOCC" ma:format="DateOnly" ma:internalName="UnderReviewDateOCC" ma:readOnly="false">
      <xsd:simpleType>
        <xsd:restriction base="dms:DateTime"/>
      </xsd:simpleType>
    </xsd:element>
    <xsd:element name="UnderReviewDateOCCReg" ma:index="36" nillable="true" ma:displayName="UnderReviewDateOCCReg" ma:format="DateOnly" ma:internalName="UnderReviewDateOCCReg" ma:readOnly="false">
      <xsd:simpleType>
        <xsd:restriction base="dms:DateTime"/>
      </xsd:simpleType>
    </xsd:element>
    <xsd:element name="UnderReviewDateOCIO" ma:index="37" nillable="true" ma:displayName="UnderReviewDateOCIO" ma:format="DateOnly" ma:internalName="UnderReviewDateOCIO" ma:readOnly="false">
      <xsd:simpleType>
        <xsd:restriction base="dms:DateTime"/>
      </xsd:simpleType>
    </xsd:element>
    <xsd:element name="UnderReviewOCEPACT" ma:index="38" nillable="true" ma:displayName="UnderReviewOCEPACT" ma:format="DateOnly" ma:internalName="UnderReviewOCEPACT" ma:readOnly="false">
      <xsd:simpleType>
        <xsd:restriction base="dms:DateTime"/>
      </xsd:simpleType>
    </xsd:element>
    <xsd:element name="CIOApprove" ma:index="39" nillable="true" ma:displayName="CIOApprove" ma:default="No" ma:format="Dropdown" ma:internalName="CIOApprove" ma:readOnly="false">
      <xsd:simpleType>
        <xsd:restriction base="dms:Choice">
          <xsd:enumeration value="Yes"/>
          <xsd:enumeration value="No"/>
          <xsd:enumeration value="Need More Information"/>
        </xsd:restriction>
      </xsd:simpleType>
    </xsd:element>
    <xsd:element name="StagesStatus" ma:index="40" nillable="true" ma:displayName="Stages Status" ma:format="Dropdown" ma:internalName="StagesStatus" ma:readOnly="false">
      <xsd:simpleType>
        <xsd:restriction base="dms:Choice">
          <xsd:enumeration value="60 Days FRN"/>
          <xsd:enumeration value="30 Days FRN"/>
          <xsd:enumeration value="Collections"/>
        </xsd:restriction>
      </xsd:simpleType>
    </xsd:element>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8585d4ee-cc76-484b-aa76-7d13ebd50197" ma:termSetId="09814cd3-568e-fe90-9814-8d621ff8fb84" ma:anchorId="fba54fb3-c3e1-fe81-a776-ca4b69148c4d" ma:open="true" ma:isKeyword="false">
      <xsd:complexType>
        <xsd:sequence>
          <xsd:element ref="pc:Terms" minOccurs="0" maxOccurs="1"/>
        </xsd:sequence>
      </xsd:complex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O_x002d_Review_x0020_Date" ma:index="52" nillable="true" ma:displayName="MEO-Review Date" ma:format="DateOnly" ma:internalName="MEO_x002d_Review_x0020_Date">
      <xsd:simpleType>
        <xsd:restriction base="dms:DateTime"/>
      </xsd:simpleType>
    </xsd:element>
    <xsd:element name="OCC_x0020_Reviewer_x0020_Name" ma:index="53" nillable="true" ma:displayName="OCC Reviewer Name" ma:list="UserInfo" ma:SharePointGroup="0" ma:internalName="OCC_x0020_Review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erReviewDateOCEPACT" ma:index="54" nillable="true" ma:displayName="UnderReviewDateOCEPACT" ma:default="[today]" ma:format="DateOnly" ma:internalName="UnderReviewDateOCEPACT">
      <xsd:simpleType>
        <xsd:restriction base="dms:DateTime"/>
      </xsd:simpleType>
    </xsd:element>
    <xsd:element name="OCCReminderDate" ma:index="55" nillable="true" ma:displayName="OCCReminderDate" ma:format="DateOnly" ma:internalName="OCCRemind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30e7e9-e5f5-4f39-b126-2ecec21c1b10"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0d0ffbe0-bc07-4d24-8532-c6622262300a}" ma:internalName="TaxCatchAll" ma:showField="CatchAllData" ma:web="7930e7e9-e5f5-4f39-b126-2ecec21c1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CPOStatus xmlns="2180239d-0abf-47fe-a2ff-93ad2a6acf3a" xsi:nil="true"/>
    <FinalEmail xmlns="2180239d-0abf-47fe-a2ff-93ad2a6acf3a">No</FinalEmail>
    <PACTApprove xmlns="2180239d-0abf-47fe-a2ff-93ad2a6acf3a">No</PACTApprove>
    <IsParent xmlns="2180239d-0abf-47fe-a2ff-93ad2a6acf3a">false</IsParent>
    <OCIOApprove xmlns="2180239d-0abf-47fe-a2ff-93ad2a6acf3a">No</OCIOApprove>
    <UnderReviewDateOCC xmlns="2180239d-0abf-47fe-a2ff-93ad2a6acf3a" xsi:nil="true"/>
    <PRANumber xmlns="2180239d-0abf-47fe-a2ff-93ad2a6acf3a">PRA-ECD-00002411</PRANumber>
    <StagesStatus xmlns="2180239d-0abf-47fe-a2ff-93ad2a6acf3a" xsi:nil="true"/>
    <OCIOStatus xmlns="2180239d-0abf-47fe-a2ff-93ad2a6acf3a" xsi:nil="true"/>
    <ROCISUpload xmlns="2180239d-0abf-47fe-a2ff-93ad2a6acf3a">No</ROCISUpload>
    <Stage xmlns="2180239d-0abf-47fe-a2ff-93ad2a6acf3a" xsi:nil="true"/>
    <PackageType xmlns="2180239d-0abf-47fe-a2ff-93ad2a6acf3a" xsi:nil="true"/>
    <RequestTitle xmlns="2180239d-0abf-47fe-a2ff-93ad2a6acf3a" xsi:nil="true"/>
    <SenttoOMB xmlns="2180239d-0abf-47fe-a2ff-93ad2a6acf3a">No</SenttoOMB>
    <UnderReviewDateOCIO xmlns="2180239d-0abf-47fe-a2ff-93ad2a6acf3a" xsi:nil="true"/>
    <OCEStatus xmlns="2180239d-0abf-47fe-a2ff-93ad2a6acf3a" xsi:nil="true"/>
    <UnderReviewDateCIO xmlns="2180239d-0abf-47fe-a2ff-93ad2a6acf3a" xsi:nil="true"/>
    <ProgramOffice xmlns="2180239d-0abf-47fe-a2ff-93ad2a6acf3a" xsi:nil="true"/>
    <UnderReviewDateOCCReg xmlns="2180239d-0abf-47fe-a2ff-93ad2a6acf3a" xsi:nil="true"/>
    <Comments xmlns="2180239d-0abf-47fe-a2ff-93ad2a6acf3a" xsi:nil="true"/>
    <DraftEmailSent_x003f_ xmlns="2180239d-0abf-47fe-a2ff-93ad2a6acf3a">No</DraftEmailSent_x003f_>
    <OCCRegulatoryApprove xmlns="2180239d-0abf-47fe-a2ff-93ad2a6acf3a">No</OCCRegulatoryApprove>
    <Requester xmlns="2180239d-0abf-47fe-a2ff-93ad2a6acf3a">
      <UserInfo>
        <DisplayName/>
        <AccountId xsi:nil="true"/>
        <AccountType/>
      </UserInfo>
    </Requester>
    <PublicComments xmlns="2180239d-0abf-47fe-a2ff-93ad2a6acf3a" xsi:nil="true"/>
    <OCCRegulatoryStatus xmlns="2180239d-0abf-47fe-a2ff-93ad2a6acf3a" xsi:nil="true"/>
    <OCCApprove xmlns="2180239d-0abf-47fe-a2ff-93ad2a6acf3a">No</OCCApprove>
    <OCIO_x002d_Current_x002d_Stage xmlns="2180239d-0abf-47fe-a2ff-93ad2a6acf3a" xsi:nil="true"/>
    <CIOApprove xmlns="2180239d-0abf-47fe-a2ff-93ad2a6acf3a">No</CIOApprove>
    <DHSHQEmail xmlns="2180239d-0abf-47fe-a2ff-93ad2a6acf3a">No</DHSHQEmail>
    <OCCStatus xmlns="2180239d-0abf-47fe-a2ff-93ad2a6acf3a" xsi:nil="true"/>
    <UnderReviewOCEPACT xmlns="2180239d-0abf-47fe-a2ff-93ad2a6acf3a" xsi:nil="true"/>
    <OCEApprove xmlns="2180239d-0abf-47fe-a2ff-93ad2a6acf3a">No</OCEApprove>
    <CIOStatus xmlns="2180239d-0abf-47fe-a2ff-93ad2a6acf3a" xsi:nil="true"/>
    <TaxCatchAll xmlns="7930e7e9-e5f5-4f39-b126-2ecec21c1b10" xsi:nil="true"/>
    <lcf76f155ced4ddcb4097134ff3c332f xmlns="2180239d-0abf-47fe-a2ff-93ad2a6acf3a">
      <Terms xmlns="http://schemas.microsoft.com/office/infopath/2007/PartnerControls"/>
    </lcf76f155ced4ddcb4097134ff3c332f>
    <MEO_x002d_Review_x0020_Date xmlns="2180239d-0abf-47fe-a2ff-93ad2a6acf3a" xsi:nil="true"/>
    <OCC_x0020_Reviewer_x0020_Name xmlns="2180239d-0abf-47fe-a2ff-93ad2a6acf3a">
      <UserInfo>
        <DisplayName/>
        <AccountId xsi:nil="true"/>
        <AccountType/>
      </UserInfo>
    </OCC_x0020_Reviewer_x0020_Name>
    <OCCReminderDate xmlns="2180239d-0abf-47fe-a2ff-93ad2a6acf3a" xsi:nil="true"/>
    <UnderReviewDateOCEPACT xmlns="2180239d-0abf-47fe-a2ff-93ad2a6acf3a">2025-05-21T12:52:48+00:00</UnderReviewDateOCEPACT>
  </documentManagement>
</p:properties>
</file>

<file path=customXml/itemProps1.xml><?xml version="1.0" encoding="utf-8"?>
<ds:datastoreItem xmlns:ds="http://schemas.openxmlformats.org/officeDocument/2006/customXml" ds:itemID="{5D05D813-6CB5-4C08-9D5A-F751CFE27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0239d-0abf-47fe-a2ff-93ad2a6acf3a"/>
    <ds:schemaRef ds:uri="7930e7e9-e5f5-4f39-b126-2ecec21c1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7D9F3-41F4-4879-9724-22ABC5FFAB2C}">
  <ds:schemaRefs>
    <ds:schemaRef ds:uri="http://schemas.openxmlformats.org/officeDocument/2006/bibliography"/>
  </ds:schemaRefs>
</ds:datastoreItem>
</file>

<file path=customXml/itemProps3.xml><?xml version="1.0" encoding="utf-8"?>
<ds:datastoreItem xmlns:ds="http://schemas.openxmlformats.org/officeDocument/2006/customXml" ds:itemID="{B20AF6A8-CE92-458E-B2CC-D58DA09FAFF9}">
  <ds:schemaRefs>
    <ds:schemaRef ds:uri="http://schemas.microsoft.com/office/2006/metadata/longProperties"/>
  </ds:schemaRefs>
</ds:datastoreItem>
</file>

<file path=customXml/itemProps4.xml><?xml version="1.0" encoding="utf-8"?>
<ds:datastoreItem xmlns:ds="http://schemas.openxmlformats.org/officeDocument/2006/customXml" ds:itemID="{4357B048-6384-4664-9EEB-64ADF9CC429A}">
  <ds:schemaRefs>
    <ds:schemaRef ds:uri="http://schemas.microsoft.com/sharepoint/v3/contenttype/forms"/>
  </ds:schemaRefs>
</ds:datastoreItem>
</file>

<file path=customXml/itemProps5.xml><?xml version="1.0" encoding="utf-8"?>
<ds:datastoreItem xmlns:ds="http://schemas.openxmlformats.org/officeDocument/2006/customXml" ds:itemID="{CF62DC30-9B54-470E-87DF-EDCB2D4CE2E9}">
  <ds:schemaRefs>
    <ds:schemaRef ds:uri="http://schemas.microsoft.com/office/2006/metadata/properties"/>
    <ds:schemaRef ds:uri="http://schemas.microsoft.com/office/infopath/2007/PartnerControls"/>
    <ds:schemaRef ds:uri="2180239d-0abf-47fe-a2ff-93ad2a6acf3a"/>
    <ds:schemaRef ds:uri="7930e7e9-e5f5-4f39-b126-2ecec21c1b10"/>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9</Pages>
  <Words>3197</Words>
  <Characters>19698</Characters>
  <Application>Microsoft Office Word</Application>
  <DocSecurity>0</DocSecurity>
  <Lines>938</Lines>
  <Paragraphs>260</Paragraphs>
  <ScaleCrop>false</ScaleCrop>
  <Company/>
  <LinksUpToDate>false</LinksUpToDate>
  <CharactersWithSpaces>22635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CISA ECD</dc:creator>
  <cp:lastModifiedBy>Thomsen, Benjamin</cp:lastModifiedBy>
  <cp:revision>72</cp:revision>
  <dcterms:created xsi:type="dcterms:W3CDTF">2025-02-05T22:01:00Z</dcterms:created>
  <dcterms:modified xsi:type="dcterms:W3CDTF">2025-08-28T12:56:00Z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0x01010096CAD730B1073B4D802BC4182255FE43</vt:lpwstr>
  </property>
  <property fmtid="{D5CDD505-2E9C-101B-9397-08002B2CF9AE}" pid="3" name="DocumentSetDescription">
    <vt:lpwstr/>
  </property>
  <property fmtid="{D5CDD505-2E9C-101B-9397-08002B2CF9AE}" pid="4" name="MediaServiceImageTags">
    <vt:lpwstr/>
  </property>
  <property fmtid="{D5CDD505-2E9C-101B-9397-08002B2CF9AE}" pid="5" name="MSIP_Label_a2eef23d-2e95-4428-9a3c-2526d95b164a_ActionId">
    <vt:lpwstr>977c878c-0839-4798-9f10-dd990788c276</vt:lpwstr>
  </property>
  <property fmtid="{D5CDD505-2E9C-101B-9397-08002B2CF9AE}" pid="6" name="MSIP_Label_a2eef23d-2e95-4428-9a3c-2526d95b164a_ContentBits">
    <vt:lpwstr>0</vt:lpwstr>
  </property>
  <property fmtid="{D5CDD505-2E9C-101B-9397-08002B2CF9AE}" pid="7" name="MSIP_Label_a2eef23d-2e95-4428-9a3c-2526d95b164a_Enabled">
    <vt:lpwstr>true</vt:lpwstr>
  </property>
  <property fmtid="{D5CDD505-2E9C-101B-9397-08002B2CF9AE}" pid="8" name="MSIP_Label_a2eef23d-2e95-4428-9a3c-2526d95b164a_Method">
    <vt:lpwstr>Standard</vt:lpwstr>
  </property>
  <property fmtid="{D5CDD505-2E9C-101B-9397-08002B2CF9AE}" pid="9" name="MSIP_Label_a2eef23d-2e95-4428-9a3c-2526d95b164a_Name">
    <vt:lpwstr>For Official Use Only (FOUO)</vt:lpwstr>
  </property>
  <property fmtid="{D5CDD505-2E9C-101B-9397-08002B2CF9AE}" pid="10" name="MSIP_Label_a2eef23d-2e95-4428-9a3c-2526d95b164a_SetDate">
    <vt:lpwstr>2022-04-04T20:00:16Z</vt:lpwstr>
  </property>
  <property fmtid="{D5CDD505-2E9C-101B-9397-08002B2CF9AE}" pid="11" name="MSIP_Label_a2eef23d-2e95-4428-9a3c-2526d95b164a_SiteId">
    <vt:lpwstr>3ccde76c-946d-4a12-bb7a-fc9d0842354a</vt:lpwstr>
  </property>
  <property fmtid="{D5CDD505-2E9C-101B-9397-08002B2CF9AE}" pid="12" name="_dlc_DocIdItemGuid">
    <vt:lpwstr>69f24c9d-0ea3-42c3-9d0f-5fb3373a9497</vt:lpwstr>
  </property>
  <property fmtid="{D5CDD505-2E9C-101B-9397-08002B2CF9AE}" pid="13" name="_ExtendedDescription">
    <vt:lpwstr/>
  </property>
</Properties>
</file>