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75179C26" w14:paraId="56D7ADD5" w14:textId="4BF53FDF">
      <w:pPr>
        <w:suppressAutoHyphens/>
        <w:jc w:val="center"/>
        <w:rPr>
          <w:b/>
          <w:bCs/>
        </w:rPr>
      </w:pPr>
      <w:r w:rsidRPr="75179C26">
        <w:rPr>
          <w:b/>
          <w:bCs/>
        </w:rPr>
        <w:t>Title:</w:t>
      </w:r>
      <w:r w:rsidRPr="75179C26" w:rsidR="00FF5DDF">
        <w:rPr>
          <w:b/>
          <w:bCs/>
        </w:rPr>
        <w:t xml:space="preserve"> </w:t>
      </w:r>
      <w:r w:rsidRPr="75179C26" w:rsidR="231F3954">
        <w:rPr>
          <w:b/>
          <w:bCs/>
        </w:rPr>
        <w:t xml:space="preserve">The Department of Homeland Security, Office of </w:t>
      </w:r>
      <w:r w:rsidRPr="02282A60" w:rsidR="59AF1AAE">
        <w:rPr>
          <w:b/>
          <w:bCs/>
        </w:rPr>
        <w:t>the Chief Security Office</w:t>
      </w:r>
      <w:r w:rsidRPr="02282A60" w:rsidR="4C2A5CB2">
        <w:rPr>
          <w:b/>
          <w:bCs/>
        </w:rPr>
        <w:t>r</w:t>
      </w:r>
      <w:r w:rsidRPr="75179C26" w:rsidR="231F3954">
        <w:rPr>
          <w:b/>
          <w:bCs/>
        </w:rPr>
        <w:t>, CISA Visitor Request Form</w:t>
      </w:r>
    </w:p>
    <w:p w:rsidR="00EB5E96" w:rsidRPr="00596A43" w:rsidP="75179C26" w14:paraId="4E99A699" w14:textId="652C526D">
      <w:pPr>
        <w:suppressAutoHyphens/>
        <w:jc w:val="center"/>
        <w:rPr>
          <w:b/>
          <w:bCs/>
        </w:rPr>
      </w:pPr>
    </w:p>
    <w:p w:rsidR="00EB5E96" w:rsidRPr="00596A43" w:rsidP="00D73BBC" w14:paraId="77992B39" w14:textId="77777777">
      <w:pPr>
        <w:tabs>
          <w:tab w:val="left" w:pos="-720"/>
        </w:tabs>
        <w:suppressAutoHyphens/>
        <w:jc w:val="center"/>
        <w:rPr>
          <w:b/>
        </w:rPr>
      </w:pPr>
    </w:p>
    <w:p w:rsidR="00EB5E96" w:rsidRPr="00596A43" w:rsidP="75179C26" w14:paraId="2C8721B3" w14:textId="45D25960">
      <w:pPr>
        <w:suppressAutoHyphens/>
        <w:jc w:val="center"/>
        <w:rPr>
          <w:b/>
          <w:bCs/>
        </w:rPr>
      </w:pPr>
      <w:r w:rsidRPr="75179C26">
        <w:rPr>
          <w:b/>
          <w:bCs/>
        </w:rPr>
        <w:t>OMB Control Number</w:t>
      </w:r>
      <w:r w:rsidRPr="75179C26" w:rsidR="002A2BD0">
        <w:rPr>
          <w:b/>
          <w:bCs/>
        </w:rPr>
        <w:t>: 1670</w:t>
      </w:r>
      <w:r w:rsidRPr="75179C26" w:rsidR="61DE2A42">
        <w:rPr>
          <w:b/>
          <w:bCs/>
        </w:rPr>
        <w:t>-0036</w:t>
      </w:r>
    </w:p>
    <w:p w:rsidR="00EB5E96" w:rsidRPr="00596A43" w:rsidP="75179C26" w14:paraId="4710C2D4" w14:textId="563D2147">
      <w:pPr>
        <w:suppressAutoHyphens/>
        <w:jc w:val="center"/>
      </w:pPr>
      <w:r w:rsidRPr="75179C26">
        <w:t xml:space="preserve"> </w:t>
      </w:r>
    </w:p>
    <w:p w:rsidR="00EB5E96" w:rsidRPr="00596A43" w:rsidP="75179C26" w14:paraId="59FDCDF1" w14:textId="3B51BB7B">
      <w:pPr>
        <w:suppressAutoHyphens/>
        <w:spacing w:line="480" w:lineRule="auto"/>
        <w:jc w:val="center"/>
      </w:pPr>
      <w:r w:rsidRPr="75179C26">
        <w:rPr>
          <w:b/>
          <w:bCs/>
        </w:rPr>
        <w:t>Supporting Statement A</w:t>
      </w: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7DB36B40" w14:paraId="5B81241B" w14:textId="77777777">
      <w:pPr>
        <w:suppressAutoHyphens/>
        <w:jc w:val="both"/>
      </w:pPr>
      <w:r>
        <w:rPr>
          <w:color w:val="2B579A"/>
          <w:shd w:val="clear" w:color="auto" w:fill="E6E6E6"/>
        </w:rPr>
        <w:fldChar w:fldCharType="begin"/>
      </w:r>
      <w:r w:rsidRPr="00596A43">
        <w:instrText>ADVANCE \R 0.95</w:instrText>
      </w:r>
      <w:r>
        <w:rPr>
          <w:color w:val="2B579A"/>
          <w:shd w:val="clear" w:color="auto" w:fill="E6E6E6"/>
        </w:rPr>
        <w:fldChar w:fldCharType="end"/>
      </w:r>
      <w:r w:rsidRPr="00596A43">
        <w:t>1</w:t>
      </w:r>
      <w:r w:rsidRPr="00596A43">
        <w:t>.  Explain</w:t>
      </w:r>
      <w:r w:rsidRPr="00596A43">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75179C26" w:rsidP="75179C26" w14:paraId="63125E71" w14:textId="5C2CB66E">
      <w:pPr>
        <w:jc w:val="both"/>
      </w:pPr>
      <w:r w:rsidRPr="75179C26">
        <w:t xml:space="preserve">Public Law 107-296 The Homeland Security Act of 2002, Title II, recognizes the Department of Homeland </w:t>
      </w:r>
      <w:r w:rsidR="028FE2D8">
        <w:t>Security</w:t>
      </w:r>
      <w:r w:rsidR="08E0D8FB">
        <w:t>’s</w:t>
      </w:r>
      <w:r w:rsidRPr="75179C26">
        <w:t xml:space="preserve"> role in </w:t>
      </w:r>
      <w:r>
        <w:t>integrat</w:t>
      </w:r>
      <w:r w:rsidR="325C2108">
        <w:t xml:space="preserve">ing </w:t>
      </w:r>
      <w:r w:rsidRPr="75179C26">
        <w:t xml:space="preserve">relevant critical infrastructure and cybersecurity information, analyses, and vulnerability assessments (whether such information, analyses, or assessments are provided or produced by the Department or others) in order to identify priorities for protective and support measures by the Department, other agencies of the Federal Government, State and local government agencies and authorities, the private sector, and other entities while maintaining positive control of sensitive information regarding the national infrastructure.  In support of this mission the Cybersecurity and Infrastructure Security Agency (CISA), Office of </w:t>
      </w:r>
      <w:r w:rsidR="213FE7D0">
        <w:t>the Chief Security Officer (OCSO)</w:t>
      </w:r>
      <w:r w:rsidR="028FE2D8">
        <w:t xml:space="preserve"> </w:t>
      </w:r>
      <w:r w:rsidRPr="75179C26">
        <w:t>must maintain a robust visitor screening capability.</w:t>
      </w: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2</w:t>
      </w:r>
      <w:r w:rsidRPr="00596A43">
        <w:t>.  Indicate</w:t>
      </w:r>
      <w:r w:rsidRPr="00596A43">
        <w:t xml:space="preserv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286D72BA" w:rsidP="75179C26" w14:paraId="5D037F00" w14:textId="2CAF1A55">
      <w:pPr>
        <w:jc w:val="both"/>
      </w:pPr>
      <w:r>
        <w:t xml:space="preserve">The Office of </w:t>
      </w:r>
      <w:r w:rsidR="21EC0386">
        <w:t xml:space="preserve">the Chief Security </w:t>
      </w:r>
      <w:r w:rsidR="7308CC41">
        <w:t xml:space="preserve">Officer (OCSO) </w:t>
      </w:r>
      <w:r>
        <w:t xml:space="preserve">will collect, using an electronic form, information about each potential visitor to CISA facilities and the nature of each visit. </w:t>
      </w:r>
      <w:r w:rsidR="312CC2AB">
        <w:t>OCSO</w:t>
      </w:r>
      <w:r>
        <w:t xml:space="preserve"> will use collected information to make a risk-based decision to allow visitor access to CISA facilities.  </w:t>
      </w:r>
    </w:p>
    <w:p w:rsidR="75179C26" w:rsidP="75179C26" w14:paraId="261BA38A" w14:textId="67ABFAB8">
      <w:pPr>
        <w:pStyle w:val="Default"/>
      </w:pPr>
    </w:p>
    <w:p w:rsidR="0037322A" w:rsidP="004C5DDB" w14:paraId="4ED59B21" w14:textId="77777777">
      <w:pPr>
        <w:pStyle w:val="Default"/>
        <w:rPr>
          <w:bCs/>
          <w:iCs/>
        </w:rPr>
      </w:pPr>
    </w:p>
    <w:p w:rsidR="00EB5E96" w:rsidRPr="00596A43" w:rsidP="573655FA" w14:paraId="137BFE5F" w14:textId="7D0CFC24">
      <w:pPr>
        <w:suppressAutoHyphens/>
        <w:jc w:val="both"/>
      </w:pPr>
      <w:r w:rsidRPr="573655FA">
        <w:rPr>
          <w:color w:val="2B579A"/>
        </w:rPr>
        <w:fldChar w:fldCharType="begin"/>
      </w:r>
      <w:r w:rsidRPr="00596A43">
        <w:instrText>ADVANCE \R 0.95</w:instrText>
      </w:r>
      <w:r w:rsidRPr="573655FA">
        <w:rPr>
          <w:color w:val="2B579A"/>
        </w:rPr>
        <w:fldChar w:fldCharType="end"/>
      </w:r>
      <w:r w:rsidRPr="00596A43">
        <w:t>3</w:t>
      </w:r>
      <w:r w:rsidRPr="00596A43">
        <w:t>.  Describe</w:t>
      </w:r>
      <w:r w:rsidRPr="00596A43">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96A43">
        <w:t>for adopting</w:t>
      </w:r>
      <w:r w:rsidRPr="00596A43">
        <w:t xml:space="preserve"> this means of collection.  Also describe any consideration of using information technology to reduce burden.</w:t>
      </w:r>
      <w:r w:rsidR="00B75D1C">
        <w:t xml:space="preserve"> Please include a statement </w:t>
      </w:r>
      <w:r w:rsidR="00D24551">
        <w:t xml:space="preserve">that usability testing was conducted and what </w:t>
      </w:r>
      <w:r w:rsidR="007C190A">
        <w:t xml:space="preserve">the results from </w:t>
      </w:r>
      <w:r w:rsidR="0023349F">
        <w:t>testing did for the collection</w:t>
      </w:r>
      <w:r w:rsidR="007C190A">
        <w:t>.</w:t>
      </w:r>
    </w:p>
    <w:p w:rsidR="00EB5E96" w:rsidRPr="00596A43" w:rsidP="000C4293" w14:paraId="16DA2C53" w14:textId="77777777">
      <w:pPr>
        <w:tabs>
          <w:tab w:val="left" w:pos="-720"/>
        </w:tabs>
        <w:suppressAutoHyphens/>
        <w:jc w:val="both"/>
      </w:pPr>
    </w:p>
    <w:p w:rsidR="4C4F4E65" w:rsidP="75179C26" w14:paraId="40B46AC9" w14:textId="6228A280">
      <w:pPr>
        <w:jc w:val="both"/>
      </w:pPr>
      <w:r w:rsidRPr="75179C26">
        <w:t xml:space="preserve">The Office of </w:t>
      </w:r>
      <w:r w:rsidR="2D51155E">
        <w:t>the Chief Security Officer</w:t>
      </w:r>
      <w:r w:rsidR="23C9CA1C">
        <w:t xml:space="preserve"> </w:t>
      </w:r>
      <w:r w:rsidRPr="75179C26">
        <w:t xml:space="preserve">will only use electronic submission via email of the collection information using an electronic fillable pdf form. This decision allows for the efficient collection of information about visits, </w:t>
      </w:r>
      <w:r w:rsidRPr="75179C26">
        <w:t>with</w:t>
      </w:r>
      <w:r w:rsidRPr="75179C26">
        <w:t xml:space="preserve"> minimal cost to the government.  The form is </w:t>
      </w:r>
      <w:r>
        <w:t>requ</w:t>
      </w:r>
      <w:r w:rsidR="70485FDC">
        <w:t xml:space="preserve">ired </w:t>
      </w:r>
      <w:r w:rsidR="5CCA46F8">
        <w:t xml:space="preserve">to be completed </w:t>
      </w:r>
      <w:r w:rsidRPr="75179C26">
        <w:t xml:space="preserve">by CISA employees or contractors </w:t>
      </w:r>
      <w:r w:rsidR="4438E79F">
        <w:t xml:space="preserve">on behalf of any </w:t>
      </w:r>
      <w:r w:rsidRPr="75179C26">
        <w:t xml:space="preserve">non-DHS guests visiting CISA facilities. The form is available via the </w:t>
      </w:r>
      <w:r w:rsidR="0D5083D5">
        <w:t xml:space="preserve">CISA OCSO Intranet </w:t>
      </w:r>
      <w:r w:rsidR="2F854074">
        <w:t>SharePoint</w:t>
      </w:r>
      <w:r w:rsidR="2EA49C33">
        <w:t xml:space="preserve"> </w:t>
      </w:r>
      <w:r w:rsidR="7E2E81DB">
        <w:t>page</w:t>
      </w:r>
      <w:r w:rsidR="01499801">
        <w:t xml:space="preserve"> </w:t>
      </w:r>
      <w:r w:rsidRPr="75179C26">
        <w:t xml:space="preserve">or by requesting a copy of the form from </w:t>
      </w:r>
      <w:r w:rsidR="36927174">
        <w:t>OCSO</w:t>
      </w:r>
      <w:r w:rsidR="70FFF9BE">
        <w:t>.</w:t>
      </w:r>
    </w:p>
    <w:p w:rsidR="00A54F30" w:rsidP="75179C26" w14:paraId="2D215C1C" w14:textId="77777777">
      <w:pPr>
        <w:jc w:val="both"/>
      </w:pPr>
    </w:p>
    <w:p w:rsidR="001621BF" w:rsidP="75179C26" w14:paraId="1992B4BC" w14:textId="32E324C6">
      <w:pPr>
        <w:jc w:val="both"/>
      </w:pPr>
      <w:r w:rsidRPr="001621BF">
        <w:t xml:space="preserve">CISA conducted usability testing on </w:t>
      </w:r>
      <w:r>
        <w:t>the</w:t>
      </w:r>
      <w:r w:rsidRPr="001621BF">
        <w:t xml:space="preserve"> form to help with verification of the burden hours and to verify the ease of use</w:t>
      </w:r>
      <w:r w:rsidR="00F46C6F">
        <w:t xml:space="preserve">. As the form is a standard form with required information, there </w:t>
      </w:r>
      <w:r w:rsidR="008E5DC4">
        <w:t xml:space="preserve">are </w:t>
      </w:r>
      <w:r w:rsidR="00E626CA">
        <w:t>no changes to the question</w:t>
      </w:r>
      <w:r w:rsidRPr="001621BF">
        <w:t>s</w:t>
      </w:r>
      <w:r w:rsidR="001973BE">
        <w:t xml:space="preserve"> from the previous version</w:t>
      </w:r>
      <w:r w:rsidR="00A54F30">
        <w:t>. As</w:t>
      </w:r>
      <w:r w:rsidRPr="001621BF">
        <w:t xml:space="preserve"> such, CISA made no changes to the forms.</w:t>
      </w:r>
    </w:p>
    <w:p w:rsidR="75179C26" w:rsidP="75179C26" w14:paraId="6EF269BD" w14:textId="07829076">
      <w:pPr>
        <w:pStyle w:val="Default"/>
      </w:pPr>
    </w:p>
    <w:p w:rsidR="0015593C" w:rsidP="00FF5DDF" w14:paraId="084C5DA0" w14:textId="77777777">
      <w:pPr>
        <w:tabs>
          <w:tab w:val="left" w:pos="-720"/>
        </w:tabs>
        <w:suppressAutoHyphens/>
        <w:contextualSpacing/>
      </w:pPr>
    </w:p>
    <w:p w:rsidR="00EB5E96" w:rsidRPr="00596A43" w:rsidP="573655FA" w14:paraId="74B08762" w14:textId="77C1617C">
      <w:pPr>
        <w:suppressAutoHyphens/>
        <w:jc w:val="both"/>
      </w:pPr>
      <w:r w:rsidRPr="573655FA">
        <w:rPr>
          <w:color w:val="2B579A"/>
        </w:rPr>
        <w:fldChar w:fldCharType="begin"/>
      </w:r>
      <w:r w:rsidRPr="00596A43">
        <w:instrText>ADVANCE \R 0.95</w:instrText>
      </w:r>
      <w:r w:rsidRPr="573655FA">
        <w:rPr>
          <w:color w:val="2B579A"/>
        </w:rPr>
        <w:fldChar w:fldCharType="end"/>
      </w:r>
      <w:r w:rsidRPr="00596A43">
        <w:t>4</w:t>
      </w:r>
      <w:r w:rsidRPr="00596A43">
        <w:t>.  Describe</w:t>
      </w:r>
      <w:r w:rsidRPr="00596A43">
        <w:t xml:space="preserv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02CB8165" w:rsidP="75179C26" w14:paraId="302FFA10" w14:textId="2FEECAF3">
      <w:pPr>
        <w:jc w:val="both"/>
      </w:pPr>
      <w:r>
        <w:t>OCSO</w:t>
      </w:r>
      <w:r w:rsidRPr="75179C26">
        <w:t xml:space="preserve"> will utilize the same electronic method at all CISA facilities.  This form is unique to CISA, so information does not exist from other sources.</w:t>
      </w:r>
    </w:p>
    <w:p w:rsidR="75179C26" w:rsidP="75179C26" w14:paraId="75F2CF12" w14:textId="2F179B4B">
      <w:pPr>
        <w:contextualSpacing/>
      </w:pPr>
    </w:p>
    <w:p w:rsidR="00AA3F82" w:rsidRPr="00596A43" w:rsidP="000C4293" w14:paraId="1DA65EDD" w14:textId="77777777">
      <w:pPr>
        <w:tabs>
          <w:tab w:val="left" w:pos="-720"/>
        </w:tabs>
        <w:suppressAutoHyphens/>
        <w:jc w:val="both"/>
      </w:pPr>
    </w:p>
    <w:p w:rsidR="00EB5E96" w:rsidRPr="00596A43" w:rsidP="573655FA" w14:paraId="12920507" w14:textId="7470E8CD">
      <w:pPr>
        <w:suppressAutoHyphens/>
        <w:jc w:val="both"/>
      </w:pPr>
      <w:r w:rsidRPr="573655FA">
        <w:rPr>
          <w:color w:val="2B579A"/>
        </w:rPr>
        <w:fldChar w:fldCharType="begin"/>
      </w:r>
      <w:r w:rsidRPr="00596A43">
        <w:instrText>ADVANCE \R 0.95</w:instrText>
      </w:r>
      <w:r w:rsidRPr="573655FA">
        <w:rPr>
          <w:color w:val="2B579A"/>
        </w:rPr>
        <w:fldChar w:fldCharType="end"/>
      </w:r>
      <w:r w:rsidRPr="00596A43">
        <w:t>5</w:t>
      </w:r>
      <w:r w:rsidRPr="00596A43">
        <w:t>.  If</w:t>
      </w:r>
      <w:r w:rsidRPr="00596A43">
        <w:t xml:space="preserve"> the collection of information impacts small businesses or other small entities (Item 5 of OMB Form 83-I), describe any </w:t>
      </w:r>
      <w:r w:rsidRPr="00596A43">
        <w:t>methods</w:t>
      </w:r>
      <w:r w:rsidRPr="00596A43">
        <w:t xml:space="preserve"> used to minimize.</w:t>
      </w:r>
      <w:r w:rsidR="789038AF">
        <w:t xml:space="preserve"> </w:t>
      </w:r>
    </w:p>
    <w:p w:rsidR="00EB5E96" w:rsidRPr="00596A43" w:rsidP="000C4293" w14:paraId="06D78EA0" w14:textId="77777777">
      <w:pPr>
        <w:tabs>
          <w:tab w:val="left" w:pos="-720"/>
        </w:tabs>
        <w:suppressAutoHyphens/>
        <w:jc w:val="both"/>
        <w:rPr>
          <w:spacing w:val="-3"/>
        </w:rPr>
      </w:pPr>
    </w:p>
    <w:p w:rsidR="134FC642" w:rsidP="75179C26" w14:paraId="4BCD3100" w14:textId="3EECA7B1">
      <w:pPr>
        <w:jc w:val="both"/>
      </w:pPr>
      <w:r w:rsidRPr="75179C26">
        <w:t>This collection should not impact small businesses. Use of electronic submission should assist in minimizing any impact.</w:t>
      </w:r>
    </w:p>
    <w:p w:rsidR="75179C26" w:rsidP="75179C26" w14:paraId="5E8751BF" w14:textId="43272E46">
      <w:pPr>
        <w:contextualSpacing/>
      </w:pP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6</w:t>
      </w:r>
      <w:r w:rsidRPr="00596A43">
        <w:t>.  Describe</w:t>
      </w:r>
      <w:r w:rsidRPr="00596A43">
        <w:t xml:space="preserve"> the </w:t>
      </w:r>
      <w:r w:rsidRPr="00596A43">
        <w:t>consequence</w:t>
      </w:r>
      <w:r w:rsidRPr="00596A43">
        <w:t xml:space="preserve"> </w:t>
      </w:r>
      <w:r w:rsidRPr="00596A43">
        <w:t>to Federal</w:t>
      </w:r>
      <w:r w:rsidRPr="00596A43">
        <w:t>/</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38AFCAF9" w14:textId="77777777">
      <w:pPr>
        <w:tabs>
          <w:tab w:val="left" w:pos="-720"/>
        </w:tabs>
        <w:suppressAutoHyphens/>
        <w:jc w:val="both"/>
        <w:rPr>
          <w:spacing w:val="-3"/>
        </w:rPr>
      </w:pPr>
    </w:p>
    <w:p w:rsidR="6E0D827F" w:rsidP="75179C26" w14:paraId="1B27D436" w14:textId="57D15951">
      <w:pPr>
        <w:jc w:val="both"/>
      </w:pPr>
      <w:r w:rsidRPr="75179C26">
        <w:t xml:space="preserve">CISA programs and office </w:t>
      </w:r>
      <w:r w:rsidR="5B63E22A">
        <w:t>are</w:t>
      </w:r>
      <w:r w:rsidR="006F55BF">
        <w:t xml:space="preserve"> required</w:t>
      </w:r>
      <w:r w:rsidRPr="75179C26">
        <w:t xml:space="preserve"> to coordinate with other government agencies</w:t>
      </w:r>
      <w:r w:rsidR="00D45F04">
        <w:t xml:space="preserve"> and </w:t>
      </w:r>
      <w:r w:rsidR="00954D7C">
        <w:t>state, local, territorial</w:t>
      </w:r>
      <w:r w:rsidR="00D45F04">
        <w:t>, and stakeholders,</w:t>
      </w:r>
      <w:r w:rsidRPr="75179C26">
        <w:t xml:space="preserve"> </w:t>
      </w:r>
      <w:r w:rsidRPr="75179C26">
        <w:t xml:space="preserve">and </w:t>
      </w:r>
      <w:r w:rsidR="6183DE2D">
        <w:t>as</w:t>
      </w:r>
      <w:r w:rsidR="00D45F04">
        <w:t xml:space="preserve"> well as other stakeholders</w:t>
      </w:r>
      <w:r w:rsidRPr="75179C26">
        <w:t>, ensuring a large volume of visits. If collection about visits is not conducted CISA programs and offices will not be able to complete their mission or will do so at an increased risk to government personnel, assets and information.</w:t>
      </w:r>
    </w:p>
    <w:p w:rsidR="75179C26" w:rsidP="75179C26" w14:paraId="4C9C7C81" w14:textId="681A4CEA">
      <w:pPr>
        <w:contextualSpacing/>
      </w:pPr>
    </w:p>
    <w:p w:rsidR="00AA3F82" w:rsidRPr="00596A43" w:rsidP="000C4293" w14:paraId="6DB53CCA" w14:textId="77777777">
      <w:pPr>
        <w:tabs>
          <w:tab w:val="left" w:pos="-720"/>
        </w:tabs>
        <w:suppressAutoHyphens/>
        <w:jc w:val="both"/>
        <w:rPr>
          <w:spacing w:val="-3"/>
        </w:rPr>
      </w:pPr>
    </w:p>
    <w:p w:rsidR="00EB5E96" w:rsidRPr="00596A43" w:rsidP="32D68D9F" w14:paraId="5CEA0046" w14:textId="77777777">
      <w:pPr>
        <w:suppressAutoHyphens/>
        <w:jc w:val="both"/>
      </w:pPr>
      <w:r>
        <w:rPr>
          <w:color w:val="2B579A"/>
          <w:shd w:val="clear" w:color="auto" w:fill="E6E6E6"/>
        </w:rPr>
        <w:fldChar w:fldCharType="begin"/>
      </w:r>
      <w:r w:rsidRPr="00596A43">
        <w:instrText>ADVANCE \R 0.95</w:instrText>
      </w:r>
      <w:r>
        <w:rPr>
          <w:color w:val="2B579A"/>
          <w:shd w:val="clear" w:color="auto" w:fill="E6E6E6"/>
        </w:rPr>
        <w:fldChar w:fldCharType="end"/>
      </w:r>
      <w:r w:rsidRPr="00596A43">
        <w:t>7</w:t>
      </w:r>
      <w:r w:rsidRPr="00596A43">
        <w:t>.  Explain</w:t>
      </w:r>
      <w:r w:rsidRPr="00596A43">
        <w:t xml:space="preserve">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005C472E" w:rsidP="75179C26" w14:paraId="3B1DADEC" w14:textId="1A986CE0">
      <w:pPr>
        <w:suppressAutoHyphens/>
        <w:contextualSpacing/>
      </w:pPr>
      <w:r>
        <w:tab/>
      </w:r>
      <w:r w:rsidR="68703A44">
        <w:t>N/A</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Requiring respondents to prepare a written response to a collection of information in fewer than 30 days after </w:t>
      </w:r>
      <w:r w:rsidRPr="00596A43">
        <w:t>receipt of</w:t>
      </w:r>
      <w:r w:rsidRPr="00596A43">
        <w:t xml:space="preserve"> it.</w:t>
      </w:r>
    </w:p>
    <w:p w:rsidR="005C472E" w:rsidP="005C472E" w14:paraId="276EC834" w14:textId="77777777">
      <w:pPr>
        <w:tabs>
          <w:tab w:val="left" w:pos="-720"/>
        </w:tabs>
        <w:suppressAutoHyphens/>
        <w:contextualSpacing/>
      </w:pPr>
    </w:p>
    <w:p w:rsidR="005C472E" w:rsidP="75179C26" w14:paraId="60034CE1" w14:textId="6BA7ACAE">
      <w:pPr>
        <w:suppressAutoHyphens/>
        <w:contextualSpacing/>
      </w:pPr>
      <w:r>
        <w:tab/>
      </w:r>
      <w:r w:rsidR="35BF2F5E">
        <w:t>N/A</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Requiring respondents to submit more than </w:t>
      </w:r>
      <w:r w:rsidRPr="00596A43">
        <w:t>an original and two</w:t>
      </w:r>
      <w:r w:rsidRPr="00596A43">
        <w:t xml:space="preserve"> copies of any document.</w:t>
      </w:r>
    </w:p>
    <w:p w:rsidR="005C472E" w:rsidP="005C472E" w14:paraId="6109BF0C" w14:textId="77777777">
      <w:pPr>
        <w:tabs>
          <w:tab w:val="left" w:pos="-720"/>
        </w:tabs>
        <w:suppressAutoHyphens/>
        <w:contextualSpacing/>
        <w:jc w:val="both"/>
      </w:pPr>
    </w:p>
    <w:p w:rsidR="0029007F" w:rsidP="75179C26" w14:paraId="4DF321B3" w14:textId="4A5CF81F">
      <w:pPr>
        <w:suppressAutoHyphens/>
        <w:contextualSpacing/>
        <w:jc w:val="both"/>
      </w:pPr>
      <w:r>
        <w:tab/>
      </w:r>
    </w:p>
    <w:p w:rsidR="005C472E" w:rsidRPr="00AB5A92" w:rsidP="02282A60" w14:paraId="0360B0EA" w14:textId="19B074B7">
      <w:pPr>
        <w:suppressAutoHyphens/>
        <w:contextualSpacing/>
        <w:jc w:val="both"/>
      </w:pPr>
      <w:r>
        <w:t>N/A</w:t>
      </w: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05C472E" w:rsidP="75179C26" w14:paraId="306663A0" w14:textId="30BBDFDE">
      <w:pPr>
        <w:suppressAutoHyphens/>
        <w:contextualSpacing/>
      </w:pPr>
      <w:r>
        <w:tab/>
      </w:r>
      <w:r w:rsidR="6988E945">
        <w:t>N/A</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In connection with a statistical survey, that is not designed to produce valid and reliable results that can be generalized to the universe of study.</w:t>
      </w:r>
    </w:p>
    <w:p w:rsidR="005C472E" w:rsidP="02282A60" w14:paraId="7F734A09" w14:textId="0D8CDE15">
      <w:pPr>
        <w:suppressAutoHyphens/>
        <w:contextualSpacing/>
      </w:pPr>
      <w:r>
        <w:t>N/A</w:t>
      </w:r>
    </w:p>
    <w:p w:rsidR="005C472E" w:rsidRPr="00AB5A92" w:rsidP="75179C26" w14:paraId="7331768B" w14:textId="1FBFA835">
      <w:pPr>
        <w:suppressAutoHyphens/>
        <w:contextualSpacing/>
      </w:pPr>
      <w:r>
        <w:tab/>
      </w: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Requiring the use of a statistical data classification that has not been reviewed and approved by OMB.</w:t>
      </w:r>
    </w:p>
    <w:p w:rsidR="005C472E" w:rsidP="005C472E" w14:paraId="66792E63" w14:textId="77777777">
      <w:pPr>
        <w:tabs>
          <w:tab w:val="left" w:pos="-720"/>
        </w:tabs>
        <w:suppressAutoHyphens/>
        <w:contextualSpacing/>
      </w:pPr>
    </w:p>
    <w:p w:rsidR="005C472E" w:rsidP="75179C26" w14:paraId="51F58978" w14:textId="2851CE6D">
      <w:pPr>
        <w:suppressAutoHyphens/>
        <w:contextualSpacing/>
      </w:pPr>
      <w:r>
        <w:tab/>
      </w:r>
      <w:r w:rsidR="49C02D74">
        <w:t>N/A</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36D8B24C" w14:paraId="5A304924" w14:textId="77777777">
      <w:pPr>
        <w:numPr>
          <w:ilvl w:val="0"/>
          <w:numId w:val="26"/>
        </w:numPr>
        <w:shd w:val="clear" w:color="auto" w:fill="C0C0C0"/>
        <w:suppressAutoHyphens/>
        <w:jc w:val="both"/>
      </w:pPr>
      <w:r>
        <w:rPr>
          <w:color w:val="2B579A"/>
          <w:shd w:val="clear" w:color="auto" w:fill="E6E6E6"/>
        </w:rPr>
        <w:fldChar w:fldCharType="begin"/>
      </w:r>
      <w:r>
        <w:instrText>ADVANCE \R 0.95</w:instrText>
      </w:r>
      <w:r>
        <w:rPr>
          <w:color w:val="2B579A"/>
          <w:shd w:val="clear" w:color="auto" w:fill="E6E6E6"/>
        </w:rPr>
        <w:fldChar w:fldCharType="end"/>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573655FA" w14:paraId="7EDD4060" w14:textId="710B2AD3">
      <w:pPr>
        <w:suppressAutoHyphens/>
        <w:ind w:left="144" w:firstLine="576"/>
        <w:jc w:val="both"/>
      </w:pPr>
      <w:r>
        <w:t>N/A</w:t>
      </w:r>
      <w:r w:rsidRPr="573655FA">
        <w:rPr>
          <w:color w:val="2B579A"/>
        </w:rPr>
        <w:fldChar w:fldCharType="begin"/>
      </w:r>
      <w:r>
        <w:instrText>ADVANCE \R 0.95</w:instrText>
      </w:r>
      <w:r w:rsidRPr="573655FA">
        <w:rPr>
          <w:color w:val="2B579A"/>
        </w:rPr>
        <w:fldChar w:fldCharType="end"/>
      </w:r>
    </w:p>
    <w:p w:rsidR="00EB5E96" w:rsidRPr="00596A43" w:rsidP="36D8B24C" w14:paraId="7746890D" w14:textId="072B8415">
      <w:pPr>
        <w:suppressAutoHyphens/>
        <w:ind w:firstLine="720"/>
        <w:contextualSpacing/>
        <w:jc w:val="both"/>
      </w:pPr>
    </w:p>
    <w:p w:rsidR="00EB5E96" w:rsidRPr="00596A43" w:rsidP="36D8B24C" w14:paraId="05049327" w14:textId="3FCCEC2B">
      <w:pPr>
        <w:shd w:val="clear" w:color="auto" w:fill="C0C0C0"/>
        <w:suppressAutoHyphens/>
        <w:jc w:val="both"/>
      </w:pPr>
    </w:p>
    <w:p w:rsidR="00EB5E96" w:rsidRPr="00596A43" w:rsidP="36D8B24C" w14:paraId="2A9EE2BF" w14:textId="77777777">
      <w:pPr>
        <w:numPr>
          <w:ilvl w:val="0"/>
          <w:numId w:val="26"/>
        </w:numPr>
        <w:shd w:val="clear" w:color="auto" w:fill="C0C0C0"/>
        <w:suppressAutoHyphens/>
        <w:jc w:val="both"/>
      </w:pPr>
      <w:r w:rsidRPr="00596A43">
        <w:rPr>
          <w:shd w:val="clear" w:color="auto" w:fill="C0C0C0"/>
        </w:rPr>
        <w:t xml:space="preserve">Requiring respondents to submit proprietary trade </w:t>
      </w:r>
      <w:r w:rsidRPr="00596A43">
        <w:rPr>
          <w:shd w:val="clear" w:color="auto" w:fill="C0C0C0"/>
        </w:rPr>
        <w:t>secret</w:t>
      </w:r>
      <w:r w:rsidRPr="00596A43">
        <w:rPr>
          <w:shd w:val="clear" w:color="auto" w:fill="C0C0C0"/>
        </w:rPr>
        <w: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F861A5" w:rsidRPr="00C15CD0" w:rsidP="75179C26" w14:paraId="01B61542" w14:textId="3711DE23">
      <w:pPr>
        <w:suppressAutoHyphens/>
        <w:contextualSpacing/>
        <w:jc w:val="both"/>
        <w:rPr>
          <w:lang w:val="pt-BR"/>
        </w:rPr>
      </w:pPr>
      <w:r>
        <w:tab/>
      </w:r>
      <w:r w:rsidRPr="00481FDC" w:rsidR="59175A28">
        <w:rPr>
          <w:lang w:val="pt-BR"/>
        </w:rPr>
        <w:t>N/A</w:t>
      </w:r>
    </w:p>
    <w:p w:rsidR="00AE41B7" w:rsidRPr="00C15CD0" w:rsidP="000C4293" w14:paraId="415A2725" w14:textId="77777777">
      <w:pPr>
        <w:tabs>
          <w:tab w:val="left" w:pos="-720"/>
        </w:tabs>
        <w:suppressAutoHyphens/>
        <w:jc w:val="both"/>
        <w:rPr>
          <w:lang w:val="pt-BR"/>
        </w:rPr>
      </w:pPr>
    </w:p>
    <w:p w:rsidR="00EB5E96" w:rsidRPr="00C15CD0" w:rsidP="004C21F8" w14:paraId="3A9C89B1" w14:textId="77777777">
      <w:pPr>
        <w:shd w:val="pct25" w:color="auto" w:fill="auto"/>
        <w:tabs>
          <w:tab w:val="left" w:pos="-720"/>
        </w:tabs>
        <w:suppressAutoHyphens/>
        <w:jc w:val="both"/>
        <w:rPr>
          <w:lang w:val="pt-BR"/>
        </w:rPr>
      </w:pPr>
      <w:r w:rsidRPr="00596A43">
        <w:rPr>
          <w:color w:val="2B579A"/>
          <w:shd w:val="clear" w:color="auto" w:fill="E6E6E6"/>
        </w:rPr>
        <w:fldChar w:fldCharType="begin"/>
      </w:r>
      <w:r w:rsidRPr="00C15CD0">
        <w:rPr>
          <w:lang w:val="pt-BR"/>
        </w:rPr>
        <w:instrText>ADVANCE \R 0.95</w:instrText>
      </w:r>
      <w:r w:rsidRPr="00596A43">
        <w:rPr>
          <w:color w:val="2B579A"/>
          <w:shd w:val="clear" w:color="auto" w:fill="E6E6E6"/>
        </w:rPr>
        <w:fldChar w:fldCharType="end"/>
      </w:r>
      <w:r w:rsidRPr="00C15CD0">
        <w:rPr>
          <w:lang w:val="pt-BR"/>
        </w:rPr>
        <w:t xml:space="preserve">8.  Federal Register Notice: </w:t>
      </w:r>
    </w:p>
    <w:p w:rsidR="00EB5E96" w:rsidRPr="00596A43" w:rsidP="2DD529EA" w14:paraId="225B0E37" w14:textId="79EE2998">
      <w:pPr>
        <w:shd w:val="clear" w:color="auto" w:fill="C0C0C0"/>
        <w:suppressAutoHyphens/>
        <w:jc w:val="both"/>
      </w:pPr>
      <w:r>
        <w:rPr>
          <w:color w:val="2B579A"/>
          <w:shd w:val="clear" w:color="auto" w:fill="E6E6E6"/>
        </w:rPr>
        <w:fldChar w:fldCharType="begin"/>
      </w:r>
      <w:r>
        <w:instrText>ADVANCE \R 0.95</w:instrText>
      </w:r>
      <w:r>
        <w:rPr>
          <w:color w:val="2B579A"/>
          <w:shd w:val="clear" w:color="auto" w:fill="E6E6E6"/>
        </w:rPr>
        <w:fldChar w:fldCharType="end"/>
      </w:r>
      <w:r>
        <w:rPr>
          <w:color w:val="2B579A"/>
          <w:shd w:val="clear" w:color="auto" w:fill="E6E6E6"/>
        </w:rPr>
        <w:fldChar w:fldCharType="begin"/>
      </w:r>
      <w:r>
        <w:instrText>ADVANCE \R 0.95</w:instrText>
      </w:r>
      <w:r>
        <w:rPr>
          <w:color w:val="2B579A"/>
          <w:shd w:val="clear" w:color="auto" w:fill="E6E6E6"/>
        </w:rPr>
        <w:fldChar w:fldCharType="end"/>
      </w:r>
      <w:r>
        <w:t>a.   Provide a copy and identify the date and page number of</w:t>
      </w:r>
      <w:r w:rsidR="433EC6A3">
        <w:t xml:space="preserve"> the</w:t>
      </w:r>
      <w: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b.  Describe efforts to consult with </w:t>
      </w:r>
      <w:r w:rsidRPr="00596A43">
        <w:t>persons</w:t>
      </w:r>
      <w:r w:rsidRPr="00596A43">
        <w:t xml:space="preserve"> outside the agency to obtain their views on the availability of data, frequency of collection, the clarity of instructions and recordkeeping, </w:t>
      </w:r>
      <w:r w:rsidRPr="00596A43">
        <w:t xml:space="preserve">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c.  Describe consultations with representatives of those from whom information is </w:t>
      </w:r>
      <w:r w:rsidRPr="00596A43">
        <w:t>to be obtained</w:t>
      </w:r>
      <w:r w:rsidRPr="00596A43">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RPr="00CA7204" w:rsidP="0029007F" w14:paraId="3EE3D417" w14:textId="1B6A2BD5">
            <w:pPr>
              <w:tabs>
                <w:tab w:val="left" w:pos="-720"/>
              </w:tabs>
              <w:suppressAutoHyphens/>
              <w:jc w:val="center"/>
            </w:pPr>
            <w:r w:rsidRPr="00CA7204">
              <w:t>8/20/2025</w:t>
            </w:r>
          </w:p>
        </w:tc>
        <w:tc>
          <w:tcPr>
            <w:tcW w:w="1080" w:type="dxa"/>
            <w:vAlign w:val="center"/>
          </w:tcPr>
          <w:p w:rsidR="00B67664" w:rsidRPr="00CA7204" w:rsidP="0029007F" w14:paraId="454C5B6F" w14:textId="52284A28">
            <w:pPr>
              <w:tabs>
                <w:tab w:val="left" w:pos="-720"/>
              </w:tabs>
              <w:suppressAutoHyphens/>
              <w:jc w:val="center"/>
            </w:pPr>
            <w:r w:rsidRPr="00CA7204">
              <w:t>90</w:t>
            </w:r>
          </w:p>
        </w:tc>
        <w:tc>
          <w:tcPr>
            <w:tcW w:w="1080" w:type="dxa"/>
            <w:vAlign w:val="center"/>
          </w:tcPr>
          <w:p w:rsidR="00B67664" w:rsidRPr="00CA7204" w:rsidP="0029007F" w14:paraId="1D5C8C71" w14:textId="2FA478C7">
            <w:pPr>
              <w:tabs>
                <w:tab w:val="left" w:pos="-720"/>
              </w:tabs>
              <w:suppressAutoHyphens/>
              <w:jc w:val="center"/>
            </w:pPr>
            <w:r w:rsidRPr="00CA7204">
              <w:t>159</w:t>
            </w:r>
          </w:p>
        </w:tc>
        <w:tc>
          <w:tcPr>
            <w:tcW w:w="900" w:type="dxa"/>
            <w:vAlign w:val="center"/>
          </w:tcPr>
          <w:p w:rsidR="00B67664" w:rsidRPr="00CA7204" w:rsidP="0029007F" w14:paraId="028479BC" w14:textId="54B332A3">
            <w:pPr>
              <w:tabs>
                <w:tab w:val="left" w:pos="-720"/>
              </w:tabs>
              <w:suppressAutoHyphens/>
              <w:jc w:val="center"/>
            </w:pPr>
            <w:r w:rsidRPr="00CA7204">
              <w:t>40637</w:t>
            </w:r>
          </w:p>
        </w:tc>
        <w:tc>
          <w:tcPr>
            <w:tcW w:w="1532" w:type="dxa"/>
            <w:vAlign w:val="center"/>
          </w:tcPr>
          <w:p w:rsidR="00B67664" w:rsidRPr="00CA7204" w:rsidP="0029007F" w14:paraId="2F3EDAFE" w14:textId="222598B6">
            <w:pPr>
              <w:tabs>
                <w:tab w:val="left" w:pos="-720"/>
              </w:tabs>
              <w:suppressAutoHyphens/>
              <w:jc w:val="center"/>
            </w:pPr>
            <w:r w:rsidRPr="00CA7204">
              <w:t>0</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RPr="00CA7204" w:rsidP="0029007F" w14:paraId="15048C99" w14:textId="46AF27A4">
            <w:pPr>
              <w:tabs>
                <w:tab w:val="left" w:pos="-720"/>
              </w:tabs>
              <w:suppressAutoHyphens/>
              <w:jc w:val="center"/>
            </w:pPr>
            <w:r>
              <w:t>11/28/2025</w:t>
            </w:r>
          </w:p>
        </w:tc>
        <w:tc>
          <w:tcPr>
            <w:tcW w:w="1080" w:type="dxa"/>
            <w:vAlign w:val="center"/>
          </w:tcPr>
          <w:p w:rsidR="00B67664" w:rsidRPr="00CA7204" w:rsidP="0029007F" w14:paraId="6A927E67" w14:textId="21EF2CBA">
            <w:pPr>
              <w:tabs>
                <w:tab w:val="left" w:pos="-720"/>
              </w:tabs>
              <w:suppressAutoHyphens/>
              <w:jc w:val="center"/>
            </w:pPr>
            <w:r>
              <w:t>90</w:t>
            </w:r>
          </w:p>
        </w:tc>
        <w:tc>
          <w:tcPr>
            <w:tcW w:w="1080" w:type="dxa"/>
            <w:vAlign w:val="center"/>
          </w:tcPr>
          <w:p w:rsidR="00B67664" w:rsidRPr="00CA7204" w:rsidP="0029007F" w14:paraId="110837CC" w14:textId="618CE3BA">
            <w:pPr>
              <w:tabs>
                <w:tab w:val="left" w:pos="-720"/>
              </w:tabs>
              <w:suppressAutoHyphens/>
              <w:jc w:val="center"/>
            </w:pPr>
            <w:r>
              <w:t>227</w:t>
            </w:r>
          </w:p>
        </w:tc>
        <w:tc>
          <w:tcPr>
            <w:tcW w:w="900" w:type="dxa"/>
            <w:vAlign w:val="center"/>
          </w:tcPr>
          <w:p w:rsidR="00B67664" w:rsidRPr="00CA7204" w:rsidP="00AF61CB" w14:paraId="035142B0" w14:textId="39B1122D">
            <w:pPr>
              <w:tabs>
                <w:tab w:val="left" w:pos="-720"/>
              </w:tabs>
              <w:suppressAutoHyphens/>
              <w:jc w:val="center"/>
            </w:pPr>
            <w:r>
              <w:t>54731-54732</w:t>
            </w:r>
          </w:p>
        </w:tc>
        <w:tc>
          <w:tcPr>
            <w:tcW w:w="1532" w:type="dxa"/>
            <w:vAlign w:val="center"/>
          </w:tcPr>
          <w:p w:rsidR="00B67664" w:rsidRPr="00CA7204" w:rsidP="0029007F" w14:paraId="5F78088B" w14:textId="1F1699FD">
            <w:pPr>
              <w:tabs>
                <w:tab w:val="left" w:pos="-720"/>
              </w:tabs>
              <w:suppressAutoHyphens/>
              <w:jc w:val="center"/>
            </w:pPr>
            <w:r>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5B5FD451" w14:paraId="409735B0" w14:textId="555E0872">
      <w:pPr>
        <w:suppressAutoHyphens/>
        <w:jc w:val="both"/>
      </w:pPr>
      <w:r>
        <w:t xml:space="preserve">A </w:t>
      </w:r>
      <w:r w:rsidR="35223109">
        <w:t>60-day</w:t>
      </w:r>
      <w:r>
        <w:t xml:space="preserve"> notice for comments was published in the Federal Register on</w:t>
      </w:r>
      <w:r w:rsidR="00FD3AB4">
        <w:t xml:space="preserve"> </w:t>
      </w:r>
      <w:r w:rsidR="00CA7204">
        <w:t>August 20, 2025</w:t>
      </w:r>
      <w:r>
        <w:t>.</w:t>
      </w:r>
      <w:r w:rsidR="4C108B7E">
        <w:t xml:space="preserve"> 0 comments were received related to the 60-day notice.</w:t>
      </w:r>
    </w:p>
    <w:p w:rsidR="00CC2508" w:rsidP="000C4293" w14:paraId="03F374F9" w14:textId="77777777">
      <w:pPr>
        <w:tabs>
          <w:tab w:val="left" w:pos="-720"/>
        </w:tabs>
        <w:suppressAutoHyphens/>
        <w:jc w:val="both"/>
      </w:pPr>
    </w:p>
    <w:p w:rsidR="00CC2508" w:rsidP="2DD529EA" w14:paraId="2DDB2FF4" w14:textId="64F1F347">
      <w:pPr>
        <w:suppressAutoHyphens/>
        <w:jc w:val="both"/>
      </w:pPr>
      <w:r>
        <w:t xml:space="preserve">A </w:t>
      </w:r>
      <w:r w:rsidR="68435368">
        <w:t>30-day</w:t>
      </w:r>
      <w:r>
        <w:t xml:space="preserve"> notice for comments was publis</w:t>
      </w:r>
      <w:r w:rsidR="0085645B">
        <w:t>hed in the Federal Register on</w:t>
      </w:r>
      <w:r w:rsidR="00FD3AB4">
        <w:t xml:space="preserve"> </w:t>
      </w:r>
      <w:r w:rsidR="00AF61CB">
        <w:t>11/28/2025</w:t>
      </w:r>
      <w:r>
        <w:t xml:space="preserve">.  </w:t>
      </w:r>
      <w:r w:rsidRPr="2DD529EA">
        <w:rPr>
          <w:highlight w:val="yellow"/>
        </w:rPr>
        <w:t>0</w:t>
      </w:r>
      <w:r>
        <w:t xml:space="preserve"> comments were received related to the </w:t>
      </w:r>
      <w:r w:rsidR="14B6BD94">
        <w:t>30-day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9</w:t>
      </w:r>
      <w:r w:rsidRPr="00596A43">
        <w:t>.  Explain</w:t>
      </w:r>
      <w:r w:rsidRPr="00596A43">
        <w:t xml:space="preserve">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EB5E96" w:rsidP="7DB36B40" w14:paraId="58C36867" w14:textId="2D7335E3">
      <w:pPr>
        <w:suppressAutoHyphens/>
        <w:contextualSpacing/>
      </w:pPr>
      <w:r>
        <w:tab/>
      </w:r>
      <w:r w:rsidR="2FCD582F">
        <w:t>N/A</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10</w:t>
      </w:r>
      <w:r w:rsidRPr="00596A43">
        <w:t>.  Describe</w:t>
      </w:r>
      <w:r w:rsidRPr="00596A43">
        <w:t xml:space="preserv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AA3F82" w:rsidP="00A57406" w14:paraId="7692A326" w14:textId="7DF1CDCF">
      <w:pPr>
        <w:pStyle w:val="Default"/>
      </w:pPr>
      <w:r>
        <w:tab/>
      </w:r>
      <w:r w:rsidR="4D770E5B">
        <w:t>N/A</w:t>
      </w:r>
    </w:p>
    <w:p w:rsidR="00A57406" w:rsidRPr="00596A43" w:rsidP="00A57406" w14:paraId="0186E627" w14:textId="77777777">
      <w:pPr>
        <w:pStyle w:val="Default"/>
      </w:pPr>
    </w:p>
    <w:p w:rsidR="00EB5E96" w:rsidRPr="00596A43" w:rsidP="000C4293" w14:paraId="7289D4B3" w14:textId="77777777">
      <w:pPr>
        <w:shd w:val="pct25" w:color="auto" w:fill="auto"/>
        <w:tabs>
          <w:tab w:val="left" w:pos="-720"/>
        </w:tabs>
        <w:suppressAutoHyphens/>
        <w:jc w:val="both"/>
      </w:pPr>
      <w:r w:rsidRPr="00596A43">
        <w:t>11</w:t>
      </w:r>
      <w:r w:rsidRPr="00596A43">
        <w:t>.  Provide</w:t>
      </w:r>
      <w:r w:rsidRPr="00596A43">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6A43">
        <w:t>persons</w:t>
      </w:r>
      <w:r w:rsidRPr="00596A43">
        <w:t xml:space="preserve">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AA3F82" w:rsidP="573655FA" w14:paraId="77C8518F" w14:textId="47300C0E">
      <w:pPr>
        <w:shd w:val="clear" w:color="auto" w:fill="FFFFFF" w:themeFill="background1"/>
        <w:suppressAutoHyphens/>
        <w:ind w:firstLine="720"/>
        <w:jc w:val="both"/>
      </w:pPr>
      <w:r>
        <w:t>N/A</w:t>
      </w:r>
    </w:p>
    <w:p w:rsidR="00A57406" w:rsidP="000C4293" w14:paraId="3384B361" w14:textId="04E25FE4">
      <w:pPr>
        <w:shd w:val="clear" w:color="auto" w:fill="FFFFFF"/>
        <w:tabs>
          <w:tab w:val="left" w:pos="-720"/>
        </w:tabs>
        <w:suppressAutoHyphens/>
        <w:jc w:val="both"/>
        <w:rPr>
          <w:spacing w:val="-3"/>
        </w:rPr>
      </w:pPr>
    </w:p>
    <w:p w:rsidR="00EB5E96" w:rsidRPr="00596A43" w:rsidP="000C4293" w14:paraId="5AEDC439" w14:textId="77777777">
      <w:pPr>
        <w:shd w:val="pct25" w:color="auto" w:fill="FFFFFF"/>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p>
    <w:p w:rsidR="00EB5E96" w:rsidP="00F861A5" w14:paraId="4A52B6D3" w14:textId="77777777">
      <w:pPr>
        <w:numPr>
          <w:ilvl w:val="0"/>
          <w:numId w:val="27"/>
        </w:num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w:t>
      </w:r>
      <w:r w:rsidRPr="00596A43">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00A57406" w:rsidP="75179C26" w14:paraId="784FC6D2" w14:textId="760E7F56">
      <w:pPr>
        <w:widowControl w:val="0"/>
        <w:contextualSpacing/>
      </w:pPr>
      <w:r>
        <w:t>It is estimated that it will take each participant 10 minutes to complete the Visitor Request form. For 20,000 respondents ann</w:t>
      </w:r>
      <w:r w:rsidRPr="734759F7">
        <w:t>ually, the burden is 3</w:t>
      </w:r>
      <w:r w:rsidRPr="734759F7" w:rsidR="7DD2FE29">
        <w:t>,</w:t>
      </w:r>
      <w:r w:rsidRPr="734759F7">
        <w:t>333 hours. To estimate the cost of this collection, CISA uses the</w:t>
      </w:r>
      <w:r w:rsidRPr="734759F7" w:rsidR="10748B78">
        <w:t xml:space="preserve"> </w:t>
      </w:r>
      <w:hyperlink r:id="rId10" w:anchor="/industry/000000" w:history="1">
        <w:r w:rsidRPr="734759F7" w:rsidR="10748B78">
          <w:rPr>
            <w:rStyle w:val="Hyperlink"/>
          </w:rPr>
          <w:t>May 2024 Bureau of Labor Statistics</w:t>
        </w:r>
      </w:hyperlink>
      <w:r w:rsidRPr="734759F7">
        <w:t xml:space="preserve"> mean hourly wage of “All Occupations” of $</w:t>
      </w:r>
      <w:r w:rsidRPr="734759F7" w:rsidR="374B8731">
        <w:t>32.66</w:t>
      </w:r>
      <w:r w:rsidRPr="734759F7" w:rsidR="680A0A1B">
        <w:t xml:space="preserve">. </w:t>
      </w:r>
      <w:r w:rsidRPr="734759F7">
        <w:t>CISA</w:t>
      </w:r>
      <w:r w:rsidRPr="734759F7">
        <w:rPr>
          <w:color w:val="000000" w:themeColor="text1"/>
        </w:rPr>
        <w:t xml:space="preserve"> then applies a load factor of </w:t>
      </w:r>
      <w:r w:rsidRPr="734759F7" w:rsidR="5D49B348">
        <w:rPr>
          <w:color w:val="000000" w:themeColor="text1"/>
        </w:rPr>
        <w:t>1.45</w:t>
      </w:r>
      <w:r w:rsidRPr="734759F7" w:rsidR="1788AF2E">
        <w:rPr>
          <w:color w:val="000000" w:themeColor="text1"/>
        </w:rPr>
        <w:t>14</w:t>
      </w:r>
      <w:r w:rsidRPr="734759F7" w:rsidR="7BBAFC67">
        <w:rPr>
          <w:color w:val="000000" w:themeColor="text1"/>
        </w:rPr>
        <w:t xml:space="preserve"> to this average wage to obtain a fully loaded average hourly wage of $47.40</w:t>
      </w:r>
      <w:r w:rsidRPr="00C15CD0" w:rsidR="3EF9A51E">
        <w:rPr>
          <w:color w:val="000000" w:themeColor="text1"/>
        </w:rPr>
        <w:t>The load factor is estimated by dividing Total Compensation ($47.20) by Salaries and Wages ($32.52) = 1.4514, based on the</w:t>
      </w:r>
      <w:r w:rsidRPr="734759F7" w:rsidR="03E11756">
        <w:rPr>
          <w:color w:val="000000" w:themeColor="text1"/>
        </w:rPr>
        <w:t xml:space="preserve"> </w:t>
      </w:r>
      <w:hyperlink r:id="rId11" w:history="1">
        <w:r w:rsidRPr="734759F7" w:rsidR="03E11756">
          <w:rPr>
            <w:rStyle w:val="Hyperlink"/>
          </w:rPr>
          <w:t>March 2025 Bureau of Labor Statistics Employer Costs for Employee Compensation News Release</w:t>
        </w:r>
      </w:hyperlink>
      <w:r w:rsidRPr="734759F7" w:rsidR="03E11756">
        <w:rPr>
          <w:color w:val="000000" w:themeColor="text1"/>
        </w:rPr>
        <w:t xml:space="preserve"> </w:t>
      </w:r>
      <w:r w:rsidRPr="00C15CD0" w:rsidR="3EF9A51E">
        <w:rPr>
          <w:color w:val="000000" w:themeColor="text1"/>
        </w:rPr>
        <w:t xml:space="preserve">Table 1: Employer Cost for Employee Compensation by ownership.   </w:t>
      </w:r>
      <w:r w:rsidRPr="00C15CD0" w:rsidR="3EF9A51E">
        <w:t xml:space="preserve"> </w:t>
      </w:r>
      <w:r w:rsidRPr="734759F7">
        <w:rPr>
          <w:color w:val="000000" w:themeColor="text1"/>
        </w:rPr>
        <w:t xml:space="preserve"> .</w:t>
      </w:r>
      <w:r w:rsidRPr="734759F7">
        <w:rPr>
          <w:color w:val="44546A" w:themeColor="text2"/>
        </w:rPr>
        <w:t xml:space="preserve"> </w:t>
      </w:r>
      <w:r w:rsidRPr="734759F7">
        <w:t xml:space="preserve"> The total respondent cost burden for this co</w:t>
      </w:r>
      <w:r>
        <w:t>llection is $</w:t>
      </w:r>
      <w:r w:rsidR="63B516BF">
        <w:t>158,010.66</w:t>
      </w:r>
      <w:r>
        <w:t xml:space="preserve"> (3,333 hours x $</w:t>
      </w:r>
      <w:r w:rsidR="10CDAE10">
        <w:t>47.40</w:t>
      </w:r>
      <w:r>
        <w:t>).</w:t>
      </w:r>
    </w:p>
    <w:p w:rsidR="00A57406" w:rsidP="75179C26" w14:paraId="6003CF54" w14:textId="77880E25">
      <w:pPr>
        <w:widowControl w:val="0"/>
        <w:contextualSpacing/>
      </w:pPr>
    </w:p>
    <w:tbl>
      <w:tblPr>
        <w:tblW w:w="9085" w:type="dxa"/>
        <w:tblInd w:w="113" w:type="dxa"/>
        <w:tblLayout w:type="fixed"/>
        <w:tblLook w:val="04A0"/>
      </w:tblPr>
      <w:tblGrid>
        <w:gridCol w:w="2065"/>
        <w:gridCol w:w="1170"/>
        <w:gridCol w:w="1080"/>
        <w:gridCol w:w="1170"/>
        <w:gridCol w:w="1080"/>
        <w:gridCol w:w="990"/>
        <w:gridCol w:w="1530"/>
      </w:tblGrid>
      <w:tr w14:paraId="4918C022" w14:textId="77777777" w:rsidTr="734759F7">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vAlign w:val="center"/>
            <w:hideMark/>
          </w:tcPr>
          <w:p w:rsidR="00E70205" w:rsidP="00E70205" w14:paraId="641E7EBD" w14:textId="77777777">
            <w:pPr>
              <w:jc w:val="center"/>
              <w:rPr>
                <w:color w:val="000000"/>
                <w:sz w:val="20"/>
                <w:szCs w:val="20"/>
              </w:rPr>
            </w:pPr>
            <w:r>
              <w:rPr>
                <w:color w:val="000000"/>
                <w:sz w:val="20"/>
                <w:szCs w:val="20"/>
              </w:rPr>
              <w:t>Form</w:t>
            </w:r>
            <w:r>
              <w:rPr>
                <w:color w:val="000000"/>
                <w:sz w:val="20"/>
                <w:szCs w:val="20"/>
              </w:rPr>
              <w:t xml:space="preserve">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990" w:type="dxa"/>
            <w:tcBorders>
              <w:top w:val="single" w:sz="4" w:space="0" w:color="auto"/>
              <w:left w:val="nil"/>
              <w:bottom w:val="single" w:sz="4" w:space="0" w:color="auto"/>
              <w:right w:val="single" w:sz="4" w:space="0" w:color="auto"/>
            </w:tcBorders>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30" w:type="dxa"/>
            <w:tcBorders>
              <w:top w:val="single" w:sz="4" w:space="0" w:color="auto"/>
              <w:left w:val="nil"/>
              <w:bottom w:val="single" w:sz="4" w:space="0" w:color="auto"/>
              <w:right w:val="single" w:sz="4" w:space="0" w:color="auto"/>
            </w:tcBorders>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734759F7">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vAlign w:val="center"/>
            <w:hideMark/>
          </w:tcPr>
          <w:p w:rsidR="73F1813F" w:rsidP="36D8B24C" w14:paraId="4385F81D" w14:textId="193E1DA7">
            <w:pPr>
              <w:spacing w:line="259" w:lineRule="auto"/>
              <w:jc w:val="center"/>
              <w:rPr>
                <w:i/>
                <w:iCs/>
                <w:color w:val="000000" w:themeColor="text1"/>
                <w:sz w:val="20"/>
                <w:szCs w:val="20"/>
              </w:rPr>
            </w:pPr>
            <w:r w:rsidRPr="36D8B24C">
              <w:rPr>
                <w:i/>
                <w:iCs/>
                <w:color w:val="000000" w:themeColor="text1"/>
                <w:sz w:val="20"/>
                <w:szCs w:val="20"/>
              </w:rPr>
              <w:t>Name of form</w:t>
            </w:r>
          </w:p>
          <w:p w:rsidR="00B24910" w:rsidP="00B24910" w14:paraId="065D4056" w14:textId="6912CF6A">
            <w:pPr>
              <w:jc w:val="center"/>
              <w:rPr>
                <w:color w:val="000000"/>
                <w:sz w:val="20"/>
                <w:szCs w:val="20"/>
              </w:rPr>
            </w:pPr>
            <w:r w:rsidRPr="75179C26">
              <w:rPr>
                <w:color w:val="000000" w:themeColor="text1"/>
                <w:sz w:val="20"/>
                <w:szCs w:val="20"/>
              </w:rPr>
              <w:t xml:space="preserve">(DHS Form </w:t>
            </w:r>
            <w:r w:rsidRPr="75179C26" w:rsidR="0332A23C">
              <w:rPr>
                <w:color w:val="000000" w:themeColor="text1"/>
                <w:sz w:val="20"/>
                <w:szCs w:val="20"/>
              </w:rPr>
              <w:t>11000-39</w:t>
            </w:r>
            <w:r w:rsidRPr="75179C26">
              <w:rPr>
                <w:color w:val="000000" w:themeColor="text1"/>
                <w:sz w:val="20"/>
                <w:szCs w:val="20"/>
              </w:rPr>
              <w:t>)</w:t>
            </w:r>
          </w:p>
          <w:p w:rsidR="00B24910" w:rsidP="006D5EB7" w14:paraId="4279DA2A" w14:textId="77777777">
            <w:pPr>
              <w:jc w:val="center"/>
              <w:rPr>
                <w:color w:val="000000"/>
                <w:sz w:val="20"/>
                <w:szCs w:val="20"/>
              </w:rPr>
            </w:pPr>
          </w:p>
          <w:p w:rsidR="00B24910" w:rsidP="00B24910" w14:paraId="57B35C91" w14:textId="77777777">
            <w:pPr>
              <w:jc w:val="center"/>
              <w:rPr>
                <w:color w:val="000000"/>
                <w:sz w:val="20"/>
                <w:szCs w:val="20"/>
              </w:rPr>
            </w:pPr>
          </w:p>
        </w:tc>
        <w:tc>
          <w:tcPr>
            <w:tcW w:w="1170" w:type="dxa"/>
            <w:tcBorders>
              <w:top w:val="nil"/>
              <w:left w:val="nil"/>
              <w:bottom w:val="single" w:sz="4" w:space="0" w:color="auto"/>
              <w:right w:val="single" w:sz="4" w:space="0" w:color="auto"/>
            </w:tcBorders>
            <w:vAlign w:val="center"/>
            <w:hideMark/>
          </w:tcPr>
          <w:p w:rsidR="00B24910" w:rsidP="006D5EB7" w14:paraId="16F30251" w14:textId="2BC72F9E">
            <w:pPr>
              <w:jc w:val="center"/>
              <w:rPr>
                <w:color w:val="000000"/>
                <w:sz w:val="20"/>
                <w:szCs w:val="20"/>
              </w:rPr>
            </w:pPr>
            <w:r w:rsidRPr="75179C26">
              <w:rPr>
                <w:color w:val="000000" w:themeColor="text1"/>
                <w:sz w:val="20"/>
                <w:szCs w:val="20"/>
              </w:rPr>
              <w:t>20,000</w:t>
            </w:r>
          </w:p>
        </w:tc>
        <w:tc>
          <w:tcPr>
            <w:tcW w:w="1080" w:type="dxa"/>
            <w:tcBorders>
              <w:top w:val="nil"/>
              <w:left w:val="nil"/>
              <w:bottom w:val="single" w:sz="4" w:space="0" w:color="auto"/>
              <w:right w:val="single" w:sz="4" w:space="0" w:color="auto"/>
            </w:tcBorders>
            <w:vAlign w:val="center"/>
            <w:hideMark/>
          </w:tcPr>
          <w:p w:rsidR="00B24910" w:rsidP="734759F7" w14:paraId="03AC9686" w14:textId="708DAD33">
            <w:pPr>
              <w:jc w:val="center"/>
              <w:rPr>
                <w:color w:val="000000"/>
                <w:sz w:val="20"/>
                <w:szCs w:val="20"/>
              </w:rPr>
            </w:pPr>
            <w:r w:rsidRPr="734759F7">
              <w:rPr>
                <w:color w:val="000000" w:themeColor="text1"/>
                <w:sz w:val="20"/>
                <w:szCs w:val="20"/>
              </w:rPr>
              <w:t>1</w:t>
            </w:r>
          </w:p>
        </w:tc>
        <w:tc>
          <w:tcPr>
            <w:tcW w:w="1170" w:type="dxa"/>
            <w:tcBorders>
              <w:top w:val="nil"/>
              <w:left w:val="nil"/>
              <w:bottom w:val="single" w:sz="4" w:space="0" w:color="auto"/>
              <w:right w:val="single" w:sz="4" w:space="0" w:color="auto"/>
            </w:tcBorders>
            <w:vAlign w:val="center"/>
            <w:hideMark/>
          </w:tcPr>
          <w:p w:rsidR="00B24910" w:rsidP="734759F7" w14:paraId="1BA8EB31" w14:textId="2CC818B5">
            <w:pPr>
              <w:jc w:val="center"/>
              <w:rPr>
                <w:color w:val="000000" w:themeColor="text1"/>
                <w:sz w:val="20"/>
                <w:szCs w:val="20"/>
              </w:rPr>
            </w:pPr>
            <w:r w:rsidRPr="734759F7">
              <w:rPr>
                <w:color w:val="000000" w:themeColor="text1"/>
                <w:sz w:val="20"/>
                <w:szCs w:val="20"/>
              </w:rPr>
              <w:t>0.1667</w:t>
            </w:r>
          </w:p>
          <w:p w:rsidR="00B24910" w:rsidP="006D5EB7" w14:paraId="0F1755E5" w14:textId="6DC8D0B6">
            <w:pPr>
              <w:jc w:val="center"/>
              <w:rPr>
                <w:color w:val="000000"/>
                <w:sz w:val="20"/>
                <w:szCs w:val="20"/>
              </w:rPr>
            </w:pPr>
            <w:r w:rsidRPr="734759F7">
              <w:rPr>
                <w:color w:val="000000" w:themeColor="text1"/>
                <w:sz w:val="20"/>
                <w:szCs w:val="20"/>
              </w:rPr>
              <w:t>(10 minutes)</w:t>
            </w:r>
          </w:p>
        </w:tc>
        <w:tc>
          <w:tcPr>
            <w:tcW w:w="1080" w:type="dxa"/>
            <w:tcBorders>
              <w:top w:val="nil"/>
              <w:left w:val="nil"/>
              <w:bottom w:val="single" w:sz="4" w:space="0" w:color="auto"/>
              <w:right w:val="single" w:sz="4" w:space="0" w:color="auto"/>
            </w:tcBorders>
            <w:vAlign w:val="center"/>
            <w:hideMark/>
          </w:tcPr>
          <w:p w:rsidR="00B24910" w:rsidP="006D5EB7" w14:paraId="0D46E30C" w14:textId="77CEFFD0">
            <w:pPr>
              <w:jc w:val="center"/>
              <w:rPr>
                <w:color w:val="000000"/>
                <w:sz w:val="20"/>
                <w:szCs w:val="20"/>
              </w:rPr>
            </w:pPr>
            <w:r w:rsidRPr="75179C26">
              <w:rPr>
                <w:color w:val="000000" w:themeColor="text1"/>
                <w:sz w:val="20"/>
                <w:szCs w:val="20"/>
              </w:rPr>
              <w:t>3,333</w:t>
            </w:r>
          </w:p>
        </w:tc>
        <w:tc>
          <w:tcPr>
            <w:tcW w:w="990" w:type="dxa"/>
            <w:tcBorders>
              <w:top w:val="nil"/>
              <w:left w:val="nil"/>
              <w:bottom w:val="single" w:sz="4" w:space="0" w:color="auto"/>
              <w:right w:val="single" w:sz="4" w:space="0" w:color="auto"/>
            </w:tcBorders>
            <w:vAlign w:val="center"/>
            <w:hideMark/>
          </w:tcPr>
          <w:p w:rsidR="00B24910" w:rsidP="734759F7" w14:paraId="51EAFEFD" w14:textId="4D825BB8">
            <w:pPr>
              <w:jc w:val="center"/>
              <w:rPr>
                <w:color w:val="000000" w:themeColor="text1"/>
                <w:sz w:val="20"/>
                <w:szCs w:val="20"/>
              </w:rPr>
            </w:pPr>
            <w:r w:rsidRPr="734759F7">
              <w:rPr>
                <w:color w:val="000000" w:themeColor="text1"/>
                <w:sz w:val="20"/>
                <w:szCs w:val="20"/>
              </w:rPr>
              <w:t>$47.40</w:t>
            </w:r>
          </w:p>
          <w:p w:rsidR="00B24910" w:rsidP="006D5EB7" w14:paraId="73810751" w14:textId="25380AF1">
            <w:pPr>
              <w:jc w:val="center"/>
              <w:rPr>
                <w:color w:val="000000"/>
                <w:sz w:val="20"/>
                <w:szCs w:val="20"/>
              </w:rPr>
            </w:pPr>
          </w:p>
        </w:tc>
        <w:tc>
          <w:tcPr>
            <w:tcW w:w="1530" w:type="dxa"/>
            <w:tcBorders>
              <w:top w:val="nil"/>
              <w:left w:val="nil"/>
              <w:bottom w:val="single" w:sz="4" w:space="0" w:color="auto"/>
              <w:right w:val="single" w:sz="4" w:space="0" w:color="auto"/>
            </w:tcBorders>
            <w:vAlign w:val="center"/>
            <w:hideMark/>
          </w:tcPr>
          <w:p w:rsidR="00B24910" w:rsidP="006D5EB7" w14:paraId="3802A4F7" w14:textId="72088D66">
            <w:pPr>
              <w:jc w:val="center"/>
              <w:rPr>
                <w:color w:val="000000"/>
                <w:sz w:val="20"/>
                <w:szCs w:val="20"/>
              </w:rPr>
            </w:pPr>
            <w:r w:rsidRPr="734759F7">
              <w:rPr>
                <w:color w:val="000000" w:themeColor="text1"/>
                <w:sz w:val="20"/>
                <w:szCs w:val="20"/>
              </w:rPr>
              <w:t>$158,010.66</w:t>
            </w:r>
            <w:r w:rsidR="0DA20448">
              <w:br/>
            </w:r>
          </w:p>
        </w:tc>
      </w:tr>
    </w:tbl>
    <w:p w:rsidR="346A701C" w:rsidP="734759F7" w14:paraId="650D8196" w14:textId="55EDF9DA">
      <w:pPr>
        <w:rPr>
          <w:i/>
          <w:iCs/>
          <w:color w:val="000000" w:themeColor="text1"/>
          <w:sz w:val="20"/>
          <w:szCs w:val="20"/>
        </w:rPr>
      </w:pPr>
      <w:r w:rsidRPr="734759F7">
        <w:rPr>
          <w:color w:val="000000" w:themeColor="text1"/>
          <w:sz w:val="20"/>
          <w:szCs w:val="20"/>
        </w:rPr>
        <w:t xml:space="preserve">NOTES ON HOUR BURDEN: </w:t>
      </w:r>
      <w:r>
        <w:tab/>
      </w:r>
      <w:r>
        <w:br/>
      </w:r>
      <w:r w:rsidRPr="00C15CD0">
        <w:rPr>
          <w:i/>
          <w:iCs/>
          <w:color w:val="000000" w:themeColor="text1"/>
          <w:sz w:val="20"/>
          <w:szCs w:val="20"/>
        </w:rPr>
        <w:t>*  The</w:t>
      </w:r>
      <w:r w:rsidRPr="00C15CD0">
        <w:rPr>
          <w:i/>
          <w:iCs/>
          <w:color w:val="000000" w:themeColor="text1"/>
          <w:sz w:val="20"/>
          <w:szCs w:val="20"/>
        </w:rPr>
        <w:t xml:space="preserve"> above Average Hourly Wage Rate is</w:t>
      </w:r>
      <w:r w:rsidRPr="734759F7" w:rsidR="172848C9">
        <w:rPr>
          <w:i/>
          <w:iCs/>
          <w:color w:val="000000" w:themeColor="text1"/>
          <w:sz w:val="20"/>
          <w:szCs w:val="20"/>
        </w:rPr>
        <w:t xml:space="preserve"> the</w:t>
      </w:r>
      <w:r w:rsidRPr="00C15CD0">
        <w:rPr>
          <w:i/>
          <w:iCs/>
          <w:color w:val="000000" w:themeColor="text1"/>
          <w:sz w:val="20"/>
          <w:szCs w:val="20"/>
        </w:rPr>
        <w:t xml:space="preserve"> </w:t>
      </w:r>
      <w:r w:rsidRPr="734759F7" w:rsidR="46DC9554">
        <w:rPr>
          <w:i/>
          <w:iCs/>
          <w:color w:val="000000" w:themeColor="text1"/>
          <w:sz w:val="20"/>
          <w:szCs w:val="20"/>
        </w:rPr>
        <w:t xml:space="preserve">May 2024 Bureau of Labor </w:t>
      </w:r>
      <w:r w:rsidRPr="734759F7" w:rsidR="46DC9554">
        <w:rPr>
          <w:i/>
          <w:iCs/>
          <w:color w:val="000000" w:themeColor="text1"/>
          <w:sz w:val="20"/>
          <w:szCs w:val="20"/>
        </w:rPr>
        <w:t>Statistics</w:t>
      </w:r>
      <w:r w:rsidRPr="734759F7">
        <w:rPr>
          <w:i/>
          <w:iCs/>
          <w:color w:val="000000" w:themeColor="text1"/>
          <w:sz w:val="20"/>
          <w:szCs w:val="20"/>
        </w:rPr>
        <w:t>average</w:t>
      </w:r>
      <w:r w:rsidRPr="734759F7">
        <w:rPr>
          <w:i/>
          <w:iCs/>
          <w:color w:val="000000" w:themeColor="text1"/>
          <w:sz w:val="20"/>
          <w:szCs w:val="20"/>
        </w:rPr>
        <w:t xml:space="preserve"> wage for “All Occupations” of $</w:t>
      </w:r>
      <w:r w:rsidRPr="734759F7" w:rsidR="5A879CCE">
        <w:rPr>
          <w:i/>
          <w:iCs/>
          <w:color w:val="000000" w:themeColor="text1"/>
          <w:sz w:val="20"/>
          <w:szCs w:val="20"/>
        </w:rPr>
        <w:t>32.66</w:t>
      </w:r>
      <w:r w:rsidRPr="734759F7">
        <w:rPr>
          <w:i/>
          <w:iCs/>
          <w:color w:val="000000" w:themeColor="text1"/>
          <w:sz w:val="20"/>
          <w:szCs w:val="20"/>
        </w:rPr>
        <w:t xml:space="preserve"> times the wage rate benefit multiplier of 1.4</w:t>
      </w:r>
      <w:r w:rsidRPr="734759F7" w:rsidR="29ECA9AA">
        <w:rPr>
          <w:i/>
          <w:iCs/>
          <w:color w:val="000000" w:themeColor="text1"/>
          <w:sz w:val="20"/>
          <w:szCs w:val="20"/>
        </w:rPr>
        <w:t>514</w:t>
      </w:r>
      <w:r w:rsidRPr="734759F7">
        <w:rPr>
          <w:i/>
          <w:iCs/>
          <w:color w:val="000000" w:themeColor="text1"/>
          <w:sz w:val="20"/>
          <w:szCs w:val="20"/>
        </w:rPr>
        <w:t xml:space="preserve"> (to account for fringe benefits) equaling $</w:t>
      </w:r>
      <w:r w:rsidRPr="734759F7" w:rsidR="232264B1">
        <w:rPr>
          <w:i/>
          <w:iCs/>
          <w:color w:val="000000" w:themeColor="text1"/>
          <w:sz w:val="20"/>
          <w:szCs w:val="20"/>
        </w:rPr>
        <w:t>47.40</w:t>
      </w:r>
      <w:r w:rsidRPr="734759F7">
        <w:rPr>
          <w:i/>
          <w:iCs/>
          <w:color w:val="000000" w:themeColor="text1"/>
          <w:sz w:val="20"/>
          <w:szCs w:val="20"/>
        </w:rPr>
        <w:t>.  The selection of “All Occupations” (for example) was chosen as the expected respondents for this collection could be expected to be from any occupation.</w:t>
      </w:r>
    </w:p>
    <w:p w:rsidR="346A701C" w:rsidP="734759F7" w14:paraId="2B3D467A" w14:textId="36FED9E8">
      <w:pPr>
        <w:rPr>
          <w:i/>
          <w:iCs/>
          <w:color w:val="000000" w:themeColor="text1"/>
          <w:sz w:val="20"/>
          <w:szCs w:val="20"/>
        </w:rPr>
      </w:pPr>
    </w:p>
    <w:p w:rsidR="00B128D9" w:rsidP="00F861A5" w14:paraId="3473D65F"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7A3D58" w:rsidRPr="006219E1" w:rsidP="007A3D58" w14:paraId="6E86A647" w14:textId="77777777">
      <w:pPr>
        <w:tabs>
          <w:tab w:val="left" w:pos="-720"/>
        </w:tabs>
        <w:suppressAutoHyphens/>
        <w:contextualSpacing/>
      </w:pPr>
      <w:r w:rsidRPr="006219E1">
        <w:t xml:space="preserve">There are no recordkeeping, capital, start-up, or maintenance costs associated with this information collection.   </w:t>
      </w:r>
    </w:p>
    <w:p w:rsidR="00FE5661" w:rsidP="00FE5661" w14:paraId="6F5AFD9A" w14:textId="77777777">
      <w:pPr>
        <w:tabs>
          <w:tab w:val="left" w:pos="-720"/>
        </w:tabs>
        <w:suppressAutoHyphens/>
        <w:contextualSpacing/>
      </w:pPr>
    </w:p>
    <w:p w:rsidR="00EB5E96" w:rsidRPr="00596A43" w:rsidP="36D8B24C" w14:paraId="2EEF9409" w14:textId="7387F43C">
      <w:pPr>
        <w:suppressAutoHyphens/>
        <w:jc w:val="both"/>
      </w:pPr>
      <w:r>
        <w:t>14</w:t>
      </w:r>
      <w:r>
        <w:t>.  Provide</w:t>
      </w:r>
      <w:r>
        <w:t xml:space="preserv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w:t>
      </w:r>
      <w:r w:rsidR="008924F0">
        <w:t>expense</w:t>
      </w:r>
      <w:r w:rsidR="008924F0">
        <w:t xml:space="preserve"> that would have been incurred without this collection of information.   </w:t>
      </w:r>
      <w:r>
        <w:t xml:space="preserve">You may also aggregate cost estimates for Items 12, 13, and 14 in a single table.  </w:t>
      </w:r>
    </w:p>
    <w:p w:rsidR="00EB5E96" w:rsidRPr="00596A43" w:rsidP="000C4293" w14:paraId="380EE401" w14:textId="77777777">
      <w:pPr>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06F4B26E" w:rsidP="75179C26" w14:paraId="47AF8035" w14:textId="428D4E1D">
      <w:pPr>
        <w:jc w:val="both"/>
        <w:rPr>
          <w:color w:val="000000" w:themeColor="text1"/>
        </w:rPr>
      </w:pPr>
      <w:r w:rsidRPr="734759F7">
        <w:rPr>
          <w:color w:val="000000" w:themeColor="text1"/>
        </w:rPr>
        <w:t xml:space="preserve">Based on internal </w:t>
      </w:r>
      <w:r w:rsidRPr="734759F7">
        <w:rPr>
          <w:color w:val="000000" w:themeColor="text1"/>
        </w:rPr>
        <w:t>review</w:t>
      </w:r>
      <w:r w:rsidRPr="734759F7">
        <w:rPr>
          <w:color w:val="000000" w:themeColor="text1"/>
        </w:rPr>
        <w:t xml:space="preserve">, </w:t>
      </w:r>
      <w:r w:rsidRPr="734759F7" w:rsidR="5F3C8AC9">
        <w:rPr>
          <w:color w:val="000000" w:themeColor="text1"/>
        </w:rPr>
        <w:t>OCSO</w:t>
      </w:r>
      <w:r w:rsidRPr="734759F7">
        <w:rPr>
          <w:color w:val="000000" w:themeColor="text1"/>
        </w:rPr>
        <w:t xml:space="preserve"> personnel estimate that it takes approximately 10 minutes per request to process each Visitor Request form for a GS-13 Step-5. The hourly basic rate for the Washington, DC locality was obtained according to General Schedule (GS) for the Washington </w:t>
      </w:r>
      <w:r w:rsidRPr="734759F7">
        <w:rPr>
          <w:color w:val="000000" w:themeColor="text1"/>
        </w:rPr>
        <w:t>DC area</w:t>
      </w:r>
      <w:r w:rsidRPr="734759F7" w:rsidR="0F81EC48">
        <w:rPr>
          <w:color w:val="000000" w:themeColor="text1"/>
        </w:rPr>
        <w:t>.</w:t>
      </w:r>
      <w:r w:rsidRPr="734759F7">
        <w:rPr>
          <w:color w:val="000000" w:themeColor="text1"/>
        </w:rPr>
        <w:t xml:space="preserve"> .</w:t>
      </w:r>
      <w:r w:rsidRPr="734759F7">
        <w:rPr>
          <w:color w:val="000000" w:themeColor="text1"/>
        </w:rPr>
        <w:t xml:space="preserve"> For a GS-13 Step-5, the hourly wage rate </w:t>
      </w:r>
      <w:r w:rsidRPr="734759F7" w:rsidR="4FBCFBD0">
        <w:rPr>
          <w:color w:val="000000" w:themeColor="text1"/>
        </w:rPr>
        <w:t>is</w:t>
      </w:r>
      <w:r w:rsidRPr="734759F7">
        <w:rPr>
          <w:color w:val="000000" w:themeColor="text1"/>
        </w:rPr>
        <w:t xml:space="preserve"> $</w:t>
      </w:r>
      <w:r w:rsidRPr="734759F7" w:rsidR="764D50A6">
        <w:rPr>
          <w:color w:val="000000" w:themeColor="text1"/>
        </w:rPr>
        <w:t>65</w:t>
      </w:r>
      <w:r w:rsidRPr="734759F7">
        <w:rPr>
          <w:color w:val="000000" w:themeColor="text1"/>
        </w:rPr>
        <w:t>.48</w:t>
      </w:r>
      <w:r>
        <w:rPr>
          <w:rStyle w:val="FootnoteReference"/>
          <w:color w:val="000000" w:themeColor="text1"/>
        </w:rPr>
        <w:footnoteReference w:id="3"/>
      </w:r>
      <w:r w:rsidRPr="734759F7" w:rsidR="67780485">
        <w:rPr>
          <w:color w:val="000000" w:themeColor="text1"/>
        </w:rPr>
        <w:t>, w</w:t>
      </w:r>
      <w:r w:rsidRPr="734759F7" w:rsidR="40FE47D5">
        <w:rPr>
          <w:color w:val="000000" w:themeColor="text1"/>
        </w:rPr>
        <w:t>hich is multiplied by the load factor of 1.6792.</w:t>
      </w:r>
      <w:r w:rsidRPr="734759F7" w:rsidR="7FD7FB8E">
        <w:rPr>
          <w:color w:val="000000" w:themeColor="text1"/>
        </w:rPr>
        <w:t xml:space="preserve"> The load factor of 1.6792 is estimated by dividing average total compensation for all levels of education in Table 2-3 ($75.90) by average wages for all levels of education in Table 2-1 ($45.20), from the Congressional Budget Office publication Comparing the Compensation of Federal and Private-Sector Employees in 2022.</w:t>
      </w:r>
      <w:r>
        <w:rPr>
          <w:rStyle w:val="FootnoteReference"/>
          <w:color w:val="000000" w:themeColor="text1"/>
        </w:rPr>
        <w:footnoteReference w:id="4"/>
      </w:r>
      <w:r w:rsidRPr="734759F7" w:rsidR="7FD7FB8E">
        <w:rPr>
          <w:color w:val="000000" w:themeColor="text1"/>
        </w:rPr>
        <w:t xml:space="preserve"> </w:t>
      </w:r>
      <w:r w:rsidRPr="734759F7">
        <w:rPr>
          <w:color w:val="000000" w:themeColor="text1"/>
        </w:rPr>
        <w:t xml:space="preserve">The fully loaded wage rate using a </w:t>
      </w:r>
      <w:r w:rsidRPr="734759F7" w:rsidR="1C0F2F31">
        <w:rPr>
          <w:color w:val="000000" w:themeColor="text1"/>
        </w:rPr>
        <w:t>1.6792</w:t>
      </w:r>
      <w:r w:rsidRPr="734759F7">
        <w:rPr>
          <w:color w:val="000000" w:themeColor="text1"/>
        </w:rPr>
        <w:t xml:space="preserve"> multiplier is calculated as $</w:t>
      </w:r>
      <w:r w:rsidRPr="734759F7" w:rsidR="0D0D37A2">
        <w:rPr>
          <w:color w:val="000000" w:themeColor="text1"/>
        </w:rPr>
        <w:t>109.95</w:t>
      </w:r>
      <w:r w:rsidRPr="734759F7">
        <w:rPr>
          <w:color w:val="000000" w:themeColor="text1"/>
        </w:rPr>
        <w:t>.</w:t>
      </w:r>
    </w:p>
    <w:p w:rsidR="06F4B26E" w:rsidP="75179C26" w14:paraId="041F78E7" w14:textId="17D5D46F">
      <w:pPr>
        <w:jc w:val="both"/>
      </w:pPr>
      <w:r w:rsidRPr="75179C26">
        <w:rPr>
          <w:color w:val="000000" w:themeColor="text1"/>
        </w:rPr>
        <w:t xml:space="preserve"> </w:t>
      </w:r>
    </w:p>
    <w:p w:rsidR="06F4B26E" w:rsidP="75179C26" w14:paraId="33B87AF8" w14:textId="364FD9F3">
      <w:pPr>
        <w:jc w:val="both"/>
      </w:pPr>
      <w:r w:rsidRPr="75179C26">
        <w:rPr>
          <w:color w:val="000000" w:themeColor="text1"/>
        </w:rPr>
        <w:t xml:space="preserve">For the GS-13 Step-5, with 20,000 respondents annually processing the Visitor Request form x 10 minutes for design and administration = 3,333 hours. </w:t>
      </w:r>
    </w:p>
    <w:p w:rsidR="06F4B26E" w:rsidP="75179C26" w14:paraId="16CAEF75" w14:textId="3747BED3">
      <w:pPr>
        <w:jc w:val="both"/>
      </w:pPr>
      <w:r w:rsidRPr="75179C26">
        <w:rPr>
          <w:color w:val="000000" w:themeColor="text1"/>
        </w:rPr>
        <w:t xml:space="preserve"> </w:t>
      </w:r>
    </w:p>
    <w:p w:rsidR="06F4B26E" w:rsidP="75179C26" w14:paraId="2ABA19FF" w14:textId="4587C2F1">
      <w:pPr>
        <w:jc w:val="both"/>
        <w:rPr>
          <w:color w:val="000000" w:themeColor="text1"/>
        </w:rPr>
      </w:pPr>
      <w:r w:rsidRPr="734759F7">
        <w:rPr>
          <w:color w:val="000000" w:themeColor="text1"/>
        </w:rPr>
        <w:t>GS-13 Step 5: 3,333 x $</w:t>
      </w:r>
      <w:r w:rsidRPr="734759F7" w:rsidR="2213EA8A">
        <w:rPr>
          <w:color w:val="000000" w:themeColor="text1"/>
        </w:rPr>
        <w:t>109.95</w:t>
      </w:r>
      <w:r w:rsidRPr="734759F7">
        <w:rPr>
          <w:color w:val="000000" w:themeColor="text1"/>
        </w:rPr>
        <w:t>= $</w:t>
      </w:r>
      <w:r w:rsidRPr="734759F7" w:rsidR="258F1D14">
        <w:rPr>
          <w:color w:val="000000" w:themeColor="text1"/>
        </w:rPr>
        <w:t>366,514.16.</w:t>
      </w:r>
    </w:p>
    <w:p w:rsidR="06F4B26E" w:rsidP="75179C26" w14:paraId="32024916" w14:textId="4B13A079">
      <w:pPr>
        <w:jc w:val="both"/>
      </w:pPr>
      <w:r w:rsidRPr="75179C26">
        <w:rPr>
          <w:color w:val="000000" w:themeColor="text1"/>
        </w:rPr>
        <w:t xml:space="preserve"> </w:t>
      </w:r>
    </w:p>
    <w:p w:rsidR="06F4B26E" w:rsidP="75179C26" w14:paraId="7C3FBEF9" w14:textId="044E669B">
      <w:pPr>
        <w:jc w:val="both"/>
        <w:rPr>
          <w:b/>
          <w:bCs/>
        </w:rPr>
      </w:pPr>
      <w:r w:rsidRPr="734759F7">
        <w:rPr>
          <w:b/>
          <w:bCs/>
          <w:color w:val="000000" w:themeColor="text1"/>
        </w:rPr>
        <w:t xml:space="preserve">Total Cost to the Government </w:t>
      </w:r>
      <w:r w:rsidRPr="734759F7">
        <w:rPr>
          <w:color w:val="000000" w:themeColor="text1"/>
        </w:rPr>
        <w:t xml:space="preserve">= </w:t>
      </w:r>
      <w:r w:rsidRPr="734759F7">
        <w:rPr>
          <w:b/>
          <w:bCs/>
        </w:rPr>
        <w:t>$</w:t>
      </w:r>
      <w:r w:rsidRPr="734759F7" w:rsidR="68D041D2">
        <w:rPr>
          <w:b/>
          <w:bCs/>
        </w:rPr>
        <w:t>366,514.16</w:t>
      </w:r>
    </w:p>
    <w:p w:rsidR="75179C26" w:rsidP="75179C26" w14:paraId="130295C5" w14:textId="33A9A842">
      <w:pPr>
        <w:jc w:val="both"/>
        <w:rPr>
          <w:i/>
          <w:iCs/>
          <w:sz w:val="20"/>
          <w:szCs w:val="20"/>
        </w:rPr>
      </w:pPr>
    </w:p>
    <w:p w:rsidR="75179C26" w:rsidP="75179C26" w14:paraId="05370D64" w14:textId="78E21BD6">
      <w:pPr>
        <w:jc w:val="both"/>
      </w:pPr>
    </w:p>
    <w:tbl>
      <w:tblPr>
        <w:tblW w:w="9335" w:type="dxa"/>
        <w:tblInd w:w="105" w:type="dxa"/>
        <w:tblLayout w:type="fixed"/>
        <w:tblLook w:val="01E0"/>
      </w:tblPr>
      <w:tblGrid>
        <w:gridCol w:w="1595"/>
        <w:gridCol w:w="1080"/>
        <w:gridCol w:w="1710"/>
        <w:gridCol w:w="1350"/>
        <w:gridCol w:w="1890"/>
        <w:gridCol w:w="1710"/>
      </w:tblGrid>
      <w:tr w14:paraId="76877968" w14:textId="77777777" w:rsidTr="000C52C4">
        <w:tblPrEx>
          <w:tblW w:w="9335" w:type="dxa"/>
          <w:tblInd w:w="105" w:type="dxa"/>
          <w:tblLayout w:type="fixed"/>
          <w:tblLook w:val="01E0"/>
        </w:tblPrEx>
        <w:trPr>
          <w:trHeight w:val="300"/>
        </w:trPr>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501FD261" w14:textId="2E0CA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5179C26">
              <w:t>Cost Category</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60DA434C" w14:textId="1FAA4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Hours per</w:t>
            </w:r>
          </w:p>
          <w:p w:rsidR="75179C26" w:rsidP="75179C26" w14:paraId="64DA355F" w14:textId="5D951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Report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747A3DB4" w14:textId="61DBB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Number of</w:t>
            </w:r>
          </w:p>
          <w:p w:rsidR="75179C26" w:rsidP="75179C26" w14:paraId="2D0E0259" w14:textId="3E41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Reports</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04AE53DD" w14:textId="36A1B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Total</w:t>
            </w:r>
          </w:p>
          <w:p w:rsidR="75179C26" w:rsidP="75179C26" w14:paraId="03A05F2B" w14:textId="3E390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Annual</w:t>
            </w:r>
          </w:p>
          <w:p w:rsidR="75179C26" w:rsidP="75179C26" w14:paraId="167D0A04" w14:textId="04634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Burden</w:t>
            </w:r>
          </w:p>
          <w:p w:rsidR="75179C26" w:rsidP="75179C26" w14:paraId="3F80265B" w14:textId="00A9B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(in hours)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26B1A969" w14:textId="1D22F9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Average Hourly Wage Rate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7C255AF1" w14:textId="346D8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Total</w:t>
            </w:r>
          </w:p>
          <w:p w:rsidR="75179C26" w:rsidP="75179C26" w14:paraId="0302DAA5" w14:textId="5A9A7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t>Annual Cost</w:t>
            </w:r>
          </w:p>
        </w:tc>
      </w:tr>
      <w:tr w14:paraId="25BC3D18" w14:textId="77777777" w:rsidTr="000C52C4">
        <w:tblPrEx>
          <w:tblW w:w="9335" w:type="dxa"/>
          <w:tblInd w:w="105" w:type="dxa"/>
          <w:tblLayout w:type="fixed"/>
          <w:tblLook w:val="01E0"/>
        </w:tblPrEx>
        <w:trPr>
          <w:trHeight w:val="300"/>
        </w:trPr>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31D2CF49" w14:textId="7C3B8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5179C26">
              <w:t>GS-13, Step 5, or equivalent</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34759F7" w14:paraId="5803CB71" w14:textId="4CB0B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734759F7">
              <w:rPr>
                <w:color w:val="000000" w:themeColor="text1"/>
              </w:rPr>
              <w:t>0.1667</w:t>
            </w:r>
            <w:r w:rsidRPr="734759F7" w:rsidR="24F06F0F">
              <w:rPr>
                <w:color w:val="000000" w:themeColor="text1"/>
              </w:rPr>
              <w:t xml:space="preserve"> (10 minutes)</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2B3C412E" w14:textId="2D3E4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20,000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218E5A9E" w14:textId="1FAB3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3,333</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34759F7" w14:paraId="39D607D0" w14:textId="4EC2E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734759F7">
              <w:rPr>
                <w:color w:val="000000" w:themeColor="text1"/>
              </w:rPr>
              <w:t>$</w:t>
            </w:r>
            <w:r w:rsidRPr="734759F7" w:rsidR="2A737D39">
              <w:rPr>
                <w:color w:val="000000" w:themeColor="text1"/>
              </w:rPr>
              <w:t>109.95</w:t>
            </w:r>
            <w:r>
              <w:br/>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34759F7" w14:paraId="410BD9DE" w14:textId="2722D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734759F7">
              <w:rPr>
                <w:color w:val="000000" w:themeColor="text1"/>
              </w:rPr>
              <w:t>$</w:t>
            </w:r>
            <w:r w:rsidRPr="734759F7" w:rsidR="1209858A">
              <w:rPr>
                <w:color w:val="000000" w:themeColor="text1"/>
              </w:rPr>
              <w:t>366,514.16</w:t>
            </w:r>
            <w:r>
              <w:br/>
            </w:r>
          </w:p>
        </w:tc>
      </w:tr>
      <w:tr w14:paraId="6EFA177B" w14:textId="77777777" w:rsidTr="000C52C4">
        <w:tblPrEx>
          <w:tblW w:w="9335" w:type="dxa"/>
          <w:tblInd w:w="105" w:type="dxa"/>
          <w:tblLayout w:type="fixed"/>
          <w:tblLook w:val="01E0"/>
        </w:tblPrEx>
        <w:trPr>
          <w:trHeight w:val="300"/>
        </w:trPr>
        <w:tc>
          <w:tcPr>
            <w:tcW w:w="1595" w:type="dxa"/>
            <w:tcBorders>
              <w:top w:val="single" w:sz="8" w:space="0" w:color="auto"/>
              <w:left w:val="single" w:sz="8" w:space="0" w:color="auto"/>
              <w:bottom w:val="single" w:sz="8" w:space="0" w:color="auto"/>
              <w:right w:val="single" w:sz="8" w:space="0" w:color="auto"/>
            </w:tcBorders>
            <w:tcMar>
              <w:left w:w="108" w:type="dxa"/>
              <w:right w:w="108" w:type="dxa"/>
            </w:tcMar>
          </w:tcPr>
          <w:p w:rsidR="75179C26" w:rsidP="75179C26" w14:paraId="6EE6DC76" w14:textId="6431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5179C26">
              <w:t>Total</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26CEC067" w14:textId="76106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11C33018" w14:textId="03DDA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 xml:space="preserve">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1141AF35" w14:textId="669B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 xml:space="preserve"> </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75179C26" w14:paraId="6300B0B4" w14:textId="57BCE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5179C26">
              <w:rPr>
                <w:color w:val="000000" w:themeColor="text1"/>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5179C26" w:rsidP="6843DE87" w14:paraId="6642D350" w14:textId="370D6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rPr>
            </w:pPr>
            <w:r w:rsidRPr="6843DE87">
              <w:rPr>
                <w:color w:val="000000" w:themeColor="text1"/>
              </w:rPr>
              <w:t>$</w:t>
            </w:r>
            <w:r w:rsidRPr="6843DE87" w:rsidR="7E1788FE">
              <w:rPr>
                <w:color w:val="000000" w:themeColor="text1"/>
              </w:rPr>
              <w:t>366,514.16</w:t>
            </w:r>
          </w:p>
        </w:tc>
      </w:tr>
    </w:tbl>
    <w:p w:rsidR="75179C26" w:rsidP="75179C26" w14:paraId="5EE8342A" w14:textId="457C228C">
      <w:pPr>
        <w:jc w:val="both"/>
      </w:pPr>
    </w:p>
    <w:p w:rsidR="75179C26" w:rsidP="75179C26" w14:paraId="6030FC7B" w14:textId="75A80279">
      <w:pPr>
        <w:jc w:val="both"/>
      </w:pPr>
    </w:p>
    <w:p w:rsidR="75179C26" w:rsidP="75179C26" w14:paraId="360C1455" w14:textId="791D660B">
      <w:pPr>
        <w:jc w:val="both"/>
      </w:pPr>
    </w:p>
    <w:p w:rsidR="75179C26" w:rsidP="75179C26" w14:paraId="353910F6" w14:textId="6CEEB491">
      <w:pPr>
        <w:jc w:val="both"/>
      </w:pPr>
    </w:p>
    <w:p w:rsidR="00EB5E96" w:rsidRPr="000D0877" w:rsidP="000C4293" w14:paraId="6141C989" w14:textId="77777777">
      <w:pPr>
        <w:shd w:val="pct25" w:color="auto" w:fill="auto"/>
        <w:tabs>
          <w:tab w:val="left" w:pos="-720"/>
        </w:tabs>
        <w:suppressAutoHyphens/>
        <w:jc w:val="both"/>
      </w:pPr>
      <w:r w:rsidRPr="000D0877">
        <w:rPr>
          <w:color w:val="2B579A"/>
          <w:shd w:val="clear" w:color="auto" w:fill="E6E6E6"/>
        </w:rPr>
        <w:fldChar w:fldCharType="begin"/>
      </w:r>
      <w:r w:rsidRPr="000D0877">
        <w:instrText>ADVANCE \R 0.95</w:instrText>
      </w:r>
      <w:r w:rsidRPr="000D0877">
        <w:rPr>
          <w:color w:val="2B579A"/>
          <w:shd w:val="clear" w:color="auto" w:fill="E6E6E6"/>
        </w:rPr>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rsidRPr="000D0877">
        <w:t>controllable</w:t>
      </w:r>
      <w:r w:rsidRPr="000D0877">
        <w:t xml:space="preserve"> by the Federal government are recorded as adjustments. </w:t>
      </w:r>
    </w:p>
    <w:p w:rsidR="00EB5E96" w:rsidRPr="00FE5661" w:rsidP="000C4293" w14:paraId="33DD84A8" w14:textId="77777777">
      <w:pPr>
        <w:tabs>
          <w:tab w:val="left" w:pos="-720"/>
        </w:tabs>
        <w:suppressAutoHyphens/>
        <w:jc w:val="both"/>
        <w:rPr>
          <w:highlight w:val="yellow"/>
        </w:rPr>
      </w:pPr>
      <w:r w:rsidRPr="75179C26">
        <w:rPr>
          <w:color w:val="2B579A"/>
          <w:highlight w:val="yellow"/>
          <w:shd w:val="clear" w:color="auto" w:fill="E6E6E6"/>
        </w:rPr>
        <w:fldChar w:fldCharType="begin"/>
      </w:r>
      <w:r w:rsidRPr="75179C26">
        <w:rPr>
          <w:highlight w:val="yellow"/>
        </w:rPr>
        <w:instrText>ADVANCE \R 0.95</w:instrText>
      </w:r>
      <w:r w:rsidRPr="75179C26">
        <w:rPr>
          <w:color w:val="2B579A"/>
          <w:highlight w:val="yellow"/>
          <w:shd w:val="clear" w:color="auto" w:fill="E6E6E6"/>
        </w:rPr>
        <w:fldChar w:fldCharType="end"/>
      </w:r>
    </w:p>
    <w:p w:rsidR="00EB5E96" w:rsidP="75179C26" w14:paraId="6A2C1737" w14:textId="39C2C865">
      <w:pPr>
        <w:suppressAutoHyphens/>
        <w:jc w:val="both"/>
      </w:pPr>
      <w:r>
        <w:t xml:space="preserve">There are no changes to the scope of the clearance.  The burden calculations were updated to </w:t>
      </w:r>
      <w:r w:rsidR="095A6C43">
        <w:t>reflect increased wage rates and revised load factors.</w:t>
      </w:r>
    </w:p>
    <w:p w:rsidR="00EB5E96" w:rsidP="75179C26" w14:paraId="0F865934" w14:textId="06A714AD">
      <w:pPr>
        <w:suppressAutoHyphens/>
        <w:jc w:val="both"/>
      </w:pPr>
    </w:p>
    <w:p w:rsidR="00EB5E96" w:rsidP="75179C26" w14:paraId="0A5DCB6C" w14:textId="75219D7F">
      <w:pPr>
        <w:suppressAutoHyphens/>
        <w:jc w:val="both"/>
        <w:rPr>
          <w:spacing w:val="-3"/>
        </w:rPr>
      </w:pPr>
    </w:p>
    <w:p w:rsidR="00A57406" w:rsidP="000C4293" w14:paraId="25A40919" w14:textId="20FDD695">
      <w:pPr>
        <w:tabs>
          <w:tab w:val="left" w:pos="-720"/>
        </w:tabs>
        <w:suppressAutoHyphens/>
        <w:jc w:val="both"/>
        <w:rPr>
          <w:spacing w:val="-3"/>
        </w:rPr>
      </w:pPr>
    </w:p>
    <w:p w:rsidR="00EB5E96" w:rsidRPr="00596A43" w:rsidP="000C4293" w14:paraId="4B519A5E"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16</w:t>
      </w:r>
      <w:r w:rsidRPr="00596A43">
        <w:t>.  For</w:t>
      </w:r>
      <w:r w:rsidRPr="00596A43">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1042B11D" w:rsidP="75179C26" w14:paraId="20582A34" w14:textId="44AD0AE7">
      <w:pPr>
        <w:jc w:val="both"/>
      </w:pPr>
      <w:r w:rsidRPr="75179C26">
        <w:t>CISA does not intend to employ the use of statistics or the publication thereof for this information collection.</w:t>
      </w:r>
    </w:p>
    <w:p w:rsidR="75179C26" w:rsidP="75179C26" w14:paraId="4AD1235D" w14:textId="23B72214">
      <w:pPr>
        <w:jc w:val="both"/>
      </w:pPr>
    </w:p>
    <w:p w:rsidR="00A57406" w:rsidP="000C4293" w14:paraId="7DCDFE34" w14:textId="629E1BA8">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17</w:t>
      </w:r>
      <w:r w:rsidRPr="00596A43">
        <w:t>.  If</w:t>
      </w:r>
      <w:r w:rsidRPr="00596A43">
        <w:t xml:space="preserve">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Pr>
          <w:color w:val="2B579A"/>
          <w:shd w:val="clear" w:color="auto" w:fill="E6E6E6"/>
        </w:rPr>
        <w:fldChar w:fldCharType="begin"/>
      </w:r>
      <w:r>
        <w:instrText>ADVANCE \R 0.95</w:instrText>
      </w:r>
      <w:r>
        <w:rPr>
          <w:color w:val="2B579A"/>
          <w:shd w:val="clear" w:color="auto" w:fill="E6E6E6"/>
        </w:rPr>
        <w:fldChar w:fldCharType="end"/>
      </w:r>
    </w:p>
    <w:p w:rsidR="7250807E" w:rsidP="75179C26" w14:paraId="6F0513CA" w14:textId="49BCB458">
      <w:pPr>
        <w:jc w:val="both"/>
      </w:pPr>
      <w:r w:rsidRPr="75179C26">
        <w:t>CISA will display the expiration date for OMB approval of this information collection.</w:t>
      </w:r>
    </w:p>
    <w:p w:rsidR="75179C26" w:rsidP="75179C26" w14:paraId="268FBDF0" w14:textId="22D8F07E">
      <w:pPr>
        <w:jc w:val="both"/>
      </w:pPr>
    </w:p>
    <w:p w:rsidR="0077056F" w:rsidRPr="00596A43" w:rsidP="75179C26" w14:paraId="62727DFE" w14:textId="2B19BFDD">
      <w:pPr>
        <w:suppressAutoHyphens/>
        <w:jc w:val="both"/>
      </w:pPr>
      <w:r>
        <w:rPr>
          <w:color w:val="2B579A"/>
          <w:shd w:val="clear" w:color="auto" w:fill="E6E6E6"/>
        </w:rPr>
        <w:fldChar w:fldCharType="begin"/>
      </w:r>
      <w:r>
        <w:instrText>ADVANCE \R 0.95</w:instrText>
      </w:r>
      <w:r>
        <w:rPr>
          <w:color w:val="2B579A"/>
          <w:shd w:val="clear" w:color="auto" w:fill="E6E6E6"/>
        </w:rPr>
        <w:fldChar w:fldCharType="end"/>
      </w:r>
      <w:r>
        <w:t>18.  Explain each exception to the certification statement identified in Item 19 “Certification for Paperwork Reduction Act Submissions,” of OMB Form 83-I.</w:t>
      </w:r>
    </w:p>
    <w:p w:rsidR="75179C26" w:rsidP="75179C26" w14:paraId="5AB62744" w14:textId="00D1BE75">
      <w:pPr>
        <w:jc w:val="both"/>
      </w:pPr>
    </w:p>
    <w:p w:rsidR="5D5C547A" w:rsidP="75179C26" w14:paraId="470AA853" w14:textId="51E28905">
      <w:pPr>
        <w:jc w:val="both"/>
      </w:pPr>
      <w:r>
        <w:t xml:space="preserve">CISA does not request an exception to the certification of this information collection. </w:t>
      </w:r>
    </w:p>
    <w:p w:rsidR="75179C26" w:rsidP="75179C26" w14:paraId="61AE2B4F" w14:textId="1393A240">
      <w:pPr>
        <w:jc w:val="both"/>
      </w:pPr>
    </w:p>
    <w:sectPr w:rsidSect="00460234">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5B9" w14:paraId="59F47C13" w14:textId="77777777">
      <w:r>
        <w:separator/>
      </w:r>
    </w:p>
  </w:footnote>
  <w:footnote w:type="continuationSeparator" w:id="1">
    <w:p w:rsidR="005B25B9" w14:paraId="6C947515" w14:textId="77777777">
      <w:r>
        <w:continuationSeparator/>
      </w:r>
    </w:p>
  </w:footnote>
  <w:footnote w:type="continuationNotice" w:id="2">
    <w:p w:rsidR="005B25B9" w14:paraId="7A7656C3" w14:textId="77777777"/>
  </w:footnote>
  <w:footnote w:id="3">
    <w:p w:rsidR="734759F7" w:rsidP="00C15CD0" w14:paraId="644D2464" w14:textId="7D0349BD">
      <w:pPr>
        <w:pStyle w:val="FootnoteText"/>
        <w:rPr>
          <w:rStyle w:val="Hyperlink"/>
        </w:rPr>
      </w:pPr>
      <w:r w:rsidRPr="734759F7">
        <w:rPr>
          <w:rStyle w:val="FootnoteReference"/>
        </w:rPr>
        <w:footnoteRef/>
      </w:r>
      <w:r>
        <w:t>https://www.opm.gov/policy-data-oversight/pay-leave/salaries-wages/salary-tables/25Tables/html/DCB_h.aspx</w:t>
      </w:r>
    </w:p>
  </w:footnote>
  <w:footnote w:id="4">
    <w:p w:rsidR="734759F7" w:rsidP="00C15CD0" w14:paraId="11E534D9" w14:textId="75D1BAC5">
      <w:pPr>
        <w:pStyle w:val="FootnoteText"/>
      </w:pPr>
      <w:r w:rsidRPr="734759F7">
        <w:rPr>
          <w:rStyle w:val="FootnoteReference"/>
        </w:rPr>
        <w:footnoteRef/>
      </w:r>
      <w:r>
        <w:t xml:space="preserve"> Congressional Budget Office. Comparing the Compensation of Federal and Private-Sector Employees in 2022. April 2024. https://www.cbo.gov/publication/59970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069578503">
    <w:abstractNumId w:val="6"/>
  </w:num>
  <w:num w:numId="2" w16cid:durableId="281814959">
    <w:abstractNumId w:val="19"/>
  </w:num>
  <w:num w:numId="3" w16cid:durableId="138765378">
    <w:abstractNumId w:val="22"/>
  </w:num>
  <w:num w:numId="4" w16cid:durableId="809907496">
    <w:abstractNumId w:val="11"/>
  </w:num>
  <w:num w:numId="5" w16cid:durableId="1571235477">
    <w:abstractNumId w:val="14"/>
  </w:num>
  <w:num w:numId="6" w16cid:durableId="1026297283">
    <w:abstractNumId w:val="20"/>
  </w:num>
  <w:num w:numId="7" w16cid:durableId="1384402679">
    <w:abstractNumId w:val="21"/>
  </w:num>
  <w:num w:numId="8" w16cid:durableId="851994611">
    <w:abstractNumId w:val="16"/>
  </w:num>
  <w:num w:numId="9" w16cid:durableId="1451129157">
    <w:abstractNumId w:val="8"/>
  </w:num>
  <w:num w:numId="10" w16cid:durableId="1148281217">
    <w:abstractNumId w:val="25"/>
  </w:num>
  <w:num w:numId="11" w16cid:durableId="2054691401">
    <w:abstractNumId w:val="13"/>
  </w:num>
  <w:num w:numId="12" w16cid:durableId="2100562122">
    <w:abstractNumId w:val="7"/>
  </w:num>
  <w:num w:numId="13" w16cid:durableId="956568699">
    <w:abstractNumId w:val="26"/>
  </w:num>
  <w:num w:numId="14" w16cid:durableId="1270430285">
    <w:abstractNumId w:val="5"/>
  </w:num>
  <w:num w:numId="15" w16cid:durableId="2044549465">
    <w:abstractNumId w:val="15"/>
  </w:num>
  <w:num w:numId="16" w16cid:durableId="1636528068">
    <w:abstractNumId w:val="10"/>
  </w:num>
  <w:num w:numId="17" w16cid:durableId="1854108703">
    <w:abstractNumId w:val="24"/>
  </w:num>
  <w:num w:numId="18" w16cid:durableId="69790046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899434505">
    <w:abstractNumId w:val="18"/>
  </w:num>
  <w:num w:numId="20" w16cid:durableId="1681195777">
    <w:abstractNumId w:val="23"/>
  </w:num>
  <w:num w:numId="21" w16cid:durableId="93407539">
    <w:abstractNumId w:val="17"/>
  </w:num>
  <w:num w:numId="22" w16cid:durableId="1252353871">
    <w:abstractNumId w:val="12"/>
  </w:num>
  <w:num w:numId="23" w16cid:durableId="651716113">
    <w:abstractNumId w:val="3"/>
  </w:num>
  <w:num w:numId="24" w16cid:durableId="228539683">
    <w:abstractNumId w:val="2"/>
  </w:num>
  <w:num w:numId="25" w16cid:durableId="648051304">
    <w:abstractNumId w:val="1"/>
  </w:num>
  <w:num w:numId="26" w16cid:durableId="920258840">
    <w:abstractNumId w:val="4"/>
  </w:num>
  <w:num w:numId="27" w16cid:durableId="1475483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319C5"/>
    <w:rsid w:val="00031ED5"/>
    <w:rsid w:val="000335C8"/>
    <w:rsid w:val="00042924"/>
    <w:rsid w:val="00046AE5"/>
    <w:rsid w:val="00047173"/>
    <w:rsid w:val="00051FDA"/>
    <w:rsid w:val="00053802"/>
    <w:rsid w:val="000667AD"/>
    <w:rsid w:val="00076EF2"/>
    <w:rsid w:val="0009313B"/>
    <w:rsid w:val="000963AA"/>
    <w:rsid w:val="000A4358"/>
    <w:rsid w:val="000A4447"/>
    <w:rsid w:val="000A6FC5"/>
    <w:rsid w:val="000B399B"/>
    <w:rsid w:val="000B6F89"/>
    <w:rsid w:val="000C4293"/>
    <w:rsid w:val="000C52C4"/>
    <w:rsid w:val="000C584E"/>
    <w:rsid w:val="000D0877"/>
    <w:rsid w:val="000D2074"/>
    <w:rsid w:val="000D26F2"/>
    <w:rsid w:val="000E7B5C"/>
    <w:rsid w:val="0010054B"/>
    <w:rsid w:val="00102458"/>
    <w:rsid w:val="001137C6"/>
    <w:rsid w:val="001305EB"/>
    <w:rsid w:val="001335DE"/>
    <w:rsid w:val="00134135"/>
    <w:rsid w:val="001408DE"/>
    <w:rsid w:val="00141549"/>
    <w:rsid w:val="00141C5C"/>
    <w:rsid w:val="0015593C"/>
    <w:rsid w:val="001621BF"/>
    <w:rsid w:val="00191158"/>
    <w:rsid w:val="00194A62"/>
    <w:rsid w:val="001973BE"/>
    <w:rsid w:val="00197B49"/>
    <w:rsid w:val="001A199D"/>
    <w:rsid w:val="001A2C95"/>
    <w:rsid w:val="001A32FD"/>
    <w:rsid w:val="001B2714"/>
    <w:rsid w:val="001B4B32"/>
    <w:rsid w:val="001B6DF0"/>
    <w:rsid w:val="001C1229"/>
    <w:rsid w:val="001C18B1"/>
    <w:rsid w:val="001C4B22"/>
    <w:rsid w:val="001C4CC1"/>
    <w:rsid w:val="001D7DDB"/>
    <w:rsid w:val="001E25FC"/>
    <w:rsid w:val="001E7997"/>
    <w:rsid w:val="001F652F"/>
    <w:rsid w:val="002030D4"/>
    <w:rsid w:val="00203848"/>
    <w:rsid w:val="00205739"/>
    <w:rsid w:val="00222489"/>
    <w:rsid w:val="0022399E"/>
    <w:rsid w:val="0022626A"/>
    <w:rsid w:val="00232278"/>
    <w:rsid w:val="0023349F"/>
    <w:rsid w:val="00235123"/>
    <w:rsid w:val="002366B4"/>
    <w:rsid w:val="00237711"/>
    <w:rsid w:val="00242E76"/>
    <w:rsid w:val="002451D9"/>
    <w:rsid w:val="00251725"/>
    <w:rsid w:val="00252E0E"/>
    <w:rsid w:val="002578EC"/>
    <w:rsid w:val="00264251"/>
    <w:rsid w:val="00264743"/>
    <w:rsid w:val="0026788F"/>
    <w:rsid w:val="002720FF"/>
    <w:rsid w:val="00272CF0"/>
    <w:rsid w:val="002840AB"/>
    <w:rsid w:val="0029007F"/>
    <w:rsid w:val="002900C5"/>
    <w:rsid w:val="00290AAB"/>
    <w:rsid w:val="00292D20"/>
    <w:rsid w:val="00297C37"/>
    <w:rsid w:val="002A2BD0"/>
    <w:rsid w:val="002A7031"/>
    <w:rsid w:val="002B0649"/>
    <w:rsid w:val="002B1834"/>
    <w:rsid w:val="002B4BF6"/>
    <w:rsid w:val="002C05B0"/>
    <w:rsid w:val="002D6219"/>
    <w:rsid w:val="002D65E3"/>
    <w:rsid w:val="002F105D"/>
    <w:rsid w:val="002F2A01"/>
    <w:rsid w:val="002F2BC7"/>
    <w:rsid w:val="002F49E0"/>
    <w:rsid w:val="002F5FDA"/>
    <w:rsid w:val="003157EA"/>
    <w:rsid w:val="003162DD"/>
    <w:rsid w:val="00320E95"/>
    <w:rsid w:val="00323CBE"/>
    <w:rsid w:val="00333D1E"/>
    <w:rsid w:val="00341049"/>
    <w:rsid w:val="0034148A"/>
    <w:rsid w:val="00350700"/>
    <w:rsid w:val="00360B5A"/>
    <w:rsid w:val="00364EE8"/>
    <w:rsid w:val="00373177"/>
    <w:rsid w:val="0037322A"/>
    <w:rsid w:val="00377D10"/>
    <w:rsid w:val="00381F93"/>
    <w:rsid w:val="00383A50"/>
    <w:rsid w:val="0039325E"/>
    <w:rsid w:val="00394081"/>
    <w:rsid w:val="003A221C"/>
    <w:rsid w:val="003A3B94"/>
    <w:rsid w:val="003A4655"/>
    <w:rsid w:val="003A5759"/>
    <w:rsid w:val="003B1406"/>
    <w:rsid w:val="003B1574"/>
    <w:rsid w:val="003B5E20"/>
    <w:rsid w:val="003B68FA"/>
    <w:rsid w:val="003B6BC6"/>
    <w:rsid w:val="003C4DEC"/>
    <w:rsid w:val="003D2D93"/>
    <w:rsid w:val="003D446C"/>
    <w:rsid w:val="003D64C9"/>
    <w:rsid w:val="003E0D23"/>
    <w:rsid w:val="003E2CC1"/>
    <w:rsid w:val="003E4418"/>
    <w:rsid w:val="003E6DD8"/>
    <w:rsid w:val="003F056D"/>
    <w:rsid w:val="003F0E07"/>
    <w:rsid w:val="003F2C89"/>
    <w:rsid w:val="003F3F6D"/>
    <w:rsid w:val="003F55CA"/>
    <w:rsid w:val="003F638D"/>
    <w:rsid w:val="00405F8C"/>
    <w:rsid w:val="004076BD"/>
    <w:rsid w:val="00413E8E"/>
    <w:rsid w:val="00447C3A"/>
    <w:rsid w:val="00460234"/>
    <w:rsid w:val="00462C47"/>
    <w:rsid w:val="004669F4"/>
    <w:rsid w:val="00481FDC"/>
    <w:rsid w:val="00482F9B"/>
    <w:rsid w:val="00484A9D"/>
    <w:rsid w:val="004A0DE6"/>
    <w:rsid w:val="004A29B9"/>
    <w:rsid w:val="004A42B4"/>
    <w:rsid w:val="004A5AE1"/>
    <w:rsid w:val="004B62D9"/>
    <w:rsid w:val="004C21F8"/>
    <w:rsid w:val="004C5DDB"/>
    <w:rsid w:val="004C73D5"/>
    <w:rsid w:val="004D4AE0"/>
    <w:rsid w:val="004F19C6"/>
    <w:rsid w:val="00502D04"/>
    <w:rsid w:val="00503C69"/>
    <w:rsid w:val="00507A4E"/>
    <w:rsid w:val="0051005D"/>
    <w:rsid w:val="00513942"/>
    <w:rsid w:val="005169E2"/>
    <w:rsid w:val="005202D4"/>
    <w:rsid w:val="0053371C"/>
    <w:rsid w:val="005416F5"/>
    <w:rsid w:val="005420D3"/>
    <w:rsid w:val="00546CE1"/>
    <w:rsid w:val="00547C5C"/>
    <w:rsid w:val="00550B78"/>
    <w:rsid w:val="00573B59"/>
    <w:rsid w:val="00580711"/>
    <w:rsid w:val="005817B5"/>
    <w:rsid w:val="00582F4C"/>
    <w:rsid w:val="00590524"/>
    <w:rsid w:val="00590F3E"/>
    <w:rsid w:val="005924FE"/>
    <w:rsid w:val="00596A43"/>
    <w:rsid w:val="005A0C14"/>
    <w:rsid w:val="005A30A6"/>
    <w:rsid w:val="005A6190"/>
    <w:rsid w:val="005B25B9"/>
    <w:rsid w:val="005C3DCA"/>
    <w:rsid w:val="005C472E"/>
    <w:rsid w:val="005C7058"/>
    <w:rsid w:val="005D0717"/>
    <w:rsid w:val="005D0E97"/>
    <w:rsid w:val="005D6EC2"/>
    <w:rsid w:val="005D7769"/>
    <w:rsid w:val="005D781B"/>
    <w:rsid w:val="005E49F3"/>
    <w:rsid w:val="005E50D5"/>
    <w:rsid w:val="005E5F0E"/>
    <w:rsid w:val="006102A3"/>
    <w:rsid w:val="006145D1"/>
    <w:rsid w:val="00615DFD"/>
    <w:rsid w:val="006219E1"/>
    <w:rsid w:val="00625391"/>
    <w:rsid w:val="006357F6"/>
    <w:rsid w:val="00636364"/>
    <w:rsid w:val="006416B7"/>
    <w:rsid w:val="00650EB1"/>
    <w:rsid w:val="00654C9F"/>
    <w:rsid w:val="00657687"/>
    <w:rsid w:val="006651B2"/>
    <w:rsid w:val="00670988"/>
    <w:rsid w:val="006749D4"/>
    <w:rsid w:val="006805F2"/>
    <w:rsid w:val="0068258B"/>
    <w:rsid w:val="00694793"/>
    <w:rsid w:val="006A0B1C"/>
    <w:rsid w:val="006A6C89"/>
    <w:rsid w:val="006A7FF1"/>
    <w:rsid w:val="006B4994"/>
    <w:rsid w:val="006B5146"/>
    <w:rsid w:val="006B56B1"/>
    <w:rsid w:val="006D0E62"/>
    <w:rsid w:val="006D5CCE"/>
    <w:rsid w:val="006D5EB7"/>
    <w:rsid w:val="006D785E"/>
    <w:rsid w:val="006E32D9"/>
    <w:rsid w:val="006E4F17"/>
    <w:rsid w:val="006F55BF"/>
    <w:rsid w:val="006F75B8"/>
    <w:rsid w:val="00701D16"/>
    <w:rsid w:val="00711F7D"/>
    <w:rsid w:val="00712A0B"/>
    <w:rsid w:val="007247FF"/>
    <w:rsid w:val="007277A8"/>
    <w:rsid w:val="00741B83"/>
    <w:rsid w:val="00742F2D"/>
    <w:rsid w:val="007443F3"/>
    <w:rsid w:val="00752D76"/>
    <w:rsid w:val="0075772E"/>
    <w:rsid w:val="00760399"/>
    <w:rsid w:val="00762809"/>
    <w:rsid w:val="0077056F"/>
    <w:rsid w:val="00775631"/>
    <w:rsid w:val="007761BC"/>
    <w:rsid w:val="00784B44"/>
    <w:rsid w:val="00785A9A"/>
    <w:rsid w:val="007967F0"/>
    <w:rsid w:val="00796AB1"/>
    <w:rsid w:val="007979FA"/>
    <w:rsid w:val="007A3D58"/>
    <w:rsid w:val="007A66B5"/>
    <w:rsid w:val="007B5D9D"/>
    <w:rsid w:val="007C0E87"/>
    <w:rsid w:val="007C190A"/>
    <w:rsid w:val="007C3B0D"/>
    <w:rsid w:val="007D0399"/>
    <w:rsid w:val="007D6212"/>
    <w:rsid w:val="007F1267"/>
    <w:rsid w:val="007F61EC"/>
    <w:rsid w:val="007F79EE"/>
    <w:rsid w:val="00804556"/>
    <w:rsid w:val="008211CC"/>
    <w:rsid w:val="00824585"/>
    <w:rsid w:val="008350A1"/>
    <w:rsid w:val="00835B42"/>
    <w:rsid w:val="00837A56"/>
    <w:rsid w:val="00840338"/>
    <w:rsid w:val="008419A6"/>
    <w:rsid w:val="0084685B"/>
    <w:rsid w:val="008500FB"/>
    <w:rsid w:val="00851BF1"/>
    <w:rsid w:val="0085645B"/>
    <w:rsid w:val="008571DF"/>
    <w:rsid w:val="00869F19"/>
    <w:rsid w:val="008719E8"/>
    <w:rsid w:val="008724DE"/>
    <w:rsid w:val="00875586"/>
    <w:rsid w:val="00877753"/>
    <w:rsid w:val="008804CB"/>
    <w:rsid w:val="0088374F"/>
    <w:rsid w:val="00887178"/>
    <w:rsid w:val="008924F0"/>
    <w:rsid w:val="0089711A"/>
    <w:rsid w:val="008A165F"/>
    <w:rsid w:val="008A221D"/>
    <w:rsid w:val="008A380B"/>
    <w:rsid w:val="008A698A"/>
    <w:rsid w:val="008B380B"/>
    <w:rsid w:val="008B38A9"/>
    <w:rsid w:val="008B4728"/>
    <w:rsid w:val="008B6F0E"/>
    <w:rsid w:val="008B7403"/>
    <w:rsid w:val="008B7F2B"/>
    <w:rsid w:val="008C27C3"/>
    <w:rsid w:val="008C293E"/>
    <w:rsid w:val="008D5A33"/>
    <w:rsid w:val="008D61ED"/>
    <w:rsid w:val="008D744F"/>
    <w:rsid w:val="008E0659"/>
    <w:rsid w:val="008E2061"/>
    <w:rsid w:val="008E4152"/>
    <w:rsid w:val="008E5DC4"/>
    <w:rsid w:val="008F2EE2"/>
    <w:rsid w:val="008F2F44"/>
    <w:rsid w:val="008F5FC2"/>
    <w:rsid w:val="00913A27"/>
    <w:rsid w:val="0091750F"/>
    <w:rsid w:val="00917BAF"/>
    <w:rsid w:val="009224A1"/>
    <w:rsid w:val="00924C84"/>
    <w:rsid w:val="009314CF"/>
    <w:rsid w:val="0093542A"/>
    <w:rsid w:val="009361D5"/>
    <w:rsid w:val="009369F2"/>
    <w:rsid w:val="00942617"/>
    <w:rsid w:val="009434E0"/>
    <w:rsid w:val="0094389A"/>
    <w:rsid w:val="00944494"/>
    <w:rsid w:val="00945106"/>
    <w:rsid w:val="00946B58"/>
    <w:rsid w:val="009501B2"/>
    <w:rsid w:val="009539A8"/>
    <w:rsid w:val="00953CAE"/>
    <w:rsid w:val="00954901"/>
    <w:rsid w:val="00954D7C"/>
    <w:rsid w:val="00956B3E"/>
    <w:rsid w:val="00961FD6"/>
    <w:rsid w:val="0096453F"/>
    <w:rsid w:val="00965F04"/>
    <w:rsid w:val="0096736F"/>
    <w:rsid w:val="0097514C"/>
    <w:rsid w:val="00987EC2"/>
    <w:rsid w:val="00993095"/>
    <w:rsid w:val="00993801"/>
    <w:rsid w:val="00993F06"/>
    <w:rsid w:val="00995211"/>
    <w:rsid w:val="009A7B24"/>
    <w:rsid w:val="009B4A68"/>
    <w:rsid w:val="009C4719"/>
    <w:rsid w:val="009D0EDC"/>
    <w:rsid w:val="009F06EB"/>
    <w:rsid w:val="009F2056"/>
    <w:rsid w:val="009F25F0"/>
    <w:rsid w:val="009F5E5D"/>
    <w:rsid w:val="00A00007"/>
    <w:rsid w:val="00A0781B"/>
    <w:rsid w:val="00A2037D"/>
    <w:rsid w:val="00A42A18"/>
    <w:rsid w:val="00A42E47"/>
    <w:rsid w:val="00A476E8"/>
    <w:rsid w:val="00A54F30"/>
    <w:rsid w:val="00A57406"/>
    <w:rsid w:val="00A67CAA"/>
    <w:rsid w:val="00A75AF7"/>
    <w:rsid w:val="00A85317"/>
    <w:rsid w:val="00AA09F9"/>
    <w:rsid w:val="00AA3F82"/>
    <w:rsid w:val="00AA6813"/>
    <w:rsid w:val="00AB5A92"/>
    <w:rsid w:val="00AC14B6"/>
    <w:rsid w:val="00AC215C"/>
    <w:rsid w:val="00AC2315"/>
    <w:rsid w:val="00AD45BF"/>
    <w:rsid w:val="00AE0D1F"/>
    <w:rsid w:val="00AE2606"/>
    <w:rsid w:val="00AE41B7"/>
    <w:rsid w:val="00AF4918"/>
    <w:rsid w:val="00AF61CB"/>
    <w:rsid w:val="00AF71FB"/>
    <w:rsid w:val="00B02152"/>
    <w:rsid w:val="00B109D4"/>
    <w:rsid w:val="00B128D9"/>
    <w:rsid w:val="00B139CF"/>
    <w:rsid w:val="00B14CE7"/>
    <w:rsid w:val="00B17D05"/>
    <w:rsid w:val="00B23792"/>
    <w:rsid w:val="00B24910"/>
    <w:rsid w:val="00B31B75"/>
    <w:rsid w:val="00B35A9A"/>
    <w:rsid w:val="00B376BA"/>
    <w:rsid w:val="00B410FE"/>
    <w:rsid w:val="00B51142"/>
    <w:rsid w:val="00B52CA2"/>
    <w:rsid w:val="00B57157"/>
    <w:rsid w:val="00B67664"/>
    <w:rsid w:val="00B75D1C"/>
    <w:rsid w:val="00B83D4C"/>
    <w:rsid w:val="00B91395"/>
    <w:rsid w:val="00BA11D1"/>
    <w:rsid w:val="00BA1948"/>
    <w:rsid w:val="00BA2768"/>
    <w:rsid w:val="00BB5DC8"/>
    <w:rsid w:val="00BC0228"/>
    <w:rsid w:val="00BC37FD"/>
    <w:rsid w:val="00BC4542"/>
    <w:rsid w:val="00BD1AE6"/>
    <w:rsid w:val="00BE3542"/>
    <w:rsid w:val="00BE387A"/>
    <w:rsid w:val="00BE4B9B"/>
    <w:rsid w:val="00BF1853"/>
    <w:rsid w:val="00C10ACB"/>
    <w:rsid w:val="00C15CD0"/>
    <w:rsid w:val="00C234A4"/>
    <w:rsid w:val="00C3419E"/>
    <w:rsid w:val="00C40A7F"/>
    <w:rsid w:val="00C443A2"/>
    <w:rsid w:val="00C458E1"/>
    <w:rsid w:val="00C520DC"/>
    <w:rsid w:val="00C6068E"/>
    <w:rsid w:val="00C75797"/>
    <w:rsid w:val="00C77539"/>
    <w:rsid w:val="00C77C49"/>
    <w:rsid w:val="00C77FCC"/>
    <w:rsid w:val="00C860B7"/>
    <w:rsid w:val="00CA3099"/>
    <w:rsid w:val="00CA51E1"/>
    <w:rsid w:val="00CA7204"/>
    <w:rsid w:val="00CA7AF8"/>
    <w:rsid w:val="00CB5356"/>
    <w:rsid w:val="00CB6507"/>
    <w:rsid w:val="00CC096F"/>
    <w:rsid w:val="00CC2508"/>
    <w:rsid w:val="00CC4A43"/>
    <w:rsid w:val="00CD2DFE"/>
    <w:rsid w:val="00CD466A"/>
    <w:rsid w:val="00CE3D0D"/>
    <w:rsid w:val="00CE45F2"/>
    <w:rsid w:val="00CF45CF"/>
    <w:rsid w:val="00CF4AA7"/>
    <w:rsid w:val="00D04C05"/>
    <w:rsid w:val="00D12532"/>
    <w:rsid w:val="00D219B0"/>
    <w:rsid w:val="00D24551"/>
    <w:rsid w:val="00D24E50"/>
    <w:rsid w:val="00D253AC"/>
    <w:rsid w:val="00D27628"/>
    <w:rsid w:val="00D3411B"/>
    <w:rsid w:val="00D363AB"/>
    <w:rsid w:val="00D450C8"/>
    <w:rsid w:val="00D45F04"/>
    <w:rsid w:val="00D5640C"/>
    <w:rsid w:val="00D6268A"/>
    <w:rsid w:val="00D73BBC"/>
    <w:rsid w:val="00D74AB2"/>
    <w:rsid w:val="00D93841"/>
    <w:rsid w:val="00D94254"/>
    <w:rsid w:val="00D97EE0"/>
    <w:rsid w:val="00DA0968"/>
    <w:rsid w:val="00DB0392"/>
    <w:rsid w:val="00DB0532"/>
    <w:rsid w:val="00DB6BCE"/>
    <w:rsid w:val="00DB6F30"/>
    <w:rsid w:val="00DC6E79"/>
    <w:rsid w:val="00DD300E"/>
    <w:rsid w:val="00DD6682"/>
    <w:rsid w:val="00DE10DB"/>
    <w:rsid w:val="00E12104"/>
    <w:rsid w:val="00E151DA"/>
    <w:rsid w:val="00E15F2E"/>
    <w:rsid w:val="00E17198"/>
    <w:rsid w:val="00E2481E"/>
    <w:rsid w:val="00E476EF"/>
    <w:rsid w:val="00E534D7"/>
    <w:rsid w:val="00E56E74"/>
    <w:rsid w:val="00E626CA"/>
    <w:rsid w:val="00E70205"/>
    <w:rsid w:val="00E77073"/>
    <w:rsid w:val="00EB28E0"/>
    <w:rsid w:val="00EB5E96"/>
    <w:rsid w:val="00EC2392"/>
    <w:rsid w:val="00EC4234"/>
    <w:rsid w:val="00EE29AA"/>
    <w:rsid w:val="00EE5272"/>
    <w:rsid w:val="00EF73D7"/>
    <w:rsid w:val="00F049F5"/>
    <w:rsid w:val="00F05802"/>
    <w:rsid w:val="00F13234"/>
    <w:rsid w:val="00F320FD"/>
    <w:rsid w:val="00F33B1A"/>
    <w:rsid w:val="00F34864"/>
    <w:rsid w:val="00F37F32"/>
    <w:rsid w:val="00F415B7"/>
    <w:rsid w:val="00F4411A"/>
    <w:rsid w:val="00F46C6F"/>
    <w:rsid w:val="00F55C02"/>
    <w:rsid w:val="00F7152E"/>
    <w:rsid w:val="00F72C2C"/>
    <w:rsid w:val="00F750A3"/>
    <w:rsid w:val="00F861A5"/>
    <w:rsid w:val="00F92107"/>
    <w:rsid w:val="00F930EE"/>
    <w:rsid w:val="00FC472E"/>
    <w:rsid w:val="00FC7086"/>
    <w:rsid w:val="00FD0EF8"/>
    <w:rsid w:val="00FD2846"/>
    <w:rsid w:val="00FD3AB4"/>
    <w:rsid w:val="00FE5661"/>
    <w:rsid w:val="00FE5940"/>
    <w:rsid w:val="00FF02DE"/>
    <w:rsid w:val="00FF1073"/>
    <w:rsid w:val="00FF201F"/>
    <w:rsid w:val="00FF39AE"/>
    <w:rsid w:val="00FF5DDF"/>
    <w:rsid w:val="01499801"/>
    <w:rsid w:val="01B1C8BF"/>
    <w:rsid w:val="01C89D42"/>
    <w:rsid w:val="01F00C3E"/>
    <w:rsid w:val="02009370"/>
    <w:rsid w:val="0213A496"/>
    <w:rsid w:val="02282A60"/>
    <w:rsid w:val="02723BE3"/>
    <w:rsid w:val="028FE2D8"/>
    <w:rsid w:val="02CB8165"/>
    <w:rsid w:val="031D6544"/>
    <w:rsid w:val="0332A23C"/>
    <w:rsid w:val="03E11756"/>
    <w:rsid w:val="03F69B3B"/>
    <w:rsid w:val="040E5B4E"/>
    <w:rsid w:val="045CA9E3"/>
    <w:rsid w:val="04B334AE"/>
    <w:rsid w:val="04EAF03C"/>
    <w:rsid w:val="0556F107"/>
    <w:rsid w:val="0563636E"/>
    <w:rsid w:val="056E9DAB"/>
    <w:rsid w:val="05765C5D"/>
    <w:rsid w:val="0594D225"/>
    <w:rsid w:val="05B8B4A8"/>
    <w:rsid w:val="060B3D6D"/>
    <w:rsid w:val="0652FD35"/>
    <w:rsid w:val="06F4B26E"/>
    <w:rsid w:val="071A81FC"/>
    <w:rsid w:val="07DF4E1E"/>
    <w:rsid w:val="07E23588"/>
    <w:rsid w:val="0843A897"/>
    <w:rsid w:val="0881A4B3"/>
    <w:rsid w:val="08E0D8FB"/>
    <w:rsid w:val="094A1AA3"/>
    <w:rsid w:val="095A6C43"/>
    <w:rsid w:val="0A7BA6E3"/>
    <w:rsid w:val="0B612648"/>
    <w:rsid w:val="0B6B9123"/>
    <w:rsid w:val="0BEF876A"/>
    <w:rsid w:val="0C9AB54D"/>
    <w:rsid w:val="0CA33C73"/>
    <w:rsid w:val="0D0D37A2"/>
    <w:rsid w:val="0D33FD09"/>
    <w:rsid w:val="0D5083D5"/>
    <w:rsid w:val="0D920D79"/>
    <w:rsid w:val="0DA20448"/>
    <w:rsid w:val="0DE5F213"/>
    <w:rsid w:val="0E4C58F1"/>
    <w:rsid w:val="0E72FB48"/>
    <w:rsid w:val="0E7C9E37"/>
    <w:rsid w:val="0E973628"/>
    <w:rsid w:val="0EE3EE77"/>
    <w:rsid w:val="0F0D9161"/>
    <w:rsid w:val="0F81EC48"/>
    <w:rsid w:val="1042B11D"/>
    <w:rsid w:val="10748B78"/>
    <w:rsid w:val="107E3C6D"/>
    <w:rsid w:val="109EAB70"/>
    <w:rsid w:val="10CDAE10"/>
    <w:rsid w:val="10FF53BB"/>
    <w:rsid w:val="11412D93"/>
    <w:rsid w:val="1209858A"/>
    <w:rsid w:val="12A3CC36"/>
    <w:rsid w:val="12DFFA3F"/>
    <w:rsid w:val="134FC642"/>
    <w:rsid w:val="14B34D37"/>
    <w:rsid w:val="14B6BD94"/>
    <w:rsid w:val="152A19EA"/>
    <w:rsid w:val="1693F9C8"/>
    <w:rsid w:val="16C72A43"/>
    <w:rsid w:val="172848C9"/>
    <w:rsid w:val="174D9CF4"/>
    <w:rsid w:val="17731C59"/>
    <w:rsid w:val="1788AF2E"/>
    <w:rsid w:val="17DEA3EC"/>
    <w:rsid w:val="1846934B"/>
    <w:rsid w:val="184B7ECE"/>
    <w:rsid w:val="19F28B90"/>
    <w:rsid w:val="1A57AFDC"/>
    <w:rsid w:val="1A9EC6DC"/>
    <w:rsid w:val="1AE2F69F"/>
    <w:rsid w:val="1B72EB67"/>
    <w:rsid w:val="1B8EA447"/>
    <w:rsid w:val="1BB28273"/>
    <w:rsid w:val="1C0F2F31"/>
    <w:rsid w:val="1D13C28B"/>
    <w:rsid w:val="1D21CA04"/>
    <w:rsid w:val="1D2506C9"/>
    <w:rsid w:val="1D6F4C92"/>
    <w:rsid w:val="1DB44FD1"/>
    <w:rsid w:val="1DBC7E70"/>
    <w:rsid w:val="1EBB663B"/>
    <w:rsid w:val="1ECCD3C4"/>
    <w:rsid w:val="1EF8CACE"/>
    <w:rsid w:val="1F9FC231"/>
    <w:rsid w:val="1FBCB073"/>
    <w:rsid w:val="201EF263"/>
    <w:rsid w:val="2032D09E"/>
    <w:rsid w:val="2032DD53"/>
    <w:rsid w:val="206F8AE8"/>
    <w:rsid w:val="213FE7D0"/>
    <w:rsid w:val="219FB5BB"/>
    <w:rsid w:val="21CED6D2"/>
    <w:rsid w:val="21EC0386"/>
    <w:rsid w:val="2213EA8A"/>
    <w:rsid w:val="230F2303"/>
    <w:rsid w:val="231F3954"/>
    <w:rsid w:val="232264B1"/>
    <w:rsid w:val="23519FD6"/>
    <w:rsid w:val="23C9CA1C"/>
    <w:rsid w:val="244515D0"/>
    <w:rsid w:val="246DE01D"/>
    <w:rsid w:val="249B4A01"/>
    <w:rsid w:val="24D92789"/>
    <w:rsid w:val="24DF5675"/>
    <w:rsid w:val="24F06F0F"/>
    <w:rsid w:val="24F1B88E"/>
    <w:rsid w:val="2506D617"/>
    <w:rsid w:val="258F1D14"/>
    <w:rsid w:val="25F17385"/>
    <w:rsid w:val="2654C26E"/>
    <w:rsid w:val="26A68857"/>
    <w:rsid w:val="26CCF14C"/>
    <w:rsid w:val="26FF7B65"/>
    <w:rsid w:val="270E5240"/>
    <w:rsid w:val="27362323"/>
    <w:rsid w:val="281A2906"/>
    <w:rsid w:val="286D72BA"/>
    <w:rsid w:val="2939396E"/>
    <w:rsid w:val="29ECA9AA"/>
    <w:rsid w:val="2A427CC3"/>
    <w:rsid w:val="2A737D39"/>
    <w:rsid w:val="2AB514ED"/>
    <w:rsid w:val="2B20B318"/>
    <w:rsid w:val="2B456443"/>
    <w:rsid w:val="2B8E66E9"/>
    <w:rsid w:val="2C0CFEBD"/>
    <w:rsid w:val="2C6ADD75"/>
    <w:rsid w:val="2CA7484E"/>
    <w:rsid w:val="2CC5145B"/>
    <w:rsid w:val="2D0C20FD"/>
    <w:rsid w:val="2D51155E"/>
    <w:rsid w:val="2DD529EA"/>
    <w:rsid w:val="2DECB5C5"/>
    <w:rsid w:val="2E1219DF"/>
    <w:rsid w:val="2EA49C33"/>
    <w:rsid w:val="2ED0E7B1"/>
    <w:rsid w:val="2F061DD8"/>
    <w:rsid w:val="2F0C40F8"/>
    <w:rsid w:val="2F5D7B75"/>
    <w:rsid w:val="2F854074"/>
    <w:rsid w:val="2FBF0416"/>
    <w:rsid w:val="2FCD582F"/>
    <w:rsid w:val="2FD49C9C"/>
    <w:rsid w:val="2FF5503A"/>
    <w:rsid w:val="300106EE"/>
    <w:rsid w:val="30425666"/>
    <w:rsid w:val="3049D3F5"/>
    <w:rsid w:val="30CA4D54"/>
    <w:rsid w:val="30DB9C8A"/>
    <w:rsid w:val="3111D8CE"/>
    <w:rsid w:val="312CC2AB"/>
    <w:rsid w:val="315D57AC"/>
    <w:rsid w:val="31A38493"/>
    <w:rsid w:val="31C432CE"/>
    <w:rsid w:val="31FAB68C"/>
    <w:rsid w:val="325B096F"/>
    <w:rsid w:val="325C2108"/>
    <w:rsid w:val="32ABDEA8"/>
    <w:rsid w:val="32CE0950"/>
    <w:rsid w:val="32D68D9F"/>
    <w:rsid w:val="33C47F74"/>
    <w:rsid w:val="34605DF6"/>
    <w:rsid w:val="346A701C"/>
    <w:rsid w:val="34AE98C9"/>
    <w:rsid w:val="34B3F6C0"/>
    <w:rsid w:val="35223109"/>
    <w:rsid w:val="353A4C2D"/>
    <w:rsid w:val="35BF2F5E"/>
    <w:rsid w:val="364700D9"/>
    <w:rsid w:val="36927174"/>
    <w:rsid w:val="36AB215A"/>
    <w:rsid w:val="36BAB52D"/>
    <w:rsid w:val="36D8B24C"/>
    <w:rsid w:val="36DB0828"/>
    <w:rsid w:val="36F3B109"/>
    <w:rsid w:val="36FFC215"/>
    <w:rsid w:val="37040509"/>
    <w:rsid w:val="374B8731"/>
    <w:rsid w:val="375B7CDB"/>
    <w:rsid w:val="37AD56D5"/>
    <w:rsid w:val="37CF10B9"/>
    <w:rsid w:val="382F6C6C"/>
    <w:rsid w:val="38F9E996"/>
    <w:rsid w:val="396B66DA"/>
    <w:rsid w:val="398755B2"/>
    <w:rsid w:val="39A5F1A8"/>
    <w:rsid w:val="39B00C30"/>
    <w:rsid w:val="3A410A64"/>
    <w:rsid w:val="3AEE1B59"/>
    <w:rsid w:val="3B2FC542"/>
    <w:rsid w:val="3BDBAE13"/>
    <w:rsid w:val="3C0E755D"/>
    <w:rsid w:val="3C26ACB6"/>
    <w:rsid w:val="3C51958B"/>
    <w:rsid w:val="3CA7679B"/>
    <w:rsid w:val="3CC2D407"/>
    <w:rsid w:val="3D791CEB"/>
    <w:rsid w:val="3D943B74"/>
    <w:rsid w:val="3DE199FD"/>
    <w:rsid w:val="3E1C3732"/>
    <w:rsid w:val="3E4458F2"/>
    <w:rsid w:val="3E520951"/>
    <w:rsid w:val="3EF9A51E"/>
    <w:rsid w:val="3F4942AB"/>
    <w:rsid w:val="3F85DD83"/>
    <w:rsid w:val="3FD03410"/>
    <w:rsid w:val="401CD571"/>
    <w:rsid w:val="40480A44"/>
    <w:rsid w:val="40FE47D5"/>
    <w:rsid w:val="4100BE02"/>
    <w:rsid w:val="4119E94E"/>
    <w:rsid w:val="412BA773"/>
    <w:rsid w:val="4180A687"/>
    <w:rsid w:val="41899ED2"/>
    <w:rsid w:val="41947DEC"/>
    <w:rsid w:val="41DFF72C"/>
    <w:rsid w:val="4205D0B7"/>
    <w:rsid w:val="42572774"/>
    <w:rsid w:val="4282BE15"/>
    <w:rsid w:val="42CDC0CA"/>
    <w:rsid w:val="433EC6A3"/>
    <w:rsid w:val="4380E6DB"/>
    <w:rsid w:val="43F30B7C"/>
    <w:rsid w:val="442EE7FA"/>
    <w:rsid w:val="4438E79F"/>
    <w:rsid w:val="44394CA8"/>
    <w:rsid w:val="443A0C63"/>
    <w:rsid w:val="44958B46"/>
    <w:rsid w:val="4607D1DF"/>
    <w:rsid w:val="465641B5"/>
    <w:rsid w:val="46D20991"/>
    <w:rsid w:val="46DC9554"/>
    <w:rsid w:val="47AEE9B8"/>
    <w:rsid w:val="47D6486D"/>
    <w:rsid w:val="47EBE912"/>
    <w:rsid w:val="482533A6"/>
    <w:rsid w:val="48BD51C4"/>
    <w:rsid w:val="490944D3"/>
    <w:rsid w:val="49B1F9AB"/>
    <w:rsid w:val="49C02D74"/>
    <w:rsid w:val="4A2E645E"/>
    <w:rsid w:val="4AC9E25C"/>
    <w:rsid w:val="4AF2A5BA"/>
    <w:rsid w:val="4B10308F"/>
    <w:rsid w:val="4B718927"/>
    <w:rsid w:val="4BE85FC6"/>
    <w:rsid w:val="4C108B7E"/>
    <w:rsid w:val="4C2A5CB2"/>
    <w:rsid w:val="4C4F4E65"/>
    <w:rsid w:val="4C91BD9A"/>
    <w:rsid w:val="4D1310B8"/>
    <w:rsid w:val="4D770E5B"/>
    <w:rsid w:val="4DEED291"/>
    <w:rsid w:val="4F5A8992"/>
    <w:rsid w:val="4F8F422C"/>
    <w:rsid w:val="4FBCFBD0"/>
    <w:rsid w:val="500B7EE6"/>
    <w:rsid w:val="505708E4"/>
    <w:rsid w:val="51092495"/>
    <w:rsid w:val="5132CBD9"/>
    <w:rsid w:val="51993F14"/>
    <w:rsid w:val="521CAEAD"/>
    <w:rsid w:val="521CCBBC"/>
    <w:rsid w:val="52298EAA"/>
    <w:rsid w:val="5231E9B8"/>
    <w:rsid w:val="532A46AA"/>
    <w:rsid w:val="5333331C"/>
    <w:rsid w:val="538596D5"/>
    <w:rsid w:val="543BE30D"/>
    <w:rsid w:val="5458C32A"/>
    <w:rsid w:val="54D5A96E"/>
    <w:rsid w:val="55080FC5"/>
    <w:rsid w:val="555089D4"/>
    <w:rsid w:val="55610532"/>
    <w:rsid w:val="56784FA2"/>
    <w:rsid w:val="57339342"/>
    <w:rsid w:val="573655FA"/>
    <w:rsid w:val="573E65A4"/>
    <w:rsid w:val="57607B0D"/>
    <w:rsid w:val="58275F18"/>
    <w:rsid w:val="59175A28"/>
    <w:rsid w:val="59507FB7"/>
    <w:rsid w:val="59AF1AAE"/>
    <w:rsid w:val="59B3760F"/>
    <w:rsid w:val="5A879CCE"/>
    <w:rsid w:val="5ACCAC77"/>
    <w:rsid w:val="5B526113"/>
    <w:rsid w:val="5B5FD451"/>
    <w:rsid w:val="5B63E22A"/>
    <w:rsid w:val="5B88B060"/>
    <w:rsid w:val="5CCA46F8"/>
    <w:rsid w:val="5D49B348"/>
    <w:rsid w:val="5D4CC56D"/>
    <w:rsid w:val="5D5C547A"/>
    <w:rsid w:val="5E2E3DFD"/>
    <w:rsid w:val="5F359256"/>
    <w:rsid w:val="5F3C8AC9"/>
    <w:rsid w:val="6004B184"/>
    <w:rsid w:val="6068292B"/>
    <w:rsid w:val="6083EDBF"/>
    <w:rsid w:val="6110B792"/>
    <w:rsid w:val="6183DE2D"/>
    <w:rsid w:val="61DE2A42"/>
    <w:rsid w:val="620145FD"/>
    <w:rsid w:val="622C05F9"/>
    <w:rsid w:val="62628B5A"/>
    <w:rsid w:val="629CC351"/>
    <w:rsid w:val="63A05BCD"/>
    <w:rsid w:val="63B516BF"/>
    <w:rsid w:val="63E5DAEB"/>
    <w:rsid w:val="641786BA"/>
    <w:rsid w:val="643DDD3D"/>
    <w:rsid w:val="64C5B4A1"/>
    <w:rsid w:val="6500B5C0"/>
    <w:rsid w:val="655DC276"/>
    <w:rsid w:val="656CDD30"/>
    <w:rsid w:val="667448A6"/>
    <w:rsid w:val="669E8490"/>
    <w:rsid w:val="66B0607E"/>
    <w:rsid w:val="67780485"/>
    <w:rsid w:val="67B9D6EC"/>
    <w:rsid w:val="67F1094F"/>
    <w:rsid w:val="680A0A1B"/>
    <w:rsid w:val="68435368"/>
    <w:rsid w:val="6843DE87"/>
    <w:rsid w:val="68703A44"/>
    <w:rsid w:val="6894D9BC"/>
    <w:rsid w:val="68D041D2"/>
    <w:rsid w:val="698108B2"/>
    <w:rsid w:val="6988E945"/>
    <w:rsid w:val="6A28882C"/>
    <w:rsid w:val="6A5FE59A"/>
    <w:rsid w:val="6A622041"/>
    <w:rsid w:val="6A7A53A1"/>
    <w:rsid w:val="6A7E96EC"/>
    <w:rsid w:val="6B0C2C08"/>
    <w:rsid w:val="6B7B9338"/>
    <w:rsid w:val="6C0B6906"/>
    <w:rsid w:val="6C33F84A"/>
    <w:rsid w:val="6C9CFDAA"/>
    <w:rsid w:val="6CCBC0AD"/>
    <w:rsid w:val="6CD0990C"/>
    <w:rsid w:val="6D91131D"/>
    <w:rsid w:val="6DD039D7"/>
    <w:rsid w:val="6DE6E44C"/>
    <w:rsid w:val="6E0C114B"/>
    <w:rsid w:val="6E0D827F"/>
    <w:rsid w:val="6E2E7C5C"/>
    <w:rsid w:val="6F07AA54"/>
    <w:rsid w:val="6F8014F7"/>
    <w:rsid w:val="6F91FD72"/>
    <w:rsid w:val="6FF231A0"/>
    <w:rsid w:val="70390350"/>
    <w:rsid w:val="70485FDC"/>
    <w:rsid w:val="70B940D8"/>
    <w:rsid w:val="70D69821"/>
    <w:rsid w:val="70E29AC9"/>
    <w:rsid w:val="70FFF9BE"/>
    <w:rsid w:val="710507BF"/>
    <w:rsid w:val="713B2581"/>
    <w:rsid w:val="72119FF9"/>
    <w:rsid w:val="7250807E"/>
    <w:rsid w:val="72D8763A"/>
    <w:rsid w:val="7308CC41"/>
    <w:rsid w:val="734759F7"/>
    <w:rsid w:val="73F1813F"/>
    <w:rsid w:val="73FFFA3A"/>
    <w:rsid w:val="740AF09D"/>
    <w:rsid w:val="742179C4"/>
    <w:rsid w:val="7495134E"/>
    <w:rsid w:val="74E62E75"/>
    <w:rsid w:val="74EFF267"/>
    <w:rsid w:val="750AD085"/>
    <w:rsid w:val="75179C26"/>
    <w:rsid w:val="752FFD04"/>
    <w:rsid w:val="75778518"/>
    <w:rsid w:val="7632D0D9"/>
    <w:rsid w:val="764D50A6"/>
    <w:rsid w:val="789038AF"/>
    <w:rsid w:val="79914BB8"/>
    <w:rsid w:val="79A28A39"/>
    <w:rsid w:val="7A2C5EFF"/>
    <w:rsid w:val="7AA508BA"/>
    <w:rsid w:val="7AA75CC8"/>
    <w:rsid w:val="7B5653B2"/>
    <w:rsid w:val="7BBAFC67"/>
    <w:rsid w:val="7C494976"/>
    <w:rsid w:val="7C4EF500"/>
    <w:rsid w:val="7CDEFAB8"/>
    <w:rsid w:val="7DB36B40"/>
    <w:rsid w:val="7DD2FE29"/>
    <w:rsid w:val="7E1788FE"/>
    <w:rsid w:val="7E2E81DB"/>
    <w:rsid w:val="7E8F1E71"/>
    <w:rsid w:val="7EF08196"/>
    <w:rsid w:val="7F584FF3"/>
    <w:rsid w:val="7F7CFABE"/>
    <w:rsid w:val="7FA6FDF3"/>
    <w:rsid w:val="7FD7FB8E"/>
    <w:rsid w:val="7FEDC7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EAEC1F01-A60A-482F-AD7C-8F94F26B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character" w:styleId="Mention">
    <w:name w:val="Mention"/>
    <w:basedOn w:val="DefaultParagraphFont"/>
    <w:uiPriority w:val="99"/>
    <w:unhideWhenUsed/>
    <w:rsid w:val="00242E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bls.gov/news.release/archives/ecec_03142025.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CEStatus xmlns="2180239d-0abf-47fe-a2ff-93ad2a6acf3a" xsi:nil="true"/>
    <ROCISUpload xmlns="2180239d-0abf-47fe-a2ff-93ad2a6acf3a">No</ROCISUpload>
    <UnderReviewDateCIO xmlns="2180239d-0abf-47fe-a2ff-93ad2a6acf3a" xsi:nil="true"/>
    <PRANumber xmlns="2180239d-0abf-47fe-a2ff-93ad2a6acf3a">PRA-OCSO-00002603</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TaxCatchAll xmlns="7930e7e9-e5f5-4f39-b126-2ecec21c1b10"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lcf76f155ced4ddcb4097134ff3c332f xmlns="2180239d-0abf-47fe-a2ff-93ad2a6acf3a">
      <Terms xmlns="http://schemas.microsoft.com/office/infopath/2007/PartnerControls"/>
    </lcf76f155ced4ddcb4097134ff3c332f>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2025-05-07T15:21:41+00:00</UnderReviewDateOCEPACT>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CISA_x0020_CATT_x0020_Status xmlns="2180239d-0abf-47fe-a2ff-93ad2a6acf3a">Pending</CISA_x0020_CATT_x0020_Status>
    <CISACATTDateUnderReview xmlns="2180239d-0abf-47fe-a2ff-93ad2a6acf3a" xsi:nil="true"/>
    <DHSCIOApprove xmlns="2180239d-0abf-47fe-a2ff-93ad2a6acf3a">No</DHSCIOApprove>
    <DHSCIODateApproved xmlns="2180239d-0abf-47fe-a2ff-93ad2a6acf3a" xsi:nil="true"/>
    <EmailFlag30DayFRNPublished xmlns="2180239d-0abf-47fe-a2ff-93ad2a6acf3a">No</EmailFlag30DayFRNPublished>
    <EmailFlag60DayPublished xmlns="2180239d-0abf-47fe-a2ff-93ad2a6acf3a">No</EmailFlag60DayPublished>
    <EmailFlag60DayAdj xmlns="2180239d-0abf-47fe-a2ff-93ad2a6acf3a">No</EmailFlag60DayAdj>
    <EmailFlagPending30DayFedReg xmlns="2180239d-0abf-47fe-a2ff-93ad2a6acf3a">No</EmailFlagPending30DayFedRe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6" ma:contentTypeDescription="Create a new document." ma:contentTypeScope="" ma:versionID="254e1f0744c6f0e82bae0e849ecc6fd2">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a946cb436d52b5a6e5606057c3babf5c"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4.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5.xml><?xml version="1.0" encoding="utf-8"?>
<ds:datastoreItem xmlns:ds="http://schemas.openxmlformats.org/officeDocument/2006/customXml" ds:itemID="{7225D824-6ACC-42F5-8206-1B4DFE10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2357</Words>
  <Characters>12871</Characters>
  <Application>Microsoft Office Word</Application>
  <DocSecurity>0</DocSecurity>
  <Lines>390</Lines>
  <Paragraphs>152</Paragraphs>
  <ScaleCrop>false</ScaleCrop>
  <Company>FEMA</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74</cp:revision>
  <cp:lastPrinted>2014-02-10T23:56:00Z</cp:lastPrinted>
  <dcterms:created xsi:type="dcterms:W3CDTF">2025-03-31T17:02:00Z</dcterms:created>
  <dcterms:modified xsi:type="dcterms:W3CDTF">2026-01-08T15:52:00Z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0x01010096CAD730B1073B4D802BC4182255FE43</vt:lpwstr>
  </property>
  <property fmtid="{D5CDD505-2E9C-101B-9397-08002B2CF9AE}" pid="6" name="Document Type">
    <vt:lpwstr>ICR Forms &amp; Templates</vt:lpwstr>
  </property>
  <property fmtid="{D5CDD505-2E9C-101B-9397-08002B2CF9AE}" pid="7" name="GUID">
    <vt:lpwstr>bec64578-dc44-477c-9f8e-ce317e677da0</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f3b2808d-fdcd-4b04-ae30-a55cfb76acbc_ActionId">
    <vt:lpwstr>749634f5-47f8-4b27-95af-894651f3838e</vt:lpwstr>
  </property>
  <property fmtid="{D5CDD505-2E9C-101B-9397-08002B2CF9AE}" pid="11" name="MSIP_Label_f3b2808d-fdcd-4b04-ae30-a55cfb76acbc_ContentBits">
    <vt:lpwstr>0</vt:lpwstr>
  </property>
  <property fmtid="{D5CDD505-2E9C-101B-9397-08002B2CF9AE}" pid="12" name="MSIP_Label_f3b2808d-fdcd-4b04-ae30-a55cfb76acbc_Enabled">
    <vt:lpwstr>true</vt:lpwstr>
  </property>
  <property fmtid="{D5CDD505-2E9C-101B-9397-08002B2CF9AE}" pid="13" name="MSIP_Label_f3b2808d-fdcd-4b04-ae30-a55cfb76acbc_Method">
    <vt:lpwstr>Privileged</vt:lpwstr>
  </property>
  <property fmtid="{D5CDD505-2E9C-101B-9397-08002B2CF9AE}" pid="14" name="MSIP_Label_f3b2808d-fdcd-4b04-ae30-a55cfb76acbc_Name">
    <vt:lpwstr>All Users (Unprotected)</vt:lpwstr>
  </property>
  <property fmtid="{D5CDD505-2E9C-101B-9397-08002B2CF9AE}" pid="15" name="MSIP_Label_f3b2808d-fdcd-4b04-ae30-a55cfb76acbc_SetDate">
    <vt:lpwstr>2024-06-19T17:25:54Z</vt:lpwstr>
  </property>
  <property fmtid="{D5CDD505-2E9C-101B-9397-08002B2CF9AE}" pid="16" name="MSIP_Label_f3b2808d-fdcd-4b04-ae30-a55cfb76acbc_SiteId">
    <vt:lpwstr>69c613d2-b051-4234-8ed1-fd530b70d5d3</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
    <vt:lpwstr>5YJZXJV6V4SC-902-312</vt:lpwstr>
  </property>
  <property fmtid="{D5CDD505-2E9C-101B-9397-08002B2CF9AE}" pid="22" name="_dlc_DocIdItemGuid">
    <vt:lpwstr>40808f10-7f15-49c6-bdf2-4ea702d19996</vt:lpwstr>
  </property>
  <property fmtid="{D5CDD505-2E9C-101B-9397-08002B2CF9AE}" pid="23" name="_dlc_DocIdPersistId">
    <vt:bool>false</vt:bool>
  </property>
  <property fmtid="{D5CDD505-2E9C-101B-9397-08002B2CF9AE}" pid="24" name="_dlc_DocIdUrl">
    <vt:lpwstr>http://sptapp.dhs.gov/ESTT/CIO_PRA/_layouts/DocIdRedir.aspx?ID=5YJZXJV6V4SC-902-312, 5YJZXJV6V4SC-902-312</vt:lpwstr>
  </property>
  <property fmtid="{D5CDD505-2E9C-101B-9397-08002B2CF9AE}" pid="25" name="_ExtendedDescription">
    <vt:lpwstr/>
  </property>
</Properties>
</file>