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189D" w14:paraId="4E06DCDF" w14:textId="77777777">
      <w:pPr>
        <w:suppressAutoHyphens/>
        <w:rPr>
          <w:rFonts w:ascii="AvantGarde" w:hAnsi="AvantGarde"/>
          <w:spacing w:val="-4"/>
          <w:sz w:val="16"/>
        </w:rPr>
      </w:pPr>
    </w:p>
    <w:p w:rsidR="00B9189D" w14:paraId="4E06DCE0" w14:textId="77777777">
      <w:pPr>
        <w:suppressAutoHyphens/>
        <w:rPr>
          <w:rFonts w:ascii="AvantGarde" w:hAnsi="AvantGarde"/>
          <w:spacing w:val="-4"/>
          <w:sz w:val="16"/>
        </w:rPr>
      </w:pPr>
    </w:p>
    <w:p w:rsidR="00B9189D" w14:paraId="4E06DCE1" w14:textId="77777777">
      <w:pPr>
        <w:suppressAutoHyphens/>
        <w:rPr>
          <w:rFonts w:ascii="AvantGarde" w:hAnsi="AvantGarde"/>
          <w:spacing w:val="-4"/>
          <w:sz w:val="16"/>
        </w:rPr>
      </w:pPr>
    </w:p>
    <w:p w:rsidR="00E138B3" w14:paraId="4797B73A" w14:textId="77777777">
      <w:pPr>
        <w:suppressAutoHyphens/>
        <w:rPr>
          <w:rFonts w:ascii="AvantGarde" w:hAnsi="AvantGarde"/>
          <w:spacing w:val="-4"/>
          <w:sz w:val="16"/>
        </w:rPr>
      </w:pPr>
    </w:p>
    <w:p w:rsidR="00B9189D" w14:paraId="4E06DCE2" w14:textId="77777777">
      <w:pPr>
        <w:suppressAutoHyphens/>
        <w:rPr>
          <w:rFonts w:ascii="AvantGarde" w:hAnsi="AvantGarde"/>
          <w:spacing w:val="-4"/>
          <w:sz w:val="16"/>
        </w:rPr>
      </w:pPr>
    </w:p>
    <w:p w:rsidR="00E138B3" w14:paraId="685EEECB" w14:textId="77777777">
      <w:pPr>
        <w:suppressAutoHyphens/>
        <w:rPr>
          <w:rFonts w:ascii="AvantGarde" w:hAnsi="AvantGarde"/>
          <w:spacing w:val="-4"/>
          <w:sz w:val="16"/>
        </w:rPr>
      </w:pPr>
    </w:p>
    <w:p w:rsidR="00B30C42" w14:paraId="4E06DCE3" w14:textId="77777777">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CES_square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0175" cy="695325"/>
                    </a:xfrm>
                    <a:prstGeom prst="rect">
                      <a:avLst/>
                    </a:prstGeom>
                    <a:noFill/>
                    <a:ln>
                      <a:noFill/>
                    </a:ln>
                  </pic:spPr>
                </pic:pic>
              </a:graphicData>
            </a:graphic>
          </wp:inline>
        </w:drawing>
      </w:r>
    </w:p>
    <w:p w:rsidR="00B30C42" w14:paraId="4E06DCE4" w14:textId="77777777">
      <w:pPr>
        <w:tabs>
          <w:tab w:val="center" w:pos="4680"/>
        </w:tabs>
        <w:suppressAutoHyphens/>
        <w:rPr>
          <w:rFonts w:ascii="AvantGarde" w:hAnsi="AvantGarde"/>
          <w:spacing w:val="-4"/>
          <w:sz w:val="16"/>
        </w:rPr>
      </w:pPr>
    </w:p>
    <w:p w:rsidR="00B30C42" w14:paraId="4E06DCE5" w14:textId="77777777">
      <w:pPr>
        <w:tabs>
          <w:tab w:val="center" w:pos="4680"/>
        </w:tabs>
        <w:suppressAutoHyphens/>
        <w:rPr>
          <w:rFonts w:ascii="AvantGarde" w:hAnsi="AvantGarde"/>
          <w:spacing w:val="-4"/>
          <w:sz w:val="16"/>
        </w:rPr>
      </w:pPr>
    </w:p>
    <w:p w:rsidR="00B30C42" w14:paraId="4E06DCE6" w14:textId="77777777">
      <w:pPr>
        <w:tabs>
          <w:tab w:val="center" w:pos="4680"/>
        </w:tabs>
        <w:suppressAutoHyphens/>
        <w:rPr>
          <w:rFonts w:ascii="AvantGarde" w:hAnsi="AvantGarde"/>
          <w:spacing w:val="-4"/>
          <w:sz w:val="16"/>
        </w:rPr>
      </w:pPr>
    </w:p>
    <w:p w:rsidR="00B30C42" w14:paraId="4E06DCE7"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logobi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375" cy="581025"/>
                    </a:xfrm>
                    <a:prstGeom prst="rect">
                      <a:avLst/>
                    </a:prstGeom>
                    <a:noFill/>
                    <a:ln>
                      <a:noFill/>
                    </a:ln>
                  </pic:spPr>
                </pic:pic>
              </a:graphicData>
            </a:graphic>
          </wp:inline>
        </w:drawing>
      </w:r>
    </w:p>
    <w:p w:rsidR="00B30C42" w14:paraId="4E06DCE8" w14:textId="77777777">
      <w:pPr>
        <w:tabs>
          <w:tab w:val="center" w:pos="4680"/>
        </w:tabs>
        <w:suppressAutoHyphens/>
        <w:rPr>
          <w:rFonts w:ascii="AvantGarde" w:hAnsi="AvantGarde"/>
          <w:spacing w:val="-4"/>
          <w:sz w:val="16"/>
        </w:rPr>
      </w:pPr>
    </w:p>
    <w:p w:rsidR="00B30C42" w14:paraId="4E06DCE9" w14:textId="77777777">
      <w:pPr>
        <w:tabs>
          <w:tab w:val="center" w:pos="4680"/>
        </w:tabs>
        <w:suppressAutoHyphens/>
        <w:rPr>
          <w:rFonts w:ascii="AvantGarde" w:hAnsi="AvantGarde"/>
          <w:spacing w:val="-4"/>
          <w:sz w:val="16"/>
        </w:rPr>
      </w:pPr>
    </w:p>
    <w:p w:rsidR="00B30C42" w14:paraId="4E06DCEA" w14:textId="77777777">
      <w:pPr>
        <w:tabs>
          <w:tab w:val="center" w:pos="4680"/>
        </w:tabs>
        <w:suppressAutoHyphens/>
        <w:rPr>
          <w:rFonts w:ascii="AvantGarde" w:hAnsi="AvantGarde"/>
          <w:spacing w:val="-4"/>
          <w:sz w:val="16"/>
        </w:rPr>
      </w:pPr>
    </w:p>
    <w:p w:rsidR="00B30C42" w14:paraId="4E06DCEB"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14:paraId="4E06DCEC"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14:paraId="4E06DCED" w14:textId="77777777">
      <w:pPr>
        <w:rPr>
          <w:spacing w:val="-4"/>
          <w:sz w:val="16"/>
        </w:rPr>
      </w:pPr>
      <w:r>
        <w:rPr>
          <w:spacing w:val="-4"/>
          <w:sz w:val="16"/>
        </w:rPr>
        <w:br w:type="column"/>
      </w:r>
    </w:p>
    <w:p w:rsidR="00B9189D" w14:paraId="4E06DCEE" w14:textId="77777777">
      <w:pPr>
        <w:rPr>
          <w:rFonts w:ascii="AvantGarde" w:hAnsi="AvantGarde"/>
          <w:b/>
          <w:bCs/>
          <w:sz w:val="40"/>
          <w:szCs w:val="40"/>
        </w:rPr>
      </w:pPr>
    </w:p>
    <w:p w:rsidR="00E138B3" w14:paraId="225D1798" w14:textId="77777777">
      <w:pPr>
        <w:rPr>
          <w:rFonts w:ascii="AvantGarde" w:hAnsi="AvantGarde"/>
          <w:b/>
          <w:bCs/>
          <w:sz w:val="40"/>
          <w:szCs w:val="40"/>
        </w:rPr>
      </w:pPr>
    </w:p>
    <w:p w:rsidR="002F7842" w:rsidRPr="00B9189D" w14:paraId="4E06DCEF" w14:textId="086474D4">
      <w:pPr>
        <w:rPr>
          <w:rFonts w:ascii="AvantGarde" w:hAnsi="AvantGarde"/>
          <w:b/>
          <w:bCs/>
          <w:sz w:val="40"/>
          <w:szCs w:val="40"/>
        </w:rPr>
      </w:pPr>
      <w:r w:rsidRPr="00FC1F41">
        <w:rPr>
          <w:rFonts w:ascii="AvantGarde" w:hAnsi="AvantGarde"/>
          <w:b/>
          <w:bCs/>
          <w:sz w:val="40"/>
          <w:szCs w:val="40"/>
        </w:rPr>
        <w:t xml:space="preserve">National Public Education Financial Survey (NPEFS) </w:t>
      </w:r>
      <w:r w:rsidRPr="00FC1F41" w:rsidR="00B81B2D">
        <w:rPr>
          <w:rFonts w:ascii="AvantGarde" w:hAnsi="AvantGarde"/>
          <w:b/>
          <w:bCs/>
          <w:sz w:val="40"/>
          <w:szCs w:val="40"/>
        </w:rPr>
        <w:t>20</w:t>
      </w:r>
      <w:r w:rsidR="00B81B2D">
        <w:rPr>
          <w:rFonts w:ascii="AvantGarde" w:hAnsi="AvantGarde"/>
          <w:b/>
          <w:bCs/>
          <w:sz w:val="40"/>
          <w:szCs w:val="40"/>
        </w:rPr>
        <w:t>2</w:t>
      </w:r>
      <w:r w:rsidR="00D81948">
        <w:rPr>
          <w:rFonts w:ascii="AvantGarde" w:hAnsi="AvantGarde"/>
          <w:b/>
          <w:bCs/>
          <w:sz w:val="40"/>
          <w:szCs w:val="40"/>
        </w:rPr>
        <w:t>5</w:t>
      </w:r>
      <w:r w:rsidRPr="00FC1F41">
        <w:rPr>
          <w:rFonts w:ascii="AvantGarde" w:hAnsi="AvantGarde"/>
          <w:b/>
          <w:bCs/>
          <w:sz w:val="40"/>
          <w:szCs w:val="40"/>
        </w:rPr>
        <w:t>-</w:t>
      </w:r>
      <w:r w:rsidRPr="00FC1F41" w:rsidR="00B81B2D">
        <w:rPr>
          <w:rFonts w:ascii="AvantGarde" w:hAnsi="AvantGarde"/>
          <w:b/>
          <w:bCs/>
          <w:sz w:val="40"/>
          <w:szCs w:val="40"/>
        </w:rPr>
        <w:t>202</w:t>
      </w:r>
      <w:r w:rsidR="00D81948">
        <w:rPr>
          <w:rFonts w:ascii="AvantGarde" w:hAnsi="AvantGarde"/>
          <w:b/>
          <w:bCs/>
          <w:sz w:val="40"/>
          <w:szCs w:val="40"/>
        </w:rPr>
        <w:t>7</w:t>
      </w:r>
      <w:r w:rsidRPr="00B9189D" w:rsidR="003739EE">
        <w:rPr>
          <w:rFonts w:ascii="AvantGarde" w:hAnsi="AvantGarde"/>
          <w:b/>
          <w:bCs/>
          <w:sz w:val="40"/>
          <w:szCs w:val="40"/>
        </w:rPr>
        <w:t>: Common Core of Data (CCD)</w:t>
      </w:r>
    </w:p>
    <w:p w:rsidR="00B30C42" w14:paraId="4E06DCF1" w14:textId="77777777">
      <w:pPr>
        <w:pStyle w:val="H4"/>
        <w:keepNext w:val="0"/>
        <w:spacing w:before="0" w:after="0"/>
        <w:outlineLvl w:val="9"/>
        <w:rPr>
          <w:rFonts w:ascii="AvantGarde" w:hAnsi="AvantGarde"/>
          <w:bCs/>
          <w:szCs w:val="24"/>
        </w:rPr>
      </w:pPr>
    </w:p>
    <w:p w:rsidR="00FC1F41" w:rsidRPr="00FC1F41" w:rsidP="00FC1F41" w14:paraId="14C0D41C" w14:textId="77777777"/>
    <w:p w:rsidR="00B30C42" w14:paraId="4E06DCF2" w14:textId="77777777"/>
    <w:p w:rsidR="00B30C42" w14:paraId="4E06DCF3" w14:textId="77777777"/>
    <w:p w:rsidR="00EC35E7" w:rsidRPr="00B9189D" w14:paraId="4E06DCF4" w14:textId="77777777">
      <w:pPr>
        <w:rPr>
          <w:sz w:val="40"/>
          <w:szCs w:val="40"/>
        </w:rPr>
      </w:pPr>
      <w:r w:rsidRPr="00B9189D">
        <w:rPr>
          <w:rFonts w:ascii="AvantGarde" w:hAnsi="AvantGarde"/>
          <w:b/>
          <w:bCs/>
          <w:sz w:val="40"/>
          <w:szCs w:val="40"/>
        </w:rPr>
        <w:t>Supporting Statement Part A</w:t>
      </w:r>
    </w:p>
    <w:p w:rsidR="00EC35E7" w14:paraId="4E06DCF5" w14:textId="77777777"/>
    <w:p w:rsidR="00EC35E7" w14:paraId="4E06DCF6" w14:textId="77777777"/>
    <w:p w:rsidR="00EC35E7" w14:paraId="4E06DCF7" w14:textId="77777777"/>
    <w:p w:rsidR="00EC35E7" w:rsidRPr="00B9189D" w14:paraId="4E06DCF8" w14:textId="74B512E7">
      <w:pPr>
        <w:rPr>
          <w:rFonts w:ascii="AvantGarde" w:hAnsi="AvantGarde"/>
          <w:b/>
          <w:bCs/>
          <w:sz w:val="36"/>
          <w:szCs w:val="36"/>
        </w:rPr>
      </w:pPr>
      <w:r>
        <w:rPr>
          <w:rFonts w:ascii="AvantGarde" w:hAnsi="AvantGarde"/>
          <w:b/>
          <w:bCs/>
          <w:sz w:val="36"/>
          <w:szCs w:val="36"/>
        </w:rPr>
        <w:t>OMB# 1850-0067 v.</w:t>
      </w:r>
      <w:r w:rsidR="00D81948">
        <w:rPr>
          <w:rFonts w:ascii="AvantGarde" w:hAnsi="AvantGarde"/>
          <w:b/>
          <w:bCs/>
          <w:sz w:val="36"/>
          <w:szCs w:val="36"/>
        </w:rPr>
        <w:t>25</w:t>
      </w:r>
    </w:p>
    <w:p w:rsidR="00EC35E7" w14:paraId="4E06DCF9" w14:textId="77777777"/>
    <w:p w:rsidR="00EC35E7" w14:paraId="4E06DCFA" w14:textId="77777777"/>
    <w:p w:rsidR="00EC35E7" w14:paraId="4E06DCFB" w14:textId="77777777"/>
    <w:p w:rsidR="00EC35E7" w14:paraId="4E06DCFC" w14:textId="77777777"/>
    <w:p w:rsidR="00EC35E7" w14:paraId="4E06DCFD" w14:textId="77777777"/>
    <w:p w:rsidR="00EC35E7" w14:paraId="4E06DCFE" w14:textId="77777777"/>
    <w:p w:rsidR="00EC35E7" w14:paraId="4E06DCFF" w14:textId="77777777"/>
    <w:p w:rsidR="00EC35E7" w14:paraId="4E06DD00" w14:textId="77777777"/>
    <w:p w:rsidR="00EC35E7" w14:paraId="4E06DD01" w14:textId="77777777"/>
    <w:p w:rsidR="00EC35E7" w14:paraId="4E06DD02" w14:textId="77777777"/>
    <w:p w:rsidR="00EC35E7" w14:paraId="4E06DD03" w14:textId="77777777"/>
    <w:p w:rsidR="00EC35E7" w14:paraId="4E06DD04" w14:textId="77777777"/>
    <w:p w:rsidR="00EC35E7" w14:paraId="4E06DD05" w14:textId="77777777"/>
    <w:p w:rsidR="00EC35E7" w14:paraId="4E06DD06" w14:textId="77777777"/>
    <w:p w:rsidR="00EC35E7" w14:paraId="4E06DD07" w14:textId="77777777"/>
    <w:p w:rsidR="00EC35E7" w:rsidP="00C1209B" w14:paraId="4E06DD08" w14:textId="77777777">
      <w:pPr>
        <w:jc w:val="right"/>
      </w:pPr>
    </w:p>
    <w:p w:rsidR="00B30C42" w:rsidP="00C1209B" w14:paraId="4E06DD09" w14:textId="31CED48B">
      <w:pPr>
        <w:suppressAutoHyphens/>
        <w:jc w:val="right"/>
        <w:rPr>
          <w:rFonts w:ascii="AvantGarde" w:hAnsi="AvantGarde"/>
          <w:b/>
          <w:spacing w:val="-3"/>
        </w:rPr>
      </w:pPr>
      <w:r>
        <w:rPr>
          <w:rFonts w:ascii="AvantGarde" w:hAnsi="AvantGarde"/>
          <w:b/>
          <w:spacing w:val="-3"/>
        </w:rPr>
        <w:t>November</w:t>
      </w:r>
      <w:r w:rsidR="00D81948">
        <w:rPr>
          <w:rFonts w:ascii="AvantGarde" w:hAnsi="AvantGarde"/>
          <w:b/>
          <w:spacing w:val="-3"/>
        </w:rPr>
        <w:t xml:space="preserve"> </w:t>
      </w:r>
      <w:r w:rsidR="00B81B2D">
        <w:rPr>
          <w:rFonts w:ascii="AvantGarde" w:hAnsi="AvantGarde"/>
          <w:b/>
          <w:spacing w:val="-3"/>
        </w:rPr>
        <w:t>202</w:t>
      </w:r>
      <w:r w:rsidR="00D81948">
        <w:rPr>
          <w:rFonts w:ascii="AvantGarde" w:hAnsi="AvantGarde"/>
          <w:b/>
          <w:spacing w:val="-3"/>
        </w:rPr>
        <w:t>5</w:t>
      </w:r>
    </w:p>
    <w:p w:rsidR="00934F50" w:rsidP="00C1209B" w14:paraId="66BE461F" w14:textId="66BC9E7A">
      <w:pPr>
        <w:suppressAutoHyphens/>
        <w:jc w:val="right"/>
        <w:rPr>
          <w:rFonts w:ascii="AvantGarde" w:hAnsi="AvantGarde"/>
          <w:b/>
          <w:spacing w:val="-3"/>
        </w:rPr>
      </w:pPr>
    </w:p>
    <w:p w:rsidR="00E3249B" w:rsidP="00C1209B" w14:paraId="45823546" w14:textId="5B171BBC">
      <w:pPr>
        <w:suppressAutoHyphens/>
        <w:jc w:val="right"/>
        <w:rPr>
          <w:rFonts w:ascii="AvantGarde" w:hAnsi="AvantGarde"/>
          <w:b/>
          <w:spacing w:val="-3"/>
        </w:rPr>
      </w:pPr>
    </w:p>
    <w:p w:rsidR="00B30C42" w14:paraId="4E06DD0A" w14:textId="77777777">
      <w:pPr>
        <w:suppressAutoHyphens/>
        <w:rPr>
          <w:rFonts w:ascii="AvantGarde" w:hAnsi="AvantGarde"/>
          <w:b/>
          <w:spacing w:val="-3"/>
          <w:sz w:val="16"/>
        </w:rPr>
      </w:pPr>
    </w:p>
    <w:p w:rsidR="00B30C42" w14:paraId="4E06DD0B" w14:textId="77777777">
      <w:pPr>
        <w:suppressAutoHyphens/>
        <w:rPr>
          <w:rFonts w:ascii="AvantGarde" w:hAnsi="AvantGarde"/>
          <w:b/>
          <w:spacing w:val="-3"/>
          <w:sz w:val="16"/>
        </w:rPr>
      </w:pPr>
    </w:p>
    <w:p w:rsidR="00B30C42" w14:paraId="4E06DD0C" w14:textId="77777777">
      <w:pPr>
        <w:suppressAutoHyphens/>
        <w:rPr>
          <w:rFonts w:ascii="AvantGarde" w:hAnsi="AvantGarde"/>
          <w:b/>
          <w:spacing w:val="-3"/>
          <w:sz w:val="16"/>
        </w:rPr>
      </w:pPr>
    </w:p>
    <w:p w:rsidR="00B30C42" w14:paraId="4E06DD0D" w14:textId="77777777">
      <w:pPr>
        <w:suppressAutoHyphens/>
        <w:rPr>
          <w:rFonts w:ascii="AvantGarde" w:hAnsi="AvantGarde"/>
          <w:b/>
          <w:spacing w:val="-3"/>
          <w:sz w:val="16"/>
        </w:rPr>
      </w:pPr>
    </w:p>
    <w:p w:rsidR="00B30C42" w:rsidP="00C1209B" w14:paraId="4E06DD0E" w14:textId="77777777">
      <w:pPr>
        <w:suppressAutoHyphens/>
        <w:jc w:val="right"/>
        <w:rPr>
          <w:rFonts w:ascii="AvantGarde" w:hAnsi="AvantGarde"/>
          <w:b/>
          <w:spacing w:val="-3"/>
        </w:rPr>
      </w:pPr>
      <w:r w:rsidRPr="00982B28">
        <w:rPr>
          <w:rFonts w:ascii="AvantGarde" w:hAnsi="AvantGarde"/>
          <w:b/>
          <w:spacing w:val="-3"/>
        </w:rPr>
        <w:t>National Center for Education Statistics</w:t>
      </w:r>
      <w:r w:rsidR="00982B28">
        <w:rPr>
          <w:rFonts w:ascii="AvantGarde" w:hAnsi="AvantGarde"/>
          <w:b/>
          <w:spacing w:val="-3"/>
        </w:rPr>
        <w:t xml:space="preserve"> (NCES)</w:t>
      </w:r>
    </w:p>
    <w:p w:rsidR="00B11F97" w:rsidP="00982B28" w14:paraId="73E86C06" w14:textId="77777777">
      <w:pPr>
        <w:suppressAutoHyphens/>
        <w:rPr>
          <w:rFonts w:ascii="AvantGarde" w:hAnsi="AvantGarde"/>
          <w:b/>
          <w:spacing w:val="-3"/>
        </w:rPr>
      </w:pPr>
    </w:p>
    <w:p w:rsidR="00B11F97" w:rsidRPr="00982B28" w:rsidP="00982B28" w14:paraId="6453CFA8" w14:textId="77777777">
      <w:pPr>
        <w:suppressAutoHyphens/>
        <w:rPr>
          <w:rFonts w:ascii="AvantGarde" w:hAnsi="AvantGarde"/>
          <w:b/>
          <w:spacing w:val="-3"/>
        </w:rPr>
        <w:sectPr w:rsidSect="00891E1D">
          <w:headerReference w:type="default" r:id="rId11"/>
          <w:footerReference w:type="default" r:id="rId12"/>
          <w:pgSz w:w="12240" w:h="15840" w:orient="portrait"/>
          <w:pgMar w:top="1008" w:right="1008" w:bottom="1008" w:left="1008" w:header="720" w:footer="720" w:gutter="0"/>
          <w:paperSrc w:first="21" w:other="21"/>
          <w:cols w:num="2" w:space="720" w:equalWidth="0">
            <w:col w:w="4752" w:space="2"/>
            <w:col w:w="5470"/>
          </w:cols>
          <w:docGrid w:linePitch="326"/>
        </w:sectPr>
      </w:pPr>
    </w:p>
    <w:p w:rsidR="00B30C42" w14:paraId="4E06DD13" w14:textId="77777777">
      <w:pPr>
        <w:pStyle w:val="Heading"/>
      </w:pPr>
      <w:r>
        <w:t>Documents in This Submission</w:t>
      </w:r>
    </w:p>
    <w:p w:rsidR="00764F8E" w:rsidP="00EC35E7" w14:paraId="4E06DD14" w14:textId="77777777">
      <w:pPr>
        <w:pStyle w:val="TOC"/>
        <w:tabs>
          <w:tab w:val="clear" w:pos="9360"/>
          <w:tab w:val="right" w:leader="dot" w:pos="10170"/>
        </w:tabs>
        <w:rPr>
          <w:sz w:val="24"/>
        </w:rPr>
      </w:pPr>
    </w:p>
    <w:p w:rsidR="00B30C42" w:rsidRPr="00E74186" w:rsidP="00E17FDD" w14:paraId="4E06DD15" w14:textId="77777777">
      <w:pPr>
        <w:pStyle w:val="TOC"/>
        <w:tabs>
          <w:tab w:val="clear" w:pos="360"/>
          <w:tab w:val="clear" w:pos="9360"/>
          <w:tab w:val="right" w:leader="dot" w:pos="10170"/>
        </w:tabs>
        <w:spacing w:before="0" w:after="0"/>
        <w:rPr>
          <w:sz w:val="24"/>
        </w:rPr>
      </w:pPr>
      <w:r w:rsidRPr="00E74186">
        <w:rPr>
          <w:sz w:val="24"/>
        </w:rPr>
        <w:t>Part A. Justification</w:t>
      </w:r>
    </w:p>
    <w:p w:rsidR="008674E1" w:rsidP="00E17FDD" w14:paraId="4E06DD16" w14:textId="77777777">
      <w:pPr>
        <w:pStyle w:val="TOC"/>
        <w:tabs>
          <w:tab w:val="clear" w:pos="360"/>
          <w:tab w:val="clear" w:pos="9360"/>
          <w:tab w:val="right" w:leader="dot" w:pos="10170"/>
        </w:tabs>
        <w:spacing w:before="0" w:after="0"/>
        <w:rPr>
          <w:sz w:val="24"/>
        </w:rPr>
      </w:pPr>
    </w:p>
    <w:p w:rsidR="00B81B2D" w:rsidP="00E17FDD" w14:paraId="35CD90F3" w14:textId="77777777">
      <w:pPr>
        <w:pStyle w:val="TOC"/>
        <w:tabs>
          <w:tab w:val="clear" w:pos="360"/>
          <w:tab w:val="clear" w:pos="9360"/>
          <w:tab w:val="right" w:leader="dot" w:pos="10170"/>
        </w:tabs>
        <w:spacing w:before="0" w:after="0"/>
        <w:rPr>
          <w:sz w:val="24"/>
        </w:rPr>
      </w:pPr>
      <w:r w:rsidRPr="00E74186">
        <w:rPr>
          <w:sz w:val="24"/>
        </w:rPr>
        <w:t>Part B</w:t>
      </w:r>
      <w:r w:rsidR="00E17FDD">
        <w:rPr>
          <w:sz w:val="24"/>
        </w:rPr>
        <w:t xml:space="preserve"> &amp; C</w:t>
      </w:r>
      <w:r w:rsidRPr="00E74186">
        <w:rPr>
          <w:sz w:val="24"/>
        </w:rPr>
        <w:t xml:space="preserve">. </w:t>
      </w:r>
    </w:p>
    <w:p w:rsidR="00B30C42" w:rsidRPr="00E74186" w:rsidP="00E17FDD" w14:paraId="4E06DD17" w14:textId="27E1CAEF">
      <w:pPr>
        <w:pStyle w:val="TOC"/>
        <w:tabs>
          <w:tab w:val="clear" w:pos="360"/>
          <w:tab w:val="clear" w:pos="9360"/>
          <w:tab w:val="right" w:leader="dot" w:pos="10170"/>
        </w:tabs>
        <w:spacing w:before="0" w:after="0"/>
        <w:rPr>
          <w:sz w:val="24"/>
        </w:rPr>
      </w:pPr>
      <w:r>
        <w:rPr>
          <w:sz w:val="24"/>
        </w:rPr>
        <w:tab/>
      </w:r>
      <w:r w:rsidR="00E17FDD">
        <w:rPr>
          <w:sz w:val="24"/>
        </w:rPr>
        <w:t>B</w:t>
      </w:r>
      <w:r>
        <w:rPr>
          <w:sz w:val="24"/>
        </w:rPr>
        <w:t xml:space="preserve">. </w:t>
      </w:r>
      <w:r w:rsidRPr="00E74186">
        <w:rPr>
          <w:sz w:val="24"/>
        </w:rPr>
        <w:t>Collections of Information Employing Statistical Methods</w:t>
      </w:r>
    </w:p>
    <w:p w:rsidR="00B30C42" w:rsidRPr="00E74186" w:rsidP="00E17FDD" w14:paraId="4E06DD18" w14:textId="691E599B">
      <w:pPr>
        <w:pStyle w:val="TOC"/>
        <w:tabs>
          <w:tab w:val="clear" w:pos="360"/>
          <w:tab w:val="clear" w:pos="9360"/>
          <w:tab w:val="right" w:leader="dot" w:pos="10170"/>
        </w:tabs>
        <w:spacing w:before="0" w:after="0"/>
        <w:rPr>
          <w:sz w:val="24"/>
        </w:rPr>
      </w:pPr>
      <w:r>
        <w:rPr>
          <w:sz w:val="24"/>
        </w:rPr>
        <w:tab/>
      </w:r>
      <w:r>
        <w:rPr>
          <w:sz w:val="24"/>
        </w:rPr>
        <w:t>C</w:t>
      </w:r>
      <w:r w:rsidR="00B81B2D">
        <w:rPr>
          <w:sz w:val="24"/>
        </w:rPr>
        <w:t xml:space="preserve">. </w:t>
      </w:r>
      <w:r w:rsidRPr="00E74186">
        <w:rPr>
          <w:sz w:val="24"/>
        </w:rPr>
        <w:t>National Public Education Finance Survey</w:t>
      </w:r>
      <w:r w:rsidR="00781A8A">
        <w:rPr>
          <w:sz w:val="24"/>
        </w:rPr>
        <w:t xml:space="preserve"> (NPEFS)</w:t>
      </w:r>
    </w:p>
    <w:p w:rsidR="00B30C42" w:rsidRPr="00E74186" w:rsidP="00E17FDD" w14:paraId="4E06DD19" w14:textId="77777777">
      <w:pPr>
        <w:pStyle w:val="TOC"/>
        <w:tabs>
          <w:tab w:val="clear" w:pos="360"/>
          <w:tab w:val="clear" w:pos="720"/>
          <w:tab w:val="left" w:pos="1440"/>
          <w:tab w:val="clear" w:pos="9360"/>
          <w:tab w:val="right" w:leader="dot" w:pos="10170"/>
        </w:tabs>
        <w:spacing w:before="0" w:after="0"/>
        <w:rPr>
          <w:sz w:val="24"/>
        </w:rPr>
      </w:pPr>
      <w:r w:rsidRPr="00E74186">
        <w:rPr>
          <w:sz w:val="24"/>
        </w:rPr>
        <w:tab/>
      </w:r>
      <w:r w:rsidR="007E689B">
        <w:rPr>
          <w:sz w:val="24"/>
        </w:rPr>
        <w:t>C</w:t>
      </w:r>
      <w:r w:rsidRPr="00E74186">
        <w:rPr>
          <w:sz w:val="24"/>
        </w:rPr>
        <w:t>.1. Discussion of Items</w:t>
      </w:r>
    </w:p>
    <w:p w:rsidR="00B30C42" w:rsidRPr="00E74186" w:rsidP="00E17FDD" w14:paraId="4E06DD1A" w14:textId="77777777">
      <w:pPr>
        <w:pStyle w:val="TOC"/>
        <w:tabs>
          <w:tab w:val="clear" w:pos="360"/>
          <w:tab w:val="clear" w:pos="720"/>
          <w:tab w:val="left" w:pos="1440"/>
          <w:tab w:val="clear" w:pos="9360"/>
          <w:tab w:val="right" w:leader="dot" w:pos="10170"/>
        </w:tabs>
        <w:spacing w:before="0" w:after="0"/>
        <w:rPr>
          <w:sz w:val="24"/>
        </w:rPr>
      </w:pPr>
      <w:r w:rsidRPr="00E74186">
        <w:rPr>
          <w:sz w:val="24"/>
        </w:rPr>
        <w:tab/>
      </w:r>
      <w:r w:rsidR="007E689B">
        <w:rPr>
          <w:sz w:val="24"/>
        </w:rPr>
        <w:t>C</w:t>
      </w:r>
      <w:r w:rsidRPr="00E74186">
        <w:rPr>
          <w:sz w:val="24"/>
        </w:rPr>
        <w:t>.2. Sample Tables</w:t>
      </w:r>
    </w:p>
    <w:p w:rsidR="007E689B" w:rsidP="00E17FDD" w14:paraId="4E06DD1B" w14:textId="77777777">
      <w:pPr>
        <w:pStyle w:val="TOC"/>
        <w:tabs>
          <w:tab w:val="clear" w:pos="360"/>
          <w:tab w:val="clear" w:pos="9360"/>
          <w:tab w:val="right" w:leader="dot" w:pos="10170"/>
        </w:tabs>
        <w:spacing w:before="0" w:after="0"/>
        <w:rPr>
          <w:sz w:val="24"/>
        </w:rPr>
      </w:pPr>
    </w:p>
    <w:p w:rsidR="002F7842" w:rsidP="00EA0D13" w14:paraId="4E06DD1C" w14:textId="77777777">
      <w:r w:rsidRPr="00E74186">
        <w:t>Appendix A. Communication</w:t>
      </w:r>
      <w:r w:rsidR="00D03F0F">
        <w:t xml:space="preserve"> Material</w:t>
      </w:r>
      <w:r w:rsidRPr="00E74186">
        <w:t>s</w:t>
      </w:r>
    </w:p>
    <w:p w:rsidR="003D3693" w:rsidP="00EA0D13" w14:paraId="4E06DD1D" w14:textId="4C6082C6">
      <w:pPr>
        <w:ind w:left="720"/>
      </w:pPr>
      <w:r>
        <w:t>A.1.</w:t>
      </w:r>
      <w:r w:rsidR="002F7842">
        <w:t xml:space="preserve"> </w:t>
      </w:r>
      <w:r>
        <w:t xml:space="preserve">Federal Register Notice: </w:t>
      </w:r>
      <w:r w:rsidRPr="001D385E">
        <w:t>Submission of Data</w:t>
      </w:r>
      <w:r w:rsidR="00D37613">
        <w:t xml:space="preserve"> by State Educational Agencies</w:t>
      </w:r>
    </w:p>
    <w:p w:rsidR="007C7909" w:rsidP="00EA0D13" w14:paraId="4E06DD1E" w14:textId="7F87E9F4">
      <w:pPr>
        <w:ind w:left="720"/>
      </w:pPr>
      <w:r>
        <w:tab/>
      </w:r>
      <w:r w:rsidRPr="001D385E" w:rsidR="003D3693">
        <w:t>Submission Dates for State Revenue and Expenditure Rep</w:t>
      </w:r>
      <w:r w:rsidR="003D3693">
        <w:t xml:space="preserve">orts </w:t>
      </w:r>
      <w:r w:rsidR="00D37613">
        <w:t xml:space="preserve">for </w:t>
      </w:r>
      <w:r w:rsidR="00E24C45">
        <w:t xml:space="preserve">FY </w:t>
      </w:r>
      <w:r w:rsidR="00D81948">
        <w:t>2025</w:t>
      </w:r>
      <w:r w:rsidR="00B81B2D">
        <w:t>,</w:t>
      </w:r>
    </w:p>
    <w:p w:rsidR="009F1760" w:rsidP="00EA0D13" w14:paraId="4E06DD1F" w14:textId="77777777">
      <w:pPr>
        <w:ind w:left="720"/>
      </w:pPr>
      <w:r>
        <w:tab/>
      </w:r>
      <w:r w:rsidRPr="001D385E" w:rsidR="003D3693">
        <w:t>Revisions to those Reports, and Revisions to prior Fiscal Year Reports</w:t>
      </w:r>
    </w:p>
    <w:p w:rsidR="00E207E4" w:rsidP="00EA0D13" w14:paraId="4E06DD20" w14:textId="77777777"/>
    <w:p w:rsidR="002F7842" w:rsidP="00EA0D13" w14:paraId="4E06DD21" w14:textId="4C6691BC">
      <w:pPr>
        <w:ind w:left="720"/>
      </w:pPr>
      <w:r>
        <w:t>A.2.</w:t>
      </w:r>
      <w:r>
        <w:t xml:space="preserve"> </w:t>
      </w:r>
      <w:r>
        <w:t>Correspondence</w:t>
      </w:r>
      <w:r w:rsidR="00AC3532">
        <w:t xml:space="preserve"> – </w:t>
      </w:r>
    </w:p>
    <w:p w:rsidR="003D3693" w:rsidP="00EA0D13" w14:paraId="4E06DD22" w14:textId="77777777">
      <w:pPr>
        <w:ind w:left="720"/>
      </w:pPr>
      <w:r>
        <w:tab/>
      </w:r>
      <w:r w:rsidRPr="00E27638">
        <w:t xml:space="preserve">Initial </w:t>
      </w:r>
      <w:r>
        <w:t>c</w:t>
      </w:r>
      <w:r w:rsidRPr="00E27638">
        <w:t xml:space="preserve">over </w:t>
      </w:r>
      <w:r>
        <w:t>l</w:t>
      </w:r>
      <w:r w:rsidR="007C7909">
        <w:t>etter to Respondents</w:t>
      </w:r>
    </w:p>
    <w:p w:rsidR="003D3693" w:rsidRPr="00E27638" w:rsidP="00EA0D13" w14:paraId="4E06DD23" w14:textId="77777777">
      <w:pPr>
        <w:ind w:left="720"/>
      </w:pPr>
      <w:r>
        <w:tab/>
      </w:r>
      <w:r w:rsidR="007C7909">
        <w:t>Submission letter</w:t>
      </w:r>
    </w:p>
    <w:p w:rsidR="003D3693" w:rsidP="00EA0D13" w14:paraId="4E06DD25" w14:textId="5907C970">
      <w:pPr>
        <w:ind w:left="720"/>
      </w:pPr>
      <w:r>
        <w:tab/>
      </w:r>
      <w:r w:rsidRPr="005B0BDD">
        <w:t>Closeout letter</w:t>
      </w:r>
    </w:p>
    <w:p w:rsidR="00B81B2D" w:rsidRPr="003F053D" w:rsidP="00EA0D13" w14:paraId="1AC7BBAF" w14:textId="3142C6CA">
      <w:pPr>
        <w:ind w:left="720"/>
      </w:pPr>
      <w:r>
        <w:tab/>
      </w:r>
      <w:r>
        <w:t>Reminder Notice</w:t>
      </w:r>
    </w:p>
    <w:p w:rsidR="00781A8A" w:rsidP="00EA0D13" w14:paraId="4E06DD26" w14:textId="77777777"/>
    <w:p w:rsidR="007E689B" w:rsidP="00EA0D13" w14:paraId="4E06DD27" w14:textId="77777777">
      <w:r w:rsidRPr="00E74186">
        <w:t xml:space="preserve">Appendix </w:t>
      </w:r>
      <w:r>
        <w:t>B</w:t>
      </w:r>
      <w:r w:rsidRPr="00E74186">
        <w:t xml:space="preserve">. </w:t>
      </w:r>
      <w:r>
        <w:t>Survey Items</w:t>
      </w:r>
    </w:p>
    <w:p w:rsidR="00B30C42" w:rsidRPr="00E74186" w:rsidP="00EA0D13" w14:paraId="4E06DD28" w14:textId="77777777">
      <w:pPr>
        <w:ind w:left="720"/>
      </w:pPr>
      <w:r>
        <w:t>B</w:t>
      </w:r>
      <w:r w:rsidRPr="00E74186">
        <w:t>.</w:t>
      </w:r>
      <w:r w:rsidR="00E207E4">
        <w:t>1</w:t>
      </w:r>
      <w:r w:rsidRPr="00E74186">
        <w:t>. Survey Form</w:t>
      </w:r>
    </w:p>
    <w:p w:rsidR="00B30C42" w:rsidP="00EA0D13" w14:paraId="4E06DD29" w14:textId="77777777">
      <w:pPr>
        <w:ind w:left="720"/>
      </w:pPr>
      <w:r>
        <w:t>B</w:t>
      </w:r>
      <w:r w:rsidRPr="00E74186">
        <w:t>.</w:t>
      </w:r>
      <w:r w:rsidR="00E207E4">
        <w:t>2</w:t>
      </w:r>
      <w:r w:rsidRPr="00E74186">
        <w:t>. Data Plan</w:t>
      </w:r>
    </w:p>
    <w:p w:rsidR="008D0095" w:rsidP="00EA0D13" w14:paraId="4E06DD2A" w14:textId="77777777">
      <w:pPr>
        <w:ind w:left="720"/>
      </w:pPr>
      <w:r>
        <w:t>B.3. NPEFS Instruction Manual</w:t>
      </w:r>
    </w:p>
    <w:p w:rsidR="009E709B" w:rsidP="00EA0D13" w14:paraId="4E06DD2B" w14:textId="77777777"/>
    <w:p w:rsidR="009E709B" w:rsidP="00EA0D13" w14:paraId="4E06DD2C" w14:textId="60CEA278">
      <w:r w:rsidRPr="009E709B">
        <w:t>Appendix C</w:t>
      </w:r>
      <w:r>
        <w:t>.</w:t>
      </w:r>
      <w:r w:rsidRPr="009E709B">
        <w:t xml:space="preserve"> </w:t>
      </w:r>
      <w:r w:rsidR="00781A8A">
        <w:t xml:space="preserve">FY </w:t>
      </w:r>
      <w:r w:rsidR="00D81948">
        <w:t xml:space="preserve">23 </w:t>
      </w:r>
      <w:r w:rsidRPr="009E709B">
        <w:t>NPEFS Documentation</w:t>
      </w:r>
    </w:p>
    <w:p w:rsidR="00B81B2D" w:rsidP="00EA0D13" w14:paraId="4172B01B" w14:textId="67DAD858"/>
    <w:p w:rsidR="00B81B2D" w:rsidP="00EA0D13" w14:paraId="515BEA8E" w14:textId="4E59E9D5">
      <w:r>
        <w:t xml:space="preserve">Appendix </w:t>
      </w:r>
      <w:r w:rsidR="001E2D89">
        <w:t>D</w:t>
      </w:r>
      <w:r>
        <w:t>. NPEFS Web Application</w:t>
      </w:r>
    </w:p>
    <w:p w:rsidR="00B81B2D" w:rsidP="00EA0D13" w14:paraId="6A08AD65" w14:textId="107A0F4C">
      <w:r>
        <w:tab/>
      </w:r>
      <w:r>
        <w:t>E.1. Documentation of NPEFS Web Application</w:t>
      </w:r>
    </w:p>
    <w:p w:rsidR="00B81B2D" w:rsidRPr="00E74186" w:rsidP="00EA0D13" w14:paraId="35A98571" w14:textId="2D40C1B2">
      <w:r>
        <w:tab/>
      </w:r>
      <w:r>
        <w:t xml:space="preserve">E.2. NPEFS </w:t>
      </w:r>
      <w:r w:rsidR="00127EE2">
        <w:t>Web Application User Guide, version 2.0</w:t>
      </w:r>
    </w:p>
    <w:p w:rsidR="00B81B2D" w:rsidRPr="00E74186" w:rsidP="00EA0D13" w14:paraId="51AA8E52" w14:textId="77777777"/>
    <w:p w:rsidR="00B30C42" w:rsidRPr="00EA0D13" w:rsidP="00EA0D13" w14:paraId="4E06DD2D" w14:textId="77777777">
      <w:r w:rsidRPr="00D37613">
        <w:br w:type="page"/>
      </w:r>
      <w:r w:rsidRPr="00EA0D13" w:rsidR="00DE40FC">
        <w:t>PART A. JUSTIFICATION</w:t>
      </w:r>
    </w:p>
    <w:p w:rsidR="00B30C42" w:rsidRPr="00EA0D13" w:rsidP="00EA0D13" w14:paraId="4E06DD2E" w14:textId="77777777">
      <w:pPr>
        <w:pStyle w:val="Heading1"/>
      </w:pPr>
      <w:r w:rsidRPr="00EA0D13">
        <w:t>A1.</w:t>
      </w:r>
      <w:r w:rsidRPr="00EA0D13">
        <w:tab/>
      </w:r>
      <w:r w:rsidRPr="00EA0D13" w:rsidR="00ED5CFE">
        <w:t xml:space="preserve">Necessity </w:t>
      </w:r>
      <w:r w:rsidRPr="00EA0D13" w:rsidR="00ED5CFE">
        <w:t>of</w:t>
      </w:r>
      <w:r w:rsidRPr="00EA0D13" w:rsidR="00ED5CFE">
        <w:t xml:space="preserve"> Information Collection</w:t>
      </w:r>
    </w:p>
    <w:p w:rsidR="00BD41C6" w:rsidRPr="00EA0D13" w:rsidP="00EA0D13" w14:paraId="4E06DD2F" w14:textId="77777777">
      <w:pPr>
        <w:pStyle w:val="Heading2"/>
      </w:pPr>
      <w:r w:rsidRPr="00EA0D13">
        <w:t>a.</w:t>
      </w:r>
      <w:r w:rsidRPr="00EA0D13">
        <w:tab/>
      </w:r>
      <w:r w:rsidRPr="00EA0D13">
        <w:t>Purpose of this Submission</w:t>
      </w:r>
    </w:p>
    <w:p w:rsidR="004109A1" w:rsidP="00F103E6" w14:paraId="5D8FA25D" w14:textId="242A5C1B">
      <w:pPr>
        <w:autoSpaceDE w:val="0"/>
        <w:autoSpaceDN w:val="0"/>
        <w:adjustRightInd w:val="0"/>
        <w:spacing w:after="120"/>
        <w:ind w:right="-36"/>
        <w:jc w:val="both"/>
      </w:pPr>
      <w:r w:rsidRPr="009E67C8">
        <w:t>The National Center for Education Statistics</w:t>
      </w:r>
      <w:r w:rsidRPr="009E67C8" w:rsidR="0023084B">
        <w:t xml:space="preserve"> (NCES)</w:t>
      </w:r>
      <w:r w:rsidRPr="009E67C8">
        <w:t xml:space="preserve"> requests</w:t>
      </w:r>
      <w:r w:rsidRPr="009E67C8" w:rsidR="00BD41C6">
        <w:t xml:space="preserve"> </w:t>
      </w:r>
      <w:r w:rsidR="00574854">
        <w:t xml:space="preserve">an extension of </w:t>
      </w:r>
      <w:r w:rsidRPr="009E67C8" w:rsidR="00BD41C6">
        <w:t xml:space="preserve">approval of the </w:t>
      </w:r>
      <w:r w:rsidRPr="009E67C8" w:rsidR="0006010D">
        <w:t xml:space="preserve">collection of </w:t>
      </w:r>
      <w:r w:rsidRPr="009E67C8" w:rsidR="00BD41C6">
        <w:t xml:space="preserve">National Public Education Financial Survey (NPEFS) data covering </w:t>
      </w:r>
      <w:r w:rsidRPr="009E67C8" w:rsidR="00EA70C0">
        <w:t>fiscal years 20</w:t>
      </w:r>
      <w:r w:rsidR="00127EE2">
        <w:t>2</w:t>
      </w:r>
      <w:r w:rsidR="00574854">
        <w:t>5</w:t>
      </w:r>
      <w:r w:rsidRPr="009E67C8" w:rsidR="00EA70C0">
        <w:t xml:space="preserve"> through 20</w:t>
      </w:r>
      <w:r w:rsidRPr="009E67C8" w:rsidR="00AA58F9">
        <w:t>2</w:t>
      </w:r>
      <w:r w:rsidR="00574854">
        <w:t>7</w:t>
      </w:r>
      <w:r w:rsidRPr="009E67C8" w:rsidR="00EA70C0">
        <w:t xml:space="preserve"> (corresponding to </w:t>
      </w:r>
      <w:r w:rsidRPr="009E67C8" w:rsidR="00BD41C6">
        <w:t>school years 20</w:t>
      </w:r>
      <w:r w:rsidR="00127EE2">
        <w:t>2</w:t>
      </w:r>
      <w:r w:rsidR="00574854">
        <w:t>4</w:t>
      </w:r>
      <w:r w:rsidRPr="009E67C8" w:rsidR="00BD41C6">
        <w:t>/</w:t>
      </w:r>
      <w:r w:rsidR="00127EE2">
        <w:t>2</w:t>
      </w:r>
      <w:r w:rsidR="00574854">
        <w:t>5</w:t>
      </w:r>
      <w:r w:rsidRPr="009E67C8" w:rsidR="00BD41C6">
        <w:t xml:space="preserve"> through 20</w:t>
      </w:r>
      <w:r w:rsidRPr="009E67C8" w:rsidR="00AA58F9">
        <w:t>2</w:t>
      </w:r>
      <w:r w:rsidR="00574854">
        <w:t>6</w:t>
      </w:r>
      <w:r w:rsidRPr="009E67C8" w:rsidR="00BD41C6">
        <w:t>/</w:t>
      </w:r>
      <w:r w:rsidRPr="009E67C8" w:rsidR="00A01A3E">
        <w:t>2</w:t>
      </w:r>
      <w:r w:rsidR="00574854">
        <w:t>7</w:t>
      </w:r>
      <w:r w:rsidRPr="009E67C8" w:rsidR="00EA70C0">
        <w:t>)</w:t>
      </w:r>
      <w:r w:rsidRPr="009E67C8" w:rsidR="0006010D">
        <w:t xml:space="preserve">, that </w:t>
      </w:r>
      <w:r w:rsidR="002B208D">
        <w:t>will</w:t>
      </w:r>
      <w:r w:rsidRPr="009E67C8" w:rsidR="0006010D">
        <w:t xml:space="preserve"> be carried out in 20</w:t>
      </w:r>
      <w:r w:rsidRPr="009E67C8" w:rsidR="00A01A3E">
        <w:t>2</w:t>
      </w:r>
      <w:r w:rsidR="00574854">
        <w:t>6</w:t>
      </w:r>
      <w:r w:rsidRPr="009E67C8" w:rsidR="0006010D">
        <w:t xml:space="preserve"> through 20</w:t>
      </w:r>
      <w:r w:rsidRPr="009E67C8" w:rsidR="00A01A3E">
        <w:t>2</w:t>
      </w:r>
      <w:r w:rsidR="00574854">
        <w:t>8</w:t>
      </w:r>
      <w:r w:rsidRPr="009E67C8" w:rsidR="00BD41C6">
        <w:t>.</w:t>
      </w:r>
      <w:r w:rsidRPr="009E67C8" w:rsidR="002F7842">
        <w:t xml:space="preserve"> </w:t>
      </w:r>
      <w:r w:rsidRPr="009E67C8" w:rsidR="00BD41C6">
        <w:t xml:space="preserve">NPEFS is </w:t>
      </w:r>
      <w:r w:rsidRPr="00C747F1" w:rsidR="00BD41C6">
        <w:t xml:space="preserve">an annual collection of state-level finance data that </w:t>
      </w:r>
      <w:r w:rsidRPr="00C747F1" w:rsidR="00BD41C6">
        <w:t>ha</w:t>
      </w:r>
      <w:r w:rsidRPr="00C747F1" w:rsidR="0006010D">
        <w:t>ve</w:t>
      </w:r>
      <w:r w:rsidRPr="00C747F1" w:rsidR="00BD41C6">
        <w:t xml:space="preserve"> been </w:t>
      </w:r>
      <w:r w:rsidRPr="00C747F1" w:rsidR="00EA70C0">
        <w:t xml:space="preserve">a component </w:t>
      </w:r>
      <w:r w:rsidRPr="00C747F1" w:rsidR="0023084B">
        <w:t xml:space="preserve">of </w:t>
      </w:r>
      <w:r w:rsidRPr="009E67C8" w:rsidR="00BD41C6">
        <w:t>NCES</w:t>
      </w:r>
      <w:r w:rsidRPr="009E67C8" w:rsidR="00EA70C0">
        <w:t>’</w:t>
      </w:r>
      <w:r w:rsidRPr="009E67C8" w:rsidR="0006010D">
        <w:t>s</w:t>
      </w:r>
      <w:r w:rsidRPr="009E67C8" w:rsidR="00BD41C6">
        <w:t xml:space="preserve"> </w:t>
      </w:r>
      <w:r w:rsidRPr="00C747F1" w:rsidR="00BD41C6">
        <w:t>Common Core of Data (CCD) since FY 1982 (covering school year 1981/82).</w:t>
      </w:r>
      <w:r w:rsidR="002F7842">
        <w:t xml:space="preserve"> </w:t>
      </w:r>
      <w:r w:rsidRPr="00C747F1" w:rsidR="00BD41C6">
        <w:t>The U.S. Census Bureau</w:t>
      </w:r>
      <w:r w:rsidR="004F69E0">
        <w:t xml:space="preserve"> (Census)</w:t>
      </w:r>
      <w:r w:rsidRPr="00C747F1" w:rsidR="00BD41C6">
        <w:t xml:space="preserve">, </w:t>
      </w:r>
      <w:r w:rsidR="00127EE2">
        <w:t xml:space="preserve">Economic Reimbursable Surveys </w:t>
      </w:r>
      <w:r w:rsidRPr="00C747F1" w:rsidR="00BD41C6">
        <w:t xml:space="preserve">Division, </w:t>
      </w:r>
      <w:r w:rsidR="009F1760">
        <w:t xml:space="preserve">administers the NPEFS </w:t>
      </w:r>
      <w:r w:rsidRPr="00C747F1" w:rsidR="00BD41C6">
        <w:t>data collection for NCES under interagency agreement.</w:t>
      </w:r>
      <w:r w:rsidR="00B62282">
        <w:t xml:space="preserve"> </w:t>
      </w:r>
      <w:r>
        <w:t xml:space="preserve">This </w:t>
      </w:r>
      <w:r w:rsidRPr="00215736">
        <w:t>NPEFS</w:t>
      </w:r>
      <w:r>
        <w:t xml:space="preserve"> FY</w:t>
      </w:r>
      <w:r w:rsidRPr="00215736">
        <w:t xml:space="preserve"> 20</w:t>
      </w:r>
      <w:r w:rsidR="00127EE2">
        <w:t>2</w:t>
      </w:r>
      <w:r w:rsidR="00574854">
        <w:t>5</w:t>
      </w:r>
      <w:r>
        <w:t>-</w:t>
      </w:r>
      <w:r w:rsidRPr="00215736">
        <w:t>202</w:t>
      </w:r>
      <w:r w:rsidR="00574854">
        <w:t>7</w:t>
      </w:r>
      <w:r>
        <w:t xml:space="preserve"> request </w:t>
      </w:r>
      <w:r w:rsidR="00574854">
        <w:t>makes no changes to the existing collection</w:t>
      </w:r>
      <w:r w:rsidR="00F842FD">
        <w:t>.</w:t>
      </w:r>
    </w:p>
    <w:p w:rsidR="004109A1" w:rsidRPr="005E5716" w:rsidP="004109A1" w14:paraId="2AD636F4" w14:textId="2B8AEBE5">
      <w:pPr>
        <w:pStyle w:val="Text"/>
        <w:spacing w:after="120"/>
        <w:rPr>
          <w:sz w:val="24"/>
        </w:rPr>
      </w:pPr>
      <w:r w:rsidRPr="00885064">
        <w:rPr>
          <w:color w:val="000000"/>
          <w:sz w:val="24"/>
        </w:rPr>
        <w:t xml:space="preserve">Part A of this supporting statement presents the justification for the information collection and an explanation of any statistical methods employed. Part B addresses the collection of information employing statistical methods. Part C describes the NPEFS </w:t>
      </w:r>
      <w:r w:rsidR="00F103E6">
        <w:rPr>
          <w:color w:val="000000"/>
          <w:sz w:val="24"/>
        </w:rPr>
        <w:t>data items</w:t>
      </w:r>
      <w:r w:rsidRPr="00885064">
        <w:rPr>
          <w:color w:val="000000"/>
          <w:sz w:val="24"/>
        </w:rPr>
        <w:t xml:space="preserve">. </w:t>
      </w:r>
      <w:r w:rsidRPr="00A15421">
        <w:rPr>
          <w:color w:val="000000"/>
          <w:sz w:val="24"/>
        </w:rPr>
        <w:t>Appendix A is a compilation of all communication materials between NCES, Census, and the respective SEAs</w:t>
      </w:r>
      <w:r w:rsidRPr="00A15421" w:rsidR="00081743">
        <w:rPr>
          <w:color w:val="000000"/>
          <w:sz w:val="24"/>
        </w:rPr>
        <w:t xml:space="preserve"> that will be used </w:t>
      </w:r>
      <w:r w:rsidRPr="00A15421" w:rsidR="00EA0A50">
        <w:rPr>
          <w:color w:val="000000"/>
          <w:sz w:val="24"/>
        </w:rPr>
        <w:t>for the FY</w:t>
      </w:r>
      <w:r w:rsidR="00EA0A50">
        <w:rPr>
          <w:color w:val="000000"/>
          <w:sz w:val="24"/>
        </w:rPr>
        <w:t xml:space="preserve"> 2</w:t>
      </w:r>
      <w:r w:rsidR="00574854">
        <w:rPr>
          <w:color w:val="000000"/>
          <w:sz w:val="24"/>
        </w:rPr>
        <w:t>5</w:t>
      </w:r>
      <w:r w:rsidR="00EA0A50">
        <w:rPr>
          <w:color w:val="000000"/>
          <w:sz w:val="24"/>
        </w:rPr>
        <w:t xml:space="preserve"> data co</w:t>
      </w:r>
      <w:r w:rsidR="00A15421">
        <w:rPr>
          <w:color w:val="000000"/>
          <w:sz w:val="24"/>
        </w:rPr>
        <w:t>llection</w:t>
      </w:r>
      <w:r w:rsidR="00F103E6">
        <w:rPr>
          <w:color w:val="000000"/>
          <w:sz w:val="24"/>
        </w:rPr>
        <w:t>.</w:t>
      </w:r>
      <w:r>
        <w:rPr>
          <w:rStyle w:val="FootnoteReference"/>
          <w:color w:val="000000"/>
          <w:sz w:val="24"/>
          <w:vertAlign w:val="superscript"/>
        </w:rPr>
        <w:footnoteReference w:id="3"/>
      </w:r>
      <w:r>
        <w:rPr>
          <w:color w:val="000000"/>
          <w:sz w:val="24"/>
        </w:rPr>
        <w:t xml:space="preserve"> Appendix B contains the survey instrument, fiscal data plan, and reporting instructions. Appendix C contains the NPEFS data file documentation for FY </w:t>
      </w:r>
      <w:r w:rsidR="00574854">
        <w:rPr>
          <w:color w:val="000000"/>
          <w:sz w:val="24"/>
        </w:rPr>
        <w:t>23</w:t>
      </w:r>
      <w:r>
        <w:rPr>
          <w:color w:val="000000"/>
          <w:sz w:val="24"/>
        </w:rPr>
        <w:t xml:space="preserve">. </w:t>
      </w:r>
      <w:r w:rsidRPr="001E2D89" w:rsidR="00437CDF">
        <w:rPr>
          <w:color w:val="000000"/>
          <w:sz w:val="24"/>
        </w:rPr>
        <w:t>Ap</w:t>
      </w:r>
      <w:r w:rsidRPr="001E2D89">
        <w:rPr>
          <w:color w:val="000000"/>
          <w:sz w:val="24"/>
        </w:rPr>
        <w:t xml:space="preserve">pendix </w:t>
      </w:r>
      <w:r w:rsidRPr="001E2D89" w:rsidR="001E2D89">
        <w:rPr>
          <w:color w:val="000000"/>
          <w:sz w:val="24"/>
        </w:rPr>
        <w:t>D</w:t>
      </w:r>
      <w:r w:rsidRPr="001E2D89">
        <w:rPr>
          <w:color w:val="000000"/>
          <w:sz w:val="24"/>
        </w:rPr>
        <w:t xml:space="preserve"> contains the NPEFS web application documentation and user guide.</w:t>
      </w:r>
      <w:r>
        <w:rPr>
          <w:color w:val="000000"/>
          <w:sz w:val="24"/>
        </w:rPr>
        <w:t xml:space="preserve"> </w:t>
      </w:r>
      <w:r w:rsidR="00E458FE">
        <w:rPr>
          <w:color w:val="000000"/>
          <w:sz w:val="24"/>
        </w:rPr>
        <w:t xml:space="preserve">The web application documentation and user guide contain screenshots of the web application. These screenshots will be updated to display the appropriate fiscal year prior to commencement of the survey collection cycle for that fiscal year.  </w:t>
      </w:r>
    </w:p>
    <w:p w:rsidR="00BD41C6" w:rsidRPr="00C747F1" w:rsidP="00EA0D13" w14:paraId="4E06DD42" w14:textId="77777777">
      <w:pPr>
        <w:pStyle w:val="Heading2"/>
        <w:rPr>
          <w:rFonts w:eastAsia="Arial Unicode MS"/>
          <w:b/>
        </w:rPr>
      </w:pPr>
      <w:r w:rsidRPr="00C747F1">
        <w:t xml:space="preserve">Overview of </w:t>
      </w:r>
      <w:r w:rsidR="00F244D3">
        <w:t>CCD</w:t>
      </w:r>
      <w:r w:rsidRPr="00C747F1">
        <w:t xml:space="preserve"> Survey Components</w:t>
      </w:r>
    </w:p>
    <w:p w:rsidR="00BD41C6" w:rsidRPr="00864F60" w:rsidP="004109A1" w14:paraId="4E06DD44" w14:textId="77777777">
      <w:pPr>
        <w:autoSpaceDE w:val="0"/>
        <w:autoSpaceDN w:val="0"/>
        <w:adjustRightInd w:val="0"/>
        <w:spacing w:after="120"/>
        <w:ind w:right="-36"/>
        <w:jc w:val="both"/>
        <w:rPr>
          <w:color w:val="000000"/>
        </w:rPr>
      </w:pPr>
      <w:r>
        <w:t>CCD</w:t>
      </w:r>
      <w:r w:rsidRPr="00864F60">
        <w:t xml:space="preserve"> is the primary NCES database on public</w:t>
      </w:r>
      <w:r>
        <w:t xml:space="preserve"> </w:t>
      </w:r>
      <w:r w:rsidRPr="00864F60">
        <w:t>elementary and secondary education in the United States. The annual CCD</w:t>
      </w:r>
      <w:r>
        <w:t xml:space="preserve"> </w:t>
      </w:r>
      <w:r w:rsidRPr="00864F60">
        <w:t>is a comprehensive national statistical database of all public elementary and</w:t>
      </w:r>
      <w:r>
        <w:t xml:space="preserve"> </w:t>
      </w:r>
      <w:r w:rsidRPr="00864F60">
        <w:t xml:space="preserve">secondary schools and school districts that </w:t>
      </w:r>
      <w:r w:rsidRPr="00864F60">
        <w:t>contains</w:t>
      </w:r>
      <w:r w:rsidRPr="00864F60">
        <w:t xml:space="preserve"> comparable data across</w:t>
      </w:r>
      <w:r>
        <w:t xml:space="preserve"> </w:t>
      </w:r>
      <w:r w:rsidRPr="00864F60">
        <w:t>all states.</w:t>
      </w:r>
      <w:r w:rsidR="002F7842">
        <w:t xml:space="preserve"> </w:t>
      </w:r>
      <w:r>
        <w:t xml:space="preserve">One of the objectives of CCD is to provide </w:t>
      </w:r>
      <w:r w:rsidRPr="00864F60">
        <w:t>basic information and descriptive statistics on public elementary and</w:t>
      </w:r>
      <w:r>
        <w:t xml:space="preserve"> </w:t>
      </w:r>
      <w:r w:rsidRPr="00864F60">
        <w:t>secondary schools, students and staff</w:t>
      </w:r>
      <w:r w:rsidR="008376CE">
        <w:t>,</w:t>
      </w:r>
      <w:r>
        <w:t xml:space="preserve"> and the supporting financial data on revenues and expenditures.</w:t>
      </w:r>
    </w:p>
    <w:p w:rsidR="002F7842" w:rsidP="004109A1" w14:paraId="4E06DD46" w14:textId="77777777">
      <w:pPr>
        <w:widowControl w:val="0"/>
        <w:autoSpaceDE w:val="0"/>
        <w:autoSpaceDN w:val="0"/>
        <w:adjustRightInd w:val="0"/>
        <w:spacing w:after="120"/>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w:t>
      </w:r>
      <w:r>
        <w:rPr>
          <w:rFonts w:eastAsia="Calibri"/>
        </w:rPr>
        <w:t xml:space="preserve"> </w:t>
      </w:r>
      <w:r w:rsidR="002416AC">
        <w:rPr>
          <w:rFonts w:eastAsia="Calibri"/>
        </w:rPr>
        <w:t>There are three nonfiscal survey components</w:t>
      </w:r>
      <w:r w:rsidR="00567497">
        <w:rPr>
          <w:rFonts w:eastAsia="Calibri"/>
        </w:rPr>
        <w:t>, which are collected as part of the Department of Education’s EdFacts system:</w:t>
      </w:r>
    </w:p>
    <w:p w:rsidR="00BD41C6" w:rsidRPr="00BB33FC" w:rsidP="000026B6" w14:paraId="4E06DD47" w14:textId="77777777">
      <w:pPr>
        <w:pStyle w:val="ListParagraph"/>
        <w:widowControl w:val="0"/>
        <w:numPr>
          <w:ilvl w:val="0"/>
          <w:numId w:val="14"/>
        </w:numPr>
        <w:autoSpaceDE w:val="0"/>
        <w:autoSpaceDN w:val="0"/>
        <w:adjustRightInd w:val="0"/>
        <w:spacing w:after="120"/>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Pr="00BB33FC" w:rsidR="00BB33FC">
        <w:rPr>
          <w:rFonts w:eastAsia="Calibri"/>
        </w:rPr>
        <w:t xml:space="preserve"> dropouts and</w:t>
      </w:r>
      <w:r w:rsidRPr="00BB33FC">
        <w:rPr>
          <w:rFonts w:eastAsia="Calibri"/>
        </w:rPr>
        <w:t xml:space="preserve"> high school completers from the previous year.</w:t>
      </w:r>
    </w:p>
    <w:p w:rsidR="002F7842" w:rsidP="004109A1" w14:paraId="4E06DD48"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Pr="00BB33FC" w:rsid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E647AB" w:rsidP="004109A1" w14:paraId="09395439"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Pr="00BB33FC" w:rsidR="00BB33FC">
        <w:rPr>
          <w:rFonts w:eastAsia="Calibri"/>
        </w:rPr>
        <w:t>address and telephone number</w:t>
      </w:r>
      <w:r w:rsidR="00BB33FC">
        <w:rPr>
          <w:rFonts w:eastAsia="Calibri"/>
        </w:rPr>
        <w:t>,</w:t>
      </w:r>
      <w:r w:rsidRPr="00BB33FC" w:rsid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Pr="00BB33FC" w:rsid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Pr="00BB33FC" w:rsidR="008376CE">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E647AB" w:rsidP="004109A1" w14:paraId="552900B4" w14:textId="77777777">
      <w:pPr>
        <w:autoSpaceDE w:val="0"/>
        <w:autoSpaceDN w:val="0"/>
        <w:adjustRightInd w:val="0"/>
        <w:spacing w:after="120"/>
        <w:rPr>
          <w:rFonts w:eastAsia="Calibri"/>
        </w:rPr>
      </w:pPr>
      <w:r>
        <w:rPr>
          <w:rFonts w:eastAsia="Calibri"/>
        </w:rPr>
        <w:t xml:space="preserve">There are </w:t>
      </w:r>
      <w:r w:rsidR="00355AB0">
        <w:rPr>
          <w:rFonts w:eastAsia="Calibri"/>
        </w:rPr>
        <w:t>three</w:t>
      </w:r>
      <w:r>
        <w:rPr>
          <w:rFonts w:eastAsia="Calibri"/>
        </w:rPr>
        <w:t xml:space="preserve"> fiscal survey components</w:t>
      </w:r>
      <w:r w:rsidR="001D7903">
        <w:rPr>
          <w:rFonts w:eastAsia="Calibri"/>
        </w:rPr>
        <w:t xml:space="preserve"> collected separately in cooperation with Census</w:t>
      </w:r>
      <w:r>
        <w:rPr>
          <w:rFonts w:eastAsia="Calibri"/>
        </w:rPr>
        <w:t>:</w:t>
      </w:r>
    </w:p>
    <w:p w:rsidR="00BD41C6" w:rsidRPr="00A25B62" w:rsidP="004109A1" w14:paraId="4E06DD4D" w14:textId="7760BC69">
      <w:pPr>
        <w:pStyle w:val="ListParagraph"/>
        <w:numPr>
          <w:ilvl w:val="0"/>
          <w:numId w:val="15"/>
        </w:numPr>
        <w:autoSpaceDE w:val="0"/>
        <w:autoSpaceDN w:val="0"/>
        <w:adjustRightInd w:val="0"/>
        <w:spacing w:after="120"/>
        <w:rPr>
          <w:rFonts w:eastAsia="Calibri"/>
        </w:rPr>
      </w:pPr>
      <w:r w:rsidRPr="00A25B62">
        <w:rPr>
          <w:rFonts w:eastAsia="Calibri"/>
          <w:bCs/>
          <w:i/>
          <w:iCs/>
          <w:u w:val="single"/>
        </w:rPr>
        <w:t>National Public Education Financial Survey (</w:t>
      </w:r>
      <w:r w:rsidRPr="00A25B62">
        <w:rPr>
          <w:rFonts w:eastAsia="Calibri"/>
          <w:bCs/>
          <w:i/>
          <w:iCs/>
          <w:u w:val="single"/>
        </w:rPr>
        <w:t>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00BD41C6" w:rsidRPr="00A25B62" w:rsidP="004109A1" w14:paraId="4E06DD4E" w14:textId="731C6B97">
      <w:pPr>
        <w:pStyle w:val="ListParagraph"/>
        <w:numPr>
          <w:ilvl w:val="0"/>
          <w:numId w:val="15"/>
        </w:numPr>
        <w:autoSpaceDE w:val="0"/>
        <w:autoSpaceDN w:val="0"/>
        <w:adjustRightInd w:val="0"/>
        <w:spacing w:after="12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Pr="00A25B62" w:rsidR="00F244D3">
        <w:rPr>
          <w:rFonts w:eastAsia="Calibri"/>
        </w:rPr>
        <w:t>source</w:t>
      </w:r>
      <w:r w:rsidRPr="00A25B62">
        <w:rPr>
          <w:rFonts w:eastAsia="Calibri"/>
        </w:rPr>
        <w:t xml:space="preserve"> </w:t>
      </w:r>
      <w:r w:rsidRPr="00A25B62" w:rsidR="001D7903">
        <w:rPr>
          <w:rFonts w:eastAsia="Calibri"/>
        </w:rPr>
        <w:t xml:space="preserve">and </w:t>
      </w:r>
      <w:r w:rsidRPr="00A25B62">
        <w:rPr>
          <w:rFonts w:eastAsia="Calibri"/>
        </w:rPr>
        <w:t>expenditures by function and subfunction.</w:t>
      </w:r>
      <w:r w:rsidR="002F7842">
        <w:rPr>
          <w:rFonts w:eastAsia="Calibri"/>
        </w:rPr>
        <w:t xml:space="preserve"> </w:t>
      </w:r>
      <w:r w:rsidRPr="00A25B62" w:rsidR="001D7903">
        <w:rPr>
          <w:rFonts w:eastAsia="Calibri"/>
        </w:rPr>
        <w:t xml:space="preserve">This survey is co-sponsored by the Census and published by Census as the </w:t>
      </w:r>
      <w:r w:rsidR="00F103E6">
        <w:rPr>
          <w:rFonts w:eastAsia="Calibri"/>
        </w:rPr>
        <w:t xml:space="preserve">Annual Survey of School System Finances </w:t>
      </w:r>
      <w:r w:rsidRPr="00A25B62" w:rsidR="001D7903">
        <w:rPr>
          <w:rFonts w:eastAsia="Calibri"/>
        </w:rPr>
        <w:t>(OMB# 0607-0700).</w:t>
      </w:r>
    </w:p>
    <w:p w:rsidR="002F7842" w:rsidRPr="005E5716" w:rsidP="00885064" w14:paraId="4E06DD51" w14:textId="064D4533">
      <w:pPr>
        <w:widowControl w:val="0"/>
        <w:numPr>
          <w:ilvl w:val="0"/>
          <w:numId w:val="15"/>
        </w:numPr>
        <w:autoSpaceDE w:val="0"/>
        <w:autoSpaceDN w:val="0"/>
        <w:adjustRightInd w:val="0"/>
        <w:spacing w:after="120"/>
        <w:rPr>
          <w:color w:val="000000"/>
          <w:sz w:val="22"/>
          <w:szCs w:val="22"/>
        </w:rPr>
      </w:pPr>
      <w:r w:rsidRPr="00A66F59">
        <w:rPr>
          <w:rFonts w:eastAsia="Calibri"/>
          <w:i/>
          <w:u w:val="single"/>
        </w:rPr>
        <w:t>School Level Finance</w:t>
      </w:r>
      <w:r w:rsidRPr="00A66F59" w:rsidR="00F244D3">
        <w:rPr>
          <w:rFonts w:eastAsia="Calibri"/>
          <w:i/>
          <w:u w:val="single"/>
        </w:rPr>
        <w:t xml:space="preserve"> Survey (</w:t>
      </w:r>
      <w:r w:rsidRPr="00A66F59">
        <w:rPr>
          <w:rFonts w:eastAsia="Calibri"/>
          <w:i/>
          <w:u w:val="single"/>
        </w:rPr>
        <w:t>SLFS</w:t>
      </w:r>
      <w:r w:rsidRPr="00A66F59" w:rsidR="00F244D3">
        <w:rPr>
          <w:rFonts w:eastAsia="Calibri"/>
          <w:i/>
          <w:u w:val="single"/>
        </w:rPr>
        <w:t>)</w:t>
      </w:r>
      <w:r w:rsidRPr="00A66F59" w:rsidR="00F244D3">
        <w:rPr>
          <w:rFonts w:eastAsia="Calibri"/>
        </w:rPr>
        <w:t>—</w:t>
      </w:r>
      <w:r w:rsidRPr="00A66F59">
        <w:rPr>
          <w:bCs/>
          <w:noProof/>
        </w:rPr>
        <w:t xml:space="preserve">The School-Level Finance Survey (SLFS) is an expansion of the F-33 </w:t>
      </w:r>
      <w:r w:rsidRPr="00A66F59" w:rsidR="00FA3AE7">
        <w:rPr>
          <w:bCs/>
          <w:noProof/>
        </w:rPr>
        <w:t xml:space="preserve">and NPEFS </w:t>
      </w:r>
      <w:r w:rsidRPr="00A66F59">
        <w:rPr>
          <w:bCs/>
          <w:noProof/>
        </w:rPr>
        <w:t>survey</w:t>
      </w:r>
      <w:r w:rsidRPr="00A66F59" w:rsidR="00FA3AE7">
        <w:rPr>
          <w:bCs/>
          <w:noProof/>
        </w:rPr>
        <w:t>s</w:t>
      </w:r>
      <w:r w:rsidRPr="00A66F59">
        <w:rPr>
          <w:bCs/>
          <w:noProof/>
        </w:rPr>
        <w:t xml:space="preserve"> to </w:t>
      </w:r>
      <w:r w:rsidRPr="00A66F59" w:rsidR="00FA3AE7">
        <w:rPr>
          <w:bCs/>
          <w:noProof/>
        </w:rPr>
        <w:t>centrally collect school-level</w:t>
      </w:r>
      <w:r w:rsidRPr="00A66F59" w:rsidR="00A66F59">
        <w:rPr>
          <w:bCs/>
          <w:noProof/>
        </w:rPr>
        <w:t xml:space="preserve"> </w:t>
      </w:r>
      <w:r w:rsidRPr="00A66F59" w:rsidR="00FA3AE7">
        <w:rPr>
          <w:bCs/>
          <w:noProof/>
        </w:rPr>
        <w:t>finance data from SEAs</w:t>
      </w:r>
      <w:r w:rsidRPr="00A66F59">
        <w:rPr>
          <w:bCs/>
          <w:noProof/>
        </w:rPr>
        <w:t>.</w:t>
      </w:r>
      <w:r w:rsidR="00DC5031">
        <w:rPr>
          <w:bCs/>
          <w:noProof/>
        </w:rPr>
        <w:t xml:space="preserve"> The SLFS provides </w:t>
      </w:r>
      <w:r w:rsidR="00F842FD">
        <w:rPr>
          <w:bCs/>
          <w:noProof/>
        </w:rPr>
        <w:t>school-level</w:t>
      </w:r>
      <w:r w:rsidR="00DC5031">
        <w:rPr>
          <w:bCs/>
          <w:noProof/>
        </w:rPr>
        <w:t xml:space="preserve"> </w:t>
      </w:r>
      <w:r w:rsidRPr="00A25B62" w:rsidR="00DC5031">
        <w:rPr>
          <w:rFonts w:eastAsia="Calibri"/>
        </w:rPr>
        <w:t>expenditures by function, sub</w:t>
      </w:r>
      <w:r w:rsidR="00F842FD">
        <w:rPr>
          <w:rFonts w:eastAsia="Calibri"/>
        </w:rPr>
        <w:t>-</w:t>
      </w:r>
      <w:r w:rsidRPr="00A25B62" w:rsidR="00DC5031">
        <w:rPr>
          <w:rFonts w:eastAsia="Calibri"/>
        </w:rPr>
        <w:t>function, and object</w:t>
      </w:r>
      <w:r w:rsidR="00DC5031">
        <w:rPr>
          <w:rFonts w:eastAsia="Calibri"/>
        </w:rPr>
        <w:t xml:space="preserve"> in a manner consistent with NPEFS and F-33</w:t>
      </w:r>
      <w:r w:rsidR="00273BAD">
        <w:rPr>
          <w:rFonts w:eastAsia="Calibri"/>
        </w:rPr>
        <w:t xml:space="preserve"> (OMB# </w:t>
      </w:r>
      <w:r w:rsidRPr="00273BAD" w:rsidR="00273BAD">
        <w:rPr>
          <w:rFonts w:eastAsia="Calibri"/>
        </w:rPr>
        <w:t>1850-0930</w:t>
      </w:r>
      <w:r w:rsidR="00273BAD">
        <w:rPr>
          <w:rFonts w:eastAsia="Calibri"/>
        </w:rPr>
        <w:t>)</w:t>
      </w:r>
      <w:r w:rsidR="00DC5031">
        <w:rPr>
          <w:rFonts w:eastAsia="Calibri"/>
        </w:rPr>
        <w:t>.</w:t>
      </w:r>
    </w:p>
    <w:p w:rsidR="00BD41C6" w:rsidRPr="00EA0D13" w:rsidP="00EA0D13" w14:paraId="4E06DD52" w14:textId="7FBADD0F">
      <w:pPr>
        <w:pStyle w:val="Heading2"/>
      </w:pPr>
      <w:r w:rsidRPr="00EA0D13">
        <w:t>b.</w:t>
      </w:r>
      <w:r w:rsidRPr="00EA0D13">
        <w:tab/>
      </w:r>
      <w:r w:rsidRPr="00EA0D13">
        <w:t>Legislative Authority</w:t>
      </w:r>
    </w:p>
    <w:p w:rsidR="002F7842" w:rsidRPr="002D71E1" w:rsidP="004109A1" w14:paraId="4E06DD53" w14:textId="0AB37C1D">
      <w:pPr>
        <w:spacing w:after="120"/>
        <w:ind w:right="-86"/>
      </w:pPr>
      <w:r w:rsidRPr="002D71E1">
        <w:t>NPEFS is the Nation’s only source of annual statistical information about total revenues and expenditures for public elementary and secondary education</w:t>
      </w:r>
      <w:r w:rsidRPr="002D71E1" w:rsidR="00926529">
        <w:t xml:space="preserve"> at the state level</w:t>
      </w:r>
      <w:r w:rsidRPr="002D71E1">
        <w:t>.</w:t>
      </w:r>
      <w:r w:rsidR="00C83F01">
        <w:t xml:space="preserve"> </w:t>
      </w:r>
      <w:r w:rsidRPr="002D71E1" w:rsidR="00330585">
        <w:rPr>
          <w:color w:val="333333"/>
        </w:rPr>
        <w:t>NCES collects data annually from SEAs</w:t>
      </w:r>
      <w:r w:rsidRPr="002D71E1" w:rsidR="00330585">
        <w:t xml:space="preserve"> under </w:t>
      </w:r>
      <w:r w:rsidRPr="002D71E1" w:rsidR="00396837">
        <w:t>S</w:t>
      </w:r>
      <w:r w:rsidRPr="002D71E1" w:rsidR="00396837">
        <w:rPr>
          <w:color w:val="333333"/>
        </w:rPr>
        <w:t>ection 153(a)(1)(I) of the Education Sciences Reform Act of 2002,</w:t>
      </w:r>
      <w:r w:rsidR="00736F36">
        <w:rPr>
          <w:rStyle w:val="apple-converted-space"/>
          <w:color w:val="333333"/>
        </w:rPr>
        <w:t xml:space="preserve"> </w:t>
      </w:r>
      <w:hyperlink r:id="rId13" w:tgtFrame="_blank" w:history="1">
        <w:r w:rsidRPr="002D71E1" w:rsidR="00396837">
          <w:rPr>
            <w:rStyle w:val="Hyperlink"/>
            <w:color w:val="3071A9"/>
            <w:bdr w:val="none" w:sz="0" w:space="0" w:color="auto" w:frame="1"/>
          </w:rPr>
          <w:t>20 U.S.C. 9543</w:t>
        </w:r>
      </w:hyperlink>
      <w:r w:rsidRPr="002D71E1" w:rsidR="00396837">
        <w:rPr>
          <w:color w:val="333333"/>
        </w:rPr>
        <w:t xml:space="preserve">(a)(1)(I), </w:t>
      </w:r>
      <w:r w:rsidRPr="002D71E1" w:rsidR="00330585">
        <w:rPr>
          <w:color w:val="333333"/>
        </w:rPr>
        <w:t xml:space="preserve">which </w:t>
      </w:r>
      <w:r w:rsidRPr="002D71E1" w:rsidR="00396837">
        <w:rPr>
          <w:color w:val="333333"/>
        </w:rPr>
        <w:t>authorizes NCES to gather data on the financing and management of education.</w:t>
      </w:r>
    </w:p>
    <w:p w:rsidR="00E0452D" w:rsidRPr="00BD41C6" w:rsidP="00EA0D13" w14:paraId="4E06DD54" w14:textId="77777777">
      <w:pPr>
        <w:pStyle w:val="Heading2"/>
      </w:pPr>
      <w:r>
        <w:t>c.</w:t>
      </w:r>
      <w:r>
        <w:tab/>
      </w:r>
      <w:r w:rsidRPr="00E0452D">
        <w:t>Regulations and Program Requirements</w:t>
      </w:r>
    </w:p>
    <w:p w:rsidR="00E647AB" w:rsidP="004109A1" w14:paraId="18066EED" w14:textId="77777777">
      <w:pPr>
        <w:widowControl w:val="0"/>
        <w:spacing w:after="120"/>
      </w:pPr>
      <w:r w:rsidRPr="00AA1670">
        <w:t>Participation in the CCD is voluntary, but several Department of Education Programs require the use of its data. The use may be stipulated by guidance or reporting instr</w:t>
      </w:r>
      <w:r w:rsidR="00FF3382">
        <w:t>uctions rather than regulation.</w:t>
      </w:r>
    </w:p>
    <w:p w:rsidR="00B30C42" w:rsidRPr="00AA1670" w:rsidP="00EA0D13" w14:paraId="4E06DD57" w14:textId="39B9628C">
      <w:pPr>
        <w:pStyle w:val="Heading1"/>
      </w:pPr>
      <w:r>
        <w:t>A2.</w:t>
      </w:r>
      <w:r>
        <w:tab/>
      </w:r>
      <w:r w:rsidRPr="0079018C">
        <w:t>Needs and Uses</w:t>
      </w:r>
    </w:p>
    <w:p w:rsidR="00E647AB" w:rsidP="004109A1" w14:paraId="53FBDC17" w14:textId="30E2A888">
      <w:pPr>
        <w:widowControl w:val="0"/>
        <w:spacing w:after="120"/>
        <w:rPr>
          <w:color w:val="000000"/>
        </w:rPr>
      </w:pPr>
      <w:r w:rsidRPr="001C03E7">
        <w:rPr>
          <w:color w:val="000000"/>
        </w:rPr>
        <w:t xml:space="preserve">NPEFS is an annual state level school finance data collection </w:t>
      </w:r>
      <w:r w:rsidR="00146304">
        <w:rPr>
          <w:color w:val="000000"/>
        </w:rPr>
        <w:t xml:space="preserve">that began </w:t>
      </w:r>
      <w:r w:rsidR="00784AFB">
        <w:rPr>
          <w:color w:val="000000"/>
        </w:rPr>
        <w:t>in</w:t>
      </w:r>
      <w:r w:rsidRPr="001C03E7">
        <w:rPr>
          <w:color w:val="000000"/>
        </w:rPr>
        <w:t xml:space="preserve"> FY </w:t>
      </w:r>
      <w:r w:rsidR="00982B28">
        <w:rPr>
          <w:color w:val="000000"/>
        </w:rPr>
        <w:t>19</w:t>
      </w:r>
      <w:r w:rsidRPr="001C03E7">
        <w:rPr>
          <w:color w:val="000000"/>
        </w:rPr>
        <w:t>82</w:t>
      </w:r>
      <w:r w:rsidR="008E3C22">
        <w:rPr>
          <w:color w:val="000000"/>
        </w:rPr>
        <w:t xml:space="preserve">. NPEFS has </w:t>
      </w:r>
      <w:r>
        <w:rPr>
          <w:color w:val="000000"/>
        </w:rPr>
        <w:t>exist</w:t>
      </w:r>
      <w:r w:rsidR="008E3C22">
        <w:rPr>
          <w:color w:val="000000"/>
        </w:rPr>
        <w:t xml:space="preserve">ed </w:t>
      </w:r>
      <w:r>
        <w:rPr>
          <w:color w:val="000000"/>
        </w:rPr>
        <w:t>in its current form since 1986.</w:t>
      </w:r>
      <w:r w:rsidR="002F7842">
        <w:rPr>
          <w:color w:val="000000"/>
        </w:rPr>
        <w:t xml:space="preserve"> </w:t>
      </w:r>
      <w:r w:rsidR="00384B7E">
        <w:rPr>
          <w:color w:val="000000"/>
        </w:rPr>
        <w:t>Th</w:t>
      </w:r>
      <w:r>
        <w:rPr>
          <w:color w:val="000000"/>
        </w:rPr>
        <w:t xml:space="preserve">e NPEFS </w:t>
      </w:r>
      <w:r w:rsidR="00384B7E">
        <w:rPr>
          <w:color w:val="000000"/>
        </w:rPr>
        <w:t xml:space="preserve">contains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sidR="00D70594">
        <w:rPr>
          <w:color w:val="000000"/>
        </w:rPr>
        <w:t>.</w:t>
      </w:r>
      <w:r>
        <w:rPr>
          <w:color w:val="000000"/>
        </w:rPr>
        <w:t xml:space="preserve"> </w:t>
      </w:r>
      <w:r w:rsidRPr="00384B7E" w:rsidR="00384B7E">
        <w:rPr>
          <w:color w:val="000000"/>
        </w:rPr>
        <w:t>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w:t>
      </w:r>
      <w:r w:rsidR="00D70594">
        <w:rPr>
          <w:color w:val="000000"/>
        </w:rPr>
        <w:t>, d</w:t>
      </w:r>
      <w:r w:rsidRPr="00D70594" w:rsidR="00D70594">
        <w:rPr>
          <w:color w:val="000000"/>
        </w:rPr>
        <w:t xml:space="preserve">ebt </w:t>
      </w:r>
      <w:r w:rsidR="00D70594">
        <w:rPr>
          <w:color w:val="000000"/>
        </w:rPr>
        <w:t>s</w:t>
      </w:r>
      <w:r w:rsidRPr="00D70594" w:rsidR="00D70594">
        <w:rPr>
          <w:color w:val="000000"/>
        </w:rPr>
        <w:t>ervice</w:t>
      </w:r>
      <w:r w:rsidR="00D70594">
        <w:rPr>
          <w:color w:val="000000"/>
        </w:rPr>
        <w:t>,</w:t>
      </w:r>
      <w:r w:rsidRPr="00D70594" w:rsidR="00D70594">
        <w:rPr>
          <w:color w:val="000000"/>
        </w:rPr>
        <w:t xml:space="preserve"> </w:t>
      </w:r>
      <w:r w:rsidR="00031E64">
        <w:rPr>
          <w:color w:val="000000"/>
        </w:rPr>
        <w:t>miscellaneous,</w:t>
      </w:r>
      <w:r w:rsidRPr="00D70594" w:rsidR="00D70594">
        <w:rPr>
          <w:color w:val="000000"/>
        </w:rPr>
        <w:t xml:space="preserve"> and other items. These categories can be further classified by sub-object.</w:t>
      </w:r>
    </w:p>
    <w:p w:rsidR="00E647AB" w:rsidP="004109A1" w14:paraId="5FE139F1" w14:textId="557B58E1">
      <w:pPr>
        <w:spacing w:after="120"/>
        <w:rPr>
          <w:color w:val="000000"/>
        </w:rPr>
      </w:pP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the </w:t>
      </w:r>
      <w:r w:rsidR="005E5716">
        <w:t xml:space="preserve">U.S. </w:t>
      </w:r>
      <w:r w:rsidR="00A00B5A">
        <w:t>Virgin Islands</w:t>
      </w:r>
      <w:r>
        <w:t>.</w:t>
      </w:r>
      <w:r w:rsidR="002F7842">
        <w:t xml:space="preserve"> </w:t>
      </w:r>
      <w:r w:rsidR="0039203D">
        <w:t xml:space="preserve">NPEFS serves as both a statistical and </w:t>
      </w:r>
      <w:r w:rsidR="000E2688">
        <w:t xml:space="preserve">an </w:t>
      </w:r>
      <w:r w:rsidR="0039203D">
        <w:t xml:space="preserve">administrative collection used for </w:t>
      </w:r>
      <w:r w:rsidR="0039203D">
        <w:t>a number of</w:t>
      </w:r>
      <w:r w:rsidR="0039203D">
        <w:t xml:space="preserve"> federal program funding allocations.</w:t>
      </w:r>
    </w:p>
    <w:p w:rsidR="00E647AB" w:rsidP="004109A1" w14:paraId="56A29693" w14:textId="2F5ECE18">
      <w:pPr>
        <w:spacing w:after="120"/>
        <w:rPr>
          <w:i/>
          <w:u w:val="single"/>
        </w:rPr>
      </w:pPr>
      <w:r w:rsidRPr="00C747F1">
        <w:rPr>
          <w:i/>
          <w:u w:val="single"/>
        </w:rPr>
        <w:t>Statistical Uses</w:t>
      </w:r>
    </w:p>
    <w:p w:rsidR="00E647AB" w:rsidP="004109A1" w14:paraId="1E9E8767" w14:textId="780D921E">
      <w:pPr>
        <w:spacing w:after="120"/>
      </w:pPr>
      <w:r w:rsidRPr="00AA1670">
        <w:t>As a general statistical collection</w:t>
      </w:r>
      <w:r w:rsidR="005E5716">
        <w:t>,</w:t>
      </w:r>
      <w:r w:rsidR="007301B9">
        <w:t xml:space="preserve"> </w:t>
      </w:r>
      <w:r w:rsidRPr="00AA1670">
        <w:t>the NPEFS is used for a range of purposes.</w:t>
      </w:r>
      <w:r w:rsidR="002F7842">
        <w:rPr>
          <w:b/>
        </w:rPr>
        <w:t xml:space="preserve"> </w:t>
      </w:r>
      <w:r w:rsidR="00A40D7A">
        <w:t xml:space="preserve">Education finance data </w:t>
      </w:r>
      <w:r w:rsidR="00A40D7A">
        <w:t>provide</w:t>
      </w:r>
      <w:r w:rsidR="00A40D7A">
        <w:t xml:space="preserve"> powerful information for </w:t>
      </w:r>
      <w:r w:rsidR="00FC53B1">
        <w:t xml:space="preserve">reporting, research, management and budgeting </w:t>
      </w:r>
      <w:r w:rsidR="00A40D7A">
        <w:t>decision</w:t>
      </w:r>
      <w:r w:rsidR="00C83139">
        <w:t xml:space="preserve"> </w:t>
      </w:r>
      <w:r w:rsidR="00A40D7A">
        <w:t>making, policymaking</w:t>
      </w:r>
      <w:r w:rsidR="00FC53B1">
        <w:t>,</w:t>
      </w:r>
      <w:r w:rsidR="00A40D7A">
        <w:t xml:space="preserve"> and evaluation within and across education systems.</w:t>
      </w:r>
      <w:r w:rsidR="002F7842">
        <w:t xml:space="preserve"> </w:t>
      </w:r>
      <w:r w:rsidR="00A40D7A">
        <w:t>Uses can be far-ranging from state and national comparisons to individual school le</w:t>
      </w:r>
      <w:r w:rsidR="00FC53B1">
        <w:t>vel management of resources</w:t>
      </w:r>
      <w:r w:rsidR="00A40D7A">
        <w:t>.</w:t>
      </w:r>
      <w:r w:rsidR="002F7842">
        <w:t xml:space="preserve"> </w:t>
      </w:r>
      <w:r w:rsidR="00C83139">
        <w:t>The consumers of education finance data typically include five major groups: (1) oversight bodies such as school boards</w:t>
      </w:r>
      <w:r w:rsidR="00031727">
        <w:t>, state education agencies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CB5EB1" w:rsidP="004109A1" w14:paraId="2F4FF95F" w14:textId="5E72F41D">
      <w:pPr>
        <w:widowControl w:val="0"/>
        <w:autoSpaceDE w:val="0"/>
        <w:autoSpaceDN w:val="0"/>
        <w:adjustRightInd w:val="0"/>
        <w:spacing w:after="120"/>
        <w:rPr>
          <w:color w:val="000000"/>
        </w:rPr>
      </w:pPr>
      <w:r w:rsidRPr="000A211D">
        <w:t xml:space="preserve">NPEFS data are also used for the </w:t>
      </w:r>
      <w:r w:rsidRPr="000A211D">
        <w:rPr>
          <w:i/>
          <w:iCs/>
        </w:rPr>
        <w:t xml:space="preserve">Condition of Education </w:t>
      </w:r>
      <w:r w:rsidRPr="000A211D">
        <w:t xml:space="preserve">– a congressionally mandated annual report from </w:t>
      </w:r>
      <w:r w:rsidRPr="000A211D">
        <w:t>NCES</w:t>
      </w:r>
      <w:r w:rsidRPr="000A211D" w:rsidR="00385E0C">
        <w:t xml:space="preserve"> and for</w:t>
      </w:r>
      <w:r w:rsidRPr="000A211D">
        <w:t xml:space="preserve"> </w:t>
      </w:r>
      <w:r w:rsidRPr="000A211D">
        <w:rPr>
          <w:color w:val="000000"/>
        </w:rPr>
        <w:t xml:space="preserve">the </w:t>
      </w:r>
      <w:r w:rsidRPr="000A211D">
        <w:rPr>
          <w:i/>
          <w:iCs/>
          <w:color w:val="000000"/>
        </w:rPr>
        <w:t xml:space="preserve">Digest of Education Statistics </w:t>
      </w:r>
      <w:r w:rsidRPr="000A211D">
        <w:rPr>
          <w:color w:val="000000"/>
        </w:rPr>
        <w:t>and CCD-specific reports,</w:t>
      </w:r>
      <w:r w:rsidRPr="00D66CD4">
        <w:rPr>
          <w:color w:val="000000"/>
        </w:rPr>
        <w:t xml:space="preserve"> such as the annual </w:t>
      </w:r>
      <w:r w:rsidRPr="00D66CD4">
        <w:rPr>
          <w:i/>
          <w:iCs/>
          <w:color w:val="000000"/>
        </w:rPr>
        <w:t>Revenues and</w:t>
      </w:r>
      <w:r w:rsidRPr="00231FC5">
        <w:rPr>
          <w:i/>
          <w:iCs/>
          <w:color w:val="000000"/>
        </w:rPr>
        <w:t xml:space="preserve"> Expenditures for Public Elementary and Secondary Education</w:t>
      </w:r>
      <w:r w:rsidRPr="00231FC5">
        <w:rPr>
          <w:color w:val="000000"/>
        </w:rPr>
        <w:t>.</w:t>
      </w:r>
      <w:r w:rsidR="002F7842">
        <w:rPr>
          <w:color w:val="000000"/>
        </w:rPr>
        <w:t xml:space="preserve"> </w:t>
      </w:r>
      <w:r w:rsidRPr="00AA1670">
        <w:rPr>
          <w:color w:val="000000"/>
        </w:rPr>
        <w:t xml:space="preserve">The NCES website makes the </w:t>
      </w:r>
      <w:r>
        <w:rPr>
          <w:color w:val="000000"/>
        </w:rPr>
        <w:t xml:space="preserve">CCD school finance data </w:t>
      </w:r>
      <w:r w:rsidRPr="00AA1670">
        <w:rPr>
          <w:color w:val="000000"/>
        </w:rPr>
        <w:t xml:space="preserve">available to the </w:t>
      </w:r>
      <w:r w:rsidRPr="00AA1670">
        <w:rPr>
          <w:color w:val="000000"/>
        </w:rPr>
        <w:t>general publi</w:t>
      </w:r>
      <w:r>
        <w:rPr>
          <w:color w:val="000000"/>
        </w:rPr>
        <w:t>c</w:t>
      </w:r>
      <w:r>
        <w:rPr>
          <w:color w:val="000000"/>
        </w:rPr>
        <w:t xml:space="preserve"> through public use data files</w:t>
      </w:r>
      <w:r w:rsidRPr="00AA1670">
        <w:rPr>
          <w:color w:val="000000"/>
        </w:rPr>
        <w:t xml:space="preserve"> and through </w:t>
      </w:r>
      <w:r w:rsidRPr="00AA1670" w:rsidR="005E5716">
        <w:rPr>
          <w:color w:val="000000"/>
        </w:rPr>
        <w:t>easy-to-use</w:t>
      </w:r>
      <w:r w:rsidRPr="00AA1670">
        <w:rPr>
          <w:color w:val="000000"/>
        </w:rPr>
        <w:t xml:space="preserv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Elementary-Secondary Information System</w:t>
      </w:r>
      <w:r w:rsidR="00D70594">
        <w:t xml:space="preserve"> (</w:t>
      </w:r>
      <w:r w:rsidR="00D70594">
        <w:t>E</w:t>
      </w:r>
      <w:r w:rsidR="00146304">
        <w:t>l</w:t>
      </w:r>
      <w:r w:rsidR="00D70594">
        <w:t>S</w:t>
      </w:r>
      <w:r w:rsidR="00146304">
        <w:t>i</w:t>
      </w:r>
      <w:r w:rsidR="00D70594">
        <w:t>)</w:t>
      </w:r>
      <w:r w:rsidRPr="00735D3D" w:rsidR="00735D3D">
        <w:t xml:space="preserve"> </w:t>
      </w:r>
      <w:r w:rsidR="00735D3D">
        <w:t>t</w:t>
      </w:r>
      <w:r w:rsidRPr="00FB3F2B" w:rsidR="00735D3D">
        <w:t>ool;</w:t>
      </w:r>
      <w:r w:rsidR="00735D3D">
        <w:t xml:space="preserve"> </w:t>
      </w:r>
      <w:r>
        <w:t xml:space="preserve">and </w:t>
      </w:r>
      <w:r w:rsidRPr="00FB3F2B">
        <w:t>School District Demographics System</w:t>
      </w:r>
      <w:r>
        <w:t>.</w:t>
      </w:r>
      <w:r w:rsidR="002F7842">
        <w:t xml:space="preserve"> </w:t>
      </w:r>
    </w:p>
    <w:p w:rsidR="00E647AB" w:rsidP="004109A1" w14:paraId="7774C043" w14:textId="77777777">
      <w:pPr>
        <w:autoSpaceDE w:val="0"/>
        <w:autoSpaceDN w:val="0"/>
        <w:adjustRightInd w:val="0"/>
        <w:spacing w:after="120"/>
        <w:rPr>
          <w:snapToGrid w:val="0"/>
        </w:rPr>
      </w:pPr>
      <w:r w:rsidRPr="00C747F1">
        <w:rPr>
          <w:i/>
          <w:snapToGrid w:val="0"/>
          <w:u w:val="single"/>
        </w:rPr>
        <w:t>Administrative Uses</w:t>
      </w:r>
    </w:p>
    <w:p w:rsidR="001E7181" w:rsidP="004109A1" w14:paraId="08ED991A" w14:textId="07DD1FA2">
      <w:pPr>
        <w:widowControl w:val="0"/>
        <w:autoSpaceDE w:val="0"/>
        <w:autoSpaceDN w:val="0"/>
        <w:adjustRightInd w:val="0"/>
        <w:spacing w:after="120"/>
      </w:pPr>
      <w:r w:rsidRPr="001E7181">
        <w:t>The Secretary of Education uses NPEFS data directly in calculating allocations for certain formula grant programs, including, but not limited to Title I, Part A of the Elementary and Secondary Education Act of 1965 (ESEA), Impact Aid, and Indian Education programs.</w:t>
      </w:r>
      <w:r>
        <w:rPr>
          <w:rStyle w:val="FootnoteReference"/>
          <w:snapToGrid w:val="0"/>
          <w:vertAlign w:val="superscript"/>
        </w:rPr>
        <w:footnoteReference w:id="4"/>
      </w:r>
      <w:r w:rsidRPr="001E7181">
        <w:t xml:space="preserve"> Based on the attendance, revenue, and expenditure data collected from SEAs, NCES determines a State’s “average per-pupil expenditure” (SPPE) for elementary and secondary education, as defined by the ESEA section 9101(2) and as amended by </w:t>
      </w:r>
      <w:r w:rsidR="00B62282">
        <w:t>the Every Student Succeeds Act (ESSA) (</w:t>
      </w:r>
      <w:r w:rsidRPr="001E7181">
        <w:t>20 U.S.C. section 7801(2)</w:t>
      </w:r>
      <w:r w:rsidR="00B62282">
        <w:t>)</w:t>
      </w:r>
      <w:r w:rsidRPr="001E7181">
        <w:t>. Furthermore,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rsidR="00E647AB" w:rsidP="004109A1" w14:paraId="47BA74CB" w14:textId="77777777">
      <w:pPr>
        <w:autoSpaceDE w:val="0"/>
        <w:autoSpaceDN w:val="0"/>
        <w:adjustRightInd w:val="0"/>
        <w:spacing w:after="120"/>
        <w:rPr>
          <w:snapToGrid w:val="0"/>
        </w:rPr>
      </w:pPr>
      <w:r>
        <w:rPr>
          <w:i/>
          <w:snapToGrid w:val="0"/>
          <w:u w:val="single"/>
        </w:rPr>
        <w:t>NPEFS Data Plan</w:t>
      </w:r>
    </w:p>
    <w:p w:rsidR="00E647AB" w:rsidP="004109A1" w14:paraId="6C4A83D7" w14:textId="7FBF7241">
      <w:pPr>
        <w:widowControl w:val="0"/>
        <w:autoSpaceDE w:val="0"/>
        <w:autoSpaceDN w:val="0"/>
        <w:adjustRightInd w:val="0"/>
        <w:spacing w:after="120"/>
        <w:rPr>
          <w:snapToGrid w:val="0"/>
        </w:rPr>
      </w:pPr>
      <w:r>
        <w:rPr>
          <w:snapToGrid w:val="0"/>
        </w:rPr>
        <w:t xml:space="preserve">The NPEFS data plan </w:t>
      </w:r>
      <w:r w:rsidRPr="0062419F">
        <w:rPr>
          <w:snapToGrid w:val="0"/>
        </w:rPr>
        <w:t>documents state-specific information about how certain revenues and expenditures are reported and any changes to reporting from prior years</w:t>
      </w:r>
      <w:r w:rsidR="005E5716">
        <w:rPr>
          <w:snapToGrid w:val="0"/>
        </w:rPr>
        <w:t xml:space="preserve">. It </w:t>
      </w:r>
      <w:r>
        <w:rPr>
          <w:snapToGrid w:val="0"/>
        </w:rPr>
        <w:t xml:space="preserve">is also used to determine </w:t>
      </w:r>
      <w:r>
        <w:rPr>
          <w:snapToGrid w:val="0"/>
        </w:rPr>
        <w:t>SEAs’</w:t>
      </w:r>
      <w:r>
        <w:rPr>
          <w:snapToGrid w:val="0"/>
        </w:rPr>
        <w:t xml:space="preserve"> ability to potentially report additional data variables in the future.</w:t>
      </w:r>
    </w:p>
    <w:p w:rsidR="00E647AB" w:rsidP="00EA0D13" w14:paraId="769DC069" w14:textId="77777777">
      <w:pPr>
        <w:pStyle w:val="Heading1"/>
        <w:rPr>
          <w:color w:val="000000"/>
        </w:rPr>
      </w:pPr>
      <w:r w:rsidRPr="001A61A2">
        <w:rPr>
          <w:color w:val="000000"/>
        </w:rPr>
        <w:t>A</w:t>
      </w:r>
      <w:r>
        <w:rPr>
          <w:color w:val="000000"/>
        </w:rPr>
        <w:t>3.</w:t>
      </w:r>
      <w:r>
        <w:rPr>
          <w:color w:val="000000"/>
        </w:rPr>
        <w:tab/>
      </w:r>
      <w:r w:rsidRPr="001A61A2">
        <w:t>Use of Information Technology</w:t>
      </w:r>
    </w:p>
    <w:p w:rsidR="00E647AB" w:rsidP="004109A1" w14:paraId="1213DF2B" w14:textId="104C6614">
      <w:pPr>
        <w:spacing w:after="120"/>
        <w:rPr>
          <w:rStyle w:val="Strong"/>
        </w:rPr>
      </w:pPr>
      <w:r w:rsidRPr="00AA1670">
        <w:rPr>
          <w:color w:val="000000"/>
        </w:rPr>
        <w:t xml:space="preserve">The NPEFS data are collected </w:t>
      </w:r>
      <w:r w:rsidRPr="00AA1670" w:rsidR="001A4979">
        <w:rPr>
          <w:color w:val="000000"/>
        </w:rPr>
        <w:t xml:space="preserve">from </w:t>
      </w:r>
      <w:r w:rsidR="00D92BA4">
        <w:rPr>
          <w:color w:val="000000"/>
        </w:rPr>
        <w:t>SEAs</w:t>
      </w:r>
      <w:r w:rsidR="001A4979">
        <w:rPr>
          <w:color w:val="000000"/>
        </w:rPr>
        <w:t xml:space="preserve"> </w:t>
      </w:r>
      <w:r w:rsidRPr="009B0D43" w:rsidR="00E62197">
        <w:t>using a web application</w:t>
      </w:r>
      <w:r w:rsidR="001A4979">
        <w:t xml:space="preserve"> developed </w:t>
      </w:r>
      <w:r w:rsidR="005802D2">
        <w:t xml:space="preserve">and maintained </w:t>
      </w:r>
      <w:r w:rsidR="001A4979">
        <w:t xml:space="preserve">by Census </w:t>
      </w:r>
      <w:r w:rsidR="00A00638">
        <w:t>and</w:t>
      </w:r>
      <w:r w:rsidR="001A4979">
        <w:t xml:space="preserve"> located on NCES servers.</w:t>
      </w:r>
      <w:r w:rsidR="002F7842">
        <w:rPr>
          <w:color w:val="000000"/>
        </w:rPr>
        <w:t xml:space="preserve"> </w:t>
      </w:r>
      <w:r w:rsidR="00B71D31">
        <w:rPr>
          <w:color w:val="000000"/>
        </w:rPr>
        <w:t>NCES collects data annually from SEAs through ED Form 2447.</w:t>
      </w:r>
      <w:r w:rsidR="002F7842">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w:t>
      </w:r>
      <w:r w:rsidR="002F7842">
        <w:t xml:space="preserve"> </w:t>
      </w:r>
      <w:r>
        <w:t xml:space="preserve">The NPEFS </w:t>
      </w:r>
      <w:r w:rsidRPr="009B0D43">
        <w:t xml:space="preserve">website </w:t>
      </w:r>
      <w:r w:rsidR="00E62197">
        <w:rPr>
          <w:color w:val="000000"/>
        </w:rPr>
        <w:t xml:space="preserve">utilizes the </w:t>
      </w:r>
      <w:r w:rsidRPr="009B0D43" w:rsidR="00E62197">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w:t>
      </w:r>
      <w:r w:rsidR="002F7842">
        <w:t xml:space="preserve"> </w:t>
      </w:r>
      <w:bookmarkStart w:id="0" w:name="_Hlk100844593"/>
      <w:r w:rsidR="00AE6522">
        <w:t>T</w:t>
      </w:r>
      <w:r w:rsidRPr="009B0D43">
        <w:t>he authorized state official electronically confirm</w:t>
      </w:r>
      <w:r w:rsidR="00B62282">
        <w:t>s</w:t>
      </w:r>
      <w:r w:rsidRPr="009B0D43">
        <w:t xml:space="preserve"> submission with the state's NPEFS </w:t>
      </w:r>
      <w:r w:rsidRPr="00B7640E">
        <w:rPr>
          <w:rStyle w:val="Strong"/>
          <w:b w:val="0"/>
        </w:rPr>
        <w:t>digital confirmation password.</w:t>
      </w:r>
      <w:r w:rsidR="002F7842">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w:t>
      </w:r>
      <w:r w:rsidR="00EC43CB">
        <w:rPr>
          <w:color w:val="000000"/>
        </w:rPr>
        <w:t xml:space="preserve">. </w:t>
      </w:r>
      <w:bookmarkEnd w:id="0"/>
      <w:r w:rsidR="008E3C22">
        <w:rPr>
          <w:color w:val="000000"/>
        </w:rPr>
        <w:t>The paper report</w:t>
      </w:r>
      <w:r w:rsidRPr="00AA1670">
        <w:rPr>
          <w:color w:val="000000"/>
        </w:rPr>
        <w:t xml:space="preserve"> option </w:t>
      </w:r>
      <w:r w:rsidR="005E5716">
        <w:rPr>
          <w:color w:val="000000"/>
        </w:rPr>
        <w:t>has not been used by any SEA in the past 5 years</w:t>
      </w:r>
      <w:r w:rsidRPr="00AA1670">
        <w:rPr>
          <w:color w:val="000000"/>
        </w:rPr>
        <w:t>.</w:t>
      </w:r>
      <w:r w:rsidR="002F7842">
        <w:rPr>
          <w:rStyle w:val="Strong"/>
        </w:rPr>
        <w:t xml:space="preserve"> </w:t>
      </w:r>
      <w:r w:rsidR="00045078">
        <w:rPr>
          <w:color w:val="000000"/>
        </w:rPr>
        <w:t>The web application produces an Excel spreadsheet dataset that c</w:t>
      </w:r>
      <w:r w:rsidRPr="00AA1670" w:rsidR="00045078">
        <w:rPr>
          <w:color w:val="000000"/>
        </w:rPr>
        <w:t>onsist</w:t>
      </w:r>
      <w:r w:rsidR="00045078">
        <w:rPr>
          <w:color w:val="000000"/>
        </w:rPr>
        <w:t>s</w:t>
      </w:r>
      <w:r w:rsidRPr="00AA1670" w:rsidR="00045078">
        <w:rPr>
          <w:color w:val="000000"/>
        </w:rPr>
        <w:t xml:space="preserve"> of a single record </w:t>
      </w:r>
      <w:r w:rsidR="00045078">
        <w:rPr>
          <w:color w:val="000000"/>
        </w:rPr>
        <w:t>per</w:t>
      </w:r>
      <w:r w:rsidRPr="00AA1670" w:rsidR="00045078">
        <w:rPr>
          <w:color w:val="000000"/>
        </w:rPr>
        <w:t xml:space="preserve"> state</w:t>
      </w:r>
      <w:r w:rsidR="00045078">
        <w:rPr>
          <w:color w:val="000000"/>
        </w:rPr>
        <w:t xml:space="preserve"> that can be used to review NPEFS data externally or produce a publishable data file</w:t>
      </w:r>
      <w:r w:rsidRPr="00AA1670" w:rsidR="00045078">
        <w:rPr>
          <w:color w:val="000000"/>
        </w:rPr>
        <w:t>.</w:t>
      </w:r>
    </w:p>
    <w:p w:rsidR="00E647AB" w:rsidP="00CB5EB1" w14:paraId="05924656" w14:textId="77777777">
      <w:pPr>
        <w:pStyle w:val="Heading1"/>
      </w:pPr>
      <w:r w:rsidRPr="00CB5EB1">
        <w:t>A</w:t>
      </w:r>
      <w:r w:rsidRPr="00CB5EB1" w:rsidR="00B30C42">
        <w:t>4.</w:t>
      </w:r>
      <w:r w:rsidRPr="00CB5EB1">
        <w:tab/>
      </w:r>
      <w:r w:rsidRPr="00CB5EB1" w:rsidR="001A0F98">
        <w:t>Efforts t</w:t>
      </w:r>
      <w:r w:rsidRPr="00CB5EB1">
        <w:t>o Identify Duplication</w:t>
      </w:r>
    </w:p>
    <w:p w:rsidR="00D81948" w:rsidP="00D81948" w14:paraId="3FB746C1" w14:textId="0954C7D8">
      <w:r>
        <w:t xml:space="preserve">NCES and the </w:t>
      </w:r>
      <w:r>
        <w:t xml:space="preserve">Census Bureau meet regularly with groups of education data collectors and users. The chief sponsors of such groups include the Council of Chief State School Officers and the U.S. Department of Education. These meetings afford </w:t>
      </w:r>
      <w:r w:rsidR="00CB5EB1">
        <w:t xml:space="preserve">NCES and </w:t>
      </w:r>
      <w:r>
        <w:t>Census the opportunity to stay informed about all major education data collections and issues and allow for coordinating collection plans with other stakeholders.</w:t>
      </w:r>
    </w:p>
    <w:p w:rsidR="00D81948" w:rsidP="00D81948" w14:paraId="752240E9" w14:textId="77777777"/>
    <w:p w:rsidR="00D81948" w:rsidP="00D81948" w14:paraId="3E2132F1" w14:textId="4E7F1EEE">
      <w:pPr>
        <w:pStyle w:val="NormalWeb"/>
        <w:spacing w:before="0" w:beforeAutospacing="0" w:after="0" w:afterAutospacing="0"/>
        <w:rPr>
          <w:color w:val="000000" w:themeColor="text1"/>
        </w:rPr>
      </w:pPr>
      <w:r w:rsidRPr="2037C9E1">
        <w:rPr>
          <w:color w:val="000000" w:themeColor="text1"/>
        </w:rPr>
        <w:t xml:space="preserve">The </w:t>
      </w:r>
      <w:r w:rsidR="00CB5EB1">
        <w:rPr>
          <w:color w:val="000000" w:themeColor="text1"/>
        </w:rPr>
        <w:t>aforementioned F-33</w:t>
      </w:r>
      <w:r w:rsidRPr="2037C9E1" w:rsidR="00CB5EB1">
        <w:rPr>
          <w:color w:val="000000" w:themeColor="text1"/>
        </w:rPr>
        <w:t xml:space="preserve"> </w:t>
      </w:r>
      <w:r w:rsidRPr="2037C9E1">
        <w:rPr>
          <w:color w:val="000000" w:themeColor="text1"/>
        </w:rPr>
        <w:t xml:space="preserve">and SLFS also collect finance data from public school systems for elementary-secondary education. The </w:t>
      </w:r>
      <w:r w:rsidR="00CB5EB1">
        <w:rPr>
          <w:color w:val="000000" w:themeColor="text1"/>
        </w:rPr>
        <w:t>F-33</w:t>
      </w:r>
      <w:r w:rsidRPr="2037C9E1" w:rsidR="00CB5EB1">
        <w:rPr>
          <w:color w:val="000000" w:themeColor="text1"/>
        </w:rPr>
        <w:t xml:space="preserve"> </w:t>
      </w:r>
      <w:r w:rsidRPr="2037C9E1">
        <w:rPr>
          <w:color w:val="000000" w:themeColor="text1"/>
        </w:rPr>
        <w:t xml:space="preserve">obtains </w:t>
      </w:r>
      <w:r w:rsidR="00CB5EB1">
        <w:rPr>
          <w:color w:val="000000" w:themeColor="text1"/>
        </w:rPr>
        <w:t xml:space="preserve">district-level data </w:t>
      </w:r>
      <w:r w:rsidRPr="2037C9E1">
        <w:rPr>
          <w:color w:val="000000" w:themeColor="text1"/>
        </w:rPr>
        <w:t xml:space="preserve">for revenue and expenditure items and the SLFS obtains school-level totals for current expenditure items, while the </w:t>
      </w:r>
      <w:r w:rsidR="00CB5EB1">
        <w:rPr>
          <w:color w:val="000000" w:themeColor="text1"/>
        </w:rPr>
        <w:t>NPEFS</w:t>
      </w:r>
      <w:r w:rsidRPr="2037C9E1">
        <w:rPr>
          <w:color w:val="000000" w:themeColor="text1"/>
        </w:rPr>
        <w:t xml:space="preserve"> focuses on </w:t>
      </w:r>
      <w:r w:rsidR="00CB5EB1">
        <w:rPr>
          <w:color w:val="000000" w:themeColor="text1"/>
        </w:rPr>
        <w:t xml:space="preserve">state-level totals for </w:t>
      </w:r>
      <w:r w:rsidRPr="2037C9E1">
        <w:rPr>
          <w:color w:val="000000" w:themeColor="text1"/>
        </w:rPr>
        <w:t xml:space="preserve">revenues and expenditures for all local education agencies. </w:t>
      </w:r>
      <w:r>
        <w:t xml:space="preserve">Census Bureau staff also serve as the data collection agents for the </w:t>
      </w:r>
      <w:r w:rsidR="00CB5EB1">
        <w:t>F-33</w:t>
      </w:r>
      <w:r>
        <w:t xml:space="preserve"> and SLFS. </w:t>
      </w:r>
      <w:r w:rsidRPr="2037C9E1">
        <w:rPr>
          <w:color w:val="000000" w:themeColor="text1"/>
        </w:rPr>
        <w:t xml:space="preserve">In 2012, the Census Bureau and NCES evaluated the feasibility of </w:t>
      </w:r>
      <w:r w:rsidRPr="2037C9E1">
        <w:rPr>
          <w:color w:val="000000" w:themeColor="text1"/>
        </w:rPr>
        <w:t xml:space="preserve">consolidating the NPEFS and </w:t>
      </w:r>
      <w:r w:rsidR="00CB5EB1">
        <w:rPr>
          <w:color w:val="000000" w:themeColor="text1"/>
        </w:rPr>
        <w:t>F-33</w:t>
      </w:r>
      <w:r w:rsidRPr="2037C9E1">
        <w:rPr>
          <w:color w:val="000000" w:themeColor="text1"/>
        </w:rPr>
        <w:t>. Several substantial differences were identified between the needs and the scope of the two survey collections:</w:t>
      </w:r>
    </w:p>
    <w:p w:rsidR="00D81948" w:rsidRPr="006251EF" w:rsidP="00D81948" w14:paraId="1AAC0A9D" w14:textId="77777777">
      <w:pPr>
        <w:pStyle w:val="NormalWeb"/>
        <w:spacing w:before="0" w:beforeAutospacing="0" w:after="0" w:afterAutospacing="0"/>
        <w:rPr>
          <w:color w:val="000000"/>
        </w:rPr>
      </w:pPr>
    </w:p>
    <w:p w:rsidR="00D81948" w:rsidRPr="006251EF" w:rsidP="00D81948" w14:paraId="551FF250" w14:textId="77777777">
      <w:pPr>
        <w:pStyle w:val="NormalWeb"/>
        <w:shd w:val="clear" w:color="auto" w:fill="FFFFFF" w:themeFill="background1"/>
        <w:spacing w:before="0" w:beforeAutospacing="0" w:after="0" w:afterAutospacing="0"/>
        <w:ind w:left="720"/>
        <w:rPr>
          <w:color w:val="000000"/>
        </w:rPr>
      </w:pPr>
      <w:r w:rsidRPr="22922EC8">
        <w:rPr>
          <w:color w:val="000000" w:themeColor="text1"/>
        </w:rPr>
        <w:t xml:space="preserve">1. The reporting deadlines are substantially </w:t>
      </w:r>
      <w:r w:rsidRPr="22922EC8">
        <w:rPr>
          <w:color w:val="000000" w:themeColor="text1"/>
        </w:rPr>
        <w:t>different;</w:t>
      </w:r>
    </w:p>
    <w:p w:rsidR="00D81948" w:rsidRPr="006251EF" w:rsidP="00D81948" w14:paraId="459FD9A1" w14:textId="77777777">
      <w:pPr>
        <w:pStyle w:val="NormalWeb"/>
        <w:shd w:val="clear" w:color="auto" w:fill="FFFFFF" w:themeFill="background1"/>
        <w:spacing w:before="0" w:beforeAutospacing="0" w:after="0" w:afterAutospacing="0"/>
        <w:ind w:left="720"/>
        <w:rPr>
          <w:color w:val="000000"/>
        </w:rPr>
      </w:pPr>
      <w:r w:rsidRPr="22922EC8">
        <w:rPr>
          <w:color w:val="000000" w:themeColor="text1"/>
        </w:rPr>
        <w:t xml:space="preserve">2. Not </w:t>
      </w:r>
      <w:r w:rsidRPr="22922EC8">
        <w:rPr>
          <w:color w:val="000000" w:themeColor="text1"/>
        </w:rPr>
        <w:t>all of</w:t>
      </w:r>
      <w:r w:rsidRPr="22922EC8">
        <w:rPr>
          <w:color w:val="000000" w:themeColor="text1"/>
        </w:rPr>
        <w:t xml:space="preserve"> the </w:t>
      </w:r>
      <w:r w:rsidRPr="22922EC8">
        <w:rPr>
          <w:color w:val="000000" w:themeColor="text1"/>
        </w:rPr>
        <w:t>data items</w:t>
      </w:r>
      <w:r w:rsidRPr="22922EC8">
        <w:rPr>
          <w:color w:val="000000" w:themeColor="text1"/>
        </w:rPr>
        <w:t xml:space="preserve"> collected at the state level can currently be collected at the school system </w:t>
      </w:r>
      <w:r w:rsidRPr="22922EC8">
        <w:rPr>
          <w:color w:val="000000" w:themeColor="text1"/>
        </w:rPr>
        <w:t>level;</w:t>
      </w:r>
    </w:p>
    <w:p w:rsidR="00D81948" w:rsidRPr="006251EF" w:rsidP="00D81948" w14:paraId="206CC4EA" w14:textId="77777777">
      <w:pPr>
        <w:pStyle w:val="NormalWeb"/>
        <w:shd w:val="clear" w:color="auto" w:fill="FFFFFF" w:themeFill="background1"/>
        <w:spacing w:before="0" w:beforeAutospacing="0" w:after="0" w:afterAutospacing="0"/>
        <w:ind w:left="720"/>
        <w:rPr>
          <w:color w:val="000000"/>
        </w:rPr>
      </w:pPr>
      <w:r w:rsidRPr="22922EC8">
        <w:rPr>
          <w:color w:val="000000" w:themeColor="text1"/>
        </w:rPr>
        <w:t xml:space="preserve">3. Some data item definitions differ between surveys due to their uses and </w:t>
      </w:r>
      <w:r w:rsidRPr="22922EC8">
        <w:rPr>
          <w:color w:val="000000" w:themeColor="text1"/>
        </w:rPr>
        <w:t>sources;</w:t>
      </w:r>
    </w:p>
    <w:p w:rsidR="00D81948" w:rsidP="00D81948" w14:paraId="07CB0D2B" w14:textId="77777777">
      <w:pPr>
        <w:pStyle w:val="NormalWeb"/>
        <w:shd w:val="clear" w:color="auto" w:fill="FFFFFF" w:themeFill="background1"/>
        <w:spacing w:before="0" w:beforeAutospacing="0" w:after="0" w:afterAutospacing="0"/>
        <w:ind w:left="720"/>
        <w:rPr>
          <w:color w:val="000000" w:themeColor="text1"/>
        </w:rPr>
      </w:pPr>
      <w:r w:rsidRPr="22922EC8">
        <w:rPr>
          <w:color w:val="000000" w:themeColor="text1"/>
        </w:rPr>
        <w:t>4. The timing of the editing processes and procedures by SEAs vary greatly between the state level data versus the school system level data.</w:t>
      </w:r>
    </w:p>
    <w:p w:rsidR="00D81948" w:rsidP="00D81948" w14:paraId="13C4DB07" w14:textId="77777777">
      <w:pPr>
        <w:pStyle w:val="NormalWeb"/>
        <w:shd w:val="clear" w:color="auto" w:fill="FFFFFF" w:themeFill="background1"/>
        <w:spacing w:before="0" w:beforeAutospacing="0" w:after="0" w:afterAutospacing="0"/>
        <w:ind w:left="720"/>
        <w:rPr>
          <w:color w:val="000000"/>
        </w:rPr>
      </w:pPr>
    </w:p>
    <w:p w:rsidR="00D81948" w:rsidP="00D81948" w14:paraId="02135C0F" w14:textId="4C0098CF">
      <w:pPr>
        <w:pStyle w:val="NormalWeb"/>
        <w:shd w:val="clear" w:color="auto" w:fill="FFFFFF" w:themeFill="background1"/>
        <w:spacing w:before="0" w:beforeAutospacing="0" w:after="0" w:afterAutospacing="0"/>
        <w:rPr>
          <w:color w:val="000000" w:themeColor="text1"/>
        </w:rPr>
      </w:pPr>
      <w:r w:rsidRPr="22922EC8">
        <w:rPr>
          <w:color w:val="000000" w:themeColor="text1"/>
        </w:rPr>
        <w:t xml:space="preserve">The Census Bureau and NCES are currently re-evaluating this study and considering ways to use state administrative records to replace these three separate collections. As part of this study, the Census Bureau and NCES will identify ways to harmonize the </w:t>
      </w:r>
      <w:r w:rsidRPr="22922EC8">
        <w:rPr>
          <w:color w:val="000000" w:themeColor="text1"/>
        </w:rPr>
        <w:t>aforementioned differences</w:t>
      </w:r>
      <w:r w:rsidRPr="22922EC8">
        <w:rPr>
          <w:color w:val="000000" w:themeColor="text1"/>
        </w:rPr>
        <w:t xml:space="preserve"> between the needs and scope of the </w:t>
      </w:r>
      <w:r w:rsidR="00CB5EB1">
        <w:rPr>
          <w:color w:val="000000" w:themeColor="text1"/>
        </w:rPr>
        <w:t>three</w:t>
      </w:r>
      <w:r w:rsidRPr="22922EC8" w:rsidR="00CB5EB1">
        <w:rPr>
          <w:color w:val="000000" w:themeColor="text1"/>
        </w:rPr>
        <w:t xml:space="preserve"> </w:t>
      </w:r>
      <w:r w:rsidRPr="22922EC8">
        <w:rPr>
          <w:color w:val="000000" w:themeColor="text1"/>
        </w:rPr>
        <w:t xml:space="preserve">collections. </w:t>
      </w:r>
    </w:p>
    <w:p w:rsidR="00D81948" w:rsidP="00D81948" w14:paraId="3BBF6DFC" w14:textId="77777777">
      <w:pPr>
        <w:pStyle w:val="NormalWeb"/>
        <w:shd w:val="clear" w:color="auto" w:fill="FFFFFF" w:themeFill="background1"/>
        <w:spacing w:before="0" w:beforeAutospacing="0" w:after="0" w:afterAutospacing="0"/>
        <w:rPr>
          <w:color w:val="000000"/>
        </w:rPr>
      </w:pPr>
    </w:p>
    <w:p w:rsidR="00D81948" w:rsidRPr="00CB5EB1" w:rsidP="00CB5EB1" w14:paraId="01DFFA6F" w14:textId="782F4DA2">
      <w:pPr>
        <w:rPr>
          <w:color w:val="000000" w:themeColor="text1"/>
        </w:rPr>
      </w:pPr>
      <w:r w:rsidRPr="22922EC8">
        <w:rPr>
          <w:color w:val="000000" w:themeColor="text1"/>
        </w:rPr>
        <w:t xml:space="preserve">The Census Bureau will also seek to leverage the states’ existing data systems and structures instead of relying on customized extracts or reporting. </w:t>
      </w:r>
      <w:r>
        <w:t xml:space="preserve">SEAs typically collect finance data using a state-specific standard chart of accounts from school districts for their own uses. This study will coordinate with State Education Agencies to identify the most appropriate method for </w:t>
      </w:r>
      <w:r w:rsidRPr="22922EC8">
        <w:rPr>
          <w:color w:val="000000" w:themeColor="text1"/>
        </w:rPr>
        <w:t>collecting and processing these administrative data records directly instead of requesting the data in the aggregated survey format for NPEFS, F-33, and SLFS. As a result, the Census Bureau anticipates being able to minimize respondent burden, reduce</w:t>
      </w:r>
      <w:r>
        <w:t xml:space="preserve"> the cost to the Federal government, improve data quality, and enhance the timeliness of data products to the public. </w:t>
      </w:r>
    </w:p>
    <w:p w:rsidR="00E647AB" w:rsidP="00EA0D13" w14:paraId="63E26123" w14:textId="77777777">
      <w:pPr>
        <w:pStyle w:val="Heading1"/>
        <w:rPr>
          <w:color w:val="000000"/>
        </w:rPr>
      </w:pPr>
      <w:r w:rsidRPr="008678A4">
        <w:rPr>
          <w:color w:val="000000"/>
        </w:rPr>
        <w:t>A</w:t>
      </w:r>
      <w:r w:rsidRPr="008678A4" w:rsidR="00B30C42">
        <w:rPr>
          <w:color w:val="000000"/>
        </w:rPr>
        <w:t>5.</w:t>
      </w:r>
      <w:r w:rsidRPr="008678A4">
        <w:rPr>
          <w:color w:val="000000"/>
        </w:rPr>
        <w:tab/>
      </w:r>
      <w:r w:rsidRPr="008678A4">
        <w:t>Minimizing Burden</w:t>
      </w:r>
    </w:p>
    <w:p w:rsidR="00E647AB" w:rsidP="004109A1" w14:paraId="12B05FEF" w14:textId="77777777">
      <w:pPr>
        <w:autoSpaceDE w:val="0"/>
        <w:autoSpaceDN w:val="0"/>
        <w:adjustRightInd w:val="0"/>
        <w:spacing w:after="12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sidR="002F7842">
        <w:rPr>
          <w:color w:val="000000"/>
        </w:rPr>
        <w:t xml:space="preserve"> </w:t>
      </w:r>
      <w:r w:rsidRPr="00AA1670" w:rsidR="00B30C42">
        <w:rPr>
          <w:color w:val="000000"/>
        </w:rPr>
        <w:t xml:space="preserve">NPEFS </w:t>
      </w:r>
      <w:r>
        <w:rPr>
          <w:color w:val="000000"/>
        </w:rPr>
        <w:t xml:space="preserve">data comes from state’s administrative records and </w:t>
      </w:r>
      <w:r w:rsidRPr="00AA1670" w:rsidR="00B30C42">
        <w:rPr>
          <w:color w:val="000000"/>
        </w:rPr>
        <w:t xml:space="preserve">NCES </w:t>
      </w:r>
      <w:r>
        <w:rPr>
          <w:color w:val="000000"/>
        </w:rPr>
        <w:t>works with LEAs on an ongoing basis to assure that burden associated with NPEFS data submission is kept</w:t>
      </w:r>
      <w:r w:rsidR="00820E3E">
        <w:rPr>
          <w:color w:val="000000"/>
        </w:rPr>
        <w:t xml:space="preserve"> to a</w:t>
      </w:r>
      <w:r w:rsidR="002F7842">
        <w:rPr>
          <w:color w:val="000000"/>
        </w:rPr>
        <w:t xml:space="preserve"> </w:t>
      </w:r>
      <w:r>
        <w:rPr>
          <w:color w:val="000000"/>
        </w:rPr>
        <w:t>minimum.</w:t>
      </w:r>
    </w:p>
    <w:p w:rsidR="00E647AB" w:rsidP="00EA0D13" w14:paraId="760D02B0" w14:textId="77777777">
      <w:pPr>
        <w:pStyle w:val="Heading1"/>
        <w:rPr>
          <w:color w:val="000000"/>
        </w:rPr>
      </w:pPr>
      <w:r w:rsidRPr="008678A4">
        <w:rPr>
          <w:color w:val="000000"/>
        </w:rPr>
        <w:t>A6.</w:t>
      </w:r>
      <w:r w:rsidRPr="008678A4">
        <w:rPr>
          <w:color w:val="000000"/>
        </w:rPr>
        <w:tab/>
      </w:r>
      <w:r w:rsidRPr="008678A4">
        <w:t>Consequences of Less Frequent Collection</w:t>
      </w:r>
    </w:p>
    <w:p w:rsidR="00E647AB" w:rsidP="000026B6" w14:paraId="1A08A08D" w14:textId="2F631327">
      <w:pPr>
        <w:widowControl w:val="0"/>
        <w:autoSpaceDE w:val="0"/>
        <w:autoSpaceDN w:val="0"/>
        <w:adjustRightInd w:val="0"/>
        <w:spacing w:after="120"/>
        <w:rPr>
          <w:color w:val="000000"/>
        </w:rPr>
      </w:pPr>
      <w:r w:rsidRPr="00AA1670">
        <w:rPr>
          <w:color w:val="000000"/>
          <w:u w:val="single"/>
        </w:rPr>
        <w:t>Consequences if not collected</w:t>
      </w:r>
      <w:r w:rsidR="009F3CCE">
        <w:rPr>
          <w:color w:val="000000"/>
        </w:rPr>
        <w:t>.</w:t>
      </w:r>
      <w:r w:rsidR="002F7842">
        <w:rPr>
          <w:color w:val="000000"/>
        </w:rPr>
        <w:t xml:space="preserve"> </w:t>
      </w:r>
      <w:r w:rsidRPr="0031795A" w:rsidR="008A3342">
        <w:t>Having accurate</w:t>
      </w:r>
      <w:r w:rsidR="00B423F8">
        <w:t>,</w:t>
      </w:r>
      <w:r w:rsidRPr="0031795A" w:rsidR="008A3342">
        <w:t xml:space="preserve"> consistent</w:t>
      </w:r>
      <w:r w:rsidR="00B423F8">
        <w:t>, and timely</w:t>
      </w:r>
      <w:r w:rsidRPr="0031795A" w:rsidR="008A3342">
        <w:t xml:space="preserve"> </w:t>
      </w:r>
      <w:r w:rsidR="00B423F8">
        <w:t xml:space="preserve">fiscal </w:t>
      </w:r>
      <w:r w:rsidRPr="0031795A" w:rsidR="008A3342">
        <w:t xml:space="preserve">information </w:t>
      </w:r>
      <w:r w:rsidR="00B423F8">
        <w:t xml:space="preserve">from states </w:t>
      </w:r>
      <w:r w:rsidRPr="0031795A" w:rsidR="008A3342">
        <w:t xml:space="preserve">is critical to an efficient and fair </w:t>
      </w:r>
      <w:r w:rsidR="00B423F8">
        <w:t xml:space="preserve">federal </w:t>
      </w:r>
      <w:r w:rsidRPr="0031795A" w:rsidR="008A3342">
        <w:t>allocation process</w:t>
      </w:r>
      <w:r w:rsidR="00B25F5E">
        <w:t xml:space="preserve"> and to </w:t>
      </w:r>
      <w:r w:rsidR="0063610A">
        <w:t>the ability to make publicly available</w:t>
      </w:r>
      <w:r w:rsidR="00B25F5E">
        <w:t xml:space="preserve"> current and comparable finance data </w:t>
      </w:r>
      <w:r w:rsidR="0063610A">
        <w:t>for all states and territories</w:t>
      </w:r>
      <w:r w:rsidRPr="0031795A" w:rsidR="008A3342">
        <w:t>.</w:t>
      </w:r>
      <w:r w:rsidR="002F7842">
        <w:t xml:space="preserve"> </w:t>
      </w:r>
      <w:r w:rsidR="00D774FD">
        <w:t>The federal register states that, “</w:t>
      </w:r>
      <w:r w:rsidRPr="00D774FD" w:rsidR="00D774FD">
        <w:t>Having accurate, consistent, and timely information is critical to an efficient and fair Department of Education (Department) allocation process and to the NCES statistical process.</w:t>
      </w:r>
      <w:r w:rsidR="00D774FD">
        <w:t>”</w:t>
      </w:r>
      <w:r>
        <w:rPr>
          <w:rStyle w:val="FootnoteReference"/>
          <w:vertAlign w:val="superscript"/>
        </w:rPr>
        <w:footnoteReference w:id="5"/>
      </w:r>
      <w:r w:rsidR="00D774FD">
        <w:t xml:space="preserve"> </w:t>
      </w:r>
      <w:r w:rsidRPr="0031795A" w:rsidR="008A3342">
        <w:t>The annual collection of NPEFS data help</w:t>
      </w:r>
      <w:r w:rsidR="00B423F8">
        <w:t>s</w:t>
      </w:r>
      <w:r w:rsidRPr="0031795A" w:rsidR="008A3342">
        <w:t xml:space="preserve"> ensure timely distribution of Federal education funds based on the </w:t>
      </w:r>
      <w:r w:rsidR="00D7138B">
        <w:t>most current and</w:t>
      </w:r>
      <w:r w:rsidRPr="0031795A" w:rsidR="008A3342">
        <w:t xml:space="preserve"> accurate data available.</w:t>
      </w:r>
      <w:r w:rsidR="002F7842">
        <w:t xml:space="preserve"> </w:t>
      </w:r>
      <w:r w:rsidRPr="00131E58" w:rsidR="00131E58">
        <w:t>If NPEFS was not collected on its current schedule, the Department of Education would not have access to current and comparable state per-pupil expenditure data for use in determining program allocations, and thus would not have the needed basis for calculating allocations for various formula grant programs, such as the Title I, Part A of the ESEA; Impact Aid; and Indian Education programs. Furthermore if NPEFS was not collected</w:t>
      </w:r>
      <w:r w:rsidR="0061417E">
        <w:t>,</w:t>
      </w:r>
      <w:r w:rsidRPr="00131E58" w:rsidR="00131E58">
        <w:t xml:space="preserve"> other programs would be adversely impacted, such as the </w:t>
      </w:r>
      <w:r w:rsidRPr="00CB5EB1" w:rsidR="00131E58">
        <w:t>Education for Homeless Children and Youth program under title VII of the McKinney-Vento Homeless Assistance Act, and the Student Support and Academic Enrichment Grants under title IV, part A of the ESEA,</w:t>
      </w:r>
      <w:r w:rsidRPr="00131E58" w:rsidR="00131E58">
        <w:t xml:space="preserve"> because those programs make use of SPPE data indirectly because their formulas are based, in whole or in part, on State title I, part A, allocations. The Department of Education would no longer have an official indicator of the level of effort (measured in dollars) that state and local governments are making to provide public education</w:t>
      </w:r>
      <w:r w:rsidRPr="00AA1670">
        <w:rPr>
          <w:color w:val="000000"/>
        </w:rPr>
        <w:t>.</w:t>
      </w:r>
    </w:p>
    <w:p w:rsidR="00E647AB" w:rsidP="004109A1" w14:paraId="2C84350B" w14:textId="77777777">
      <w:pPr>
        <w:widowControl w:val="0"/>
        <w:autoSpaceDE w:val="0"/>
        <w:autoSpaceDN w:val="0"/>
        <w:adjustRightInd w:val="0"/>
        <w:spacing w:after="120"/>
        <w:rPr>
          <w:color w:val="000000"/>
        </w:rPr>
      </w:pPr>
      <w:r w:rsidRPr="00AA1670">
        <w:rPr>
          <w:color w:val="000000"/>
        </w:rPr>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w:t>
      </w:r>
      <w:r w:rsidR="0031795A">
        <w:t>systems at the district and school level</w:t>
      </w:r>
      <w:r w:rsidR="009F3CCE">
        <w:t>,</w:t>
      </w:r>
      <w:r w:rsidR="0031795A">
        <w:t xml:space="preserve"> researchers</w:t>
      </w:r>
      <w:r w:rsidR="009F3CCE">
        <w:t>,</w:t>
      </w:r>
      <w:r w:rsidR="0031795A">
        <w:t xml:space="preserve"> and the public.</w:t>
      </w:r>
    </w:p>
    <w:p w:rsidR="00E647AB" w:rsidP="004109A1" w14:paraId="2E4579EB" w14:textId="77777777">
      <w:pPr>
        <w:autoSpaceDE w:val="0"/>
        <w:autoSpaceDN w:val="0"/>
        <w:adjustRightInd w:val="0"/>
        <w:spacing w:after="12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w:t>
      </w:r>
      <w:r w:rsidRPr="00AA1670">
        <w:rPr>
          <w:color w:val="000000"/>
        </w:rPr>
        <w:t>these</w:t>
      </w:r>
      <w:r w:rsidRPr="00AA1670">
        <w:rPr>
          <w:color w:val="000000"/>
        </w:rPr>
        <w:t xml:space="preserve"> data </w:t>
      </w:r>
      <w:r w:rsidR="00D05609">
        <w:rPr>
          <w:color w:val="000000"/>
        </w:rPr>
        <w:t xml:space="preserve">already </w:t>
      </w:r>
      <w:r w:rsidRPr="00AA1670">
        <w:rPr>
          <w:color w:val="000000"/>
        </w:rPr>
        <w:t>collect the information annually or more often for the states’ own purposes.</w:t>
      </w:r>
      <w:r w:rsidR="002F7842">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2F7842">
        <w:rPr>
          <w:color w:val="000000"/>
        </w:rPr>
        <w:t xml:space="preserve"> </w:t>
      </w:r>
      <w:r w:rsidR="001547C4">
        <w:rPr>
          <w:color w:val="000000"/>
        </w:rPr>
        <w:t>Additionally, legislators, policymakers, and the public would not have access to current and comparable fiscal information pertaining to K-12 education</w:t>
      </w:r>
      <w:r w:rsidRPr="00AA1670">
        <w:rPr>
          <w:color w:val="000000"/>
        </w:rPr>
        <w:t>.</w:t>
      </w:r>
    </w:p>
    <w:p w:rsidR="00E647AB" w:rsidP="00EA0D13" w14:paraId="021AAC81" w14:textId="77777777">
      <w:pPr>
        <w:pStyle w:val="Heading1"/>
      </w:pPr>
      <w:r w:rsidRPr="008678A4">
        <w:t>A</w:t>
      </w:r>
      <w:r w:rsidRPr="008678A4" w:rsidR="00B30C42">
        <w:t>7.</w:t>
      </w:r>
      <w:r w:rsidRPr="008678A4">
        <w:tab/>
      </w:r>
      <w:r w:rsidRPr="00360AF0">
        <w:t>Special Circumstances</w:t>
      </w:r>
    </w:p>
    <w:p w:rsidR="00E647AB" w:rsidP="004109A1" w14:paraId="60952967" w14:textId="77777777">
      <w:pPr>
        <w:autoSpaceDE w:val="0"/>
        <w:autoSpaceDN w:val="0"/>
        <w:adjustRightInd w:val="0"/>
        <w:spacing w:after="120"/>
        <w:rPr>
          <w:color w:val="000000"/>
        </w:rPr>
      </w:pPr>
      <w:r>
        <w:rPr>
          <w:color w:val="000000"/>
        </w:rPr>
        <w:t>N</w:t>
      </w:r>
      <w:r w:rsidRPr="00AA1670" w:rsidR="00B30C42">
        <w:rPr>
          <w:color w:val="000000"/>
        </w:rPr>
        <w:t xml:space="preserve">o </w:t>
      </w:r>
      <w:r w:rsidR="0091545D">
        <w:rPr>
          <w:color w:val="000000"/>
        </w:rPr>
        <w:t xml:space="preserve">special </w:t>
      </w:r>
      <w:r w:rsidRPr="00AA1670" w:rsidR="00B30C42">
        <w:rPr>
          <w:color w:val="000000"/>
        </w:rPr>
        <w:t xml:space="preserve">circumstances </w:t>
      </w:r>
      <w:r w:rsidR="0091545D">
        <w:rPr>
          <w:color w:val="000000"/>
        </w:rPr>
        <w:t>associated with</w:t>
      </w:r>
      <w:r w:rsidRPr="00AA1670" w:rsidR="00B30C42">
        <w:rPr>
          <w:color w:val="000000"/>
        </w:rPr>
        <w:t xml:space="preserve"> the NPEFS survey </w:t>
      </w:r>
      <w:r>
        <w:rPr>
          <w:color w:val="000000"/>
        </w:rPr>
        <w:t>are anticipated</w:t>
      </w:r>
      <w:r w:rsidRPr="00AA1670" w:rsidR="00B30C42">
        <w:rPr>
          <w:color w:val="000000"/>
        </w:rPr>
        <w:t>.</w:t>
      </w:r>
    </w:p>
    <w:p w:rsidR="00E647AB" w:rsidP="00EA0D13" w14:paraId="343BF8A3" w14:textId="34999C47">
      <w:pPr>
        <w:pStyle w:val="Heading1"/>
      </w:pPr>
      <w:r w:rsidRPr="008678A4">
        <w:t>A8.</w:t>
      </w:r>
      <w:r w:rsidRPr="008678A4" w:rsidR="008678A4">
        <w:tab/>
      </w:r>
      <w:r w:rsidRPr="008678A4" w:rsidR="008678A4">
        <w:t xml:space="preserve">Consultations </w:t>
      </w:r>
      <w:r w:rsidR="00CB415E">
        <w:t>o</w:t>
      </w:r>
      <w:r w:rsidRPr="008678A4" w:rsidR="008678A4">
        <w:t>utside the Agency</w:t>
      </w:r>
    </w:p>
    <w:p w:rsidR="00E647AB" w:rsidP="004109A1" w14:paraId="5273C0B2" w14:textId="3F7FF783">
      <w:pPr>
        <w:autoSpaceDE w:val="0"/>
        <w:autoSpaceDN w:val="0"/>
        <w:adjustRightInd w:val="0"/>
        <w:spacing w:after="120"/>
        <w:rPr>
          <w:color w:val="000000"/>
        </w:rPr>
      </w:pPr>
      <w:r w:rsidRPr="00AA1670">
        <w:rPr>
          <w:color w:val="000000"/>
        </w:rPr>
        <w:t xml:space="preserve">Each state’s Chief State School Officer </w:t>
      </w:r>
      <w:r w:rsidR="00B320F7">
        <w:rPr>
          <w:color w:val="000000"/>
        </w:rPr>
        <w:t xml:space="preserve">or a </w:t>
      </w:r>
      <w:r w:rsidR="00B320F7">
        <w:rPr>
          <w:color w:val="000000"/>
        </w:rPr>
        <w:t>designee</w:t>
      </w:r>
      <w:r w:rsidR="00B320F7">
        <w:rPr>
          <w:color w:val="000000"/>
        </w:rPr>
        <w:t xml:space="preserve"> </w:t>
      </w:r>
      <w:r w:rsidRPr="00AA1670">
        <w:rPr>
          <w:color w:val="000000"/>
        </w:rPr>
        <w:t>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r:id="rId14" w:history="1">
        <w:r w:rsidRPr="009260ED">
          <w:rPr>
            <w:rStyle w:val="Hyperlink"/>
          </w:rPr>
          <w:t>http://nces.ed.gov/ccd/corner.asp</w:t>
        </w:r>
      </w:hyperlink>
      <w:r>
        <w:rPr>
          <w:color w:val="000000"/>
        </w:rPr>
        <w:t>)</w:t>
      </w:r>
      <w:r w:rsidRPr="00AA1670">
        <w:rPr>
          <w:color w:val="000000"/>
        </w:rPr>
        <w:t>.</w:t>
      </w:r>
    </w:p>
    <w:p w:rsidR="0021271B" w:rsidP="004109A1" w14:paraId="4E06DDA5" w14:textId="30CA1190">
      <w:pPr>
        <w:widowControl w:val="0"/>
        <w:spacing w:after="120"/>
      </w:pPr>
      <w:r>
        <w:rPr>
          <w:color w:val="000000"/>
        </w:rPr>
        <w:t xml:space="preserve">NCES </w:t>
      </w:r>
      <w:r w:rsidR="00D70465">
        <w:rPr>
          <w:color w:val="000000"/>
        </w:rPr>
        <w:t xml:space="preserve">also solicited feedback on this collection via a notice in the Federal Register. </w:t>
      </w:r>
      <w:r w:rsidR="00B11702">
        <w:rPr>
          <w:color w:val="000000"/>
        </w:rPr>
        <w:t>T</w:t>
      </w:r>
      <w:r w:rsidRPr="0021271B" w:rsidR="0031795A">
        <w:rPr>
          <w:color w:val="000000"/>
        </w:rPr>
        <w:t xml:space="preserve">he most recent Federal </w:t>
      </w:r>
      <w:r w:rsidR="00E61845">
        <w:rPr>
          <w:color w:val="000000"/>
        </w:rPr>
        <w:t xml:space="preserve">Register </w:t>
      </w:r>
      <w:r w:rsidRPr="0021271B" w:rsidR="0031795A">
        <w:rPr>
          <w:color w:val="000000"/>
        </w:rPr>
        <w:t xml:space="preserve">Notice </w:t>
      </w:r>
      <w:r w:rsidR="00B11702">
        <w:rPr>
          <w:color w:val="000000"/>
        </w:rPr>
        <w:t>requesting public comment on t</w:t>
      </w:r>
      <w:r w:rsidR="00D70465">
        <w:rPr>
          <w:color w:val="000000"/>
        </w:rPr>
        <w:t xml:space="preserve">he </w:t>
      </w:r>
      <w:r w:rsidRPr="00B11702" w:rsidR="00B11702">
        <w:rPr>
          <w:color w:val="000000"/>
        </w:rPr>
        <w:t>National Public Education Financial Survey (NPEFS) 2025-2027</w:t>
      </w:r>
      <w:r w:rsidR="00B11702">
        <w:rPr>
          <w:color w:val="000000"/>
        </w:rPr>
        <w:t xml:space="preserve"> </w:t>
      </w:r>
      <w:r w:rsidRPr="0021271B">
        <w:t xml:space="preserve">was published on </w:t>
      </w:r>
      <w:r w:rsidR="00B11702">
        <w:t>July 18, 2025</w:t>
      </w:r>
      <w:r w:rsidRPr="0021271B">
        <w:t xml:space="preserve">, </w:t>
      </w:r>
      <w:r w:rsidRPr="00B11702" w:rsidR="00B11702">
        <w:t>90 FR 33932</w:t>
      </w:r>
      <w:r w:rsidRPr="0021271B">
        <w:t xml:space="preserve">, </w:t>
      </w:r>
      <w:r w:rsidRPr="0021271B" w:rsidR="00C53EB7">
        <w:t>pp.</w:t>
      </w:r>
      <w:r w:rsidRPr="0021271B">
        <w:t xml:space="preserve"> </w:t>
      </w:r>
      <w:r w:rsidRPr="00B11702" w:rsidR="00B11702">
        <w:t>33932-33933</w:t>
      </w:r>
      <w:r w:rsidR="00B55352">
        <w:t>.</w:t>
      </w:r>
    </w:p>
    <w:p w:rsidR="00934F50" w:rsidP="004109A1" w14:paraId="288FFEFA" w14:textId="7D3E175F">
      <w:pPr>
        <w:widowControl w:val="0"/>
        <w:spacing w:after="120"/>
      </w:pPr>
      <w:r>
        <w:t xml:space="preserve">In response, </w:t>
      </w:r>
      <w:r>
        <w:t xml:space="preserve">NCES received </w:t>
      </w:r>
      <w:r w:rsidR="00BB4C53">
        <w:t xml:space="preserve">a small number of </w:t>
      </w:r>
      <w:r w:rsidR="00FF0265">
        <w:t xml:space="preserve">comments </w:t>
      </w:r>
      <w:r w:rsidR="00B11702">
        <w:t xml:space="preserve">from </w:t>
      </w:r>
      <w:r w:rsidR="00614DFD">
        <w:rPr>
          <w:color w:val="000000"/>
        </w:rPr>
        <w:t>external stakeholders and interested parties</w:t>
      </w:r>
      <w:r w:rsidR="00614DFD">
        <w:t>.</w:t>
      </w:r>
      <w:r w:rsidR="00BB4C53">
        <w:t xml:space="preserve"> Specifically:</w:t>
      </w:r>
      <w:r w:rsidR="00614DFD">
        <w:t xml:space="preserve">  </w:t>
      </w:r>
    </w:p>
    <w:p w:rsidR="00E41929" w:rsidP="004109A1" w14:paraId="04DC0D6D" w14:textId="77777777">
      <w:pPr>
        <w:widowControl w:val="0"/>
        <w:spacing w:after="120"/>
      </w:pPr>
    </w:p>
    <w:p w:rsidR="00D90385" w:rsidP="004109A1" w14:paraId="67D352D4" w14:textId="71FA1D46">
      <w:pPr>
        <w:widowControl w:val="0"/>
        <w:spacing w:after="120"/>
      </w:pPr>
      <w:r>
        <w:rPr>
          <w:b/>
          <w:bCs/>
        </w:rPr>
        <w:t>Comment</w:t>
      </w:r>
      <w:r w:rsidRPr="000532ED">
        <w:rPr>
          <w:b/>
          <w:bCs/>
        </w:rPr>
        <w:t xml:space="preserve"> 1</w:t>
      </w:r>
      <w:r>
        <w:t xml:space="preserve">:  </w:t>
      </w:r>
      <w:r w:rsidRPr="00D90385">
        <w:t>The</w:t>
      </w:r>
      <w:r w:rsidRPr="00D90385">
        <w:t xml:space="preserve"> NPEFS Survey does not have a valid OMB identification number and judicial steps may be needed </w:t>
      </w:r>
      <w:r w:rsidRPr="00D90385">
        <w:t>in regard to</w:t>
      </w:r>
      <w:r w:rsidRPr="00D90385">
        <w:t xml:space="preserve"> this case.</w:t>
      </w:r>
    </w:p>
    <w:p w:rsidR="00D90385" w:rsidP="004109A1" w14:paraId="54DBB0A2" w14:textId="56DF9ED6">
      <w:pPr>
        <w:widowControl w:val="0"/>
        <w:spacing w:after="120"/>
      </w:pPr>
      <w:r w:rsidRPr="006A0D95">
        <w:rPr>
          <w:b/>
          <w:bCs/>
        </w:rPr>
        <w:t>Response</w:t>
      </w:r>
      <w:r>
        <w:t xml:space="preserve">:  </w:t>
      </w:r>
      <w:r w:rsidR="00083E13">
        <w:t>The</w:t>
      </w:r>
      <w:r w:rsidR="00083E13">
        <w:t xml:space="preserve"> NPEFS survey does have a valid OMB identification </w:t>
      </w:r>
      <w:r w:rsidR="00083E13">
        <w:t>number</w:t>
      </w:r>
      <w:r w:rsidR="00745047">
        <w:t xml:space="preserve"> and it is</w:t>
      </w:r>
      <w:r w:rsidR="00B11702">
        <w:t xml:space="preserve"> </w:t>
      </w:r>
      <w:r w:rsidRPr="00B11702" w:rsidR="00B11702">
        <w:t>1850-0067</w:t>
      </w:r>
      <w:r w:rsidR="00745047">
        <w:t>.</w:t>
      </w:r>
    </w:p>
    <w:p w:rsidR="00745047" w:rsidP="004109A1" w14:paraId="27AA2AE2" w14:textId="77777777">
      <w:pPr>
        <w:widowControl w:val="0"/>
        <w:spacing w:after="120"/>
      </w:pPr>
    </w:p>
    <w:p w:rsidR="000049F3" w:rsidP="004109A1" w14:paraId="472D501D" w14:textId="6C7AACFE">
      <w:pPr>
        <w:widowControl w:val="0"/>
        <w:spacing w:after="120"/>
      </w:pPr>
      <w:r>
        <w:rPr>
          <w:b/>
          <w:bCs/>
        </w:rPr>
        <w:t>Comment</w:t>
      </w:r>
      <w:r w:rsidRPr="006A0D95" w:rsidR="00745047">
        <w:rPr>
          <w:b/>
          <w:bCs/>
        </w:rPr>
        <w:t xml:space="preserve"> 2</w:t>
      </w:r>
      <w:r w:rsidR="00745047">
        <w:t xml:space="preserve">:  </w:t>
      </w:r>
      <w:r w:rsidRPr="000049F3">
        <w:t>Re</w:t>
      </w:r>
      <w:r w:rsidRPr="000049F3">
        <w:t>: Docket ID ED-2025-SCC-0086, National Public Education Financial Survey (NPEFS) 2025-2027</w:t>
      </w:r>
    </w:p>
    <w:p w:rsidR="00F61E6D" w:rsidP="004109A1" w14:paraId="7A7FD9BC" w14:textId="77777777">
      <w:pPr>
        <w:widowControl w:val="0"/>
        <w:spacing w:after="120"/>
      </w:pPr>
      <w:r w:rsidRPr="000049F3">
        <w:t>Issue: The Department's public assertion that states have no entitlement to data quality standards creates an immediate crisis for federal education funding and violates multiple statutory requirements.</w:t>
      </w:r>
      <w:r w:rsidR="00D70465">
        <w:t xml:space="preserve"> </w:t>
      </w:r>
      <w:r w:rsidRPr="000049F3">
        <w:t>Economic Impact: NPEFS data determines the allocation of over $18 billion annually in Title I funds alone, plus billions more through Impact Aid, McKinney-Vento, and other formula grants. A 1% data error translates to $180 million in misallocated Title I funds—money directed away from students who need it most.</w:t>
      </w:r>
      <w:r w:rsidR="00513576">
        <w:t xml:space="preserve"> </w:t>
      </w:r>
      <w:r w:rsidRPr="000049F3">
        <w:t>Legal Contradiction (FR Page 33933, Column 1): The collection states NPEFS requires "accurate and comparable data across states" using "uniform definitions, concepts, and procedures." This directly conflicts with the Department's position disclaiming data quality obligations. The Department cannot simultaneously:</w:t>
      </w:r>
      <w:r w:rsidRPr="000049F3">
        <w:br/>
      </w:r>
      <w:r w:rsidRPr="000049F3">
        <w:t>Claim data quality is optional for states</w:t>
      </w:r>
      <w:r w:rsidR="00513576">
        <w:t>; U</w:t>
      </w:r>
      <w:r w:rsidRPr="000049F3">
        <w:t xml:space="preserve">se that same data to calculate </w:t>
      </w:r>
      <w:r w:rsidRPr="000049F3">
        <w:t>legally-mandated</w:t>
      </w:r>
      <w:r w:rsidRPr="000049F3">
        <w:t xml:space="preserve"> State Per Pupil Expenditures under 20 U.S.C. § 7801</w:t>
      </w:r>
      <w:r w:rsidR="00513576">
        <w:t xml:space="preserve">; and </w:t>
      </w:r>
      <w:r w:rsidRPr="000049F3">
        <w:t>Comply with the Information Quality Act</w:t>
      </w:r>
      <w:r w:rsidR="00513576">
        <w:t>.</w:t>
      </w:r>
    </w:p>
    <w:p w:rsidR="00F61E6D" w:rsidP="004109A1" w14:paraId="1CD22B5F" w14:textId="77777777">
      <w:pPr>
        <w:widowControl w:val="0"/>
        <w:spacing w:after="120"/>
      </w:pPr>
      <w:r w:rsidRPr="000049F3">
        <w:t>Specific Impact on Question #4 (enhancing quality, utility, and clarity): Without enforceable data quality standards:</w:t>
      </w:r>
      <w:r w:rsidR="00513576">
        <w:t xml:space="preserve"> </w:t>
      </w:r>
      <w:r w:rsidRPr="000049F3">
        <w:t>High-poverty districts risk losing millions in Title I allocations due to reporting errors</w:t>
      </w:r>
      <w:r w:rsidR="00513576">
        <w:t xml:space="preserve">; </w:t>
      </w:r>
      <w:r w:rsidRPr="000049F3">
        <w:t>States cannot verify if their submitted data accurately reflects actual expenditures</w:t>
      </w:r>
      <w:r w:rsidR="00513576">
        <w:t xml:space="preserve">; </w:t>
      </w:r>
      <w:r w:rsidRPr="000049F3">
        <w:t xml:space="preserve">The 56 SEA respondents waste approximately 7,327 burden hours annually collecting data the Department claims </w:t>
      </w:r>
      <w:r w:rsidRPr="000049F3">
        <w:t>has</w:t>
      </w:r>
      <w:r w:rsidRPr="000049F3">
        <w:t xml:space="preserve"> no quality</w:t>
      </w:r>
      <w:r w:rsidR="00513576">
        <w:t xml:space="preserve"> </w:t>
      </w:r>
      <w:r w:rsidRPr="000049F3">
        <w:t>requirements</w:t>
      </w:r>
      <w:r w:rsidR="00513576">
        <w:t>.</w:t>
      </w:r>
    </w:p>
    <w:p w:rsidR="00745047" w:rsidP="004109A1" w14:paraId="279BA0D2" w14:textId="7159CB1E">
      <w:pPr>
        <w:widowControl w:val="0"/>
        <w:spacing w:after="120"/>
      </w:pPr>
      <w:r w:rsidRPr="000049F3">
        <w:t>Alternative Solution: The Department should:</w:t>
      </w:r>
      <w:r w:rsidR="00513576">
        <w:t xml:space="preserve"> </w:t>
      </w:r>
      <w:r w:rsidRPr="000049F3">
        <w:t>Affirm that NPEFS data quality standards are mandatory and enforceable</w:t>
      </w:r>
      <w:r w:rsidR="00513576">
        <w:t xml:space="preserve">; </w:t>
      </w:r>
      <w:r w:rsidRPr="000049F3">
        <w:t>Establish clear validation procedures before using data for funding calculations</w:t>
      </w:r>
      <w:r w:rsidR="00513576">
        <w:t xml:space="preserve">; </w:t>
      </w:r>
      <w:r w:rsidRPr="000049F3">
        <w:t>Provide states with data quality feedback and correction opportunities</w:t>
      </w:r>
      <w:r w:rsidR="00513576">
        <w:t xml:space="preserve">; </w:t>
      </w:r>
      <w:r w:rsidRPr="000049F3">
        <w:t xml:space="preserve">Trade-offs: While enforcing quality standards may </w:t>
      </w:r>
      <w:r w:rsidRPr="000049F3">
        <w:t>increase initial review time, the alternative—distributing billions based on unreliable data—violates federal law, harms students in need, and exposes the Department to litigation from states receiving incorrect allocations.</w:t>
      </w:r>
      <w:r w:rsidR="00513576">
        <w:t xml:space="preserve"> </w:t>
      </w:r>
      <w:r w:rsidRPr="000049F3">
        <w:t>This fundamental contradiction must be resolved before extending NPEFS approval. The Department cannot collect data for statutory purposes while disclaiming responsibility for its accuracy.</w:t>
      </w:r>
    </w:p>
    <w:p w:rsidR="000049F3" w:rsidP="004109A1" w14:paraId="64DF4A7C" w14:textId="78E6425C">
      <w:pPr>
        <w:widowControl w:val="0"/>
        <w:spacing w:after="120"/>
      </w:pPr>
      <w:r w:rsidRPr="006A0D95">
        <w:rPr>
          <w:b/>
          <w:bCs/>
        </w:rPr>
        <w:t>Response</w:t>
      </w:r>
      <w:r w:rsidR="00513576">
        <w:rPr>
          <w:b/>
          <w:bCs/>
        </w:rPr>
        <w:t xml:space="preserve"> </w:t>
      </w:r>
      <w:r w:rsidR="00F61E6D">
        <w:rPr>
          <w:b/>
          <w:bCs/>
        </w:rPr>
        <w:t>2</w:t>
      </w:r>
      <w:r>
        <w:t xml:space="preserve">: </w:t>
      </w:r>
      <w:r w:rsidR="00365CA6">
        <w:t xml:space="preserve">Census and the Department of </w:t>
      </w:r>
      <w:r w:rsidR="00BF2896">
        <w:t>Education</w:t>
      </w:r>
      <w:r w:rsidR="00365CA6">
        <w:t xml:space="preserve"> maintain stringent data standards </w:t>
      </w:r>
      <w:r w:rsidR="008C39DF">
        <w:t xml:space="preserve">for states </w:t>
      </w:r>
      <w:r w:rsidR="00467831">
        <w:t>and comprehensive validation procedures</w:t>
      </w:r>
      <w:r w:rsidR="008C39DF">
        <w:t xml:space="preserve"> which provide states with </w:t>
      </w:r>
      <w:r w:rsidR="00C23F75">
        <w:t xml:space="preserve">abundant opportunities for feedback and to update submissions.  Details on these can be found in </w:t>
      </w:r>
      <w:r w:rsidR="00C05E37">
        <w:t xml:space="preserve">the </w:t>
      </w:r>
      <w:hyperlink r:id="rId15" w:history="1">
        <w:r w:rsidRPr="00782BC6" w:rsidR="003E0FDA">
          <w:rPr>
            <w:rStyle w:val="Hyperlink"/>
            <w:rFonts w:eastAsia="Calibri"/>
            <w:szCs w:val="22"/>
          </w:rPr>
          <w:t>Financial Accounting for Local and State School Systems</w:t>
        </w:r>
        <w:r w:rsidRPr="00782BC6" w:rsidR="003E0FDA">
          <w:rPr>
            <w:rStyle w:val="Hyperlink"/>
          </w:rPr>
          <w:t xml:space="preserve"> </w:t>
        </w:r>
        <w:r w:rsidRPr="00782BC6" w:rsidR="00C05E37">
          <w:rPr>
            <w:rStyle w:val="Hyperlink"/>
          </w:rPr>
          <w:t>Accounting Handbook</w:t>
        </w:r>
      </w:hyperlink>
      <w:r w:rsidR="00C05E37">
        <w:t xml:space="preserve"> </w:t>
      </w:r>
      <w:r w:rsidR="003E0FDA">
        <w:t xml:space="preserve">as well as </w:t>
      </w:r>
      <w:r w:rsidR="006C7EB8">
        <w:t xml:space="preserve">in </w:t>
      </w:r>
      <w:r w:rsidR="001D5049">
        <w:t xml:space="preserve">Parts B &amp; C as well as </w:t>
      </w:r>
      <w:r w:rsidR="004741A0">
        <w:t xml:space="preserve">Appendix C </w:t>
      </w:r>
      <w:r w:rsidR="00C05E37">
        <w:t>(</w:t>
      </w:r>
      <w:r w:rsidR="004741A0">
        <w:t>NPEFS Documentation</w:t>
      </w:r>
      <w:r w:rsidR="00C05E37">
        <w:t>) included as part of this OMB package</w:t>
      </w:r>
      <w:r w:rsidR="004741A0">
        <w:t>.</w:t>
      </w:r>
      <w:r w:rsidR="00B11702">
        <w:t xml:space="preserve"> In addition, prior to being used in the allocation of federal funding, the authorized official for each state certifies via digital signature </w:t>
      </w:r>
      <w:r w:rsidR="00AF2F64">
        <w:t xml:space="preserve">that the data reported on the NPEFS constitute a true and full report of revenues, expenditures, and student attendance during the regular school year and for summer school for the public elementary and secondary schools under this jurisdiction for purposes of reporting under </w:t>
      </w:r>
      <w:r w:rsidRPr="00AF2F64" w:rsidR="00AF2F64">
        <w:t>section 153(a)(1)(I) of the Education Sciences Reform Act of 2002, 20 U.S.C. 9543(a)(1)(I) and the Elementary and Secondary Education Act of 1965, as amended (ESEA) (20 U.S.C. 6301 et. seq.)</w:t>
      </w:r>
      <w:r w:rsidR="00AF2F64">
        <w:t>.</w:t>
      </w:r>
    </w:p>
    <w:p w:rsidR="000049F3" w:rsidP="004109A1" w14:paraId="0EF1AE3E" w14:textId="77777777">
      <w:pPr>
        <w:widowControl w:val="0"/>
        <w:spacing w:after="120"/>
      </w:pPr>
    </w:p>
    <w:p w:rsidR="000049F3" w:rsidP="004109A1" w14:paraId="34C95148" w14:textId="10FE122F">
      <w:pPr>
        <w:widowControl w:val="0"/>
        <w:spacing w:after="120"/>
      </w:pPr>
      <w:bookmarkStart w:id="1" w:name="_Hlk214284074"/>
      <w:r>
        <w:rPr>
          <w:b/>
          <w:bCs/>
        </w:rPr>
        <w:t>Comment</w:t>
      </w:r>
      <w:r w:rsidRPr="009D5592" w:rsidR="004741A0">
        <w:rPr>
          <w:b/>
          <w:bCs/>
        </w:rPr>
        <w:t xml:space="preserve"> </w:t>
      </w:r>
      <w:r w:rsidR="004741A0">
        <w:rPr>
          <w:b/>
          <w:bCs/>
        </w:rPr>
        <w:t>3</w:t>
      </w:r>
      <w:r w:rsidR="004741A0">
        <w:t xml:space="preserve">:  </w:t>
      </w:r>
      <w:r w:rsidRPr="006F488E" w:rsidR="006F488E">
        <w:t>While</w:t>
      </w:r>
      <w:r w:rsidRPr="006F488E" w:rsidR="006F488E">
        <w:t xml:space="preserve"> we appreciate that NCES will be undertaking these surveys, we are concerned about potential data quality issues and the timely release of data on school expenditures in the absence of staff and infrastructure capacity. Nearly all NCES staff were affected by the reduction-in-force (RIF) that the Department of Education undertook in March, including those who oversaw contracts that facilitated data collection and reporting for the SLFS and NPEFS. We urge the Department of Education to take action to ensure that NCES can conduct the SLFS and NPEFS in a way that maintains high-quality statistical standards, including upholding </w:t>
      </w:r>
      <w:r w:rsidRPr="006F488E" w:rsidR="006F488E">
        <w:t>the validity</w:t>
      </w:r>
      <w:r w:rsidRPr="006F488E" w:rsidR="006F488E">
        <w:t>, objectivity, confidentiality, and reliability of data. As part of data collection, NCES should be able to work with state fiscal coordinators and provide technical assistance on state reporting of data from schools and districts as needed.</w:t>
      </w:r>
    </w:p>
    <w:p w:rsidR="006F488E" w:rsidP="004109A1" w14:paraId="4F363B28" w14:textId="1F6B2949">
      <w:pPr>
        <w:widowControl w:val="0"/>
        <w:spacing w:after="120"/>
      </w:pPr>
      <w:r>
        <w:t>Although NCES is not proposing updates to the survey content from the most recent rounds of data collection for both surveys in 2022-2024, the materials that accompany the Office of Management and Budget (OMB) reflect those school years and not 2025-2027. If states are expected to provide data to NCES by a certain deadline, the timeline in materials should reflect the current years for which data would be collected.</w:t>
      </w:r>
    </w:p>
    <w:p w:rsidR="00D117FC" w:rsidP="004109A1" w14:paraId="197288E3" w14:textId="034D4B88">
      <w:pPr>
        <w:widowControl w:val="0"/>
        <w:spacing w:after="120"/>
      </w:pPr>
      <w:r>
        <w:rPr>
          <w:b/>
          <w:bCs/>
        </w:rPr>
        <w:t>Response</w:t>
      </w:r>
      <w:r w:rsidR="00513576">
        <w:rPr>
          <w:b/>
          <w:bCs/>
        </w:rPr>
        <w:t xml:space="preserve"> 3</w:t>
      </w:r>
      <w:r>
        <w:t xml:space="preserve">:  </w:t>
      </w:r>
      <w:r w:rsidR="00BF4A98">
        <w:t>The</w:t>
      </w:r>
      <w:r w:rsidR="00BF4A98">
        <w:t xml:space="preserve"> Department of Education </w:t>
      </w:r>
      <w:r w:rsidR="004A2CDA">
        <w:t xml:space="preserve">will ensure that it meets its statutory obligations </w:t>
      </w:r>
      <w:r w:rsidR="00722457">
        <w:t xml:space="preserve">for </w:t>
      </w:r>
      <w:r w:rsidR="00954F98">
        <w:t>calculating</w:t>
      </w:r>
      <w:r w:rsidR="00722457">
        <w:t xml:space="preserve"> Title I allocations</w:t>
      </w:r>
      <w:r w:rsidR="00271678">
        <w:t xml:space="preserve">, </w:t>
      </w:r>
      <w:r w:rsidR="00722457">
        <w:t>disbursing them to states</w:t>
      </w:r>
      <w:r w:rsidR="00271678">
        <w:t xml:space="preserve"> and communicating the rules and results to the broader community</w:t>
      </w:r>
      <w:r w:rsidR="00722457">
        <w:t xml:space="preserve">. </w:t>
      </w:r>
      <w:r w:rsidR="00AF2F64">
        <w:t xml:space="preserve">All materials will be updated with the appropriate fiscal year prior to commencement of the survey collection cycle. </w:t>
      </w:r>
      <w:r w:rsidR="00722457">
        <w:t xml:space="preserve"> </w:t>
      </w:r>
    </w:p>
    <w:bookmarkEnd w:id="1"/>
    <w:p w:rsidR="00D117FC" w:rsidP="004109A1" w14:paraId="364204BC" w14:textId="77777777">
      <w:pPr>
        <w:widowControl w:val="0"/>
        <w:spacing w:after="120"/>
      </w:pPr>
    </w:p>
    <w:p w:rsidR="0059542D" w:rsidP="0059542D" w14:paraId="5A66A388" w14:textId="67F1B270">
      <w:pPr>
        <w:widowControl w:val="0"/>
        <w:spacing w:after="120"/>
      </w:pPr>
      <w:r>
        <w:rPr>
          <w:b/>
          <w:bCs/>
        </w:rPr>
        <w:t>Comment</w:t>
      </w:r>
      <w:r w:rsidRPr="009D5592" w:rsidR="00271678">
        <w:rPr>
          <w:b/>
          <w:bCs/>
        </w:rPr>
        <w:t xml:space="preserve"> </w:t>
      </w:r>
      <w:r w:rsidR="00271678">
        <w:rPr>
          <w:b/>
          <w:bCs/>
        </w:rPr>
        <w:t>4</w:t>
      </w:r>
      <w:r w:rsidR="00271678">
        <w:t xml:space="preserve">:  </w:t>
      </w:r>
      <w:r w:rsidRPr="0059542D">
        <w:t>The</w:t>
      </w:r>
      <w:r w:rsidRPr="0059542D">
        <w:t xml:space="preserve"> proposed rule should more clearly define the criteria for institutional eligibility, particularly where multiple campuses or affiliated entities operate under shared governance, to avoid inconsistent application and potential loopholes in oversight.</w:t>
      </w:r>
      <w:r w:rsidR="00752EF6">
        <w:t xml:space="preserve"> </w:t>
      </w:r>
      <w:r w:rsidRPr="0059542D">
        <w:t>The enforcement provisions appear to leave discretion in determining the severity of noncompliance penalties; establishing a transparent penalty matrix tied to objective thresholds would enhance fairness and predictability for all institutions.</w:t>
      </w:r>
      <w:r w:rsidR="00752EF6">
        <w:t xml:space="preserve"> </w:t>
      </w:r>
      <w:r w:rsidRPr="0059542D">
        <w:t>The rule requires certain data submissions but does not specify minimum data quality or verification standards; without explicit protocols and audit processes, there is a risk of incomplete or inaccurate reporting undermining program integrity.</w:t>
      </w:r>
      <w:r w:rsidR="00752EF6">
        <w:t xml:space="preserve"> </w:t>
      </w:r>
      <w:r w:rsidRPr="0059542D">
        <w:t>Timelines for institutional corrective action are not sufficiently detailed; the regulation should set clear deadlines for initial remediation and final compliance, with escalation steps for missed milestones to prevent prolonged deficiencies.</w:t>
      </w:r>
      <w:r w:rsidR="00752EF6">
        <w:t xml:space="preserve"> </w:t>
      </w:r>
      <w:r w:rsidRPr="0059542D">
        <w:t>The proposed reporting measures would be strengthened by requiring machine-readable formats and public access to aggregated compliance data, enabling stakeholders to track trends and improve policy evaluation.</w:t>
      </w:r>
      <w:r w:rsidR="00752EF6">
        <w:t xml:space="preserve"> </w:t>
      </w:r>
      <w:r w:rsidRPr="0059542D">
        <w:t>The cost analysis does not appear to disaggregate impacts by institution size and sector; incorporating differentiated estimates would help ensure that compliance requirements do not impose disproportionate burdens on smaller or resource-constrained schools</w:t>
      </w:r>
      <w:r w:rsidR="00752EF6">
        <w:t xml:space="preserve">. </w:t>
      </w:r>
      <w:r w:rsidRPr="0059542D">
        <w:t xml:space="preserve">There is no </w:t>
      </w:r>
      <w:r w:rsidRPr="0059542D">
        <w:t>explicit mention of alignment with existing state-level regulatory frameworks; clearer guidance on coordination procedures could reduce duplicative reporting and conflicting compliance directives for multi-jurisdictional institutions.</w:t>
      </w:r>
    </w:p>
    <w:p w:rsidR="00271678" w:rsidP="0059542D" w14:paraId="306F486E" w14:textId="3983C1A9">
      <w:pPr>
        <w:widowControl w:val="0"/>
        <w:spacing w:after="120"/>
      </w:pPr>
      <w:r w:rsidRPr="009D5592">
        <w:rPr>
          <w:b/>
          <w:bCs/>
        </w:rPr>
        <w:t>Response</w:t>
      </w:r>
      <w:r w:rsidR="00F61E6D">
        <w:rPr>
          <w:b/>
          <w:bCs/>
        </w:rPr>
        <w:t xml:space="preserve"> 4</w:t>
      </w:r>
      <w:r>
        <w:t xml:space="preserve">:  </w:t>
      </w:r>
      <w:r w:rsidR="00C642E1">
        <w:t>The</w:t>
      </w:r>
      <w:r w:rsidR="00C642E1">
        <w:t xml:space="preserve"> Department of Education appreciates</w:t>
      </w:r>
      <w:r w:rsidR="00752EF6">
        <w:t xml:space="preserve"> this</w:t>
      </w:r>
      <w:r w:rsidR="00C642E1">
        <w:t xml:space="preserve"> input</w:t>
      </w:r>
      <w:r w:rsidR="00752EF6">
        <w:t>.</w:t>
      </w:r>
      <w:r w:rsidR="00C955E1">
        <w:t xml:space="preserve"> As we note above, regularly discuss opportunities for improving these collections with State Fiscal Coordinators </w:t>
      </w:r>
      <w:r w:rsidR="005D2BD4">
        <w:t xml:space="preserve">and believe that consultation process may be a fruitful avenue for discussing several of the issues raised in Comment 4. </w:t>
      </w:r>
      <w:r w:rsidR="00F61E6D">
        <w:t>As a result of those discussions, changes may be proposed for future collections. We reiterate that Census and the Department of Education maintain stringent data standards for states and comprehensive validation procedures which provide states with abundant opportunities for feedback and to update submissions.</w:t>
      </w:r>
      <w:r>
        <w:t xml:space="preserve">  </w:t>
      </w:r>
    </w:p>
    <w:p w:rsidR="0059542D" w:rsidP="0059542D" w14:paraId="3D3A62E6" w14:textId="77777777">
      <w:pPr>
        <w:widowControl w:val="0"/>
        <w:spacing w:after="120"/>
        <w:rPr>
          <w:b/>
          <w:bCs/>
        </w:rPr>
      </w:pPr>
    </w:p>
    <w:p w:rsidR="00A128C3" w:rsidP="00A128C3" w14:paraId="33FCC6A1" w14:textId="6506DA2D">
      <w:pPr>
        <w:widowControl w:val="0"/>
        <w:spacing w:after="120"/>
      </w:pPr>
      <w:r>
        <w:rPr>
          <w:b/>
          <w:bCs/>
        </w:rPr>
        <w:t>Comment</w:t>
      </w:r>
      <w:r w:rsidRPr="009D5592" w:rsidR="0059542D">
        <w:rPr>
          <w:b/>
          <w:bCs/>
        </w:rPr>
        <w:t xml:space="preserve"> </w:t>
      </w:r>
      <w:r w:rsidR="0059542D">
        <w:rPr>
          <w:b/>
          <w:bCs/>
        </w:rPr>
        <w:t>5</w:t>
      </w:r>
      <w:r w:rsidR="0059542D">
        <w:t xml:space="preserve">:  </w:t>
      </w:r>
      <w:r w:rsidRPr="00A128C3">
        <w:t>I</w:t>
      </w:r>
      <w:r w:rsidRPr="00A128C3">
        <w:t xml:space="preserve"> recommend the following to better fund public education</w:t>
      </w:r>
      <w:r>
        <w:t>:</w:t>
      </w:r>
      <w:r w:rsidRPr="00A128C3">
        <w:br/>
      </w:r>
      <w:r w:rsidRPr="00A128C3">
        <w:t xml:space="preserve">1. Tax </w:t>
      </w:r>
      <w:r w:rsidRPr="00A128C3">
        <w:t>any and all</w:t>
      </w:r>
      <w:r w:rsidRPr="00A128C3">
        <w:t xml:space="preserve"> religious institutions at 80% and use the revenue for public secular education.</w:t>
      </w:r>
      <w:r w:rsidRPr="00A128C3">
        <w:br/>
      </w:r>
      <w:r w:rsidRPr="00A128C3">
        <w:t xml:space="preserve">2. Defund any religious agency or private school of any </w:t>
      </w:r>
      <w:r w:rsidRPr="00A128C3">
        <w:t>tax payer</w:t>
      </w:r>
      <w:r w:rsidRPr="00A128C3">
        <w:t xml:space="preserve"> money and give to public education.</w:t>
      </w:r>
    </w:p>
    <w:p w:rsidR="0059542D" w:rsidP="00A128C3" w14:paraId="780D94E2" w14:textId="153DE5C1">
      <w:pPr>
        <w:widowControl w:val="0"/>
        <w:spacing w:after="120"/>
      </w:pPr>
      <w:r w:rsidRPr="009D5592">
        <w:rPr>
          <w:b/>
          <w:bCs/>
        </w:rPr>
        <w:t>Response</w:t>
      </w:r>
      <w:r w:rsidR="00F61E6D">
        <w:rPr>
          <w:b/>
          <w:bCs/>
        </w:rPr>
        <w:t xml:space="preserve"> 5</w:t>
      </w:r>
      <w:r>
        <w:t>:  The</w:t>
      </w:r>
      <w:r>
        <w:t xml:space="preserve"> Department of Education </w:t>
      </w:r>
      <w:r w:rsidR="00A128C3">
        <w:t xml:space="preserve">appreciates </w:t>
      </w:r>
      <w:r w:rsidR="00723C74">
        <w:t>this input.</w:t>
      </w:r>
    </w:p>
    <w:p w:rsidR="00E41929" w:rsidP="004109A1" w14:paraId="6D86DC5B" w14:textId="5FBE247D">
      <w:pPr>
        <w:widowControl w:val="0"/>
        <w:spacing w:after="120"/>
      </w:pPr>
    </w:p>
    <w:p w:rsidR="00E647AB" w:rsidP="00EA0D13" w14:paraId="48D08B39" w14:textId="012CFD0F">
      <w:pPr>
        <w:pStyle w:val="Heading1"/>
      </w:pPr>
      <w:r w:rsidRPr="008678A4">
        <w:t>A</w:t>
      </w:r>
      <w:r w:rsidRPr="008678A4" w:rsidR="00B30C42">
        <w:t>9.</w:t>
      </w:r>
      <w:r w:rsidRPr="008678A4">
        <w:tab/>
      </w:r>
      <w:r w:rsidRPr="008678A4">
        <w:t>Provision of Payments or Gifts to Respondents</w:t>
      </w:r>
    </w:p>
    <w:p w:rsidR="00E647AB" w:rsidP="004109A1" w14:paraId="7790F2B7" w14:textId="77777777">
      <w:pPr>
        <w:autoSpaceDE w:val="0"/>
        <w:autoSpaceDN w:val="0"/>
        <w:adjustRightInd w:val="0"/>
        <w:spacing w:after="120"/>
        <w:rPr>
          <w:color w:val="000000"/>
        </w:rPr>
      </w:pPr>
      <w:r w:rsidRPr="00AA1670">
        <w:rPr>
          <w:color w:val="000000"/>
        </w:rPr>
        <w:t>No payments or gifts are offered</w:t>
      </w:r>
      <w:r w:rsidR="00E61845">
        <w:rPr>
          <w:color w:val="000000"/>
        </w:rPr>
        <w:t xml:space="preserve"> to respondents</w:t>
      </w:r>
      <w:r w:rsidRPr="00AA1670">
        <w:rPr>
          <w:color w:val="000000"/>
        </w:rPr>
        <w:t>.</w:t>
      </w:r>
    </w:p>
    <w:p w:rsidR="00E647AB" w:rsidP="00EA0D13" w14:paraId="6A78C7C4" w14:textId="77777777">
      <w:pPr>
        <w:pStyle w:val="Heading1"/>
      </w:pPr>
      <w:r w:rsidRPr="008678A4">
        <w:t>A</w:t>
      </w:r>
      <w:r w:rsidRPr="008678A4" w:rsidR="00B30C42">
        <w:t>10.</w:t>
      </w:r>
      <w:r w:rsidRPr="008678A4">
        <w:tab/>
      </w:r>
      <w:r w:rsidRPr="008678A4">
        <w:t>Assurance of Confidentiality</w:t>
      </w:r>
    </w:p>
    <w:p w:rsidR="00E647AB" w:rsidP="004109A1" w14:paraId="7FAAD157" w14:textId="77777777">
      <w:pPr>
        <w:autoSpaceDE w:val="0"/>
        <w:autoSpaceDN w:val="0"/>
        <w:adjustRightInd w:val="0"/>
        <w:spacing w:after="120"/>
        <w:rPr>
          <w:color w:val="000000"/>
        </w:rPr>
      </w:pPr>
      <w:r w:rsidRPr="00AA1670">
        <w:rPr>
          <w:color w:val="000000"/>
        </w:rPr>
        <w:t xml:space="preserve">No such assurances are needed or offered to the state education agencies. The NPEFS data are public </w:t>
      </w:r>
      <w:r w:rsidRPr="00AA1670">
        <w:rPr>
          <w:color w:val="000000"/>
        </w:rPr>
        <w:t>record</w:t>
      </w:r>
      <w:r w:rsidRPr="00AA1670">
        <w:rPr>
          <w:color w:val="000000"/>
        </w:rPr>
        <w:t xml:space="preserve"> in the states that report them.</w:t>
      </w:r>
      <w:r w:rsidR="002F7842">
        <w:rPr>
          <w:color w:val="000000"/>
        </w:rPr>
        <w:t xml:space="preserve">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E647AB" w:rsidP="00EA0D13" w14:paraId="16BEB344" w14:textId="77777777">
      <w:pPr>
        <w:pStyle w:val="Heading1"/>
      </w:pPr>
      <w:r w:rsidRPr="008678A4">
        <w:t>A11.</w:t>
      </w:r>
      <w:r w:rsidRPr="008678A4">
        <w:tab/>
      </w:r>
      <w:r w:rsidRPr="008678A4">
        <w:t>Need for the Use of Sensitive Questions</w:t>
      </w:r>
    </w:p>
    <w:p w:rsidR="00E647AB" w:rsidP="004109A1" w14:paraId="0C7425FF" w14:textId="77777777">
      <w:pPr>
        <w:autoSpaceDE w:val="0"/>
        <w:autoSpaceDN w:val="0"/>
        <w:adjustRightInd w:val="0"/>
        <w:spacing w:after="12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w:t>
      </w:r>
    </w:p>
    <w:p w:rsidR="006044DA" w14:paraId="15C4048C" w14:textId="77777777">
      <w:pPr>
        <w:rPr>
          <w:b/>
          <w:snapToGrid w:val="0"/>
          <w:sz w:val="28"/>
          <w:szCs w:val="28"/>
        </w:rPr>
      </w:pPr>
      <w:r>
        <w:br w:type="page"/>
      </w:r>
    </w:p>
    <w:p w:rsidR="00E647AB" w:rsidP="00EA0D13" w14:paraId="2DFC0BA1" w14:textId="0CF45DED">
      <w:pPr>
        <w:pStyle w:val="Heading1"/>
      </w:pPr>
      <w:r w:rsidRPr="008678A4">
        <w:t>A</w:t>
      </w:r>
      <w:r w:rsidRPr="008678A4" w:rsidR="00B30C42">
        <w:t>12.</w:t>
      </w:r>
      <w:r w:rsidRPr="008678A4">
        <w:tab/>
      </w:r>
      <w:r w:rsidRPr="008678A4">
        <w:t>Estimates of Hour Burden</w:t>
      </w:r>
    </w:p>
    <w:p w:rsidR="00E647AB" w:rsidRPr="00526355" w:rsidP="00526355" w14:paraId="56FB9075" w14:textId="50BCD6A9">
      <w:pPr>
        <w:spacing w:after="120"/>
      </w:pPr>
      <w:r w:rsidRPr="00AA1670">
        <w:t xml:space="preserve">The information reported on the NPEFS survey </w:t>
      </w:r>
      <w:r w:rsidR="00340E45">
        <w:t>(Appendix B</w:t>
      </w:r>
      <w:r w:rsidR="003B559E">
        <w:t>.</w:t>
      </w:r>
      <w:r w:rsidR="00340E45">
        <w:t xml:space="preserve">1) </w:t>
      </w:r>
      <w:r w:rsidRPr="00AA1670">
        <w:t>has already been collected by the reporting agencies for the state’s own uses</w:t>
      </w:r>
      <w:r>
        <w:rPr>
          <w:vertAlign w:val="superscript"/>
        </w:rPr>
        <w:footnoteReference w:id="6"/>
      </w:r>
      <w:r w:rsidRPr="00101250">
        <w:t>. The added burden</w:t>
      </w:r>
      <w:r w:rsidRPr="00AA1670">
        <w:t xml:space="preserve"> for the NPEFS is limited to the state education agency’s effort taken in extracting data from files, transferring them to NCES, and responding to edit reports</w:t>
      </w:r>
      <w:r w:rsidR="00952221">
        <w:t xml:space="preserve">, which is </w:t>
      </w:r>
      <w:r w:rsidR="00665DBB">
        <w:t>estimate</w:t>
      </w:r>
      <w:r w:rsidR="00952221">
        <w:t xml:space="preserve">d to take </w:t>
      </w:r>
      <w:r w:rsidR="00665DBB">
        <w:t xml:space="preserve">an agency on average </w:t>
      </w:r>
      <w:r w:rsidR="00F11925">
        <w:t xml:space="preserve">130.5 </w:t>
      </w:r>
      <w:r w:rsidR="00665DBB">
        <w:t>hours</w:t>
      </w:r>
      <w:r w:rsidR="00952221">
        <w:t xml:space="preserve">, plus another </w:t>
      </w:r>
      <w:r w:rsidR="00F11925">
        <w:t xml:space="preserve">20 </w:t>
      </w:r>
      <w:r w:rsidR="00952221">
        <w:t xml:space="preserve">minutes to respond to the </w:t>
      </w:r>
      <w:r w:rsidR="00F11925">
        <w:t xml:space="preserve">fiscal </w:t>
      </w:r>
      <w:r w:rsidR="00952221">
        <w:t>data plan (Appendix B</w:t>
      </w:r>
      <w:r w:rsidR="003B559E">
        <w:t>.</w:t>
      </w:r>
      <w:r w:rsidR="00952221">
        <w:t>2).</w:t>
      </w:r>
      <w:r w:rsidRPr="00E6274F" w:rsidR="00E6274F">
        <w:rPr>
          <w:snapToGrid w:val="0"/>
        </w:rPr>
        <w:t xml:space="preserve"> </w:t>
      </w:r>
    </w:p>
    <w:p w:rsidR="00AE3985" w:rsidRPr="00526355" w:rsidP="00526355" w14:paraId="724F5E09" w14:textId="195F05D4">
      <w:pPr>
        <w:spacing w:after="120"/>
      </w:pPr>
      <w:r w:rsidRPr="00526355">
        <w:t xml:space="preserve">Estimating an average hourly rate for SEA coordinators and financial managers, who prepare and submit NPEFS data, to be </w:t>
      </w:r>
      <w:r w:rsidRPr="00A15212">
        <w:t>$</w:t>
      </w:r>
      <w:r w:rsidRPr="00A15212" w:rsidR="00A15212">
        <w:t>32.99</w:t>
      </w:r>
      <w:r w:rsidRPr="00A15212">
        <w:t xml:space="preserve"> for coordinators and $</w:t>
      </w:r>
      <w:r w:rsidRPr="00A15212" w:rsidR="00A15212">
        <w:t>54.89</w:t>
      </w:r>
      <w:r w:rsidRPr="00526355">
        <w:t xml:space="preserve"> for managers</w:t>
      </w:r>
      <w:r>
        <w:rPr>
          <w:rStyle w:val="FootnoteReference"/>
          <w:color w:val="000000"/>
          <w:vertAlign w:val="superscript"/>
        </w:rPr>
        <w:footnoteReference w:id="7"/>
      </w:r>
      <w:r w:rsidRPr="00526355">
        <w:t xml:space="preserve"> and estimating that coordinators contribute approximately 80% and financial managers approximately 20% of the estimated NPEFS data submission time, t</w:t>
      </w:r>
      <w:r w:rsidRPr="00185DAF">
        <w:t xml:space="preserve">he total estimated burden time cost for the </w:t>
      </w:r>
      <w:r w:rsidR="00A15212">
        <w:t xml:space="preserve">2022 </w:t>
      </w:r>
      <w:r w:rsidRPr="00526355">
        <w:t>NPEFS collection</w:t>
      </w:r>
      <w:r w:rsidRPr="00185DAF">
        <w:t xml:space="preserve"> is </w:t>
      </w:r>
      <w:r w:rsidRPr="00A15212">
        <w:t>$</w:t>
      </w:r>
      <w:r w:rsidR="00A15212">
        <w:t>273,795</w:t>
      </w:r>
      <w:r w:rsidRPr="00A15212">
        <w:t>.</w:t>
      </w:r>
    </w:p>
    <w:p w:rsidR="00AE3985" w:rsidRPr="00185DAF" w:rsidP="00AE3985" w14:paraId="69D7646C" w14:textId="77777777">
      <w:pPr>
        <w:keepNext/>
        <w:spacing w:before="240" w:after="60"/>
        <w:rPr>
          <w:b/>
          <w:snapToGrid w:val="0"/>
        </w:rPr>
      </w:pPr>
      <w:r w:rsidRPr="00185DAF">
        <w:rPr>
          <w:b/>
          <w:snapToGrid w:val="0"/>
        </w:rPr>
        <w:t>Table 1. NPEFS Estimated Respondent Burden Hours and Cost</w:t>
      </w:r>
    </w:p>
    <w:tbl>
      <w:tblPr>
        <w:tblW w:w="10620" w:type="dxa"/>
        <w:tblInd w:w="-8" w:type="dxa"/>
        <w:tblLayout w:type="fixed"/>
        <w:tblCellMar>
          <w:left w:w="100" w:type="dxa"/>
          <w:right w:w="100" w:type="dxa"/>
        </w:tblCellMar>
        <w:tblLook w:val="0000"/>
      </w:tblPr>
      <w:tblGrid>
        <w:gridCol w:w="1872"/>
        <w:gridCol w:w="1749"/>
        <w:gridCol w:w="1750"/>
        <w:gridCol w:w="1749"/>
        <w:gridCol w:w="1750"/>
        <w:gridCol w:w="1750"/>
      </w:tblGrid>
      <w:tr w14:paraId="7854EB5A" w14:textId="77777777" w:rsidTr="00EA0D13">
        <w:tblPrEx>
          <w:tblW w:w="10620" w:type="dxa"/>
          <w:tblInd w:w="-8" w:type="dxa"/>
          <w:tblLayout w:type="fixed"/>
          <w:tblCellMar>
            <w:left w:w="100" w:type="dxa"/>
            <w:right w:w="100" w:type="dxa"/>
          </w:tblCellMar>
          <w:tblLook w:val="0000"/>
        </w:tblPrEx>
        <w:trPr>
          <w:cantSplit/>
          <w:trHeight w:val="896"/>
        </w:trPr>
        <w:tc>
          <w:tcPr>
            <w:tcW w:w="1872" w:type="dxa"/>
            <w:tcBorders>
              <w:top w:val="single" w:sz="6" w:space="0" w:color="000000"/>
              <w:left w:val="single" w:sz="6" w:space="0" w:color="000000"/>
            </w:tcBorders>
            <w:vAlign w:val="center"/>
          </w:tcPr>
          <w:p w:rsidR="00AE3985" w:rsidRPr="00185DAF" w:rsidP="00ED73C9" w14:paraId="07346578" w14:textId="77777777">
            <w:pPr>
              <w:keepNext/>
              <w:snapToGrid w:val="0"/>
              <w:rPr>
                <w:b/>
                <w:sz w:val="20"/>
                <w:szCs w:val="20"/>
              </w:rPr>
            </w:pPr>
            <w:r w:rsidRPr="00185DAF">
              <w:rPr>
                <w:b/>
                <w:sz w:val="20"/>
                <w:szCs w:val="20"/>
              </w:rPr>
              <w:t>Submission Method</w:t>
            </w:r>
          </w:p>
        </w:tc>
        <w:tc>
          <w:tcPr>
            <w:tcW w:w="1749" w:type="dxa"/>
            <w:tcBorders>
              <w:top w:val="single" w:sz="6" w:space="0" w:color="000000"/>
              <w:left w:val="single" w:sz="6" w:space="0" w:color="000000"/>
            </w:tcBorders>
            <w:vAlign w:val="center"/>
          </w:tcPr>
          <w:p w:rsidR="00AE3985" w:rsidRPr="00185DAF" w:rsidP="00ED73C9" w14:paraId="00256518" w14:textId="77777777">
            <w:pPr>
              <w:keepNext/>
              <w:snapToGrid w:val="0"/>
              <w:rPr>
                <w:b/>
                <w:sz w:val="20"/>
                <w:szCs w:val="20"/>
              </w:rPr>
            </w:pPr>
            <w:r w:rsidRPr="00185DAF">
              <w:rPr>
                <w:b/>
                <w:bCs/>
                <w:sz w:val="20"/>
                <w:szCs w:val="20"/>
              </w:rPr>
              <w:t>Number of Respondents and Responses</w:t>
            </w:r>
          </w:p>
        </w:tc>
        <w:tc>
          <w:tcPr>
            <w:tcW w:w="1750" w:type="dxa"/>
            <w:tcBorders>
              <w:top w:val="single" w:sz="6" w:space="0" w:color="000000"/>
              <w:left w:val="single" w:sz="6" w:space="0" w:color="000000"/>
              <w:right w:val="single" w:sz="6" w:space="0" w:color="000000"/>
            </w:tcBorders>
            <w:vAlign w:val="center"/>
          </w:tcPr>
          <w:p w:rsidR="00AE3985" w:rsidRPr="00185DAF" w:rsidP="00ED73C9" w14:paraId="35A3FB8C" w14:textId="77777777">
            <w:pPr>
              <w:keepNext/>
              <w:snapToGrid w:val="0"/>
              <w:rPr>
                <w:b/>
                <w:sz w:val="20"/>
                <w:szCs w:val="20"/>
              </w:rPr>
            </w:pPr>
            <w:r w:rsidRPr="00185DAF">
              <w:rPr>
                <w:b/>
                <w:sz w:val="20"/>
                <w:szCs w:val="20"/>
              </w:rPr>
              <w:t>Estimated Hours per Respondent</w:t>
            </w:r>
          </w:p>
        </w:tc>
        <w:tc>
          <w:tcPr>
            <w:tcW w:w="1749" w:type="dxa"/>
            <w:tcBorders>
              <w:top w:val="single" w:sz="6" w:space="0" w:color="000000"/>
              <w:left w:val="single" w:sz="6" w:space="0" w:color="000000"/>
            </w:tcBorders>
            <w:vAlign w:val="center"/>
          </w:tcPr>
          <w:p w:rsidR="00AE3985" w:rsidRPr="00185DAF" w:rsidP="00ED73C9" w14:paraId="6EF5FBAE" w14:textId="77777777">
            <w:pPr>
              <w:keepNext/>
              <w:snapToGrid w:val="0"/>
              <w:rPr>
                <w:b/>
                <w:sz w:val="20"/>
                <w:szCs w:val="20"/>
              </w:rPr>
            </w:pPr>
            <w:r w:rsidRPr="00185DAF">
              <w:rPr>
                <w:b/>
                <w:sz w:val="20"/>
                <w:szCs w:val="20"/>
              </w:rPr>
              <w:t>Estimated Total Respondent Burden Hours</w:t>
            </w:r>
          </w:p>
        </w:tc>
        <w:tc>
          <w:tcPr>
            <w:tcW w:w="1750" w:type="dxa"/>
            <w:tcBorders>
              <w:top w:val="single" w:sz="6" w:space="0" w:color="000000"/>
              <w:left w:val="single" w:sz="6" w:space="0" w:color="000000"/>
            </w:tcBorders>
            <w:vAlign w:val="center"/>
          </w:tcPr>
          <w:p w:rsidR="00AE3985" w:rsidRPr="00185DAF" w:rsidP="00ED73C9" w14:paraId="6DC537EC" w14:textId="77777777">
            <w:pPr>
              <w:keepNext/>
              <w:snapToGrid w:val="0"/>
              <w:rPr>
                <w:b/>
                <w:sz w:val="20"/>
                <w:szCs w:val="20"/>
              </w:rPr>
            </w:pPr>
            <w:r w:rsidRPr="00185DAF">
              <w:rPr>
                <w:b/>
                <w:sz w:val="20"/>
                <w:szCs w:val="20"/>
              </w:rPr>
              <w:t>Estimated Cost Per Burden Hour</w:t>
            </w:r>
          </w:p>
        </w:tc>
        <w:tc>
          <w:tcPr>
            <w:tcW w:w="1750" w:type="dxa"/>
            <w:tcBorders>
              <w:top w:val="single" w:sz="6" w:space="0" w:color="000000"/>
              <w:left w:val="single" w:sz="6" w:space="0" w:color="000000"/>
              <w:right w:val="single" w:sz="6" w:space="0" w:color="000000"/>
            </w:tcBorders>
            <w:vAlign w:val="center"/>
          </w:tcPr>
          <w:p w:rsidR="00AE3985" w:rsidRPr="00185DAF" w:rsidP="00ED73C9" w14:paraId="41FF405C" w14:textId="77777777">
            <w:pPr>
              <w:keepNext/>
              <w:snapToGrid w:val="0"/>
              <w:rPr>
                <w:b/>
                <w:sz w:val="20"/>
                <w:szCs w:val="20"/>
              </w:rPr>
            </w:pPr>
            <w:r w:rsidRPr="00185DAF">
              <w:rPr>
                <w:b/>
                <w:sz w:val="20"/>
                <w:szCs w:val="20"/>
              </w:rPr>
              <w:t>Estimated Total Respondent Cost</w:t>
            </w:r>
          </w:p>
        </w:tc>
      </w:tr>
      <w:tr w14:paraId="4E8058D5" w14:textId="77777777" w:rsidTr="00EA0D13">
        <w:tblPrEx>
          <w:tblW w:w="10620" w:type="dxa"/>
          <w:tblInd w:w="-8" w:type="dxa"/>
          <w:tblLayout w:type="fixed"/>
          <w:tblCellMar>
            <w:left w:w="100" w:type="dxa"/>
            <w:right w:w="100" w:type="dxa"/>
          </w:tblCellMar>
          <w:tblLook w:val="0000"/>
        </w:tblPrEx>
        <w:trPr>
          <w:cantSplit/>
          <w:trHeight w:val="723"/>
        </w:trPr>
        <w:tc>
          <w:tcPr>
            <w:tcW w:w="1872" w:type="dxa"/>
            <w:tcBorders>
              <w:top w:val="single" w:sz="6" w:space="0" w:color="000000"/>
              <w:left w:val="single" w:sz="6" w:space="0" w:color="000000"/>
            </w:tcBorders>
            <w:vAlign w:val="center"/>
          </w:tcPr>
          <w:p w:rsidR="00AE3985" w:rsidRPr="00185DAF" w:rsidP="00ED73C9" w14:paraId="6CD5C50B" w14:textId="77777777">
            <w:pPr>
              <w:keepNext/>
              <w:snapToGrid w:val="0"/>
            </w:pPr>
            <w:r w:rsidRPr="00185DAF">
              <w:t>Interactive on-line survey form</w:t>
            </w:r>
          </w:p>
        </w:tc>
        <w:tc>
          <w:tcPr>
            <w:tcW w:w="1749" w:type="dxa"/>
            <w:tcBorders>
              <w:top w:val="single" w:sz="6" w:space="0" w:color="000000"/>
              <w:left w:val="single" w:sz="6" w:space="0" w:color="000000"/>
            </w:tcBorders>
            <w:vAlign w:val="center"/>
          </w:tcPr>
          <w:p w:rsidR="00AE3985" w:rsidRPr="00185DAF" w:rsidP="00ED73C9" w14:paraId="5FF51FD2" w14:textId="77777777">
            <w:pPr>
              <w:keepNext/>
              <w:snapToGrid w:val="0"/>
              <w:jc w:val="center"/>
            </w:pPr>
            <w:r w:rsidRPr="00185DAF">
              <w:t>56</w:t>
            </w:r>
          </w:p>
        </w:tc>
        <w:tc>
          <w:tcPr>
            <w:tcW w:w="1750" w:type="dxa"/>
            <w:tcBorders>
              <w:top w:val="single" w:sz="6" w:space="0" w:color="000000"/>
              <w:left w:val="single" w:sz="6" w:space="0" w:color="000000"/>
              <w:right w:val="single" w:sz="6" w:space="0" w:color="000000"/>
            </w:tcBorders>
            <w:vAlign w:val="center"/>
          </w:tcPr>
          <w:p w:rsidR="00AE3985" w:rsidRPr="00185DAF" w:rsidP="00ED73C9" w14:paraId="59D2999F" w14:textId="64D5B0BE">
            <w:pPr>
              <w:keepNext/>
              <w:snapToGrid w:val="0"/>
              <w:jc w:val="center"/>
            </w:pPr>
            <w:r>
              <w:t>104.66</w:t>
            </w:r>
          </w:p>
        </w:tc>
        <w:tc>
          <w:tcPr>
            <w:tcW w:w="1749" w:type="dxa"/>
            <w:tcBorders>
              <w:top w:val="single" w:sz="6" w:space="0" w:color="000000"/>
              <w:left w:val="single" w:sz="6" w:space="0" w:color="000000"/>
            </w:tcBorders>
            <w:vAlign w:val="center"/>
          </w:tcPr>
          <w:p w:rsidR="00AE3985" w:rsidRPr="00185DAF" w:rsidP="00ED73C9" w14:paraId="7F5C5CE6" w14:textId="7277C0DB">
            <w:pPr>
              <w:keepNext/>
              <w:snapToGrid w:val="0"/>
              <w:jc w:val="center"/>
            </w:pPr>
            <w:r w:rsidRPr="002134BB">
              <w:t>5,</w:t>
            </w:r>
            <w:r w:rsidR="00957556">
              <w:t>861</w:t>
            </w:r>
          </w:p>
        </w:tc>
        <w:tc>
          <w:tcPr>
            <w:tcW w:w="1750" w:type="dxa"/>
            <w:tcBorders>
              <w:top w:val="single" w:sz="6" w:space="0" w:color="000000"/>
              <w:left w:val="single" w:sz="6" w:space="0" w:color="000000"/>
            </w:tcBorders>
            <w:vAlign w:val="center"/>
          </w:tcPr>
          <w:p w:rsidR="00AE3985" w:rsidRPr="00A15212" w:rsidP="00ED73C9" w14:paraId="1564D23A" w14:textId="6EF5186A">
            <w:pPr>
              <w:snapToGrid w:val="0"/>
              <w:jc w:val="center"/>
            </w:pPr>
            <w:r w:rsidRPr="00A15212">
              <w:t>$</w:t>
            </w:r>
            <w:r w:rsidR="00D57A0E">
              <w:t>36.48</w:t>
            </w:r>
          </w:p>
          <w:p w:rsidR="00AE3985" w:rsidRPr="00A15212" w:rsidP="00ED73C9" w14:paraId="57E1B97C" w14:textId="77777777">
            <w:pPr>
              <w:keepNext/>
              <w:snapToGrid w:val="0"/>
              <w:jc w:val="center"/>
            </w:pPr>
            <w:r w:rsidRPr="00A15212">
              <w:t xml:space="preserve"> (Coordinator)</w:t>
            </w:r>
          </w:p>
        </w:tc>
        <w:tc>
          <w:tcPr>
            <w:tcW w:w="1750" w:type="dxa"/>
            <w:tcBorders>
              <w:top w:val="single" w:sz="6" w:space="0" w:color="000000"/>
              <w:left w:val="single" w:sz="6" w:space="0" w:color="000000"/>
              <w:right w:val="single" w:sz="6" w:space="0" w:color="000000"/>
            </w:tcBorders>
            <w:vAlign w:val="center"/>
          </w:tcPr>
          <w:p w:rsidR="00AE3985" w:rsidRPr="00A15212" w:rsidP="00ED73C9" w14:paraId="0995AFA7" w14:textId="0DCC1569">
            <w:pPr>
              <w:keepNext/>
              <w:snapToGrid w:val="0"/>
              <w:jc w:val="center"/>
            </w:pPr>
            <w:r w:rsidRPr="00A15212">
              <w:t>$</w:t>
            </w:r>
            <w:r w:rsidR="00D57A0E">
              <w:t>213,809</w:t>
            </w:r>
          </w:p>
        </w:tc>
      </w:tr>
      <w:tr w14:paraId="3697D95C" w14:textId="77777777" w:rsidTr="00EA0D13">
        <w:tblPrEx>
          <w:tblW w:w="10620" w:type="dxa"/>
          <w:tblInd w:w="-8" w:type="dxa"/>
          <w:tblLayout w:type="fixed"/>
          <w:tblCellMar>
            <w:left w:w="100" w:type="dxa"/>
            <w:right w:w="100" w:type="dxa"/>
          </w:tblCellMar>
          <w:tblLook w:val="0000"/>
        </w:tblPrEx>
        <w:trPr>
          <w:cantSplit/>
          <w:trHeight w:val="615"/>
        </w:trPr>
        <w:tc>
          <w:tcPr>
            <w:tcW w:w="1872" w:type="dxa"/>
            <w:tcBorders>
              <w:top w:val="single" w:sz="6" w:space="0" w:color="000000"/>
              <w:left w:val="single" w:sz="6" w:space="0" w:color="000000"/>
            </w:tcBorders>
            <w:vAlign w:val="center"/>
          </w:tcPr>
          <w:p w:rsidR="00AE3985" w:rsidRPr="00185DAF" w:rsidP="00ED73C9" w14:paraId="2CDCC1F1" w14:textId="77777777">
            <w:pPr>
              <w:keepNext/>
              <w:snapToGrid w:val="0"/>
            </w:pPr>
            <w:r w:rsidRPr="00185DAF">
              <w:t>Interactive on-line survey form</w:t>
            </w:r>
          </w:p>
        </w:tc>
        <w:tc>
          <w:tcPr>
            <w:tcW w:w="1749" w:type="dxa"/>
            <w:tcBorders>
              <w:top w:val="single" w:sz="6" w:space="0" w:color="000000"/>
              <w:left w:val="single" w:sz="6" w:space="0" w:color="000000"/>
            </w:tcBorders>
            <w:vAlign w:val="center"/>
          </w:tcPr>
          <w:p w:rsidR="00AE3985" w:rsidRPr="00185DAF" w:rsidP="00ED73C9" w14:paraId="2C08F6DF" w14:textId="77777777">
            <w:pPr>
              <w:keepNext/>
              <w:snapToGrid w:val="0"/>
              <w:jc w:val="center"/>
            </w:pPr>
            <w:r w:rsidRPr="00185DAF">
              <w:t>56</w:t>
            </w:r>
          </w:p>
        </w:tc>
        <w:tc>
          <w:tcPr>
            <w:tcW w:w="1750" w:type="dxa"/>
            <w:tcBorders>
              <w:top w:val="single" w:sz="6" w:space="0" w:color="000000"/>
              <w:left w:val="single" w:sz="6" w:space="0" w:color="000000"/>
              <w:right w:val="single" w:sz="6" w:space="0" w:color="000000"/>
            </w:tcBorders>
            <w:vAlign w:val="center"/>
          </w:tcPr>
          <w:p w:rsidR="00AE3985" w:rsidRPr="00185DAF" w:rsidP="00ED73C9" w14:paraId="6EF384F4" w14:textId="2854A0C2">
            <w:pPr>
              <w:keepNext/>
              <w:snapToGrid w:val="0"/>
              <w:jc w:val="center"/>
            </w:pPr>
            <w:r>
              <w:t>26.17</w:t>
            </w:r>
          </w:p>
        </w:tc>
        <w:tc>
          <w:tcPr>
            <w:tcW w:w="1749" w:type="dxa"/>
            <w:tcBorders>
              <w:top w:val="single" w:sz="6" w:space="0" w:color="000000"/>
              <w:left w:val="single" w:sz="6" w:space="0" w:color="000000"/>
            </w:tcBorders>
            <w:vAlign w:val="center"/>
          </w:tcPr>
          <w:p w:rsidR="00AE3985" w:rsidRPr="00185DAF" w:rsidP="00ED73C9" w14:paraId="0F406A79" w14:textId="7054BC64">
            <w:pPr>
              <w:keepNext/>
              <w:snapToGrid w:val="0"/>
              <w:jc w:val="center"/>
            </w:pPr>
            <w:r>
              <w:t>1,</w:t>
            </w:r>
            <w:r w:rsidR="00957556">
              <w:t>466</w:t>
            </w:r>
          </w:p>
        </w:tc>
        <w:tc>
          <w:tcPr>
            <w:tcW w:w="1750" w:type="dxa"/>
            <w:tcBorders>
              <w:top w:val="single" w:sz="6" w:space="0" w:color="000000"/>
              <w:left w:val="single" w:sz="6" w:space="0" w:color="000000"/>
            </w:tcBorders>
            <w:vAlign w:val="center"/>
          </w:tcPr>
          <w:p w:rsidR="00AE3985" w:rsidRPr="00A15212" w:rsidP="00ED73C9" w14:paraId="354151BD" w14:textId="4B0C0AC2">
            <w:pPr>
              <w:snapToGrid w:val="0"/>
              <w:jc w:val="center"/>
            </w:pPr>
            <w:r w:rsidRPr="00A15212">
              <w:t>$</w:t>
            </w:r>
            <w:r w:rsidR="00D57A0E">
              <w:t>64.45</w:t>
            </w:r>
          </w:p>
          <w:p w:rsidR="00AE3985" w:rsidRPr="00A15212" w:rsidP="00ED73C9" w14:paraId="25E998D4" w14:textId="77777777">
            <w:pPr>
              <w:keepNext/>
              <w:snapToGrid w:val="0"/>
              <w:jc w:val="center"/>
            </w:pPr>
            <w:r w:rsidRPr="00A15212">
              <w:t>(Financial Manager)</w:t>
            </w:r>
          </w:p>
        </w:tc>
        <w:tc>
          <w:tcPr>
            <w:tcW w:w="1750" w:type="dxa"/>
            <w:tcBorders>
              <w:top w:val="single" w:sz="6" w:space="0" w:color="000000"/>
              <w:left w:val="single" w:sz="6" w:space="0" w:color="000000"/>
              <w:right w:val="single" w:sz="6" w:space="0" w:color="000000"/>
            </w:tcBorders>
            <w:vAlign w:val="center"/>
          </w:tcPr>
          <w:p w:rsidR="00AE3985" w:rsidRPr="00A15212" w:rsidP="00ED73C9" w14:paraId="0D98B657" w14:textId="02DD9591">
            <w:pPr>
              <w:keepNext/>
              <w:snapToGrid w:val="0"/>
              <w:jc w:val="center"/>
            </w:pPr>
            <w:r w:rsidRPr="00A15212">
              <w:t>$</w:t>
            </w:r>
            <w:r w:rsidR="00D57A0E">
              <w:t>94,484</w:t>
            </w:r>
          </w:p>
        </w:tc>
      </w:tr>
      <w:tr w14:paraId="6759C6A2" w14:textId="77777777" w:rsidTr="00EA0D13">
        <w:tblPrEx>
          <w:tblW w:w="10620" w:type="dxa"/>
          <w:tblInd w:w="-8" w:type="dxa"/>
          <w:tblLayout w:type="fixed"/>
          <w:tblCellMar>
            <w:left w:w="100" w:type="dxa"/>
            <w:right w:w="100" w:type="dxa"/>
          </w:tblCellMar>
          <w:tblLook w:val="0000"/>
        </w:tblPrEx>
        <w:trPr>
          <w:cantSplit/>
        </w:trPr>
        <w:tc>
          <w:tcPr>
            <w:tcW w:w="1872" w:type="dxa"/>
            <w:tcBorders>
              <w:top w:val="single" w:sz="6" w:space="0" w:color="000000"/>
              <w:left w:val="single" w:sz="6" w:space="0" w:color="000000"/>
              <w:bottom w:val="single" w:sz="6" w:space="0" w:color="000000"/>
            </w:tcBorders>
            <w:vAlign w:val="center"/>
          </w:tcPr>
          <w:p w:rsidR="00AE3985" w:rsidRPr="00185DAF" w:rsidP="00ED73C9" w14:paraId="7A7A6946" w14:textId="77777777">
            <w:pPr>
              <w:snapToGrid w:val="0"/>
              <w:rPr>
                <w:b/>
              </w:rPr>
            </w:pPr>
            <w:r w:rsidRPr="00185DAF">
              <w:rPr>
                <w:b/>
              </w:rPr>
              <w:t>Total</w:t>
            </w:r>
          </w:p>
        </w:tc>
        <w:tc>
          <w:tcPr>
            <w:tcW w:w="1749" w:type="dxa"/>
            <w:tcBorders>
              <w:top w:val="single" w:sz="6" w:space="0" w:color="000000"/>
              <w:left w:val="single" w:sz="6" w:space="0" w:color="000000"/>
              <w:bottom w:val="single" w:sz="6" w:space="0" w:color="000000"/>
            </w:tcBorders>
            <w:vAlign w:val="center"/>
          </w:tcPr>
          <w:p w:rsidR="00AE3985" w:rsidRPr="00185DAF" w:rsidP="00ED73C9" w14:paraId="45258DE0" w14:textId="77777777">
            <w:pPr>
              <w:snapToGrid w:val="0"/>
              <w:jc w:val="center"/>
              <w:rPr>
                <w:b/>
              </w:rPr>
            </w:pPr>
            <w:r w:rsidRPr="00185DAF">
              <w:rPr>
                <w:b/>
              </w:rPr>
              <w:t>56</w:t>
            </w:r>
          </w:p>
        </w:tc>
        <w:tc>
          <w:tcPr>
            <w:tcW w:w="1750" w:type="dxa"/>
            <w:tcBorders>
              <w:top w:val="single" w:sz="6" w:space="0" w:color="000000"/>
              <w:left w:val="single" w:sz="6" w:space="0" w:color="000000"/>
              <w:bottom w:val="single" w:sz="6" w:space="0" w:color="000000"/>
              <w:right w:val="single" w:sz="6" w:space="0" w:color="000000"/>
            </w:tcBorders>
            <w:vAlign w:val="center"/>
          </w:tcPr>
          <w:p w:rsidR="00AE3985" w:rsidRPr="00185DAF" w:rsidP="00ED73C9" w14:paraId="4CC0B67F" w14:textId="74FEFD6A">
            <w:pPr>
              <w:snapToGrid w:val="0"/>
              <w:jc w:val="center"/>
              <w:rPr>
                <w:b/>
              </w:rPr>
            </w:pPr>
          </w:p>
        </w:tc>
        <w:tc>
          <w:tcPr>
            <w:tcW w:w="1749" w:type="dxa"/>
            <w:tcBorders>
              <w:top w:val="single" w:sz="6" w:space="0" w:color="000000"/>
              <w:left w:val="single" w:sz="6" w:space="0" w:color="000000"/>
              <w:bottom w:val="single" w:sz="6" w:space="0" w:color="000000"/>
            </w:tcBorders>
            <w:vAlign w:val="center"/>
          </w:tcPr>
          <w:p w:rsidR="00AE3985" w:rsidRPr="00185DAF" w:rsidP="00ED73C9" w14:paraId="18260419" w14:textId="3EAFB9C4">
            <w:pPr>
              <w:snapToGrid w:val="0"/>
              <w:jc w:val="center"/>
              <w:rPr>
                <w:b/>
              </w:rPr>
            </w:pPr>
            <w:r>
              <w:rPr>
                <w:b/>
              </w:rPr>
              <w:t>7,32</w:t>
            </w:r>
            <w:r w:rsidR="00957556">
              <w:rPr>
                <w:b/>
              </w:rPr>
              <w:t>7</w:t>
            </w:r>
          </w:p>
        </w:tc>
        <w:tc>
          <w:tcPr>
            <w:tcW w:w="1750" w:type="dxa"/>
            <w:tcBorders>
              <w:top w:val="single" w:sz="6" w:space="0" w:color="000000"/>
              <w:left w:val="single" w:sz="6" w:space="0" w:color="000000"/>
              <w:bottom w:val="single" w:sz="6" w:space="0" w:color="000000"/>
            </w:tcBorders>
            <w:vAlign w:val="center"/>
          </w:tcPr>
          <w:p w:rsidR="00AE3985" w:rsidRPr="00A15212" w:rsidP="00ED73C9" w14:paraId="05780462" w14:textId="77777777">
            <w:pPr>
              <w:snapToGrid w:val="0"/>
              <w:jc w:val="center"/>
              <w:rPr>
                <w:b/>
              </w:rPr>
            </w:pPr>
          </w:p>
        </w:tc>
        <w:tc>
          <w:tcPr>
            <w:tcW w:w="1750" w:type="dxa"/>
            <w:tcBorders>
              <w:top w:val="single" w:sz="6" w:space="0" w:color="000000"/>
              <w:left w:val="single" w:sz="6" w:space="0" w:color="000000"/>
              <w:bottom w:val="single" w:sz="6" w:space="0" w:color="000000"/>
              <w:right w:val="single" w:sz="6" w:space="0" w:color="000000"/>
            </w:tcBorders>
            <w:vAlign w:val="center"/>
          </w:tcPr>
          <w:p w:rsidR="00AE3985" w:rsidRPr="00A15212" w:rsidP="00ED73C9" w14:paraId="684CDA26" w14:textId="50A88FAF">
            <w:pPr>
              <w:snapToGrid w:val="0"/>
              <w:jc w:val="center"/>
              <w:rPr>
                <w:b/>
              </w:rPr>
            </w:pPr>
            <w:r w:rsidRPr="00A15212">
              <w:rPr>
                <w:b/>
              </w:rPr>
              <w:t>$</w:t>
            </w:r>
            <w:r w:rsidR="00D57A0E">
              <w:rPr>
                <w:b/>
              </w:rPr>
              <w:t>308,293</w:t>
            </w:r>
          </w:p>
        </w:tc>
      </w:tr>
    </w:tbl>
    <w:p w:rsidR="00AE3985" w:rsidRPr="00EA0D13" w:rsidP="00AE3985" w14:paraId="7A262517" w14:textId="1BC70BAE">
      <w:pPr>
        <w:tabs>
          <w:tab w:val="left" w:pos="0"/>
          <w:tab w:val="left" w:pos="720"/>
          <w:tab w:val="left" w:pos="1440"/>
        </w:tabs>
        <w:suppressAutoHyphens/>
        <w:rPr>
          <w:sz w:val="22"/>
          <w:szCs w:val="22"/>
        </w:rPr>
      </w:pPr>
      <w:r w:rsidRPr="2DEFA3AD">
        <w:rPr>
          <w:sz w:val="20"/>
          <w:szCs w:val="20"/>
        </w:rPr>
        <w:t xml:space="preserve">Note: “Estimated cost per burden hour” is based on data from the </w:t>
      </w:r>
      <w:r w:rsidRPr="00D57A0E" w:rsidR="00D57A0E">
        <w:rPr>
          <w:sz w:val="20"/>
          <w:szCs w:val="20"/>
        </w:rPr>
        <w:t>May 2024 Occupational Employment and Wage Statistics, Bureau of Labor Statistics (BLS)</w:t>
      </w:r>
      <w:r w:rsidR="00D57A0E">
        <w:rPr>
          <w:sz w:val="20"/>
          <w:szCs w:val="20"/>
        </w:rPr>
        <w:t xml:space="preserve"> for the industry “State Government, including Schools and Hospitals.” </w:t>
      </w:r>
      <w:r w:rsidRPr="00D57A0E" w:rsidR="00D57A0E">
        <w:rPr>
          <w:sz w:val="20"/>
          <w:szCs w:val="20"/>
        </w:rPr>
        <w:t>The mean salary for SEA coordinators and for SEA financial managers is estimated at $36.48 per hour (SOC code 13-2000, Business and Financial Operations Financial Specialists) and $64.45 per hour (SOC Code 11-3031, Financial Managers) respectively</w:t>
      </w:r>
      <w:r w:rsidR="00D57A0E">
        <w:rPr>
          <w:sz w:val="20"/>
          <w:szCs w:val="20"/>
        </w:rPr>
        <w:t>.</w:t>
      </w:r>
    </w:p>
    <w:p w:rsidR="00B30C42" w:rsidRPr="00526355" w:rsidP="00EA0D13" w14:paraId="4E06DDD9" w14:textId="77777777">
      <w:pPr>
        <w:pStyle w:val="Heading1"/>
      </w:pPr>
      <w:r w:rsidRPr="00526355">
        <w:t>A13.</w:t>
      </w:r>
      <w:r w:rsidRPr="00526355">
        <w:tab/>
      </w:r>
      <w:r w:rsidRPr="00526355">
        <w:t>Estimates of Cost Burden</w:t>
      </w:r>
    </w:p>
    <w:p w:rsidR="00B30C42" w:rsidRPr="00AA1670" w:rsidP="00210F02" w14:paraId="4E06DDDA" w14:textId="77777777">
      <w:pPr>
        <w:spacing w:after="120"/>
      </w:pPr>
      <w:r w:rsidRPr="00AA1670">
        <w:t xml:space="preserve">There are no additional recordkeeping costs to the responding state education agencies. </w:t>
      </w:r>
      <w:r w:rsidRPr="00AA1670" w:rsidR="00C53EB7">
        <w:t xml:space="preserve">All </w:t>
      </w:r>
      <w:r w:rsidR="00C53EB7">
        <w:t>NPEFS data are extracted</w:t>
      </w:r>
      <w:r w:rsidRPr="00AA1670" w:rsidR="00C53EB7">
        <w:t xml:space="preserve"> from administrative record systems already collected by the state for its own purposes and </w:t>
      </w:r>
      <w:r w:rsidR="00C53EB7">
        <w:t>are</w:t>
      </w:r>
      <w:r w:rsidRPr="00AA1670" w:rsidR="00C53EB7">
        <w:t xml:space="preserve"> </w:t>
      </w:r>
      <w:r w:rsidR="00C53EB7">
        <w:t>of the type and scope normally included in government records</w:t>
      </w:r>
      <w:r w:rsidRPr="00AA1670" w:rsidR="00C53EB7">
        <w:t>.</w:t>
      </w:r>
      <w:r w:rsidR="002F7842">
        <w:t xml:space="preserve"> </w:t>
      </w:r>
      <w:r w:rsidR="006606DF">
        <w:t xml:space="preserve">The information requested </w:t>
      </w:r>
      <w:r w:rsidR="005E67D3">
        <w:t xml:space="preserve">does not require </w:t>
      </w:r>
      <w:r w:rsidR="006606DF">
        <w:t xml:space="preserve">special hardware or accounting software or </w:t>
      </w:r>
      <w:r w:rsidR="006606DF">
        <w:t>system</w:t>
      </w:r>
      <w:r w:rsidR="00BA14F1">
        <w:t>, and thus</w:t>
      </w:r>
      <w:r w:rsidR="006606DF">
        <w:t xml:space="preserve"> respondents are not expected to incur any capital and start-up costs or system 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P="00EA0D13" w14:paraId="4E06DDDB" w14:textId="77777777">
      <w:pPr>
        <w:pStyle w:val="Heading1"/>
      </w:pPr>
      <w:r w:rsidRPr="00AA1670">
        <w:t>A14.</w:t>
      </w:r>
      <w:r w:rsidR="008678A4">
        <w:tab/>
      </w:r>
      <w:r w:rsidRPr="008678A4" w:rsidR="008678A4">
        <w:t>Cost to the Federal Government</w:t>
      </w:r>
    </w:p>
    <w:p w:rsidR="00B30C42" w:rsidP="00210F02" w14:paraId="4E06DDDC" w14:textId="33827628">
      <w:pPr>
        <w:pStyle w:val="Text"/>
        <w:spacing w:after="120"/>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Pr="00AA1670" w:rsidR="00456960">
        <w:rPr>
          <w:sz w:val="24"/>
        </w:rPr>
        <w:t xml:space="preserve">assume a </w:t>
      </w:r>
      <w:r w:rsidR="00A73911">
        <w:rPr>
          <w:sz w:val="24"/>
        </w:rPr>
        <w:t xml:space="preserve">2 percent annual increase to </w:t>
      </w:r>
      <w:r w:rsidR="0088627C">
        <w:rPr>
          <w:sz w:val="24"/>
        </w:rPr>
        <w:t xml:space="preserve">Department of Education </w:t>
      </w:r>
      <w:r w:rsidR="00F057D4">
        <w:rPr>
          <w:sz w:val="24"/>
        </w:rPr>
        <w:t>employee salaries</w:t>
      </w:r>
      <w:r w:rsidR="00417F79">
        <w:rPr>
          <w:sz w:val="24"/>
        </w:rPr>
        <w:t xml:space="preserve">, a 2.4% </w:t>
      </w:r>
      <w:r w:rsidR="001565B5">
        <w:rPr>
          <w:sz w:val="24"/>
        </w:rPr>
        <w:t>annual increase to contractor staff (AIR) costs</w:t>
      </w:r>
      <w:r w:rsidR="00F057D4">
        <w:rPr>
          <w:sz w:val="24"/>
        </w:rPr>
        <w:t xml:space="preserve"> and a </w:t>
      </w:r>
      <w:r w:rsidRPr="00AA1670" w:rsidR="00456960">
        <w:rPr>
          <w:sz w:val="24"/>
        </w:rPr>
        <w:t xml:space="preserve">5 percent increase </w:t>
      </w:r>
      <w:r w:rsidR="00F817B0">
        <w:rPr>
          <w:sz w:val="24"/>
        </w:rPr>
        <w:t>for</w:t>
      </w:r>
      <w:r w:rsidR="00F817B0">
        <w:rPr>
          <w:sz w:val="24"/>
        </w:rPr>
        <w:t xml:space="preserve"> </w:t>
      </w:r>
      <w:r w:rsidR="001565B5">
        <w:rPr>
          <w:sz w:val="24"/>
        </w:rPr>
        <w:t>Census</w:t>
      </w:r>
      <w:r w:rsidR="00F817B0">
        <w:rPr>
          <w:sz w:val="24"/>
        </w:rPr>
        <w:t xml:space="preserve"> costs</w:t>
      </w:r>
      <w:r w:rsidRPr="00AA1670" w:rsidR="00456960">
        <w:rPr>
          <w:sz w:val="24"/>
        </w:rPr>
        <w:t xml:space="preserve"> </w:t>
      </w:r>
      <w:r w:rsidR="00F817B0">
        <w:rPr>
          <w:sz w:val="24"/>
        </w:rPr>
        <w:t>to annually produce</w:t>
      </w:r>
      <w:r w:rsidRPr="00AA1670">
        <w:rPr>
          <w:sz w:val="24"/>
        </w:rPr>
        <w:t xml:space="preserve"> the NPEFS. The costs </w:t>
      </w:r>
      <w:r w:rsidR="009A0EBC">
        <w:rPr>
          <w:sz w:val="24"/>
        </w:rPr>
        <w:t>ex</w:t>
      </w:r>
      <w:r w:rsidRPr="00AA1670" w:rsidR="009A0EBC">
        <w:rPr>
          <w:sz w:val="24"/>
        </w:rPr>
        <w:t xml:space="preserve">clude </w:t>
      </w:r>
      <w:r w:rsidRPr="00AA1670">
        <w:rPr>
          <w:sz w:val="24"/>
        </w:rPr>
        <w:t>a</w:t>
      </w:r>
      <w:r w:rsidR="00F817B0">
        <w:rPr>
          <w:sz w:val="24"/>
        </w:rPr>
        <w:t>n approximate</w:t>
      </w:r>
      <w:r w:rsidRPr="00AA1670">
        <w:rPr>
          <w:sz w:val="24"/>
        </w:rPr>
        <w:t xml:space="preserve"> </w:t>
      </w:r>
      <w:r w:rsidR="00B478C5">
        <w:rPr>
          <w:sz w:val="24"/>
        </w:rPr>
        <w:t>30</w:t>
      </w:r>
      <w:r w:rsidRPr="00AA1670">
        <w:rPr>
          <w:sz w:val="24"/>
        </w:rPr>
        <w:t xml:space="preserve"> percent load on salaries for</w:t>
      </w:r>
      <w:r w:rsidR="00F817B0">
        <w:rPr>
          <w:sz w:val="24"/>
        </w:rPr>
        <w:t xml:space="preserve"> </w:t>
      </w:r>
      <w:r w:rsidR="00BB4FDD">
        <w:rPr>
          <w:sz w:val="24"/>
        </w:rPr>
        <w:t>benefits, overhead, taxes,</w:t>
      </w:r>
      <w:r w:rsidR="00A60C54">
        <w:rPr>
          <w:sz w:val="24"/>
        </w:rPr>
        <w:t xml:space="preserve"> etc. for</w:t>
      </w:r>
      <w:r w:rsidRPr="00AA1670">
        <w:rPr>
          <w:sz w:val="24"/>
        </w:rPr>
        <w:t xml:space="preserve"> Department of Education staff. Contract</w:t>
      </w:r>
      <w:r w:rsidR="00534201">
        <w:rPr>
          <w:sz w:val="24"/>
        </w:rPr>
        <w:t xml:space="preserve">ed </w:t>
      </w:r>
      <w:r w:rsidR="00A40993">
        <w:rPr>
          <w:sz w:val="24"/>
        </w:rPr>
        <w:t xml:space="preserve">and Census </w:t>
      </w:r>
      <w:r w:rsidR="00534201">
        <w:rPr>
          <w:sz w:val="24"/>
        </w:rPr>
        <w:t>staff</w:t>
      </w:r>
      <w:r w:rsidRPr="00AA1670">
        <w:rPr>
          <w:sz w:val="24"/>
        </w:rPr>
        <w:t xml:space="preserve"> </w:t>
      </w:r>
      <w:r w:rsidR="00534201">
        <w:rPr>
          <w:sz w:val="24"/>
        </w:rPr>
        <w:t>amount</w:t>
      </w:r>
      <w:r w:rsidR="00A40993">
        <w:rPr>
          <w:sz w:val="24"/>
        </w:rPr>
        <w:t>s</w:t>
      </w:r>
      <w:r w:rsidRPr="00AA1670">
        <w:rPr>
          <w:sz w:val="24"/>
        </w:rPr>
        <w:t xml:space="preserve"> </w:t>
      </w:r>
      <w:r w:rsidR="009A0EBC">
        <w:rPr>
          <w:sz w:val="24"/>
        </w:rPr>
        <w:t>include</w:t>
      </w:r>
      <w:r w:rsidR="00534201">
        <w:rPr>
          <w:sz w:val="24"/>
        </w:rPr>
        <w:t xml:space="preserve"> </w:t>
      </w:r>
      <w:r w:rsidR="00F817B0">
        <w:rPr>
          <w:sz w:val="24"/>
        </w:rPr>
        <w:t xml:space="preserve">fully </w:t>
      </w:r>
      <w:r w:rsidRPr="00AA1670">
        <w:rPr>
          <w:sz w:val="24"/>
        </w:rPr>
        <w:t>loaded costs.</w:t>
      </w:r>
    </w:p>
    <w:p w:rsidR="00B72D32" w14:paraId="00A4DFE4" w14:textId="1BEF3239">
      <w:pPr>
        <w:rPr>
          <w:b/>
          <w:bCs/>
          <w:snapToGrid w:val="0"/>
          <w:color w:val="000000"/>
        </w:rPr>
      </w:pPr>
    </w:p>
    <w:p w:rsidR="00B30C42" w:rsidRPr="00AA1670" w:rsidP="00A44D7D" w14:paraId="4E06DDDD" w14:textId="44FDBC0A">
      <w:pPr>
        <w:pStyle w:val="Text"/>
        <w:keepNext/>
        <w:spacing w:before="240" w:after="60"/>
        <w:rPr>
          <w:color w:val="000000"/>
          <w:sz w:val="24"/>
        </w:rPr>
      </w:pPr>
      <w:r w:rsidRPr="00AA1670">
        <w:rPr>
          <w:b/>
          <w:bCs/>
          <w:color w:val="000000"/>
          <w:sz w:val="24"/>
        </w:rPr>
        <w:t xml:space="preserve">Estimated Annual Cost of </w:t>
      </w:r>
      <w:r w:rsidR="009618D3">
        <w:rPr>
          <w:b/>
          <w:bCs/>
          <w:color w:val="000000"/>
          <w:sz w:val="24"/>
        </w:rPr>
        <w:t xml:space="preserve">NPEFS </w:t>
      </w:r>
      <w:r w:rsidRPr="00AA1670">
        <w:rPr>
          <w:b/>
          <w:bCs/>
          <w:color w:val="000000"/>
          <w:sz w:val="24"/>
        </w:rPr>
        <w:t>to Federal Government</w:t>
      </w:r>
      <w:r w:rsidR="00F370F3">
        <w:rPr>
          <w:b/>
          <w:bCs/>
          <w:color w:val="000000"/>
          <w:sz w:val="24"/>
        </w:rPr>
        <w:t xml:space="preserve"> for </w:t>
      </w:r>
      <w:r w:rsidR="009150B6">
        <w:rPr>
          <w:b/>
          <w:bCs/>
          <w:color w:val="000000"/>
          <w:sz w:val="24"/>
        </w:rPr>
        <w:t xml:space="preserve">Schools’ </w:t>
      </w:r>
      <w:r w:rsidR="00F370F3">
        <w:rPr>
          <w:b/>
          <w:bCs/>
          <w:color w:val="000000"/>
          <w:sz w:val="24"/>
        </w:rPr>
        <w:t xml:space="preserve">Fiscal Year </w:t>
      </w:r>
      <w:r w:rsidR="004B78FE">
        <w:rPr>
          <w:b/>
          <w:bCs/>
          <w:color w:val="000000"/>
          <w:sz w:val="24"/>
        </w:rPr>
        <w:t>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6039"/>
      </w:tblGrid>
      <w:tr w14:paraId="4E06DDE0" w14:textId="77777777" w:rsidTr="00A44D7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125" w:type="pct"/>
          </w:tcPr>
          <w:p w:rsidR="00B30C42" w:rsidRPr="00AA1670" w14:paraId="4E06DDDE" w14:textId="77777777">
            <w:pPr>
              <w:rPr>
                <w:b/>
                <w:bCs/>
              </w:rPr>
            </w:pPr>
            <w:r w:rsidRPr="00AA1670">
              <w:br w:type="page"/>
            </w:r>
            <w:r w:rsidRPr="00AA1670">
              <w:br w:type="page"/>
            </w:r>
            <w:r w:rsidRPr="00AA1670">
              <w:rPr>
                <w:b/>
                <w:bCs/>
              </w:rPr>
              <w:t>Cost Type</w:t>
            </w:r>
          </w:p>
        </w:tc>
        <w:tc>
          <w:tcPr>
            <w:tcW w:w="2875" w:type="pct"/>
          </w:tcPr>
          <w:p w:rsidR="00B30C42" w:rsidRPr="00AA1670" w:rsidP="009450D1" w14:paraId="4E06DDDF" w14:textId="6B6371D2">
            <w:pPr>
              <w:jc w:val="right"/>
              <w:rPr>
                <w:b/>
                <w:bCs/>
              </w:rPr>
            </w:pPr>
            <w:r>
              <w:rPr>
                <w:b/>
                <w:bCs/>
              </w:rPr>
              <w:t>Cost in Dollars</w:t>
            </w:r>
          </w:p>
        </w:tc>
      </w:tr>
      <w:tr w14:paraId="4E06DDE3" w14:textId="77777777" w:rsidTr="00A44D7D">
        <w:tblPrEx>
          <w:tblW w:w="5000" w:type="pct"/>
          <w:jc w:val="center"/>
          <w:tblLook w:val="0000"/>
        </w:tblPrEx>
        <w:trPr>
          <w:jc w:val="center"/>
        </w:trPr>
        <w:tc>
          <w:tcPr>
            <w:tcW w:w="2125" w:type="pct"/>
          </w:tcPr>
          <w:p w:rsidR="00326144" w:rsidRPr="00351C3D" w:rsidP="00326144" w14:paraId="4E06DDE1" w14:textId="77777777">
            <w:pPr>
              <w:rPr>
                <w:highlight w:val="yellow"/>
              </w:rPr>
            </w:pPr>
            <w:r w:rsidRPr="00672969">
              <w:t>NCES Staff</w:t>
            </w:r>
          </w:p>
        </w:tc>
        <w:tc>
          <w:tcPr>
            <w:tcW w:w="2875" w:type="pct"/>
          </w:tcPr>
          <w:p w:rsidR="00326144" w:rsidRPr="00995C80" w:rsidP="00326144" w14:paraId="4E06DDE2" w14:textId="6226EEF5">
            <w:pPr>
              <w:jc w:val="right"/>
            </w:pPr>
            <w:r>
              <w:t>$</w:t>
            </w:r>
            <w:r w:rsidR="00B347E3">
              <w:t>48,800</w:t>
            </w:r>
          </w:p>
        </w:tc>
      </w:tr>
      <w:tr w14:paraId="4E06DDE6" w14:textId="77777777" w:rsidTr="00A44D7D">
        <w:tblPrEx>
          <w:tblW w:w="5000" w:type="pct"/>
          <w:jc w:val="center"/>
          <w:tblLook w:val="0000"/>
        </w:tblPrEx>
        <w:trPr>
          <w:jc w:val="center"/>
        </w:trPr>
        <w:tc>
          <w:tcPr>
            <w:tcW w:w="2125" w:type="pct"/>
          </w:tcPr>
          <w:p w:rsidR="00326144" w:rsidRPr="00AA1670" w:rsidP="00326144" w14:paraId="4E06DDE4" w14:textId="77777777">
            <w:r w:rsidRPr="00AA1670">
              <w:t>Census (IAD)</w:t>
            </w:r>
            <w:r>
              <w:t xml:space="preserve"> Total</w:t>
            </w:r>
          </w:p>
        </w:tc>
        <w:tc>
          <w:tcPr>
            <w:tcW w:w="2875" w:type="pct"/>
          </w:tcPr>
          <w:p w:rsidR="00326144" w:rsidRPr="00995C80" w:rsidP="00326144" w14:paraId="4E06DDE5" w14:textId="108E7C53">
            <w:pPr>
              <w:jc w:val="right"/>
            </w:pPr>
            <w:r>
              <w:t>1,022,</w:t>
            </w:r>
            <w:r w:rsidR="002A6695">
              <w:t>928</w:t>
            </w:r>
            <w:r w:rsidRPr="00995C80">
              <w:t xml:space="preserve"> </w:t>
            </w:r>
          </w:p>
        </w:tc>
      </w:tr>
      <w:tr w14:paraId="4E06DDE9" w14:textId="77777777" w:rsidTr="00A44D7D">
        <w:tblPrEx>
          <w:tblW w:w="5000" w:type="pct"/>
          <w:jc w:val="center"/>
          <w:tblLook w:val="0000"/>
        </w:tblPrEx>
        <w:trPr>
          <w:jc w:val="center"/>
        </w:trPr>
        <w:tc>
          <w:tcPr>
            <w:tcW w:w="2125" w:type="pct"/>
          </w:tcPr>
          <w:p w:rsidR="00326144" w:rsidRPr="00351C3D" w:rsidP="00326144" w14:paraId="4E06DDE7" w14:textId="77777777">
            <w:pPr>
              <w:rPr>
                <w:highlight w:val="yellow"/>
              </w:rPr>
            </w:pPr>
            <w:r w:rsidRPr="0056543D">
              <w:t>Contracted Staff</w:t>
            </w:r>
          </w:p>
        </w:tc>
        <w:tc>
          <w:tcPr>
            <w:tcW w:w="2875" w:type="pct"/>
          </w:tcPr>
          <w:p w:rsidR="00326144" w:rsidRPr="00351C3D" w:rsidP="00326144" w14:paraId="4E06DDE8" w14:textId="5233D0A0">
            <w:pPr>
              <w:jc w:val="right"/>
              <w:rPr>
                <w:highlight w:val="yellow"/>
              </w:rPr>
            </w:pPr>
            <w:r>
              <w:t>15</w:t>
            </w:r>
            <w:r w:rsidR="00417F79">
              <w:t>4,529</w:t>
            </w:r>
          </w:p>
        </w:tc>
      </w:tr>
      <w:tr w14:paraId="4E06DDEC" w14:textId="77777777" w:rsidTr="00A44D7D">
        <w:tblPrEx>
          <w:tblW w:w="5000" w:type="pct"/>
          <w:jc w:val="center"/>
          <w:tblLook w:val="0000"/>
        </w:tblPrEx>
        <w:trPr>
          <w:jc w:val="center"/>
        </w:trPr>
        <w:tc>
          <w:tcPr>
            <w:tcW w:w="2125" w:type="pct"/>
          </w:tcPr>
          <w:p w:rsidR="00326144" w:rsidRPr="00351C3D" w:rsidP="00326144" w14:paraId="4E06DDEA" w14:textId="77777777">
            <w:pPr>
              <w:pStyle w:val="FootnoteText"/>
              <w:rPr>
                <w:sz w:val="24"/>
                <w:szCs w:val="24"/>
                <w:highlight w:val="yellow"/>
              </w:rPr>
            </w:pPr>
            <w:r w:rsidRPr="00CB4357">
              <w:rPr>
                <w:sz w:val="24"/>
                <w:szCs w:val="24"/>
              </w:rPr>
              <w:t>SEA Staff Training</w:t>
            </w:r>
          </w:p>
        </w:tc>
        <w:tc>
          <w:tcPr>
            <w:tcW w:w="2875" w:type="pct"/>
          </w:tcPr>
          <w:p w:rsidR="00326144" w:rsidRPr="00995C80" w:rsidP="00326144" w14:paraId="4E06DDEB" w14:textId="5F198C52">
            <w:pPr>
              <w:jc w:val="right"/>
            </w:pPr>
            <w:r>
              <w:t>0</w:t>
            </w:r>
            <w:r w:rsidRPr="00995C80">
              <w:t xml:space="preserve"> </w:t>
            </w:r>
          </w:p>
        </w:tc>
      </w:tr>
      <w:tr w14:paraId="4E06DDEF" w14:textId="77777777" w:rsidTr="00A44D7D">
        <w:tblPrEx>
          <w:tblW w:w="5000" w:type="pct"/>
          <w:jc w:val="center"/>
          <w:tblLook w:val="0000"/>
        </w:tblPrEx>
        <w:trPr>
          <w:jc w:val="center"/>
        </w:trPr>
        <w:tc>
          <w:tcPr>
            <w:tcW w:w="2125" w:type="pct"/>
          </w:tcPr>
          <w:p w:rsidR="00326144" w:rsidRPr="00351C3D" w:rsidP="00326144" w14:paraId="4E06DDED" w14:textId="77777777">
            <w:pPr>
              <w:pStyle w:val="FootnoteText"/>
              <w:ind w:left="180"/>
              <w:rPr>
                <w:b/>
                <w:bCs/>
                <w:sz w:val="24"/>
                <w:szCs w:val="24"/>
                <w:highlight w:val="yellow"/>
              </w:rPr>
            </w:pPr>
            <w:r w:rsidRPr="00AE6C7F">
              <w:rPr>
                <w:b/>
                <w:sz w:val="24"/>
                <w:szCs w:val="24"/>
              </w:rPr>
              <w:t xml:space="preserve">Total </w:t>
            </w:r>
          </w:p>
        </w:tc>
        <w:tc>
          <w:tcPr>
            <w:tcW w:w="2875" w:type="pct"/>
          </w:tcPr>
          <w:p w:rsidR="00326144" w:rsidRPr="00E22A2C" w:rsidP="00326144" w14:paraId="4E06DDEE" w14:textId="252205B6">
            <w:pPr>
              <w:jc w:val="right"/>
              <w:rPr>
                <w:b/>
              </w:rPr>
            </w:pPr>
            <w:r>
              <w:rPr>
                <w:b/>
              </w:rPr>
              <w:t>$</w:t>
            </w:r>
            <w:r w:rsidR="00953076">
              <w:rPr>
                <w:b/>
              </w:rPr>
              <w:t>1,226,257</w:t>
            </w:r>
            <w:r w:rsidRPr="00736BB6" w:rsidR="00891BBF">
              <w:rPr>
                <w:b/>
              </w:rPr>
              <w:t xml:space="preserve"> </w:t>
            </w:r>
            <w:r w:rsidRPr="00E22A2C" w:rsidR="00891BBF">
              <w:rPr>
                <w:b/>
              </w:rPr>
              <w:t xml:space="preserve"> </w:t>
            </w:r>
          </w:p>
        </w:tc>
      </w:tr>
    </w:tbl>
    <w:p w:rsidR="005B42FE" w:rsidP="005B42FE" w14:paraId="4E06DDF0" w14:textId="0E343355">
      <w:pPr>
        <w:pStyle w:val="Text"/>
        <w:spacing w:after="0"/>
        <w:rPr>
          <w:sz w:val="24"/>
          <w:u w:val="single"/>
        </w:rPr>
      </w:pPr>
    </w:p>
    <w:p w:rsidR="00266F22" w:rsidRPr="00185DAF" w:rsidP="00B72D32" w14:paraId="7AB26692" w14:textId="515F5DD9">
      <w:pPr>
        <w:keepNext/>
        <w:spacing w:after="60"/>
        <w:rPr>
          <w:snapToGrid w:val="0"/>
          <w:color w:val="000000"/>
        </w:rPr>
      </w:pPr>
      <w:r w:rsidRPr="00185DAF">
        <w:rPr>
          <w:b/>
          <w:bCs/>
          <w:snapToGrid w:val="0"/>
          <w:color w:val="000000"/>
        </w:rPr>
        <w:t xml:space="preserve">Estimated Annual Cost of NPEFS to Federal Government for </w:t>
      </w:r>
      <w:r w:rsidR="009150B6">
        <w:rPr>
          <w:b/>
          <w:bCs/>
          <w:color w:val="000000"/>
        </w:rPr>
        <w:t xml:space="preserve">Schools’ </w:t>
      </w:r>
      <w:r w:rsidRPr="00185DAF">
        <w:rPr>
          <w:b/>
          <w:bCs/>
          <w:snapToGrid w:val="0"/>
          <w:color w:val="000000"/>
        </w:rPr>
        <w:t xml:space="preserve">Fiscal Year </w:t>
      </w:r>
      <w:r w:rsidRPr="00185DAF" w:rsidR="004B78FE">
        <w:rPr>
          <w:b/>
          <w:bCs/>
          <w:snapToGrid w:val="0"/>
          <w:color w:val="000000"/>
        </w:rPr>
        <w:t>20</w:t>
      </w:r>
      <w:r w:rsidR="004B78FE">
        <w:rPr>
          <w:b/>
          <w:bCs/>
          <w:snapToGrid w:val="0"/>
          <w:color w:val="000000"/>
        </w:rPr>
        <w:t>26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6039"/>
      </w:tblGrid>
      <w:tr w14:paraId="323608D2" w14:textId="77777777" w:rsidTr="2BC0B14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125" w:type="pct"/>
          </w:tcPr>
          <w:p w:rsidR="009B15B1" w:rsidRPr="00185DAF" w:rsidP="009B15B1" w14:paraId="2915EC52" w14:textId="77777777">
            <w:pPr>
              <w:rPr>
                <w:b/>
                <w:bCs/>
              </w:rPr>
            </w:pPr>
            <w:r w:rsidRPr="00185DAF">
              <w:br w:type="page"/>
            </w:r>
            <w:r w:rsidRPr="00185DAF">
              <w:br w:type="page"/>
            </w:r>
            <w:r w:rsidRPr="00185DAF">
              <w:rPr>
                <w:b/>
                <w:bCs/>
              </w:rPr>
              <w:t>Cost Type</w:t>
            </w:r>
          </w:p>
        </w:tc>
        <w:tc>
          <w:tcPr>
            <w:tcW w:w="2875" w:type="pct"/>
          </w:tcPr>
          <w:p w:rsidR="009B15B1" w:rsidRPr="00185DAF" w:rsidP="009B15B1" w14:paraId="4917D43D" w14:textId="080E5207">
            <w:pPr>
              <w:jc w:val="right"/>
              <w:rPr>
                <w:b/>
                <w:bCs/>
              </w:rPr>
            </w:pPr>
            <w:r>
              <w:rPr>
                <w:b/>
                <w:bCs/>
              </w:rPr>
              <w:t>Cost in Dollars</w:t>
            </w:r>
          </w:p>
        </w:tc>
      </w:tr>
      <w:tr w14:paraId="54EBC80D" w14:textId="77777777" w:rsidTr="2BC0B144">
        <w:tblPrEx>
          <w:tblW w:w="5000" w:type="pct"/>
          <w:jc w:val="center"/>
          <w:tblLook w:val="0000"/>
        </w:tblPrEx>
        <w:trPr>
          <w:jc w:val="center"/>
        </w:trPr>
        <w:tc>
          <w:tcPr>
            <w:tcW w:w="2125" w:type="pct"/>
          </w:tcPr>
          <w:p w:rsidR="00266F22" w:rsidRPr="00351C3D" w:rsidP="00ED73C9" w14:paraId="5DFD1FE7" w14:textId="77777777">
            <w:pPr>
              <w:rPr>
                <w:highlight w:val="yellow"/>
              </w:rPr>
            </w:pPr>
            <w:r w:rsidRPr="00672969">
              <w:t>NCES Staff</w:t>
            </w:r>
          </w:p>
        </w:tc>
        <w:tc>
          <w:tcPr>
            <w:tcW w:w="2875" w:type="pct"/>
          </w:tcPr>
          <w:p w:rsidR="00266F22" w:rsidRPr="00185DAF" w:rsidP="00ED73C9" w14:paraId="52BDC2EC" w14:textId="634DE49E">
            <w:pPr>
              <w:jc w:val="right"/>
            </w:pPr>
            <w:r>
              <w:t>$</w:t>
            </w:r>
            <w:r w:rsidR="00A76592">
              <w:t>49,776</w:t>
            </w:r>
            <w:r w:rsidRPr="00185DAF">
              <w:t xml:space="preserve"> </w:t>
            </w:r>
          </w:p>
        </w:tc>
      </w:tr>
      <w:tr w14:paraId="3F198860" w14:textId="77777777" w:rsidTr="2BC0B144">
        <w:tblPrEx>
          <w:tblW w:w="5000" w:type="pct"/>
          <w:jc w:val="center"/>
          <w:tblLook w:val="0000"/>
        </w:tblPrEx>
        <w:trPr>
          <w:jc w:val="center"/>
        </w:trPr>
        <w:tc>
          <w:tcPr>
            <w:tcW w:w="2125" w:type="pct"/>
          </w:tcPr>
          <w:p w:rsidR="00266F22" w:rsidRPr="00185DAF" w:rsidP="00ED73C9" w14:paraId="74667F46" w14:textId="77777777">
            <w:r w:rsidRPr="00185DAF">
              <w:t>Census (IAD) Total</w:t>
            </w:r>
          </w:p>
        </w:tc>
        <w:tc>
          <w:tcPr>
            <w:tcW w:w="2875" w:type="pct"/>
          </w:tcPr>
          <w:p w:rsidR="00266F22" w:rsidRPr="00185DAF" w:rsidP="00ED73C9" w14:paraId="1B2D977E" w14:textId="5398AB69">
            <w:pPr>
              <w:jc w:val="right"/>
            </w:pPr>
            <w:r>
              <w:t>1,074,</w:t>
            </w:r>
            <w:r w:rsidR="00A422CC">
              <w:t>074</w:t>
            </w:r>
            <w:r w:rsidRPr="00185DAF">
              <w:t xml:space="preserve"> </w:t>
            </w:r>
          </w:p>
        </w:tc>
      </w:tr>
      <w:tr w14:paraId="1C1B4E25" w14:textId="77777777" w:rsidTr="2BC0B144">
        <w:tblPrEx>
          <w:tblW w:w="5000" w:type="pct"/>
          <w:jc w:val="center"/>
          <w:tblLook w:val="0000"/>
        </w:tblPrEx>
        <w:trPr>
          <w:jc w:val="center"/>
        </w:trPr>
        <w:tc>
          <w:tcPr>
            <w:tcW w:w="2125" w:type="pct"/>
          </w:tcPr>
          <w:p w:rsidR="00266F22" w:rsidRPr="00351C3D" w:rsidP="00ED73C9" w14:paraId="5191AF47" w14:textId="77777777">
            <w:pPr>
              <w:rPr>
                <w:highlight w:val="yellow"/>
              </w:rPr>
            </w:pPr>
            <w:r w:rsidRPr="00B1061C">
              <w:t>Contracted Staff</w:t>
            </w:r>
          </w:p>
        </w:tc>
        <w:tc>
          <w:tcPr>
            <w:tcW w:w="2875" w:type="pct"/>
          </w:tcPr>
          <w:p w:rsidR="00266F22" w:rsidRPr="00351C3D" w:rsidP="2BC0B144" w14:paraId="5CFE1FEA" w14:textId="238D447D">
            <w:pPr>
              <w:jc w:val="right"/>
            </w:pPr>
            <w:r w:rsidR="66AAE388">
              <w:t>158</w:t>
            </w:r>
            <w:r w:rsidR="00417F79">
              <w:t>,204</w:t>
            </w:r>
            <w:r>
              <w:t xml:space="preserve"> </w:t>
            </w:r>
          </w:p>
        </w:tc>
      </w:tr>
      <w:tr w14:paraId="21DCB03C" w14:textId="77777777" w:rsidTr="2BC0B144">
        <w:tblPrEx>
          <w:tblW w:w="5000" w:type="pct"/>
          <w:jc w:val="center"/>
          <w:tblLook w:val="0000"/>
        </w:tblPrEx>
        <w:trPr>
          <w:jc w:val="center"/>
        </w:trPr>
        <w:tc>
          <w:tcPr>
            <w:tcW w:w="2125" w:type="pct"/>
          </w:tcPr>
          <w:p w:rsidR="00266F22" w:rsidRPr="00351C3D" w:rsidP="00ED73C9" w14:paraId="5E9197C3" w14:textId="77777777">
            <w:pPr>
              <w:widowControl w:val="0"/>
              <w:rPr>
                <w:snapToGrid w:val="0"/>
                <w:highlight w:val="yellow"/>
              </w:rPr>
            </w:pPr>
            <w:r w:rsidRPr="00F76A91">
              <w:rPr>
                <w:snapToGrid w:val="0"/>
              </w:rPr>
              <w:t>SEA Staff Training</w:t>
            </w:r>
          </w:p>
        </w:tc>
        <w:tc>
          <w:tcPr>
            <w:tcW w:w="2875" w:type="pct"/>
          </w:tcPr>
          <w:p w:rsidR="00266F22" w:rsidRPr="00351C3D" w:rsidP="2BC0B144" w14:paraId="12780822" w14:textId="1363673D">
            <w:pPr>
              <w:jc w:val="right"/>
            </w:pPr>
            <w:r w:rsidR="31B519B7">
              <w:t>0</w:t>
            </w:r>
            <w:r>
              <w:t xml:space="preserve"> </w:t>
            </w:r>
          </w:p>
        </w:tc>
      </w:tr>
      <w:tr w14:paraId="75675501" w14:textId="77777777" w:rsidTr="2BC0B144">
        <w:tblPrEx>
          <w:tblW w:w="5000" w:type="pct"/>
          <w:jc w:val="center"/>
          <w:tblLook w:val="0000"/>
        </w:tblPrEx>
        <w:trPr>
          <w:jc w:val="center"/>
        </w:trPr>
        <w:tc>
          <w:tcPr>
            <w:tcW w:w="2125" w:type="pct"/>
          </w:tcPr>
          <w:p w:rsidR="00266F22" w:rsidRPr="00B97B7D" w:rsidP="00ED73C9" w14:paraId="2A61A3E6" w14:textId="77777777">
            <w:pPr>
              <w:widowControl w:val="0"/>
              <w:ind w:left="180"/>
              <w:rPr>
                <w:b/>
                <w:bCs/>
                <w:snapToGrid w:val="0"/>
              </w:rPr>
            </w:pPr>
            <w:r w:rsidRPr="00B97B7D">
              <w:rPr>
                <w:b/>
                <w:snapToGrid w:val="0"/>
              </w:rPr>
              <w:t xml:space="preserve">Total </w:t>
            </w:r>
          </w:p>
        </w:tc>
        <w:tc>
          <w:tcPr>
            <w:tcW w:w="2875" w:type="pct"/>
          </w:tcPr>
          <w:p w:rsidR="00266F22" w:rsidRPr="00185DAF" w:rsidP="00ED73C9" w14:paraId="7ED96792" w14:textId="14C81FD7">
            <w:pPr>
              <w:jc w:val="right"/>
              <w:rPr>
                <w:b/>
              </w:rPr>
            </w:pPr>
            <w:r>
              <w:rPr>
                <w:b/>
              </w:rPr>
              <w:t>$</w:t>
            </w:r>
            <w:r w:rsidR="003208A0">
              <w:rPr>
                <w:b/>
              </w:rPr>
              <w:t>1,282,054</w:t>
            </w:r>
          </w:p>
        </w:tc>
      </w:tr>
    </w:tbl>
    <w:p w:rsidR="00266F22" w:rsidP="00266F22" w14:paraId="18350911" w14:textId="688B470B">
      <w:pPr>
        <w:rPr>
          <w:snapToGrid w:val="0"/>
          <w:u w:val="single"/>
        </w:rPr>
      </w:pPr>
    </w:p>
    <w:p w:rsidR="00765C65" w:rsidRPr="00B27B04" w:rsidP="00B72D32" w14:paraId="19E0E98F" w14:textId="4C787AB3">
      <w:pPr>
        <w:keepNext/>
        <w:spacing w:after="60"/>
        <w:rPr>
          <w:snapToGrid w:val="0"/>
          <w:color w:val="000000"/>
        </w:rPr>
      </w:pPr>
      <w:r w:rsidRPr="00B27B04">
        <w:rPr>
          <w:b/>
          <w:bCs/>
          <w:snapToGrid w:val="0"/>
          <w:color w:val="000000"/>
        </w:rPr>
        <w:t xml:space="preserve">Estimated Annual Cost of NPEFS to Federal Government for </w:t>
      </w:r>
      <w:r w:rsidR="009150B6">
        <w:rPr>
          <w:b/>
          <w:bCs/>
          <w:color w:val="000000"/>
        </w:rPr>
        <w:t xml:space="preserve">Schools’ </w:t>
      </w:r>
      <w:r w:rsidRPr="00B27B04">
        <w:rPr>
          <w:b/>
          <w:bCs/>
          <w:snapToGrid w:val="0"/>
          <w:color w:val="000000"/>
        </w:rPr>
        <w:t xml:space="preserve">Fiscal Year </w:t>
      </w:r>
      <w:r w:rsidRPr="00B27B04" w:rsidR="004B78FE">
        <w:rPr>
          <w:b/>
          <w:bCs/>
          <w:snapToGrid w:val="0"/>
          <w:color w:val="000000"/>
        </w:rPr>
        <w:t>202</w:t>
      </w:r>
      <w:r w:rsidR="004B78FE">
        <w:rPr>
          <w:b/>
          <w:bCs/>
          <w:snapToGrid w:val="0"/>
          <w:color w:val="000000"/>
        </w:rPr>
        <w:t>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6039"/>
      </w:tblGrid>
      <w:tr w14:paraId="204D22ED" w14:textId="77777777" w:rsidTr="2BC0B14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125" w:type="pct"/>
          </w:tcPr>
          <w:p w:rsidR="009B15B1" w:rsidRPr="00B27B04" w:rsidP="009B15B1" w14:paraId="646CC2AD" w14:textId="77777777">
            <w:pPr>
              <w:rPr>
                <w:b/>
                <w:bCs/>
              </w:rPr>
            </w:pPr>
            <w:r w:rsidRPr="00B27B04">
              <w:br w:type="page"/>
            </w:r>
            <w:r w:rsidRPr="00B27B04">
              <w:br w:type="page"/>
            </w:r>
            <w:r w:rsidRPr="00B27B04">
              <w:rPr>
                <w:b/>
                <w:bCs/>
              </w:rPr>
              <w:t>Cost Type</w:t>
            </w:r>
          </w:p>
        </w:tc>
        <w:tc>
          <w:tcPr>
            <w:tcW w:w="2875" w:type="pct"/>
          </w:tcPr>
          <w:p w:rsidR="009B15B1" w:rsidRPr="00B27B04" w:rsidP="009B15B1" w14:paraId="3B755BBD" w14:textId="13D5EEFA">
            <w:pPr>
              <w:jc w:val="right"/>
              <w:rPr>
                <w:b/>
                <w:bCs/>
              </w:rPr>
            </w:pPr>
            <w:r>
              <w:rPr>
                <w:b/>
                <w:bCs/>
              </w:rPr>
              <w:t>Cost in Dollars</w:t>
            </w:r>
          </w:p>
        </w:tc>
      </w:tr>
      <w:tr w14:paraId="1EE4A298" w14:textId="77777777" w:rsidTr="2BC0B144">
        <w:tblPrEx>
          <w:tblW w:w="5000" w:type="pct"/>
          <w:jc w:val="center"/>
          <w:tblLook w:val="0000"/>
        </w:tblPrEx>
        <w:trPr>
          <w:jc w:val="center"/>
        </w:trPr>
        <w:tc>
          <w:tcPr>
            <w:tcW w:w="2125" w:type="pct"/>
          </w:tcPr>
          <w:p w:rsidR="00765C65" w:rsidRPr="00351C3D" w:rsidP="009B5110" w14:paraId="4A419997" w14:textId="77777777">
            <w:pPr>
              <w:rPr>
                <w:highlight w:val="yellow"/>
              </w:rPr>
            </w:pPr>
            <w:r w:rsidRPr="00672969">
              <w:t>NCES Staff</w:t>
            </w:r>
          </w:p>
        </w:tc>
        <w:tc>
          <w:tcPr>
            <w:tcW w:w="2875" w:type="pct"/>
          </w:tcPr>
          <w:p w:rsidR="00765C65" w:rsidRPr="00B27B04" w:rsidP="009B5110" w14:paraId="51AE183C" w14:textId="77F43F09">
            <w:pPr>
              <w:jc w:val="right"/>
            </w:pPr>
            <w:r>
              <w:t>$</w:t>
            </w:r>
            <w:r w:rsidR="00A73911">
              <w:t>50,772</w:t>
            </w:r>
            <w:r w:rsidRPr="00B27B04">
              <w:t xml:space="preserve"> </w:t>
            </w:r>
          </w:p>
        </w:tc>
      </w:tr>
      <w:tr w14:paraId="4A9FA515" w14:textId="77777777" w:rsidTr="2BC0B144">
        <w:tblPrEx>
          <w:tblW w:w="5000" w:type="pct"/>
          <w:jc w:val="center"/>
          <w:tblLook w:val="0000"/>
        </w:tblPrEx>
        <w:trPr>
          <w:jc w:val="center"/>
        </w:trPr>
        <w:tc>
          <w:tcPr>
            <w:tcW w:w="2125" w:type="pct"/>
          </w:tcPr>
          <w:p w:rsidR="00765C65" w:rsidRPr="00B27B04" w:rsidP="009B5110" w14:paraId="443E712B" w14:textId="77777777">
            <w:r w:rsidRPr="00B27B04">
              <w:t>Census (IAD) Total</w:t>
            </w:r>
          </w:p>
        </w:tc>
        <w:tc>
          <w:tcPr>
            <w:tcW w:w="2875" w:type="pct"/>
          </w:tcPr>
          <w:p w:rsidR="00765C65" w:rsidRPr="00B27B04" w:rsidP="00FF38CB" w14:paraId="2A885132" w14:textId="56DF506A">
            <w:pPr>
              <w:jc w:val="right"/>
            </w:pPr>
            <w:r>
              <w:t>1,127,778</w:t>
            </w:r>
            <w:r w:rsidRPr="00B27B04">
              <w:t xml:space="preserve"> </w:t>
            </w:r>
          </w:p>
        </w:tc>
      </w:tr>
      <w:tr w14:paraId="0C0A663F" w14:textId="77777777" w:rsidTr="2BC0B144">
        <w:tblPrEx>
          <w:tblW w:w="5000" w:type="pct"/>
          <w:jc w:val="center"/>
          <w:tblLook w:val="0000"/>
        </w:tblPrEx>
        <w:trPr>
          <w:jc w:val="center"/>
        </w:trPr>
        <w:tc>
          <w:tcPr>
            <w:tcW w:w="2125" w:type="pct"/>
          </w:tcPr>
          <w:p w:rsidR="00765C65" w:rsidRPr="00351C3D" w:rsidP="009B5110" w14:paraId="698D0020" w14:textId="77777777">
            <w:pPr>
              <w:rPr>
                <w:highlight w:val="yellow"/>
              </w:rPr>
            </w:pPr>
            <w:r w:rsidRPr="003917D6">
              <w:t>Contracted Staff</w:t>
            </w:r>
          </w:p>
        </w:tc>
        <w:tc>
          <w:tcPr>
            <w:tcW w:w="2875" w:type="pct"/>
          </w:tcPr>
          <w:p w:rsidR="00765C65" w:rsidRPr="00351C3D" w:rsidP="2BC0B144" w14:paraId="614AC23C" w14:textId="699723A8">
            <w:pPr>
              <w:jc w:val="right"/>
            </w:pPr>
            <w:r w:rsidR="66AAE388">
              <w:t>161,966</w:t>
            </w:r>
            <w:r>
              <w:t xml:space="preserve"> </w:t>
            </w:r>
          </w:p>
        </w:tc>
      </w:tr>
      <w:tr w14:paraId="1A7B538C" w14:textId="77777777" w:rsidTr="2BC0B144">
        <w:tblPrEx>
          <w:tblW w:w="5000" w:type="pct"/>
          <w:jc w:val="center"/>
          <w:tblLook w:val="0000"/>
        </w:tblPrEx>
        <w:trPr>
          <w:jc w:val="center"/>
        </w:trPr>
        <w:tc>
          <w:tcPr>
            <w:tcW w:w="2125" w:type="pct"/>
          </w:tcPr>
          <w:p w:rsidR="00765C65" w:rsidRPr="00351C3D" w:rsidP="009B5110" w14:paraId="06012853" w14:textId="77777777">
            <w:pPr>
              <w:widowControl w:val="0"/>
              <w:rPr>
                <w:snapToGrid w:val="0"/>
                <w:highlight w:val="yellow"/>
              </w:rPr>
            </w:pPr>
            <w:r w:rsidRPr="00706FD0">
              <w:rPr>
                <w:snapToGrid w:val="0"/>
              </w:rPr>
              <w:t>SEA Staff Training</w:t>
            </w:r>
          </w:p>
        </w:tc>
        <w:tc>
          <w:tcPr>
            <w:tcW w:w="2875" w:type="pct"/>
          </w:tcPr>
          <w:p w:rsidR="00765C65" w:rsidRPr="00351C3D" w:rsidP="2BC0B144" w14:paraId="7574BCC9" w14:textId="64AD677A">
            <w:pPr>
              <w:jc w:val="right"/>
            </w:pPr>
            <w:r w:rsidR="11FD115D">
              <w:t>0</w:t>
            </w:r>
            <w:r>
              <w:t xml:space="preserve"> </w:t>
            </w:r>
          </w:p>
        </w:tc>
      </w:tr>
      <w:tr w14:paraId="2E694588" w14:textId="77777777" w:rsidTr="2BC0B144">
        <w:tblPrEx>
          <w:tblW w:w="5000" w:type="pct"/>
          <w:jc w:val="center"/>
          <w:tblLook w:val="0000"/>
        </w:tblPrEx>
        <w:trPr>
          <w:jc w:val="center"/>
        </w:trPr>
        <w:tc>
          <w:tcPr>
            <w:tcW w:w="2125" w:type="pct"/>
          </w:tcPr>
          <w:p w:rsidR="00765C65" w:rsidRPr="00351C3D" w:rsidP="009B5110" w14:paraId="0840E453" w14:textId="77777777">
            <w:pPr>
              <w:widowControl w:val="0"/>
              <w:ind w:left="180"/>
              <w:rPr>
                <w:b/>
                <w:bCs/>
                <w:snapToGrid w:val="0"/>
                <w:highlight w:val="yellow"/>
              </w:rPr>
            </w:pPr>
            <w:r w:rsidRPr="00B97B7D">
              <w:rPr>
                <w:b/>
                <w:snapToGrid w:val="0"/>
              </w:rPr>
              <w:t xml:space="preserve">Total </w:t>
            </w:r>
          </w:p>
        </w:tc>
        <w:tc>
          <w:tcPr>
            <w:tcW w:w="2875" w:type="pct"/>
          </w:tcPr>
          <w:p w:rsidR="001A7943" w:rsidRPr="00185DAF" w:rsidP="001A7943" w14:paraId="3C83FC0D" w14:textId="441CE237">
            <w:pPr>
              <w:jc w:val="right"/>
              <w:rPr>
                <w:b/>
              </w:rPr>
            </w:pPr>
            <w:r w:rsidRPr="008F1F1D">
              <w:rPr>
                <w:b/>
              </w:rPr>
              <w:t xml:space="preserve">       </w:t>
            </w:r>
            <w:r w:rsidR="00EF5DF7">
              <w:rPr>
                <w:b/>
              </w:rPr>
              <w:t>$</w:t>
            </w:r>
            <w:r>
              <w:rPr>
                <w:b/>
              </w:rPr>
              <w:t>1,340,516</w:t>
            </w:r>
          </w:p>
        </w:tc>
      </w:tr>
    </w:tbl>
    <w:p w:rsidR="00266F22" w:rsidP="005B42FE" w14:paraId="36A1DD45" w14:textId="77777777">
      <w:pPr>
        <w:pStyle w:val="Text"/>
        <w:spacing w:after="0"/>
        <w:rPr>
          <w:sz w:val="24"/>
          <w:u w:val="single"/>
        </w:rPr>
      </w:pPr>
    </w:p>
    <w:p w:rsidR="001B22D2" w:rsidRPr="00AC1CA0" w:rsidP="00210F02" w14:paraId="4E06DDF3" w14:textId="2086F7B3">
      <w:pPr>
        <w:spacing w:after="120"/>
      </w:pPr>
      <w:r w:rsidRPr="00AC1CA0">
        <w:rPr>
          <w:u w:val="single"/>
        </w:rPr>
        <w:t>Cost</w:t>
      </w:r>
      <w:r w:rsidRPr="00AC1CA0" w:rsidR="005D1930">
        <w:rPr>
          <w:u w:val="single"/>
        </w:rPr>
        <w:t>:</w:t>
      </w:r>
      <w:r w:rsidRPr="00AC1CA0">
        <w:t xml:space="preserve"> Department of Education staff assigned to </w:t>
      </w:r>
      <w:r w:rsidRPr="00AC1CA0" w:rsidR="00A85E3D">
        <w:t>N</w:t>
      </w:r>
      <w:r w:rsidRPr="00AC1CA0">
        <w:t xml:space="preserve">PEFS </w:t>
      </w:r>
      <w:r w:rsidRPr="00221080" w:rsidR="001A7943">
        <w:t>assumes</w:t>
      </w:r>
      <w:r w:rsidRPr="00AC1CA0" w:rsidR="001A7943">
        <w:t xml:space="preserve"> </w:t>
      </w:r>
      <w:r w:rsidRPr="00AC1CA0" w:rsidR="00957F1C">
        <w:t>0.</w:t>
      </w:r>
      <w:r w:rsidRPr="00221080" w:rsidR="005C2C70">
        <w:t>25</w:t>
      </w:r>
      <w:r w:rsidRPr="00AC1CA0" w:rsidR="00B029E8">
        <w:t xml:space="preserve"> </w:t>
      </w:r>
      <w:r w:rsidRPr="00AC1CA0">
        <w:t xml:space="preserve">FTE </w:t>
      </w:r>
      <w:r w:rsidRPr="00AC1CA0" w:rsidR="00691A23">
        <w:t>(</w:t>
      </w:r>
      <w:r w:rsidRPr="00AC1CA0" w:rsidR="001A7943">
        <w:t>GS1</w:t>
      </w:r>
      <w:r w:rsidRPr="00221080" w:rsidR="001A7943">
        <w:t>5</w:t>
      </w:r>
      <w:r w:rsidRPr="00AC1CA0" w:rsidR="00691A23">
        <w:t>)</w:t>
      </w:r>
      <w:r w:rsidRPr="00AC1CA0">
        <w:t xml:space="preserve"> staff</w:t>
      </w:r>
      <w:r w:rsidRPr="00AC1CA0" w:rsidR="00456960">
        <w:t xml:space="preserve"> </w:t>
      </w:r>
      <w:r w:rsidRPr="00AC1CA0">
        <w:t>ti</w:t>
      </w:r>
      <w:r w:rsidRPr="00AC1CA0" w:rsidR="00456960">
        <w:t>me</w:t>
      </w:r>
      <w:r w:rsidRPr="00AC1CA0">
        <w:t>.</w:t>
      </w:r>
      <w:r w:rsidRPr="00AC1CA0" w:rsidR="002F0C59">
        <w:t xml:space="preserve"> </w:t>
      </w:r>
      <w:r w:rsidRPr="00AC1CA0" w:rsidR="00456960">
        <w:t xml:space="preserve">Contracted staff </w:t>
      </w:r>
      <w:r w:rsidRPr="00221080" w:rsidR="001A7943">
        <w:t>assumes</w:t>
      </w:r>
      <w:r w:rsidRPr="00AC1CA0" w:rsidR="001A7943">
        <w:t xml:space="preserve"> </w:t>
      </w:r>
      <w:r w:rsidRPr="00221080" w:rsidR="001A7943">
        <w:t>a team of part-time</w:t>
      </w:r>
      <w:r w:rsidRPr="00221080" w:rsidR="004B6AD3">
        <w:t xml:space="preserve"> </w:t>
      </w:r>
      <w:r w:rsidRPr="00C0680B" w:rsidR="00E601AC">
        <w:t xml:space="preserve">data scientists and </w:t>
      </w:r>
      <w:r w:rsidRPr="00AC1CA0">
        <w:t>research assistant</w:t>
      </w:r>
      <w:r w:rsidRPr="00C0680B" w:rsidR="00E601AC">
        <w:t>s</w:t>
      </w:r>
      <w:r w:rsidRPr="00AC1CA0">
        <w:t xml:space="preserve"> employed through the </w:t>
      </w:r>
      <w:r w:rsidRPr="00AC1CA0" w:rsidR="000475DE">
        <w:t>American Institutes for Research</w:t>
      </w:r>
      <w:r w:rsidRPr="00AC1CA0">
        <w:t>.</w:t>
      </w:r>
      <w:r w:rsidRPr="00AC1CA0" w:rsidR="002F0C59">
        <w:t xml:space="preserve"> </w:t>
      </w:r>
      <w:r w:rsidRPr="00AC1CA0">
        <w:t>Costs reported for Census incl</w:t>
      </w:r>
      <w:r w:rsidRPr="00AC1CA0" w:rsidR="002F0C59">
        <w:t>ude staffing and other charges.</w:t>
      </w:r>
      <w:r w:rsidRPr="00AC1CA0" w:rsidR="00957F1C">
        <w:t xml:space="preserve"> Census staff assigned to NPEFS </w:t>
      </w:r>
      <w:r w:rsidRPr="0035662D" w:rsidR="004B6AD3">
        <w:t>assumes</w:t>
      </w:r>
      <w:r w:rsidRPr="00AC1CA0" w:rsidR="004B6AD3">
        <w:t xml:space="preserve"> </w:t>
      </w:r>
      <w:r w:rsidRPr="00AC1CA0" w:rsidR="00957F1C">
        <w:t>4</w:t>
      </w:r>
      <w:r w:rsidRPr="00AC1CA0" w:rsidR="00524D71">
        <w:t xml:space="preserve"> FTE survey analyst</w:t>
      </w:r>
      <w:r w:rsidRPr="00AC1CA0" w:rsidR="00B72F17">
        <w:t xml:space="preserve"> (GS12-13)</w:t>
      </w:r>
      <w:r w:rsidRPr="00AC1CA0" w:rsidR="00524D71">
        <w:t>,</w:t>
      </w:r>
      <w:r w:rsidRPr="00AC1CA0" w:rsidR="00B72F17">
        <w:t xml:space="preserve"> </w:t>
      </w:r>
      <w:r w:rsidRPr="00C0680B" w:rsidR="00AC1CA0">
        <w:t>0</w:t>
      </w:r>
      <w:r w:rsidRPr="00AC1CA0" w:rsidR="00B72F17">
        <w:t>.25 manager (GS14)</w:t>
      </w:r>
      <w:r w:rsidRPr="00C0680B" w:rsidR="00AC1CA0">
        <w:t>, and</w:t>
      </w:r>
      <w:r w:rsidRPr="00AC1CA0" w:rsidR="00524D71">
        <w:t xml:space="preserve"> 1</w:t>
      </w:r>
      <w:r w:rsidRPr="00C0680B" w:rsidR="00AC1CA0">
        <w:t>.0</w:t>
      </w:r>
      <w:r w:rsidRPr="00AC1CA0" w:rsidR="00524D71">
        <w:t xml:space="preserve"> FTE IT programmer.</w:t>
      </w:r>
    </w:p>
    <w:p w:rsidR="002F0C59" w:rsidP="00210F02" w14:paraId="098D272F" w14:textId="1858DFC4">
      <w:pPr>
        <w:pStyle w:val="Text"/>
        <w:widowControl w:val="0"/>
        <w:spacing w:after="120"/>
        <w:rPr>
          <w:sz w:val="24"/>
        </w:rPr>
      </w:pPr>
      <w:r w:rsidRPr="00AC1CA0">
        <w:rPr>
          <w:sz w:val="24"/>
        </w:rPr>
        <w:t xml:space="preserve">Training costs </w:t>
      </w:r>
      <w:r w:rsidRPr="00AC1CA0" w:rsidR="00F60E36">
        <w:rPr>
          <w:sz w:val="24"/>
        </w:rPr>
        <w:t xml:space="preserve">are no longer included due to the transition to a </w:t>
      </w:r>
      <w:r w:rsidRPr="00AC1CA0" w:rsidR="0029664E">
        <w:rPr>
          <w:sz w:val="24"/>
        </w:rPr>
        <w:t xml:space="preserve">virtual training model which only requires Census and Education staff </w:t>
      </w:r>
      <w:r w:rsidRPr="00AC1CA0" w:rsidR="0029664E">
        <w:rPr>
          <w:sz w:val="24"/>
        </w:rPr>
        <w:t>time</w:t>
      </w:r>
      <w:r w:rsidRPr="00AC1CA0" w:rsidR="008E41C2">
        <w:rPr>
          <w:sz w:val="24"/>
        </w:rPr>
        <w:t xml:space="preserve"> which is already considered</w:t>
      </w:r>
      <w:r w:rsidRPr="00AC1CA0" w:rsidR="0029664E">
        <w:rPr>
          <w:sz w:val="24"/>
        </w:rPr>
        <w:t xml:space="preserve">.  </w:t>
      </w:r>
    </w:p>
    <w:p w:rsidR="00B30C42" w:rsidRPr="008678A4" w:rsidP="00EA0D13" w14:paraId="4E06DE02" w14:textId="77777777">
      <w:pPr>
        <w:pStyle w:val="Heading1"/>
      </w:pPr>
      <w:r w:rsidRPr="008678A4">
        <w:t>A15.</w:t>
      </w:r>
      <w:r w:rsidRPr="008678A4">
        <w:tab/>
      </w:r>
      <w:r w:rsidRPr="008678A4">
        <w:t>Reason for Change in Burden</w:t>
      </w:r>
    </w:p>
    <w:p w:rsidR="000235D3" w:rsidRPr="001E7B20" w:rsidP="000235D3" w14:paraId="4EC31A89" w14:textId="2230DBE9">
      <w:pPr>
        <w:spacing w:before="100" w:beforeAutospacing="1" w:after="240" w:line="276" w:lineRule="auto"/>
        <w:rPr>
          <w:snapToGrid w:val="0"/>
        </w:rPr>
      </w:pPr>
      <w:bookmarkStart w:id="2" w:name="_Hlk59177468"/>
      <w:r w:rsidRPr="001E7B20">
        <w:rPr>
          <w:snapToGrid w:val="0"/>
        </w:rPr>
        <w:t xml:space="preserve">The estimated respondent burden </w:t>
      </w:r>
      <w:r w:rsidR="00AC1CA0">
        <w:rPr>
          <w:snapToGrid w:val="0"/>
        </w:rPr>
        <w:t>hours are unchanged.</w:t>
      </w:r>
    </w:p>
    <w:bookmarkEnd w:id="2"/>
    <w:p w:rsidR="00B30C42" w:rsidRPr="00AA1670" w:rsidP="00EA0D13" w14:paraId="4E06DE04" w14:textId="77777777">
      <w:pPr>
        <w:pStyle w:val="Heading1"/>
      </w:pPr>
      <w:r>
        <w:t>A16.</w:t>
      </w:r>
      <w:r w:rsidRPr="008678A4">
        <w:tab/>
      </w:r>
      <w:r w:rsidRPr="008678A4">
        <w:t>Project Schedule</w:t>
      </w:r>
    </w:p>
    <w:p w:rsidR="005B42FE" w:rsidP="00131E58" w14:paraId="4E06DE05" w14:textId="77777777">
      <w:pPr>
        <w:pStyle w:val="Text"/>
        <w:keepNext/>
        <w:spacing w:after="120"/>
        <w:rPr>
          <w:sz w:val="24"/>
          <w:u w:val="single"/>
        </w:rPr>
      </w:pPr>
      <w:r>
        <w:rPr>
          <w:sz w:val="24"/>
          <w:u w:val="single"/>
        </w:rPr>
        <w:t xml:space="preserve">NPEFS </w:t>
      </w:r>
      <w:r w:rsidRPr="00AA1670" w:rsidR="00B30C42">
        <w:rPr>
          <w:sz w:val="24"/>
          <w:u w:val="single"/>
        </w:rPr>
        <w:t>Products</w:t>
      </w:r>
      <w:r>
        <w:rPr>
          <w:sz w:val="24"/>
          <w:u w:val="single"/>
        </w:rPr>
        <w:t>:</w:t>
      </w:r>
    </w:p>
    <w:p w:rsidR="005B42FE" w:rsidRPr="00AA1670" w:rsidP="00A44D7D" w14:paraId="4E06DE06" w14:textId="77777777">
      <w:pPr>
        <w:pStyle w:val="Text"/>
        <w:widowControl w:val="0"/>
        <w:numPr>
          <w:ilvl w:val="0"/>
          <w:numId w:val="11"/>
        </w:numPr>
        <w:spacing w:after="120"/>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005B42FE" w:rsidRPr="00AA1670" w:rsidP="00210F02" w14:paraId="4E06DE07" w14:textId="77777777">
      <w:pPr>
        <w:pStyle w:val="Text"/>
        <w:numPr>
          <w:ilvl w:val="0"/>
          <w:numId w:val="11"/>
        </w:numPr>
        <w:spacing w:after="120"/>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00B30C42" w:rsidRPr="00AA1670" w:rsidP="00210F02" w14:paraId="4E06DE08" w14:textId="77777777">
      <w:pPr>
        <w:pStyle w:val="Text"/>
        <w:numPr>
          <w:ilvl w:val="0"/>
          <w:numId w:val="11"/>
        </w:numPr>
        <w:spacing w:after="120"/>
        <w:rPr>
          <w:sz w:val="24"/>
        </w:rPr>
      </w:pPr>
      <w:r>
        <w:rPr>
          <w:sz w:val="24"/>
        </w:rPr>
        <w:t xml:space="preserve">Supporting Statement Part </w:t>
      </w:r>
      <w:r w:rsidRPr="00AA1670">
        <w:rPr>
          <w:sz w:val="24"/>
        </w:rPr>
        <w:t xml:space="preserve">C </w:t>
      </w:r>
      <w:r>
        <w:rPr>
          <w:sz w:val="24"/>
        </w:rPr>
        <w:t>includes</w:t>
      </w:r>
      <w:r w:rsidRPr="00AA1670">
        <w:rPr>
          <w:sz w:val="24"/>
        </w:rPr>
        <w:t xml:space="preserve"> tables that illustrate how the CCD data are typically presented as simple cross-tabulations.</w:t>
      </w:r>
    </w:p>
    <w:p w:rsidR="002F7842" w:rsidP="00210F02" w14:paraId="4E06DE09" w14:textId="77777777">
      <w:pPr>
        <w:pStyle w:val="Text"/>
        <w:numPr>
          <w:ilvl w:val="0"/>
          <w:numId w:val="11"/>
        </w:numPr>
        <w:spacing w:after="120"/>
        <w:rPr>
          <w:sz w:val="24"/>
        </w:rPr>
      </w:pPr>
      <w:r w:rsidRPr="00AA1670">
        <w:rPr>
          <w:sz w:val="24"/>
        </w:rPr>
        <w:t>Complex analytical techniques are not used with the NPEFS.</w:t>
      </w:r>
    </w:p>
    <w:p w:rsidR="00B30C42" w:rsidRPr="00AA1670" w:rsidP="00A44D7D" w14:paraId="4E06DE0A" w14:textId="77777777">
      <w:pPr>
        <w:pStyle w:val="Text"/>
        <w:rPr>
          <w:sz w:val="24"/>
        </w:rPr>
      </w:pPr>
      <w:r w:rsidRPr="00AA1670">
        <w:rPr>
          <w:sz w:val="24"/>
          <w:u w:val="single"/>
        </w:rPr>
        <w:t>Timeline</w:t>
      </w:r>
      <w:r w:rsidRPr="00AA1670">
        <w:rPr>
          <w:sz w:val="24"/>
        </w:rPr>
        <w:t>. The NPEFS is an annual collection, and the schedule is shown below. Note that the files cannot be closed until the last state is able to report all requested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8311"/>
      </w:tblGrid>
      <w:tr w14:paraId="4E06DE0D" w14:textId="77777777" w:rsidTr="005B42F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43" w:type="pct"/>
            <w:vAlign w:val="center"/>
          </w:tcPr>
          <w:p w:rsidR="00995C80" w:rsidRPr="004E7F8D" w:rsidP="005B42FE" w14:paraId="4E06DE0B" w14:textId="77777777"/>
        </w:tc>
        <w:tc>
          <w:tcPr>
            <w:tcW w:w="3957" w:type="pct"/>
            <w:vAlign w:val="center"/>
          </w:tcPr>
          <w:p w:rsidR="00995C80" w:rsidRPr="004E7F8D" w:rsidP="005B42FE" w14:paraId="4E06DE0C" w14:textId="77777777">
            <w:r>
              <w:rPr>
                <w:b/>
                <w:bCs/>
              </w:rPr>
              <w:t xml:space="preserve">NPEFS </w:t>
            </w:r>
            <w:r w:rsidRPr="00995C80">
              <w:rPr>
                <w:b/>
                <w:bCs/>
              </w:rPr>
              <w:t xml:space="preserve">Survey Collection, Processing, </w:t>
            </w:r>
            <w:r>
              <w:rPr>
                <w:b/>
                <w:bCs/>
              </w:rPr>
              <w:t xml:space="preserve">and </w:t>
            </w:r>
            <w:r w:rsidRPr="00995C80">
              <w:rPr>
                <w:b/>
                <w:bCs/>
              </w:rPr>
              <w:t>Publication</w:t>
            </w:r>
          </w:p>
        </w:tc>
      </w:tr>
      <w:tr w14:paraId="4E06DE11" w14:textId="77777777" w:rsidTr="005B42FE">
        <w:tblPrEx>
          <w:tblW w:w="5000" w:type="pct"/>
          <w:jc w:val="center"/>
          <w:tblLook w:val="04A0"/>
        </w:tblPrEx>
        <w:trPr>
          <w:jc w:val="center"/>
        </w:trPr>
        <w:tc>
          <w:tcPr>
            <w:tcW w:w="1043" w:type="pct"/>
            <w:vAlign w:val="center"/>
          </w:tcPr>
          <w:p w:rsidR="001E1700" w:rsidRPr="004E7F8D" w:rsidP="005B42FE" w14:paraId="4E06DE0E" w14:textId="77777777">
            <w:r w:rsidRPr="004E7F8D">
              <w:t xml:space="preserve">Late January </w:t>
            </w:r>
          </w:p>
        </w:tc>
        <w:tc>
          <w:tcPr>
            <w:tcW w:w="3957" w:type="pct"/>
            <w:vAlign w:val="center"/>
          </w:tcPr>
          <w:p w:rsidR="001E1700" w:rsidRPr="004E7F8D" w:rsidP="005B42FE" w14:paraId="4E06DE0F" w14:textId="77777777">
            <w:r w:rsidRPr="004E7F8D">
              <w:t>Mail instructions to respondents</w:t>
            </w:r>
            <w:r w:rsidR="00994B90">
              <w:t xml:space="preserve"> and</w:t>
            </w:r>
            <w:r w:rsidRPr="004E7F8D">
              <w:t xml:space="preserve"> open </w:t>
            </w:r>
            <w:r w:rsidR="00AA1647">
              <w:t xml:space="preserve">NPEFS </w:t>
            </w:r>
            <w:r w:rsidR="00994B90">
              <w:t>website to receive data</w:t>
            </w:r>
          </w:p>
          <w:p w:rsidR="001E1700" w:rsidRPr="004E7F8D" w:rsidP="005B42FE" w14:paraId="4E06DE10" w14:textId="77777777">
            <w:r w:rsidRPr="004E7F8D">
              <w:t>SEAs can begin to su</w:t>
            </w:r>
            <w:r w:rsidR="00994B90">
              <w:t>bmit accurate and complete data</w:t>
            </w:r>
          </w:p>
        </w:tc>
      </w:tr>
      <w:tr w14:paraId="4E06DE14" w14:textId="77777777" w:rsidTr="005B42FE">
        <w:tblPrEx>
          <w:tblW w:w="5000" w:type="pct"/>
          <w:jc w:val="center"/>
          <w:tblLook w:val="04A0"/>
        </w:tblPrEx>
        <w:trPr>
          <w:jc w:val="center"/>
        </w:trPr>
        <w:tc>
          <w:tcPr>
            <w:tcW w:w="1043" w:type="pct"/>
            <w:vAlign w:val="center"/>
          </w:tcPr>
          <w:p w:rsidR="001E1700" w:rsidRPr="004E7F8D" w:rsidP="005B42FE" w14:paraId="4E06DE12" w14:textId="17DABDE7">
            <w:r w:rsidRPr="004E7F8D">
              <w:br w:type="page"/>
            </w:r>
            <w:r w:rsidR="00AE75EA">
              <w:t xml:space="preserve">Late </w:t>
            </w:r>
            <w:r w:rsidRPr="004E7F8D">
              <w:t xml:space="preserve">March </w:t>
            </w:r>
          </w:p>
        </w:tc>
        <w:tc>
          <w:tcPr>
            <w:tcW w:w="3957" w:type="pct"/>
            <w:vAlign w:val="center"/>
          </w:tcPr>
          <w:p w:rsidR="001E1700" w:rsidRPr="004E7F8D" w:rsidP="005B42FE" w14:paraId="4E06DE13" w14:textId="77777777">
            <w:r w:rsidRPr="004E7F8D">
              <w:t>SEAs are urged to have finished submit</w:t>
            </w:r>
            <w:r w:rsidR="00994B90">
              <w:t>ting accurate and complete data</w:t>
            </w:r>
          </w:p>
        </w:tc>
      </w:tr>
      <w:tr w14:paraId="4E06DE17" w14:textId="77777777" w:rsidTr="005B42FE">
        <w:tblPrEx>
          <w:tblW w:w="5000" w:type="pct"/>
          <w:jc w:val="center"/>
          <w:tblLook w:val="04A0"/>
        </w:tblPrEx>
        <w:trPr>
          <w:jc w:val="center"/>
        </w:trPr>
        <w:tc>
          <w:tcPr>
            <w:tcW w:w="1043" w:type="pct"/>
            <w:vAlign w:val="center"/>
          </w:tcPr>
          <w:p w:rsidR="004E7F8D" w:rsidRPr="004E7F8D" w:rsidP="005B42FE" w14:paraId="4E06DE15" w14:textId="7647AFEC">
            <w:r>
              <w:t>Spring</w:t>
            </w:r>
          </w:p>
        </w:tc>
        <w:tc>
          <w:tcPr>
            <w:tcW w:w="3957" w:type="pct"/>
            <w:vAlign w:val="center"/>
          </w:tcPr>
          <w:p w:rsidR="004E7F8D" w:rsidRPr="004E7F8D" w:rsidP="003641F1" w14:paraId="4E06DE16" w14:textId="77777777">
            <w:r w:rsidRPr="00AA1670">
              <w:t>Trai</w:t>
            </w:r>
            <w:r w:rsidR="00994B90">
              <w:t xml:space="preserve">ning for new </w:t>
            </w:r>
            <w:r w:rsidR="003641F1">
              <w:t>state fiscal c</w:t>
            </w:r>
            <w:r w:rsidR="00994B90">
              <w:t>oordinators</w:t>
            </w:r>
          </w:p>
        </w:tc>
      </w:tr>
      <w:tr w14:paraId="4E06DE1A" w14:textId="77777777" w:rsidTr="005B42FE">
        <w:tblPrEx>
          <w:tblW w:w="5000" w:type="pct"/>
          <w:jc w:val="center"/>
          <w:tblLook w:val="04A0"/>
        </w:tblPrEx>
        <w:trPr>
          <w:jc w:val="center"/>
        </w:trPr>
        <w:tc>
          <w:tcPr>
            <w:tcW w:w="1043" w:type="pct"/>
            <w:vAlign w:val="center"/>
          </w:tcPr>
          <w:p w:rsidR="00F1295C" w:rsidP="005B42FE" w14:paraId="4E06DE18" w14:textId="77777777">
            <w:r>
              <w:t>July</w:t>
            </w:r>
          </w:p>
        </w:tc>
        <w:tc>
          <w:tcPr>
            <w:tcW w:w="3957" w:type="pct"/>
            <w:vAlign w:val="center"/>
          </w:tcPr>
          <w:p w:rsidR="00F1295C" w:rsidRPr="00AA1670" w:rsidP="003641F1" w14:paraId="4E06DE19" w14:textId="77777777">
            <w:r w:rsidRPr="00AA1670">
              <w:t>Trai</w:t>
            </w:r>
            <w:r w:rsidR="00994B90">
              <w:t xml:space="preserve">ning for all </w:t>
            </w:r>
            <w:r w:rsidR="003641F1">
              <w:t>state fiscal c</w:t>
            </w:r>
            <w:r w:rsidR="00994B90">
              <w:t>oordinators</w:t>
            </w:r>
          </w:p>
        </w:tc>
      </w:tr>
      <w:tr w14:paraId="4E06DE1D" w14:textId="77777777" w:rsidTr="005B42FE">
        <w:tblPrEx>
          <w:tblW w:w="5000" w:type="pct"/>
          <w:jc w:val="center"/>
          <w:tblLook w:val="04A0"/>
        </w:tblPrEx>
        <w:trPr>
          <w:jc w:val="center"/>
        </w:trPr>
        <w:tc>
          <w:tcPr>
            <w:tcW w:w="1043" w:type="pct"/>
            <w:vAlign w:val="center"/>
          </w:tcPr>
          <w:p w:rsidR="00F1295C" w:rsidRPr="004E7F8D" w:rsidP="005B42FE" w14:paraId="4E06DE1B" w14:textId="77777777">
            <w:r w:rsidRPr="004E7F8D">
              <w:t>August 15</w:t>
            </w:r>
          </w:p>
        </w:tc>
        <w:tc>
          <w:tcPr>
            <w:tcW w:w="3957" w:type="pct"/>
            <w:vAlign w:val="center"/>
          </w:tcPr>
          <w:p w:rsidR="00F1295C" w:rsidRPr="004E7F8D" w:rsidP="005B42FE" w14:paraId="4E06DE1C" w14:textId="4DDD6B7D">
            <w:r>
              <w:t>Mandatory final submission date</w:t>
            </w:r>
            <w:r w:rsidR="00AE75EA">
              <w:t>. Date moved to the following Monday if August 15 falls on a Saturday or Sunday.</w:t>
            </w:r>
          </w:p>
        </w:tc>
      </w:tr>
      <w:tr w14:paraId="4E06DE21" w14:textId="77777777" w:rsidTr="005B42FE">
        <w:tblPrEx>
          <w:tblW w:w="5000" w:type="pct"/>
          <w:jc w:val="center"/>
          <w:tblLook w:val="04A0"/>
        </w:tblPrEx>
        <w:trPr>
          <w:jc w:val="center"/>
        </w:trPr>
        <w:tc>
          <w:tcPr>
            <w:tcW w:w="1043" w:type="pct"/>
            <w:vAlign w:val="center"/>
          </w:tcPr>
          <w:p w:rsidR="00F1295C" w:rsidRPr="004E7F8D" w:rsidP="005B42FE" w14:paraId="4E06DE1E" w14:textId="77777777">
            <w:r w:rsidRPr="004E7F8D">
              <w:t>September (</w:t>
            </w:r>
            <w:r>
              <w:t xml:space="preserve">Tuesday following </w:t>
            </w:r>
            <w:r w:rsidRPr="004E7F8D">
              <w:t>Labor</w:t>
            </w:r>
            <w:r>
              <w:t xml:space="preserve"> day)</w:t>
            </w:r>
            <w:r w:rsidR="002F7842">
              <w:t xml:space="preserve"> </w:t>
            </w:r>
          </w:p>
        </w:tc>
        <w:tc>
          <w:tcPr>
            <w:tcW w:w="3957" w:type="pct"/>
            <w:vAlign w:val="center"/>
          </w:tcPr>
          <w:p w:rsidR="00F1295C" w:rsidRPr="004E7F8D" w:rsidP="005B42FE" w14:paraId="4E06DE1F" w14:textId="77777777">
            <w:r w:rsidRPr="004E7F8D">
              <w:t>Response by SEA’s to requests for clarification, reconciliation</w:t>
            </w:r>
            <w:r w:rsidR="00994B90">
              <w:t>,</w:t>
            </w:r>
            <w:r w:rsidRPr="004E7F8D">
              <w:t xml:space="preserve"> or other inquiries </w:t>
            </w:r>
            <w:r w:rsidR="00994B90">
              <w:t>from</w:t>
            </w:r>
            <w:r w:rsidRPr="004E7F8D">
              <w:t xml:space="preserve"> NCES or Census.</w:t>
            </w:r>
            <w:r w:rsidR="002F7842">
              <w:t xml:space="preserve"> </w:t>
            </w:r>
            <w:r w:rsidR="00246F52">
              <w:t>All data issues to be resolved by this date.</w:t>
            </w:r>
          </w:p>
          <w:p w:rsidR="00F1295C" w:rsidRPr="004E7F8D" w:rsidP="005B42FE" w14:paraId="4E06DE20" w14:textId="77777777">
            <w:r w:rsidRPr="004E7F8D">
              <w:t xml:space="preserve">Close NPEFS file on Tuesday following Labor Day. No files are accepted for program funding purposes after </w:t>
            </w:r>
            <w:r w:rsidRPr="004E7F8D">
              <w:t>close-out</w:t>
            </w:r>
            <w:r w:rsidRPr="004E7F8D">
              <w:t>.</w:t>
            </w:r>
            <w:r w:rsidR="002F7842">
              <w:t xml:space="preserve"> </w:t>
            </w:r>
          </w:p>
        </w:tc>
      </w:tr>
      <w:tr w14:paraId="4E06DE24" w14:textId="77777777" w:rsidTr="005B42FE">
        <w:tblPrEx>
          <w:tblW w:w="5000" w:type="pct"/>
          <w:jc w:val="center"/>
          <w:tblLook w:val="04A0"/>
        </w:tblPrEx>
        <w:trPr>
          <w:jc w:val="center"/>
        </w:trPr>
        <w:tc>
          <w:tcPr>
            <w:tcW w:w="1043" w:type="pct"/>
            <w:vAlign w:val="center"/>
          </w:tcPr>
          <w:p w:rsidR="002068AF" w:rsidRPr="004E7F8D" w:rsidP="005B42FE" w14:paraId="4E06DE22" w14:textId="77777777">
            <w:r>
              <w:t>December</w:t>
            </w:r>
          </w:p>
        </w:tc>
        <w:tc>
          <w:tcPr>
            <w:tcW w:w="3957" w:type="pct"/>
            <w:vAlign w:val="center"/>
          </w:tcPr>
          <w:p w:rsidR="002068AF" w:rsidRPr="004E7F8D" w:rsidP="0033464B" w14:paraId="4E06DE23" w14:textId="77777777">
            <w:r w:rsidRPr="00AA1670">
              <w:t>Pr</w:t>
            </w:r>
            <w:r w:rsidR="0033464B">
              <w:t xml:space="preserve">ovisional </w:t>
            </w:r>
            <w:r w:rsidRPr="00AA1670">
              <w:t>files available for i</w:t>
            </w:r>
            <w:r w:rsidR="00994B90">
              <w:t>nternal use but not publication</w:t>
            </w:r>
          </w:p>
        </w:tc>
      </w:tr>
      <w:tr w14:paraId="4E06DE27" w14:textId="77777777" w:rsidTr="005B42FE">
        <w:tblPrEx>
          <w:tblW w:w="5000" w:type="pct"/>
          <w:jc w:val="center"/>
          <w:tblLook w:val="04A0"/>
        </w:tblPrEx>
        <w:trPr>
          <w:jc w:val="center"/>
        </w:trPr>
        <w:tc>
          <w:tcPr>
            <w:tcW w:w="1043" w:type="pct"/>
            <w:vAlign w:val="center"/>
          </w:tcPr>
          <w:p w:rsidR="002068AF" w:rsidP="005B42FE" w14:paraId="4E06DE25" w14:textId="77777777">
            <w:r>
              <w:t>March</w:t>
            </w:r>
          </w:p>
        </w:tc>
        <w:tc>
          <w:tcPr>
            <w:tcW w:w="3957" w:type="pct"/>
            <w:vAlign w:val="center"/>
          </w:tcPr>
          <w:p w:rsidR="002068AF" w:rsidRPr="00AA1670" w:rsidP="0033464B" w14:paraId="4E06DE26" w14:textId="77777777">
            <w:r>
              <w:t xml:space="preserve">Provisional </w:t>
            </w:r>
            <w:r w:rsidRPr="00AA1670">
              <w:t>per-pupil expenditure data available</w:t>
            </w:r>
          </w:p>
        </w:tc>
      </w:tr>
      <w:tr w14:paraId="4E06DE2A" w14:textId="77777777" w:rsidTr="005B42FE">
        <w:tblPrEx>
          <w:tblW w:w="5000" w:type="pct"/>
          <w:jc w:val="center"/>
          <w:tblLook w:val="04A0"/>
        </w:tblPrEx>
        <w:trPr>
          <w:jc w:val="center"/>
        </w:trPr>
        <w:tc>
          <w:tcPr>
            <w:tcW w:w="1043" w:type="pct"/>
            <w:vAlign w:val="center"/>
          </w:tcPr>
          <w:p w:rsidR="002068AF" w:rsidRPr="004E7F8D" w:rsidP="005B42FE" w14:paraId="4E06DE28" w14:textId="77777777">
            <w:r>
              <w:t>March/April</w:t>
            </w:r>
          </w:p>
        </w:tc>
        <w:tc>
          <w:tcPr>
            <w:tcW w:w="3957" w:type="pct"/>
            <w:vAlign w:val="center"/>
          </w:tcPr>
          <w:p w:rsidR="002068AF" w:rsidRPr="004E7F8D" w:rsidP="005B42FE" w14:paraId="4E06DE29" w14:textId="77777777">
            <w:r w:rsidRPr="00AA1670">
              <w:t>NCES review of files, fi</w:t>
            </w:r>
            <w:r w:rsidR="00994B90">
              <w:t>le documentation, and short reports</w:t>
            </w:r>
          </w:p>
        </w:tc>
      </w:tr>
      <w:tr w14:paraId="4E06DE2D" w14:textId="77777777" w:rsidTr="005B42FE">
        <w:tblPrEx>
          <w:tblW w:w="5000" w:type="pct"/>
          <w:jc w:val="center"/>
          <w:tblLook w:val="04A0"/>
        </w:tblPrEx>
        <w:trPr>
          <w:jc w:val="center"/>
        </w:trPr>
        <w:tc>
          <w:tcPr>
            <w:tcW w:w="1043" w:type="pct"/>
            <w:vAlign w:val="center"/>
          </w:tcPr>
          <w:p w:rsidR="00F1295C" w:rsidRPr="004E7F8D" w:rsidP="005B42FE" w14:paraId="4E06DE2B" w14:textId="77777777">
            <w:r>
              <w:t>June/July</w:t>
            </w:r>
          </w:p>
        </w:tc>
        <w:tc>
          <w:tcPr>
            <w:tcW w:w="3957" w:type="pct"/>
            <w:vAlign w:val="center"/>
          </w:tcPr>
          <w:p w:rsidR="00F1295C" w:rsidRPr="004E7F8D" w:rsidP="00994B90" w14:paraId="4E06DE2C" w14:textId="77777777">
            <w:r w:rsidRPr="004E7F8D">
              <w:t>Files become public</w:t>
            </w:r>
            <w:r w:rsidR="00994B90">
              <w:t xml:space="preserve"> and</w:t>
            </w:r>
            <w:r w:rsidRPr="004E7F8D">
              <w:t xml:space="preserve"> NCES web database updated</w:t>
            </w:r>
          </w:p>
        </w:tc>
      </w:tr>
    </w:tbl>
    <w:p w:rsidR="003641F1" w:rsidP="0015312B" w14:paraId="4E06DE2E" w14:textId="77777777"/>
    <w:p w:rsidR="00B30C42" w:rsidRPr="00AA1670" w:rsidP="00EA0D13" w14:paraId="4E06DE2F" w14:textId="77777777">
      <w:pPr>
        <w:pStyle w:val="Heading1"/>
      </w:pPr>
      <w:r>
        <w:t>A17.</w:t>
      </w:r>
      <w:r>
        <w:tab/>
      </w:r>
      <w:r w:rsidRPr="008678A4">
        <w:t>Request Not to Display Expiration Date</w:t>
      </w:r>
    </w:p>
    <w:p w:rsidR="00B30C42" w:rsidRPr="00AA1670" w:rsidP="00210F02" w14:paraId="4E06DE30" w14:textId="77777777">
      <w:pPr>
        <w:pStyle w:val="Text"/>
        <w:spacing w:after="120"/>
        <w:rPr>
          <w:sz w:val="24"/>
        </w:rPr>
      </w:pPr>
      <w:r w:rsidRPr="00AA1670">
        <w:rPr>
          <w:sz w:val="24"/>
        </w:rPr>
        <w:t>NCES displays the OMB expiration date on the instruction manual sent to the state Fiscal CCD Coordinators and on the data collection web site.</w:t>
      </w:r>
    </w:p>
    <w:p w:rsidR="00B30C42" w:rsidRPr="00AA1670" w:rsidP="00EA0D13" w14:paraId="4E06DE31" w14:textId="77777777">
      <w:pPr>
        <w:pStyle w:val="Heading1"/>
      </w:pPr>
      <w:r w:rsidRPr="00AA1670">
        <w:t>A</w:t>
      </w:r>
      <w:r w:rsidR="008678A4">
        <w:t>18.</w:t>
      </w:r>
      <w:r w:rsidR="008678A4">
        <w:tab/>
      </w:r>
      <w:r w:rsidRPr="008678A4" w:rsidR="008678A4">
        <w:t>Exceptions to the Certification</w:t>
      </w:r>
    </w:p>
    <w:p w:rsidR="009F5CD8" w:rsidP="003F7844" w14:paraId="6B553E2E" w14:textId="4D7F57E6">
      <w:pPr>
        <w:pStyle w:val="Text"/>
        <w:spacing w:after="120"/>
        <w:rPr>
          <w:sz w:val="24"/>
        </w:rPr>
      </w:pPr>
      <w:r w:rsidRPr="00AA1670">
        <w:rPr>
          <w:sz w:val="24"/>
        </w:rPr>
        <w:t>There are no exceptions to the items in that certification.</w:t>
      </w:r>
    </w:p>
    <w:p w:rsidR="009F5CD8" w:rsidRPr="009F5CD8" w:rsidP="009F5CD8" w14:paraId="403F5BA1" w14:textId="77777777">
      <w:pPr>
        <w:pStyle w:val="Text"/>
        <w:spacing w:after="0"/>
        <w:rPr>
          <w:sz w:val="24"/>
        </w:rPr>
      </w:pPr>
    </w:p>
    <w:sectPr w:rsidSect="00841DDA">
      <w:headerReference w:type="default" r:id="rId16"/>
      <w:footerReference w:type="default" r:id="rId17"/>
      <w:pgSz w:w="12240" w:h="15840" w:orient="portrait" w:code="1"/>
      <w:pgMar w:top="720"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5212" w14:paraId="640815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84B" w14:paraId="4E06DE3C" w14:textId="77777777">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955C63">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06A6" w14:paraId="0E37092C" w14:textId="77777777">
      <w:r>
        <w:separator/>
      </w:r>
    </w:p>
  </w:footnote>
  <w:footnote w:type="continuationSeparator" w:id="1">
    <w:p w:rsidR="00A806A6" w14:paraId="4FEFD29C" w14:textId="77777777">
      <w:r>
        <w:continuationSeparator/>
      </w:r>
    </w:p>
  </w:footnote>
  <w:footnote w:type="continuationNotice" w:id="2">
    <w:p w:rsidR="00A806A6" w14:paraId="5591FA67" w14:textId="77777777"/>
  </w:footnote>
  <w:footnote w:id="3">
    <w:p w:rsidR="00A15421" w14:paraId="46D05DB3" w14:textId="6F5A08C8">
      <w:pPr>
        <w:pStyle w:val="FootnoteText"/>
      </w:pPr>
      <w:r w:rsidRPr="003C078D">
        <w:rPr>
          <w:rStyle w:val="FootnoteReference"/>
          <w:vertAlign w:val="superscript"/>
        </w:rPr>
        <w:footnoteRef/>
      </w:r>
      <w:r>
        <w:t xml:space="preserve"> </w:t>
      </w:r>
      <w:r w:rsidR="001374E9">
        <w:t xml:space="preserve">Appendix A will be updated </w:t>
      </w:r>
      <w:r w:rsidR="00607514">
        <w:t>through a non</w:t>
      </w:r>
      <w:r w:rsidR="00C275D3">
        <w:t>-</w:t>
      </w:r>
      <w:r w:rsidR="00607514">
        <w:t xml:space="preserve">substantive change request in </w:t>
      </w:r>
      <w:r w:rsidR="003C078D">
        <w:t>f</w:t>
      </w:r>
      <w:r w:rsidR="00607514">
        <w:t>all 202</w:t>
      </w:r>
      <w:r w:rsidR="00574854">
        <w:t>6</w:t>
      </w:r>
      <w:r w:rsidR="00607514">
        <w:t xml:space="preserve"> and </w:t>
      </w:r>
      <w:r w:rsidR="003C078D">
        <w:t>f</w:t>
      </w:r>
      <w:r w:rsidR="00607514">
        <w:t>all 202</w:t>
      </w:r>
      <w:r w:rsidR="00574854">
        <w:t>7</w:t>
      </w:r>
      <w:r w:rsidR="00607514">
        <w:t xml:space="preserve"> to provide </w:t>
      </w:r>
      <w:r w:rsidR="003C078D">
        <w:t>the Federal Register Notices and Communication Materials for the FY2</w:t>
      </w:r>
      <w:r w:rsidR="00574854">
        <w:t>6</w:t>
      </w:r>
      <w:r w:rsidR="003C078D">
        <w:t xml:space="preserve"> and FY2</w:t>
      </w:r>
      <w:r w:rsidR="00574854">
        <w:t>7</w:t>
      </w:r>
      <w:r w:rsidR="003C078D">
        <w:t>, respectively</w:t>
      </w:r>
      <w:r w:rsidR="003C6C00">
        <w:t xml:space="preserve">. </w:t>
      </w:r>
    </w:p>
  </w:footnote>
  <w:footnote w:id="4">
    <w:p w:rsidR="001E7181" w:rsidRPr="00D61BCD" w:rsidP="001E7181" w14:paraId="31A4108E" w14:textId="425FCBB0">
      <w:pPr>
        <w:pStyle w:val="FootnoteText"/>
        <w:ind w:left="90" w:hanging="90"/>
        <w:rPr>
          <w:szCs w:val="18"/>
        </w:rPr>
      </w:pPr>
      <w:r w:rsidRPr="00D61BCD">
        <w:rPr>
          <w:rStyle w:val="FootnoteReference"/>
          <w:snapToGrid/>
          <w:szCs w:val="18"/>
          <w:vertAlign w:val="superscript"/>
        </w:rPr>
        <w:footnoteRef/>
      </w:r>
      <w:r w:rsidRPr="00D61BCD">
        <w:rPr>
          <w:szCs w:val="18"/>
        </w:rPr>
        <w:t xml:space="preserve"> </w:t>
      </w:r>
      <w:r w:rsidRPr="00DB1206">
        <w:rPr>
          <w:szCs w:val="18"/>
        </w:rPr>
        <w:t>Department of Education, Submission of Data by State Educational Agencies; Submission Dates for State Revenue and Expenditure Reports for Fiscal Year</w:t>
      </w:r>
      <w:r w:rsidR="00B62282">
        <w:rPr>
          <w:szCs w:val="18"/>
        </w:rPr>
        <w:t xml:space="preserve"> 2024</w:t>
      </w:r>
      <w:r w:rsidRPr="00DB1206">
        <w:rPr>
          <w:szCs w:val="18"/>
        </w:rPr>
        <w:t>, Revisions to Those Reports and Revisions to Prior Fiscal Year Reports</w:t>
      </w:r>
      <w:r w:rsidR="00B62282">
        <w:rPr>
          <w:szCs w:val="18"/>
        </w:rPr>
        <w:t>.</w:t>
      </w:r>
      <w:r w:rsidRPr="00DB1206">
        <w:rPr>
          <w:szCs w:val="18"/>
        </w:rPr>
        <w:t xml:space="preserve"> </w:t>
      </w:r>
      <w:r w:rsidRPr="00B62282" w:rsidR="00B62282">
        <w:rPr>
          <w:szCs w:val="18"/>
        </w:rPr>
        <w:t>89 FR 87347</w:t>
      </w:r>
      <w:r w:rsidRPr="00DB1206">
        <w:rPr>
          <w:szCs w:val="18"/>
        </w:rPr>
        <w:t xml:space="preserve"> (</w:t>
      </w:r>
      <w:r w:rsidR="00B62282">
        <w:rPr>
          <w:szCs w:val="18"/>
        </w:rPr>
        <w:t>01 November 2024</w:t>
      </w:r>
      <w:r w:rsidRPr="00DB1206">
        <w:rPr>
          <w:szCs w:val="18"/>
        </w:rPr>
        <w:t xml:space="preserve">) pp. </w:t>
      </w:r>
      <w:r w:rsidRPr="00B62282" w:rsidR="00B62282">
        <w:rPr>
          <w:szCs w:val="18"/>
        </w:rPr>
        <w:t>87347-87349</w:t>
      </w:r>
      <w:r w:rsidRPr="00D61BCD">
        <w:rPr>
          <w:szCs w:val="18"/>
        </w:rPr>
        <w:t>.</w:t>
      </w:r>
    </w:p>
  </w:footnote>
  <w:footnote w:id="5">
    <w:p w:rsidR="00D774FD" w14:paraId="4E06DE40" w14:textId="77777777">
      <w:pPr>
        <w:pStyle w:val="FootnoteText"/>
      </w:pPr>
      <w:r w:rsidRPr="00D61BCD">
        <w:rPr>
          <w:rStyle w:val="FootnoteReference"/>
          <w:vertAlign w:val="superscript"/>
        </w:rPr>
        <w:footnoteRef/>
      </w:r>
      <w:r>
        <w:t xml:space="preserve"> </w:t>
      </w:r>
      <w:r w:rsidRPr="00D774FD">
        <w:rPr>
          <w:u w:val="single"/>
        </w:rPr>
        <w:t>Ibid</w:t>
      </w:r>
      <w:r>
        <w:t>.</w:t>
      </w:r>
    </w:p>
  </w:footnote>
  <w:footnote w:id="6">
    <w:p w:rsidR="00D61BCD" w:rsidRPr="00D61BCD" w:rsidP="00D61BCD" w14:paraId="50A631BD" w14:textId="5886DFE2">
      <w:pPr>
        <w:pStyle w:val="FootnoteText"/>
        <w:ind w:left="90" w:hanging="90"/>
        <w:rPr>
          <w:szCs w:val="18"/>
        </w:rPr>
      </w:pPr>
      <w:r w:rsidRPr="00D61BCD">
        <w:rPr>
          <w:rStyle w:val="FootnoteReference"/>
          <w:szCs w:val="18"/>
          <w:vertAlign w:val="superscript"/>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In order to enhance efficiency, NCES and Census provided account numbers in the NCES financial accounting handbook beside the revenue and expenditure items on the Form F-33.</w:t>
      </w:r>
    </w:p>
  </w:footnote>
  <w:footnote w:id="7">
    <w:p w:rsidR="00A15212" w:rsidRPr="00D61BCD" w:rsidP="00A15212" w14:paraId="74F24758" w14:textId="53E3FD35">
      <w:pPr>
        <w:pStyle w:val="FootnoteText"/>
        <w:ind w:left="90" w:hanging="90"/>
        <w:rPr>
          <w:szCs w:val="18"/>
        </w:rPr>
      </w:pPr>
      <w:r w:rsidRPr="00D61BCD">
        <w:rPr>
          <w:rStyle w:val="FootnoteReference"/>
          <w:szCs w:val="18"/>
          <w:vertAlign w:val="superscript"/>
        </w:rPr>
        <w:footnoteRef/>
      </w:r>
      <w:r w:rsidRPr="00D61BCD">
        <w:rPr>
          <w:szCs w:val="18"/>
          <w:vertAlign w:val="superscript"/>
        </w:rPr>
        <w:t xml:space="preserve"> </w:t>
      </w:r>
      <w:r w:rsidRPr="00D61BCD">
        <w:rPr>
          <w:szCs w:val="18"/>
          <w:lang w:val="en-CA"/>
        </w:rPr>
        <w:t>The mean salary for SEA coordinators and for SEA financial managers working in State government</w:t>
      </w:r>
      <w:r w:rsidR="00F010EA">
        <w:rPr>
          <w:szCs w:val="18"/>
          <w:lang w:val="en-CA"/>
        </w:rPr>
        <w:t>, including schools and hospitals</w:t>
      </w:r>
      <w:r w:rsidRPr="00D61BCD">
        <w:rPr>
          <w:szCs w:val="18"/>
          <w:lang w:val="en-CA"/>
        </w:rPr>
        <w:t xml:space="preserve"> is estimated at $</w:t>
      </w:r>
      <w:r w:rsidR="00F010EA">
        <w:rPr>
          <w:szCs w:val="18"/>
          <w:lang w:val="en-CA"/>
        </w:rPr>
        <w:t>36.48</w:t>
      </w:r>
      <w:r w:rsidRPr="00D61BCD">
        <w:rPr>
          <w:szCs w:val="18"/>
          <w:lang w:val="en-CA"/>
        </w:rPr>
        <w:t xml:space="preserve"> per hour (SOC code 13-2000, </w:t>
      </w:r>
      <w:r w:rsidRPr="00D61BCD">
        <w:rPr>
          <w:szCs w:val="18"/>
        </w:rPr>
        <w:t>Business and Financial Operations Financial Specialists)</w:t>
      </w:r>
      <w:r w:rsidRPr="00D61BCD">
        <w:rPr>
          <w:szCs w:val="18"/>
          <w:lang w:val="en-CA"/>
        </w:rPr>
        <w:t xml:space="preserve"> and </w:t>
      </w:r>
      <w:r w:rsidRPr="00D61BCD">
        <w:rPr>
          <w:szCs w:val="18"/>
        </w:rPr>
        <w:t>$</w:t>
      </w:r>
      <w:r w:rsidR="00F010EA">
        <w:rPr>
          <w:szCs w:val="18"/>
        </w:rPr>
        <w:t>64.45</w:t>
      </w:r>
      <w:r w:rsidRPr="00D61BCD">
        <w:rPr>
          <w:szCs w:val="18"/>
        </w:rPr>
        <w:t xml:space="preserve"> per hour (SOC Code 11-3031, Financial Managers)</w:t>
      </w:r>
      <w:r w:rsidRPr="00D61BCD">
        <w:rPr>
          <w:szCs w:val="18"/>
          <w:lang w:val="en-CA"/>
        </w:rPr>
        <w:t xml:space="preserve"> respectively, </w:t>
      </w:r>
      <w:r w:rsidRPr="00D61BCD">
        <w:rPr>
          <w:szCs w:val="18"/>
        </w:rPr>
        <w:t>based on May 20</w:t>
      </w:r>
      <w:r>
        <w:rPr>
          <w:szCs w:val="18"/>
        </w:rPr>
        <w:t>2</w:t>
      </w:r>
      <w:r w:rsidR="00F010EA">
        <w:rPr>
          <w:szCs w:val="18"/>
        </w:rPr>
        <w:t>4</w:t>
      </w:r>
      <w:r w:rsidRPr="00D61BCD">
        <w:rPr>
          <w:szCs w:val="18"/>
        </w:rPr>
        <w:t xml:space="preserve"> Occupation</w:t>
      </w:r>
      <w:r w:rsidR="00F010EA">
        <w:rPr>
          <w:szCs w:val="18"/>
        </w:rPr>
        <w:t>al</w:t>
      </w:r>
      <w:r w:rsidRPr="00D61BCD">
        <w:rPr>
          <w:szCs w:val="18"/>
        </w:rPr>
        <w:t xml:space="preserve"> Employment </w:t>
      </w:r>
      <w:r w:rsidR="00F010EA">
        <w:rPr>
          <w:szCs w:val="18"/>
        </w:rPr>
        <w:t xml:space="preserve">and Wage </w:t>
      </w:r>
      <w:r w:rsidRPr="00D61BCD">
        <w:rPr>
          <w:szCs w:val="18"/>
        </w:rPr>
        <w:t xml:space="preserve">Statistics, Bureau of Labor Statistics (BLS) website, </w:t>
      </w:r>
      <w:hyperlink r:id="rId1" w:history="1">
        <w:r w:rsidRPr="00901B49" w:rsidR="00F010EA">
          <w:rPr>
            <w:rStyle w:val="Hyperlink"/>
            <w:szCs w:val="18"/>
          </w:rPr>
          <w:t>https://www.bls.gov/oes/home.htm</w:t>
        </w:r>
      </w:hyperlink>
      <w:r w:rsidRPr="00D61BCD">
        <w:rPr>
          <w:szCs w:val="18"/>
        </w:rPr>
        <w:t xml:space="preserve">, accessed </w:t>
      </w:r>
      <w:r w:rsidR="00F010EA">
        <w:rPr>
          <w:szCs w:val="18"/>
        </w:rPr>
        <w:t>November 18, 2025</w:t>
      </w:r>
      <w:r w:rsidRPr="00D61BCD">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5212" w14:paraId="6586F4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84B" w:rsidP="000772AF" w14:paraId="4E06DE3B" w14:textId="29BA7E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82475CD"/>
    <w:multiLevelType w:val="hybridMultilevel"/>
    <w:tmpl w:val="078835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BB462E"/>
    <w:multiLevelType w:val="hybridMultilevel"/>
    <w:tmpl w:val="21983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63D6"/>
    <w:multiLevelType w:val="hybridMultilevel"/>
    <w:tmpl w:val="641AB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754DEF"/>
    <w:multiLevelType w:val="hybridMultilevel"/>
    <w:tmpl w:val="1FE867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4A45BB0"/>
    <w:multiLevelType w:val="hybridMultilevel"/>
    <w:tmpl w:val="6D3AA4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DD7CB0"/>
    <w:multiLevelType w:val="hybridMultilevel"/>
    <w:tmpl w:val="6FF44D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9300AF"/>
    <w:multiLevelType w:val="hybridMultilevel"/>
    <w:tmpl w:val="44C6C0C8"/>
    <w:lvl w:ilvl="0">
      <w:start w:val="1"/>
      <w:numFmt w:val="decimal"/>
      <w:lvlText w:val="(%1)"/>
      <w:lvlJc w:val="left"/>
      <w:pPr>
        <w:ind w:left="720" w:hanging="360"/>
      </w:pPr>
      <w:rPr>
        <w:rFonts w:eastAsiaTheme="minorEastAsia"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8602F1"/>
    <w:multiLevelType w:val="hybridMultilevel"/>
    <w:tmpl w:val="1FEC0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0916BB"/>
    <w:multiLevelType w:val="hybridMultilevel"/>
    <w:tmpl w:val="94BC7A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9B3387"/>
    <w:multiLevelType w:val="hybridMultilevel"/>
    <w:tmpl w:val="F03A9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A06A8A"/>
    <w:multiLevelType w:val="hybridMultilevel"/>
    <w:tmpl w:val="ECC01C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9547B7A"/>
    <w:multiLevelType w:val="hybridMultilevel"/>
    <w:tmpl w:val="BA525E3A"/>
    <w:lvl w:ilvl="0">
      <w:start w:val="1"/>
      <w:numFmt w:val="bullet"/>
      <w:lvlText w:val="•"/>
      <w:lvlJc w:val="left"/>
      <w:pPr>
        <w:tabs>
          <w:tab w:val="num" w:pos="720"/>
        </w:tabs>
        <w:ind w:left="720" w:hanging="360"/>
      </w:pPr>
      <w:rPr>
        <w:rFonts w:ascii="Georgia" w:hAnsi="Georgia" w:hint="default"/>
      </w:rPr>
    </w:lvl>
    <w:lvl w:ilvl="1">
      <w:start w:val="1"/>
      <w:numFmt w:val="bullet"/>
      <w:lvlText w:val="•"/>
      <w:lvlJc w:val="left"/>
      <w:pPr>
        <w:tabs>
          <w:tab w:val="num" w:pos="1440"/>
        </w:tabs>
        <w:ind w:left="1440" w:hanging="360"/>
      </w:pPr>
      <w:rPr>
        <w:rFonts w:ascii="Georgia" w:hAnsi="Georgia" w:hint="default"/>
      </w:rPr>
    </w:lvl>
    <w:lvl w:ilvl="2" w:tentative="1">
      <w:start w:val="1"/>
      <w:numFmt w:val="bullet"/>
      <w:lvlText w:val="•"/>
      <w:lvlJc w:val="left"/>
      <w:pPr>
        <w:tabs>
          <w:tab w:val="num" w:pos="2160"/>
        </w:tabs>
        <w:ind w:left="2160" w:hanging="360"/>
      </w:pPr>
      <w:rPr>
        <w:rFonts w:ascii="Georgia" w:hAnsi="Georgia" w:hint="default"/>
      </w:rPr>
    </w:lvl>
    <w:lvl w:ilvl="3" w:tentative="1">
      <w:start w:val="1"/>
      <w:numFmt w:val="bullet"/>
      <w:lvlText w:val="•"/>
      <w:lvlJc w:val="left"/>
      <w:pPr>
        <w:tabs>
          <w:tab w:val="num" w:pos="2880"/>
        </w:tabs>
        <w:ind w:left="2880" w:hanging="360"/>
      </w:pPr>
      <w:rPr>
        <w:rFonts w:ascii="Georgia" w:hAnsi="Georgia" w:hint="default"/>
      </w:rPr>
    </w:lvl>
    <w:lvl w:ilvl="4" w:tentative="1">
      <w:start w:val="1"/>
      <w:numFmt w:val="bullet"/>
      <w:lvlText w:val="•"/>
      <w:lvlJc w:val="left"/>
      <w:pPr>
        <w:tabs>
          <w:tab w:val="num" w:pos="3600"/>
        </w:tabs>
        <w:ind w:left="3600" w:hanging="360"/>
      </w:pPr>
      <w:rPr>
        <w:rFonts w:ascii="Georgia" w:hAnsi="Georgia" w:hint="default"/>
      </w:rPr>
    </w:lvl>
    <w:lvl w:ilvl="5" w:tentative="1">
      <w:start w:val="1"/>
      <w:numFmt w:val="bullet"/>
      <w:lvlText w:val="•"/>
      <w:lvlJc w:val="left"/>
      <w:pPr>
        <w:tabs>
          <w:tab w:val="num" w:pos="4320"/>
        </w:tabs>
        <w:ind w:left="4320" w:hanging="360"/>
      </w:pPr>
      <w:rPr>
        <w:rFonts w:ascii="Georgia" w:hAnsi="Georgia" w:hint="default"/>
      </w:rPr>
    </w:lvl>
    <w:lvl w:ilvl="6" w:tentative="1">
      <w:start w:val="1"/>
      <w:numFmt w:val="bullet"/>
      <w:lvlText w:val="•"/>
      <w:lvlJc w:val="left"/>
      <w:pPr>
        <w:tabs>
          <w:tab w:val="num" w:pos="5040"/>
        </w:tabs>
        <w:ind w:left="5040" w:hanging="360"/>
      </w:pPr>
      <w:rPr>
        <w:rFonts w:ascii="Georgia" w:hAnsi="Georgia" w:hint="default"/>
      </w:rPr>
    </w:lvl>
    <w:lvl w:ilvl="7" w:tentative="1">
      <w:start w:val="1"/>
      <w:numFmt w:val="bullet"/>
      <w:lvlText w:val="•"/>
      <w:lvlJc w:val="left"/>
      <w:pPr>
        <w:tabs>
          <w:tab w:val="num" w:pos="5760"/>
        </w:tabs>
        <w:ind w:left="5760" w:hanging="360"/>
      </w:pPr>
      <w:rPr>
        <w:rFonts w:ascii="Georgia" w:hAnsi="Georgia" w:hint="default"/>
      </w:rPr>
    </w:lvl>
    <w:lvl w:ilvl="8" w:tentative="1">
      <w:start w:val="1"/>
      <w:numFmt w:val="bullet"/>
      <w:lvlText w:val="•"/>
      <w:lvlJc w:val="left"/>
      <w:pPr>
        <w:tabs>
          <w:tab w:val="num" w:pos="6480"/>
        </w:tabs>
        <w:ind w:left="6480" w:hanging="360"/>
      </w:pPr>
      <w:rPr>
        <w:rFonts w:ascii="Georgia" w:hAnsi="Georgia" w:hint="default"/>
      </w:rPr>
    </w:lvl>
  </w:abstractNum>
  <w:abstractNum w:abstractNumId="13">
    <w:nsid w:val="3BC53E96"/>
    <w:multiLevelType w:val="hybridMultilevel"/>
    <w:tmpl w:val="A53679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9C7C64"/>
    <w:multiLevelType w:val="hybridMultilevel"/>
    <w:tmpl w:val="0BB6C4E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0A648A"/>
    <w:multiLevelType w:val="hybridMultilevel"/>
    <w:tmpl w:val="6D92F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1A50F8"/>
    <w:multiLevelType w:val="hybridMultilevel"/>
    <w:tmpl w:val="E7E49D98"/>
    <w:lvl w:ilvl="0">
      <w:start w:val="1"/>
      <w:numFmt w:val="bullet"/>
      <w:lvlText w:val=""/>
      <w:lvlJc w:val="left"/>
      <w:pPr>
        <w:ind w:left="720" w:hanging="360"/>
      </w:pPr>
      <w:rPr>
        <w:rFonts w:ascii="Wingdings" w:hAnsi="Wingdings" w:hint="default"/>
        <w:color w:val="00009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E96348"/>
    <w:multiLevelType w:val="hybridMultilevel"/>
    <w:tmpl w:val="ED3CB00A"/>
    <w:lvl w:ilvl="0">
      <w:start w:val="1"/>
      <w:numFmt w:val="bullet"/>
      <w:pStyle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24B5B78"/>
    <w:multiLevelType w:val="hybridMultilevel"/>
    <w:tmpl w:val="BC324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DB58D4"/>
    <w:multiLevelType w:val="hybridMultilevel"/>
    <w:tmpl w:val="0E22A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450DC4"/>
    <w:multiLevelType w:val="hybridMultilevel"/>
    <w:tmpl w:val="A6ACA8D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6261C40"/>
    <w:multiLevelType w:val="hybridMultilevel"/>
    <w:tmpl w:val="0244401C"/>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86408A7"/>
    <w:multiLevelType w:val="hybridMultilevel"/>
    <w:tmpl w:val="691820B8"/>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E46AFC"/>
    <w:multiLevelType w:val="hybridMultilevel"/>
    <w:tmpl w:val="F03A9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4B14F5"/>
    <w:multiLevelType w:val="hybridMultilevel"/>
    <w:tmpl w:val="E532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5366528">
    <w:abstractNumId w:val="17"/>
  </w:num>
  <w:num w:numId="2" w16cid:durableId="1676374221">
    <w:abstractNumId w:val="6"/>
  </w:num>
  <w:num w:numId="3" w16cid:durableId="752362061">
    <w:abstractNumId w:val="13"/>
  </w:num>
  <w:num w:numId="4" w16cid:durableId="144250917">
    <w:abstractNumId w:val="4"/>
  </w:num>
  <w:num w:numId="5" w16cid:durableId="1271742149">
    <w:abstractNumId w:val="11"/>
  </w:num>
  <w:num w:numId="6" w16cid:durableId="362948447">
    <w:abstractNumId w:val="12"/>
  </w:num>
  <w:num w:numId="7" w16cid:durableId="1154447300">
    <w:abstractNumId w:val="22"/>
  </w:num>
  <w:num w:numId="8" w16cid:durableId="1566067562">
    <w:abstractNumId w:val="20"/>
  </w:num>
  <w:num w:numId="9" w16cid:durableId="1670058587">
    <w:abstractNumId w:val="14"/>
  </w:num>
  <w:num w:numId="10" w16cid:durableId="746415516">
    <w:abstractNumId w:val="19"/>
  </w:num>
  <w:num w:numId="11" w16cid:durableId="1977955957">
    <w:abstractNumId w:val="9"/>
  </w:num>
  <w:num w:numId="12" w16cid:durableId="2030839047">
    <w:abstractNumId w:val="24"/>
  </w:num>
  <w:num w:numId="13" w16cid:durableId="1957133884">
    <w:abstractNumId w:val="0"/>
  </w:num>
  <w:num w:numId="14" w16cid:durableId="1007944879">
    <w:abstractNumId w:val="2"/>
  </w:num>
  <w:num w:numId="15" w16cid:durableId="2032224748">
    <w:abstractNumId w:val="3"/>
  </w:num>
  <w:num w:numId="16" w16cid:durableId="832724105">
    <w:abstractNumId w:val="15"/>
  </w:num>
  <w:num w:numId="17" w16cid:durableId="446000443">
    <w:abstractNumId w:val="10"/>
  </w:num>
  <w:num w:numId="18" w16cid:durableId="298146109">
    <w:abstractNumId w:val="23"/>
  </w:num>
  <w:num w:numId="19" w16cid:durableId="360715382">
    <w:abstractNumId w:val="5"/>
  </w:num>
  <w:num w:numId="20" w16cid:durableId="1689091130">
    <w:abstractNumId w:val="7"/>
  </w:num>
  <w:num w:numId="21" w16cid:durableId="1978341655">
    <w:abstractNumId w:val="21"/>
  </w:num>
  <w:num w:numId="22" w16cid:durableId="520585037">
    <w:abstractNumId w:val="1"/>
  </w:num>
  <w:num w:numId="23" w16cid:durableId="918714929">
    <w:abstractNumId w:val="18"/>
  </w:num>
  <w:num w:numId="24" w16cid:durableId="990596247">
    <w:abstractNumId w:val="16"/>
  </w:num>
  <w:num w:numId="25" w16cid:durableId="17853467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13"/>
    <w:rsid w:val="000026B6"/>
    <w:rsid w:val="000049F3"/>
    <w:rsid w:val="00007BB1"/>
    <w:rsid w:val="000125CB"/>
    <w:rsid w:val="0002144C"/>
    <w:rsid w:val="00022542"/>
    <w:rsid w:val="000235D3"/>
    <w:rsid w:val="00025C4A"/>
    <w:rsid w:val="00026599"/>
    <w:rsid w:val="0002773B"/>
    <w:rsid w:val="00031140"/>
    <w:rsid w:val="00031727"/>
    <w:rsid w:val="00031E64"/>
    <w:rsid w:val="00032698"/>
    <w:rsid w:val="00033B19"/>
    <w:rsid w:val="00034496"/>
    <w:rsid w:val="00043C1B"/>
    <w:rsid w:val="00044358"/>
    <w:rsid w:val="00044FC4"/>
    <w:rsid w:val="00045078"/>
    <w:rsid w:val="000475DE"/>
    <w:rsid w:val="0005030C"/>
    <w:rsid w:val="000532ED"/>
    <w:rsid w:val="0006010D"/>
    <w:rsid w:val="0006245E"/>
    <w:rsid w:val="00074467"/>
    <w:rsid w:val="00075C96"/>
    <w:rsid w:val="000766DA"/>
    <w:rsid w:val="000772AF"/>
    <w:rsid w:val="000808E4"/>
    <w:rsid w:val="00081743"/>
    <w:rsid w:val="0008195C"/>
    <w:rsid w:val="00083393"/>
    <w:rsid w:val="00083E13"/>
    <w:rsid w:val="000844C6"/>
    <w:rsid w:val="00085BDD"/>
    <w:rsid w:val="00092FDA"/>
    <w:rsid w:val="000941B4"/>
    <w:rsid w:val="000966EA"/>
    <w:rsid w:val="000A211D"/>
    <w:rsid w:val="000A3242"/>
    <w:rsid w:val="000A3ADD"/>
    <w:rsid w:val="000A3C00"/>
    <w:rsid w:val="000B08F6"/>
    <w:rsid w:val="000B372C"/>
    <w:rsid w:val="000B638F"/>
    <w:rsid w:val="000C51C7"/>
    <w:rsid w:val="000D02AD"/>
    <w:rsid w:val="000D3A51"/>
    <w:rsid w:val="000D456A"/>
    <w:rsid w:val="000D5706"/>
    <w:rsid w:val="000D5A62"/>
    <w:rsid w:val="000E2688"/>
    <w:rsid w:val="000E6C96"/>
    <w:rsid w:val="000E6FCB"/>
    <w:rsid w:val="000E719E"/>
    <w:rsid w:val="000F07F9"/>
    <w:rsid w:val="000F3757"/>
    <w:rsid w:val="000F3A14"/>
    <w:rsid w:val="000F3F5E"/>
    <w:rsid w:val="000F4E30"/>
    <w:rsid w:val="000F55B7"/>
    <w:rsid w:val="000F7368"/>
    <w:rsid w:val="000F7556"/>
    <w:rsid w:val="00100FBD"/>
    <w:rsid w:val="00101250"/>
    <w:rsid w:val="001029F1"/>
    <w:rsid w:val="0010576F"/>
    <w:rsid w:val="00111108"/>
    <w:rsid w:val="0011189D"/>
    <w:rsid w:val="00117CDF"/>
    <w:rsid w:val="00121F35"/>
    <w:rsid w:val="0012365D"/>
    <w:rsid w:val="00127EE2"/>
    <w:rsid w:val="0013017F"/>
    <w:rsid w:val="00131E58"/>
    <w:rsid w:val="00135780"/>
    <w:rsid w:val="001374E9"/>
    <w:rsid w:val="00142976"/>
    <w:rsid w:val="00146304"/>
    <w:rsid w:val="00147972"/>
    <w:rsid w:val="001505FC"/>
    <w:rsid w:val="0015312B"/>
    <w:rsid w:val="00153BA8"/>
    <w:rsid w:val="001547C4"/>
    <w:rsid w:val="001565B5"/>
    <w:rsid w:val="0016209C"/>
    <w:rsid w:val="00163FE8"/>
    <w:rsid w:val="00165D1A"/>
    <w:rsid w:val="00177C3C"/>
    <w:rsid w:val="00182CB4"/>
    <w:rsid w:val="00184ABE"/>
    <w:rsid w:val="00185DAF"/>
    <w:rsid w:val="00187ED5"/>
    <w:rsid w:val="00196715"/>
    <w:rsid w:val="0019701A"/>
    <w:rsid w:val="001A0F98"/>
    <w:rsid w:val="001A130F"/>
    <w:rsid w:val="001A4979"/>
    <w:rsid w:val="001A61A2"/>
    <w:rsid w:val="001A7943"/>
    <w:rsid w:val="001B0D84"/>
    <w:rsid w:val="001B1A7F"/>
    <w:rsid w:val="001B22D2"/>
    <w:rsid w:val="001B3EB8"/>
    <w:rsid w:val="001B59F4"/>
    <w:rsid w:val="001C03E7"/>
    <w:rsid w:val="001C21A4"/>
    <w:rsid w:val="001C3F24"/>
    <w:rsid w:val="001C44B3"/>
    <w:rsid w:val="001C68E8"/>
    <w:rsid w:val="001C7D34"/>
    <w:rsid w:val="001D0EB2"/>
    <w:rsid w:val="001D2DF1"/>
    <w:rsid w:val="001D36AA"/>
    <w:rsid w:val="001D3762"/>
    <w:rsid w:val="001D385E"/>
    <w:rsid w:val="001D5049"/>
    <w:rsid w:val="001D591A"/>
    <w:rsid w:val="001D6DB2"/>
    <w:rsid w:val="001D7903"/>
    <w:rsid w:val="001E04D7"/>
    <w:rsid w:val="001E0684"/>
    <w:rsid w:val="001E0A3A"/>
    <w:rsid w:val="001E1700"/>
    <w:rsid w:val="001E2810"/>
    <w:rsid w:val="001E2D89"/>
    <w:rsid w:val="001E4898"/>
    <w:rsid w:val="001E7181"/>
    <w:rsid w:val="001E7B20"/>
    <w:rsid w:val="001F0876"/>
    <w:rsid w:val="001F2336"/>
    <w:rsid w:val="001F4852"/>
    <w:rsid w:val="001F5B92"/>
    <w:rsid w:val="001F738F"/>
    <w:rsid w:val="002032CA"/>
    <w:rsid w:val="002068AF"/>
    <w:rsid w:val="00206A4D"/>
    <w:rsid w:val="002070FD"/>
    <w:rsid w:val="00210F02"/>
    <w:rsid w:val="00211753"/>
    <w:rsid w:val="0021271B"/>
    <w:rsid w:val="00212A5F"/>
    <w:rsid w:val="002134BB"/>
    <w:rsid w:val="002137CF"/>
    <w:rsid w:val="00213A2F"/>
    <w:rsid w:val="00215736"/>
    <w:rsid w:val="0021746D"/>
    <w:rsid w:val="00221080"/>
    <w:rsid w:val="00221293"/>
    <w:rsid w:val="00222221"/>
    <w:rsid w:val="0022256D"/>
    <w:rsid w:val="00222D6E"/>
    <w:rsid w:val="00223C01"/>
    <w:rsid w:val="0023084B"/>
    <w:rsid w:val="00231FC5"/>
    <w:rsid w:val="002344D7"/>
    <w:rsid w:val="00235BFE"/>
    <w:rsid w:val="002361AD"/>
    <w:rsid w:val="00237D3E"/>
    <w:rsid w:val="002416AC"/>
    <w:rsid w:val="002461FB"/>
    <w:rsid w:val="00246F52"/>
    <w:rsid w:val="00247FAB"/>
    <w:rsid w:val="00251820"/>
    <w:rsid w:val="0025388C"/>
    <w:rsid w:val="002560A4"/>
    <w:rsid w:val="002574F3"/>
    <w:rsid w:val="00260BF8"/>
    <w:rsid w:val="002621EE"/>
    <w:rsid w:val="00262AE3"/>
    <w:rsid w:val="00262F24"/>
    <w:rsid w:val="00263A4F"/>
    <w:rsid w:val="00266047"/>
    <w:rsid w:val="00266F22"/>
    <w:rsid w:val="00270397"/>
    <w:rsid w:val="00271678"/>
    <w:rsid w:val="0027334A"/>
    <w:rsid w:val="002735E0"/>
    <w:rsid w:val="00273BAD"/>
    <w:rsid w:val="00281C8D"/>
    <w:rsid w:val="00283C2B"/>
    <w:rsid w:val="00284F44"/>
    <w:rsid w:val="00285392"/>
    <w:rsid w:val="00286371"/>
    <w:rsid w:val="00287983"/>
    <w:rsid w:val="00287E1F"/>
    <w:rsid w:val="00292492"/>
    <w:rsid w:val="00294548"/>
    <w:rsid w:val="00294985"/>
    <w:rsid w:val="0029664E"/>
    <w:rsid w:val="002A02F3"/>
    <w:rsid w:val="002A1AC4"/>
    <w:rsid w:val="002A2452"/>
    <w:rsid w:val="002A307D"/>
    <w:rsid w:val="002A6695"/>
    <w:rsid w:val="002A76B3"/>
    <w:rsid w:val="002B208D"/>
    <w:rsid w:val="002B779D"/>
    <w:rsid w:val="002C078C"/>
    <w:rsid w:val="002C08FF"/>
    <w:rsid w:val="002C1EAD"/>
    <w:rsid w:val="002C2FA3"/>
    <w:rsid w:val="002D2C78"/>
    <w:rsid w:val="002D3DA7"/>
    <w:rsid w:val="002D71E1"/>
    <w:rsid w:val="002E10BA"/>
    <w:rsid w:val="002E1D42"/>
    <w:rsid w:val="002E2936"/>
    <w:rsid w:val="002F0C59"/>
    <w:rsid w:val="002F0D6C"/>
    <w:rsid w:val="002F3489"/>
    <w:rsid w:val="002F3CF0"/>
    <w:rsid w:val="002F3F12"/>
    <w:rsid w:val="002F5357"/>
    <w:rsid w:val="002F5A4C"/>
    <w:rsid w:val="002F7842"/>
    <w:rsid w:val="0030002A"/>
    <w:rsid w:val="00304E9E"/>
    <w:rsid w:val="00305BC4"/>
    <w:rsid w:val="00305BDF"/>
    <w:rsid w:val="003062AF"/>
    <w:rsid w:val="003068F5"/>
    <w:rsid w:val="003156AD"/>
    <w:rsid w:val="0031795A"/>
    <w:rsid w:val="003208A0"/>
    <w:rsid w:val="00321E33"/>
    <w:rsid w:val="00326144"/>
    <w:rsid w:val="00330585"/>
    <w:rsid w:val="00332E78"/>
    <w:rsid w:val="00332FCD"/>
    <w:rsid w:val="00333B2B"/>
    <w:rsid w:val="0033464B"/>
    <w:rsid w:val="003346F1"/>
    <w:rsid w:val="00340E45"/>
    <w:rsid w:val="00341628"/>
    <w:rsid w:val="00341843"/>
    <w:rsid w:val="003427E8"/>
    <w:rsid w:val="003434E0"/>
    <w:rsid w:val="0034444A"/>
    <w:rsid w:val="00344B45"/>
    <w:rsid w:val="003459D2"/>
    <w:rsid w:val="003472F6"/>
    <w:rsid w:val="003505A6"/>
    <w:rsid w:val="00351C3D"/>
    <w:rsid w:val="00352BBA"/>
    <w:rsid w:val="00355AB0"/>
    <w:rsid w:val="0035662D"/>
    <w:rsid w:val="00356778"/>
    <w:rsid w:val="00357E70"/>
    <w:rsid w:val="00360307"/>
    <w:rsid w:val="00360AF0"/>
    <w:rsid w:val="0036203E"/>
    <w:rsid w:val="003630B6"/>
    <w:rsid w:val="0036324B"/>
    <w:rsid w:val="003641F1"/>
    <w:rsid w:val="00365CA6"/>
    <w:rsid w:val="00367F19"/>
    <w:rsid w:val="003739EE"/>
    <w:rsid w:val="00381244"/>
    <w:rsid w:val="00381D6B"/>
    <w:rsid w:val="00384070"/>
    <w:rsid w:val="00384B7E"/>
    <w:rsid w:val="00385C5C"/>
    <w:rsid w:val="00385E0C"/>
    <w:rsid w:val="00390ACF"/>
    <w:rsid w:val="003914EB"/>
    <w:rsid w:val="003917D6"/>
    <w:rsid w:val="0039203D"/>
    <w:rsid w:val="0039522F"/>
    <w:rsid w:val="00395F75"/>
    <w:rsid w:val="00396837"/>
    <w:rsid w:val="003A0972"/>
    <w:rsid w:val="003A0999"/>
    <w:rsid w:val="003A0B71"/>
    <w:rsid w:val="003A4B7E"/>
    <w:rsid w:val="003A51F6"/>
    <w:rsid w:val="003B0ACC"/>
    <w:rsid w:val="003B4C16"/>
    <w:rsid w:val="003B559E"/>
    <w:rsid w:val="003C078D"/>
    <w:rsid w:val="003C153D"/>
    <w:rsid w:val="003C1B31"/>
    <w:rsid w:val="003C1CF4"/>
    <w:rsid w:val="003C6C00"/>
    <w:rsid w:val="003D07A7"/>
    <w:rsid w:val="003D3015"/>
    <w:rsid w:val="003D3693"/>
    <w:rsid w:val="003D4218"/>
    <w:rsid w:val="003D548A"/>
    <w:rsid w:val="003D60DA"/>
    <w:rsid w:val="003E0FC3"/>
    <w:rsid w:val="003E0FDA"/>
    <w:rsid w:val="003E1ADD"/>
    <w:rsid w:val="003E5741"/>
    <w:rsid w:val="003E7880"/>
    <w:rsid w:val="003F053D"/>
    <w:rsid w:val="003F2FE7"/>
    <w:rsid w:val="003F3F6F"/>
    <w:rsid w:val="003F7844"/>
    <w:rsid w:val="00403C73"/>
    <w:rsid w:val="004109A1"/>
    <w:rsid w:val="004113E0"/>
    <w:rsid w:val="00412A8C"/>
    <w:rsid w:val="00412EA6"/>
    <w:rsid w:val="00417F79"/>
    <w:rsid w:val="004202A0"/>
    <w:rsid w:val="00421711"/>
    <w:rsid w:val="004225C6"/>
    <w:rsid w:val="004256D8"/>
    <w:rsid w:val="00433CF9"/>
    <w:rsid w:val="00437CDF"/>
    <w:rsid w:val="0044086F"/>
    <w:rsid w:val="00440FFF"/>
    <w:rsid w:val="004410D1"/>
    <w:rsid w:val="004439C9"/>
    <w:rsid w:val="00444D22"/>
    <w:rsid w:val="00445501"/>
    <w:rsid w:val="00446F0E"/>
    <w:rsid w:val="00452025"/>
    <w:rsid w:val="00456960"/>
    <w:rsid w:val="00467831"/>
    <w:rsid w:val="004702AF"/>
    <w:rsid w:val="004725BA"/>
    <w:rsid w:val="004725BB"/>
    <w:rsid w:val="0047336A"/>
    <w:rsid w:val="00473812"/>
    <w:rsid w:val="004741A0"/>
    <w:rsid w:val="00475EAB"/>
    <w:rsid w:val="00486CF7"/>
    <w:rsid w:val="00490614"/>
    <w:rsid w:val="00490D72"/>
    <w:rsid w:val="004919BB"/>
    <w:rsid w:val="00494ACE"/>
    <w:rsid w:val="0049697D"/>
    <w:rsid w:val="00497F99"/>
    <w:rsid w:val="004A046E"/>
    <w:rsid w:val="004A2CDA"/>
    <w:rsid w:val="004A32D1"/>
    <w:rsid w:val="004A4168"/>
    <w:rsid w:val="004A592E"/>
    <w:rsid w:val="004A693B"/>
    <w:rsid w:val="004A71DF"/>
    <w:rsid w:val="004A79B9"/>
    <w:rsid w:val="004B2597"/>
    <w:rsid w:val="004B3B4E"/>
    <w:rsid w:val="004B3FAF"/>
    <w:rsid w:val="004B640F"/>
    <w:rsid w:val="004B6AD3"/>
    <w:rsid w:val="004B78FE"/>
    <w:rsid w:val="004C1B6B"/>
    <w:rsid w:val="004C20AE"/>
    <w:rsid w:val="004C494F"/>
    <w:rsid w:val="004C4C31"/>
    <w:rsid w:val="004C548F"/>
    <w:rsid w:val="004C5F89"/>
    <w:rsid w:val="004C6F90"/>
    <w:rsid w:val="004C7CBD"/>
    <w:rsid w:val="004D0609"/>
    <w:rsid w:val="004D250D"/>
    <w:rsid w:val="004D2919"/>
    <w:rsid w:val="004D3147"/>
    <w:rsid w:val="004D4148"/>
    <w:rsid w:val="004D5447"/>
    <w:rsid w:val="004D5C43"/>
    <w:rsid w:val="004E0E58"/>
    <w:rsid w:val="004E1D71"/>
    <w:rsid w:val="004E2014"/>
    <w:rsid w:val="004E5AD1"/>
    <w:rsid w:val="004E5B53"/>
    <w:rsid w:val="004E7F8D"/>
    <w:rsid w:val="004F0295"/>
    <w:rsid w:val="004F1CCB"/>
    <w:rsid w:val="004F201A"/>
    <w:rsid w:val="004F5534"/>
    <w:rsid w:val="004F66BC"/>
    <w:rsid w:val="004F69E0"/>
    <w:rsid w:val="00500CE6"/>
    <w:rsid w:val="00502663"/>
    <w:rsid w:val="00505507"/>
    <w:rsid w:val="00510013"/>
    <w:rsid w:val="00510541"/>
    <w:rsid w:val="00510996"/>
    <w:rsid w:val="00510F57"/>
    <w:rsid w:val="005132FD"/>
    <w:rsid w:val="00513576"/>
    <w:rsid w:val="00513E3C"/>
    <w:rsid w:val="00521B6B"/>
    <w:rsid w:val="00521D1E"/>
    <w:rsid w:val="00522082"/>
    <w:rsid w:val="0052464C"/>
    <w:rsid w:val="00524CF6"/>
    <w:rsid w:val="00524D71"/>
    <w:rsid w:val="005252F7"/>
    <w:rsid w:val="00525720"/>
    <w:rsid w:val="00525C15"/>
    <w:rsid w:val="00526355"/>
    <w:rsid w:val="00527E6B"/>
    <w:rsid w:val="00531DD6"/>
    <w:rsid w:val="00534201"/>
    <w:rsid w:val="00536C6E"/>
    <w:rsid w:val="005428B1"/>
    <w:rsid w:val="00542A2F"/>
    <w:rsid w:val="00552975"/>
    <w:rsid w:val="00552D90"/>
    <w:rsid w:val="00553AF0"/>
    <w:rsid w:val="00555C89"/>
    <w:rsid w:val="005574F1"/>
    <w:rsid w:val="00563692"/>
    <w:rsid w:val="00564D08"/>
    <w:rsid w:val="0056543D"/>
    <w:rsid w:val="005668E0"/>
    <w:rsid w:val="00567497"/>
    <w:rsid w:val="00570FD4"/>
    <w:rsid w:val="00574854"/>
    <w:rsid w:val="00575C2C"/>
    <w:rsid w:val="005767C9"/>
    <w:rsid w:val="005802D2"/>
    <w:rsid w:val="005816CF"/>
    <w:rsid w:val="0058500E"/>
    <w:rsid w:val="00585E45"/>
    <w:rsid w:val="005867F2"/>
    <w:rsid w:val="00586937"/>
    <w:rsid w:val="0058748F"/>
    <w:rsid w:val="00587B3F"/>
    <w:rsid w:val="00591218"/>
    <w:rsid w:val="00592A8A"/>
    <w:rsid w:val="00593E6F"/>
    <w:rsid w:val="0059542D"/>
    <w:rsid w:val="00597317"/>
    <w:rsid w:val="005A6B77"/>
    <w:rsid w:val="005B02BE"/>
    <w:rsid w:val="005B0BDD"/>
    <w:rsid w:val="005B0DBD"/>
    <w:rsid w:val="005B2055"/>
    <w:rsid w:val="005B3F43"/>
    <w:rsid w:val="005B42FE"/>
    <w:rsid w:val="005B5216"/>
    <w:rsid w:val="005B655F"/>
    <w:rsid w:val="005C107F"/>
    <w:rsid w:val="005C2C70"/>
    <w:rsid w:val="005C4A97"/>
    <w:rsid w:val="005D0C2F"/>
    <w:rsid w:val="005D0CF8"/>
    <w:rsid w:val="005D1930"/>
    <w:rsid w:val="005D2BD4"/>
    <w:rsid w:val="005D3F34"/>
    <w:rsid w:val="005D6B6E"/>
    <w:rsid w:val="005D6BF7"/>
    <w:rsid w:val="005D7520"/>
    <w:rsid w:val="005E0006"/>
    <w:rsid w:val="005E05AE"/>
    <w:rsid w:val="005E280A"/>
    <w:rsid w:val="005E2BE2"/>
    <w:rsid w:val="005E3109"/>
    <w:rsid w:val="005E4965"/>
    <w:rsid w:val="005E56B4"/>
    <w:rsid w:val="005E5716"/>
    <w:rsid w:val="005E5E5C"/>
    <w:rsid w:val="005E6378"/>
    <w:rsid w:val="005E67D3"/>
    <w:rsid w:val="005E76F2"/>
    <w:rsid w:val="005F3968"/>
    <w:rsid w:val="005F673D"/>
    <w:rsid w:val="00601F1A"/>
    <w:rsid w:val="00602BD5"/>
    <w:rsid w:val="006044DA"/>
    <w:rsid w:val="0060605A"/>
    <w:rsid w:val="00607514"/>
    <w:rsid w:val="006106E6"/>
    <w:rsid w:val="006135B3"/>
    <w:rsid w:val="00613936"/>
    <w:rsid w:val="0061417E"/>
    <w:rsid w:val="0061443C"/>
    <w:rsid w:val="00614DFD"/>
    <w:rsid w:val="006172B2"/>
    <w:rsid w:val="006202AA"/>
    <w:rsid w:val="0062224B"/>
    <w:rsid w:val="0062419F"/>
    <w:rsid w:val="0062465C"/>
    <w:rsid w:val="006251EF"/>
    <w:rsid w:val="0062603C"/>
    <w:rsid w:val="00632DBD"/>
    <w:rsid w:val="00633491"/>
    <w:rsid w:val="0063610A"/>
    <w:rsid w:val="00641F4B"/>
    <w:rsid w:val="00641FB9"/>
    <w:rsid w:val="0064320A"/>
    <w:rsid w:val="00643AD4"/>
    <w:rsid w:val="006513C9"/>
    <w:rsid w:val="00654D86"/>
    <w:rsid w:val="00655C06"/>
    <w:rsid w:val="006606DF"/>
    <w:rsid w:val="0066482C"/>
    <w:rsid w:val="00665DBB"/>
    <w:rsid w:val="00665FA8"/>
    <w:rsid w:val="00666A2B"/>
    <w:rsid w:val="00672969"/>
    <w:rsid w:val="006741F3"/>
    <w:rsid w:val="006757B2"/>
    <w:rsid w:val="006760F7"/>
    <w:rsid w:val="00680952"/>
    <w:rsid w:val="00681EB4"/>
    <w:rsid w:val="006820FC"/>
    <w:rsid w:val="006852B6"/>
    <w:rsid w:val="00686CCF"/>
    <w:rsid w:val="006909B0"/>
    <w:rsid w:val="00691A23"/>
    <w:rsid w:val="00692858"/>
    <w:rsid w:val="0069335E"/>
    <w:rsid w:val="0069424A"/>
    <w:rsid w:val="00696744"/>
    <w:rsid w:val="006A0194"/>
    <w:rsid w:val="006A0D06"/>
    <w:rsid w:val="006A0D95"/>
    <w:rsid w:val="006A1789"/>
    <w:rsid w:val="006A3416"/>
    <w:rsid w:val="006A772C"/>
    <w:rsid w:val="006B50A9"/>
    <w:rsid w:val="006C42B5"/>
    <w:rsid w:val="006C7241"/>
    <w:rsid w:val="006C7EB8"/>
    <w:rsid w:val="006D1CE5"/>
    <w:rsid w:val="006D2040"/>
    <w:rsid w:val="006D49A3"/>
    <w:rsid w:val="006E0BCD"/>
    <w:rsid w:val="006E50F4"/>
    <w:rsid w:val="006F2B43"/>
    <w:rsid w:val="006F488E"/>
    <w:rsid w:val="006F579D"/>
    <w:rsid w:val="006F6436"/>
    <w:rsid w:val="006F7AD1"/>
    <w:rsid w:val="007012CE"/>
    <w:rsid w:val="00702685"/>
    <w:rsid w:val="00703A32"/>
    <w:rsid w:val="00706FD0"/>
    <w:rsid w:val="007070FE"/>
    <w:rsid w:val="007159B6"/>
    <w:rsid w:val="0071674D"/>
    <w:rsid w:val="00717628"/>
    <w:rsid w:val="00717861"/>
    <w:rsid w:val="00722457"/>
    <w:rsid w:val="00723C74"/>
    <w:rsid w:val="00724F93"/>
    <w:rsid w:val="007257D6"/>
    <w:rsid w:val="00726663"/>
    <w:rsid w:val="00727A5F"/>
    <w:rsid w:val="007301B9"/>
    <w:rsid w:val="00730B5B"/>
    <w:rsid w:val="00735D3D"/>
    <w:rsid w:val="00736BB6"/>
    <w:rsid w:val="00736F36"/>
    <w:rsid w:val="00744830"/>
    <w:rsid w:val="00745047"/>
    <w:rsid w:val="0074586F"/>
    <w:rsid w:val="007477D4"/>
    <w:rsid w:val="00752EF6"/>
    <w:rsid w:val="0075447F"/>
    <w:rsid w:val="00754C39"/>
    <w:rsid w:val="00755F72"/>
    <w:rsid w:val="00760343"/>
    <w:rsid w:val="00761F9B"/>
    <w:rsid w:val="00764F8E"/>
    <w:rsid w:val="00765C65"/>
    <w:rsid w:val="00767965"/>
    <w:rsid w:val="00767E2F"/>
    <w:rsid w:val="007704D2"/>
    <w:rsid w:val="00770F55"/>
    <w:rsid w:val="007726AB"/>
    <w:rsid w:val="00777FC5"/>
    <w:rsid w:val="00780933"/>
    <w:rsid w:val="00780DBD"/>
    <w:rsid w:val="007814F8"/>
    <w:rsid w:val="00781A8A"/>
    <w:rsid w:val="00782BC6"/>
    <w:rsid w:val="00783888"/>
    <w:rsid w:val="00784AFB"/>
    <w:rsid w:val="00784D96"/>
    <w:rsid w:val="0079018C"/>
    <w:rsid w:val="007903E7"/>
    <w:rsid w:val="007979A4"/>
    <w:rsid w:val="00797D6D"/>
    <w:rsid w:val="007A0DE0"/>
    <w:rsid w:val="007A3F4A"/>
    <w:rsid w:val="007A4C5A"/>
    <w:rsid w:val="007B45B9"/>
    <w:rsid w:val="007B752A"/>
    <w:rsid w:val="007B75D3"/>
    <w:rsid w:val="007C04CE"/>
    <w:rsid w:val="007C433D"/>
    <w:rsid w:val="007C7909"/>
    <w:rsid w:val="007D6FE1"/>
    <w:rsid w:val="007E4D40"/>
    <w:rsid w:val="007E689B"/>
    <w:rsid w:val="007E6AF5"/>
    <w:rsid w:val="007F3ACA"/>
    <w:rsid w:val="00802946"/>
    <w:rsid w:val="0080311E"/>
    <w:rsid w:val="008129D1"/>
    <w:rsid w:val="0082055C"/>
    <w:rsid w:val="00820E3E"/>
    <w:rsid w:val="0082435F"/>
    <w:rsid w:val="00826174"/>
    <w:rsid w:val="00827333"/>
    <w:rsid w:val="00831F88"/>
    <w:rsid w:val="008320A3"/>
    <w:rsid w:val="00833F90"/>
    <w:rsid w:val="00834455"/>
    <w:rsid w:val="00836E9A"/>
    <w:rsid w:val="008376CE"/>
    <w:rsid w:val="00841DDA"/>
    <w:rsid w:val="00842516"/>
    <w:rsid w:val="008438B5"/>
    <w:rsid w:val="0084675D"/>
    <w:rsid w:val="00851DEC"/>
    <w:rsid w:val="00852018"/>
    <w:rsid w:val="00852452"/>
    <w:rsid w:val="00852A11"/>
    <w:rsid w:val="0085354F"/>
    <w:rsid w:val="00853CB5"/>
    <w:rsid w:val="008625CD"/>
    <w:rsid w:val="00864F60"/>
    <w:rsid w:val="00866EFE"/>
    <w:rsid w:val="008674E1"/>
    <w:rsid w:val="008678A4"/>
    <w:rsid w:val="00871790"/>
    <w:rsid w:val="008720F9"/>
    <w:rsid w:val="00880F36"/>
    <w:rsid w:val="008813C7"/>
    <w:rsid w:val="0088175F"/>
    <w:rsid w:val="00883453"/>
    <w:rsid w:val="00885064"/>
    <w:rsid w:val="0088627C"/>
    <w:rsid w:val="00890037"/>
    <w:rsid w:val="00891BBF"/>
    <w:rsid w:val="00891E1D"/>
    <w:rsid w:val="00892B41"/>
    <w:rsid w:val="00897498"/>
    <w:rsid w:val="00897C34"/>
    <w:rsid w:val="008A3342"/>
    <w:rsid w:val="008A6B47"/>
    <w:rsid w:val="008A74AB"/>
    <w:rsid w:val="008B0B5A"/>
    <w:rsid w:val="008B0D25"/>
    <w:rsid w:val="008B17C8"/>
    <w:rsid w:val="008B26E1"/>
    <w:rsid w:val="008B4844"/>
    <w:rsid w:val="008B5A7E"/>
    <w:rsid w:val="008B7FA7"/>
    <w:rsid w:val="008C0165"/>
    <w:rsid w:val="008C0884"/>
    <w:rsid w:val="008C32E3"/>
    <w:rsid w:val="008C39DF"/>
    <w:rsid w:val="008C58C1"/>
    <w:rsid w:val="008D0095"/>
    <w:rsid w:val="008D2A7D"/>
    <w:rsid w:val="008D2BFB"/>
    <w:rsid w:val="008D332B"/>
    <w:rsid w:val="008D3B55"/>
    <w:rsid w:val="008D7453"/>
    <w:rsid w:val="008E3C22"/>
    <w:rsid w:val="008E41C2"/>
    <w:rsid w:val="008F12B7"/>
    <w:rsid w:val="008F1494"/>
    <w:rsid w:val="008F17E2"/>
    <w:rsid w:val="008F1F1D"/>
    <w:rsid w:val="00901B49"/>
    <w:rsid w:val="00902771"/>
    <w:rsid w:val="009036BF"/>
    <w:rsid w:val="00906FC7"/>
    <w:rsid w:val="009079CF"/>
    <w:rsid w:val="00910DF2"/>
    <w:rsid w:val="009135AA"/>
    <w:rsid w:val="009150B6"/>
    <w:rsid w:val="0091545D"/>
    <w:rsid w:val="00924683"/>
    <w:rsid w:val="0092557C"/>
    <w:rsid w:val="009260ED"/>
    <w:rsid w:val="0092623D"/>
    <w:rsid w:val="00926529"/>
    <w:rsid w:val="00926C75"/>
    <w:rsid w:val="009272C0"/>
    <w:rsid w:val="00934F50"/>
    <w:rsid w:val="00935BAA"/>
    <w:rsid w:val="00936497"/>
    <w:rsid w:val="009450D1"/>
    <w:rsid w:val="00945D0D"/>
    <w:rsid w:val="009509DE"/>
    <w:rsid w:val="00952221"/>
    <w:rsid w:val="00953076"/>
    <w:rsid w:val="00953B38"/>
    <w:rsid w:val="009549C4"/>
    <w:rsid w:val="00954F98"/>
    <w:rsid w:val="00955C63"/>
    <w:rsid w:val="00957556"/>
    <w:rsid w:val="00957F1C"/>
    <w:rsid w:val="009605FD"/>
    <w:rsid w:val="00960FBD"/>
    <w:rsid w:val="009618D3"/>
    <w:rsid w:val="0096388E"/>
    <w:rsid w:val="00965125"/>
    <w:rsid w:val="00973670"/>
    <w:rsid w:val="00975CDA"/>
    <w:rsid w:val="0097748E"/>
    <w:rsid w:val="00980B5B"/>
    <w:rsid w:val="00981CFD"/>
    <w:rsid w:val="009828A3"/>
    <w:rsid w:val="00982B28"/>
    <w:rsid w:val="00982EF6"/>
    <w:rsid w:val="0098326F"/>
    <w:rsid w:val="00984FF9"/>
    <w:rsid w:val="009874F2"/>
    <w:rsid w:val="00987690"/>
    <w:rsid w:val="00994B90"/>
    <w:rsid w:val="00995C80"/>
    <w:rsid w:val="0099687E"/>
    <w:rsid w:val="009A0986"/>
    <w:rsid w:val="009A0B89"/>
    <w:rsid w:val="009A0EBC"/>
    <w:rsid w:val="009A3595"/>
    <w:rsid w:val="009A49E7"/>
    <w:rsid w:val="009B04DA"/>
    <w:rsid w:val="009B0D43"/>
    <w:rsid w:val="009B151B"/>
    <w:rsid w:val="009B15B1"/>
    <w:rsid w:val="009B4BD9"/>
    <w:rsid w:val="009B5110"/>
    <w:rsid w:val="009B5329"/>
    <w:rsid w:val="009B5CF5"/>
    <w:rsid w:val="009C0058"/>
    <w:rsid w:val="009C1CF6"/>
    <w:rsid w:val="009C2015"/>
    <w:rsid w:val="009C410B"/>
    <w:rsid w:val="009C61E8"/>
    <w:rsid w:val="009C6494"/>
    <w:rsid w:val="009C6FAA"/>
    <w:rsid w:val="009D0819"/>
    <w:rsid w:val="009D1A85"/>
    <w:rsid w:val="009D4E05"/>
    <w:rsid w:val="009D5592"/>
    <w:rsid w:val="009E094F"/>
    <w:rsid w:val="009E67C8"/>
    <w:rsid w:val="009E709B"/>
    <w:rsid w:val="009F1760"/>
    <w:rsid w:val="009F341C"/>
    <w:rsid w:val="009F3CCE"/>
    <w:rsid w:val="009F48F7"/>
    <w:rsid w:val="009F5CD8"/>
    <w:rsid w:val="009F66B1"/>
    <w:rsid w:val="009F68A5"/>
    <w:rsid w:val="00A00638"/>
    <w:rsid w:val="00A00B5A"/>
    <w:rsid w:val="00A01A3E"/>
    <w:rsid w:val="00A01DC3"/>
    <w:rsid w:val="00A0269D"/>
    <w:rsid w:val="00A128C3"/>
    <w:rsid w:val="00A13150"/>
    <w:rsid w:val="00A15212"/>
    <w:rsid w:val="00A15421"/>
    <w:rsid w:val="00A17096"/>
    <w:rsid w:val="00A211E3"/>
    <w:rsid w:val="00A2377C"/>
    <w:rsid w:val="00A25B62"/>
    <w:rsid w:val="00A27848"/>
    <w:rsid w:val="00A31CAF"/>
    <w:rsid w:val="00A325E5"/>
    <w:rsid w:val="00A360FB"/>
    <w:rsid w:val="00A36585"/>
    <w:rsid w:val="00A3691E"/>
    <w:rsid w:val="00A40993"/>
    <w:rsid w:val="00A40D7A"/>
    <w:rsid w:val="00A40E20"/>
    <w:rsid w:val="00A422CC"/>
    <w:rsid w:val="00A44D7D"/>
    <w:rsid w:val="00A47941"/>
    <w:rsid w:val="00A53020"/>
    <w:rsid w:val="00A53510"/>
    <w:rsid w:val="00A53BE1"/>
    <w:rsid w:val="00A57142"/>
    <w:rsid w:val="00A60C54"/>
    <w:rsid w:val="00A629D7"/>
    <w:rsid w:val="00A66F59"/>
    <w:rsid w:val="00A71DF4"/>
    <w:rsid w:val="00A73911"/>
    <w:rsid w:val="00A76592"/>
    <w:rsid w:val="00A767D4"/>
    <w:rsid w:val="00A76939"/>
    <w:rsid w:val="00A806A6"/>
    <w:rsid w:val="00A8385D"/>
    <w:rsid w:val="00A85E3D"/>
    <w:rsid w:val="00A901E0"/>
    <w:rsid w:val="00A92BA6"/>
    <w:rsid w:val="00A93C25"/>
    <w:rsid w:val="00A9444A"/>
    <w:rsid w:val="00A96835"/>
    <w:rsid w:val="00A977F2"/>
    <w:rsid w:val="00A97A5D"/>
    <w:rsid w:val="00AA1389"/>
    <w:rsid w:val="00AA1647"/>
    <w:rsid w:val="00AA1670"/>
    <w:rsid w:val="00AA2AEC"/>
    <w:rsid w:val="00AA3222"/>
    <w:rsid w:val="00AA3A4A"/>
    <w:rsid w:val="00AA431B"/>
    <w:rsid w:val="00AA58F9"/>
    <w:rsid w:val="00AB034B"/>
    <w:rsid w:val="00AB167C"/>
    <w:rsid w:val="00AB4334"/>
    <w:rsid w:val="00AB6D63"/>
    <w:rsid w:val="00AB701D"/>
    <w:rsid w:val="00AC1CA0"/>
    <w:rsid w:val="00AC3532"/>
    <w:rsid w:val="00AC5263"/>
    <w:rsid w:val="00AC74F2"/>
    <w:rsid w:val="00AD4123"/>
    <w:rsid w:val="00AD7F9D"/>
    <w:rsid w:val="00AE0C26"/>
    <w:rsid w:val="00AE3985"/>
    <w:rsid w:val="00AE621A"/>
    <w:rsid w:val="00AE6522"/>
    <w:rsid w:val="00AE6C7F"/>
    <w:rsid w:val="00AE6D33"/>
    <w:rsid w:val="00AE75EA"/>
    <w:rsid w:val="00AF0A7B"/>
    <w:rsid w:val="00AF2F64"/>
    <w:rsid w:val="00AF4B9F"/>
    <w:rsid w:val="00AF61F8"/>
    <w:rsid w:val="00B029E8"/>
    <w:rsid w:val="00B07EC3"/>
    <w:rsid w:val="00B1061C"/>
    <w:rsid w:val="00B11702"/>
    <w:rsid w:val="00B11F97"/>
    <w:rsid w:val="00B13EB9"/>
    <w:rsid w:val="00B13FE7"/>
    <w:rsid w:val="00B14F19"/>
    <w:rsid w:val="00B1778E"/>
    <w:rsid w:val="00B17D41"/>
    <w:rsid w:val="00B20A3F"/>
    <w:rsid w:val="00B24328"/>
    <w:rsid w:val="00B25F5E"/>
    <w:rsid w:val="00B27B04"/>
    <w:rsid w:val="00B309DB"/>
    <w:rsid w:val="00B30C42"/>
    <w:rsid w:val="00B31612"/>
    <w:rsid w:val="00B31730"/>
    <w:rsid w:val="00B320F7"/>
    <w:rsid w:val="00B33C96"/>
    <w:rsid w:val="00B347E3"/>
    <w:rsid w:val="00B34F0D"/>
    <w:rsid w:val="00B3510B"/>
    <w:rsid w:val="00B40F59"/>
    <w:rsid w:val="00B423F8"/>
    <w:rsid w:val="00B44461"/>
    <w:rsid w:val="00B478C5"/>
    <w:rsid w:val="00B50D1B"/>
    <w:rsid w:val="00B511CD"/>
    <w:rsid w:val="00B51DE1"/>
    <w:rsid w:val="00B51DE2"/>
    <w:rsid w:val="00B55352"/>
    <w:rsid w:val="00B55BCB"/>
    <w:rsid w:val="00B564D8"/>
    <w:rsid w:val="00B62282"/>
    <w:rsid w:val="00B63936"/>
    <w:rsid w:val="00B6651B"/>
    <w:rsid w:val="00B707AE"/>
    <w:rsid w:val="00B70AEE"/>
    <w:rsid w:val="00B70B7F"/>
    <w:rsid w:val="00B70FE3"/>
    <w:rsid w:val="00B714FF"/>
    <w:rsid w:val="00B71D31"/>
    <w:rsid w:val="00B726B4"/>
    <w:rsid w:val="00B72D32"/>
    <w:rsid w:val="00B72F17"/>
    <w:rsid w:val="00B74A91"/>
    <w:rsid w:val="00B7640E"/>
    <w:rsid w:val="00B76863"/>
    <w:rsid w:val="00B7735A"/>
    <w:rsid w:val="00B81B2D"/>
    <w:rsid w:val="00B822AC"/>
    <w:rsid w:val="00B84146"/>
    <w:rsid w:val="00B866FA"/>
    <w:rsid w:val="00B9189D"/>
    <w:rsid w:val="00B91E19"/>
    <w:rsid w:val="00B94718"/>
    <w:rsid w:val="00B96923"/>
    <w:rsid w:val="00B97B7D"/>
    <w:rsid w:val="00B97F20"/>
    <w:rsid w:val="00BA0EAE"/>
    <w:rsid w:val="00BA14F1"/>
    <w:rsid w:val="00BA2115"/>
    <w:rsid w:val="00BA3724"/>
    <w:rsid w:val="00BA58D3"/>
    <w:rsid w:val="00BA683F"/>
    <w:rsid w:val="00BA7D0B"/>
    <w:rsid w:val="00BA7D37"/>
    <w:rsid w:val="00BB33FC"/>
    <w:rsid w:val="00BB39B5"/>
    <w:rsid w:val="00BB4BDF"/>
    <w:rsid w:val="00BB4C53"/>
    <w:rsid w:val="00BB4FDD"/>
    <w:rsid w:val="00BB79DB"/>
    <w:rsid w:val="00BC1705"/>
    <w:rsid w:val="00BC199F"/>
    <w:rsid w:val="00BC3411"/>
    <w:rsid w:val="00BC3C38"/>
    <w:rsid w:val="00BC48AC"/>
    <w:rsid w:val="00BC52CB"/>
    <w:rsid w:val="00BD261E"/>
    <w:rsid w:val="00BD41C6"/>
    <w:rsid w:val="00BE2B5A"/>
    <w:rsid w:val="00BE6CDE"/>
    <w:rsid w:val="00BF14A4"/>
    <w:rsid w:val="00BF2896"/>
    <w:rsid w:val="00BF360A"/>
    <w:rsid w:val="00BF4A98"/>
    <w:rsid w:val="00BF5793"/>
    <w:rsid w:val="00BF5EC3"/>
    <w:rsid w:val="00BF650F"/>
    <w:rsid w:val="00BF6AB2"/>
    <w:rsid w:val="00BF74A4"/>
    <w:rsid w:val="00BF7619"/>
    <w:rsid w:val="00C02885"/>
    <w:rsid w:val="00C03754"/>
    <w:rsid w:val="00C05C20"/>
    <w:rsid w:val="00C05E37"/>
    <w:rsid w:val="00C0680B"/>
    <w:rsid w:val="00C07347"/>
    <w:rsid w:val="00C10BE5"/>
    <w:rsid w:val="00C11A28"/>
    <w:rsid w:val="00C1209B"/>
    <w:rsid w:val="00C13AC4"/>
    <w:rsid w:val="00C17A64"/>
    <w:rsid w:val="00C20F78"/>
    <w:rsid w:val="00C23F75"/>
    <w:rsid w:val="00C24E94"/>
    <w:rsid w:val="00C25C2A"/>
    <w:rsid w:val="00C260FB"/>
    <w:rsid w:val="00C275D3"/>
    <w:rsid w:val="00C326D9"/>
    <w:rsid w:val="00C36F85"/>
    <w:rsid w:val="00C37470"/>
    <w:rsid w:val="00C41B1B"/>
    <w:rsid w:val="00C421A6"/>
    <w:rsid w:val="00C431D3"/>
    <w:rsid w:val="00C43AA4"/>
    <w:rsid w:val="00C4655E"/>
    <w:rsid w:val="00C477CA"/>
    <w:rsid w:val="00C507DA"/>
    <w:rsid w:val="00C51EA4"/>
    <w:rsid w:val="00C524BF"/>
    <w:rsid w:val="00C52A95"/>
    <w:rsid w:val="00C53EB7"/>
    <w:rsid w:val="00C54CA7"/>
    <w:rsid w:val="00C5608F"/>
    <w:rsid w:val="00C60377"/>
    <w:rsid w:val="00C613B3"/>
    <w:rsid w:val="00C62BAF"/>
    <w:rsid w:val="00C642E1"/>
    <w:rsid w:val="00C70362"/>
    <w:rsid w:val="00C703DA"/>
    <w:rsid w:val="00C72978"/>
    <w:rsid w:val="00C7477A"/>
    <w:rsid w:val="00C747F1"/>
    <w:rsid w:val="00C74BB5"/>
    <w:rsid w:val="00C75864"/>
    <w:rsid w:val="00C77335"/>
    <w:rsid w:val="00C77AAB"/>
    <w:rsid w:val="00C801E5"/>
    <w:rsid w:val="00C807D9"/>
    <w:rsid w:val="00C816E6"/>
    <w:rsid w:val="00C83139"/>
    <w:rsid w:val="00C83F01"/>
    <w:rsid w:val="00C8770E"/>
    <w:rsid w:val="00C93890"/>
    <w:rsid w:val="00C9451F"/>
    <w:rsid w:val="00C955E1"/>
    <w:rsid w:val="00C9673A"/>
    <w:rsid w:val="00CA015C"/>
    <w:rsid w:val="00CB0A88"/>
    <w:rsid w:val="00CB0DA5"/>
    <w:rsid w:val="00CB1F66"/>
    <w:rsid w:val="00CB415E"/>
    <w:rsid w:val="00CB4357"/>
    <w:rsid w:val="00CB57AA"/>
    <w:rsid w:val="00CB5EB1"/>
    <w:rsid w:val="00CB70E6"/>
    <w:rsid w:val="00CB789B"/>
    <w:rsid w:val="00CC14E4"/>
    <w:rsid w:val="00CC451C"/>
    <w:rsid w:val="00CC5C12"/>
    <w:rsid w:val="00CD008E"/>
    <w:rsid w:val="00CD2ABC"/>
    <w:rsid w:val="00CD2F05"/>
    <w:rsid w:val="00CD33E3"/>
    <w:rsid w:val="00CD35BC"/>
    <w:rsid w:val="00CD3633"/>
    <w:rsid w:val="00CD3D4A"/>
    <w:rsid w:val="00CD4671"/>
    <w:rsid w:val="00CD4D09"/>
    <w:rsid w:val="00CD52B6"/>
    <w:rsid w:val="00CD5E39"/>
    <w:rsid w:val="00CD7123"/>
    <w:rsid w:val="00CE0F9C"/>
    <w:rsid w:val="00CE78BD"/>
    <w:rsid w:val="00CF0292"/>
    <w:rsid w:val="00CF194C"/>
    <w:rsid w:val="00CF55AD"/>
    <w:rsid w:val="00CF5FF2"/>
    <w:rsid w:val="00D03773"/>
    <w:rsid w:val="00D03F0F"/>
    <w:rsid w:val="00D05609"/>
    <w:rsid w:val="00D05FB6"/>
    <w:rsid w:val="00D07536"/>
    <w:rsid w:val="00D07B3B"/>
    <w:rsid w:val="00D106A8"/>
    <w:rsid w:val="00D117FC"/>
    <w:rsid w:val="00D22BB3"/>
    <w:rsid w:val="00D23713"/>
    <w:rsid w:val="00D253D2"/>
    <w:rsid w:val="00D30CF7"/>
    <w:rsid w:val="00D3132E"/>
    <w:rsid w:val="00D31E6D"/>
    <w:rsid w:val="00D33AE7"/>
    <w:rsid w:val="00D34C48"/>
    <w:rsid w:val="00D3632C"/>
    <w:rsid w:val="00D37613"/>
    <w:rsid w:val="00D37D3D"/>
    <w:rsid w:val="00D41239"/>
    <w:rsid w:val="00D41858"/>
    <w:rsid w:val="00D41C1B"/>
    <w:rsid w:val="00D43535"/>
    <w:rsid w:val="00D455B3"/>
    <w:rsid w:val="00D46F6F"/>
    <w:rsid w:val="00D5674A"/>
    <w:rsid w:val="00D57A0E"/>
    <w:rsid w:val="00D61BCD"/>
    <w:rsid w:val="00D65976"/>
    <w:rsid w:val="00D66CD4"/>
    <w:rsid w:val="00D70465"/>
    <w:rsid w:val="00D70594"/>
    <w:rsid w:val="00D708AD"/>
    <w:rsid w:val="00D7138B"/>
    <w:rsid w:val="00D714C7"/>
    <w:rsid w:val="00D72CF4"/>
    <w:rsid w:val="00D7328E"/>
    <w:rsid w:val="00D73C6C"/>
    <w:rsid w:val="00D774FD"/>
    <w:rsid w:val="00D80984"/>
    <w:rsid w:val="00D81948"/>
    <w:rsid w:val="00D87A80"/>
    <w:rsid w:val="00D90385"/>
    <w:rsid w:val="00D9219F"/>
    <w:rsid w:val="00D92BA4"/>
    <w:rsid w:val="00D94751"/>
    <w:rsid w:val="00D95FEE"/>
    <w:rsid w:val="00D96EAB"/>
    <w:rsid w:val="00DA007D"/>
    <w:rsid w:val="00DA1090"/>
    <w:rsid w:val="00DA3A3F"/>
    <w:rsid w:val="00DA612F"/>
    <w:rsid w:val="00DA6F06"/>
    <w:rsid w:val="00DB0FFA"/>
    <w:rsid w:val="00DB1206"/>
    <w:rsid w:val="00DB64E5"/>
    <w:rsid w:val="00DB74D5"/>
    <w:rsid w:val="00DC0FD1"/>
    <w:rsid w:val="00DC4DC4"/>
    <w:rsid w:val="00DC5031"/>
    <w:rsid w:val="00DC7F7B"/>
    <w:rsid w:val="00DD0907"/>
    <w:rsid w:val="00DD445B"/>
    <w:rsid w:val="00DD4F75"/>
    <w:rsid w:val="00DE0AA4"/>
    <w:rsid w:val="00DE0BFB"/>
    <w:rsid w:val="00DE1DFF"/>
    <w:rsid w:val="00DE40FC"/>
    <w:rsid w:val="00DE4995"/>
    <w:rsid w:val="00DE4A15"/>
    <w:rsid w:val="00DE5E46"/>
    <w:rsid w:val="00DE6D30"/>
    <w:rsid w:val="00DE73BB"/>
    <w:rsid w:val="00DF058D"/>
    <w:rsid w:val="00DF0F64"/>
    <w:rsid w:val="00DF2184"/>
    <w:rsid w:val="00DF30F4"/>
    <w:rsid w:val="00DF591C"/>
    <w:rsid w:val="00DF5FA8"/>
    <w:rsid w:val="00DF5FDA"/>
    <w:rsid w:val="00E02FDE"/>
    <w:rsid w:val="00E03C7F"/>
    <w:rsid w:val="00E0452D"/>
    <w:rsid w:val="00E11752"/>
    <w:rsid w:val="00E11757"/>
    <w:rsid w:val="00E12CFF"/>
    <w:rsid w:val="00E138B3"/>
    <w:rsid w:val="00E162F1"/>
    <w:rsid w:val="00E17FDD"/>
    <w:rsid w:val="00E202EB"/>
    <w:rsid w:val="00E207E4"/>
    <w:rsid w:val="00E22476"/>
    <w:rsid w:val="00E22A2C"/>
    <w:rsid w:val="00E24C45"/>
    <w:rsid w:val="00E25BCB"/>
    <w:rsid w:val="00E268B6"/>
    <w:rsid w:val="00E27638"/>
    <w:rsid w:val="00E30FAF"/>
    <w:rsid w:val="00E3249B"/>
    <w:rsid w:val="00E336EE"/>
    <w:rsid w:val="00E33A6A"/>
    <w:rsid w:val="00E34C99"/>
    <w:rsid w:val="00E34CB7"/>
    <w:rsid w:val="00E41929"/>
    <w:rsid w:val="00E41D5D"/>
    <w:rsid w:val="00E4267E"/>
    <w:rsid w:val="00E44C8D"/>
    <w:rsid w:val="00E45254"/>
    <w:rsid w:val="00E458FE"/>
    <w:rsid w:val="00E474A4"/>
    <w:rsid w:val="00E53604"/>
    <w:rsid w:val="00E55AF5"/>
    <w:rsid w:val="00E56F1B"/>
    <w:rsid w:val="00E601AC"/>
    <w:rsid w:val="00E61696"/>
    <w:rsid w:val="00E61845"/>
    <w:rsid w:val="00E62197"/>
    <w:rsid w:val="00E6274F"/>
    <w:rsid w:val="00E64754"/>
    <w:rsid w:val="00E647AB"/>
    <w:rsid w:val="00E650D2"/>
    <w:rsid w:val="00E668D1"/>
    <w:rsid w:val="00E719EE"/>
    <w:rsid w:val="00E72684"/>
    <w:rsid w:val="00E73CEE"/>
    <w:rsid w:val="00E74186"/>
    <w:rsid w:val="00E84EEF"/>
    <w:rsid w:val="00E855BC"/>
    <w:rsid w:val="00E872C3"/>
    <w:rsid w:val="00E90358"/>
    <w:rsid w:val="00E910BF"/>
    <w:rsid w:val="00E96A51"/>
    <w:rsid w:val="00EA0A50"/>
    <w:rsid w:val="00EA0D13"/>
    <w:rsid w:val="00EA1275"/>
    <w:rsid w:val="00EA33CC"/>
    <w:rsid w:val="00EA70C0"/>
    <w:rsid w:val="00EB4A8B"/>
    <w:rsid w:val="00EB50F4"/>
    <w:rsid w:val="00EB7DE1"/>
    <w:rsid w:val="00EC0B3E"/>
    <w:rsid w:val="00EC16E6"/>
    <w:rsid w:val="00EC35E7"/>
    <w:rsid w:val="00EC43CB"/>
    <w:rsid w:val="00EC6DF1"/>
    <w:rsid w:val="00ED109D"/>
    <w:rsid w:val="00ED5CFE"/>
    <w:rsid w:val="00ED73C9"/>
    <w:rsid w:val="00EE00B4"/>
    <w:rsid w:val="00EE4848"/>
    <w:rsid w:val="00EE6A6A"/>
    <w:rsid w:val="00EF1329"/>
    <w:rsid w:val="00EF46D4"/>
    <w:rsid w:val="00EF5DF7"/>
    <w:rsid w:val="00EF780C"/>
    <w:rsid w:val="00F008C2"/>
    <w:rsid w:val="00F01067"/>
    <w:rsid w:val="00F010EA"/>
    <w:rsid w:val="00F016C1"/>
    <w:rsid w:val="00F02378"/>
    <w:rsid w:val="00F04B56"/>
    <w:rsid w:val="00F057D4"/>
    <w:rsid w:val="00F05855"/>
    <w:rsid w:val="00F05F4F"/>
    <w:rsid w:val="00F060A6"/>
    <w:rsid w:val="00F103E6"/>
    <w:rsid w:val="00F10467"/>
    <w:rsid w:val="00F11925"/>
    <w:rsid w:val="00F1295C"/>
    <w:rsid w:val="00F147F5"/>
    <w:rsid w:val="00F15288"/>
    <w:rsid w:val="00F175BF"/>
    <w:rsid w:val="00F20EB4"/>
    <w:rsid w:val="00F23713"/>
    <w:rsid w:val="00F23D9F"/>
    <w:rsid w:val="00F23F1C"/>
    <w:rsid w:val="00F244D3"/>
    <w:rsid w:val="00F24D38"/>
    <w:rsid w:val="00F301FA"/>
    <w:rsid w:val="00F33ED8"/>
    <w:rsid w:val="00F34647"/>
    <w:rsid w:val="00F370F3"/>
    <w:rsid w:val="00F41825"/>
    <w:rsid w:val="00F41DCD"/>
    <w:rsid w:val="00F43497"/>
    <w:rsid w:val="00F46947"/>
    <w:rsid w:val="00F47CB8"/>
    <w:rsid w:val="00F5069F"/>
    <w:rsid w:val="00F5136F"/>
    <w:rsid w:val="00F5138A"/>
    <w:rsid w:val="00F52949"/>
    <w:rsid w:val="00F53335"/>
    <w:rsid w:val="00F53710"/>
    <w:rsid w:val="00F548C4"/>
    <w:rsid w:val="00F57812"/>
    <w:rsid w:val="00F60E36"/>
    <w:rsid w:val="00F610C3"/>
    <w:rsid w:val="00F61E6D"/>
    <w:rsid w:val="00F62364"/>
    <w:rsid w:val="00F66675"/>
    <w:rsid w:val="00F70E33"/>
    <w:rsid w:val="00F714A7"/>
    <w:rsid w:val="00F7619E"/>
    <w:rsid w:val="00F76A91"/>
    <w:rsid w:val="00F813D7"/>
    <w:rsid w:val="00F817B0"/>
    <w:rsid w:val="00F83A91"/>
    <w:rsid w:val="00F842FD"/>
    <w:rsid w:val="00F87270"/>
    <w:rsid w:val="00F87CAF"/>
    <w:rsid w:val="00F91539"/>
    <w:rsid w:val="00F94A78"/>
    <w:rsid w:val="00F966C7"/>
    <w:rsid w:val="00F96DBB"/>
    <w:rsid w:val="00FA20DF"/>
    <w:rsid w:val="00FA2405"/>
    <w:rsid w:val="00FA3890"/>
    <w:rsid w:val="00FA3AE7"/>
    <w:rsid w:val="00FB0963"/>
    <w:rsid w:val="00FB3F2B"/>
    <w:rsid w:val="00FB6351"/>
    <w:rsid w:val="00FB78B7"/>
    <w:rsid w:val="00FC07D2"/>
    <w:rsid w:val="00FC1250"/>
    <w:rsid w:val="00FC1F41"/>
    <w:rsid w:val="00FC5189"/>
    <w:rsid w:val="00FC53B1"/>
    <w:rsid w:val="00FC6F0B"/>
    <w:rsid w:val="00FD08EB"/>
    <w:rsid w:val="00FD579A"/>
    <w:rsid w:val="00FD7D4E"/>
    <w:rsid w:val="00FE161D"/>
    <w:rsid w:val="00FE7113"/>
    <w:rsid w:val="00FE7B35"/>
    <w:rsid w:val="00FF0265"/>
    <w:rsid w:val="00FF0514"/>
    <w:rsid w:val="00FF30D5"/>
    <w:rsid w:val="00FF3382"/>
    <w:rsid w:val="00FF38CB"/>
    <w:rsid w:val="00FF542E"/>
    <w:rsid w:val="00FF7713"/>
    <w:rsid w:val="11FD115D"/>
    <w:rsid w:val="2037C9E1"/>
    <w:rsid w:val="22922EC8"/>
    <w:rsid w:val="2BC0B144"/>
    <w:rsid w:val="2DEFA3AD"/>
    <w:rsid w:val="31B519B7"/>
    <w:rsid w:val="4F2F170D"/>
    <w:rsid w:val="637BBF28"/>
    <w:rsid w:val="66AAE3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06DCDF"/>
  <w15:docId w15:val="{96FDE89D-3E11-49B4-9164-8A27CAC5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BD9"/>
    <w:rPr>
      <w:sz w:val="24"/>
      <w:szCs w:val="24"/>
    </w:rPr>
  </w:style>
  <w:style w:type="paragraph" w:styleId="Heading1">
    <w:name w:val="heading 1"/>
    <w:basedOn w:val="Normal"/>
    <w:next w:val="Heading"/>
    <w:qFormat/>
    <w:rsid w:val="00E4267E"/>
    <w:pPr>
      <w:spacing w:before="240" w:after="120"/>
      <w:outlineLvl w:val="0"/>
    </w:pPr>
    <w:rPr>
      <w:b/>
      <w:snapToGrid w:val="0"/>
      <w:sz w:val="28"/>
      <w:szCs w:val="28"/>
    </w:rPr>
  </w:style>
  <w:style w:type="paragraph" w:styleId="Heading2">
    <w:name w:val="heading 2"/>
    <w:basedOn w:val="Heading"/>
    <w:next w:val="Normal"/>
    <w:link w:val="Heading2Char"/>
    <w:uiPriority w:val="9"/>
    <w:unhideWhenUsed/>
    <w:qFormat/>
    <w:rsid w:val="00E4267E"/>
    <w:pPr>
      <w:tabs>
        <w:tab w:val="left" w:pos="360"/>
      </w:tabs>
      <w:spacing w:before="0"/>
      <w:jc w:val="left"/>
      <w:outlineLvl w:val="1"/>
    </w:pPr>
    <w:rPr>
      <w:rFonts w:ascii="Times New Roman" w:hAnsi="Times New Roman"/>
      <w:b w:val="0"/>
      <w:i/>
      <w:iCs/>
      <w:u w:val="single"/>
    </w:rPr>
  </w:style>
  <w:style w:type="paragraph" w:styleId="Heading3">
    <w:name w:val="heading 3"/>
    <w:basedOn w:val="Normal"/>
    <w:next w:val="Normal"/>
    <w:link w:val="Heading3Char"/>
    <w:uiPriority w:val="9"/>
    <w:semiHidden/>
    <w:unhideWhenUsed/>
    <w:qFormat/>
    <w:rsid w:val="00F175B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E4267E"/>
    <w:pPr>
      <w:widowControl w:val="0"/>
      <w:tabs>
        <w:tab w:val="left" w:pos="1980"/>
      </w:tabs>
      <w:ind w:left="1980" w:hanging="1260"/>
    </w:pPr>
    <w:rPr>
      <w:snapToGrid w:val="0"/>
      <w:sz w:val="32"/>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aliases w:val="footnote reference,fr"/>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fo,fo1,footnote text Char,ft,ft1"/>
    <w:basedOn w:val="Normal"/>
    <w:link w:val="FootnoteTextChar0"/>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unhideWhenUsed/>
    <w:rsid w:val="003A0B71"/>
    <w:rPr>
      <w:sz w:val="20"/>
      <w:szCs w:val="20"/>
    </w:rPr>
  </w:style>
  <w:style w:type="character" w:customStyle="1" w:styleId="CommentTextChar">
    <w:name w:val="Comment Text Char"/>
    <w:basedOn w:val="DefaultParagraphFont"/>
    <w:link w:val="CommentText"/>
    <w:uiPriority w:val="99"/>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aliases w:val="Probes"/>
    <w:basedOn w:val="Normal"/>
    <w:link w:val="ListParagraphChar"/>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0">
    <w:name w:val="Footnote Text Char"/>
    <w:aliases w:val="F1 Char,fo Char,fo1 Char,footnote text Char Char,ft Char,ft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 w:type="character" w:customStyle="1" w:styleId="UnresolvedMention1">
    <w:name w:val="Unresolved Mention1"/>
    <w:basedOn w:val="DefaultParagraphFont"/>
    <w:uiPriority w:val="99"/>
    <w:semiHidden/>
    <w:unhideWhenUsed/>
    <w:rsid w:val="00F43497"/>
    <w:rPr>
      <w:color w:val="605E5C"/>
      <w:shd w:val="clear" w:color="auto" w:fill="E1DFDD"/>
    </w:rPr>
  </w:style>
  <w:style w:type="character" w:customStyle="1" w:styleId="ListParagraphChar">
    <w:name w:val="List Paragraph Char"/>
    <w:aliases w:val="Probes Char"/>
    <w:basedOn w:val="DefaultParagraphFont"/>
    <w:link w:val="ListParagraph"/>
    <w:uiPriority w:val="34"/>
    <w:locked/>
    <w:rsid w:val="00754C39"/>
    <w:rPr>
      <w:sz w:val="24"/>
      <w:szCs w:val="24"/>
    </w:rPr>
  </w:style>
  <w:style w:type="character" w:customStyle="1" w:styleId="Heading2Char">
    <w:name w:val="Heading 2 Char"/>
    <w:basedOn w:val="DefaultParagraphFont"/>
    <w:link w:val="Heading2"/>
    <w:uiPriority w:val="9"/>
    <w:rsid w:val="00E4267E"/>
    <w:rPr>
      <w:i/>
      <w:iCs/>
      <w:snapToGrid w:val="0"/>
      <w:sz w:val="24"/>
      <w:szCs w:val="24"/>
      <w:u w:val="single"/>
    </w:rPr>
  </w:style>
  <w:style w:type="character" w:customStyle="1" w:styleId="Heading3Char">
    <w:name w:val="Heading 3 Char"/>
    <w:basedOn w:val="DefaultParagraphFont"/>
    <w:link w:val="Heading3"/>
    <w:uiPriority w:val="9"/>
    <w:semiHidden/>
    <w:rsid w:val="00F175B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8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s://api.fdsys.gov/link?collection=uscode&amp;title=20&amp;year=mostrecent&amp;section=9543&amp;type=usc&amp;link-type=html" TargetMode="External" /><Relationship Id="rId14" Type="http://schemas.openxmlformats.org/officeDocument/2006/relationships/hyperlink" Target="http://nces.ed.gov/ccd/corner.asp" TargetMode="External" /><Relationship Id="rId15" Type="http://schemas.openxmlformats.org/officeDocument/2006/relationships/hyperlink" Target="https://nces.ed.gov/use-work/resource-library/resource/handbook/financial-accounting-local-and-state-school-systems-2014-edition" TargetMode="Externa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hom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1A96A-1C34-4EBF-B038-15F92DD1F058}">
  <ds:schemaRefs>
    <ds:schemaRef ds:uri="http://schemas.openxmlformats.org/officeDocument/2006/bibliography"/>
  </ds:schemaRefs>
</ds:datastoreItem>
</file>

<file path=customXml/itemProps2.xml><?xml version="1.0" encoding="utf-8"?>
<ds:datastoreItem xmlns:ds="http://schemas.openxmlformats.org/officeDocument/2006/customXml" ds:itemID="{D1BE22FE-D53D-4521-91CB-383DF7217208}">
  <ds:schemaRef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 ds:uri="cbf09c1f-469b-4f71-a1cf-515b2476fa1e"/>
    <ds:schemaRef ds:uri="http://purl.org/dc/terms/"/>
  </ds:schemaRefs>
</ds:datastoreItem>
</file>

<file path=customXml/itemProps3.xml><?xml version="1.0" encoding="utf-8"?>
<ds:datastoreItem xmlns:ds="http://schemas.openxmlformats.org/officeDocument/2006/customXml" ds:itemID="{97BF54E0-818F-4339-A82D-F2FEBF457062}">
  <ds:schemaRefs>
    <ds:schemaRef ds:uri="http://schemas.microsoft.com/sharepoint/v3/contenttype/forms"/>
  </ds:schemaRefs>
</ds:datastoreItem>
</file>

<file path=customXml/itemProps4.xml><?xml version="1.0" encoding="utf-8"?>
<ds:datastoreItem xmlns:ds="http://schemas.openxmlformats.org/officeDocument/2006/customXml" ds:itemID="{1DED0A67-528C-4433-B0FC-5EE0C9F3B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DoED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Greene, Chris</cp:lastModifiedBy>
  <cp:revision>16</cp:revision>
  <cp:lastPrinted>2016-10-11T17:27:00Z</cp:lastPrinted>
  <dcterms:created xsi:type="dcterms:W3CDTF">2025-11-19T15:17:00Z</dcterms:created>
  <dcterms:modified xsi:type="dcterms:W3CDTF">2025-11-21T13:36:38Z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y fmtid="{D5CDD505-2E9C-101B-9397-08002B2CF9AE}" pid="5" name="_NewReviewCycle">
    <vt:lpwstr/>
  </property>
</Properties>
</file>