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527" w14:paraId="551668B4" w14:textId="77777777">
      <w:pPr>
        <w:jc w:val="center"/>
      </w:pPr>
      <w:r>
        <w:t>190 FERC ¶ 61,098</w:t>
      </w:r>
    </w:p>
    <w:p w:rsidR="00DB4ABC" w:rsidRPr="00B93EA5" w:rsidP="00C22D8B" w14:paraId="515A225E" w14:textId="46815D94">
      <w:pPr>
        <w:jc w:val="center"/>
        <w:rPr>
          <w:szCs w:val="26"/>
        </w:rPr>
      </w:pPr>
      <w:r w:rsidRPr="00B93EA5">
        <w:rPr>
          <w:b/>
          <w:szCs w:val="26"/>
        </w:rPr>
        <w:fldChar w:fldCharType="begin"/>
      </w:r>
      <w:r w:rsidRPr="00B93EA5">
        <w:rPr>
          <w:b/>
          <w:szCs w:val="26"/>
        </w:rPr>
        <w:instrText xml:space="preserve"> MACROBUTTON  AcceptAllChangesInDoc </w:instrText>
      </w:r>
      <w:r w:rsidRPr="00B93EA5">
        <w:rPr>
          <w:b/>
          <w:szCs w:val="26"/>
        </w:rPr>
        <w:fldChar w:fldCharType="end"/>
      </w:r>
      <w:r w:rsidRPr="00B93EA5">
        <w:rPr>
          <w:szCs w:val="26"/>
        </w:rPr>
        <w:t>FEDERAL ENERGY REGULATORY COMMISSION</w:t>
      </w:r>
    </w:p>
    <w:p w:rsidR="00571876" w:rsidRPr="00B93EA5" w:rsidP="00C22D8B" w14:paraId="09E556E1" w14:textId="1921F2B4">
      <w:pPr>
        <w:jc w:val="center"/>
        <w:rPr>
          <w:szCs w:val="26"/>
        </w:rPr>
      </w:pPr>
      <w:r w:rsidRPr="00B93EA5">
        <w:rPr>
          <w:szCs w:val="26"/>
        </w:rPr>
        <w:t>WASHINGTON, DC  20426</w:t>
      </w:r>
    </w:p>
    <w:p w:rsidR="00DB4ABC" w:rsidRPr="00B93EA5" w:rsidP="00C22D8B" w14:paraId="3E42AA57" w14:textId="77777777">
      <w:pPr>
        <w:rPr>
          <w:szCs w:val="26"/>
        </w:rPr>
      </w:pPr>
    </w:p>
    <w:p w:rsidR="00884CF5" w:rsidP="00592B40" w14:paraId="3842386B" w14:textId="47C8D667">
      <w:pPr>
        <w:widowControl/>
        <w:jc w:val="center"/>
        <w:rPr>
          <w:szCs w:val="26"/>
        </w:rPr>
      </w:pPr>
      <w:r w:rsidRPr="00592B40">
        <w:rPr>
          <w:szCs w:val="26"/>
        </w:rPr>
        <w:t xml:space="preserve">February </w:t>
      </w:r>
      <w:r>
        <w:rPr>
          <w:szCs w:val="26"/>
        </w:rPr>
        <w:t>20</w:t>
      </w:r>
      <w:r w:rsidRPr="00592B40">
        <w:rPr>
          <w:szCs w:val="26"/>
        </w:rPr>
        <w:t>, 2025</w:t>
      </w:r>
    </w:p>
    <w:p w:rsidR="00592B40" w:rsidRPr="00592B40" w:rsidP="00592B40" w14:paraId="213B3177" w14:textId="77777777">
      <w:pPr>
        <w:widowControl/>
        <w:rPr>
          <w:bCs/>
          <w:szCs w:val="26"/>
          <w:u w:val="single"/>
        </w:rPr>
      </w:pPr>
    </w:p>
    <w:p w:rsidR="00571876" w:rsidRPr="00B93EA5" w:rsidP="00164438" w14:paraId="14A23423" w14:textId="0CCA7C38">
      <w:pPr>
        <w:ind w:left="5400" w:hanging="360"/>
        <w:rPr>
          <w:szCs w:val="26"/>
        </w:rPr>
      </w:pPr>
      <w:r>
        <w:rPr>
          <w:szCs w:val="26"/>
        </w:rPr>
        <w:tab/>
      </w:r>
      <w:r>
        <w:rPr>
          <w:szCs w:val="26"/>
        </w:rPr>
        <w:tab/>
      </w:r>
      <w:r w:rsidRPr="00B93EA5">
        <w:rPr>
          <w:szCs w:val="26"/>
        </w:rPr>
        <w:t>In Reply Refer To:</w:t>
      </w:r>
    </w:p>
    <w:p w:rsidR="00592B40" w:rsidP="00164438" w14:paraId="0D3810E6" w14:textId="77777777">
      <w:pPr>
        <w:ind w:left="5400" w:hanging="360"/>
        <w:rPr>
          <w:szCs w:val="26"/>
        </w:rPr>
      </w:pPr>
      <w:bookmarkStart w:id="0" w:name="Company"/>
      <w:bookmarkEnd w:id="0"/>
      <w:r>
        <w:rPr>
          <w:szCs w:val="26"/>
        </w:rPr>
        <w:tab/>
      </w:r>
      <w:r>
        <w:rPr>
          <w:szCs w:val="26"/>
        </w:rPr>
        <w:tab/>
      </w:r>
      <w:r w:rsidRPr="00B93EA5" w:rsidR="00571876">
        <w:rPr>
          <w:szCs w:val="26"/>
        </w:rPr>
        <w:t>N</w:t>
      </w:r>
      <w:r w:rsidRPr="00B93EA5" w:rsidR="00AC1C4F">
        <w:rPr>
          <w:szCs w:val="26"/>
        </w:rPr>
        <w:t>orth American Electric</w:t>
      </w:r>
    </w:p>
    <w:p w:rsidR="00571876" w:rsidRPr="00B93EA5" w:rsidP="00164438" w14:paraId="5D9C80EF" w14:textId="4B2E57F7">
      <w:pPr>
        <w:ind w:left="5400" w:hanging="360"/>
        <w:rPr>
          <w:szCs w:val="26"/>
        </w:rPr>
      </w:pPr>
      <w:r>
        <w:rPr>
          <w:szCs w:val="26"/>
        </w:rPr>
        <w:tab/>
      </w:r>
      <w:r>
        <w:rPr>
          <w:szCs w:val="26"/>
        </w:rPr>
        <w:tab/>
      </w:r>
      <w:r w:rsidR="00D94931">
        <w:rPr>
          <w:szCs w:val="26"/>
        </w:rPr>
        <w:t xml:space="preserve">     </w:t>
      </w:r>
      <w:r w:rsidRPr="00B93EA5" w:rsidR="00AC1C4F">
        <w:rPr>
          <w:szCs w:val="26"/>
        </w:rPr>
        <w:t>Reliability Corporation</w:t>
      </w:r>
      <w:r w:rsidRPr="00B93EA5">
        <w:rPr>
          <w:szCs w:val="26"/>
        </w:rPr>
        <w:t xml:space="preserve"> </w:t>
      </w:r>
    </w:p>
    <w:p w:rsidR="00592B40" w:rsidP="00592B40" w14:paraId="2E34C4EA" w14:textId="06782F76">
      <w:pPr>
        <w:ind w:left="4320" w:firstLine="720"/>
        <w:rPr>
          <w:szCs w:val="26"/>
        </w:rPr>
      </w:pPr>
      <w:bookmarkStart w:id="1" w:name="Docket_Number"/>
      <w:bookmarkEnd w:id="1"/>
      <w:r>
        <w:rPr>
          <w:szCs w:val="26"/>
        </w:rPr>
        <w:tab/>
      </w:r>
      <w:r w:rsidRPr="00B93EA5" w:rsidR="00571876">
        <w:rPr>
          <w:szCs w:val="26"/>
        </w:rPr>
        <w:t>Docket No</w:t>
      </w:r>
      <w:r w:rsidRPr="00B93EA5" w:rsidR="00CC0A2D">
        <w:rPr>
          <w:szCs w:val="26"/>
        </w:rPr>
        <w:t>s</w:t>
      </w:r>
      <w:r w:rsidRPr="00B93EA5" w:rsidR="00571876">
        <w:rPr>
          <w:szCs w:val="26"/>
        </w:rPr>
        <w:t>.</w:t>
      </w:r>
      <w:r>
        <w:rPr>
          <w:szCs w:val="26"/>
        </w:rPr>
        <w:t xml:space="preserve"> </w:t>
      </w:r>
      <w:r w:rsidRPr="00B93EA5" w:rsidR="00BB0DDF">
        <w:rPr>
          <w:szCs w:val="26"/>
        </w:rPr>
        <w:t>RD25-1-000</w:t>
      </w:r>
    </w:p>
    <w:p w:rsidR="00592B40" w:rsidP="00592B40" w14:paraId="3F5B3BE3" w14:textId="7A7EC363">
      <w:pPr>
        <w:ind w:left="4320" w:firstLine="720"/>
        <w:rPr>
          <w:szCs w:val="26"/>
        </w:rPr>
      </w:pPr>
      <w:r>
        <w:rPr>
          <w:szCs w:val="26"/>
        </w:rPr>
        <w:tab/>
      </w:r>
      <w:r>
        <w:rPr>
          <w:szCs w:val="26"/>
        </w:rPr>
        <w:tab/>
        <w:t xml:space="preserve">          </w:t>
      </w:r>
      <w:r w:rsidRPr="00B93EA5" w:rsidR="00BB0DDF">
        <w:rPr>
          <w:szCs w:val="26"/>
        </w:rPr>
        <w:t>RD25-2-000</w:t>
      </w:r>
    </w:p>
    <w:p w:rsidR="00592B40" w:rsidP="00592B40" w14:paraId="4E46C068" w14:textId="138B72CB">
      <w:pPr>
        <w:ind w:left="4320" w:firstLine="720"/>
        <w:rPr>
          <w:szCs w:val="26"/>
        </w:rPr>
      </w:pPr>
      <w:r>
        <w:rPr>
          <w:szCs w:val="26"/>
        </w:rPr>
        <w:tab/>
      </w:r>
      <w:r>
        <w:rPr>
          <w:szCs w:val="26"/>
        </w:rPr>
        <w:tab/>
        <w:t xml:space="preserve">          </w:t>
      </w:r>
      <w:r w:rsidRPr="00B93EA5" w:rsidR="00BB0DDF">
        <w:rPr>
          <w:szCs w:val="26"/>
        </w:rPr>
        <w:t>RD25-3-000</w:t>
      </w:r>
    </w:p>
    <w:p w:rsidR="00A30BD3" w:rsidRPr="00B93EA5" w:rsidP="00592B40" w14:paraId="7F73A3DB" w14:textId="1EC16B1C">
      <w:pPr>
        <w:ind w:left="4320" w:firstLine="720"/>
        <w:rPr>
          <w:szCs w:val="26"/>
        </w:rPr>
      </w:pPr>
      <w:r>
        <w:rPr>
          <w:szCs w:val="26"/>
        </w:rPr>
        <w:tab/>
      </w:r>
      <w:r>
        <w:rPr>
          <w:szCs w:val="26"/>
        </w:rPr>
        <w:tab/>
        <w:t xml:space="preserve">          </w:t>
      </w:r>
      <w:r w:rsidRPr="00B93EA5">
        <w:rPr>
          <w:szCs w:val="26"/>
        </w:rPr>
        <w:t>(not consolidated)</w:t>
      </w:r>
    </w:p>
    <w:p w:rsidR="00571876" w:rsidP="00571876" w14:paraId="3F4E0EFB" w14:textId="77777777">
      <w:pPr>
        <w:rPr>
          <w:szCs w:val="26"/>
        </w:rPr>
      </w:pPr>
    </w:p>
    <w:p w:rsidR="00E669B5" w:rsidRPr="00B93EA5" w:rsidP="00571876" w14:paraId="7CCC6507" w14:textId="77777777">
      <w:pPr>
        <w:rPr>
          <w:szCs w:val="26"/>
        </w:rPr>
      </w:pPr>
    </w:p>
    <w:p w:rsidR="00571876" w:rsidRPr="00B93EA5" w:rsidP="00571876" w14:paraId="42441E7D" w14:textId="77777777">
      <w:pPr>
        <w:rPr>
          <w:szCs w:val="26"/>
        </w:rPr>
      </w:pPr>
      <w:bookmarkStart w:id="2" w:name="Address"/>
      <w:bookmarkEnd w:id="2"/>
      <w:r w:rsidRPr="00B93EA5">
        <w:rPr>
          <w:szCs w:val="26"/>
        </w:rPr>
        <w:t>North American Electric Reliability Corporation</w:t>
      </w:r>
    </w:p>
    <w:p w:rsidR="004E7471" w:rsidRPr="00B93EA5" w:rsidP="00571876" w14:paraId="714B6183" w14:textId="5F6D9527">
      <w:pPr>
        <w:rPr>
          <w:szCs w:val="26"/>
        </w:rPr>
      </w:pPr>
      <w:r w:rsidRPr="00B93EA5">
        <w:rPr>
          <w:szCs w:val="26"/>
        </w:rPr>
        <w:t>1401 H</w:t>
      </w:r>
      <w:r w:rsidRPr="00B93EA5" w:rsidR="003725DD">
        <w:rPr>
          <w:szCs w:val="26"/>
        </w:rPr>
        <w:t xml:space="preserve"> Street, NW </w:t>
      </w:r>
    </w:p>
    <w:p w:rsidR="00571876" w:rsidRPr="00B93EA5" w:rsidP="00571876" w14:paraId="4A52710F" w14:textId="09FFD02A">
      <w:pPr>
        <w:rPr>
          <w:szCs w:val="26"/>
        </w:rPr>
      </w:pPr>
      <w:r w:rsidRPr="00B93EA5">
        <w:rPr>
          <w:szCs w:val="26"/>
        </w:rPr>
        <w:t xml:space="preserve">Suite </w:t>
      </w:r>
      <w:r w:rsidRPr="00B93EA5" w:rsidR="00963CB0">
        <w:rPr>
          <w:szCs w:val="26"/>
        </w:rPr>
        <w:t>410</w:t>
      </w:r>
    </w:p>
    <w:p w:rsidR="003725DD" w:rsidRPr="00B93EA5" w:rsidP="00571876" w14:paraId="57C82982" w14:textId="01946145">
      <w:pPr>
        <w:rPr>
          <w:szCs w:val="26"/>
        </w:rPr>
      </w:pPr>
      <w:r w:rsidRPr="00B93EA5">
        <w:rPr>
          <w:szCs w:val="26"/>
        </w:rPr>
        <w:t xml:space="preserve">Washington, DC </w:t>
      </w:r>
      <w:r w:rsidRPr="00B93EA5" w:rsidR="73364A03">
        <w:rPr>
          <w:szCs w:val="26"/>
        </w:rPr>
        <w:t xml:space="preserve"> </w:t>
      </w:r>
      <w:r w:rsidRPr="00B93EA5">
        <w:rPr>
          <w:szCs w:val="26"/>
        </w:rPr>
        <w:t>20005</w:t>
      </w:r>
    </w:p>
    <w:p w:rsidR="00571876" w:rsidRPr="00B93EA5" w:rsidP="00CA4514" w14:paraId="34ED50FF" w14:textId="687D6F1B">
      <w:pPr>
        <w:tabs>
          <w:tab w:val="left" w:pos="3810"/>
        </w:tabs>
        <w:rPr>
          <w:szCs w:val="26"/>
        </w:rPr>
      </w:pPr>
    </w:p>
    <w:p w:rsidR="00BE3970" w:rsidRPr="00B93EA5" w:rsidP="00571876" w14:paraId="6628D472" w14:textId="733338BA">
      <w:pPr>
        <w:tabs>
          <w:tab w:val="left" w:pos="1440"/>
        </w:tabs>
        <w:ind w:left="1440" w:hanging="1440"/>
        <w:rPr>
          <w:szCs w:val="26"/>
        </w:rPr>
      </w:pPr>
      <w:r w:rsidRPr="00B93EA5">
        <w:rPr>
          <w:szCs w:val="26"/>
        </w:rPr>
        <w:t>Attention:</w:t>
      </w:r>
      <w:r w:rsidRPr="00B93EA5" w:rsidR="009C2104">
        <w:rPr>
          <w:szCs w:val="26"/>
        </w:rPr>
        <w:t xml:space="preserve">  </w:t>
      </w:r>
      <w:r w:rsidRPr="00B93EA5" w:rsidR="006E494B">
        <w:rPr>
          <w:szCs w:val="26"/>
        </w:rPr>
        <w:t>Lau</w:t>
      </w:r>
      <w:r w:rsidRPr="00B93EA5" w:rsidR="005A5E83">
        <w:rPr>
          <w:szCs w:val="26"/>
        </w:rPr>
        <w:t>r</w:t>
      </w:r>
      <w:r w:rsidRPr="00B93EA5" w:rsidR="00356CCB">
        <w:rPr>
          <w:szCs w:val="26"/>
        </w:rPr>
        <w:t>en</w:t>
      </w:r>
      <w:r w:rsidRPr="00B93EA5" w:rsidR="006E494B">
        <w:rPr>
          <w:szCs w:val="26"/>
        </w:rPr>
        <w:t xml:space="preserve"> </w:t>
      </w:r>
      <w:r w:rsidRPr="00B93EA5" w:rsidR="006E494B">
        <w:rPr>
          <w:szCs w:val="26"/>
        </w:rPr>
        <w:t>Perotti</w:t>
      </w:r>
    </w:p>
    <w:p w:rsidR="00BE3970" w:rsidRPr="00B93EA5" w:rsidP="00571876" w14:paraId="145947F1" w14:textId="7783DE0B">
      <w:pPr>
        <w:tabs>
          <w:tab w:val="left" w:pos="1440"/>
        </w:tabs>
        <w:ind w:left="1440" w:hanging="1440"/>
        <w:rPr>
          <w:szCs w:val="26"/>
        </w:rPr>
      </w:pPr>
      <w:r w:rsidRPr="00B93EA5">
        <w:rPr>
          <w:szCs w:val="26"/>
        </w:rPr>
        <w:t xml:space="preserve">                  Alain Rigaud</w:t>
      </w:r>
    </w:p>
    <w:p w:rsidR="00571876" w:rsidRPr="00B93EA5" w:rsidP="00571876" w14:paraId="0F490847" w14:textId="3C573072">
      <w:pPr>
        <w:tabs>
          <w:tab w:val="left" w:pos="1440"/>
        </w:tabs>
        <w:ind w:left="1440" w:hanging="1440"/>
        <w:rPr>
          <w:szCs w:val="26"/>
        </w:rPr>
      </w:pPr>
      <w:r w:rsidRPr="00B93EA5">
        <w:rPr>
          <w:szCs w:val="26"/>
        </w:rPr>
        <w:t xml:space="preserve">                 </w:t>
      </w:r>
      <w:r w:rsidRPr="00B93EA5">
        <w:rPr>
          <w:szCs w:val="26"/>
        </w:rPr>
        <w:t xml:space="preserve"> </w:t>
      </w:r>
      <w:r w:rsidRPr="00B93EA5" w:rsidR="00BE3970">
        <w:rPr>
          <w:szCs w:val="26"/>
        </w:rPr>
        <w:t>Sarah P. Crawford</w:t>
      </w:r>
    </w:p>
    <w:p w:rsidR="00571876" w:rsidRPr="00B93EA5" w:rsidP="00571876" w14:paraId="7FCF43C3" w14:textId="77777777">
      <w:pPr>
        <w:rPr>
          <w:szCs w:val="26"/>
        </w:rPr>
      </w:pPr>
    </w:p>
    <w:p w:rsidR="00571876" w:rsidRPr="00B93EA5" w:rsidP="00571876" w14:paraId="4D6783FA" w14:textId="416BB5E0">
      <w:pPr>
        <w:rPr>
          <w:szCs w:val="26"/>
        </w:rPr>
      </w:pPr>
      <w:bookmarkStart w:id="3" w:name="Name"/>
      <w:bookmarkEnd w:id="3"/>
      <w:r w:rsidRPr="00B93EA5">
        <w:rPr>
          <w:szCs w:val="26"/>
        </w:rPr>
        <w:t xml:space="preserve">Dear </w:t>
      </w:r>
      <w:bookmarkStart w:id="4" w:name="Name2"/>
      <w:bookmarkEnd w:id="4"/>
      <w:r w:rsidRPr="00B93EA5">
        <w:rPr>
          <w:szCs w:val="26"/>
        </w:rPr>
        <w:t xml:space="preserve">Ms. </w:t>
      </w:r>
      <w:r w:rsidRPr="00B93EA5" w:rsidR="00C53A4A">
        <w:rPr>
          <w:szCs w:val="26"/>
        </w:rPr>
        <w:t>Perott</w:t>
      </w:r>
      <w:r w:rsidRPr="00B93EA5" w:rsidR="00BE3970">
        <w:rPr>
          <w:szCs w:val="26"/>
        </w:rPr>
        <w:t>i</w:t>
      </w:r>
      <w:r w:rsidRPr="00B93EA5" w:rsidR="00BE3970">
        <w:rPr>
          <w:szCs w:val="26"/>
        </w:rPr>
        <w:t>, Mr. Rigaud, and Ms. Crawford</w:t>
      </w:r>
      <w:r w:rsidRPr="00B93EA5">
        <w:rPr>
          <w:szCs w:val="26"/>
        </w:rPr>
        <w:t>:</w:t>
      </w:r>
    </w:p>
    <w:p w:rsidR="00571876" w:rsidRPr="00B93EA5" w:rsidP="00884CF5" w14:paraId="173EFCA4" w14:textId="77777777">
      <w:pPr>
        <w:rPr>
          <w:bCs/>
          <w:szCs w:val="26"/>
          <w:u w:val="single"/>
        </w:rPr>
      </w:pPr>
    </w:p>
    <w:p w:rsidR="00E669B5" w:rsidP="00E669B5" w14:paraId="5D221AA6" w14:textId="77777777">
      <w:pPr>
        <w:pStyle w:val="FERCparanumber"/>
        <w:ind w:right="-360"/>
        <w:rPr>
          <w:szCs w:val="26"/>
        </w:rPr>
      </w:pPr>
      <w:r w:rsidRPr="00B93EA5">
        <w:rPr>
          <w:szCs w:val="26"/>
        </w:rPr>
        <w:t xml:space="preserve">On November 4, 2024, the North American Electric Reliability Corporation (NERC), the Commission-certified Electric Reliability Organization, submitted three petitions seeking approval of:  (1) a proposed </w:t>
      </w:r>
      <w:r w:rsidRPr="00B93EA5" w:rsidR="007543BD">
        <w:rPr>
          <w:szCs w:val="26"/>
        </w:rPr>
        <w:t xml:space="preserve">definition of </w:t>
      </w:r>
      <w:r w:rsidRPr="00B93EA5" w:rsidR="00D76145">
        <w:rPr>
          <w:szCs w:val="26"/>
        </w:rPr>
        <w:t xml:space="preserve">an </w:t>
      </w:r>
      <w:r w:rsidRPr="00B93EA5">
        <w:rPr>
          <w:szCs w:val="26"/>
        </w:rPr>
        <w:t>inverter-based resource (IBR) for inclusion in</w:t>
      </w:r>
      <w:r w:rsidRPr="00B93EA5" w:rsidR="004956D3">
        <w:rPr>
          <w:szCs w:val="26"/>
        </w:rPr>
        <w:t xml:space="preserve"> </w:t>
      </w:r>
      <w:r w:rsidRPr="00B93EA5">
        <w:rPr>
          <w:szCs w:val="26"/>
        </w:rPr>
        <w:t>t</w:t>
      </w:r>
      <w:r w:rsidRPr="00B93EA5" w:rsidR="00C60A39">
        <w:rPr>
          <w:szCs w:val="26"/>
        </w:rPr>
        <w:t>he</w:t>
      </w:r>
      <w:r w:rsidRPr="00B93EA5">
        <w:rPr>
          <w:szCs w:val="26"/>
        </w:rPr>
        <w:t xml:space="preserve"> NERC Glossary</w:t>
      </w:r>
      <w:r w:rsidRPr="00B93EA5" w:rsidR="00DC416C">
        <w:rPr>
          <w:szCs w:val="26"/>
        </w:rPr>
        <w:t xml:space="preserve"> of Terms Used in </w:t>
      </w:r>
      <w:r w:rsidRPr="00B93EA5" w:rsidR="00347888">
        <w:rPr>
          <w:szCs w:val="26"/>
        </w:rPr>
        <w:t>NERC Reliability Standards</w:t>
      </w:r>
      <w:r w:rsidRPr="00B93EA5" w:rsidR="00AD444F">
        <w:rPr>
          <w:szCs w:val="26"/>
        </w:rPr>
        <w:t xml:space="preserve"> (NERC Glossary)</w:t>
      </w:r>
      <w:r w:rsidRPr="00B93EA5">
        <w:rPr>
          <w:szCs w:val="26"/>
        </w:rPr>
        <w:t>;</w:t>
      </w:r>
      <w:r>
        <w:rPr>
          <w:rStyle w:val="FootnoteReference"/>
          <w:szCs w:val="26"/>
        </w:rPr>
        <w:footnoteReference w:id="3"/>
      </w:r>
      <w:r w:rsidRPr="00B93EA5">
        <w:rPr>
          <w:szCs w:val="26"/>
        </w:rPr>
        <w:t xml:space="preserve"> </w:t>
      </w:r>
      <w:r>
        <w:rPr>
          <w:szCs w:val="26"/>
        </w:rPr>
        <w:t xml:space="preserve">     </w:t>
      </w:r>
      <w:r w:rsidRPr="00B93EA5">
        <w:rPr>
          <w:szCs w:val="26"/>
        </w:rPr>
        <w:t>(2) proposed Reliability Standards PRC</w:t>
      </w:r>
      <w:r w:rsidRPr="00B93EA5" w:rsidR="00A30BD3">
        <w:rPr>
          <w:szCs w:val="26"/>
        </w:rPr>
        <w:noBreakHyphen/>
      </w:r>
      <w:r w:rsidRPr="00B93EA5">
        <w:rPr>
          <w:szCs w:val="26"/>
        </w:rPr>
        <w:t>028-1 (Disturbance Monitoring and Reporting Requirements for Inverter-Based Resources) and PRC-002-5 (Disturbance Monitoring</w:t>
      </w:r>
      <w:r>
        <w:rPr>
          <w:szCs w:val="26"/>
        </w:rPr>
        <w:t xml:space="preserve">     </w:t>
      </w:r>
      <w:r w:rsidRPr="00B93EA5">
        <w:rPr>
          <w:szCs w:val="26"/>
        </w:rPr>
        <w:t xml:space="preserve"> and Reporting Requirements);</w:t>
      </w:r>
      <w:r>
        <w:rPr>
          <w:rStyle w:val="FootnoteReference"/>
          <w:szCs w:val="26"/>
        </w:rPr>
        <w:footnoteReference w:id="4"/>
      </w:r>
      <w:r w:rsidRPr="00B93EA5">
        <w:rPr>
          <w:szCs w:val="26"/>
        </w:rPr>
        <w:t xml:space="preserve"> and (3)</w:t>
      </w:r>
      <w:r w:rsidRPr="00B93EA5" w:rsidR="00374485">
        <w:rPr>
          <w:szCs w:val="26"/>
        </w:rPr>
        <w:t xml:space="preserve"> </w:t>
      </w:r>
      <w:r w:rsidRPr="00B93EA5">
        <w:rPr>
          <w:szCs w:val="26"/>
        </w:rPr>
        <w:t>proposed Reliability Standard PRC</w:t>
      </w:r>
      <w:r w:rsidRPr="00B93EA5">
        <w:rPr>
          <w:szCs w:val="26"/>
        </w:rPr>
        <w:noBreakHyphen/>
        <w:t>030-1 (Unexpected Inverter-Based Resource Event Mitigation).</w:t>
      </w:r>
      <w:r>
        <w:rPr>
          <w:rStyle w:val="FootnoteReference"/>
          <w:szCs w:val="26"/>
        </w:rPr>
        <w:footnoteReference w:id="5"/>
      </w:r>
      <w:r w:rsidRPr="00B93EA5">
        <w:rPr>
          <w:szCs w:val="26"/>
        </w:rPr>
        <w:t xml:space="preserve">  </w:t>
      </w:r>
      <w:r w:rsidRPr="00B93EA5" w:rsidR="00A862C2">
        <w:rPr>
          <w:szCs w:val="26"/>
        </w:rPr>
        <w:t xml:space="preserve">NERC also </w:t>
      </w:r>
      <w:r w:rsidRPr="00B93EA5" w:rsidR="00E07940">
        <w:rPr>
          <w:szCs w:val="26"/>
        </w:rPr>
        <w:t xml:space="preserve">requested approval </w:t>
      </w:r>
      <w:r>
        <w:rPr>
          <w:szCs w:val="26"/>
        </w:rPr>
        <w:t xml:space="preserve"> </w:t>
      </w:r>
      <w:r w:rsidRPr="00B93EA5" w:rsidR="00E07940">
        <w:rPr>
          <w:szCs w:val="26"/>
        </w:rPr>
        <w:t>o</w:t>
      </w:r>
      <w:r w:rsidRPr="00B93EA5" w:rsidR="002D365D">
        <w:rPr>
          <w:szCs w:val="26"/>
        </w:rPr>
        <w:t>f</w:t>
      </w:r>
      <w:r w:rsidRPr="00B93EA5" w:rsidR="00C76E0C">
        <w:rPr>
          <w:szCs w:val="26"/>
        </w:rPr>
        <w:t xml:space="preserve"> </w:t>
      </w:r>
      <w:r w:rsidRPr="00B93EA5" w:rsidR="00C90738">
        <w:rPr>
          <w:szCs w:val="26"/>
        </w:rPr>
        <w:t>the associated</w:t>
      </w:r>
      <w:r w:rsidRPr="00B93EA5" w:rsidR="00164F58">
        <w:rPr>
          <w:szCs w:val="26"/>
        </w:rPr>
        <w:t xml:space="preserve"> implementation plans,</w:t>
      </w:r>
      <w:r w:rsidRPr="00B93EA5" w:rsidR="00C90738">
        <w:rPr>
          <w:szCs w:val="26"/>
        </w:rPr>
        <w:t xml:space="preserve"> </w:t>
      </w:r>
      <w:r w:rsidRPr="00B93EA5" w:rsidR="008C3AB1">
        <w:rPr>
          <w:szCs w:val="26"/>
        </w:rPr>
        <w:t>violation risk factors</w:t>
      </w:r>
      <w:r w:rsidRPr="00E71DE7" w:rsidR="00F7035C">
        <w:rPr>
          <w:szCs w:val="26"/>
        </w:rPr>
        <w:t>,</w:t>
      </w:r>
      <w:r w:rsidRPr="00B93EA5" w:rsidR="008C3AB1">
        <w:rPr>
          <w:szCs w:val="26"/>
        </w:rPr>
        <w:t xml:space="preserve"> </w:t>
      </w:r>
      <w:r w:rsidR="00592B40">
        <w:rPr>
          <w:szCs w:val="26"/>
        </w:rPr>
        <w:t xml:space="preserve"> </w:t>
      </w:r>
      <w:r w:rsidRPr="00B93EA5" w:rsidR="008C3AB1">
        <w:rPr>
          <w:szCs w:val="26"/>
        </w:rPr>
        <w:t xml:space="preserve">and violation severity levels, </w:t>
      </w:r>
    </w:p>
    <w:p w:rsidR="00BB0DDF" w:rsidRPr="00B93EA5" w:rsidP="00E669B5" w14:paraId="415D2564" w14:textId="3C5723CA">
      <w:pPr>
        <w:pStyle w:val="FERCparanumber"/>
        <w:numPr>
          <w:ilvl w:val="0"/>
          <w:numId w:val="0"/>
        </w:numPr>
        <w:ind w:right="-360"/>
        <w:rPr>
          <w:szCs w:val="26"/>
        </w:rPr>
      </w:pPr>
      <w:r w:rsidRPr="00B93EA5">
        <w:rPr>
          <w:szCs w:val="26"/>
        </w:rPr>
        <w:t xml:space="preserve">as well as the </w:t>
      </w:r>
      <w:r w:rsidRPr="00B93EA5" w:rsidR="00164F58">
        <w:rPr>
          <w:szCs w:val="26"/>
        </w:rPr>
        <w:t>ret</w:t>
      </w:r>
      <w:r w:rsidRPr="00B93EA5" w:rsidR="007F21FA">
        <w:rPr>
          <w:szCs w:val="26"/>
        </w:rPr>
        <w:t>irement of currently</w:t>
      </w:r>
      <w:r w:rsidR="00DA1CF1">
        <w:rPr>
          <w:szCs w:val="26"/>
        </w:rPr>
        <w:t xml:space="preserve"> </w:t>
      </w:r>
      <w:r w:rsidRPr="00B93EA5" w:rsidR="007F21FA">
        <w:rPr>
          <w:szCs w:val="26"/>
        </w:rPr>
        <w:t xml:space="preserve">effective Reliability Standard PRC-002-4. </w:t>
      </w:r>
      <w:r w:rsidRPr="00B93EA5" w:rsidR="00D35FC8">
        <w:rPr>
          <w:szCs w:val="26"/>
        </w:rPr>
        <w:t xml:space="preserve"> </w:t>
      </w:r>
      <w:r w:rsidRPr="00B93EA5">
        <w:rPr>
          <w:szCs w:val="26"/>
        </w:rPr>
        <w:t xml:space="preserve">For the reasons discussed below, </w:t>
      </w:r>
      <w:r w:rsidRPr="00B93EA5" w:rsidR="003E1793">
        <w:rPr>
          <w:szCs w:val="26"/>
        </w:rPr>
        <w:t>pursuant to section 215(d)(2) of the Federal Power Act (FPA</w:t>
      </w:r>
      <w:r w:rsidRPr="00B93EA5" w:rsidR="03E8D0AA">
        <w:rPr>
          <w:szCs w:val="26"/>
        </w:rPr>
        <w:t>)</w:t>
      </w:r>
      <w:r w:rsidRPr="00B93EA5" w:rsidR="0B47614B">
        <w:rPr>
          <w:szCs w:val="26"/>
        </w:rPr>
        <w:t>,</w:t>
      </w:r>
      <w:r>
        <w:rPr>
          <w:rStyle w:val="FootnoteReference"/>
          <w:szCs w:val="26"/>
        </w:rPr>
        <w:footnoteReference w:id="6"/>
      </w:r>
      <w:r w:rsidRPr="00B93EA5" w:rsidR="003E1793">
        <w:rPr>
          <w:szCs w:val="26"/>
        </w:rPr>
        <w:t xml:space="preserve"> </w:t>
      </w:r>
      <w:r w:rsidR="00E669B5">
        <w:rPr>
          <w:szCs w:val="26"/>
        </w:rPr>
        <w:t xml:space="preserve">  </w:t>
      </w:r>
      <w:r w:rsidRPr="00B93EA5" w:rsidR="003E1793">
        <w:rPr>
          <w:szCs w:val="26"/>
        </w:rPr>
        <w:t xml:space="preserve">we </w:t>
      </w:r>
      <w:r w:rsidRPr="00B93EA5">
        <w:rPr>
          <w:szCs w:val="26"/>
        </w:rPr>
        <w:t xml:space="preserve">grant the requested approvals.  </w:t>
      </w:r>
    </w:p>
    <w:p w:rsidR="00BB0DDF" w:rsidRPr="00B93EA5" w:rsidP="00BB0DDF" w14:paraId="47CCED50" w14:textId="1B64104A">
      <w:pPr>
        <w:pStyle w:val="FERCparanumber"/>
        <w:rPr>
          <w:szCs w:val="26"/>
        </w:rPr>
      </w:pPr>
      <w:r w:rsidRPr="00B93EA5">
        <w:rPr>
          <w:szCs w:val="26"/>
        </w:rPr>
        <w:t xml:space="preserve">In Order No. 901, </w:t>
      </w:r>
      <w:r w:rsidRPr="00B93EA5" w:rsidR="00B41DBC">
        <w:rPr>
          <w:szCs w:val="26"/>
        </w:rPr>
        <w:t>pursuant to section 215(d)(5) of the FPA</w:t>
      </w:r>
      <w:r w:rsidRPr="00B93EA5" w:rsidR="00EA54E4">
        <w:rPr>
          <w:szCs w:val="26"/>
        </w:rPr>
        <w:t xml:space="preserve">, </w:t>
      </w:r>
      <w:r w:rsidRPr="00B93EA5">
        <w:rPr>
          <w:szCs w:val="26"/>
        </w:rPr>
        <w:t>the Commission directed NERC to submit new or modified Reliability Standards to</w:t>
      </w:r>
      <w:r w:rsidRPr="00B93EA5" w:rsidR="00233FFC">
        <w:rPr>
          <w:szCs w:val="26"/>
        </w:rPr>
        <w:t>, among other things,</w:t>
      </w:r>
      <w:r w:rsidRPr="00B93EA5">
        <w:rPr>
          <w:szCs w:val="26"/>
        </w:rPr>
        <w:t xml:space="preserve"> address disturbance monitoring data sharing, performance requirements, and post-event performance validation for registered IBRs.</w:t>
      </w:r>
      <w:r>
        <w:rPr>
          <w:rStyle w:val="FootnoteReference"/>
          <w:szCs w:val="26"/>
        </w:rPr>
        <w:footnoteReference w:id="7"/>
      </w:r>
      <w:r w:rsidRPr="00B93EA5">
        <w:rPr>
          <w:szCs w:val="26"/>
        </w:rPr>
        <w:t xml:space="preserve">  The Commission directed NERC to consider the burden on IBR owners to collect and provide </w:t>
      </w:r>
      <w:r w:rsidRPr="00B93EA5" w:rsidR="007D105E">
        <w:rPr>
          <w:szCs w:val="26"/>
        </w:rPr>
        <w:t>data</w:t>
      </w:r>
      <w:r w:rsidRPr="00B93EA5" w:rsidR="00996A41">
        <w:rPr>
          <w:szCs w:val="26"/>
        </w:rPr>
        <w:t xml:space="preserve"> collected by disturbance monitoring equipment</w:t>
      </w:r>
      <w:r w:rsidRPr="00B93EA5">
        <w:rPr>
          <w:szCs w:val="26"/>
        </w:rPr>
        <w:t xml:space="preserve"> while assuring that Bulk-Power System operators and planners have the data they need for accurate disturbance monitoring and analysis.</w:t>
      </w:r>
      <w:r>
        <w:rPr>
          <w:rStyle w:val="FootnoteReference"/>
          <w:szCs w:val="26"/>
        </w:rPr>
        <w:footnoteReference w:id="8"/>
      </w:r>
      <w:r w:rsidRPr="00B93EA5">
        <w:rPr>
          <w:szCs w:val="26"/>
        </w:rPr>
        <w:t xml:space="preserve">  The Commission also directed NERC to submit </w:t>
      </w:r>
      <w:r w:rsidRPr="00B93EA5" w:rsidR="00483CB3">
        <w:rPr>
          <w:szCs w:val="26"/>
        </w:rPr>
        <w:t xml:space="preserve">new or modified </w:t>
      </w:r>
      <w:r w:rsidRPr="00B93EA5" w:rsidR="00FE1102">
        <w:rPr>
          <w:szCs w:val="26"/>
        </w:rPr>
        <w:t xml:space="preserve">Reliability Standards </w:t>
      </w:r>
      <w:r w:rsidRPr="00B93EA5" w:rsidR="00483CB3">
        <w:rPr>
          <w:szCs w:val="26"/>
        </w:rPr>
        <w:t>that “</w:t>
      </w:r>
      <w:r w:rsidRPr="00B93EA5" w:rsidR="00FE1102">
        <w:rPr>
          <w:szCs w:val="26"/>
        </w:rPr>
        <w:t>require generator owners to communicate to the relevant planning coordinators, transmission planners, reliability coordinators, transmission operators, and balancing authorities the actual post-disturbance ramp rates</w:t>
      </w:r>
      <w:r w:rsidRPr="00B93EA5" w:rsidR="00E33BFF">
        <w:rPr>
          <w:szCs w:val="26"/>
        </w:rPr>
        <w:t>.</w:t>
      </w:r>
      <w:r w:rsidRPr="00B93EA5">
        <w:rPr>
          <w:szCs w:val="26"/>
        </w:rPr>
        <w:t>”</w:t>
      </w:r>
      <w:r>
        <w:rPr>
          <w:rStyle w:val="FootnoteReference"/>
          <w:szCs w:val="26"/>
        </w:rPr>
        <w:footnoteReference w:id="9"/>
      </w:r>
      <w:r w:rsidRPr="00B93EA5">
        <w:rPr>
          <w:szCs w:val="26"/>
        </w:rPr>
        <w:t xml:space="preserve">  The Commission directed NERC to submit new or modified Reliability Standards </w:t>
      </w:r>
      <w:r w:rsidRPr="00B93EA5" w:rsidR="009F2AB4">
        <w:rPr>
          <w:szCs w:val="26"/>
        </w:rPr>
        <w:t xml:space="preserve">addressing these directives </w:t>
      </w:r>
      <w:r w:rsidRPr="00B93EA5">
        <w:rPr>
          <w:szCs w:val="26"/>
        </w:rPr>
        <w:t>to the Commission no later than November 4, 2024.</w:t>
      </w:r>
      <w:r>
        <w:rPr>
          <w:rStyle w:val="FootnoteReference"/>
          <w:szCs w:val="26"/>
        </w:rPr>
        <w:footnoteReference w:id="10"/>
      </w:r>
    </w:p>
    <w:p w:rsidR="00BB0DDF" w:rsidRPr="00B93EA5" w:rsidP="00E669B5" w14:paraId="0D9B73CC" w14:textId="4A1F7F9E">
      <w:pPr>
        <w:pStyle w:val="FERCparanumber"/>
        <w:ind w:right="-90"/>
        <w:rPr>
          <w:szCs w:val="26"/>
        </w:rPr>
      </w:pPr>
      <w:r w:rsidRPr="00B93EA5">
        <w:rPr>
          <w:szCs w:val="26"/>
        </w:rPr>
        <w:t xml:space="preserve">In </w:t>
      </w:r>
      <w:r w:rsidRPr="00B93EA5" w:rsidR="39E7795D">
        <w:rPr>
          <w:szCs w:val="26"/>
        </w:rPr>
        <w:t>the</w:t>
      </w:r>
      <w:r w:rsidRPr="00B93EA5">
        <w:rPr>
          <w:szCs w:val="26"/>
        </w:rPr>
        <w:t xml:space="preserve"> IBR Definition Petition,</w:t>
      </w:r>
      <w:r w:rsidRPr="00B93EA5">
        <w:rPr>
          <w:szCs w:val="26"/>
        </w:rPr>
        <w:t xml:space="preserve"> NERC</w:t>
      </w:r>
      <w:r w:rsidRPr="00B93EA5">
        <w:rPr>
          <w:szCs w:val="26"/>
        </w:rPr>
        <w:t xml:space="preserve"> propose</w:t>
      </w:r>
      <w:r w:rsidRPr="00B93EA5" w:rsidR="00F9086D">
        <w:rPr>
          <w:szCs w:val="26"/>
        </w:rPr>
        <w:t>s</w:t>
      </w:r>
      <w:r w:rsidRPr="00B93EA5">
        <w:rPr>
          <w:szCs w:val="26"/>
        </w:rPr>
        <w:t xml:space="preserve"> to define</w:t>
      </w:r>
      <w:r w:rsidRPr="00B93EA5">
        <w:rPr>
          <w:szCs w:val="26"/>
        </w:rPr>
        <w:t xml:space="preserve"> </w:t>
      </w:r>
      <w:r w:rsidRPr="00B93EA5">
        <w:rPr>
          <w:szCs w:val="26"/>
        </w:rPr>
        <w:t>an IBR as “[a] plant/facility consisting of individual devices that are capable of exporting Real Power through a power electronic interface(s) such as an inverter or converter, and that are operated together as a single resource at a common point of interconnection to the electric system.”</w:t>
      </w:r>
      <w:r>
        <w:rPr>
          <w:b/>
          <w:bCs/>
          <w:szCs w:val="26"/>
          <w:vertAlign w:val="superscript"/>
        </w:rPr>
        <w:footnoteReference w:id="11"/>
      </w:r>
      <w:r w:rsidRPr="00B93EA5">
        <w:rPr>
          <w:szCs w:val="26"/>
        </w:rPr>
        <w:t xml:space="preserve">  NERC </w:t>
      </w:r>
      <w:r w:rsidR="004F3450">
        <w:rPr>
          <w:szCs w:val="26"/>
        </w:rPr>
        <w:t>explains</w:t>
      </w:r>
      <w:r w:rsidRPr="00B93EA5">
        <w:rPr>
          <w:szCs w:val="26"/>
        </w:rPr>
        <w:t xml:space="preserve"> that while developing its proposed IBR definition, it considered the Institute of Electrical and Electronics Engineers (IEEE) 2800-2022 IBR definition</w:t>
      </w:r>
      <w:r w:rsidR="00305B90">
        <w:rPr>
          <w:szCs w:val="26"/>
        </w:rPr>
        <w:t>,</w:t>
      </w:r>
      <w:r w:rsidRPr="00B93EA5">
        <w:rPr>
          <w:szCs w:val="26"/>
        </w:rPr>
        <w:t xml:space="preserve"> as well as other IBR definitions identified in various NERC and Commission documents.</w:t>
      </w:r>
      <w:r>
        <w:rPr>
          <w:rStyle w:val="FootnoteReference"/>
          <w:szCs w:val="26"/>
        </w:rPr>
        <w:footnoteReference w:id="12"/>
      </w:r>
      <w:r w:rsidRPr="00B93EA5">
        <w:rPr>
          <w:szCs w:val="26"/>
        </w:rPr>
        <w:t xml:space="preserve">  </w:t>
      </w:r>
      <w:r w:rsidR="00F17A39">
        <w:rPr>
          <w:szCs w:val="26"/>
        </w:rPr>
        <w:t xml:space="preserve">According to </w:t>
      </w:r>
      <w:r w:rsidRPr="00B93EA5">
        <w:rPr>
          <w:szCs w:val="26"/>
        </w:rPr>
        <w:t>NERC</w:t>
      </w:r>
      <w:r w:rsidR="00F17A39">
        <w:rPr>
          <w:szCs w:val="26"/>
        </w:rPr>
        <w:t>,</w:t>
      </w:r>
      <w:r w:rsidRPr="00B93EA5">
        <w:rPr>
          <w:szCs w:val="26"/>
        </w:rPr>
        <w:t xml:space="preserve"> the “capable of exporting real power” phrase in the proposed IBR </w:t>
      </w:r>
      <w:r w:rsidRPr="00B93EA5">
        <w:rPr>
          <w:szCs w:val="26"/>
        </w:rPr>
        <w:t>definition clarifies that IBRs are considered generation resources that provide real power to load.</w:t>
      </w:r>
      <w:r>
        <w:rPr>
          <w:rStyle w:val="FootnoteReference"/>
          <w:szCs w:val="26"/>
        </w:rPr>
        <w:footnoteReference w:id="13"/>
      </w:r>
      <w:r w:rsidRPr="00B93EA5">
        <w:rPr>
          <w:szCs w:val="26"/>
        </w:rPr>
        <w:t xml:space="preserve">  NERC </w:t>
      </w:r>
      <w:r w:rsidRPr="00B93EA5" w:rsidR="008C6ADF">
        <w:rPr>
          <w:szCs w:val="26"/>
        </w:rPr>
        <w:t>states</w:t>
      </w:r>
      <w:r w:rsidRPr="00B93EA5">
        <w:rPr>
          <w:szCs w:val="26"/>
        </w:rPr>
        <w:t xml:space="preserve"> that the proposed IBR definition will promote consistency in the application of Reliability Standards, help avoid confusion, and facilitate efficiency for future standards drafting teams when addressing outstanding IBR issues.  NERC’s proposed implementation plan states that the proposed IBR definition would become effective on the first day of the first calendar quarter after </w:t>
      </w:r>
      <w:r w:rsidRPr="00B93EA5" w:rsidR="00950718">
        <w:rPr>
          <w:szCs w:val="26"/>
        </w:rPr>
        <w:t>Commission</w:t>
      </w:r>
      <w:r w:rsidRPr="00B93EA5">
        <w:rPr>
          <w:szCs w:val="26"/>
        </w:rPr>
        <w:t xml:space="preserve"> approval.</w:t>
      </w:r>
      <w:r>
        <w:rPr>
          <w:rStyle w:val="FootnoteReference"/>
          <w:szCs w:val="26"/>
        </w:rPr>
        <w:footnoteReference w:id="14"/>
      </w:r>
    </w:p>
    <w:p w:rsidR="00880E23" w:rsidP="00E669B5" w14:paraId="5335E180" w14:textId="59E422B7">
      <w:pPr>
        <w:pStyle w:val="FERCparanumber"/>
        <w:ind w:right="-270"/>
        <w:rPr>
          <w:szCs w:val="26"/>
        </w:rPr>
      </w:pPr>
      <w:r w:rsidRPr="00B93EA5">
        <w:rPr>
          <w:szCs w:val="26"/>
        </w:rPr>
        <w:t xml:space="preserve">In </w:t>
      </w:r>
      <w:r w:rsidRPr="00B93EA5" w:rsidR="00BB0DDF">
        <w:rPr>
          <w:szCs w:val="26"/>
        </w:rPr>
        <w:t xml:space="preserve">the </w:t>
      </w:r>
      <w:r w:rsidRPr="00B93EA5" w:rsidR="00A30BD3">
        <w:rPr>
          <w:szCs w:val="26"/>
        </w:rPr>
        <w:t>NERC</w:t>
      </w:r>
      <w:r w:rsidRPr="00B93EA5">
        <w:rPr>
          <w:szCs w:val="26"/>
        </w:rPr>
        <w:t xml:space="preserve"> </w:t>
      </w:r>
      <w:r w:rsidRPr="00B93EA5" w:rsidR="004039F6">
        <w:rPr>
          <w:szCs w:val="26"/>
        </w:rPr>
        <w:t>PRC-02</w:t>
      </w:r>
      <w:r w:rsidRPr="00B93EA5" w:rsidR="0097442E">
        <w:rPr>
          <w:szCs w:val="26"/>
        </w:rPr>
        <w:t>8</w:t>
      </w:r>
      <w:r w:rsidRPr="00B93EA5" w:rsidR="004039F6">
        <w:rPr>
          <w:szCs w:val="26"/>
        </w:rPr>
        <w:t>-1 Petition,</w:t>
      </w:r>
      <w:r w:rsidRPr="00B93EA5" w:rsidR="00BB0DDF">
        <w:rPr>
          <w:szCs w:val="26"/>
        </w:rPr>
        <w:t xml:space="preserve"> </w:t>
      </w:r>
      <w:r w:rsidRPr="00B93EA5" w:rsidR="00BB0DDF">
        <w:rPr>
          <w:szCs w:val="26"/>
        </w:rPr>
        <w:t>NERC explains that</w:t>
      </w:r>
      <w:r w:rsidRPr="00B93EA5" w:rsidR="00BB0DDF">
        <w:rPr>
          <w:szCs w:val="26"/>
        </w:rPr>
        <w:t xml:space="preserve"> </w:t>
      </w:r>
      <w:r w:rsidRPr="00B93EA5" w:rsidR="00BB0DDF">
        <w:rPr>
          <w:szCs w:val="26"/>
        </w:rPr>
        <w:t>proposed Reliability Standards</w:t>
      </w:r>
      <w:r w:rsidRPr="00B93EA5" w:rsidR="005F0B76">
        <w:rPr>
          <w:szCs w:val="26"/>
        </w:rPr>
        <w:t xml:space="preserve"> PRC-028-1 and PRC-002-5</w:t>
      </w:r>
      <w:r w:rsidRPr="00B93EA5" w:rsidR="00BB0DDF">
        <w:rPr>
          <w:szCs w:val="26"/>
        </w:rPr>
        <w:t xml:space="preserve"> comply</w:t>
      </w:r>
      <w:r w:rsidRPr="00B93EA5" w:rsidR="008E161E">
        <w:rPr>
          <w:szCs w:val="26"/>
        </w:rPr>
        <w:t xml:space="preserve"> in part</w:t>
      </w:r>
      <w:r w:rsidRPr="00B93EA5" w:rsidR="00BB0DDF">
        <w:rPr>
          <w:szCs w:val="26"/>
        </w:rPr>
        <w:t xml:space="preserve"> with the Commission’s directives </w:t>
      </w:r>
      <w:r w:rsidR="00E669B5">
        <w:rPr>
          <w:szCs w:val="26"/>
        </w:rPr>
        <w:t xml:space="preserve">     </w:t>
      </w:r>
      <w:r w:rsidRPr="00B93EA5" w:rsidR="00BB0DDF">
        <w:rPr>
          <w:szCs w:val="26"/>
        </w:rPr>
        <w:t>in Order No. 901 regarding disturbance monitoring requirements for IBRs</w:t>
      </w:r>
      <w:r>
        <w:rPr>
          <w:rStyle w:val="FootnoteReference"/>
          <w:szCs w:val="26"/>
        </w:rPr>
        <w:footnoteReference w:id="15"/>
      </w:r>
      <w:r w:rsidRPr="00B93EA5" w:rsidR="003E5C8E">
        <w:rPr>
          <w:szCs w:val="26"/>
        </w:rPr>
        <w:t xml:space="preserve"> and</w:t>
      </w:r>
      <w:r w:rsidRPr="00B93EA5" w:rsidR="00BB0DDF">
        <w:rPr>
          <w:szCs w:val="26"/>
        </w:rPr>
        <w:t xml:space="preserve"> would improve reliability by ensuring the availability of data from synchronous generating resources and IBRs necessary to facilitate the analysis of disturbances on the Bulk-Power System.</w:t>
      </w:r>
      <w:r>
        <w:rPr>
          <w:b/>
          <w:bCs/>
          <w:iCs/>
          <w:szCs w:val="26"/>
          <w:vertAlign w:val="superscript"/>
        </w:rPr>
        <w:footnoteReference w:id="16"/>
      </w:r>
      <w:r w:rsidRPr="00B93EA5" w:rsidR="00BB0DDF">
        <w:rPr>
          <w:szCs w:val="26"/>
        </w:rPr>
        <w:t xml:space="preserve">  NERC states that although Reliability Standard PRC-002-4 generally serves the purpose of capturing event data to analyze system disturbances, the disturbance monitoring requirements of the existing </w:t>
      </w:r>
      <w:r w:rsidRPr="00B93EA5" w:rsidR="008371FB">
        <w:rPr>
          <w:szCs w:val="26"/>
        </w:rPr>
        <w:t>S</w:t>
      </w:r>
      <w:r w:rsidRPr="00B93EA5" w:rsidR="00BB0DDF">
        <w:rPr>
          <w:szCs w:val="26"/>
        </w:rPr>
        <w:t>tandard do not apply to many IBRs</w:t>
      </w:r>
      <w:r w:rsidRPr="00B93EA5" w:rsidR="00D66B0B">
        <w:rPr>
          <w:szCs w:val="26"/>
        </w:rPr>
        <w:t>,</w:t>
      </w:r>
      <w:r w:rsidRPr="00B93EA5" w:rsidR="00BB0DDF">
        <w:rPr>
          <w:szCs w:val="26"/>
        </w:rPr>
        <w:t xml:space="preserve"> given their technical and operational characteristics.</w:t>
      </w:r>
      <w:r>
        <w:rPr>
          <w:b/>
          <w:bCs/>
          <w:iCs/>
          <w:szCs w:val="26"/>
          <w:vertAlign w:val="superscript"/>
        </w:rPr>
        <w:footnoteReference w:id="17"/>
      </w:r>
      <w:r w:rsidRPr="00B93EA5" w:rsidR="00BB0DDF">
        <w:rPr>
          <w:szCs w:val="26"/>
        </w:rPr>
        <w:t xml:space="preserve">  </w:t>
      </w:r>
      <w:r w:rsidRPr="00C111B6" w:rsidR="002A21DA">
        <w:rPr>
          <w:szCs w:val="26"/>
        </w:rPr>
        <w:t>NERC explains that p</w:t>
      </w:r>
      <w:r w:rsidRPr="00C111B6" w:rsidR="00BB0DDF">
        <w:rPr>
          <w:szCs w:val="26"/>
        </w:rPr>
        <w:t xml:space="preserve">roposed Reliability Standard PRC-028-1 </w:t>
      </w:r>
      <w:r w:rsidRPr="00C111B6" w:rsidR="002A21DA">
        <w:rPr>
          <w:szCs w:val="26"/>
        </w:rPr>
        <w:t>would address t</w:t>
      </w:r>
      <w:r w:rsidR="00C111B6">
        <w:rPr>
          <w:szCs w:val="26"/>
        </w:rPr>
        <w:t>his reliability gap by extending disturbance monitoring and reporting requirements to all IBRs that are or will be subject to the Reliability Standards.</w:t>
      </w:r>
      <w:r>
        <w:rPr>
          <w:rStyle w:val="FootnoteReference"/>
          <w:szCs w:val="26"/>
        </w:rPr>
        <w:footnoteReference w:id="18"/>
      </w:r>
    </w:p>
    <w:p w:rsidR="00BB0DDF" w:rsidRPr="00880E23" w:rsidP="00E669B5" w14:paraId="7CEC56D8" w14:textId="1C9F096B">
      <w:pPr>
        <w:pStyle w:val="FERCparanumber"/>
        <w:ind w:right="-270"/>
        <w:rPr>
          <w:szCs w:val="26"/>
        </w:rPr>
      </w:pPr>
      <w:r>
        <w:t xml:space="preserve">Proposed Reliability Standard PRC-028-1 </w:t>
      </w:r>
      <w:r w:rsidRPr="48492CBA">
        <w:t xml:space="preserve">applies to generator owners that own </w:t>
      </w:r>
      <w:r w:rsidR="00E7303A">
        <w:t xml:space="preserve"> </w:t>
      </w:r>
      <w:r w:rsidRPr="48492CBA">
        <w:t>bulk-electric system IBRs, as well as generator owners that own non-bulk electric system IBRs that NERC will register under NERC’s registry criteria for IBR generator owners and generator operators.</w:t>
      </w:r>
      <w:r>
        <w:rPr>
          <w:b/>
          <w:bCs/>
          <w:vertAlign w:val="superscript"/>
        </w:rPr>
        <w:footnoteReference w:id="19"/>
      </w:r>
      <w:r w:rsidR="005D2A74">
        <w:t xml:space="preserve">  The proposed </w:t>
      </w:r>
      <w:r w:rsidR="5CB6A023">
        <w:t>S</w:t>
      </w:r>
      <w:r w:rsidR="005D2A74">
        <w:t xml:space="preserve">tandard would require applicable entities to install </w:t>
      </w:r>
      <w:r w:rsidR="005D2A74">
        <w:t>disturbance monitoring equipment on their IBRs</w:t>
      </w:r>
      <w:r w:rsidR="00257A5C">
        <w:t xml:space="preserve"> in order to collect sequence of event recording, fault recording, and dynamic disturbance recording data</w:t>
      </w:r>
      <w:r w:rsidR="005D2A74">
        <w:t>.</w:t>
      </w:r>
      <w:r>
        <w:rPr>
          <w:rStyle w:val="FootnoteReference"/>
          <w:szCs w:val="26"/>
        </w:rPr>
        <w:footnoteReference w:id="20"/>
      </w:r>
      <w:r w:rsidRPr="00880E23">
        <w:rPr>
          <w:szCs w:val="26"/>
        </w:rPr>
        <w:t xml:space="preserve">  </w:t>
      </w:r>
      <w:r>
        <w:t xml:space="preserve">NERC explains that data collected under the proposed </w:t>
      </w:r>
      <w:r w:rsidR="210D65E1">
        <w:t>S</w:t>
      </w:r>
      <w:r w:rsidR="006952F8">
        <w:t>tandard</w:t>
      </w:r>
      <w:r>
        <w:t xml:space="preserve"> would be used to evaluate IBR ride-through performance during</w:t>
      </w:r>
      <w:r w:rsidR="007F52A8">
        <w:t xml:space="preserve"> system</w:t>
      </w:r>
      <w:r>
        <w:t xml:space="preserve"> disturbances and provide data for IBR model validation</w:t>
      </w:r>
      <w:r w:rsidR="007F52A8">
        <w:t xml:space="preserve"> to </w:t>
      </w:r>
      <w:r w:rsidR="00E7303A">
        <w:t xml:space="preserve"> </w:t>
      </w:r>
      <w:r w:rsidR="007F52A8">
        <w:t xml:space="preserve">assist </w:t>
      </w:r>
      <w:r>
        <w:t>operators and planners</w:t>
      </w:r>
      <w:r w:rsidR="007F52A8">
        <w:t xml:space="preserve"> </w:t>
      </w:r>
      <w:r w:rsidR="00445978">
        <w:t xml:space="preserve">in </w:t>
      </w:r>
      <w:r>
        <w:t>better account</w:t>
      </w:r>
      <w:r w:rsidR="00445978">
        <w:t>ing</w:t>
      </w:r>
      <w:r>
        <w:t xml:space="preserve"> for IBR performance in the future</w:t>
      </w:r>
      <w:r w:rsidR="007F52A8">
        <w:t>.</w:t>
      </w:r>
      <w:r>
        <w:rPr>
          <w:rStyle w:val="FootnoteReference"/>
          <w:szCs w:val="26"/>
        </w:rPr>
        <w:footnoteReference w:id="21"/>
      </w:r>
      <w:r w:rsidR="005D2A74">
        <w:t xml:space="preserve">  Additionally, the proposed </w:t>
      </w:r>
      <w:r w:rsidR="73923ACC">
        <w:t>S</w:t>
      </w:r>
      <w:r w:rsidR="005D2A74">
        <w:t>tandard would require</w:t>
      </w:r>
      <w:r w:rsidR="006952F8">
        <w:t xml:space="preserve"> IBR generator owners to address </w:t>
      </w:r>
      <w:r w:rsidR="00E7303A">
        <w:t xml:space="preserve"> </w:t>
      </w:r>
      <w:r w:rsidR="006952F8">
        <w:t xml:space="preserve">failures of disturbance monitoring recording capabilities by either restoring function </w:t>
      </w:r>
      <w:r w:rsidR="00E7303A">
        <w:t xml:space="preserve">   </w:t>
      </w:r>
      <w:r w:rsidR="006952F8">
        <w:t xml:space="preserve">within specified timeframes or submitting corrective action plans indicating how and </w:t>
      </w:r>
      <w:r w:rsidR="00E7303A">
        <w:t xml:space="preserve">   </w:t>
      </w:r>
      <w:r w:rsidR="006952F8">
        <w:t>when recording capabilities would be restored.</w:t>
      </w:r>
      <w:r>
        <w:rPr>
          <w:rStyle w:val="FootnoteReference"/>
          <w:szCs w:val="26"/>
        </w:rPr>
        <w:footnoteReference w:id="22"/>
      </w:r>
    </w:p>
    <w:p w:rsidR="00BB0DDF" w:rsidRPr="00B93EA5" w:rsidP="00BE3970" w14:paraId="08FB269F" w14:textId="780B3A1A">
      <w:pPr>
        <w:pStyle w:val="FERCparanumber"/>
        <w:numPr>
          <w:ilvl w:val="0"/>
          <w:numId w:val="11"/>
        </w:numPr>
        <w:rPr>
          <w:szCs w:val="26"/>
        </w:rPr>
      </w:pPr>
      <w:r w:rsidRPr="00B93EA5">
        <w:rPr>
          <w:szCs w:val="26"/>
        </w:rPr>
        <w:t xml:space="preserve">Proposed Reliability Standard PRC-002-5 </w:t>
      </w:r>
      <w:r w:rsidRPr="00B93EA5" w:rsidR="00A2403B">
        <w:rPr>
          <w:szCs w:val="26"/>
        </w:rPr>
        <w:t>would</w:t>
      </w:r>
      <w:r w:rsidRPr="00B93EA5">
        <w:rPr>
          <w:szCs w:val="26"/>
        </w:rPr>
        <w:t xml:space="preserve"> replace Reliability Standard PRC-002-4 and clarify its applicability to non-IBR bulk electric system elements.</w:t>
      </w:r>
      <w:r>
        <w:rPr>
          <w:rStyle w:val="FootnoteReference"/>
          <w:szCs w:val="26"/>
        </w:rPr>
        <w:footnoteReference w:id="23"/>
      </w:r>
      <w:r w:rsidRPr="00B93EA5">
        <w:rPr>
          <w:szCs w:val="26"/>
        </w:rPr>
        <w:t xml:space="preserve">  </w:t>
      </w:r>
      <w:r w:rsidR="00735C0C">
        <w:rPr>
          <w:szCs w:val="26"/>
        </w:rPr>
        <w:t xml:space="preserve">Further, </w:t>
      </w:r>
      <w:r w:rsidRPr="00B93EA5">
        <w:rPr>
          <w:szCs w:val="26"/>
        </w:rPr>
        <w:t>proposed Reliability Standard PRC-002-5 adds data collection and sharing requirements</w:t>
      </w:r>
      <w:r w:rsidR="00735C0C">
        <w:rPr>
          <w:szCs w:val="26"/>
        </w:rPr>
        <w:t xml:space="preserve">, as well as </w:t>
      </w:r>
      <w:r w:rsidR="005B5C2C">
        <w:rPr>
          <w:szCs w:val="26"/>
        </w:rPr>
        <w:t>data formatting requirements,</w:t>
      </w:r>
      <w:r w:rsidRPr="00B93EA5">
        <w:rPr>
          <w:szCs w:val="26"/>
        </w:rPr>
        <w:t xml:space="preserve"> similar to those in proposed Reliability Standard PRC-028-1.</w:t>
      </w:r>
      <w:r>
        <w:rPr>
          <w:rStyle w:val="FootnoteReference"/>
          <w:bCs/>
          <w:iCs/>
          <w:szCs w:val="26"/>
        </w:rPr>
        <w:footnoteReference w:id="24"/>
      </w:r>
      <w:r w:rsidRPr="00B93EA5">
        <w:rPr>
          <w:bCs/>
          <w:iCs/>
          <w:szCs w:val="26"/>
        </w:rPr>
        <w:t xml:space="preserve">  </w:t>
      </w:r>
      <w:r w:rsidRPr="00B93EA5" w:rsidR="00051CC0">
        <w:rPr>
          <w:rStyle w:val="FootnoteReference"/>
          <w:szCs w:val="26"/>
        </w:rPr>
        <w:t xml:space="preserve"> </w:t>
      </w:r>
    </w:p>
    <w:p w:rsidR="007865B2" w:rsidRPr="00B93EA5" w:rsidP="00F428C4" w14:paraId="25BDA3B3" w14:textId="01F6CB30">
      <w:pPr>
        <w:pStyle w:val="FERCparanumber"/>
        <w:rPr>
          <w:szCs w:val="26"/>
        </w:rPr>
      </w:pPr>
      <w:r w:rsidRPr="00B93EA5">
        <w:rPr>
          <w:szCs w:val="26"/>
        </w:rPr>
        <w:t>NERC describes its proposed implementation plan for Reliability Standards PRC</w:t>
      </w:r>
      <w:r w:rsidRPr="00B93EA5" w:rsidR="00132312">
        <w:rPr>
          <w:szCs w:val="26"/>
        </w:rPr>
        <w:noBreakHyphen/>
      </w:r>
      <w:r w:rsidRPr="00B93EA5">
        <w:rPr>
          <w:szCs w:val="26"/>
        </w:rPr>
        <w:t xml:space="preserve">028-1 and PRC-002-5 as “a risk-based, phased-in compliance approach” that </w:t>
      </w:r>
      <w:r w:rsidR="00E7303A">
        <w:rPr>
          <w:szCs w:val="26"/>
        </w:rPr>
        <w:t xml:space="preserve">  </w:t>
      </w:r>
      <w:r w:rsidRPr="00B93EA5">
        <w:rPr>
          <w:szCs w:val="26"/>
        </w:rPr>
        <w:t>would require generator owners to implement disturbance monitoring equipment by</w:t>
      </w:r>
      <w:r w:rsidR="00E7303A">
        <w:rPr>
          <w:szCs w:val="26"/>
        </w:rPr>
        <w:t xml:space="preserve">     </w:t>
      </w:r>
      <w:r w:rsidRPr="00B93EA5">
        <w:rPr>
          <w:szCs w:val="26"/>
        </w:rPr>
        <w:t xml:space="preserve"> no later than 2030.</w:t>
      </w:r>
      <w:r>
        <w:rPr>
          <w:rStyle w:val="FootnoteReference"/>
          <w:bCs/>
          <w:iCs/>
          <w:szCs w:val="26"/>
        </w:rPr>
        <w:footnoteReference w:id="25"/>
      </w:r>
      <w:r w:rsidRPr="00B93EA5">
        <w:rPr>
          <w:szCs w:val="26"/>
        </w:rPr>
        <w:t xml:space="preserve">  NERC further proposes a process by which generator owners may request an extension to implementation deadlines because of potential constraints outside of a generator owner’s control, such as supply chain delays.</w:t>
      </w:r>
      <w:r>
        <w:rPr>
          <w:rStyle w:val="FootnoteReference"/>
          <w:bCs/>
          <w:iCs/>
          <w:szCs w:val="26"/>
        </w:rPr>
        <w:footnoteReference w:id="26"/>
      </w:r>
    </w:p>
    <w:p w:rsidR="00BE3970" w:rsidRPr="00B93EA5" w:rsidP="322872FD" w14:paraId="15E835FB" w14:textId="171D0E3F">
      <w:pPr>
        <w:pStyle w:val="FERCparanumber"/>
        <w:rPr>
          <w:szCs w:val="26"/>
        </w:rPr>
      </w:pPr>
      <w:r w:rsidRPr="00B93EA5">
        <w:rPr>
          <w:szCs w:val="26"/>
        </w:rPr>
        <w:t xml:space="preserve">The </w:t>
      </w:r>
      <w:r w:rsidRPr="00B93EA5">
        <w:rPr>
          <w:szCs w:val="26"/>
        </w:rPr>
        <w:t>NERC</w:t>
      </w:r>
      <w:r w:rsidRPr="00B93EA5" w:rsidR="00B027D4">
        <w:rPr>
          <w:szCs w:val="26"/>
        </w:rPr>
        <w:t xml:space="preserve"> PRC-030-1 Petition</w:t>
      </w:r>
      <w:r w:rsidRPr="00B93EA5">
        <w:rPr>
          <w:szCs w:val="26"/>
        </w:rPr>
        <w:t xml:space="preserve"> explains that proposed Reliability Standard </w:t>
      </w:r>
      <w:r w:rsidR="00E7303A">
        <w:rPr>
          <w:szCs w:val="26"/>
        </w:rPr>
        <w:t xml:space="preserve">    </w:t>
      </w:r>
      <w:r w:rsidRPr="00B93EA5">
        <w:rPr>
          <w:szCs w:val="26"/>
        </w:rPr>
        <w:t xml:space="preserve">PRC-030-1 </w:t>
      </w:r>
      <w:r w:rsidRPr="00B93EA5">
        <w:rPr>
          <w:szCs w:val="26"/>
        </w:rPr>
        <w:t xml:space="preserve">was developed as part of a set of Reliability Standards in response to directives in Order No. 901 </w:t>
      </w:r>
      <w:r w:rsidRPr="00B93EA5" w:rsidR="00421798">
        <w:rPr>
          <w:szCs w:val="26"/>
        </w:rPr>
        <w:t>to develop</w:t>
      </w:r>
      <w:r w:rsidRPr="00B93EA5">
        <w:rPr>
          <w:szCs w:val="26"/>
        </w:rPr>
        <w:t xml:space="preserve"> requirements that address IBR ride</w:t>
      </w:r>
      <w:r w:rsidR="0057530E">
        <w:rPr>
          <w:szCs w:val="26"/>
        </w:rPr>
        <w:t>-</w:t>
      </w:r>
      <w:r w:rsidRPr="00B93EA5">
        <w:rPr>
          <w:szCs w:val="26"/>
        </w:rPr>
        <w:t>through settings and performance, data recording, and analysis and mitigation of unexpected</w:t>
      </w:r>
      <w:r w:rsidR="00E7303A">
        <w:rPr>
          <w:szCs w:val="26"/>
        </w:rPr>
        <w:t xml:space="preserve">  </w:t>
      </w:r>
      <w:r w:rsidRPr="00B93EA5">
        <w:rPr>
          <w:szCs w:val="26"/>
        </w:rPr>
        <w:t xml:space="preserve"> </w:t>
      </w:r>
      <w:r w:rsidRPr="00B93EA5">
        <w:rPr>
          <w:szCs w:val="26"/>
        </w:rPr>
        <w:t>IBR performance.</w:t>
      </w:r>
      <w:r>
        <w:rPr>
          <w:b/>
          <w:bCs/>
          <w:szCs w:val="26"/>
          <w:vertAlign w:val="superscript"/>
        </w:rPr>
        <w:footnoteReference w:id="27"/>
      </w:r>
      <w:r w:rsidRPr="00B93EA5">
        <w:rPr>
          <w:szCs w:val="26"/>
        </w:rPr>
        <w:t xml:space="preserve">  The purpose of </w:t>
      </w:r>
      <w:r w:rsidRPr="00B93EA5" w:rsidR="00B027D4">
        <w:rPr>
          <w:szCs w:val="26"/>
        </w:rPr>
        <w:t>p</w:t>
      </w:r>
      <w:r w:rsidRPr="00B93EA5">
        <w:rPr>
          <w:szCs w:val="26"/>
        </w:rPr>
        <w:t>roposed Reliability Standard PRC-030-1 is to “</w:t>
      </w:r>
      <w:r w:rsidR="0057530E">
        <w:rPr>
          <w:szCs w:val="26"/>
        </w:rPr>
        <w:t>[</w:t>
      </w:r>
      <w:r w:rsidRPr="00B93EA5">
        <w:rPr>
          <w:szCs w:val="26"/>
        </w:rPr>
        <w:t>i</w:t>
      </w:r>
      <w:r w:rsidR="0057530E">
        <w:rPr>
          <w:szCs w:val="26"/>
        </w:rPr>
        <w:t>]</w:t>
      </w:r>
      <w:r w:rsidRPr="00B93EA5">
        <w:rPr>
          <w:szCs w:val="26"/>
        </w:rPr>
        <w:t>dentify</w:t>
      </w:r>
      <w:r w:rsidRPr="00B93EA5">
        <w:rPr>
          <w:szCs w:val="26"/>
        </w:rPr>
        <w:t>, analyze, and mitigate unexpected [IBR] change of power output.”</w:t>
      </w:r>
      <w:r>
        <w:rPr>
          <w:rStyle w:val="FootnoteReference"/>
          <w:szCs w:val="26"/>
        </w:rPr>
        <w:footnoteReference w:id="28"/>
      </w:r>
      <w:r w:rsidRPr="00B93EA5">
        <w:rPr>
          <w:szCs w:val="26"/>
        </w:rPr>
        <w:t xml:space="preserve">  The proposed Reliability Standard covers both bulk</w:t>
      </w:r>
      <w:r w:rsidRPr="00B93EA5" w:rsidR="008714EA">
        <w:rPr>
          <w:szCs w:val="26"/>
        </w:rPr>
        <w:t xml:space="preserve"> </w:t>
      </w:r>
      <w:r w:rsidRPr="00B93EA5">
        <w:rPr>
          <w:szCs w:val="26"/>
        </w:rPr>
        <w:t>electric system IBRs and non-bulk</w:t>
      </w:r>
      <w:r w:rsidRPr="00B93EA5" w:rsidR="008714EA">
        <w:rPr>
          <w:szCs w:val="26"/>
        </w:rPr>
        <w:t xml:space="preserve"> </w:t>
      </w:r>
      <w:r w:rsidRPr="00B93EA5">
        <w:rPr>
          <w:szCs w:val="26"/>
        </w:rPr>
        <w:t>electric system IBRs</w:t>
      </w:r>
      <w:r>
        <w:rPr>
          <w:rStyle w:val="FootnoteReference"/>
          <w:szCs w:val="26"/>
        </w:rPr>
        <w:footnoteReference w:id="29"/>
      </w:r>
      <w:r w:rsidRPr="00B93EA5">
        <w:rPr>
          <w:szCs w:val="26"/>
        </w:rPr>
        <w:t xml:space="preserve"> </w:t>
      </w:r>
      <w:r w:rsidRPr="00B93EA5" w:rsidR="00386EB3">
        <w:rPr>
          <w:szCs w:val="26"/>
        </w:rPr>
        <w:t>and</w:t>
      </w:r>
      <w:r w:rsidRPr="00B93EA5">
        <w:rPr>
          <w:szCs w:val="26"/>
        </w:rPr>
        <w:t xml:space="preserve"> is applicable to generator owners that own:  (1) IBRs that meet the bulk electric system definition criteria</w:t>
      </w:r>
      <w:r w:rsidRPr="00B93EA5" w:rsidR="2EEA0493">
        <w:rPr>
          <w:szCs w:val="26"/>
        </w:rPr>
        <w:t>,</w:t>
      </w:r>
      <w:r w:rsidRPr="00B93EA5">
        <w:rPr>
          <w:szCs w:val="26"/>
        </w:rPr>
        <w:t xml:space="preserve"> and (2) non-bulk</w:t>
      </w:r>
      <w:r w:rsidRPr="00B93EA5" w:rsidR="008714EA">
        <w:rPr>
          <w:szCs w:val="26"/>
        </w:rPr>
        <w:t xml:space="preserve"> </w:t>
      </w:r>
      <w:r w:rsidRPr="00B93EA5">
        <w:rPr>
          <w:szCs w:val="26"/>
        </w:rPr>
        <w:t xml:space="preserve">electric system IBRs that NERC will register in accordance with </w:t>
      </w:r>
      <w:r w:rsidRPr="00B93EA5" w:rsidR="0053070F">
        <w:rPr>
          <w:szCs w:val="26"/>
        </w:rPr>
        <w:t>its</w:t>
      </w:r>
      <w:r w:rsidRPr="00B93EA5" w:rsidR="00651FF7">
        <w:rPr>
          <w:szCs w:val="26"/>
        </w:rPr>
        <w:t xml:space="preserve"> </w:t>
      </w:r>
      <w:r w:rsidRPr="00B93EA5">
        <w:rPr>
          <w:szCs w:val="26"/>
        </w:rPr>
        <w:t>Rules of Procedure.</w:t>
      </w:r>
      <w:r>
        <w:rPr>
          <w:rStyle w:val="FootnoteReference"/>
          <w:szCs w:val="26"/>
        </w:rPr>
        <w:footnoteReference w:id="30"/>
      </w:r>
    </w:p>
    <w:p w:rsidR="00BE3970" w:rsidRPr="000C7BA9" w:rsidP="00E7303A" w14:paraId="1DF52CF4" w14:textId="22CA28B7">
      <w:pPr>
        <w:pStyle w:val="FERCparanumber"/>
        <w:ind w:right="-90"/>
        <w:rPr>
          <w:szCs w:val="26"/>
        </w:rPr>
      </w:pPr>
      <w:r w:rsidRPr="00B93EA5">
        <w:rPr>
          <w:szCs w:val="26"/>
        </w:rPr>
        <w:t xml:space="preserve">Proposed Reliability Standard PRC-030-1 </w:t>
      </w:r>
      <w:r w:rsidR="001C05DB">
        <w:rPr>
          <w:szCs w:val="26"/>
        </w:rPr>
        <w:t xml:space="preserve">requires applicable entities to </w:t>
      </w:r>
      <w:r w:rsidRPr="00B93EA5">
        <w:rPr>
          <w:szCs w:val="26"/>
        </w:rPr>
        <w:t xml:space="preserve">implement a documented process for the identification of any “complete facility loss of output or certain changes of </w:t>
      </w:r>
      <w:r w:rsidRPr="00B93EA5" w:rsidR="004D0C4A">
        <w:rPr>
          <w:szCs w:val="26"/>
        </w:rPr>
        <w:t>r</w:t>
      </w:r>
      <w:r w:rsidRPr="00B93EA5">
        <w:rPr>
          <w:szCs w:val="26"/>
        </w:rPr>
        <w:t xml:space="preserve">eal </w:t>
      </w:r>
      <w:r w:rsidRPr="00B93EA5" w:rsidR="004D0C4A">
        <w:rPr>
          <w:szCs w:val="26"/>
        </w:rPr>
        <w:t>p</w:t>
      </w:r>
      <w:r w:rsidRPr="00B93EA5">
        <w:rPr>
          <w:szCs w:val="26"/>
        </w:rPr>
        <w:t>ower output” and contains both thresholds</w:t>
      </w:r>
      <w:r>
        <w:rPr>
          <w:rStyle w:val="FootnoteReference"/>
          <w:szCs w:val="26"/>
        </w:rPr>
        <w:footnoteReference w:id="31"/>
      </w:r>
      <w:r w:rsidRPr="00B93EA5">
        <w:rPr>
          <w:szCs w:val="26"/>
        </w:rPr>
        <w:t xml:space="preserve"> for identification and exclusions from </w:t>
      </w:r>
      <w:r w:rsidRPr="002F2137">
        <w:rPr>
          <w:szCs w:val="26"/>
        </w:rPr>
        <w:t>identification measures.</w:t>
      </w:r>
      <w:r>
        <w:rPr>
          <w:rStyle w:val="FootnoteReference"/>
          <w:szCs w:val="26"/>
        </w:rPr>
        <w:footnoteReference w:id="32"/>
      </w:r>
      <w:r w:rsidRPr="002F2137">
        <w:rPr>
          <w:szCs w:val="26"/>
        </w:rPr>
        <w:t xml:space="preserve">  </w:t>
      </w:r>
      <w:r w:rsidRPr="002F2137" w:rsidR="003348E6">
        <w:rPr>
          <w:szCs w:val="26"/>
        </w:rPr>
        <w:t xml:space="preserve">Further, the </w:t>
      </w:r>
      <w:r w:rsidRPr="002F2137" w:rsidR="003774E9">
        <w:rPr>
          <w:szCs w:val="26"/>
        </w:rPr>
        <w:t>S</w:t>
      </w:r>
      <w:r w:rsidRPr="002F2137" w:rsidR="003348E6">
        <w:rPr>
          <w:szCs w:val="26"/>
        </w:rPr>
        <w:t xml:space="preserve">tandard </w:t>
      </w:r>
      <w:r w:rsidRPr="002F2137">
        <w:rPr>
          <w:szCs w:val="26"/>
        </w:rPr>
        <w:t xml:space="preserve">requires </w:t>
      </w:r>
      <w:r w:rsidRPr="002F2137" w:rsidR="003348E6">
        <w:rPr>
          <w:szCs w:val="26"/>
        </w:rPr>
        <w:t xml:space="preserve">applicable entities </w:t>
      </w:r>
      <w:r w:rsidRPr="002F2137" w:rsidR="00A14834">
        <w:rPr>
          <w:szCs w:val="26"/>
        </w:rPr>
        <w:t xml:space="preserve">in certain circumstances </w:t>
      </w:r>
      <w:r w:rsidRPr="002F2137" w:rsidR="003348E6">
        <w:rPr>
          <w:szCs w:val="26"/>
        </w:rPr>
        <w:t>to conduct</w:t>
      </w:r>
      <w:r w:rsidRPr="002F2137" w:rsidR="00A14834">
        <w:rPr>
          <w:szCs w:val="26"/>
        </w:rPr>
        <w:t xml:space="preserve"> </w:t>
      </w:r>
      <w:r w:rsidRPr="002F2137" w:rsidR="00D07F3E">
        <w:rPr>
          <w:szCs w:val="26"/>
        </w:rPr>
        <w:t>and report</w:t>
      </w:r>
      <w:r w:rsidRPr="002F2137" w:rsidR="008B795B">
        <w:rPr>
          <w:szCs w:val="26"/>
        </w:rPr>
        <w:t>, if requested</w:t>
      </w:r>
      <w:r w:rsidRPr="002F2137" w:rsidR="00541D05">
        <w:rPr>
          <w:szCs w:val="26"/>
        </w:rPr>
        <w:t xml:space="preserve">, </w:t>
      </w:r>
      <w:r w:rsidRPr="002F2137" w:rsidR="00A14834">
        <w:rPr>
          <w:szCs w:val="26"/>
        </w:rPr>
        <w:t xml:space="preserve">an </w:t>
      </w:r>
      <w:r w:rsidRPr="002F2137" w:rsidR="00A71599">
        <w:rPr>
          <w:szCs w:val="26"/>
        </w:rPr>
        <w:t xml:space="preserve">analysis </w:t>
      </w:r>
      <w:r w:rsidRPr="002F2137">
        <w:rPr>
          <w:szCs w:val="26"/>
        </w:rPr>
        <w:t>of a real power change event</w:t>
      </w:r>
      <w:r w:rsidRPr="002F2137" w:rsidR="00670748">
        <w:rPr>
          <w:szCs w:val="26"/>
        </w:rPr>
        <w:t>.</w:t>
      </w:r>
      <w:r>
        <w:rPr>
          <w:rStyle w:val="FootnoteReference"/>
          <w:szCs w:val="26"/>
        </w:rPr>
        <w:footnoteReference w:id="33"/>
      </w:r>
      <w:r w:rsidRPr="002F2137" w:rsidR="003973A8">
        <w:rPr>
          <w:szCs w:val="26"/>
        </w:rPr>
        <w:t xml:space="preserve">  </w:t>
      </w:r>
      <w:r w:rsidRPr="002F2137" w:rsidR="00FB5916">
        <w:rPr>
          <w:szCs w:val="26"/>
        </w:rPr>
        <w:t>W</w:t>
      </w:r>
      <w:r w:rsidRPr="002F2137" w:rsidR="004906A1">
        <w:rPr>
          <w:szCs w:val="26"/>
        </w:rPr>
        <w:t>hen</w:t>
      </w:r>
      <w:r w:rsidRPr="002F2137" w:rsidR="00E72FEE">
        <w:rPr>
          <w:szCs w:val="26"/>
        </w:rPr>
        <w:t xml:space="preserve"> </w:t>
      </w:r>
      <w:r w:rsidRPr="002F2137">
        <w:rPr>
          <w:szCs w:val="26"/>
        </w:rPr>
        <w:t>identified as</w:t>
      </w:r>
      <w:r w:rsidRPr="00B93EA5">
        <w:rPr>
          <w:szCs w:val="26"/>
        </w:rPr>
        <w:t xml:space="preserve"> necessary by the</w:t>
      </w:r>
      <w:r w:rsidR="00F2645E">
        <w:rPr>
          <w:szCs w:val="26"/>
        </w:rPr>
        <w:t xml:space="preserve"> required</w:t>
      </w:r>
      <w:r w:rsidRPr="00B93EA5">
        <w:rPr>
          <w:szCs w:val="26"/>
        </w:rPr>
        <w:t xml:space="preserve"> analysis, a generator owner </w:t>
      </w:r>
      <w:r w:rsidR="00954341">
        <w:rPr>
          <w:szCs w:val="26"/>
        </w:rPr>
        <w:t>must</w:t>
      </w:r>
      <w:r w:rsidRPr="00B93EA5">
        <w:rPr>
          <w:szCs w:val="26"/>
        </w:rPr>
        <w:t xml:space="preserve"> develop </w:t>
      </w:r>
      <w:r w:rsidR="005076DF">
        <w:rPr>
          <w:szCs w:val="26"/>
        </w:rPr>
        <w:t xml:space="preserve">and implement </w:t>
      </w:r>
      <w:r w:rsidRPr="00B93EA5">
        <w:rPr>
          <w:szCs w:val="26"/>
        </w:rPr>
        <w:t xml:space="preserve">a corrective action plan to address performance issues </w:t>
      </w:r>
      <w:r w:rsidRPr="00B93EA5">
        <w:rPr>
          <w:szCs w:val="26"/>
        </w:rPr>
        <w:t xml:space="preserve">or </w:t>
      </w:r>
      <w:r w:rsidR="00954341">
        <w:rPr>
          <w:szCs w:val="26"/>
        </w:rPr>
        <w:t xml:space="preserve">provide </w:t>
      </w:r>
      <w:r w:rsidRPr="00B93EA5">
        <w:rPr>
          <w:szCs w:val="26"/>
        </w:rPr>
        <w:t>a technical justification</w:t>
      </w:r>
      <w:r>
        <w:rPr>
          <w:rStyle w:val="FootnoteReference"/>
          <w:szCs w:val="26"/>
        </w:rPr>
        <w:footnoteReference w:id="34"/>
      </w:r>
      <w:r w:rsidRPr="00B93EA5">
        <w:rPr>
          <w:szCs w:val="26"/>
        </w:rPr>
        <w:t xml:space="preserve"> as to why corrective actions will not be implemented.</w:t>
      </w:r>
      <w:r>
        <w:rPr>
          <w:rStyle w:val="FootnoteReference"/>
          <w:szCs w:val="26"/>
        </w:rPr>
        <w:footnoteReference w:id="35"/>
      </w:r>
      <w:r w:rsidRPr="00B93EA5">
        <w:rPr>
          <w:szCs w:val="26"/>
        </w:rPr>
        <w:t xml:space="preserve">  </w:t>
      </w:r>
      <w:r w:rsidR="00B90D3E">
        <w:rPr>
          <w:szCs w:val="26"/>
        </w:rPr>
        <w:t>Proposed PRC-0</w:t>
      </w:r>
      <w:r w:rsidR="005836E7">
        <w:rPr>
          <w:szCs w:val="26"/>
        </w:rPr>
        <w:t>30-1</w:t>
      </w:r>
      <w:r w:rsidRPr="00B93EA5">
        <w:rPr>
          <w:szCs w:val="26"/>
        </w:rPr>
        <w:t xml:space="preserve"> </w:t>
      </w:r>
      <w:r w:rsidR="00936091">
        <w:rPr>
          <w:szCs w:val="26"/>
        </w:rPr>
        <w:t xml:space="preserve">further </w:t>
      </w:r>
      <w:r w:rsidRPr="00B93EA5">
        <w:rPr>
          <w:szCs w:val="26"/>
        </w:rPr>
        <w:t xml:space="preserve">requires generator owners to </w:t>
      </w:r>
      <w:r w:rsidR="005076DF">
        <w:rPr>
          <w:szCs w:val="26"/>
        </w:rPr>
        <w:t>update</w:t>
      </w:r>
      <w:r w:rsidRPr="00B93EA5">
        <w:rPr>
          <w:szCs w:val="26"/>
        </w:rPr>
        <w:t xml:space="preserve"> corrective action plans if corrective actions or schedules change, and notify associated reliability coordinators of completion of or changes to the corrective action plan.</w:t>
      </w:r>
      <w:r w:rsidR="00077A3F">
        <w:rPr>
          <w:szCs w:val="26"/>
        </w:rPr>
        <w:t xml:space="preserve">  According to </w:t>
      </w:r>
      <w:r w:rsidRPr="00B93EA5" w:rsidR="00077A3F">
        <w:rPr>
          <w:szCs w:val="26"/>
        </w:rPr>
        <w:t>NERC</w:t>
      </w:r>
      <w:r w:rsidR="00077A3F">
        <w:rPr>
          <w:szCs w:val="26"/>
        </w:rPr>
        <w:t>,</w:t>
      </w:r>
      <w:r w:rsidR="00CE2DE0">
        <w:rPr>
          <w:szCs w:val="26"/>
        </w:rPr>
        <w:t xml:space="preserve"> </w:t>
      </w:r>
      <w:r w:rsidRPr="00B93EA5" w:rsidR="00077A3F">
        <w:rPr>
          <w:szCs w:val="26"/>
        </w:rPr>
        <w:t>proposed PRC-030-1 is responsive to the Commission’s directive in Order No. 901 requiring NERC to develop Reliability Standards that require generator owners to communicate actual post-disturbance ramp rates to relevant planning coordinators, transmission planners, reliability coordinators, transmission operators, and balancing authorities.</w:t>
      </w:r>
      <w:r>
        <w:rPr>
          <w:rStyle w:val="FootnoteReference"/>
          <w:szCs w:val="26"/>
        </w:rPr>
        <w:footnoteReference w:id="36"/>
      </w:r>
      <w:r w:rsidRPr="00B93EA5" w:rsidR="00077A3F">
        <w:rPr>
          <w:szCs w:val="26"/>
        </w:rPr>
        <w:t xml:space="preserve">  </w:t>
      </w:r>
    </w:p>
    <w:p w:rsidR="00BE3970" w:rsidRPr="00330165" w14:paraId="2AE48437" w14:textId="60D15330">
      <w:pPr>
        <w:pStyle w:val="FERCparanumber"/>
        <w:numPr>
          <w:ilvl w:val="0"/>
          <w:numId w:val="11"/>
        </w:numPr>
        <w:rPr>
          <w:szCs w:val="26"/>
        </w:rPr>
      </w:pPr>
      <w:r w:rsidRPr="00330165">
        <w:rPr>
          <w:szCs w:val="26"/>
        </w:rPr>
        <w:t xml:space="preserve">NERC’s proposed implementation plan states that proposed Reliability Standard PRC-030-1 will become effective on the later of the first day of the first calendar quarter that is </w:t>
      </w:r>
      <w:r w:rsidRPr="00330165" w:rsidR="00AF1E4D">
        <w:rPr>
          <w:szCs w:val="26"/>
        </w:rPr>
        <w:t xml:space="preserve">12 </w:t>
      </w:r>
      <w:r w:rsidRPr="00330165">
        <w:rPr>
          <w:szCs w:val="26"/>
        </w:rPr>
        <w:t>months after the effective date of the Commission’s order approving (1)Reliability Standard PRC-030-1 or (2) Reliability Standard PRC</w:t>
      </w:r>
      <w:r w:rsidRPr="00330165" w:rsidR="0032757C">
        <w:rPr>
          <w:szCs w:val="26"/>
        </w:rPr>
        <w:noBreakHyphen/>
      </w:r>
      <w:r w:rsidRPr="00330165">
        <w:rPr>
          <w:szCs w:val="26"/>
        </w:rPr>
        <w:t>029</w:t>
      </w:r>
      <w:r w:rsidRPr="00330165" w:rsidR="0032757C">
        <w:rPr>
          <w:szCs w:val="26"/>
        </w:rPr>
        <w:noBreakHyphen/>
      </w:r>
      <w:r w:rsidRPr="00330165">
        <w:rPr>
          <w:szCs w:val="26"/>
        </w:rPr>
        <w:t>1</w:t>
      </w:r>
      <w:r w:rsidRPr="00330165" w:rsidR="005A7BB7">
        <w:rPr>
          <w:szCs w:val="26"/>
        </w:rPr>
        <w:t xml:space="preserve"> (Frequency and Voltage Ride-through Requirements for Inverter-Based Generating Resources)</w:t>
      </w:r>
      <w:r w:rsidRPr="00330165">
        <w:rPr>
          <w:szCs w:val="26"/>
        </w:rPr>
        <w:t>.</w:t>
      </w:r>
      <w:r>
        <w:rPr>
          <w:rStyle w:val="FootnoteReference"/>
          <w:szCs w:val="26"/>
        </w:rPr>
        <w:footnoteReference w:id="37"/>
      </w:r>
      <w:r w:rsidR="00330165">
        <w:rPr>
          <w:szCs w:val="26"/>
        </w:rPr>
        <w:t xml:space="preserve">  </w:t>
      </w:r>
      <w:r w:rsidRPr="00330165">
        <w:rPr>
          <w:szCs w:val="26"/>
        </w:rPr>
        <w:t>NERC’s proposed implementation plan further provides a phased-in compliance approach where bulk</w:t>
      </w:r>
      <w:r w:rsidRPr="00330165" w:rsidR="006656A1">
        <w:rPr>
          <w:szCs w:val="26"/>
        </w:rPr>
        <w:t xml:space="preserve"> </w:t>
      </w:r>
      <w:r w:rsidRPr="00330165">
        <w:rPr>
          <w:szCs w:val="26"/>
        </w:rPr>
        <w:t xml:space="preserve">electric system IBRs must comply with all four requirements of Reliability Standard PRC-030-1 no later than the effective date of the </w:t>
      </w:r>
      <w:r w:rsidRPr="00330165" w:rsidR="008371FB">
        <w:rPr>
          <w:szCs w:val="26"/>
        </w:rPr>
        <w:t>S</w:t>
      </w:r>
      <w:r w:rsidRPr="00330165">
        <w:rPr>
          <w:szCs w:val="26"/>
        </w:rPr>
        <w:t>tandard.  Applicable non-bulk</w:t>
      </w:r>
      <w:r w:rsidRPr="00330165" w:rsidR="0029004A">
        <w:rPr>
          <w:szCs w:val="26"/>
        </w:rPr>
        <w:t xml:space="preserve"> </w:t>
      </w:r>
      <w:r w:rsidRPr="00330165">
        <w:rPr>
          <w:szCs w:val="26"/>
        </w:rPr>
        <w:t xml:space="preserve">electric system IBRs must comply with all four </w:t>
      </w:r>
      <w:r w:rsidR="0057530E">
        <w:rPr>
          <w:szCs w:val="26"/>
        </w:rPr>
        <w:t>r</w:t>
      </w:r>
      <w:r w:rsidRPr="00330165">
        <w:rPr>
          <w:szCs w:val="26"/>
        </w:rPr>
        <w:t>equirements by the later of January 1, 2027, or the effective date of Reliability Standard PRC-030-1.  NERC asserts that this phased</w:t>
      </w:r>
      <w:r w:rsidRPr="00330165" w:rsidR="1DF49281">
        <w:rPr>
          <w:szCs w:val="26"/>
        </w:rPr>
        <w:t>-</w:t>
      </w:r>
      <w:r w:rsidRPr="00330165">
        <w:rPr>
          <w:szCs w:val="26"/>
        </w:rPr>
        <w:t>in implementation approach satisfies the Commission’s directive in Order No. 901</w:t>
      </w:r>
      <w:r w:rsidRPr="00330165" w:rsidR="00D84AC4">
        <w:rPr>
          <w:szCs w:val="26"/>
        </w:rPr>
        <w:t xml:space="preserve"> </w:t>
      </w:r>
      <w:r w:rsidRPr="00330165">
        <w:rPr>
          <w:szCs w:val="26"/>
        </w:rPr>
        <w:t xml:space="preserve">for all directed Reliability Standards to be effective and enforceable </w:t>
      </w:r>
      <w:r w:rsidRPr="00330165" w:rsidR="00801C70">
        <w:rPr>
          <w:szCs w:val="26"/>
        </w:rPr>
        <w:t xml:space="preserve">prior to </w:t>
      </w:r>
      <w:r w:rsidRPr="00330165">
        <w:rPr>
          <w:szCs w:val="26"/>
        </w:rPr>
        <w:t>2030.</w:t>
      </w:r>
      <w:r>
        <w:rPr>
          <w:rStyle w:val="FootnoteReference"/>
          <w:szCs w:val="26"/>
        </w:rPr>
        <w:footnoteReference w:id="38"/>
      </w:r>
    </w:p>
    <w:p w:rsidR="00BE3970" w:rsidRPr="002F2137" w:rsidP="00BE3970" w14:paraId="33C744E7" w14:textId="7744F1A5">
      <w:pPr>
        <w:pStyle w:val="FERCparanumber"/>
      </w:pPr>
      <w:r>
        <w:t xml:space="preserve">Notice of NERC’s </w:t>
      </w:r>
      <w:r w:rsidR="00801C70">
        <w:t>three</w:t>
      </w:r>
      <w:r>
        <w:t xml:space="preserve"> November 4, 2024, petitions were published in the </w:t>
      </w:r>
      <w:r w:rsidRPr="3BD402D7">
        <w:rPr>
          <w:i/>
          <w:iCs/>
        </w:rPr>
        <w:t>Federal Register</w:t>
      </w:r>
      <w:r>
        <w:t xml:space="preserve">, 89 Fed. Reg. 88993 (Nov. 12, 2024), with </w:t>
      </w:r>
      <w:r w:rsidR="2EBDFC07">
        <w:t>interventions and</w:t>
      </w:r>
      <w:r>
        <w:t xml:space="preserve"> protests due on or before December 4, 2024.  </w:t>
      </w:r>
      <w:r w:rsidR="6DC4A7EA">
        <w:t xml:space="preserve">Calpine Corporation, North Carolina Electric Membership </w:t>
      </w:r>
      <w:r w:rsidR="44A43D39">
        <w:t>Corporation</w:t>
      </w:r>
      <w:r w:rsidR="6DC4A7EA">
        <w:t xml:space="preserve">, Solar Energy Industries Association, American Clean Power Association, </w:t>
      </w:r>
      <w:r w:rsidR="6DC4A7EA">
        <w:t>Orsted</w:t>
      </w:r>
      <w:r w:rsidR="6DC4A7EA">
        <w:t xml:space="preserve"> Wind Power North America LLC, </w:t>
      </w:r>
      <w:r w:rsidR="476DE04A">
        <w:t xml:space="preserve">Invenergy Renewables, LLC, </w:t>
      </w:r>
      <w:r w:rsidR="6DC4A7EA">
        <w:t xml:space="preserve">Dominion Energy Virginia, Eversource Energy Service Company, </w:t>
      </w:r>
      <w:r w:rsidR="00520F3B">
        <w:t xml:space="preserve">and </w:t>
      </w:r>
      <w:r w:rsidR="6DC4A7EA">
        <w:t xml:space="preserve">RENEW </w:t>
      </w:r>
      <w:r w:rsidR="6DC4A7EA">
        <w:t>Northeast, Inc</w:t>
      </w:r>
      <w:r w:rsidR="00B75206">
        <w:t xml:space="preserve">. all filed timely motions to intervene in </w:t>
      </w:r>
      <w:r w:rsidR="505526B2">
        <w:t>all or one of the dockets addressed in this order</w:t>
      </w:r>
      <w:r w:rsidR="6FD7E192">
        <w:t>.</w:t>
      </w:r>
      <w:r w:rsidR="2D66BE0D">
        <w:t xml:space="preserve"> </w:t>
      </w:r>
      <w:r w:rsidR="5F72164B">
        <w:t xml:space="preserve"> </w:t>
      </w:r>
      <w:r>
        <w:t xml:space="preserve">Pursuant to Rule 214 of the Commission’s Rules of Practice and Procedure, 18 C.F.R. § 385.214 (2024), the timely, unopposed </w:t>
      </w:r>
      <w:r w:rsidRPr="002F2137">
        <w:t xml:space="preserve">motions to intervene serve to make </w:t>
      </w:r>
      <w:r w:rsidRPr="00B73CF7" w:rsidR="00402ED6">
        <w:t>the entities that filed them parties to the proceedings in which they were filed</w:t>
      </w:r>
      <w:r w:rsidRPr="002F2137">
        <w:t xml:space="preserve">. </w:t>
      </w:r>
      <w:r w:rsidRPr="002F2137" w:rsidR="0097229C">
        <w:t xml:space="preserve"> No comments or protests were submitted</w:t>
      </w:r>
      <w:r w:rsidRPr="002F2137" w:rsidR="00B756A2">
        <w:t xml:space="preserve"> in any of the three dockets</w:t>
      </w:r>
      <w:r w:rsidRPr="002F2137" w:rsidR="0097229C">
        <w:t>.</w:t>
      </w:r>
    </w:p>
    <w:p w:rsidR="00BE3970" w:rsidRPr="00B93EA5" w:rsidP="00E7303A" w14:paraId="012648CB" w14:textId="4A1E64FC">
      <w:pPr>
        <w:pStyle w:val="FERCparanumber"/>
        <w:ind w:right="-90"/>
        <w:rPr>
          <w:szCs w:val="26"/>
        </w:rPr>
      </w:pPr>
      <w:r w:rsidRPr="00B93EA5">
        <w:rPr>
          <w:szCs w:val="26"/>
        </w:rPr>
        <w:t>Pursuant to section 215(d)(2) of the FPA, we approve the proposed IBR definition for inclusion in the NERC Glossary</w:t>
      </w:r>
      <w:r w:rsidRPr="00B93EA5" w:rsidR="15373F4A">
        <w:rPr>
          <w:szCs w:val="26"/>
        </w:rPr>
        <w:t>,</w:t>
      </w:r>
      <w:r w:rsidRPr="00B93EA5">
        <w:rPr>
          <w:szCs w:val="26"/>
        </w:rPr>
        <w:t xml:space="preserve"> as well as proposed Reliability Standards PRC</w:t>
      </w:r>
      <w:r w:rsidRPr="00B93EA5" w:rsidR="16031669">
        <w:rPr>
          <w:szCs w:val="26"/>
        </w:rPr>
        <w:t>-</w:t>
      </w:r>
      <w:r w:rsidRPr="00B93EA5">
        <w:rPr>
          <w:szCs w:val="26"/>
        </w:rPr>
        <w:t>028</w:t>
      </w:r>
      <w:r w:rsidRPr="00B93EA5" w:rsidR="165EB841">
        <w:rPr>
          <w:szCs w:val="26"/>
        </w:rPr>
        <w:t>-</w:t>
      </w:r>
      <w:r w:rsidRPr="00B93EA5">
        <w:rPr>
          <w:szCs w:val="26"/>
        </w:rPr>
        <w:t>1, PRC-002-5, and PRC-030-1</w:t>
      </w:r>
      <w:r w:rsidRPr="00B93EA5" w:rsidR="403A7D66">
        <w:rPr>
          <w:szCs w:val="26"/>
        </w:rPr>
        <w:t>,</w:t>
      </w:r>
      <w:r w:rsidRPr="00B93EA5">
        <w:rPr>
          <w:szCs w:val="26"/>
        </w:rPr>
        <w:t xml:space="preserve"> as just</w:t>
      </w:r>
      <w:r w:rsidRPr="00B93EA5" w:rsidR="7D137B25">
        <w:rPr>
          <w:szCs w:val="26"/>
        </w:rPr>
        <w:t xml:space="preserve"> and</w:t>
      </w:r>
      <w:r w:rsidRPr="00B93EA5">
        <w:rPr>
          <w:szCs w:val="26"/>
        </w:rPr>
        <w:t xml:space="preserve"> reasonable</w:t>
      </w:r>
      <w:r w:rsidRPr="00B93EA5" w:rsidR="7E13C341">
        <w:rPr>
          <w:szCs w:val="26"/>
        </w:rPr>
        <w:t xml:space="preserve"> and</w:t>
      </w:r>
      <w:r w:rsidRPr="00B93EA5">
        <w:rPr>
          <w:szCs w:val="26"/>
        </w:rPr>
        <w:t xml:space="preserve"> not unduly discriminatory or preferential and in the public interest.</w:t>
      </w:r>
      <w:r>
        <w:rPr>
          <w:rStyle w:val="FootnoteReference"/>
          <w:szCs w:val="26"/>
        </w:rPr>
        <w:footnoteReference w:id="39"/>
      </w:r>
      <w:r w:rsidRPr="00B93EA5">
        <w:rPr>
          <w:szCs w:val="26"/>
        </w:rPr>
        <w:t xml:space="preserve">  We also approve the proposed Reliability Standards’ associated violation risk factors and violation severity levels</w:t>
      </w:r>
      <w:r w:rsidR="008C4E6A">
        <w:rPr>
          <w:szCs w:val="26"/>
        </w:rPr>
        <w:t>,</w:t>
      </w:r>
      <w:r w:rsidRPr="00B93EA5">
        <w:rPr>
          <w:szCs w:val="26"/>
        </w:rPr>
        <w:t xml:space="preserve"> </w:t>
      </w:r>
      <w:r w:rsidR="008C4E6A">
        <w:rPr>
          <w:szCs w:val="26"/>
        </w:rPr>
        <w:t>as well as</w:t>
      </w:r>
      <w:r w:rsidRPr="00B93EA5" w:rsidR="008C4E6A">
        <w:rPr>
          <w:szCs w:val="26"/>
        </w:rPr>
        <w:t xml:space="preserve"> </w:t>
      </w:r>
      <w:r w:rsidRPr="00B93EA5">
        <w:rPr>
          <w:szCs w:val="26"/>
        </w:rPr>
        <w:t>the proposed implementation plans.  Finally, we approve the retirement of Reliability Standard PRC</w:t>
      </w:r>
      <w:r w:rsidRPr="00B93EA5" w:rsidR="00453399">
        <w:rPr>
          <w:szCs w:val="26"/>
        </w:rPr>
        <w:noBreakHyphen/>
      </w:r>
      <w:r w:rsidRPr="00B93EA5">
        <w:rPr>
          <w:szCs w:val="26"/>
        </w:rPr>
        <w:t>002-4 immediately prior to the effective date of proposed Reliability Standard PRC</w:t>
      </w:r>
      <w:r w:rsidRPr="00B93EA5" w:rsidR="00453399">
        <w:rPr>
          <w:szCs w:val="26"/>
        </w:rPr>
        <w:noBreakHyphen/>
      </w:r>
      <w:r w:rsidRPr="00B93EA5">
        <w:rPr>
          <w:szCs w:val="26"/>
        </w:rPr>
        <w:t>002</w:t>
      </w:r>
      <w:r w:rsidRPr="00B93EA5" w:rsidR="1F7265F0">
        <w:rPr>
          <w:szCs w:val="26"/>
        </w:rPr>
        <w:noBreakHyphen/>
      </w:r>
      <w:r w:rsidRPr="00B93EA5">
        <w:rPr>
          <w:szCs w:val="26"/>
        </w:rPr>
        <w:t>5.</w:t>
      </w:r>
    </w:p>
    <w:p w:rsidR="00BE3970" w:rsidRPr="00B93EA5" w:rsidP="00F33E60" w14:paraId="31EC098D" w14:textId="508A102F">
      <w:pPr>
        <w:pStyle w:val="FERCparanumber"/>
        <w:ind w:right="-270"/>
        <w:rPr>
          <w:szCs w:val="26"/>
        </w:rPr>
      </w:pPr>
      <w:r w:rsidRPr="00B93EA5">
        <w:rPr>
          <w:szCs w:val="26"/>
        </w:rPr>
        <w:t xml:space="preserve">We determine that the proposed IBR definition </w:t>
      </w:r>
      <w:r w:rsidRPr="00B93EA5" w:rsidR="00D16EFF">
        <w:rPr>
          <w:szCs w:val="26"/>
        </w:rPr>
        <w:t>and</w:t>
      </w:r>
      <w:r w:rsidRPr="00B93EA5">
        <w:rPr>
          <w:szCs w:val="26"/>
        </w:rPr>
        <w:t xml:space="preserve"> proposed Reliability Standards PRC-028-1, PRC-002-5, and PRC-030-1 </w:t>
      </w:r>
      <w:r w:rsidRPr="00B93EA5" w:rsidR="00441E94">
        <w:rPr>
          <w:szCs w:val="26"/>
        </w:rPr>
        <w:t xml:space="preserve">satisfy </w:t>
      </w:r>
      <w:r w:rsidRPr="00B93EA5" w:rsidR="00F81198">
        <w:rPr>
          <w:szCs w:val="26"/>
        </w:rPr>
        <w:t>many of</w:t>
      </w:r>
      <w:r w:rsidRPr="00B93EA5" w:rsidR="00441E94">
        <w:rPr>
          <w:szCs w:val="26"/>
        </w:rPr>
        <w:t xml:space="preserve"> </w:t>
      </w:r>
      <w:r w:rsidRPr="00B93EA5">
        <w:rPr>
          <w:szCs w:val="26"/>
        </w:rPr>
        <w:t xml:space="preserve">the </w:t>
      </w:r>
      <w:r w:rsidRPr="00B93EA5" w:rsidR="0082773D">
        <w:rPr>
          <w:szCs w:val="26"/>
        </w:rPr>
        <w:t>C</w:t>
      </w:r>
      <w:r w:rsidRPr="00B93EA5">
        <w:rPr>
          <w:szCs w:val="26"/>
        </w:rPr>
        <w:t xml:space="preserve">ommission’s </w:t>
      </w:r>
      <w:r w:rsidRPr="00B93EA5" w:rsidR="0082773D">
        <w:rPr>
          <w:szCs w:val="26"/>
        </w:rPr>
        <w:t>relevant</w:t>
      </w:r>
      <w:r w:rsidRPr="00B93EA5">
        <w:rPr>
          <w:szCs w:val="26"/>
        </w:rPr>
        <w:t xml:space="preserve"> directives from Order No. 901</w:t>
      </w:r>
      <w:r w:rsidRPr="00B93EA5" w:rsidR="00441E94">
        <w:rPr>
          <w:szCs w:val="26"/>
        </w:rPr>
        <w:t xml:space="preserve"> t</w:t>
      </w:r>
      <w:r w:rsidRPr="00B93EA5" w:rsidR="00337427">
        <w:rPr>
          <w:szCs w:val="26"/>
        </w:rPr>
        <w:t>o</w:t>
      </w:r>
      <w:r w:rsidRPr="00B93EA5" w:rsidR="00ED09A2">
        <w:rPr>
          <w:szCs w:val="26"/>
        </w:rPr>
        <w:t xml:space="preserve"> establish </w:t>
      </w:r>
      <w:r w:rsidRPr="00B93EA5" w:rsidR="00F773AF">
        <w:rPr>
          <w:szCs w:val="26"/>
        </w:rPr>
        <w:t>performance</w:t>
      </w:r>
      <w:r w:rsidRPr="00B93EA5" w:rsidR="00ED09A2">
        <w:rPr>
          <w:szCs w:val="26"/>
        </w:rPr>
        <w:t xml:space="preserve"> requirements</w:t>
      </w:r>
      <w:r w:rsidRPr="00B93EA5" w:rsidR="00A70A7E">
        <w:rPr>
          <w:szCs w:val="26"/>
        </w:rPr>
        <w:t xml:space="preserve"> and requirements</w:t>
      </w:r>
      <w:r w:rsidRPr="00B93EA5" w:rsidR="00ED09A2">
        <w:rPr>
          <w:szCs w:val="26"/>
        </w:rPr>
        <w:t xml:space="preserve"> for </w:t>
      </w:r>
      <w:r w:rsidRPr="00B93EA5" w:rsidR="00A70A7E">
        <w:rPr>
          <w:szCs w:val="26"/>
        </w:rPr>
        <w:t>sharing</w:t>
      </w:r>
      <w:r w:rsidRPr="00B93EA5" w:rsidR="00ED09A2">
        <w:rPr>
          <w:szCs w:val="26"/>
        </w:rPr>
        <w:t xml:space="preserve"> disturbance monitoring data and post-</w:t>
      </w:r>
      <w:r w:rsidRPr="00B93EA5" w:rsidR="00563F7A">
        <w:rPr>
          <w:szCs w:val="26"/>
        </w:rPr>
        <w:t>disturbance ramp rates</w:t>
      </w:r>
      <w:r w:rsidRPr="00B93EA5" w:rsidR="00ED09A2">
        <w:rPr>
          <w:szCs w:val="26"/>
        </w:rPr>
        <w:t xml:space="preserve"> for registered IBRs</w:t>
      </w:r>
      <w:r w:rsidRPr="00B93EA5" w:rsidR="005B0F21">
        <w:rPr>
          <w:szCs w:val="26"/>
        </w:rPr>
        <w:t>.</w:t>
      </w:r>
      <w:r>
        <w:rPr>
          <w:rStyle w:val="FootnoteReference"/>
          <w:szCs w:val="26"/>
        </w:rPr>
        <w:footnoteReference w:id="40"/>
      </w:r>
      <w:r w:rsidRPr="00B93EA5">
        <w:rPr>
          <w:szCs w:val="26"/>
        </w:rPr>
        <w:t xml:space="preserve">  Given the increase in the amount of IBRs connecting </w:t>
      </w:r>
      <w:r w:rsidRPr="00B93EA5" w:rsidR="00AF7AB8">
        <w:rPr>
          <w:szCs w:val="26"/>
        </w:rPr>
        <w:t xml:space="preserve">to </w:t>
      </w:r>
      <w:r w:rsidRPr="00B93EA5">
        <w:rPr>
          <w:szCs w:val="26"/>
        </w:rPr>
        <w:t>the Bulk-Power System</w:t>
      </w:r>
      <w:r w:rsidRPr="00B93EA5" w:rsidR="59DFBABB">
        <w:rPr>
          <w:szCs w:val="26"/>
        </w:rPr>
        <w:t>,</w:t>
      </w:r>
      <w:r w:rsidRPr="00B93EA5">
        <w:rPr>
          <w:szCs w:val="26"/>
        </w:rPr>
        <w:t xml:space="preserve"> as well as the importance of the new IBR definition and Reliability Standards PRC-028-1 and PRC</w:t>
      </w:r>
      <w:r w:rsidRPr="00B93EA5">
        <w:rPr>
          <w:szCs w:val="26"/>
        </w:rPr>
        <w:noBreakHyphen/>
        <w:t xml:space="preserve">030-1 to maintaining the reliable operation of the Bulk-Power System, we strongly encourage entities that are capable of complying earlier than the mandatory and enforceable date to do so.  </w:t>
      </w:r>
    </w:p>
    <w:p w:rsidR="00B93EA5" w:rsidRPr="00B93EA5" w:rsidP="00B93EA5" w14:paraId="1FEA7EB7" w14:textId="4D852FFC">
      <w:pPr>
        <w:keepNext/>
        <w:keepLines/>
        <w:autoSpaceDE w:val="0"/>
        <w:autoSpaceDN w:val="0"/>
        <w:adjustRightInd w:val="0"/>
        <w:spacing w:after="240"/>
        <w:outlineLvl w:val="0"/>
      </w:pPr>
      <w:r w:rsidRPr="00B93EA5">
        <w:rPr>
          <w:rFonts w:eastAsia="Times New Roman"/>
          <w:b/>
          <w:bCs/>
          <w:kern w:val="32"/>
          <w:szCs w:val="26"/>
          <w:u w:val="single"/>
        </w:rPr>
        <w:t>Information Collection Statement</w:t>
      </w:r>
    </w:p>
    <w:p w:rsidR="00B93EA5" w:rsidRPr="00B93EA5" w:rsidP="00E7303A" w14:paraId="020BED61" w14:textId="3C559651">
      <w:pPr>
        <w:pStyle w:val="FERCparanumber"/>
        <w:widowControl w:val="0"/>
        <w:ind w:right="-540"/>
        <w:textAlignment w:val="baseline"/>
        <w:rPr>
          <w:rFonts w:eastAsia="Times New Roman"/>
          <w:szCs w:val="26"/>
        </w:rPr>
      </w:pPr>
      <w:r w:rsidRPr="00B93EA5">
        <w:rPr>
          <w:rFonts w:eastAsia="Times New Roman"/>
          <w:szCs w:val="26"/>
        </w:rPr>
        <w:t xml:space="preserve">The FERC-725G information collection requirements are subject to review by the Office of Management and Budget (OMB) under section 3507(d) of the Paperwork </w:t>
      </w:r>
      <w:r w:rsidR="00E7303A">
        <w:rPr>
          <w:rFonts w:eastAsia="Times New Roman"/>
          <w:szCs w:val="26"/>
        </w:rPr>
        <w:t xml:space="preserve">  </w:t>
      </w:r>
      <w:r w:rsidRPr="00B93EA5">
        <w:rPr>
          <w:rFonts w:eastAsia="Times New Roman"/>
          <w:szCs w:val="26"/>
        </w:rPr>
        <w:t>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w:t>
      </w:r>
      <w:r w:rsidR="00E7303A">
        <w:rPr>
          <w:rFonts w:eastAsia="Times New Roman"/>
          <w:szCs w:val="26"/>
        </w:rPr>
        <w:t xml:space="preserve">  </w:t>
      </w:r>
      <w:r w:rsidRPr="00B93EA5">
        <w:rPr>
          <w:rFonts w:eastAsia="Times New Roman"/>
          <w:szCs w:val="26"/>
        </w:rPr>
        <w:t xml:space="preserve">The Commission solicits comments on the need for this information, whether the information will have </w:t>
      </w:r>
      <w:r w:rsidR="00E7303A">
        <w:rPr>
          <w:rFonts w:eastAsia="Times New Roman"/>
          <w:szCs w:val="26"/>
        </w:rPr>
        <w:t xml:space="preserve"> </w:t>
      </w:r>
      <w:r w:rsidRPr="00B93EA5">
        <w:rPr>
          <w:rFonts w:eastAsia="Times New Roman"/>
          <w:szCs w:val="26"/>
        </w:rPr>
        <w:t xml:space="preserve">practical utility, the accuracy of the burden estimates, ways to enhance the quality, utility, </w:t>
      </w:r>
      <w:r w:rsidR="00E7303A">
        <w:rPr>
          <w:rFonts w:eastAsia="Times New Roman"/>
          <w:szCs w:val="26"/>
        </w:rPr>
        <w:t xml:space="preserve">  </w:t>
      </w:r>
      <w:r w:rsidRPr="00B93EA5">
        <w:rPr>
          <w:rFonts w:eastAsia="Times New Roman"/>
          <w:szCs w:val="26"/>
        </w:rPr>
        <w:t>and clarity of the information to be collected or retained, and any suggested methods for minimizing respondents’ burden, including the use of automated information techniques.  </w:t>
      </w:r>
    </w:p>
    <w:p w:rsidR="00B93EA5" w:rsidRPr="000A16BF" w:rsidP="00F33E60" w14:paraId="1E9E4CE0" w14:textId="561D8404">
      <w:pPr>
        <w:pStyle w:val="FERCparanumber"/>
        <w:ind w:right="-90"/>
        <w:textAlignment w:val="baseline"/>
        <w:rPr>
          <w:rFonts w:eastAsia="Times New Roman"/>
        </w:rPr>
      </w:pPr>
      <w:r w:rsidRPr="767D6DC5">
        <w:rPr>
          <w:rFonts w:eastAsia="Times New Roman"/>
        </w:rPr>
        <w:t xml:space="preserve">The Commission bases its paperwork burden estimates on the additional paperwork burden presented by the proposed revisions </w:t>
      </w:r>
      <w:r w:rsidRPr="767D6DC5" w:rsidR="00FC16EB">
        <w:rPr>
          <w:rFonts w:eastAsia="Times New Roman"/>
        </w:rPr>
        <w:t xml:space="preserve">to </w:t>
      </w:r>
      <w:r w:rsidRPr="767D6DC5">
        <w:rPr>
          <w:rFonts w:eastAsia="Times New Roman"/>
        </w:rPr>
        <w:t>Reliability Standard PRC-002-5 and new Reliability Standard</w:t>
      </w:r>
      <w:r w:rsidRPr="767D6DC5" w:rsidR="00FC16EB">
        <w:rPr>
          <w:rFonts w:eastAsia="Times New Roman"/>
        </w:rPr>
        <w:t>s</w:t>
      </w:r>
      <w:r w:rsidRPr="767D6DC5">
        <w:rPr>
          <w:rFonts w:eastAsia="Times New Roman"/>
        </w:rPr>
        <w:t xml:space="preserve"> PRC-028-1 and PRC-030-1.  The new glossary term Inverter-Based Resource (IBR) is not expected to generate any new burden as it is </w:t>
      </w:r>
      <w:r w:rsidRPr="767D6DC5" w:rsidR="00FC16EB">
        <w:rPr>
          <w:rFonts w:eastAsia="Times New Roman"/>
        </w:rPr>
        <w:t xml:space="preserve">a </w:t>
      </w:r>
      <w:r w:rsidRPr="767D6DC5">
        <w:rPr>
          <w:rFonts w:eastAsia="Times New Roman"/>
        </w:rPr>
        <w:t>definition used within the body of Reliability Standards.  Reliability Standards are objective-based and allow entities to choose compliance approaches best tailored to</w:t>
      </w:r>
      <w:r w:rsidR="00E7303A">
        <w:rPr>
          <w:rFonts w:eastAsia="Times New Roman"/>
        </w:rPr>
        <w:t xml:space="preserve"> </w:t>
      </w:r>
      <w:r w:rsidRPr="767D6DC5">
        <w:rPr>
          <w:rFonts w:eastAsia="Times New Roman"/>
        </w:rPr>
        <w:t>their systems.</w:t>
      </w:r>
      <w:r w:rsidRPr="767D6DC5" w:rsidR="00E333DA">
        <w:rPr>
          <w:rFonts w:eastAsia="Times New Roman"/>
        </w:rPr>
        <w:t xml:space="preserve"> </w:t>
      </w:r>
      <w:r w:rsidRPr="767D6DC5">
        <w:rPr>
          <w:rFonts w:eastAsia="Times New Roman"/>
        </w:rPr>
        <w:t xml:space="preserve"> </w:t>
      </w:r>
      <w:r w:rsidRPr="767D6DC5" w:rsidR="0072552E">
        <w:rPr>
          <w:rFonts w:eastAsia="Times New Roman"/>
        </w:rPr>
        <w:t>As of November 20, 2024, t</w:t>
      </w:r>
      <w:r w:rsidRPr="767D6DC5">
        <w:rPr>
          <w:rFonts w:eastAsia="Times New Roman"/>
        </w:rPr>
        <w:t>he NERC Compliance Registry</w:t>
      </w:r>
      <w:r w:rsidRPr="767D6DC5" w:rsidR="00931DD4">
        <w:rPr>
          <w:rFonts w:eastAsia="Times New Roman"/>
        </w:rPr>
        <w:t xml:space="preserve"> </w:t>
      </w:r>
      <w:r w:rsidRPr="767D6DC5">
        <w:rPr>
          <w:rFonts w:eastAsia="Times New Roman"/>
        </w:rPr>
        <w:t>identifie</w:t>
      </w:r>
      <w:r w:rsidRPr="767D6DC5" w:rsidR="00931DD4">
        <w:rPr>
          <w:rFonts w:eastAsia="Times New Roman"/>
        </w:rPr>
        <w:t>d</w:t>
      </w:r>
      <w:r w:rsidRPr="767D6DC5">
        <w:rPr>
          <w:rFonts w:eastAsia="Times New Roman"/>
        </w:rPr>
        <w:t xml:space="preserve"> 12 reliability coordinators, 325 transmission owners</w:t>
      </w:r>
      <w:r w:rsidRPr="767D6DC5" w:rsidR="005B46AD">
        <w:rPr>
          <w:rFonts w:eastAsia="Times New Roman"/>
        </w:rPr>
        <w:t>,</w:t>
      </w:r>
      <w:r w:rsidRPr="767D6DC5">
        <w:rPr>
          <w:rFonts w:eastAsia="Times New Roman"/>
        </w:rPr>
        <w:t xml:space="preserve"> and 1,238 generator owners </w:t>
      </w:r>
      <w:r w:rsidRPr="767D6DC5" w:rsidR="00931DD4">
        <w:rPr>
          <w:rFonts w:eastAsia="Times New Roman"/>
        </w:rPr>
        <w:t>as unique U.S. entities that are subject to mandatory compliance with Reliability Standard PRC-002-5</w:t>
      </w:r>
      <w:r w:rsidRPr="767D6DC5" w:rsidR="5B89BF5F">
        <w:rPr>
          <w:rFonts w:eastAsia="Times New Roman"/>
        </w:rPr>
        <w:t>.</w:t>
      </w:r>
      <w:r w:rsidRPr="767D6DC5" w:rsidR="1103EAE6">
        <w:rPr>
          <w:rFonts w:eastAsia="Times New Roman"/>
        </w:rPr>
        <w:t xml:space="preserve"> </w:t>
      </w:r>
      <w:r w:rsidRPr="767D6DC5" w:rsidR="67320793">
        <w:rPr>
          <w:rFonts w:eastAsia="Times New Roman"/>
        </w:rPr>
        <w:t xml:space="preserve"> </w:t>
      </w:r>
      <w:r w:rsidRPr="7BAB854F" w:rsidR="67320793">
        <w:rPr>
          <w:rFonts w:eastAsia="Times New Roman"/>
        </w:rPr>
        <w:t>A</w:t>
      </w:r>
      <w:r w:rsidRPr="7BAB854F" w:rsidR="1103EAE6">
        <w:rPr>
          <w:rFonts w:eastAsia="Times New Roman"/>
        </w:rPr>
        <w:t>dditionally</w:t>
      </w:r>
      <w:r w:rsidRPr="767D6DC5" w:rsidR="00931DD4">
        <w:rPr>
          <w:rFonts w:eastAsia="Times New Roman"/>
        </w:rPr>
        <w:t xml:space="preserve">, these entities </w:t>
      </w:r>
      <w:r w:rsidRPr="767D6DC5">
        <w:rPr>
          <w:rFonts w:eastAsia="Times New Roman"/>
        </w:rPr>
        <w:t>will have additional burden</w:t>
      </w:r>
      <w:r w:rsidRPr="767D6DC5" w:rsidR="00931DD4">
        <w:rPr>
          <w:rFonts w:eastAsia="Times New Roman"/>
        </w:rPr>
        <w:t>s</w:t>
      </w:r>
      <w:r w:rsidRPr="767D6DC5">
        <w:rPr>
          <w:rFonts w:eastAsia="Times New Roman"/>
        </w:rPr>
        <w:t xml:space="preserve"> </w:t>
      </w:r>
      <w:r w:rsidRPr="767D6DC5" w:rsidR="004D1C42">
        <w:rPr>
          <w:rFonts w:eastAsia="Times New Roman"/>
        </w:rPr>
        <w:t xml:space="preserve">given that the </w:t>
      </w:r>
      <w:r w:rsidRPr="767D6DC5">
        <w:rPr>
          <w:rFonts w:eastAsia="Times New Roman"/>
        </w:rPr>
        <w:t xml:space="preserve">revisions to </w:t>
      </w:r>
      <w:r w:rsidRPr="767D6DC5" w:rsidR="004D1C42">
        <w:rPr>
          <w:rFonts w:eastAsia="Times New Roman"/>
        </w:rPr>
        <w:t xml:space="preserve">Reliability Standard </w:t>
      </w:r>
      <w:r w:rsidRPr="767D6DC5">
        <w:rPr>
          <w:rFonts w:eastAsia="Times New Roman"/>
        </w:rPr>
        <w:t>PRC-002-5 will focus on synchronous generation and updates to SER, FR</w:t>
      </w:r>
      <w:r w:rsidRPr="767D6DC5" w:rsidR="004D1C42">
        <w:rPr>
          <w:rFonts w:eastAsia="Times New Roman"/>
        </w:rPr>
        <w:t>,</w:t>
      </w:r>
      <w:r w:rsidRPr="767D6DC5">
        <w:rPr>
          <w:rFonts w:eastAsia="Times New Roman"/>
        </w:rPr>
        <w:t xml:space="preserve"> and DDR data being supplied to the reliability coordinator, regional entity</w:t>
      </w:r>
      <w:r w:rsidRPr="767D6DC5" w:rsidR="000A16BF">
        <w:rPr>
          <w:rFonts w:eastAsia="Times New Roman"/>
        </w:rPr>
        <w:t>,</w:t>
      </w:r>
      <w:r w:rsidRPr="767D6DC5">
        <w:rPr>
          <w:rFonts w:eastAsia="Times New Roman"/>
        </w:rPr>
        <w:t xml:space="preserve"> or NERC.</w:t>
      </w:r>
      <w:r w:rsidRPr="767D6DC5" w:rsidR="001E14B8">
        <w:rPr>
          <w:rFonts w:eastAsia="Times New Roman"/>
        </w:rPr>
        <w:t xml:space="preserve"> </w:t>
      </w:r>
      <w:r w:rsidRPr="767D6DC5">
        <w:rPr>
          <w:rFonts w:eastAsia="Times New Roman"/>
        </w:rPr>
        <w:t xml:space="preserve"> Burden estimates for the unique U.S. entities for new PRC-028-1 </w:t>
      </w:r>
      <w:r w:rsidR="00E7303A">
        <w:rPr>
          <w:rFonts w:eastAsia="Times New Roman"/>
        </w:rPr>
        <w:t xml:space="preserve"> </w:t>
      </w:r>
      <w:r w:rsidRPr="767D6DC5">
        <w:rPr>
          <w:rFonts w:eastAsia="Times New Roman"/>
        </w:rPr>
        <w:t>and PRC-030-1 are taken from numbers supplied by NERC, with 591 registered generator owners that own bulk electric system solar and wind facilities and a median 755 generator owners that own non</w:t>
      </w:r>
      <w:r w:rsidRPr="767D6DC5" w:rsidR="000A16BF">
        <w:rPr>
          <w:rFonts w:eastAsia="Times New Roman"/>
        </w:rPr>
        <w:t xml:space="preserve"> bulk electric system</w:t>
      </w:r>
      <w:r w:rsidRPr="767D6DC5">
        <w:rPr>
          <w:rFonts w:eastAsia="Times New Roman"/>
        </w:rPr>
        <w:t xml:space="preserve"> facilities. </w:t>
      </w:r>
      <w:r w:rsidRPr="767D6DC5" w:rsidR="005B46AD">
        <w:rPr>
          <w:rFonts w:eastAsia="Times New Roman"/>
        </w:rPr>
        <w:t xml:space="preserve"> </w:t>
      </w:r>
      <w:r w:rsidRPr="767D6DC5">
        <w:rPr>
          <w:rFonts w:eastAsia="Times New Roman"/>
        </w:rPr>
        <w:t>Based on these assumptions, we estimate the following reporting burden:</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1867"/>
        <w:gridCol w:w="1427"/>
        <w:gridCol w:w="1434"/>
        <w:gridCol w:w="1428"/>
        <w:gridCol w:w="1776"/>
      </w:tblGrid>
      <w:tr w14:paraId="77823C76" w14:textId="77777777" w:rsidTr="00880E23">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B93EA5" w:rsidRPr="000A16BF" w:rsidP="00B93EA5" w14:paraId="39F7EE6A" w14:textId="78E19083">
            <w:pPr>
              <w:divId w:val="45763425"/>
              <w:widowControl/>
              <w:jc w:val="center"/>
              <w:textAlignment w:val="baseline"/>
              <w:rPr>
                <w:rFonts w:eastAsia="Times New Roman"/>
                <w:szCs w:val="26"/>
              </w:rPr>
            </w:pPr>
            <w:r w:rsidRPr="000A16BF">
              <w:rPr>
                <w:rFonts w:eastAsia="Times New Roman"/>
                <w:b/>
                <w:bCs/>
                <w:szCs w:val="26"/>
              </w:rPr>
              <w:t>Proposed Changes in Burden PRC-002-5 Docket No. RD25-2</w:t>
            </w:r>
          </w:p>
        </w:tc>
      </w:tr>
      <w:tr w14:paraId="3F1D41F8" w14:textId="77777777" w:rsidTr="00E44BC9">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5A56608B" w14:textId="0071DDA4">
            <w:pPr>
              <w:widowControl/>
              <w:textAlignment w:val="baseline"/>
              <w:rPr>
                <w:rFonts w:eastAsia="Times New Roman"/>
                <w:szCs w:val="26"/>
              </w:rPr>
            </w:pPr>
            <w:r w:rsidRPr="0005510A">
              <w:rPr>
                <w:rFonts w:eastAsia="Times New Roman"/>
                <w:b/>
                <w:bCs/>
                <w:szCs w:val="26"/>
              </w:rPr>
              <w:t>Reliability Standard</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672857" w:rsidRPr="0005510A" w:rsidP="00B93EA5" w14:paraId="287ED631" w14:textId="2B508D5C">
            <w:pPr>
              <w:widowControl/>
              <w:textAlignment w:val="baseline"/>
              <w:rPr>
                <w:rFonts w:eastAsia="Times New Roman"/>
                <w:szCs w:val="26"/>
              </w:rPr>
            </w:pPr>
            <w:r w:rsidRPr="0005510A">
              <w:rPr>
                <w:rFonts w:eastAsia="Times New Roman"/>
                <w:b/>
                <w:bCs/>
                <w:szCs w:val="26"/>
              </w:rPr>
              <w:t>Type and Number of Entity</w:t>
            </w:r>
            <w:r>
              <w:rPr>
                <w:rStyle w:val="FootnoteReference"/>
                <w:rFonts w:eastAsia="Times New Roman"/>
                <w:szCs w:val="26"/>
              </w:rPr>
              <w:footnoteReference w:id="41"/>
            </w:r>
            <w:r w:rsidRPr="0005510A">
              <w:rPr>
                <w:rFonts w:eastAsia="Times New Roman"/>
                <w:szCs w:val="26"/>
              </w:rPr>
              <w:t> </w:t>
            </w:r>
          </w:p>
          <w:p w:rsidR="00B93EA5" w:rsidRPr="0005510A" w:rsidP="0022247D" w14:paraId="3EC2A111" w14:textId="4C4BBF6A">
            <w:pPr>
              <w:widowControl/>
              <w:jc w:val="center"/>
              <w:textAlignment w:val="baseline"/>
              <w:rPr>
                <w:rFonts w:eastAsia="Times New Roman"/>
                <w:szCs w:val="26"/>
              </w:rPr>
            </w:pPr>
            <w:r w:rsidRPr="0005510A">
              <w:rPr>
                <w:rFonts w:eastAsia="Times New Roman"/>
                <w:b/>
                <w:szCs w:val="26"/>
              </w:rPr>
              <w:t>(1)</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672857" w:rsidRPr="0005510A" w:rsidP="00B93EA5" w14:paraId="64B71694" w14:textId="10FB254F">
            <w:pPr>
              <w:widowControl/>
              <w:textAlignment w:val="baseline"/>
              <w:rPr>
                <w:rFonts w:eastAsia="Times New Roman"/>
                <w:szCs w:val="26"/>
              </w:rPr>
            </w:pPr>
            <w:r w:rsidRPr="0005510A">
              <w:rPr>
                <w:rFonts w:eastAsia="Times New Roman"/>
                <w:b/>
                <w:bCs/>
                <w:szCs w:val="26"/>
              </w:rPr>
              <w:t>Number of Annual Responses Per Entity</w:t>
            </w:r>
          </w:p>
          <w:p w:rsidR="00B93EA5" w:rsidRPr="0005510A" w:rsidP="0022247D" w14:paraId="4BA9EA95" w14:textId="0DD2F0C3">
            <w:pPr>
              <w:widowControl/>
              <w:jc w:val="center"/>
              <w:textAlignment w:val="baseline"/>
              <w:rPr>
                <w:rFonts w:eastAsia="Times New Roman"/>
                <w:szCs w:val="26"/>
              </w:rPr>
            </w:pPr>
            <w:r w:rsidRPr="0005510A">
              <w:rPr>
                <w:rFonts w:eastAsia="Times New Roman"/>
                <w:b/>
                <w:bCs/>
                <w:szCs w:val="26"/>
              </w:rPr>
              <w:t>(</w:t>
            </w:r>
            <w:r w:rsidRPr="0005510A">
              <w:rPr>
                <w:rFonts w:eastAsia="Times New Roman"/>
                <w:b/>
                <w:szCs w:val="26"/>
              </w:rPr>
              <w:t>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50993510" w14:textId="706B30FE">
            <w:pPr>
              <w:widowControl/>
              <w:textAlignment w:val="baseline"/>
              <w:rPr>
                <w:rFonts w:eastAsia="Times New Roman"/>
                <w:szCs w:val="26"/>
              </w:rPr>
            </w:pPr>
            <w:r w:rsidRPr="0005510A">
              <w:rPr>
                <w:rFonts w:eastAsia="Times New Roman"/>
                <w:b/>
                <w:bCs/>
                <w:szCs w:val="26"/>
              </w:rPr>
              <w:t>Total Number of Responses</w:t>
            </w:r>
          </w:p>
          <w:p w:rsidR="00B93EA5" w:rsidRPr="0005510A" w:rsidP="0022247D" w14:paraId="209585F9" w14:textId="5B437D67">
            <w:pPr>
              <w:widowControl/>
              <w:jc w:val="center"/>
              <w:textAlignment w:val="baseline"/>
              <w:rPr>
                <w:rFonts w:eastAsia="Times New Roman"/>
                <w:szCs w:val="26"/>
              </w:rPr>
            </w:pPr>
            <w:r w:rsidRPr="0005510A">
              <w:rPr>
                <w:rFonts w:eastAsia="Times New Roman"/>
                <w:b/>
                <w:bCs/>
                <w:szCs w:val="26"/>
              </w:rPr>
              <w:t>(1)*(2)=(3)</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23416F29" w14:textId="677348E3">
            <w:pPr>
              <w:widowControl/>
              <w:textAlignment w:val="baseline"/>
              <w:rPr>
                <w:rFonts w:eastAsia="Times New Roman"/>
                <w:szCs w:val="26"/>
              </w:rPr>
            </w:pPr>
            <w:r w:rsidRPr="0005510A">
              <w:rPr>
                <w:rFonts w:eastAsia="Times New Roman"/>
                <w:b/>
                <w:bCs/>
                <w:szCs w:val="26"/>
              </w:rPr>
              <w:t xml:space="preserve">Average </w:t>
            </w:r>
            <w:r w:rsidRPr="0005510A">
              <w:rPr>
                <w:rFonts w:eastAsia="Times New Roman"/>
                <w:b/>
                <w:bCs/>
                <w:szCs w:val="26"/>
              </w:rPr>
              <w:t>Number</w:t>
            </w:r>
            <w:r w:rsidRPr="0005510A">
              <w:rPr>
                <w:rFonts w:eastAsia="Times New Roman"/>
                <w:b/>
                <w:bCs/>
                <w:szCs w:val="26"/>
              </w:rPr>
              <w:t xml:space="preserve"> of Burden Hours per Response</w:t>
            </w:r>
            <w:r>
              <w:rPr>
                <w:rStyle w:val="FootnoteReference"/>
                <w:rFonts w:eastAsia="Times New Roman"/>
                <w:szCs w:val="26"/>
              </w:rPr>
              <w:footnoteReference w:id="42"/>
            </w:r>
          </w:p>
          <w:p w:rsidR="00B93EA5" w:rsidRPr="0005510A" w:rsidP="0022247D" w14:paraId="2052393C" w14:textId="4CC00973">
            <w:pPr>
              <w:widowControl/>
              <w:jc w:val="center"/>
              <w:textAlignment w:val="baseline"/>
              <w:rPr>
                <w:rFonts w:eastAsia="Times New Roman"/>
                <w:szCs w:val="26"/>
              </w:rPr>
            </w:pPr>
            <w:r w:rsidRPr="0005510A">
              <w:rPr>
                <w:rFonts w:eastAsia="Times New Roman"/>
                <w:b/>
                <w:bCs/>
                <w:szCs w:val="26"/>
              </w:rPr>
              <w:t>(4)</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0D6A7543" w14:textId="7E376A93">
            <w:pPr>
              <w:widowControl/>
              <w:textAlignment w:val="baseline"/>
              <w:rPr>
                <w:rFonts w:eastAsia="Times New Roman"/>
                <w:szCs w:val="26"/>
              </w:rPr>
            </w:pPr>
            <w:r w:rsidRPr="0005510A">
              <w:rPr>
                <w:rFonts w:eastAsia="Times New Roman"/>
                <w:b/>
                <w:bCs/>
                <w:szCs w:val="26"/>
              </w:rPr>
              <w:t>Total Burden Hours</w:t>
            </w:r>
          </w:p>
          <w:p w:rsidR="00B93EA5" w:rsidRPr="0005510A" w:rsidP="0022247D" w14:paraId="4821433C" w14:textId="2F007586">
            <w:pPr>
              <w:widowControl/>
              <w:jc w:val="center"/>
              <w:textAlignment w:val="baseline"/>
              <w:rPr>
                <w:rFonts w:eastAsia="Times New Roman"/>
                <w:szCs w:val="26"/>
              </w:rPr>
            </w:pPr>
            <w:r w:rsidRPr="0005510A">
              <w:rPr>
                <w:rFonts w:eastAsia="Times New Roman"/>
                <w:b/>
                <w:bCs/>
                <w:szCs w:val="26"/>
              </w:rPr>
              <w:t>(3)*(4)=(5)</w:t>
            </w:r>
          </w:p>
        </w:tc>
      </w:tr>
      <w:tr w14:paraId="0CC039A6" w14:textId="77777777" w:rsidTr="00880E23">
        <w:tblPrEx>
          <w:tblW w:w="9344" w:type="dxa"/>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B93EA5" w:rsidRPr="0005510A" w:rsidP="00B93EA5" w14:paraId="60789385" w14:textId="4B82EF3B">
            <w:pPr>
              <w:widowControl/>
              <w:jc w:val="center"/>
              <w:textAlignment w:val="baseline"/>
              <w:rPr>
                <w:rFonts w:eastAsia="Times New Roman"/>
                <w:szCs w:val="26"/>
              </w:rPr>
            </w:pPr>
            <w:r w:rsidRPr="0005510A">
              <w:rPr>
                <w:rFonts w:eastAsia="Times New Roman"/>
                <w:b/>
                <w:bCs/>
                <w:szCs w:val="26"/>
              </w:rPr>
              <w:t>Annual Collection PRC-002-5 FERC-725G</w:t>
            </w:r>
          </w:p>
        </w:tc>
      </w:tr>
      <w:tr w14:paraId="2A316C2F" w14:textId="77777777" w:rsidTr="00E44BC9">
        <w:tblPrEx>
          <w:tblW w:w="9344" w:type="dxa"/>
          <w:tblCellMar>
            <w:left w:w="0" w:type="dxa"/>
            <w:right w:w="0" w:type="dxa"/>
          </w:tblCellMar>
          <w:tblLook w:val="04A0"/>
        </w:tblPrEx>
        <w:trPr>
          <w:trHeight w:val="300"/>
        </w:trPr>
        <w:tc>
          <w:tcPr>
            <w:tcW w:w="141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467943C5" w14:textId="078D8434">
            <w:pPr>
              <w:widowControl/>
              <w:textAlignment w:val="baseline"/>
              <w:rPr>
                <w:rFonts w:eastAsia="Times New Roman"/>
                <w:szCs w:val="26"/>
              </w:rPr>
            </w:pPr>
            <w:r w:rsidRPr="0005510A">
              <w:rPr>
                <w:rFonts w:eastAsia="Times New Roman"/>
                <w:b/>
                <w:bCs/>
                <w:szCs w:val="26"/>
              </w:rPr>
              <w:t>Annual review and record retention</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3529AE04" w14:textId="094A4D0D">
            <w:pPr>
              <w:widowControl/>
              <w:jc w:val="center"/>
              <w:textAlignment w:val="baseline"/>
              <w:rPr>
                <w:rFonts w:eastAsia="Times New Roman"/>
                <w:szCs w:val="26"/>
              </w:rPr>
            </w:pPr>
            <w:r w:rsidRPr="0005510A">
              <w:rPr>
                <w:rFonts w:eastAsia="Times New Roman"/>
                <w:szCs w:val="26"/>
              </w:rPr>
              <w:t>12 (RC)</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1B059F67" w14:textId="78F8BEA2">
            <w:pPr>
              <w:widowControl/>
              <w:jc w:val="center"/>
              <w:textAlignment w:val="baseline"/>
              <w:rPr>
                <w:rFonts w:eastAsia="Times New Roman"/>
                <w:szCs w:val="26"/>
              </w:rPr>
            </w:pPr>
            <w:r w:rsidRPr="0005510A">
              <w:rPr>
                <w:rFonts w:eastAsia="Times New Roman"/>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41C104FD" w14:textId="568EA826">
            <w:pPr>
              <w:widowControl/>
              <w:jc w:val="center"/>
              <w:textAlignment w:val="baseline"/>
              <w:rPr>
                <w:rFonts w:eastAsia="Times New Roman"/>
                <w:szCs w:val="26"/>
              </w:rPr>
            </w:pPr>
            <w:r w:rsidRPr="0005510A">
              <w:rPr>
                <w:rFonts w:eastAsia="Times New Roman"/>
                <w:szCs w:val="26"/>
              </w:rPr>
              <w:t>12</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FC45AA" w:rsidP="00B93EA5" w14:paraId="6DD3EDEB" w14:textId="7DBBE4D4">
            <w:pPr>
              <w:widowControl/>
              <w:jc w:val="right"/>
              <w:textAlignment w:val="baseline"/>
              <w:rPr>
                <w:rFonts w:eastAsia="Times New Roman"/>
                <w:szCs w:val="26"/>
              </w:rPr>
            </w:pPr>
            <w:r>
              <w:rPr>
                <w:rFonts w:eastAsia="Times New Roman"/>
                <w:szCs w:val="26"/>
              </w:rPr>
              <w:t>8 hrs.</w:t>
            </w:r>
          </w:p>
          <w:p w:rsidR="00B93EA5" w:rsidRPr="0005510A" w:rsidP="00B93EA5" w14:paraId="2303C74D" w14:textId="08C7A364">
            <w:pPr>
              <w:widowControl/>
              <w:jc w:val="right"/>
              <w:textAlignment w:val="baseline"/>
              <w:rPr>
                <w:rFonts w:eastAsia="Times New Roman"/>
                <w:szCs w:val="26"/>
              </w:rPr>
            </w:pPr>
            <w:r w:rsidRPr="0005510A">
              <w:rPr>
                <w:rFonts w:eastAsia="Times New Roman"/>
                <w:szCs w:val="26"/>
              </w:rPr>
              <w:t>$ 70.67/</w:t>
            </w:r>
            <w:r w:rsidRPr="0005510A">
              <w:rPr>
                <w:rFonts w:eastAsia="Times New Roman"/>
                <w:szCs w:val="26"/>
              </w:rPr>
              <w:t>hr</w:t>
            </w:r>
            <w:r w:rsidRPr="0005510A">
              <w:rPr>
                <w:rFonts w:eastAsia="Times New Roman"/>
                <w:szCs w:val="26"/>
              </w:rPr>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6301A538" w14:textId="259AB9F2">
            <w:pPr>
              <w:widowControl/>
              <w:jc w:val="right"/>
              <w:textAlignment w:val="baseline"/>
              <w:rPr>
                <w:rFonts w:eastAsia="Times New Roman"/>
                <w:szCs w:val="26"/>
              </w:rPr>
            </w:pPr>
            <w:r w:rsidRPr="0005510A">
              <w:rPr>
                <w:rFonts w:eastAsia="Times New Roman"/>
                <w:szCs w:val="26"/>
              </w:rPr>
              <w:t>96 hrs. </w:t>
            </w:r>
          </w:p>
          <w:p w:rsidR="00B93EA5" w:rsidRPr="0005510A" w:rsidP="00B93EA5" w14:paraId="512C43CA" w14:textId="18F2B93B">
            <w:pPr>
              <w:widowControl/>
              <w:jc w:val="right"/>
              <w:textAlignment w:val="baseline"/>
              <w:rPr>
                <w:rFonts w:eastAsia="Times New Roman"/>
                <w:szCs w:val="26"/>
              </w:rPr>
            </w:pPr>
            <w:r w:rsidRPr="0005510A">
              <w:rPr>
                <w:rFonts w:eastAsia="Times New Roman"/>
                <w:szCs w:val="26"/>
              </w:rPr>
              <w:t>$ 6,784.32 </w:t>
            </w:r>
          </w:p>
        </w:tc>
      </w:tr>
      <w:tr w14:paraId="519CDECD" w14:textId="77777777" w:rsidTr="00E44BC9">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3EA5" w:rsidRPr="0005510A" w:rsidP="00B93EA5" w14:paraId="45100BB5" w14:textId="77777777">
            <w:pPr>
              <w:widowControl/>
              <w:rPr>
                <w:rFonts w:eastAsia="Times New Roman"/>
                <w:szCs w:val="26"/>
              </w:rPr>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139E0748" w14:textId="54FFFF09">
            <w:pPr>
              <w:widowControl/>
              <w:jc w:val="center"/>
              <w:textAlignment w:val="baseline"/>
              <w:rPr>
                <w:rFonts w:eastAsia="Times New Roman"/>
                <w:szCs w:val="26"/>
              </w:rPr>
            </w:pPr>
            <w:r w:rsidRPr="0005510A">
              <w:rPr>
                <w:rFonts w:eastAsia="Times New Roman"/>
                <w:szCs w:val="26"/>
              </w:rPr>
              <w:t>325 (TO)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308A178B" w14:textId="0670ABAC">
            <w:pPr>
              <w:widowControl/>
              <w:jc w:val="center"/>
              <w:textAlignment w:val="baseline"/>
              <w:rPr>
                <w:rFonts w:eastAsia="Times New Roman"/>
                <w:szCs w:val="26"/>
              </w:rPr>
            </w:pPr>
            <w:r w:rsidRPr="0005510A">
              <w:rPr>
                <w:rFonts w:eastAsia="Times New Roman"/>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3CB606CA" w14:textId="02ED22AF">
            <w:pPr>
              <w:widowControl/>
              <w:jc w:val="center"/>
              <w:textAlignment w:val="baseline"/>
              <w:rPr>
                <w:rFonts w:eastAsia="Times New Roman"/>
                <w:szCs w:val="26"/>
              </w:rPr>
            </w:pPr>
            <w:r w:rsidRPr="0005510A">
              <w:rPr>
                <w:rFonts w:eastAsia="Times New Roman"/>
                <w:szCs w:val="26"/>
              </w:rPr>
              <w:t>325</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FC45AA" w:rsidP="00B93EA5" w14:paraId="190C8D5F" w14:textId="188AE65C">
            <w:pPr>
              <w:widowControl/>
              <w:jc w:val="right"/>
              <w:textAlignment w:val="baseline"/>
              <w:rPr>
                <w:rFonts w:eastAsia="Times New Roman"/>
                <w:szCs w:val="26"/>
              </w:rPr>
            </w:pPr>
            <w:r>
              <w:rPr>
                <w:rFonts w:eastAsia="Times New Roman"/>
                <w:szCs w:val="26"/>
              </w:rPr>
              <w:t>8 hrs.</w:t>
            </w:r>
          </w:p>
          <w:p w:rsidR="00B93EA5" w:rsidRPr="0005510A" w:rsidP="00B93EA5" w14:paraId="65764F1D" w14:textId="0D7693B0">
            <w:pPr>
              <w:widowControl/>
              <w:jc w:val="right"/>
              <w:textAlignment w:val="baseline"/>
              <w:rPr>
                <w:rFonts w:eastAsia="Times New Roman"/>
                <w:szCs w:val="26"/>
              </w:rPr>
            </w:pPr>
            <w:r w:rsidRPr="0005510A">
              <w:rPr>
                <w:rFonts w:eastAsia="Times New Roman"/>
                <w:szCs w:val="26"/>
              </w:rPr>
              <w:t>$ 70.67/</w:t>
            </w:r>
            <w:r w:rsidRPr="0005510A">
              <w:rPr>
                <w:rFonts w:eastAsia="Times New Roman"/>
                <w:szCs w:val="26"/>
              </w:rPr>
              <w:t>hr</w:t>
            </w:r>
            <w:r w:rsidRPr="0005510A">
              <w:rPr>
                <w:rFonts w:eastAsia="Times New Roman"/>
                <w:szCs w:val="26"/>
              </w:rPr>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06C5F364" w14:textId="4DF4E22F">
            <w:pPr>
              <w:widowControl/>
              <w:jc w:val="right"/>
              <w:textAlignment w:val="baseline"/>
              <w:rPr>
                <w:rFonts w:eastAsia="Times New Roman"/>
                <w:szCs w:val="26"/>
              </w:rPr>
            </w:pPr>
            <w:r w:rsidRPr="0005510A">
              <w:rPr>
                <w:rFonts w:eastAsia="Times New Roman"/>
                <w:szCs w:val="26"/>
              </w:rPr>
              <w:t>2,600 hrs.  </w:t>
            </w:r>
          </w:p>
          <w:p w:rsidR="00B93EA5" w:rsidRPr="0005510A" w:rsidP="00B93EA5" w14:paraId="7316ED5C" w14:textId="77777777">
            <w:pPr>
              <w:widowControl/>
              <w:jc w:val="right"/>
              <w:textAlignment w:val="baseline"/>
              <w:rPr>
                <w:rFonts w:eastAsia="Times New Roman"/>
                <w:szCs w:val="26"/>
              </w:rPr>
            </w:pPr>
            <w:r w:rsidRPr="0005510A">
              <w:rPr>
                <w:rFonts w:eastAsia="Times New Roman"/>
                <w:szCs w:val="26"/>
              </w:rPr>
              <w:t>$ 183,742.00 </w:t>
            </w:r>
          </w:p>
        </w:tc>
      </w:tr>
      <w:tr w14:paraId="26C4838A" w14:textId="77777777" w:rsidTr="00E44BC9">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3EA5" w:rsidRPr="0005510A" w:rsidP="00B93EA5" w14:paraId="0A1C4C65" w14:textId="77777777">
            <w:pPr>
              <w:widowControl/>
              <w:rPr>
                <w:rFonts w:eastAsia="Times New Roman"/>
                <w:szCs w:val="26"/>
              </w:rPr>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7AAB8412" w14:textId="5A5DCB92">
            <w:pPr>
              <w:widowControl/>
              <w:jc w:val="center"/>
              <w:textAlignment w:val="baseline"/>
              <w:rPr>
                <w:rFonts w:eastAsia="Times New Roman"/>
                <w:szCs w:val="26"/>
              </w:rPr>
            </w:pPr>
            <w:r w:rsidRPr="0005510A">
              <w:rPr>
                <w:rFonts w:eastAsia="Times New Roman"/>
                <w:szCs w:val="26"/>
              </w:rPr>
              <w:t>1,238 (GO)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20F6AE63" w14:textId="77515AF8">
            <w:pPr>
              <w:widowControl/>
              <w:jc w:val="center"/>
              <w:textAlignment w:val="baseline"/>
              <w:rPr>
                <w:rFonts w:eastAsia="Times New Roman"/>
                <w:szCs w:val="26"/>
              </w:rPr>
            </w:pPr>
            <w:r w:rsidRPr="0005510A">
              <w:rPr>
                <w:rFonts w:eastAsia="Times New Roman"/>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328CCB95" w14:textId="25C7866A">
            <w:pPr>
              <w:widowControl/>
              <w:jc w:val="center"/>
              <w:textAlignment w:val="baseline"/>
              <w:rPr>
                <w:rFonts w:eastAsia="Times New Roman"/>
                <w:szCs w:val="26"/>
              </w:rPr>
            </w:pPr>
            <w:r w:rsidRPr="0005510A">
              <w:rPr>
                <w:rFonts w:eastAsia="Times New Roman"/>
                <w:szCs w:val="26"/>
              </w:rPr>
              <w:t>1,238</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5E6ACEC5" w14:textId="61C370D2">
            <w:pPr>
              <w:widowControl/>
              <w:jc w:val="right"/>
              <w:textAlignment w:val="baseline"/>
              <w:rPr>
                <w:rFonts w:eastAsia="Times New Roman"/>
                <w:szCs w:val="26"/>
              </w:rPr>
            </w:pPr>
            <w:r>
              <w:rPr>
                <w:rFonts w:eastAsia="Times New Roman"/>
                <w:szCs w:val="26"/>
              </w:rPr>
              <w:t>8 hrs.</w:t>
            </w:r>
            <w:r w:rsidRPr="0005510A">
              <w:rPr>
                <w:rFonts w:eastAsia="Times New Roman"/>
                <w:szCs w:val="26"/>
              </w:rPr>
              <w:t> </w:t>
            </w:r>
          </w:p>
          <w:p w:rsidR="00B93EA5" w:rsidRPr="0005510A" w:rsidP="00B93EA5" w14:paraId="428B4BE2" w14:textId="5B8CDB30">
            <w:pPr>
              <w:widowControl/>
              <w:jc w:val="right"/>
              <w:textAlignment w:val="baseline"/>
              <w:rPr>
                <w:rFonts w:eastAsia="Times New Roman"/>
                <w:szCs w:val="26"/>
              </w:rPr>
            </w:pPr>
            <w:r w:rsidRPr="0005510A">
              <w:rPr>
                <w:rFonts w:eastAsia="Times New Roman"/>
                <w:szCs w:val="26"/>
              </w:rPr>
              <w:t>$ 70.67/</w:t>
            </w:r>
            <w:r w:rsidRPr="0005510A">
              <w:rPr>
                <w:rFonts w:eastAsia="Times New Roman"/>
                <w:szCs w:val="26"/>
              </w:rPr>
              <w:t>hr</w:t>
            </w:r>
            <w:r w:rsidRPr="0005510A">
              <w:rPr>
                <w:rFonts w:eastAsia="Times New Roman"/>
                <w:szCs w:val="26"/>
              </w:rPr>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74EB01A7" w14:textId="1459D9AA">
            <w:pPr>
              <w:widowControl/>
              <w:jc w:val="right"/>
              <w:textAlignment w:val="baseline"/>
              <w:rPr>
                <w:rFonts w:eastAsia="Times New Roman"/>
                <w:szCs w:val="26"/>
              </w:rPr>
            </w:pPr>
            <w:r w:rsidRPr="0005510A">
              <w:rPr>
                <w:rFonts w:eastAsia="Times New Roman"/>
                <w:szCs w:val="26"/>
              </w:rPr>
              <w:t>9.904 hrs. </w:t>
            </w:r>
          </w:p>
          <w:p w:rsidR="00B93EA5" w:rsidRPr="0005510A" w:rsidP="00B93EA5" w14:paraId="76AB5ABA" w14:textId="19AC0AD4">
            <w:pPr>
              <w:widowControl/>
              <w:jc w:val="right"/>
              <w:textAlignment w:val="baseline"/>
              <w:rPr>
                <w:rFonts w:eastAsia="Times New Roman"/>
                <w:szCs w:val="26"/>
              </w:rPr>
            </w:pPr>
            <w:r w:rsidRPr="0005510A">
              <w:rPr>
                <w:rFonts w:eastAsia="Times New Roman"/>
                <w:szCs w:val="26"/>
              </w:rPr>
              <w:t>$ 699,915.68 </w:t>
            </w:r>
          </w:p>
        </w:tc>
      </w:tr>
      <w:tr w14:paraId="089CA149" w14:textId="77777777" w:rsidTr="00E44BC9">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5BF7033F" w14:textId="44FEE940">
            <w:pPr>
              <w:widowControl/>
              <w:textAlignment w:val="baseline"/>
              <w:rPr>
                <w:rFonts w:eastAsia="Times New Roman"/>
                <w:szCs w:val="26"/>
              </w:rPr>
            </w:pPr>
            <w:r w:rsidRPr="0005510A">
              <w:rPr>
                <w:rFonts w:eastAsia="Times New Roman"/>
                <w:b/>
                <w:bCs/>
                <w:szCs w:val="26"/>
              </w:rPr>
              <w:t>Total for PRC-0</w:t>
            </w:r>
            <w:r w:rsidRPr="0005510A">
              <w:rPr>
                <w:rFonts w:eastAsia="Times New Roman"/>
                <w:b/>
                <w:szCs w:val="26"/>
              </w:rPr>
              <w:t>02-5</w:t>
            </w:r>
          </w:p>
        </w:tc>
        <w:tc>
          <w:tcPr>
            <w:tcW w:w="1867"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5510A" w:rsidP="00B93EA5" w14:paraId="2E4477FB" w14:textId="77777777">
            <w:pPr>
              <w:widowControl/>
              <w:jc w:val="center"/>
              <w:textAlignment w:val="baseline"/>
              <w:rPr>
                <w:rFonts w:eastAsia="Times New Roman"/>
                <w:szCs w:val="26"/>
              </w:rPr>
            </w:pPr>
            <w:r w:rsidRPr="0005510A">
              <w:rPr>
                <w:rFonts w:eastAsia="Times New Roman"/>
                <w:szCs w:val="26"/>
              </w:rPr>
              <w:t> </w:t>
            </w:r>
          </w:p>
        </w:tc>
        <w:tc>
          <w:tcPr>
            <w:tcW w:w="1427"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5510A" w:rsidP="00B93EA5" w14:paraId="13BBA7D6" w14:textId="77777777">
            <w:pPr>
              <w:widowControl/>
              <w:jc w:val="center"/>
              <w:textAlignment w:val="baseline"/>
              <w:rPr>
                <w:rFonts w:eastAsia="Times New Roman"/>
                <w:szCs w:val="26"/>
              </w:rPr>
            </w:pPr>
            <w:r w:rsidRPr="0005510A">
              <w:rPr>
                <w:rFonts w:eastAsia="Times New Roman"/>
                <w:szCs w:val="26"/>
              </w:rPr>
              <w:t> </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21227371" w14:textId="2DB86E3E">
            <w:pPr>
              <w:widowControl/>
              <w:jc w:val="center"/>
              <w:textAlignment w:val="baseline"/>
              <w:rPr>
                <w:rFonts w:eastAsia="Times New Roman"/>
                <w:szCs w:val="26"/>
              </w:rPr>
            </w:pPr>
            <w:r w:rsidRPr="0005510A">
              <w:rPr>
                <w:rFonts w:eastAsia="Times New Roman"/>
                <w:b/>
                <w:bCs/>
                <w:szCs w:val="26"/>
              </w:rPr>
              <w:t>1,575</w:t>
            </w:r>
          </w:p>
        </w:tc>
        <w:tc>
          <w:tcPr>
            <w:tcW w:w="1428"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5510A" w:rsidP="00B93EA5" w14:paraId="41B38074" w14:textId="77777777">
            <w:pPr>
              <w:widowControl/>
              <w:jc w:val="right"/>
              <w:textAlignment w:val="baseline"/>
              <w:rPr>
                <w:rFonts w:eastAsia="Times New Roman"/>
                <w:szCs w:val="26"/>
              </w:rPr>
            </w:pPr>
            <w:r w:rsidRPr="0005510A">
              <w:rPr>
                <w:rFonts w:eastAsia="Times New Roman"/>
                <w:szCs w:val="26"/>
              </w:rPr>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1E53CA25" w14:textId="3636598B">
            <w:pPr>
              <w:widowControl/>
              <w:jc w:val="right"/>
              <w:textAlignment w:val="baseline"/>
              <w:rPr>
                <w:rFonts w:eastAsia="Times New Roman"/>
                <w:szCs w:val="26"/>
              </w:rPr>
            </w:pPr>
            <w:r w:rsidRPr="0005510A">
              <w:rPr>
                <w:rFonts w:eastAsia="Times New Roman"/>
                <w:szCs w:val="26"/>
              </w:rPr>
              <w:t>12,600 hrs. </w:t>
            </w:r>
          </w:p>
          <w:p w:rsidR="00B93EA5" w:rsidRPr="0005510A" w:rsidP="00B93EA5" w14:paraId="0F7EA56B" w14:textId="0D3801D1">
            <w:pPr>
              <w:widowControl/>
              <w:jc w:val="right"/>
              <w:textAlignment w:val="baseline"/>
              <w:rPr>
                <w:rFonts w:eastAsia="Times New Roman"/>
                <w:szCs w:val="26"/>
              </w:rPr>
            </w:pPr>
            <w:r w:rsidRPr="0005510A">
              <w:rPr>
                <w:rFonts w:eastAsia="Times New Roman"/>
                <w:szCs w:val="26"/>
              </w:rPr>
              <w:t>$ 890,442.00 </w:t>
            </w:r>
          </w:p>
        </w:tc>
      </w:tr>
    </w:tbl>
    <w:p w:rsidR="00B93EA5" w:rsidRPr="0005510A" w:rsidP="0022247D" w14:paraId="7BE435D2" w14:textId="2FBD3E48">
      <w:pPr>
        <w:pStyle w:val="FERCparanumber"/>
        <w:numPr>
          <w:ilvl w:val="0"/>
          <w:numId w:val="0"/>
        </w:numPr>
        <w:textAlignment w:val="baseline"/>
        <w:rPr>
          <w:rFonts w:eastAsia="Times New Roman"/>
          <w:szCs w:val="26"/>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32"/>
        <w:gridCol w:w="1890"/>
        <w:gridCol w:w="1350"/>
        <w:gridCol w:w="1440"/>
        <w:gridCol w:w="1440"/>
        <w:gridCol w:w="1792"/>
      </w:tblGrid>
      <w:tr w14:paraId="6206B5B1" w14:textId="77777777" w:rsidTr="00FC45AA">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B93EA5" w:rsidRPr="0005510A" w:rsidP="00B93EA5" w14:paraId="7CF1C45A" w14:textId="3C518979">
            <w:pPr>
              <w:divId w:val="1939098214"/>
              <w:widowControl/>
              <w:jc w:val="center"/>
              <w:textAlignment w:val="baseline"/>
              <w:rPr>
                <w:rFonts w:eastAsia="Times New Roman"/>
                <w:szCs w:val="26"/>
              </w:rPr>
            </w:pPr>
            <w:r w:rsidRPr="0005510A">
              <w:rPr>
                <w:rFonts w:eastAsia="Times New Roman"/>
                <w:b/>
                <w:bCs/>
                <w:szCs w:val="26"/>
              </w:rPr>
              <w:t>Proposed Burden PRC-028-1 Docket No. RD25-2</w:t>
            </w:r>
          </w:p>
        </w:tc>
      </w:tr>
      <w:tr w14:paraId="3CD781E1" w14:textId="77777777" w:rsidTr="001E165F">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36753107" w14:textId="44162877">
            <w:pPr>
              <w:widowControl/>
              <w:textAlignment w:val="baseline"/>
              <w:rPr>
                <w:rFonts w:eastAsia="Times New Roman"/>
                <w:szCs w:val="26"/>
              </w:rPr>
            </w:pPr>
            <w:r w:rsidRPr="0005510A">
              <w:rPr>
                <w:rFonts w:eastAsia="Times New Roman"/>
                <w:b/>
                <w:bCs/>
                <w:szCs w:val="26"/>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672857" w:rsidRPr="0005510A" w:rsidP="00B93EA5" w14:paraId="51EA17FF" w14:textId="40B6B800">
            <w:pPr>
              <w:widowControl/>
              <w:textAlignment w:val="baseline"/>
              <w:rPr>
                <w:rFonts w:eastAsia="Times New Roman"/>
                <w:szCs w:val="26"/>
              </w:rPr>
            </w:pPr>
            <w:r w:rsidRPr="0005510A">
              <w:rPr>
                <w:rFonts w:eastAsia="Times New Roman"/>
                <w:b/>
                <w:bCs/>
                <w:szCs w:val="26"/>
              </w:rPr>
              <w:t>Type and Number of Entity</w:t>
            </w:r>
            <w:r>
              <w:rPr>
                <w:rStyle w:val="FootnoteReference"/>
                <w:rFonts w:eastAsia="Times New Roman"/>
                <w:szCs w:val="26"/>
              </w:rPr>
              <w:footnoteReference w:id="43"/>
            </w:r>
            <w:r w:rsidRPr="0005510A">
              <w:rPr>
                <w:rFonts w:eastAsia="Times New Roman"/>
                <w:szCs w:val="26"/>
              </w:rPr>
              <w:t> </w:t>
            </w:r>
          </w:p>
          <w:p w:rsidR="00B93EA5" w:rsidRPr="0005510A" w:rsidP="0022247D" w14:paraId="48E69855" w14:textId="4443C183">
            <w:pPr>
              <w:widowControl/>
              <w:jc w:val="center"/>
              <w:textAlignment w:val="baseline"/>
              <w:rPr>
                <w:rFonts w:eastAsia="Times New Roman"/>
                <w:szCs w:val="26"/>
              </w:rPr>
            </w:pPr>
            <w:r w:rsidRPr="0005510A">
              <w:rPr>
                <w:rFonts w:eastAsia="Times New Roman"/>
                <w:b/>
                <w:szCs w:val="26"/>
              </w:rPr>
              <w:t>(1)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672857" w:rsidRPr="0005510A" w:rsidP="00B93EA5" w14:paraId="7E4F2F78" w14:textId="197E487B">
            <w:pPr>
              <w:widowControl/>
              <w:textAlignment w:val="baseline"/>
              <w:rPr>
                <w:rFonts w:eastAsia="Times New Roman"/>
                <w:b/>
                <w:bCs/>
                <w:szCs w:val="26"/>
              </w:rPr>
            </w:pPr>
            <w:r w:rsidRPr="0005510A">
              <w:rPr>
                <w:rFonts w:eastAsia="Times New Roman"/>
                <w:b/>
                <w:bCs/>
                <w:szCs w:val="26"/>
              </w:rPr>
              <w:t>Number of Annual Responses Per Entity</w:t>
            </w:r>
          </w:p>
          <w:p w:rsidR="00B93EA5" w:rsidRPr="0005510A" w:rsidP="0022247D" w14:paraId="516ED6F6" w14:textId="0B43032D">
            <w:pPr>
              <w:widowControl/>
              <w:jc w:val="center"/>
              <w:textAlignment w:val="baseline"/>
              <w:rPr>
                <w:rFonts w:eastAsia="Times New Roman"/>
                <w:szCs w:val="26"/>
              </w:rPr>
            </w:pPr>
            <w:r w:rsidRPr="0005510A">
              <w:rPr>
                <w:rFonts w:eastAsia="Times New Roman"/>
                <w:b/>
                <w:bCs/>
                <w:szCs w:val="26"/>
              </w:rPr>
              <w:t>(</w:t>
            </w:r>
            <w:r w:rsidRPr="0005510A">
              <w:rPr>
                <w:rFonts w:eastAsia="Times New Roman"/>
                <w:b/>
                <w:szCs w:val="26"/>
              </w:rPr>
              <w:t>2)</w:t>
            </w:r>
            <w:r w:rsidRPr="0005510A">
              <w:rPr>
                <w:rFonts w:eastAsia="Times New Roman"/>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24396C4B" w14:textId="3F5E2483">
            <w:pPr>
              <w:widowControl/>
              <w:textAlignment w:val="baseline"/>
              <w:rPr>
                <w:rFonts w:eastAsia="Times New Roman"/>
                <w:szCs w:val="26"/>
              </w:rPr>
            </w:pPr>
            <w:r w:rsidRPr="0005510A">
              <w:rPr>
                <w:rFonts w:eastAsia="Times New Roman"/>
                <w:b/>
                <w:bCs/>
                <w:szCs w:val="26"/>
              </w:rPr>
              <w:t>Total Number of Responses</w:t>
            </w:r>
          </w:p>
          <w:p w:rsidR="00B93EA5" w:rsidRPr="0005510A" w:rsidP="0022247D" w14:paraId="49FC3351" w14:textId="70C5D668">
            <w:pPr>
              <w:widowControl/>
              <w:jc w:val="center"/>
              <w:textAlignment w:val="baseline"/>
              <w:rPr>
                <w:rFonts w:eastAsia="Times New Roman"/>
                <w:szCs w:val="26"/>
              </w:rPr>
            </w:pPr>
            <w:r w:rsidRPr="0005510A">
              <w:rPr>
                <w:rFonts w:eastAsia="Times New Roman"/>
                <w:b/>
                <w:bCs/>
                <w:szCs w:val="26"/>
              </w:rPr>
              <w:t>(1)*(2)=(3)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6B497B7F" w14:textId="459547F3">
            <w:pPr>
              <w:widowControl/>
              <w:textAlignment w:val="baseline"/>
              <w:rPr>
                <w:rFonts w:eastAsia="Times New Roman"/>
                <w:szCs w:val="26"/>
              </w:rPr>
            </w:pPr>
            <w:r w:rsidRPr="0005510A">
              <w:rPr>
                <w:rFonts w:eastAsia="Times New Roman"/>
                <w:b/>
                <w:bCs/>
                <w:szCs w:val="26"/>
              </w:rPr>
              <w:t xml:space="preserve">Average </w:t>
            </w:r>
            <w:r w:rsidRPr="0005510A">
              <w:rPr>
                <w:rFonts w:eastAsia="Times New Roman"/>
                <w:b/>
                <w:bCs/>
                <w:szCs w:val="26"/>
              </w:rPr>
              <w:t>Number</w:t>
            </w:r>
            <w:r w:rsidRPr="0005510A">
              <w:rPr>
                <w:rFonts w:eastAsia="Times New Roman"/>
                <w:b/>
                <w:bCs/>
                <w:szCs w:val="26"/>
              </w:rPr>
              <w:t xml:space="preserve"> of Burden Hours per Response</w:t>
            </w:r>
            <w:r>
              <w:rPr>
                <w:rStyle w:val="FootnoteReference"/>
                <w:rFonts w:eastAsia="Times New Roman"/>
                <w:szCs w:val="26"/>
              </w:rPr>
              <w:footnoteReference w:id="44"/>
            </w:r>
          </w:p>
          <w:p w:rsidR="00B93EA5" w:rsidRPr="0005510A" w:rsidP="0022247D" w14:paraId="7D13A581" w14:textId="4479F1C2">
            <w:pPr>
              <w:widowControl/>
              <w:jc w:val="center"/>
              <w:textAlignment w:val="baseline"/>
              <w:rPr>
                <w:rFonts w:eastAsia="Times New Roman"/>
                <w:szCs w:val="26"/>
              </w:rPr>
            </w:pPr>
            <w:r w:rsidRPr="0005510A">
              <w:rPr>
                <w:rFonts w:eastAsia="Times New Roman"/>
                <w:b/>
                <w:bCs/>
                <w:szCs w:val="26"/>
              </w:rPr>
              <w:t>(4)</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75C13521" w14:textId="77777777">
            <w:pPr>
              <w:widowControl/>
              <w:textAlignment w:val="baseline"/>
              <w:rPr>
                <w:rFonts w:eastAsia="Times New Roman"/>
                <w:szCs w:val="26"/>
              </w:rPr>
            </w:pPr>
            <w:r w:rsidRPr="0005510A">
              <w:rPr>
                <w:rFonts w:eastAsia="Times New Roman"/>
                <w:b/>
                <w:bCs/>
                <w:szCs w:val="26"/>
              </w:rPr>
              <w:t>Total Burden Hours</w:t>
            </w:r>
            <w:r w:rsidRPr="0005510A">
              <w:rPr>
                <w:rFonts w:eastAsia="Times New Roman"/>
                <w:szCs w:val="26"/>
              </w:rPr>
              <w:t>  </w:t>
            </w:r>
          </w:p>
          <w:p w:rsidR="00B93EA5" w:rsidRPr="0005510A" w:rsidP="0022247D" w14:paraId="10202927" w14:textId="2B71ECEB">
            <w:pPr>
              <w:widowControl/>
              <w:jc w:val="center"/>
              <w:textAlignment w:val="baseline"/>
              <w:rPr>
                <w:rFonts w:eastAsia="Times New Roman"/>
                <w:szCs w:val="26"/>
              </w:rPr>
            </w:pPr>
            <w:r w:rsidRPr="0005510A">
              <w:rPr>
                <w:rFonts w:eastAsia="Times New Roman"/>
                <w:b/>
                <w:bCs/>
                <w:szCs w:val="26"/>
              </w:rPr>
              <w:t>(3)*(4)=(5)</w:t>
            </w:r>
          </w:p>
        </w:tc>
      </w:tr>
      <w:tr w14:paraId="0083F248" w14:textId="77777777" w:rsidTr="00FC45AA">
        <w:tblPrEx>
          <w:tblW w:w="9344" w:type="dxa"/>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B93EA5" w:rsidRPr="0005510A" w:rsidP="00B93EA5" w14:paraId="329E5DDF" w14:textId="12C9163C">
            <w:pPr>
              <w:widowControl/>
              <w:jc w:val="center"/>
              <w:textAlignment w:val="baseline"/>
              <w:rPr>
                <w:rFonts w:eastAsia="Times New Roman"/>
                <w:szCs w:val="26"/>
              </w:rPr>
            </w:pPr>
            <w:r w:rsidRPr="0005510A">
              <w:rPr>
                <w:rFonts w:eastAsia="Times New Roman"/>
                <w:b/>
                <w:bCs/>
                <w:szCs w:val="26"/>
              </w:rPr>
              <w:t>Annual Collection PRC-0</w:t>
            </w:r>
            <w:r w:rsidRPr="0005510A" w:rsidR="006272EE">
              <w:rPr>
                <w:rFonts w:eastAsia="Times New Roman"/>
                <w:b/>
                <w:bCs/>
                <w:szCs w:val="26"/>
              </w:rPr>
              <w:t>28-1</w:t>
            </w:r>
            <w:r w:rsidRPr="0005510A">
              <w:rPr>
                <w:rFonts w:eastAsia="Times New Roman"/>
                <w:b/>
                <w:bCs/>
                <w:szCs w:val="26"/>
              </w:rPr>
              <w:t xml:space="preserve"> FERC-725G</w:t>
            </w:r>
          </w:p>
        </w:tc>
      </w:tr>
      <w:tr w14:paraId="3CB12474" w14:textId="77777777" w:rsidTr="001E165F">
        <w:tblPrEx>
          <w:tblW w:w="9344" w:type="dxa"/>
          <w:tblLayout w:type="fixed"/>
          <w:tblCellMar>
            <w:left w:w="0" w:type="dxa"/>
            <w:right w:w="0" w:type="dxa"/>
          </w:tblCellMar>
          <w:tblLook w:val="04A0"/>
        </w:tblPrEx>
        <w:trPr>
          <w:trHeight w:val="735"/>
        </w:trPr>
        <w:tc>
          <w:tcPr>
            <w:tcW w:w="143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60F26575" w14:textId="4766B890">
            <w:pPr>
              <w:widowControl/>
              <w:textAlignment w:val="baseline"/>
              <w:rPr>
                <w:rFonts w:eastAsia="Times New Roman"/>
                <w:szCs w:val="26"/>
              </w:rPr>
            </w:pPr>
            <w:r w:rsidRPr="0005510A">
              <w:rPr>
                <w:rFonts w:eastAsia="Times New Roman"/>
                <w:b/>
                <w:bCs/>
                <w:szCs w:val="26"/>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4E2B2746" w14:textId="30830236">
            <w:pPr>
              <w:widowControl/>
              <w:jc w:val="center"/>
              <w:textAlignment w:val="baseline"/>
              <w:rPr>
                <w:rFonts w:eastAsia="Times New Roman"/>
                <w:szCs w:val="26"/>
              </w:rPr>
            </w:pPr>
            <w:r w:rsidRPr="0005510A">
              <w:rPr>
                <w:rFonts w:eastAsia="Times New Roman"/>
                <w:szCs w:val="26"/>
              </w:rPr>
              <w:t>591 (BES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688E91B4" w14:textId="2362F422">
            <w:pPr>
              <w:widowControl/>
              <w:jc w:val="center"/>
              <w:textAlignment w:val="baseline"/>
              <w:rPr>
                <w:rFonts w:eastAsia="Times New Roman"/>
                <w:szCs w:val="26"/>
              </w:rPr>
            </w:pPr>
            <w:r w:rsidRPr="0005510A">
              <w:rPr>
                <w:rFonts w:eastAsia="Times New Roman"/>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40788819" w14:textId="7506A955">
            <w:pPr>
              <w:widowControl/>
              <w:jc w:val="center"/>
              <w:textAlignment w:val="baseline"/>
              <w:rPr>
                <w:rFonts w:eastAsia="Times New Roman"/>
                <w:szCs w:val="26"/>
              </w:rPr>
            </w:pPr>
            <w:r w:rsidRPr="0005510A">
              <w:rPr>
                <w:rFonts w:eastAsia="Times New Roman"/>
                <w:szCs w:val="26"/>
              </w:rPr>
              <w:t>591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5510A" w:rsidRPr="00FC45AA" w:rsidP="00B93EA5" w14:paraId="7F35D2A7" w14:textId="648B83EE">
            <w:pPr>
              <w:widowControl/>
              <w:jc w:val="right"/>
              <w:textAlignment w:val="baseline"/>
              <w:rPr>
                <w:rFonts w:eastAsia="Times New Roman"/>
                <w:szCs w:val="26"/>
                <w:shd w:val="clear" w:color="auto" w:fill="FFFF00"/>
              </w:rPr>
            </w:pPr>
            <w:r>
              <w:rPr>
                <w:rFonts w:eastAsia="Times New Roman"/>
                <w:szCs w:val="26"/>
              </w:rPr>
              <w:t>80 hrs.</w:t>
            </w:r>
          </w:p>
          <w:p w:rsidR="00B93EA5" w:rsidRPr="0005510A" w:rsidP="00B93EA5" w14:paraId="790338B7" w14:textId="54348DEE">
            <w:pPr>
              <w:widowControl/>
              <w:jc w:val="right"/>
              <w:textAlignment w:val="baseline"/>
              <w:rPr>
                <w:rFonts w:eastAsia="Times New Roman"/>
                <w:szCs w:val="26"/>
              </w:rPr>
            </w:pPr>
            <w:r w:rsidRPr="0005510A">
              <w:rPr>
                <w:rFonts w:eastAsia="Times New Roman"/>
                <w:szCs w:val="26"/>
              </w:rPr>
              <w:t>$ 70.67/</w:t>
            </w:r>
            <w:r w:rsidRPr="0005510A">
              <w:rPr>
                <w:rFonts w:eastAsia="Times New Roman"/>
                <w:szCs w:val="26"/>
              </w:rPr>
              <w:t>hr</w:t>
            </w:r>
            <w:r w:rsidRPr="0005510A">
              <w:rPr>
                <w:rFonts w:eastAsia="Times New Roman"/>
                <w:szCs w:val="26"/>
              </w:rPr>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0BA3BA32" w14:textId="4FABCF98">
            <w:pPr>
              <w:widowControl/>
              <w:jc w:val="right"/>
              <w:textAlignment w:val="baseline"/>
              <w:rPr>
                <w:rFonts w:eastAsia="Times New Roman"/>
                <w:szCs w:val="26"/>
              </w:rPr>
            </w:pPr>
            <w:r w:rsidRPr="0005510A">
              <w:rPr>
                <w:rFonts w:eastAsia="Times New Roman"/>
                <w:szCs w:val="26"/>
              </w:rPr>
              <w:t>47,280</w:t>
            </w:r>
            <w:r w:rsidRPr="0005510A">
              <w:rPr>
                <w:rFonts w:eastAsia="Times New Roman"/>
                <w:szCs w:val="26"/>
              </w:rPr>
              <w:t xml:space="preserve"> hrs. </w:t>
            </w:r>
          </w:p>
          <w:p w:rsidR="00B93EA5" w:rsidRPr="0005510A" w:rsidP="00B93EA5" w14:paraId="232AD16E" w14:textId="0C4951C0">
            <w:pPr>
              <w:widowControl/>
              <w:jc w:val="right"/>
              <w:textAlignment w:val="baseline"/>
              <w:rPr>
                <w:rFonts w:eastAsia="Times New Roman"/>
                <w:szCs w:val="26"/>
              </w:rPr>
            </w:pPr>
            <w:r w:rsidRPr="0005510A">
              <w:rPr>
                <w:rFonts w:eastAsia="Times New Roman"/>
                <w:szCs w:val="26"/>
              </w:rPr>
              <w:t xml:space="preserve">$ </w:t>
            </w:r>
            <w:r w:rsidRPr="0005510A" w:rsidR="004109A9">
              <w:rPr>
                <w:rFonts w:eastAsia="Times New Roman"/>
                <w:szCs w:val="26"/>
              </w:rPr>
              <w:t>3,341,277.6</w:t>
            </w:r>
            <w:r w:rsidRPr="0005510A">
              <w:rPr>
                <w:rFonts w:eastAsia="Times New Roman"/>
                <w:szCs w:val="26"/>
              </w:rPr>
              <w:t>0 </w:t>
            </w:r>
          </w:p>
        </w:tc>
      </w:tr>
      <w:tr w14:paraId="2836A965" w14:textId="77777777" w:rsidTr="001E165F">
        <w:tblPrEx>
          <w:tblW w:w="9344" w:type="dxa"/>
          <w:tblLayout w:type="fixed"/>
          <w:tblCellMar>
            <w:left w:w="0" w:type="dxa"/>
            <w:right w:w="0" w:type="dxa"/>
          </w:tblCellMar>
          <w:tblLook w:val="04A0"/>
        </w:tblPrEx>
        <w:trPr>
          <w:trHeight w:val="885"/>
        </w:trPr>
        <w:tc>
          <w:tcPr>
            <w:tcW w:w="14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3EA5" w:rsidRPr="0005510A" w:rsidP="00B93EA5" w14:paraId="72D05885" w14:textId="77777777">
            <w:pPr>
              <w:widowControl/>
              <w:rPr>
                <w:rFonts w:eastAsia="Times New Roman"/>
                <w:szCs w:val="26"/>
              </w:rPr>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3DE0D31D" w14:textId="5635A036">
            <w:pPr>
              <w:widowControl/>
              <w:jc w:val="center"/>
              <w:textAlignment w:val="baseline"/>
              <w:rPr>
                <w:rFonts w:eastAsia="Times New Roman"/>
                <w:szCs w:val="26"/>
              </w:rPr>
            </w:pPr>
            <w:r w:rsidRPr="0005510A">
              <w:rPr>
                <w:rFonts w:eastAsia="Times New Roman"/>
                <w:szCs w:val="26"/>
              </w:rPr>
              <w:t>755 (Non-BES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750FCF7B" w14:textId="16BA6AB7">
            <w:pPr>
              <w:widowControl/>
              <w:jc w:val="center"/>
              <w:textAlignment w:val="baseline"/>
              <w:rPr>
                <w:rFonts w:eastAsia="Times New Roman"/>
                <w:szCs w:val="26"/>
              </w:rPr>
            </w:pPr>
            <w:r w:rsidRPr="0005510A">
              <w:rPr>
                <w:rFonts w:eastAsia="Times New Roman"/>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7A979A9D" w14:textId="06DBF7DF">
            <w:pPr>
              <w:widowControl/>
              <w:jc w:val="center"/>
              <w:textAlignment w:val="baseline"/>
              <w:rPr>
                <w:rFonts w:eastAsia="Times New Roman"/>
                <w:szCs w:val="26"/>
              </w:rPr>
            </w:pPr>
            <w:r w:rsidRPr="0005510A">
              <w:rPr>
                <w:rFonts w:eastAsia="Times New Roman"/>
                <w:szCs w:val="26"/>
              </w:rPr>
              <w:t>755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C45AA" w:rsidP="00B93EA5" w14:paraId="105AA915" w14:textId="1265CFB8">
            <w:pPr>
              <w:widowControl/>
              <w:jc w:val="right"/>
              <w:textAlignment w:val="baseline"/>
              <w:rPr>
                <w:rFonts w:eastAsia="Times New Roman"/>
                <w:szCs w:val="26"/>
              </w:rPr>
            </w:pPr>
            <w:r>
              <w:rPr>
                <w:rFonts w:eastAsia="Times New Roman"/>
                <w:szCs w:val="26"/>
              </w:rPr>
              <w:t>80 hrs.</w:t>
            </w:r>
          </w:p>
          <w:p w:rsidR="00B93EA5" w:rsidRPr="0005510A" w:rsidP="00B93EA5" w14:paraId="781BDF86" w14:textId="134D1CE8">
            <w:pPr>
              <w:widowControl/>
              <w:jc w:val="right"/>
              <w:textAlignment w:val="baseline"/>
              <w:rPr>
                <w:rFonts w:eastAsia="Times New Roman"/>
                <w:szCs w:val="26"/>
              </w:rPr>
            </w:pPr>
            <w:r w:rsidRPr="0005510A">
              <w:rPr>
                <w:rFonts w:eastAsia="Times New Roman"/>
                <w:szCs w:val="26"/>
              </w:rPr>
              <w:t>$ 70.67/</w:t>
            </w:r>
            <w:r w:rsidRPr="0005510A">
              <w:rPr>
                <w:rFonts w:eastAsia="Times New Roman"/>
                <w:szCs w:val="26"/>
              </w:rPr>
              <w:t>hr</w:t>
            </w:r>
            <w:r w:rsidRPr="0005510A">
              <w:rPr>
                <w:rFonts w:eastAsia="Times New Roman"/>
                <w:szCs w:val="26"/>
              </w:rPr>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5510A" w:rsidP="00B93EA5" w14:paraId="605B0D04" w14:textId="148D0300">
            <w:pPr>
              <w:widowControl/>
              <w:jc w:val="right"/>
              <w:textAlignment w:val="baseline"/>
              <w:rPr>
                <w:rFonts w:eastAsia="Times New Roman"/>
                <w:szCs w:val="26"/>
              </w:rPr>
            </w:pPr>
            <w:r w:rsidRPr="0005510A">
              <w:rPr>
                <w:rFonts w:eastAsia="Times New Roman"/>
                <w:szCs w:val="26"/>
              </w:rPr>
              <w:t>60,400</w:t>
            </w:r>
            <w:r w:rsidRPr="0005510A">
              <w:rPr>
                <w:rFonts w:eastAsia="Times New Roman"/>
                <w:szCs w:val="26"/>
              </w:rPr>
              <w:t xml:space="preserve"> hrs. </w:t>
            </w:r>
          </w:p>
          <w:p w:rsidR="00B93EA5" w:rsidRPr="000A16BF" w:rsidP="00B93EA5" w14:paraId="200F3DAE" w14:textId="25982C64">
            <w:pPr>
              <w:widowControl/>
              <w:jc w:val="right"/>
              <w:textAlignment w:val="baseline"/>
              <w:rPr>
                <w:rFonts w:eastAsia="Times New Roman"/>
                <w:szCs w:val="26"/>
              </w:rPr>
            </w:pPr>
            <w:r w:rsidRPr="0005510A">
              <w:rPr>
                <w:rFonts w:eastAsia="Times New Roman"/>
                <w:szCs w:val="26"/>
              </w:rPr>
              <w:t xml:space="preserve">$ </w:t>
            </w:r>
            <w:r w:rsidRPr="0005510A" w:rsidR="005629C4">
              <w:rPr>
                <w:rFonts w:eastAsia="Times New Roman"/>
                <w:szCs w:val="26"/>
              </w:rPr>
              <w:t>4,268,468.00</w:t>
            </w:r>
            <w:r w:rsidRPr="000A16BF">
              <w:rPr>
                <w:rFonts w:eastAsia="Times New Roman"/>
                <w:szCs w:val="26"/>
              </w:rPr>
              <w:t> </w:t>
            </w:r>
          </w:p>
          <w:p w:rsidR="00B93EA5" w:rsidRPr="000A16BF" w:rsidP="00B93EA5" w14:paraId="03BDECEB" w14:textId="77777777">
            <w:pPr>
              <w:widowControl/>
              <w:jc w:val="right"/>
              <w:textAlignment w:val="baseline"/>
              <w:rPr>
                <w:rFonts w:eastAsia="Times New Roman"/>
                <w:szCs w:val="26"/>
              </w:rPr>
            </w:pPr>
            <w:r w:rsidRPr="000A16BF">
              <w:rPr>
                <w:rFonts w:eastAsia="Times New Roman"/>
                <w:szCs w:val="26"/>
              </w:rPr>
              <w:t> </w:t>
            </w:r>
          </w:p>
        </w:tc>
      </w:tr>
      <w:tr w14:paraId="4B8B0A1E" w14:textId="77777777" w:rsidTr="001E165F">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540D601B" w14:textId="3B813F5B">
            <w:pPr>
              <w:widowControl/>
              <w:textAlignment w:val="baseline"/>
              <w:rPr>
                <w:rFonts w:eastAsia="Times New Roman"/>
                <w:szCs w:val="26"/>
              </w:rPr>
            </w:pPr>
            <w:r w:rsidRPr="000A16BF">
              <w:rPr>
                <w:rFonts w:eastAsia="Times New Roman"/>
                <w:b/>
                <w:bCs/>
                <w:szCs w:val="26"/>
              </w:rPr>
              <w:t>Total for PRC-028-1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A16BF" w:rsidP="00B93EA5" w14:paraId="202CD28A" w14:textId="77777777">
            <w:pPr>
              <w:widowControl/>
              <w:jc w:val="center"/>
              <w:textAlignment w:val="baseline"/>
              <w:rPr>
                <w:rFonts w:eastAsia="Times New Roman"/>
                <w:szCs w:val="26"/>
              </w:rPr>
            </w:pPr>
            <w:r w:rsidRPr="00B93EA5">
              <w:rPr>
                <w:rFonts w:eastAsia="Times New Roman"/>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A16BF" w:rsidP="00B93EA5" w14:paraId="7295ACBB" w14:textId="77777777">
            <w:pPr>
              <w:widowControl/>
              <w:jc w:val="center"/>
              <w:textAlignment w:val="baseline"/>
              <w:rPr>
                <w:rFonts w:eastAsia="Times New Roman"/>
                <w:szCs w:val="26"/>
              </w:rPr>
            </w:pPr>
            <w:r w:rsidRPr="00B93EA5">
              <w:rPr>
                <w:rFonts w:eastAsia="Times New Roman"/>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73106F67" w14:textId="2FE2ED55">
            <w:pPr>
              <w:widowControl/>
              <w:jc w:val="center"/>
              <w:textAlignment w:val="baseline"/>
              <w:rPr>
                <w:rFonts w:eastAsia="Times New Roman"/>
                <w:szCs w:val="26"/>
              </w:rPr>
            </w:pPr>
            <w:r w:rsidRPr="000A16BF">
              <w:rPr>
                <w:rFonts w:eastAsia="Times New Roman"/>
                <w:b/>
                <w:bCs/>
                <w:szCs w:val="26"/>
              </w:rPr>
              <w:t>1,346</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A16BF" w:rsidP="00B93EA5" w14:paraId="588EAACB" w14:textId="77777777">
            <w:pPr>
              <w:widowControl/>
              <w:jc w:val="right"/>
              <w:textAlignment w:val="baseline"/>
              <w:rPr>
                <w:rFonts w:eastAsia="Times New Roman"/>
                <w:szCs w:val="26"/>
              </w:rPr>
            </w:pPr>
            <w:r w:rsidRPr="00B93EA5">
              <w:rPr>
                <w:rFonts w:eastAsia="Times New Roman"/>
                <w:szCs w:val="26"/>
              </w:rPr>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743B08A2" w14:textId="4BF3031B">
            <w:pPr>
              <w:widowControl/>
              <w:jc w:val="right"/>
              <w:textAlignment w:val="baseline"/>
              <w:rPr>
                <w:rFonts w:eastAsia="Times New Roman"/>
                <w:szCs w:val="26"/>
              </w:rPr>
            </w:pPr>
            <w:r w:rsidRPr="00743FB7">
              <w:rPr>
                <w:rFonts w:eastAsia="Times New Roman"/>
                <w:szCs w:val="26"/>
              </w:rPr>
              <w:t>107,680</w:t>
            </w:r>
            <w:r w:rsidRPr="000A16BF">
              <w:rPr>
                <w:rFonts w:eastAsia="Times New Roman"/>
                <w:szCs w:val="26"/>
              </w:rPr>
              <w:t xml:space="preserve"> hrs. </w:t>
            </w:r>
          </w:p>
          <w:p w:rsidR="00B93EA5" w:rsidRPr="000A16BF" w:rsidP="00B93EA5" w14:paraId="17C7155B" w14:textId="5EFE91BD">
            <w:pPr>
              <w:widowControl/>
              <w:jc w:val="right"/>
              <w:textAlignment w:val="baseline"/>
              <w:rPr>
                <w:rFonts w:eastAsia="Times New Roman"/>
                <w:szCs w:val="26"/>
              </w:rPr>
            </w:pPr>
            <w:r w:rsidRPr="000A16BF">
              <w:rPr>
                <w:rFonts w:eastAsia="Times New Roman"/>
                <w:szCs w:val="26"/>
              </w:rPr>
              <w:t xml:space="preserve">$ </w:t>
            </w:r>
            <w:r w:rsidRPr="00A6537B" w:rsidR="00A6537B">
              <w:rPr>
                <w:rFonts w:eastAsia="Times New Roman"/>
                <w:szCs w:val="26"/>
              </w:rPr>
              <w:t>7,609,745.6</w:t>
            </w:r>
            <w:r w:rsidRPr="000A16BF">
              <w:rPr>
                <w:rFonts w:eastAsia="Times New Roman"/>
                <w:szCs w:val="26"/>
              </w:rPr>
              <w:t>0 </w:t>
            </w:r>
          </w:p>
        </w:tc>
      </w:tr>
    </w:tbl>
    <w:p w:rsidR="00B93EA5" w:rsidRPr="000A16BF" w:rsidP="0022247D" w14:paraId="300FF45F" w14:textId="0041355A">
      <w:pPr>
        <w:pStyle w:val="FERCparanumber"/>
        <w:numPr>
          <w:ilvl w:val="0"/>
          <w:numId w:val="0"/>
        </w:numPr>
        <w:textAlignment w:val="baseline"/>
        <w:rPr>
          <w:rFonts w:eastAsia="Times New Roman"/>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4"/>
        <w:gridCol w:w="1890"/>
        <w:gridCol w:w="1440"/>
        <w:gridCol w:w="1440"/>
        <w:gridCol w:w="1350"/>
        <w:gridCol w:w="1800"/>
      </w:tblGrid>
      <w:tr w14:paraId="051FCB91" w14:textId="77777777" w:rsidTr="00B93EA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B93EA5" w:rsidRPr="000A16BF" w:rsidP="00B93EA5" w14:paraId="6F1EA152" w14:textId="1BDD6C42">
            <w:pPr>
              <w:divId w:val="603539964"/>
              <w:widowControl/>
              <w:jc w:val="center"/>
              <w:textAlignment w:val="baseline"/>
              <w:rPr>
                <w:rFonts w:eastAsia="Times New Roman"/>
                <w:szCs w:val="26"/>
              </w:rPr>
            </w:pPr>
            <w:r w:rsidRPr="000A16BF">
              <w:rPr>
                <w:rFonts w:eastAsia="Times New Roman"/>
                <w:b/>
                <w:bCs/>
                <w:szCs w:val="26"/>
              </w:rPr>
              <w:t>Proposed Burden PRC-030-1 Docket No. RD25-3</w:t>
            </w:r>
          </w:p>
        </w:tc>
      </w:tr>
      <w:tr w14:paraId="3733D8CC" w14:textId="77777777" w:rsidTr="00B93EA5">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2FD1280F" w14:textId="55B162B5">
            <w:pPr>
              <w:widowControl/>
              <w:textAlignment w:val="baseline"/>
              <w:rPr>
                <w:rFonts w:eastAsia="Times New Roman"/>
                <w:szCs w:val="26"/>
              </w:rPr>
            </w:pPr>
            <w:r w:rsidRPr="000A16BF">
              <w:rPr>
                <w:rFonts w:eastAsia="Times New Roman"/>
                <w:b/>
                <w:bCs/>
                <w:szCs w:val="26"/>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672857" w:rsidP="00B93EA5" w14:paraId="4122B14F" w14:textId="65F37525">
            <w:pPr>
              <w:widowControl/>
              <w:textAlignment w:val="baseline"/>
              <w:rPr>
                <w:rFonts w:eastAsia="Times New Roman"/>
                <w:szCs w:val="26"/>
              </w:rPr>
            </w:pPr>
            <w:r w:rsidRPr="000A16BF">
              <w:rPr>
                <w:rFonts w:eastAsia="Times New Roman"/>
                <w:b/>
                <w:bCs/>
                <w:szCs w:val="26"/>
              </w:rPr>
              <w:t>Type and Number of Entity</w:t>
            </w:r>
            <w:r>
              <w:rPr>
                <w:rStyle w:val="FootnoteReference"/>
                <w:rFonts w:eastAsia="Times New Roman"/>
                <w:szCs w:val="26"/>
              </w:rPr>
              <w:footnoteReference w:id="45"/>
            </w:r>
            <w:r w:rsidR="000607B0">
              <w:rPr>
                <w:rFonts w:eastAsia="Times New Roman"/>
                <w:szCs w:val="26"/>
              </w:rPr>
              <w:t xml:space="preserve"> </w:t>
            </w:r>
          </w:p>
          <w:p w:rsidR="00124003" w:rsidP="0022247D" w14:paraId="5F91083E" w14:textId="77777777">
            <w:pPr>
              <w:widowControl/>
              <w:jc w:val="center"/>
              <w:textAlignment w:val="baseline"/>
              <w:rPr>
                <w:rFonts w:eastAsia="Times New Roman"/>
                <w:b/>
                <w:szCs w:val="26"/>
              </w:rPr>
            </w:pPr>
          </w:p>
          <w:p w:rsidR="00124003" w:rsidP="0022247D" w14:paraId="512527DC" w14:textId="77777777">
            <w:pPr>
              <w:widowControl/>
              <w:jc w:val="center"/>
              <w:textAlignment w:val="baseline"/>
              <w:rPr>
                <w:rFonts w:eastAsia="Times New Roman"/>
                <w:b/>
                <w:szCs w:val="26"/>
              </w:rPr>
            </w:pPr>
          </w:p>
          <w:p w:rsidR="00124003" w:rsidP="0022247D" w14:paraId="05137348" w14:textId="77777777">
            <w:pPr>
              <w:widowControl/>
              <w:jc w:val="center"/>
              <w:textAlignment w:val="baseline"/>
              <w:rPr>
                <w:rFonts w:eastAsia="Times New Roman"/>
                <w:b/>
                <w:szCs w:val="26"/>
              </w:rPr>
            </w:pPr>
          </w:p>
          <w:p w:rsidR="00B93EA5" w:rsidRPr="000A16BF" w:rsidP="0022247D" w14:paraId="05FA8BA3" w14:textId="1976FEA3">
            <w:pPr>
              <w:widowControl/>
              <w:jc w:val="center"/>
              <w:textAlignment w:val="baseline"/>
              <w:rPr>
                <w:rFonts w:eastAsia="Times New Roman"/>
                <w:szCs w:val="26"/>
              </w:rPr>
            </w:pPr>
            <w:r w:rsidRPr="0022247D">
              <w:rPr>
                <w:rFonts w:eastAsia="Times New Roman"/>
                <w:b/>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24003" w:rsidP="00B93EA5" w14:paraId="1625587B" w14:textId="77777777">
            <w:pPr>
              <w:widowControl/>
              <w:textAlignment w:val="baseline"/>
              <w:rPr>
                <w:rFonts w:eastAsia="Times New Roman"/>
                <w:b/>
                <w:bCs/>
                <w:szCs w:val="26"/>
              </w:rPr>
            </w:pPr>
            <w:r w:rsidRPr="000A16BF">
              <w:rPr>
                <w:rFonts w:eastAsia="Times New Roman"/>
                <w:b/>
                <w:bCs/>
                <w:szCs w:val="26"/>
              </w:rPr>
              <w:t xml:space="preserve">Number of Annual </w:t>
            </w:r>
          </w:p>
          <w:p w:rsidR="00124003" w:rsidP="00B93EA5" w14:paraId="33A9B232" w14:textId="77777777">
            <w:pPr>
              <w:widowControl/>
              <w:textAlignment w:val="baseline"/>
              <w:rPr>
                <w:rFonts w:eastAsia="Times New Roman"/>
                <w:b/>
                <w:bCs/>
                <w:szCs w:val="26"/>
              </w:rPr>
            </w:pPr>
          </w:p>
          <w:p w:rsidR="00124003" w:rsidP="00B93EA5" w14:paraId="19BAF97B" w14:textId="77777777">
            <w:pPr>
              <w:widowControl/>
              <w:textAlignment w:val="baseline"/>
              <w:rPr>
                <w:rFonts w:eastAsia="Times New Roman"/>
                <w:b/>
                <w:bCs/>
                <w:szCs w:val="26"/>
              </w:rPr>
            </w:pPr>
          </w:p>
          <w:p w:rsidR="00124003" w:rsidP="00B93EA5" w14:paraId="1D637FC7" w14:textId="77777777">
            <w:pPr>
              <w:widowControl/>
              <w:textAlignment w:val="baseline"/>
              <w:rPr>
                <w:rFonts w:eastAsia="Times New Roman"/>
                <w:b/>
                <w:bCs/>
                <w:szCs w:val="26"/>
              </w:rPr>
            </w:pPr>
          </w:p>
          <w:p w:rsidR="00672857" w:rsidP="00B93EA5" w14:paraId="50307343" w14:textId="3501B402">
            <w:pPr>
              <w:widowControl/>
              <w:textAlignment w:val="baseline"/>
              <w:rPr>
                <w:rFonts w:eastAsia="Times New Roman"/>
                <w:szCs w:val="26"/>
              </w:rPr>
            </w:pPr>
            <w:r w:rsidRPr="000A16BF">
              <w:rPr>
                <w:rFonts w:eastAsia="Times New Roman"/>
                <w:b/>
                <w:bCs/>
                <w:szCs w:val="26"/>
              </w:rPr>
              <w:t>Responses Per Entity</w:t>
            </w:r>
          </w:p>
          <w:p w:rsidR="00B93EA5" w:rsidRPr="000A16BF" w:rsidP="0022247D" w14:paraId="77CBAAED" w14:textId="583EA5C3">
            <w:pPr>
              <w:widowControl/>
              <w:jc w:val="center"/>
              <w:textAlignment w:val="baseline"/>
              <w:rPr>
                <w:rFonts w:eastAsia="Times New Roman"/>
                <w:szCs w:val="26"/>
              </w:rPr>
            </w:pPr>
            <w:r w:rsidRPr="000A16BF">
              <w:rPr>
                <w:rFonts w:eastAsia="Times New Roman"/>
                <w:b/>
                <w:bCs/>
                <w:szCs w:val="26"/>
              </w:rPr>
              <w:t>(</w:t>
            </w:r>
            <w:r w:rsidRPr="0022247D">
              <w:rPr>
                <w:rFonts w:eastAsia="Times New Roman"/>
                <w:b/>
                <w:szCs w:val="26"/>
              </w:rPr>
              <w:t>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5B694793" w14:textId="6D1FA3A2">
            <w:pPr>
              <w:widowControl/>
              <w:textAlignment w:val="baseline"/>
              <w:rPr>
                <w:rFonts w:eastAsia="Times New Roman"/>
                <w:szCs w:val="26"/>
              </w:rPr>
            </w:pPr>
            <w:r w:rsidRPr="000A16BF">
              <w:rPr>
                <w:rFonts w:eastAsia="Times New Roman"/>
                <w:b/>
                <w:bCs/>
                <w:szCs w:val="26"/>
              </w:rPr>
              <w:t>Total Number of Responses</w:t>
            </w:r>
          </w:p>
          <w:p w:rsidR="00124003" w:rsidP="0022247D" w14:paraId="15DCD578" w14:textId="77777777">
            <w:pPr>
              <w:widowControl/>
              <w:jc w:val="center"/>
              <w:textAlignment w:val="baseline"/>
              <w:rPr>
                <w:rFonts w:eastAsia="Times New Roman"/>
                <w:b/>
                <w:bCs/>
                <w:szCs w:val="26"/>
              </w:rPr>
            </w:pPr>
          </w:p>
          <w:p w:rsidR="00124003" w:rsidP="0022247D" w14:paraId="237FA0F2" w14:textId="77777777">
            <w:pPr>
              <w:widowControl/>
              <w:jc w:val="center"/>
              <w:textAlignment w:val="baseline"/>
              <w:rPr>
                <w:rFonts w:eastAsia="Times New Roman"/>
                <w:b/>
                <w:bCs/>
                <w:szCs w:val="26"/>
              </w:rPr>
            </w:pPr>
          </w:p>
          <w:p w:rsidR="00124003" w:rsidP="0022247D" w14:paraId="38CA4A2A" w14:textId="77777777">
            <w:pPr>
              <w:widowControl/>
              <w:jc w:val="center"/>
              <w:textAlignment w:val="baseline"/>
              <w:rPr>
                <w:rFonts w:eastAsia="Times New Roman"/>
                <w:b/>
                <w:bCs/>
                <w:szCs w:val="26"/>
              </w:rPr>
            </w:pPr>
          </w:p>
          <w:p w:rsidR="00B93EA5" w:rsidRPr="000A16BF" w:rsidP="0022247D" w14:paraId="70EBA771" w14:textId="724E16B6">
            <w:pPr>
              <w:widowControl/>
              <w:jc w:val="center"/>
              <w:textAlignment w:val="baseline"/>
              <w:rPr>
                <w:rFonts w:eastAsia="Times New Roman"/>
                <w:szCs w:val="26"/>
              </w:rPr>
            </w:pPr>
            <w:r w:rsidRPr="000A16BF">
              <w:rPr>
                <w:rFonts w:eastAsia="Times New Roman"/>
                <w:b/>
                <w:bCs/>
                <w:szCs w:val="26"/>
              </w:rPr>
              <w:t>(1)*(2)=(3)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1B83A07A" w14:textId="2791272B">
            <w:pPr>
              <w:widowControl/>
              <w:textAlignment w:val="baseline"/>
              <w:rPr>
                <w:rFonts w:eastAsia="Times New Roman"/>
                <w:szCs w:val="26"/>
              </w:rPr>
            </w:pPr>
            <w:r w:rsidRPr="000A16BF">
              <w:rPr>
                <w:rFonts w:eastAsia="Times New Roman"/>
                <w:b/>
                <w:bCs/>
                <w:szCs w:val="26"/>
              </w:rPr>
              <w:t xml:space="preserve">Average </w:t>
            </w:r>
            <w:r w:rsidRPr="000A16BF">
              <w:rPr>
                <w:rFonts w:eastAsia="Times New Roman"/>
                <w:b/>
                <w:bCs/>
                <w:szCs w:val="26"/>
              </w:rPr>
              <w:t>Number</w:t>
            </w:r>
            <w:r w:rsidRPr="000A16BF">
              <w:rPr>
                <w:rFonts w:eastAsia="Times New Roman"/>
                <w:b/>
                <w:bCs/>
                <w:szCs w:val="26"/>
              </w:rPr>
              <w:t xml:space="preserve"> of Burden </w:t>
            </w:r>
            <w:r w:rsidRPr="000A16BF">
              <w:rPr>
                <w:rFonts w:eastAsia="Times New Roman"/>
                <w:b/>
                <w:bCs/>
                <w:szCs w:val="26"/>
              </w:rPr>
              <w:t>Hours per Response</w:t>
            </w:r>
            <w:r>
              <w:rPr>
                <w:rStyle w:val="FootnoteReference"/>
                <w:rFonts w:eastAsia="Times New Roman"/>
                <w:bCs/>
                <w:szCs w:val="26"/>
              </w:rPr>
              <w:footnoteReference w:id="46"/>
            </w:r>
          </w:p>
          <w:p w:rsidR="00B93EA5" w:rsidRPr="000A16BF" w:rsidP="0022247D" w14:paraId="23B016B4" w14:textId="7F6010E5">
            <w:pPr>
              <w:widowControl/>
              <w:jc w:val="center"/>
              <w:textAlignment w:val="baseline"/>
              <w:rPr>
                <w:rFonts w:eastAsia="Times New Roman"/>
                <w:szCs w:val="26"/>
              </w:rPr>
            </w:pPr>
            <w:r w:rsidRPr="000A16BF">
              <w:rPr>
                <w:rFonts w:eastAsia="Times New Roman"/>
                <w:b/>
                <w:bCs/>
                <w:szCs w:val="26"/>
              </w:rPr>
              <w:t>(4)</w:t>
            </w:r>
            <w:r w:rsidRPr="000A16BF">
              <w:rPr>
                <w:rFonts w:eastAsia="Times New Roman"/>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3563BB94" w14:textId="5C39B9F0">
            <w:pPr>
              <w:widowControl/>
              <w:textAlignment w:val="baseline"/>
              <w:rPr>
                <w:rFonts w:eastAsia="Times New Roman"/>
                <w:szCs w:val="26"/>
              </w:rPr>
            </w:pPr>
            <w:r w:rsidRPr="000A16BF">
              <w:rPr>
                <w:rFonts w:eastAsia="Times New Roman"/>
                <w:b/>
                <w:bCs/>
                <w:szCs w:val="26"/>
              </w:rPr>
              <w:t>Total Burden Hours</w:t>
            </w:r>
          </w:p>
          <w:p w:rsidR="00B93EA5" w:rsidRPr="000A16BF" w:rsidP="0022247D" w14:paraId="4E1FDB7B" w14:textId="7E4CF5E0">
            <w:pPr>
              <w:widowControl/>
              <w:jc w:val="center"/>
              <w:textAlignment w:val="baseline"/>
              <w:rPr>
                <w:rFonts w:eastAsia="Times New Roman"/>
                <w:szCs w:val="26"/>
              </w:rPr>
            </w:pPr>
            <w:r w:rsidRPr="000A16BF">
              <w:rPr>
                <w:rFonts w:eastAsia="Times New Roman"/>
                <w:b/>
                <w:bCs/>
                <w:szCs w:val="26"/>
              </w:rPr>
              <w:t>(3)*(4)=(5)</w:t>
            </w:r>
          </w:p>
        </w:tc>
      </w:tr>
      <w:tr w14:paraId="314DBB3A" w14:textId="77777777" w:rsidTr="00B93EA5">
        <w:tblPrEx>
          <w:tblW w:w="0" w:type="dxa"/>
          <w:tblCellMar>
            <w:left w:w="0" w:type="dxa"/>
            <w:right w:w="0" w:type="dxa"/>
          </w:tblCellMar>
          <w:tblLook w:val="04A0"/>
        </w:tblPrEx>
        <w:trPr>
          <w:trHeight w:val="42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B93EA5" w:rsidRPr="000A16BF" w:rsidP="00B93EA5" w14:paraId="5B10DF27" w14:textId="6E744A53">
            <w:pPr>
              <w:widowControl/>
              <w:jc w:val="center"/>
              <w:textAlignment w:val="baseline"/>
              <w:rPr>
                <w:rFonts w:eastAsia="Times New Roman"/>
                <w:szCs w:val="26"/>
              </w:rPr>
            </w:pPr>
            <w:r w:rsidRPr="00B93EA5">
              <w:rPr>
                <w:rFonts w:eastAsia="Times New Roman"/>
                <w:b/>
                <w:bCs/>
                <w:szCs w:val="26"/>
              </w:rPr>
              <w:t>Annual Collection PRC-0</w:t>
            </w:r>
            <w:r w:rsidR="00587A03">
              <w:rPr>
                <w:rFonts w:eastAsia="Times New Roman"/>
                <w:b/>
                <w:bCs/>
                <w:szCs w:val="26"/>
              </w:rPr>
              <w:t>30</w:t>
            </w:r>
            <w:r w:rsidRPr="00B93EA5">
              <w:rPr>
                <w:rFonts w:eastAsia="Times New Roman"/>
                <w:b/>
                <w:bCs/>
                <w:szCs w:val="26"/>
              </w:rPr>
              <w:t>-1 FERC-725G</w:t>
            </w:r>
          </w:p>
        </w:tc>
      </w:tr>
      <w:tr w14:paraId="7F62321C" w14:textId="77777777" w:rsidTr="00B93EA5">
        <w:tblPrEx>
          <w:tblW w:w="0" w:type="dxa"/>
          <w:tblCellMar>
            <w:left w:w="0" w:type="dxa"/>
            <w:right w:w="0" w:type="dxa"/>
          </w:tblCellMar>
          <w:tblLook w:val="04A0"/>
        </w:tblPrEx>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0E1474AB" w14:textId="22331C6A">
            <w:pPr>
              <w:widowControl/>
              <w:textAlignment w:val="baseline"/>
              <w:rPr>
                <w:rFonts w:eastAsia="Times New Roman"/>
                <w:szCs w:val="26"/>
              </w:rPr>
            </w:pPr>
            <w:r w:rsidRPr="000A16BF">
              <w:rPr>
                <w:rFonts w:eastAsia="Times New Roman"/>
                <w:b/>
                <w:bCs/>
                <w:szCs w:val="26"/>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41CC7A5F" w14:textId="57724164">
            <w:pPr>
              <w:widowControl/>
              <w:textAlignment w:val="baseline"/>
              <w:rPr>
                <w:rFonts w:eastAsia="Times New Roman"/>
                <w:szCs w:val="26"/>
              </w:rPr>
            </w:pPr>
            <w:r w:rsidRPr="000A16BF">
              <w:rPr>
                <w:rFonts w:eastAsia="Times New Roman"/>
                <w:szCs w:val="26"/>
              </w:rPr>
              <w:t>591 (BES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5C7F5578" w14:textId="7720DE32">
            <w:pPr>
              <w:widowControl/>
              <w:jc w:val="center"/>
              <w:textAlignment w:val="baseline"/>
              <w:rPr>
                <w:rFonts w:eastAsia="Times New Roman"/>
                <w:szCs w:val="26"/>
              </w:rPr>
            </w:pPr>
            <w:r w:rsidRPr="000A16BF">
              <w:rPr>
                <w:rFonts w:eastAsia="Times New Roman"/>
                <w:szCs w:val="26"/>
              </w:rPr>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1BFEB6F6" w14:textId="1085B209">
            <w:pPr>
              <w:widowControl/>
              <w:jc w:val="center"/>
              <w:textAlignment w:val="baseline"/>
              <w:rPr>
                <w:rFonts w:eastAsia="Times New Roman"/>
                <w:szCs w:val="26"/>
              </w:rPr>
            </w:pPr>
            <w:r w:rsidRPr="000A16BF">
              <w:rPr>
                <w:rFonts w:eastAsia="Times New Roman"/>
                <w:szCs w:val="26"/>
              </w:rPr>
              <w:t>296</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15BDB118" w14:textId="66E210F3">
            <w:pPr>
              <w:widowControl/>
              <w:jc w:val="right"/>
              <w:textAlignment w:val="baseline"/>
              <w:rPr>
                <w:rFonts w:eastAsia="Times New Roman"/>
                <w:szCs w:val="26"/>
              </w:rPr>
            </w:pPr>
            <w:r w:rsidRPr="000A16BF">
              <w:rPr>
                <w:rFonts w:eastAsia="Times New Roman"/>
                <w:szCs w:val="26"/>
              </w:rPr>
              <w:t>40</w:t>
            </w:r>
            <w:r w:rsidR="00C93AEA">
              <w:rPr>
                <w:rFonts w:eastAsia="Times New Roman"/>
                <w:szCs w:val="26"/>
              </w:rPr>
              <w:t xml:space="preserve"> </w:t>
            </w:r>
            <w:r w:rsidRPr="000A16BF">
              <w:rPr>
                <w:rFonts w:eastAsia="Times New Roman"/>
                <w:szCs w:val="26"/>
              </w:rPr>
              <w:t>hrs. </w:t>
            </w:r>
          </w:p>
          <w:p w:rsidR="00B93EA5" w:rsidRPr="000A16BF" w:rsidP="00B93EA5" w14:paraId="293FA243" w14:textId="77777777">
            <w:pPr>
              <w:widowControl/>
              <w:jc w:val="right"/>
              <w:textAlignment w:val="baseline"/>
              <w:rPr>
                <w:rFonts w:eastAsia="Times New Roman"/>
                <w:szCs w:val="26"/>
              </w:rPr>
            </w:pPr>
            <w:r w:rsidRPr="000A16BF">
              <w:rPr>
                <w:rFonts w:eastAsia="Times New Roman"/>
                <w:szCs w:val="26"/>
              </w:rPr>
              <w:t>$ 70.67/</w:t>
            </w:r>
            <w:r w:rsidRPr="000A16BF">
              <w:rPr>
                <w:rFonts w:eastAsia="Times New Roman"/>
                <w:szCs w:val="26"/>
              </w:rPr>
              <w:t>hr</w:t>
            </w:r>
            <w:r w:rsidRPr="000A16BF">
              <w:rPr>
                <w:rFonts w:eastAsia="Times New Roman"/>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0940B531" w14:textId="7B1EC8FF">
            <w:pPr>
              <w:widowControl/>
              <w:jc w:val="right"/>
              <w:textAlignment w:val="baseline"/>
              <w:rPr>
                <w:rFonts w:eastAsia="Times New Roman"/>
                <w:szCs w:val="26"/>
              </w:rPr>
            </w:pPr>
            <w:r w:rsidRPr="000A16BF">
              <w:rPr>
                <w:rFonts w:eastAsia="Times New Roman"/>
                <w:szCs w:val="26"/>
              </w:rPr>
              <w:t>11,840</w:t>
            </w:r>
            <w:r w:rsidR="00C93AEA">
              <w:rPr>
                <w:rFonts w:eastAsia="Times New Roman"/>
                <w:szCs w:val="26"/>
              </w:rPr>
              <w:t xml:space="preserve"> </w:t>
            </w:r>
            <w:r w:rsidRPr="000A16BF">
              <w:rPr>
                <w:rFonts w:eastAsia="Times New Roman"/>
                <w:szCs w:val="26"/>
              </w:rPr>
              <w:t>hrs. </w:t>
            </w:r>
          </w:p>
          <w:p w:rsidR="00B93EA5" w:rsidRPr="000A16BF" w:rsidP="00B93EA5" w14:paraId="1273CBE8" w14:textId="77777777">
            <w:pPr>
              <w:widowControl/>
              <w:jc w:val="right"/>
              <w:textAlignment w:val="baseline"/>
              <w:rPr>
                <w:rFonts w:eastAsia="Times New Roman"/>
                <w:szCs w:val="26"/>
              </w:rPr>
            </w:pPr>
            <w:r w:rsidRPr="000A16BF">
              <w:rPr>
                <w:rFonts w:eastAsia="Times New Roman"/>
                <w:szCs w:val="26"/>
              </w:rPr>
              <w:t>$ 836,732.80 </w:t>
            </w:r>
          </w:p>
        </w:tc>
      </w:tr>
      <w:tr w14:paraId="2BD37B06" w14:textId="77777777" w:rsidTr="00B93EA5">
        <w:tblPrEx>
          <w:tblW w:w="0"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93EA5" w:rsidRPr="000A16BF" w:rsidP="00B93EA5" w14:paraId="75294A2A" w14:textId="77777777">
            <w:pPr>
              <w:widowControl/>
              <w:rPr>
                <w:rFonts w:eastAsia="Times New Roman"/>
                <w:szCs w:val="26"/>
              </w:rPr>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4C0F1FF9" w14:textId="273CD389">
            <w:pPr>
              <w:widowControl/>
              <w:textAlignment w:val="baseline"/>
              <w:rPr>
                <w:rFonts w:eastAsia="Times New Roman"/>
                <w:szCs w:val="26"/>
              </w:rPr>
            </w:pPr>
            <w:r w:rsidRPr="000A16BF">
              <w:rPr>
                <w:rFonts w:eastAsia="Times New Roman"/>
                <w:szCs w:val="26"/>
              </w:rPr>
              <w:t>755 (Non-BES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7B4A70E4" w14:textId="64F233BF">
            <w:pPr>
              <w:widowControl/>
              <w:jc w:val="center"/>
              <w:textAlignment w:val="baseline"/>
              <w:rPr>
                <w:rFonts w:eastAsia="Times New Roman"/>
                <w:szCs w:val="26"/>
              </w:rPr>
            </w:pPr>
            <w:r w:rsidRPr="000A16BF">
              <w:rPr>
                <w:rFonts w:eastAsia="Times New Roman"/>
                <w:szCs w:val="26"/>
              </w:rPr>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71D9C812" w14:textId="294CB844">
            <w:pPr>
              <w:widowControl/>
              <w:jc w:val="center"/>
              <w:textAlignment w:val="baseline"/>
              <w:rPr>
                <w:rFonts w:eastAsia="Times New Roman"/>
                <w:szCs w:val="26"/>
              </w:rPr>
            </w:pPr>
            <w:r w:rsidRPr="000A16BF">
              <w:rPr>
                <w:rFonts w:eastAsia="Times New Roman"/>
                <w:szCs w:val="26"/>
              </w:rPr>
              <w:t>378</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4ADD5472" w14:textId="54657175">
            <w:pPr>
              <w:widowControl/>
              <w:jc w:val="right"/>
              <w:textAlignment w:val="baseline"/>
              <w:rPr>
                <w:rFonts w:eastAsia="Times New Roman"/>
                <w:szCs w:val="26"/>
              </w:rPr>
            </w:pPr>
            <w:r w:rsidRPr="000A16BF">
              <w:rPr>
                <w:rFonts w:eastAsia="Times New Roman"/>
                <w:szCs w:val="26"/>
              </w:rPr>
              <w:t>40hrs. </w:t>
            </w:r>
          </w:p>
          <w:p w:rsidR="00B93EA5" w:rsidRPr="000A16BF" w:rsidP="00B93EA5" w14:paraId="27FD87A3" w14:textId="77777777">
            <w:pPr>
              <w:widowControl/>
              <w:jc w:val="right"/>
              <w:textAlignment w:val="baseline"/>
              <w:rPr>
                <w:rFonts w:eastAsia="Times New Roman"/>
                <w:szCs w:val="26"/>
              </w:rPr>
            </w:pPr>
            <w:r w:rsidRPr="000A16BF">
              <w:rPr>
                <w:rFonts w:eastAsia="Times New Roman"/>
                <w:szCs w:val="26"/>
              </w:rPr>
              <w:t>$ 70.67/</w:t>
            </w:r>
            <w:r w:rsidRPr="000A16BF">
              <w:rPr>
                <w:rFonts w:eastAsia="Times New Roman"/>
                <w:szCs w:val="26"/>
              </w:rPr>
              <w:t>hr</w:t>
            </w:r>
            <w:r w:rsidRPr="000A16BF">
              <w:rPr>
                <w:rFonts w:eastAsia="Times New Roman"/>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4449331C" w14:textId="77777777">
            <w:pPr>
              <w:widowControl/>
              <w:jc w:val="right"/>
              <w:textAlignment w:val="baseline"/>
              <w:rPr>
                <w:rFonts w:eastAsia="Times New Roman"/>
                <w:szCs w:val="26"/>
              </w:rPr>
            </w:pPr>
            <w:r w:rsidRPr="000A16BF">
              <w:rPr>
                <w:rFonts w:eastAsia="Times New Roman"/>
                <w:szCs w:val="26"/>
              </w:rPr>
              <w:t>15,120 hrs. </w:t>
            </w:r>
          </w:p>
          <w:p w:rsidR="00B93EA5" w:rsidRPr="000A16BF" w:rsidP="00B93EA5" w14:paraId="473A8A2B" w14:textId="2B65FDEE">
            <w:pPr>
              <w:widowControl/>
              <w:jc w:val="right"/>
              <w:textAlignment w:val="baseline"/>
              <w:rPr>
                <w:rFonts w:eastAsia="Times New Roman"/>
                <w:szCs w:val="26"/>
              </w:rPr>
            </w:pPr>
            <w:r w:rsidRPr="000A16BF">
              <w:rPr>
                <w:rFonts w:eastAsia="Times New Roman"/>
                <w:szCs w:val="26"/>
              </w:rPr>
              <w:t>$ 1,068,530.40 </w:t>
            </w:r>
          </w:p>
        </w:tc>
      </w:tr>
      <w:tr w14:paraId="0B77CB44" w14:textId="77777777" w:rsidTr="00B93EA5">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6B236221" w14:textId="7CBCA8B3">
            <w:pPr>
              <w:widowControl/>
              <w:textAlignment w:val="baseline"/>
              <w:rPr>
                <w:rFonts w:eastAsia="Times New Roman"/>
                <w:szCs w:val="26"/>
              </w:rPr>
            </w:pPr>
            <w:r w:rsidRPr="000A16BF">
              <w:rPr>
                <w:rFonts w:eastAsia="Times New Roman"/>
                <w:b/>
                <w:bCs/>
                <w:szCs w:val="26"/>
              </w:rPr>
              <w:t>Total for PRC-030-1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A16BF" w:rsidP="00B93EA5" w14:paraId="47787ABB" w14:textId="77777777">
            <w:pPr>
              <w:widowControl/>
              <w:jc w:val="center"/>
              <w:textAlignment w:val="baseline"/>
              <w:rPr>
                <w:rFonts w:eastAsia="Times New Roman"/>
                <w:szCs w:val="26"/>
              </w:rPr>
            </w:pPr>
            <w:r w:rsidRPr="000A16BF">
              <w:rPr>
                <w:rFonts w:eastAsia="Times New Roman"/>
                <w:b/>
                <w:bCs/>
                <w:szCs w:val="26"/>
              </w:rPr>
              <w:t> </w:t>
            </w:r>
            <w:r w:rsidRPr="000A16BF">
              <w:rPr>
                <w:rFonts w:eastAsia="Times New Roman"/>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A16BF" w:rsidP="00B93EA5" w14:paraId="740943C1" w14:textId="77777777">
            <w:pPr>
              <w:widowControl/>
              <w:jc w:val="center"/>
              <w:textAlignment w:val="baseline"/>
              <w:rPr>
                <w:rFonts w:eastAsia="Times New Roman"/>
                <w:szCs w:val="26"/>
              </w:rPr>
            </w:pPr>
            <w:r w:rsidRPr="000A16BF">
              <w:rPr>
                <w:rFonts w:eastAsia="Times New Roman"/>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22792B91" w14:textId="77777777">
            <w:pPr>
              <w:widowControl/>
              <w:jc w:val="center"/>
              <w:textAlignment w:val="baseline"/>
              <w:rPr>
                <w:rFonts w:eastAsia="Times New Roman"/>
                <w:szCs w:val="26"/>
              </w:rPr>
            </w:pPr>
            <w:r w:rsidRPr="000A16BF">
              <w:rPr>
                <w:rFonts w:eastAsia="Times New Roman"/>
                <w:szCs w:val="26"/>
              </w:rPr>
              <w:t>674 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B93EA5" w:rsidRPr="000A16BF" w:rsidP="00B93EA5" w14:paraId="1D89153F" w14:textId="77777777">
            <w:pPr>
              <w:widowControl/>
              <w:textAlignment w:val="baseline"/>
              <w:rPr>
                <w:rFonts w:eastAsia="Times New Roman"/>
                <w:szCs w:val="26"/>
              </w:rPr>
            </w:pPr>
            <w:r w:rsidRPr="000A16BF">
              <w:rPr>
                <w:rFonts w:eastAsia="Times New Roman"/>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93EA5" w:rsidRPr="000A16BF" w:rsidP="00B93EA5" w14:paraId="2F00D4E0" w14:textId="1E8EFE71">
            <w:pPr>
              <w:widowControl/>
              <w:jc w:val="right"/>
              <w:textAlignment w:val="baseline"/>
              <w:rPr>
                <w:rFonts w:eastAsia="Times New Roman"/>
                <w:szCs w:val="26"/>
              </w:rPr>
            </w:pPr>
            <w:r w:rsidRPr="000A16BF">
              <w:rPr>
                <w:rFonts w:eastAsia="Times New Roman"/>
                <w:szCs w:val="26"/>
              </w:rPr>
              <w:t>26,960</w:t>
            </w:r>
            <w:r w:rsidR="00C622E9">
              <w:rPr>
                <w:rFonts w:eastAsia="Times New Roman"/>
                <w:szCs w:val="26"/>
              </w:rPr>
              <w:t xml:space="preserve"> </w:t>
            </w:r>
            <w:r w:rsidRPr="000A16BF">
              <w:rPr>
                <w:rFonts w:eastAsia="Times New Roman"/>
                <w:szCs w:val="26"/>
              </w:rPr>
              <w:t>hrs. </w:t>
            </w:r>
          </w:p>
          <w:p w:rsidR="00B93EA5" w:rsidRPr="000A16BF" w:rsidP="00B93EA5" w14:paraId="4DF357B0" w14:textId="77777777">
            <w:pPr>
              <w:widowControl/>
              <w:jc w:val="right"/>
              <w:textAlignment w:val="baseline"/>
              <w:rPr>
                <w:rFonts w:eastAsia="Times New Roman"/>
                <w:szCs w:val="26"/>
              </w:rPr>
            </w:pPr>
            <w:r w:rsidRPr="000A16BF">
              <w:rPr>
                <w:rFonts w:eastAsia="Times New Roman"/>
                <w:szCs w:val="26"/>
              </w:rPr>
              <w:t>$ 1,905,263.20 </w:t>
            </w:r>
          </w:p>
        </w:tc>
      </w:tr>
    </w:tbl>
    <w:p w:rsidR="00CF6CBB" w:rsidP="0005510A" w14:paraId="36D8B394" w14:textId="15E1E19E">
      <w:pPr>
        <w:pStyle w:val="FERCparanumber"/>
        <w:spacing w:before="260"/>
        <w:textAlignment w:val="baseline"/>
        <w:rPr>
          <w:rFonts w:eastAsia="Times New Roman"/>
          <w:szCs w:val="26"/>
        </w:rPr>
      </w:pPr>
      <w:r>
        <w:rPr>
          <w:rFonts w:eastAsia="Times New Roman"/>
          <w:szCs w:val="26"/>
        </w:rPr>
        <w:t xml:space="preserve">The responses and burden hours for Years 1-3 will total respectively as follows: </w:t>
      </w:r>
    </w:p>
    <w:p w:rsidR="0005510A" w:rsidP="0005510A" w14:paraId="1282813E" w14:textId="569DF988">
      <w:pPr>
        <w:pStyle w:val="FERCparanumber"/>
        <w:numPr>
          <w:ilvl w:val="0"/>
          <w:numId w:val="33"/>
        </w:numPr>
        <w:textAlignment w:val="baseline"/>
        <w:rPr>
          <w:rFonts w:eastAsia="Times New Roman"/>
          <w:szCs w:val="26"/>
        </w:rPr>
      </w:pPr>
      <w:r w:rsidRPr="00B93EA5">
        <w:rPr>
          <w:rFonts w:eastAsia="Times New Roman"/>
          <w:szCs w:val="26"/>
        </w:rPr>
        <w:t xml:space="preserve">Year 1-3 each: </w:t>
      </w:r>
      <w:r w:rsidR="001B3E46">
        <w:rPr>
          <w:rFonts w:eastAsia="Times New Roman"/>
          <w:szCs w:val="26"/>
        </w:rPr>
        <w:t xml:space="preserve"> </w:t>
      </w:r>
      <w:r w:rsidRPr="00B93EA5">
        <w:rPr>
          <w:rFonts w:eastAsia="Times New Roman"/>
          <w:szCs w:val="26"/>
        </w:rPr>
        <w:t xml:space="preserve">for </w:t>
      </w:r>
      <w:r w:rsidR="00CF6CBB">
        <w:rPr>
          <w:rFonts w:eastAsia="Times New Roman"/>
          <w:szCs w:val="26"/>
        </w:rPr>
        <w:t xml:space="preserve">proposed Reliability standard </w:t>
      </w:r>
      <w:r w:rsidRPr="00B93EA5">
        <w:rPr>
          <w:rFonts w:eastAsia="Times New Roman"/>
          <w:szCs w:val="26"/>
        </w:rPr>
        <w:t xml:space="preserve">PRC-002-5 will be 1,575 responses; 12,600 </w:t>
      </w:r>
      <w:r w:rsidRPr="00B93EA5">
        <w:rPr>
          <w:rFonts w:eastAsia="Times New Roman"/>
          <w:szCs w:val="26"/>
        </w:rPr>
        <w:t>hours</w:t>
      </w:r>
      <w:r w:rsidR="003F31B1">
        <w:rPr>
          <w:rFonts w:eastAsia="Times New Roman"/>
          <w:szCs w:val="26"/>
        </w:rPr>
        <w:t>;</w:t>
      </w:r>
    </w:p>
    <w:p w:rsidR="0005510A" w:rsidP="0005510A" w14:paraId="5B55882E" w14:textId="057AB532">
      <w:pPr>
        <w:pStyle w:val="FERCparanumber"/>
        <w:numPr>
          <w:ilvl w:val="0"/>
          <w:numId w:val="33"/>
        </w:numPr>
        <w:textAlignment w:val="baseline"/>
        <w:rPr>
          <w:rFonts w:eastAsia="Times New Roman"/>
          <w:szCs w:val="26"/>
        </w:rPr>
      </w:pPr>
      <w:r w:rsidRPr="0005510A">
        <w:rPr>
          <w:rFonts w:eastAsia="Times New Roman"/>
          <w:szCs w:val="26"/>
        </w:rPr>
        <w:t xml:space="preserve">Year 1-3 each: </w:t>
      </w:r>
      <w:r w:rsidR="001B3E46">
        <w:rPr>
          <w:rFonts w:eastAsia="Times New Roman"/>
          <w:szCs w:val="26"/>
        </w:rPr>
        <w:t xml:space="preserve"> </w:t>
      </w:r>
      <w:r w:rsidRPr="0005510A">
        <w:rPr>
          <w:rFonts w:eastAsia="Times New Roman"/>
          <w:szCs w:val="26"/>
        </w:rPr>
        <w:t xml:space="preserve">for </w:t>
      </w:r>
      <w:r w:rsidRPr="0005510A" w:rsidR="00BF79B2">
        <w:rPr>
          <w:rFonts w:eastAsia="Times New Roman"/>
          <w:szCs w:val="26"/>
        </w:rPr>
        <w:t xml:space="preserve">proposed Reliability Standard </w:t>
      </w:r>
      <w:r w:rsidRPr="0005510A">
        <w:rPr>
          <w:rFonts w:eastAsia="Times New Roman"/>
          <w:szCs w:val="26"/>
        </w:rPr>
        <w:t xml:space="preserve">PRC-028-1 will be 1,346 responses; </w:t>
      </w:r>
      <w:r w:rsidRPr="0005510A" w:rsidR="006D4BC8">
        <w:rPr>
          <w:rFonts w:eastAsia="Times New Roman"/>
          <w:szCs w:val="26"/>
        </w:rPr>
        <w:t>107,680</w:t>
      </w:r>
      <w:r w:rsidRPr="0005510A">
        <w:rPr>
          <w:rFonts w:eastAsia="Times New Roman"/>
          <w:szCs w:val="26"/>
        </w:rPr>
        <w:t xml:space="preserve"> hours</w:t>
      </w:r>
      <w:r w:rsidRPr="0005510A" w:rsidR="00F25BDE">
        <w:rPr>
          <w:rFonts w:eastAsia="Times New Roman"/>
          <w:szCs w:val="26"/>
        </w:rPr>
        <w:t>; and</w:t>
      </w:r>
    </w:p>
    <w:p w:rsidR="00F25BDE" w:rsidRPr="0005510A" w:rsidP="0005510A" w14:paraId="55528F18" w14:textId="5CDD9236">
      <w:pPr>
        <w:pStyle w:val="FERCparanumber"/>
        <w:numPr>
          <w:ilvl w:val="0"/>
          <w:numId w:val="33"/>
        </w:numPr>
        <w:textAlignment w:val="baseline"/>
        <w:rPr>
          <w:rFonts w:eastAsia="Times New Roman"/>
          <w:szCs w:val="26"/>
        </w:rPr>
      </w:pPr>
      <w:r w:rsidRPr="0005510A">
        <w:rPr>
          <w:rFonts w:eastAsia="Times New Roman"/>
          <w:szCs w:val="26"/>
        </w:rPr>
        <w:t xml:space="preserve">Year 1-3 each: </w:t>
      </w:r>
      <w:r w:rsidR="001B3E46">
        <w:rPr>
          <w:rFonts w:eastAsia="Times New Roman"/>
          <w:szCs w:val="26"/>
        </w:rPr>
        <w:t xml:space="preserve"> </w:t>
      </w:r>
      <w:r w:rsidRPr="0005510A">
        <w:rPr>
          <w:rFonts w:eastAsia="Times New Roman"/>
          <w:szCs w:val="26"/>
        </w:rPr>
        <w:t xml:space="preserve">for </w:t>
      </w:r>
      <w:r w:rsidRPr="0005510A">
        <w:rPr>
          <w:rFonts w:eastAsia="Times New Roman"/>
          <w:szCs w:val="26"/>
        </w:rPr>
        <w:t xml:space="preserve">proposed Reliability Standard </w:t>
      </w:r>
      <w:r w:rsidRPr="0005510A">
        <w:rPr>
          <w:rFonts w:eastAsia="Times New Roman"/>
          <w:szCs w:val="26"/>
        </w:rPr>
        <w:t>PRC-030-1 will be 674 responses; 26,960 hours.</w:t>
      </w:r>
      <w:r w:rsidRPr="0005510A">
        <w:rPr>
          <w:rFonts w:eastAsia="Times New Roman"/>
          <w:szCs w:val="26"/>
        </w:rPr>
        <w:t xml:space="preserve">  </w:t>
      </w:r>
    </w:p>
    <w:p w:rsidR="00B93EA5" w:rsidRPr="000A16BF" w:rsidP="0022247D" w14:paraId="3714E41E" w14:textId="3D2BD299">
      <w:pPr>
        <w:pStyle w:val="FERCparanumber"/>
        <w:numPr>
          <w:ilvl w:val="0"/>
          <w:numId w:val="33"/>
        </w:numPr>
        <w:textAlignment w:val="baseline"/>
        <w:rPr>
          <w:rFonts w:eastAsia="Times New Roman"/>
          <w:szCs w:val="26"/>
        </w:rPr>
      </w:pPr>
      <w:r w:rsidRPr="00B93EA5">
        <w:rPr>
          <w:rFonts w:eastAsia="Times New Roman"/>
          <w:szCs w:val="26"/>
        </w:rPr>
        <w:t xml:space="preserve">The annual cost burden for each </w:t>
      </w:r>
      <w:r w:rsidR="00170069">
        <w:rPr>
          <w:rFonts w:eastAsia="Times New Roman"/>
          <w:szCs w:val="26"/>
        </w:rPr>
        <w:t>Year 1-3</w:t>
      </w:r>
      <w:r w:rsidRPr="00B93EA5">
        <w:rPr>
          <w:rFonts w:eastAsia="Times New Roman"/>
          <w:szCs w:val="26"/>
        </w:rPr>
        <w:t xml:space="preserve"> is $890,442.00 </w:t>
      </w:r>
      <w:r w:rsidR="00362CD8">
        <w:rPr>
          <w:rFonts w:eastAsia="Times New Roman"/>
          <w:szCs w:val="26"/>
        </w:rPr>
        <w:t>for proposed Reliability Standard</w:t>
      </w:r>
      <w:r w:rsidRPr="00B93EA5">
        <w:rPr>
          <w:rFonts w:eastAsia="Times New Roman"/>
          <w:szCs w:val="26"/>
        </w:rPr>
        <w:t xml:space="preserve"> PRC-002-5</w:t>
      </w:r>
      <w:r w:rsidR="00407C27">
        <w:rPr>
          <w:rFonts w:eastAsia="Times New Roman"/>
          <w:szCs w:val="26"/>
        </w:rPr>
        <w:t>;</w:t>
      </w:r>
      <w:r w:rsidRPr="00B93EA5">
        <w:rPr>
          <w:rFonts w:eastAsia="Times New Roman"/>
          <w:szCs w:val="26"/>
        </w:rPr>
        <w:t xml:space="preserve"> $</w:t>
      </w:r>
      <w:r w:rsidRPr="006B0864" w:rsidR="006B0864">
        <w:rPr>
          <w:rFonts w:eastAsia="Times New Roman"/>
          <w:szCs w:val="26"/>
        </w:rPr>
        <w:t>7,609,745.60</w:t>
      </w:r>
      <w:r w:rsidRPr="00B93EA5">
        <w:rPr>
          <w:rFonts w:eastAsia="Times New Roman"/>
          <w:szCs w:val="26"/>
        </w:rPr>
        <w:t xml:space="preserve"> </w:t>
      </w:r>
      <w:r w:rsidR="00362CD8">
        <w:rPr>
          <w:rFonts w:eastAsia="Times New Roman"/>
          <w:szCs w:val="26"/>
        </w:rPr>
        <w:t>for Proposed Reliability Standard</w:t>
      </w:r>
      <w:r w:rsidRPr="00B93EA5">
        <w:rPr>
          <w:rFonts w:eastAsia="Times New Roman"/>
          <w:szCs w:val="26"/>
        </w:rPr>
        <w:t xml:space="preserve"> PRC-028-1</w:t>
      </w:r>
      <w:r w:rsidR="00407C27">
        <w:rPr>
          <w:rFonts w:eastAsia="Times New Roman"/>
          <w:szCs w:val="26"/>
        </w:rPr>
        <w:t>;</w:t>
      </w:r>
      <w:r w:rsidRPr="00B93EA5">
        <w:rPr>
          <w:rFonts w:eastAsia="Times New Roman"/>
          <w:szCs w:val="26"/>
        </w:rPr>
        <w:t xml:space="preserve"> and $1,905,263.20 </w:t>
      </w:r>
      <w:r w:rsidR="00407C27">
        <w:rPr>
          <w:rFonts w:eastAsia="Times New Roman"/>
          <w:szCs w:val="26"/>
        </w:rPr>
        <w:t xml:space="preserve">for proposed Reliability Standard </w:t>
      </w:r>
      <w:r w:rsidRPr="00B93EA5">
        <w:rPr>
          <w:rFonts w:eastAsia="Times New Roman"/>
          <w:szCs w:val="26"/>
        </w:rPr>
        <w:t>PRC-030-1</w:t>
      </w:r>
      <w:r w:rsidR="007150A4">
        <w:rPr>
          <w:rFonts w:eastAsia="Times New Roman"/>
          <w:szCs w:val="26"/>
        </w:rPr>
        <w:t>.</w:t>
      </w:r>
      <w:r w:rsidRPr="00B93EA5">
        <w:rPr>
          <w:rFonts w:eastAsia="Times New Roman"/>
          <w:szCs w:val="26"/>
        </w:rPr>
        <w:t> </w:t>
      </w:r>
      <w:r w:rsidR="00407C27">
        <w:rPr>
          <w:rFonts w:eastAsia="Times New Roman"/>
          <w:szCs w:val="26"/>
        </w:rPr>
        <w:t xml:space="preserve"> </w:t>
      </w:r>
    </w:p>
    <w:p w:rsidR="00B93EA5" w:rsidRPr="000A16BF" w:rsidP="00B93EA5" w14:paraId="37802C10" w14:textId="2AC3DF54">
      <w:pPr>
        <w:pStyle w:val="FERCparanumber"/>
        <w:textAlignment w:val="baseline"/>
        <w:rPr>
          <w:rFonts w:eastAsia="Times New Roman"/>
          <w:szCs w:val="26"/>
        </w:rPr>
      </w:pPr>
      <w:r w:rsidRPr="00B93EA5">
        <w:rPr>
          <w:rFonts w:eastAsia="Times New Roman"/>
          <w:szCs w:val="26"/>
          <w:u w:val="single"/>
        </w:rPr>
        <w:t>Title</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 Mandatory Reliability Standards, Revised Protection and Control Reliability Standards</w:t>
      </w:r>
    </w:p>
    <w:p w:rsidR="00B93EA5" w:rsidRPr="000A16BF" w:rsidP="00B93EA5" w14:paraId="4B27417F" w14:textId="46FE42EB">
      <w:pPr>
        <w:pStyle w:val="FERCparanumber"/>
        <w:textAlignment w:val="baseline"/>
        <w:rPr>
          <w:rFonts w:eastAsia="Times New Roman"/>
          <w:szCs w:val="26"/>
        </w:rPr>
      </w:pPr>
      <w:r w:rsidRPr="00B93EA5">
        <w:rPr>
          <w:rFonts w:eastAsia="Times New Roman"/>
          <w:szCs w:val="26"/>
          <w:u w:val="single"/>
        </w:rPr>
        <w:t>Action</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 Revision to FERC-725G information collection.</w:t>
      </w:r>
    </w:p>
    <w:p w:rsidR="00B93EA5" w:rsidRPr="000A16BF" w:rsidP="00B93EA5" w14:paraId="3C087D41" w14:textId="3B3F117C">
      <w:pPr>
        <w:pStyle w:val="FERCparanumber"/>
        <w:textAlignment w:val="baseline"/>
        <w:rPr>
          <w:rFonts w:eastAsia="Times New Roman"/>
          <w:szCs w:val="26"/>
        </w:rPr>
      </w:pPr>
      <w:r w:rsidRPr="00B93EA5">
        <w:rPr>
          <w:rFonts w:eastAsia="Times New Roman"/>
          <w:szCs w:val="26"/>
          <w:u w:val="single"/>
        </w:rPr>
        <w:t>OMB Control No.</w:t>
      </w:r>
      <w:r w:rsidRPr="00B93EA5">
        <w:rPr>
          <w:rFonts w:eastAsia="Times New Roman"/>
          <w:szCs w:val="26"/>
        </w:rPr>
        <w:t>:</w:t>
      </w:r>
      <w:r w:rsidR="0005510A">
        <w:rPr>
          <w:rFonts w:eastAsia="Times New Roman"/>
          <w:szCs w:val="26"/>
        </w:rPr>
        <w:t xml:space="preserve"> </w:t>
      </w:r>
      <w:r w:rsidR="001B3E46">
        <w:rPr>
          <w:rFonts w:eastAsia="Times New Roman"/>
          <w:szCs w:val="26"/>
        </w:rPr>
        <w:t xml:space="preserve"> </w:t>
      </w:r>
      <w:r w:rsidR="0005510A">
        <w:rPr>
          <w:rFonts w:eastAsia="Times New Roman"/>
          <w:szCs w:val="26"/>
        </w:rPr>
        <w:t xml:space="preserve">1902-0252.  </w:t>
      </w:r>
    </w:p>
    <w:p w:rsidR="00B93EA5" w:rsidRPr="000A16BF" w:rsidP="00B93EA5" w14:paraId="2CB9F178" w14:textId="42F6554F">
      <w:pPr>
        <w:pStyle w:val="FERCparanumber"/>
        <w:textAlignment w:val="baseline"/>
        <w:rPr>
          <w:rFonts w:eastAsia="Times New Roman"/>
          <w:szCs w:val="26"/>
        </w:rPr>
      </w:pPr>
      <w:r w:rsidRPr="00B93EA5">
        <w:rPr>
          <w:rFonts w:eastAsia="Times New Roman"/>
          <w:szCs w:val="26"/>
          <w:u w:val="single"/>
        </w:rPr>
        <w:t>Respondents</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 Businesses or other for-profit institutions; not-for-profit institutions.</w:t>
      </w:r>
    </w:p>
    <w:p w:rsidR="00B93EA5" w:rsidRPr="000A16BF" w:rsidP="00B93EA5" w14:paraId="74714DAD" w14:textId="119EEA64">
      <w:pPr>
        <w:pStyle w:val="FERCparanumber"/>
        <w:textAlignment w:val="baseline"/>
        <w:rPr>
          <w:rFonts w:eastAsia="Times New Roman"/>
          <w:szCs w:val="26"/>
        </w:rPr>
      </w:pPr>
      <w:r w:rsidRPr="002F2137">
        <w:rPr>
          <w:rFonts w:eastAsia="Times New Roman"/>
          <w:szCs w:val="26"/>
          <w:u w:val="single"/>
        </w:rPr>
        <w:t>Frequency of Responses</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 On Occasion.</w:t>
      </w:r>
    </w:p>
    <w:p w:rsidR="00B93EA5" w:rsidRPr="000A16BF" w:rsidP="00B93EA5" w14:paraId="39BDD1D2" w14:textId="52316E4F">
      <w:pPr>
        <w:pStyle w:val="FERCparanumber"/>
        <w:textAlignment w:val="baseline"/>
        <w:rPr>
          <w:rFonts w:eastAsia="Times New Roman"/>
          <w:szCs w:val="26"/>
        </w:rPr>
      </w:pPr>
      <w:r w:rsidRPr="00B93EA5">
        <w:rPr>
          <w:rFonts w:eastAsia="Times New Roman"/>
          <w:szCs w:val="26"/>
          <w:u w:val="single"/>
        </w:rPr>
        <w:t>Necessity of the Information</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 This </w:t>
      </w:r>
      <w:r w:rsidR="003A5EE6">
        <w:rPr>
          <w:rFonts w:eastAsia="Times New Roman"/>
          <w:szCs w:val="26"/>
        </w:rPr>
        <w:t>order approves</w:t>
      </w:r>
      <w:r w:rsidRPr="00B93EA5">
        <w:rPr>
          <w:rFonts w:eastAsia="Times New Roman"/>
          <w:szCs w:val="26"/>
        </w:rPr>
        <w:t xml:space="preserve"> the Reliability Standards pertaining to </w:t>
      </w:r>
      <w:r w:rsidR="003C2C9F">
        <w:rPr>
          <w:rFonts w:eastAsia="Times New Roman"/>
          <w:szCs w:val="26"/>
        </w:rPr>
        <w:t xml:space="preserve">disturbance monitoring and reporting requirements for </w:t>
      </w:r>
      <w:r w:rsidR="005F76CC">
        <w:rPr>
          <w:rFonts w:eastAsia="Times New Roman"/>
          <w:szCs w:val="26"/>
        </w:rPr>
        <w:t>IBRs</w:t>
      </w:r>
      <w:r w:rsidR="00C0330D">
        <w:rPr>
          <w:rFonts w:eastAsia="Times New Roman"/>
          <w:szCs w:val="26"/>
        </w:rPr>
        <w:t xml:space="preserve"> and unexpected </w:t>
      </w:r>
      <w:r w:rsidR="005F76CC">
        <w:rPr>
          <w:rFonts w:eastAsia="Times New Roman"/>
          <w:szCs w:val="26"/>
        </w:rPr>
        <w:t>IBR</w:t>
      </w:r>
      <w:r w:rsidR="00C0330D">
        <w:rPr>
          <w:rFonts w:eastAsia="Times New Roman"/>
          <w:szCs w:val="26"/>
        </w:rPr>
        <w:t xml:space="preserve"> event mitigation</w:t>
      </w:r>
      <w:r w:rsidR="00833507">
        <w:rPr>
          <w:rFonts w:eastAsia="Times New Roman"/>
          <w:szCs w:val="26"/>
        </w:rPr>
        <w:t xml:space="preserve"> as well as the IBR definition</w:t>
      </w:r>
      <w:r w:rsidRPr="00B93EA5">
        <w:rPr>
          <w:rFonts w:eastAsia="Times New Roman"/>
          <w:szCs w:val="26"/>
        </w:rPr>
        <w:t>.  As discussed above, the Commission approve</w:t>
      </w:r>
      <w:r w:rsidR="007A0B1C">
        <w:rPr>
          <w:rFonts w:eastAsia="Times New Roman"/>
          <w:szCs w:val="26"/>
        </w:rPr>
        <w:t>s</w:t>
      </w:r>
      <w:r w:rsidRPr="00B93EA5">
        <w:rPr>
          <w:rFonts w:eastAsia="Times New Roman"/>
          <w:szCs w:val="26"/>
        </w:rPr>
        <w:t xml:space="preserve"> </w:t>
      </w:r>
      <w:r w:rsidR="00F310AC">
        <w:rPr>
          <w:rFonts w:eastAsia="Times New Roman"/>
          <w:szCs w:val="26"/>
        </w:rPr>
        <w:t xml:space="preserve">the proposed IBR definition and </w:t>
      </w:r>
      <w:r w:rsidRPr="00B93EA5">
        <w:rPr>
          <w:rFonts w:eastAsia="Times New Roman"/>
          <w:szCs w:val="26"/>
        </w:rPr>
        <w:t>Reliability Standards PRC-028-1</w:t>
      </w:r>
      <w:r w:rsidR="000A16BF">
        <w:rPr>
          <w:rFonts w:eastAsia="Times New Roman"/>
          <w:szCs w:val="26"/>
        </w:rPr>
        <w:t>,</w:t>
      </w:r>
      <w:r w:rsidR="00D128E1">
        <w:rPr>
          <w:rFonts w:eastAsia="Times New Roman"/>
          <w:szCs w:val="26"/>
        </w:rPr>
        <w:t xml:space="preserve"> </w:t>
      </w:r>
      <w:r w:rsidRPr="00B93EA5" w:rsidR="00D128E1">
        <w:rPr>
          <w:rFonts w:eastAsia="Times New Roman"/>
          <w:szCs w:val="26"/>
        </w:rPr>
        <w:t xml:space="preserve">PRC-002-5, </w:t>
      </w:r>
      <w:r w:rsidRPr="00B93EA5">
        <w:rPr>
          <w:rFonts w:eastAsia="Times New Roman"/>
          <w:szCs w:val="26"/>
        </w:rPr>
        <w:t xml:space="preserve"> and PRC-030-1 pursuant to section 215(d)(2) of the FPA because</w:t>
      </w:r>
      <w:r w:rsidR="00F73A2C">
        <w:rPr>
          <w:rFonts w:eastAsia="Times New Roman"/>
          <w:szCs w:val="26"/>
        </w:rPr>
        <w:t xml:space="preserve"> the </w:t>
      </w:r>
      <w:r w:rsidR="00AA42C4">
        <w:rPr>
          <w:rFonts w:eastAsia="Times New Roman"/>
          <w:szCs w:val="26"/>
        </w:rPr>
        <w:t xml:space="preserve">definition and the </w:t>
      </w:r>
      <w:r w:rsidR="00F73A2C">
        <w:rPr>
          <w:rFonts w:eastAsia="Times New Roman"/>
          <w:szCs w:val="26"/>
        </w:rPr>
        <w:t>Standards help ensure</w:t>
      </w:r>
      <w:r w:rsidRPr="00F73A2C" w:rsidR="00F73A2C">
        <w:rPr>
          <w:rFonts w:eastAsia="Times New Roman"/>
          <w:szCs w:val="26"/>
        </w:rPr>
        <w:t xml:space="preserve"> the availability of data from synchronous generating resources and IBRs</w:t>
      </w:r>
      <w:r w:rsidR="000C616B">
        <w:rPr>
          <w:rFonts w:eastAsia="Times New Roman"/>
          <w:szCs w:val="26"/>
        </w:rPr>
        <w:t xml:space="preserve">; the Standards also </w:t>
      </w:r>
      <w:r w:rsidR="008E4014">
        <w:rPr>
          <w:rFonts w:eastAsia="Times New Roman"/>
          <w:szCs w:val="26"/>
        </w:rPr>
        <w:t xml:space="preserve">create </w:t>
      </w:r>
      <w:r w:rsidRPr="00F73A2C" w:rsidR="00F73A2C">
        <w:rPr>
          <w:rFonts w:eastAsia="Times New Roman"/>
          <w:szCs w:val="26"/>
        </w:rPr>
        <w:t xml:space="preserve">requirements for a documented process to identify unexpected IBR events </w:t>
      </w:r>
      <w:r w:rsidRPr="002F2137" w:rsidR="00F73A2C">
        <w:rPr>
          <w:rFonts w:eastAsia="Times New Roman"/>
          <w:szCs w:val="26"/>
        </w:rPr>
        <w:t xml:space="preserve">and </w:t>
      </w:r>
      <w:r w:rsidRPr="002F2137" w:rsidR="003A3A54">
        <w:rPr>
          <w:rFonts w:eastAsia="Times New Roman"/>
          <w:szCs w:val="26"/>
        </w:rPr>
        <w:t xml:space="preserve">to </w:t>
      </w:r>
      <w:r w:rsidRPr="002F2137" w:rsidR="00235B91">
        <w:rPr>
          <w:rFonts w:eastAsia="Times New Roman"/>
          <w:szCs w:val="26"/>
        </w:rPr>
        <w:t>d</w:t>
      </w:r>
      <w:r w:rsidR="00235B91">
        <w:rPr>
          <w:rFonts w:eastAsia="Times New Roman"/>
          <w:szCs w:val="26"/>
        </w:rPr>
        <w:t>evelop</w:t>
      </w:r>
      <w:r w:rsidR="001D2383">
        <w:rPr>
          <w:rFonts w:eastAsia="Times New Roman"/>
          <w:szCs w:val="26"/>
        </w:rPr>
        <w:t xml:space="preserve"> corrective action plans,</w:t>
      </w:r>
      <w:r w:rsidRPr="00F73A2C" w:rsidR="00F73A2C">
        <w:rPr>
          <w:rFonts w:eastAsia="Times New Roman"/>
          <w:szCs w:val="26"/>
        </w:rPr>
        <w:t xml:space="preserve"> as needed</w:t>
      </w:r>
      <w:r w:rsidR="00EB6B26">
        <w:rPr>
          <w:rFonts w:eastAsia="Times New Roman"/>
          <w:szCs w:val="26"/>
        </w:rPr>
        <w:t xml:space="preserve">.  </w:t>
      </w:r>
    </w:p>
    <w:p w:rsidR="00B93EA5" w:rsidRPr="000A16BF" w:rsidP="00B93EA5" w14:paraId="42273563" w14:textId="6A105DF6">
      <w:pPr>
        <w:pStyle w:val="FERCparanumber"/>
        <w:textAlignment w:val="baseline"/>
        <w:rPr>
          <w:rFonts w:eastAsia="Times New Roman"/>
          <w:szCs w:val="26"/>
        </w:rPr>
      </w:pPr>
      <w:r w:rsidRPr="00B93EA5">
        <w:rPr>
          <w:rFonts w:eastAsia="Times New Roman"/>
          <w:szCs w:val="26"/>
          <w:u w:val="single"/>
        </w:rPr>
        <w:t>Internal Review</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 The Commission has reviewed the proposed Reliability Standards and </w:t>
      </w:r>
      <w:r w:rsidRPr="00B93EA5">
        <w:rPr>
          <w:rFonts w:eastAsia="Times New Roman"/>
          <w:szCs w:val="26"/>
        </w:rPr>
        <w:t>made a determination</w:t>
      </w:r>
      <w:r w:rsidRPr="00B93EA5">
        <w:rPr>
          <w:rFonts w:eastAsia="Times New Roman"/>
          <w:szCs w:val="26"/>
        </w:rPr>
        <w:t xml:space="preserve"> that its action is necessary to implement section 215 of the FPA.</w:t>
      </w:r>
    </w:p>
    <w:p w:rsidR="00B93EA5" w:rsidRPr="000A16BF" w:rsidP="00B93EA5" w14:paraId="7537F778" w14:textId="41579DAC">
      <w:pPr>
        <w:pStyle w:val="FERCparanumber"/>
        <w:textAlignment w:val="baseline"/>
        <w:rPr>
          <w:rFonts w:eastAsia="Times New Roman"/>
          <w:szCs w:val="26"/>
        </w:rPr>
      </w:pPr>
      <w:r w:rsidRPr="00B93EA5">
        <w:rPr>
          <w:rFonts w:eastAsia="Times New Roman"/>
          <w:szCs w:val="26"/>
        </w:rPr>
        <w:t xml:space="preserve">Interested persons may obtain information on the reporting requirements by contacting the following:  Federal Energy Regulatory Commission, 888 First Street, NE Washington, DC </w:t>
      </w:r>
      <w:r w:rsidR="004F2176">
        <w:rPr>
          <w:rFonts w:eastAsia="Times New Roman"/>
          <w:szCs w:val="26"/>
        </w:rPr>
        <w:t xml:space="preserve"> </w:t>
      </w:r>
      <w:r w:rsidRPr="00B93EA5">
        <w:rPr>
          <w:rFonts w:eastAsia="Times New Roman"/>
          <w:szCs w:val="26"/>
        </w:rPr>
        <w:t>20426 [Attention:  Kayla Williams, Office of the Executive Director, email:</w:t>
      </w:r>
      <w:r w:rsidR="00037F83">
        <w:rPr>
          <w:rFonts w:eastAsia="Times New Roman"/>
          <w:szCs w:val="26"/>
        </w:rPr>
        <w:t xml:space="preserve"> </w:t>
      </w:r>
      <w:r w:rsidRPr="00B93EA5">
        <w:rPr>
          <w:rFonts w:eastAsia="Times New Roman"/>
          <w:szCs w:val="26"/>
        </w:rPr>
        <w:t xml:space="preserve"> DataClearance@ferc.gov, phone: </w:t>
      </w:r>
      <w:r w:rsidR="00037F83">
        <w:rPr>
          <w:rFonts w:eastAsia="Times New Roman"/>
          <w:szCs w:val="26"/>
        </w:rPr>
        <w:t xml:space="preserve"> </w:t>
      </w:r>
      <w:r w:rsidRPr="00B93EA5">
        <w:rPr>
          <w:rFonts w:eastAsia="Times New Roman"/>
          <w:szCs w:val="26"/>
        </w:rPr>
        <w:t xml:space="preserve">(202) 502-8663, fax: </w:t>
      </w:r>
      <w:r w:rsidR="004F2176">
        <w:rPr>
          <w:rFonts w:eastAsia="Times New Roman"/>
          <w:szCs w:val="26"/>
        </w:rPr>
        <w:t xml:space="preserve"> </w:t>
      </w:r>
      <w:r w:rsidRPr="00B93EA5">
        <w:rPr>
          <w:rFonts w:eastAsia="Times New Roman"/>
          <w:szCs w:val="26"/>
        </w:rPr>
        <w:t>(202) 273-0873].</w:t>
      </w:r>
    </w:p>
    <w:p w:rsidR="00B93EA5" w:rsidRPr="000A16BF" w:rsidP="00B93EA5" w14:paraId="7BDF00AC" w14:textId="350B200C">
      <w:pPr>
        <w:pStyle w:val="FERCparanumber"/>
        <w:textAlignment w:val="baseline"/>
        <w:rPr>
          <w:rFonts w:eastAsia="Times New Roman"/>
          <w:szCs w:val="26"/>
        </w:rPr>
      </w:pPr>
      <w:r w:rsidRPr="00B93EA5">
        <w:rPr>
          <w:rFonts w:eastAsia="Times New Roman"/>
          <w:szCs w:val="26"/>
        </w:rPr>
        <w:t xml:space="preserve">For submitting comments concerning the collection(s) of information and the associated burden estimate(s), please send your comments to the Commission, and to </w:t>
      </w:r>
      <w:r w:rsidR="00204E35">
        <w:rPr>
          <w:rFonts w:eastAsia="Times New Roman"/>
          <w:szCs w:val="26"/>
        </w:rPr>
        <w:t xml:space="preserve">  </w:t>
      </w:r>
      <w:r w:rsidRPr="00B93EA5">
        <w:rPr>
          <w:rFonts w:eastAsia="Times New Roman"/>
          <w:szCs w:val="26"/>
        </w:rPr>
        <w:t xml:space="preserve">the Office of Management and Budget, Office of Information and Regulatory Affairs, Washington, DC </w:t>
      </w:r>
      <w:r w:rsidR="004F2176">
        <w:rPr>
          <w:rFonts w:eastAsia="Times New Roman"/>
          <w:szCs w:val="26"/>
        </w:rPr>
        <w:t xml:space="preserve"> </w:t>
      </w:r>
      <w:r w:rsidRPr="00B93EA5">
        <w:rPr>
          <w:rFonts w:eastAsia="Times New Roman"/>
          <w:szCs w:val="26"/>
        </w:rPr>
        <w:t>20503 [Attention:  Desk Officer for the Federal Energy Regulatory Commission, phone:</w:t>
      </w:r>
      <w:r w:rsidR="004F2176">
        <w:rPr>
          <w:rFonts w:eastAsia="Times New Roman"/>
          <w:szCs w:val="26"/>
        </w:rPr>
        <w:t xml:space="preserve"> </w:t>
      </w:r>
      <w:r w:rsidRPr="00B93EA5">
        <w:rPr>
          <w:rFonts w:eastAsia="Times New Roman"/>
          <w:szCs w:val="26"/>
        </w:rPr>
        <w:t xml:space="preserve"> (202) 395-4638, fax: </w:t>
      </w:r>
      <w:r w:rsidR="004F2176">
        <w:rPr>
          <w:rFonts w:eastAsia="Times New Roman"/>
          <w:szCs w:val="26"/>
        </w:rPr>
        <w:t xml:space="preserve"> </w:t>
      </w:r>
      <w:r w:rsidRPr="00B93EA5">
        <w:rPr>
          <w:rFonts w:eastAsia="Times New Roman"/>
          <w:szCs w:val="26"/>
        </w:rPr>
        <w:t>(202) 395-7285].</w:t>
      </w:r>
      <w:r w:rsidR="004F2176">
        <w:rPr>
          <w:rFonts w:eastAsia="Times New Roman"/>
          <w:szCs w:val="26"/>
        </w:rPr>
        <w:t xml:space="preserve"> </w:t>
      </w:r>
      <w:r w:rsidRPr="00B93EA5">
        <w:rPr>
          <w:rFonts w:eastAsia="Times New Roman"/>
          <w:szCs w:val="26"/>
        </w:rPr>
        <w:t xml:space="preserve"> For security reasons, comments to OMB should be submitted by e-mail to: </w:t>
      </w:r>
      <w:r w:rsidR="004F2176">
        <w:rPr>
          <w:rFonts w:eastAsia="Times New Roman"/>
          <w:szCs w:val="26"/>
        </w:rPr>
        <w:t xml:space="preserve"> </w:t>
      </w:r>
      <w:r w:rsidRPr="001B3E46" w:rsidR="004F2176">
        <w:rPr>
          <w:rFonts w:eastAsia="Times New Roman"/>
          <w:szCs w:val="26"/>
        </w:rPr>
        <w:t>oira_submission@omb.eop.gov</w:t>
      </w:r>
      <w:r w:rsidRPr="00B93EA5">
        <w:rPr>
          <w:rFonts w:eastAsia="Times New Roman"/>
          <w:szCs w:val="26"/>
        </w:rPr>
        <w:t>.</w:t>
      </w:r>
      <w:r w:rsidR="004F2176">
        <w:rPr>
          <w:rFonts w:eastAsia="Times New Roman"/>
          <w:szCs w:val="26"/>
        </w:rPr>
        <w:t xml:space="preserve"> </w:t>
      </w:r>
      <w:r w:rsidRPr="00B93EA5">
        <w:rPr>
          <w:rFonts w:eastAsia="Times New Roman"/>
          <w:szCs w:val="26"/>
        </w:rPr>
        <w:t xml:space="preserve"> Comments submitted to OMB should include Docket Number RM25-3-000 and OMB Control Number 1902-0252.</w:t>
      </w:r>
    </w:p>
    <w:p w:rsidR="00BE3970" w:rsidRPr="00B93EA5" w:rsidP="00BE3970" w14:paraId="059A7A82" w14:textId="10DE6CB3">
      <w:pPr>
        <w:pStyle w:val="FERCparanumber"/>
        <w:rPr>
          <w:szCs w:val="26"/>
        </w:rPr>
      </w:pPr>
      <w:r w:rsidRPr="00B93EA5">
        <w:rPr>
          <w:szCs w:val="26"/>
        </w:rPr>
        <w:t xml:space="preserve">In addition to publishing the full text of this document in the </w:t>
      </w:r>
      <w:r w:rsidRPr="000A16BF">
        <w:rPr>
          <w:i/>
          <w:szCs w:val="26"/>
        </w:rPr>
        <w:t>Federal Register</w:t>
      </w:r>
      <w:r w:rsidRPr="00B93EA5">
        <w:rPr>
          <w:szCs w:val="26"/>
        </w:rPr>
        <w:t xml:space="preserve">, </w:t>
      </w:r>
      <w:r w:rsidR="00D033D3">
        <w:rPr>
          <w:szCs w:val="26"/>
        </w:rPr>
        <w:t xml:space="preserve">  </w:t>
      </w:r>
      <w:r w:rsidRPr="00B93EA5">
        <w:rPr>
          <w:szCs w:val="26"/>
        </w:rPr>
        <w:t>the Commission provides all interested persons an opportunity to view and/or print the contents of this document via the Internet through the Commission’s Home Page (</w:t>
      </w:r>
      <w:r w:rsidRPr="001B3E46">
        <w:rPr>
          <w:rFonts w:eastAsia="Calibri"/>
          <w:szCs w:val="26"/>
        </w:rPr>
        <w:t>http://www.ferc.gov</w:t>
      </w:r>
      <w:r w:rsidRPr="00B93EA5">
        <w:rPr>
          <w:szCs w:val="26"/>
        </w:rPr>
        <w:t>).</w:t>
      </w:r>
    </w:p>
    <w:p w:rsidR="00BE3970" w:rsidRPr="00B93EA5" w:rsidP="00BE3970" w14:paraId="125A922A" w14:textId="77777777">
      <w:pPr>
        <w:pStyle w:val="FERCparanumber"/>
        <w:rPr>
          <w:szCs w:val="26"/>
        </w:rPr>
      </w:pPr>
      <w:r w:rsidRPr="00B93EA5">
        <w:rPr>
          <w:szCs w:val="26"/>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BE3970" w:rsidRPr="00B93EA5" w:rsidP="00BE3970" w14:paraId="37A60CEE" w14:textId="5F5419CF">
      <w:pPr>
        <w:pStyle w:val="FERCparanumber"/>
        <w:rPr>
          <w:szCs w:val="26"/>
        </w:rPr>
      </w:pPr>
      <w:r w:rsidRPr="00B93EA5">
        <w:rPr>
          <w:szCs w:val="26"/>
        </w:rPr>
        <w:t xml:space="preserve">User assistance is available for eLibrary and the Commission’s website during normal business hours from the Commission’s Online Support at (202) 502-6652 (toll free at 1-866-208-3676) or email at </w:t>
      </w:r>
      <w:r w:rsidRPr="001B3E46" w:rsidR="00D20BC2">
        <w:rPr>
          <w:szCs w:val="26"/>
        </w:rPr>
        <w:t>ferconlinesupport@ferc.gov</w:t>
      </w:r>
      <w:r w:rsidRPr="00B93EA5">
        <w:rPr>
          <w:szCs w:val="26"/>
        </w:rPr>
        <w:t xml:space="preserve">, or the Public Reference </w:t>
      </w:r>
      <w:r w:rsidRPr="00B93EA5">
        <w:rPr>
          <w:szCs w:val="26"/>
        </w:rPr>
        <w:t xml:space="preserve">Room at (202) 502-8371, </w:t>
      </w:r>
      <w:r w:rsidR="00AB3CA3">
        <w:rPr>
          <w:szCs w:val="26"/>
        </w:rPr>
        <w:t xml:space="preserve">or </w:t>
      </w:r>
      <w:r w:rsidRPr="00B93EA5">
        <w:rPr>
          <w:szCs w:val="26"/>
        </w:rPr>
        <w:t>(202) 502-8659</w:t>
      </w:r>
      <w:r w:rsidR="00AB3CA3">
        <w:rPr>
          <w:szCs w:val="26"/>
        </w:rPr>
        <w:t xml:space="preserve"> for TTY</w:t>
      </w:r>
      <w:r w:rsidRPr="00B93EA5">
        <w:rPr>
          <w:szCs w:val="26"/>
        </w:rPr>
        <w:t xml:space="preserve">.  E-mail the Public Reference Room at </w:t>
      </w:r>
      <w:r w:rsidRPr="00D033D3">
        <w:rPr>
          <w:rFonts w:eastAsia="Calibri"/>
          <w:szCs w:val="26"/>
        </w:rPr>
        <w:t>public.referenceroom@ferc.gov</w:t>
      </w:r>
      <w:r w:rsidRPr="00B93EA5">
        <w:rPr>
          <w:szCs w:val="26"/>
        </w:rPr>
        <w:t>.</w:t>
      </w:r>
    </w:p>
    <w:p w:rsidR="00D82763" w:rsidRPr="00B93EA5" w:rsidP="00D82763" w14:paraId="3CF0816F" w14:textId="7A90E068">
      <w:pPr>
        <w:pStyle w:val="FERCparanumber"/>
        <w:rPr>
          <w:szCs w:val="26"/>
        </w:rPr>
      </w:pPr>
      <w:r w:rsidRPr="00B93EA5">
        <w:rPr>
          <w:szCs w:val="26"/>
        </w:rPr>
        <w:t xml:space="preserve">All submissions must be formatted and filed in accordance with submission guidelines at: </w:t>
      </w:r>
      <w:r w:rsidRPr="00B93EA5" w:rsidR="00D51479">
        <w:rPr>
          <w:szCs w:val="26"/>
        </w:rPr>
        <w:t xml:space="preserve"> </w:t>
      </w:r>
      <w:r w:rsidRPr="001B3E46" w:rsidR="008F5E46">
        <w:rPr>
          <w:szCs w:val="26"/>
        </w:rPr>
        <w:t>http://www.ferc.gov/help/submission-guide.asp</w:t>
      </w:r>
      <w:r w:rsidRPr="00B93EA5" w:rsidR="008F5E46">
        <w:rPr>
          <w:szCs w:val="26"/>
        </w:rPr>
        <w:t xml:space="preserve">.  </w:t>
      </w:r>
      <w:r w:rsidRPr="00B93EA5">
        <w:rPr>
          <w:szCs w:val="26"/>
        </w:rPr>
        <w:t xml:space="preserve">For user assistance, contact FERC Online Support by e-mail at </w:t>
      </w:r>
      <w:r w:rsidRPr="001B3E46" w:rsidR="00B408D6">
        <w:rPr>
          <w:szCs w:val="26"/>
        </w:rPr>
        <w:t>ferconlinesupport@ferc.gov</w:t>
      </w:r>
      <w:r w:rsidRPr="00B93EA5">
        <w:rPr>
          <w:szCs w:val="26"/>
        </w:rPr>
        <w:t>, or by phone at:  (866) 208-3676 (toll-free), or (202) 502-8659 for TTY.</w:t>
      </w:r>
      <w:r w:rsidRPr="00B93EA5" w:rsidR="006276E4">
        <w:rPr>
          <w:szCs w:val="26"/>
        </w:rPr>
        <w:t xml:space="preserve">  </w:t>
      </w:r>
    </w:p>
    <w:p w:rsidR="00DB4ABC" w:rsidRPr="00B93EA5" w:rsidP="003D3478" w14:paraId="3FEC46A2" w14:textId="77777777">
      <w:pPr>
        <w:ind w:firstLine="720"/>
        <w:rPr>
          <w:szCs w:val="26"/>
        </w:rPr>
      </w:pPr>
      <w:r w:rsidRPr="00B93EA5">
        <w:rPr>
          <w:szCs w:val="26"/>
        </w:rPr>
        <w:t xml:space="preserve">By </w:t>
      </w:r>
      <w:r w:rsidRPr="00B93EA5" w:rsidR="00571876">
        <w:rPr>
          <w:szCs w:val="26"/>
        </w:rPr>
        <w:t xml:space="preserve">direction of </w:t>
      </w:r>
      <w:r w:rsidRPr="00B93EA5">
        <w:rPr>
          <w:szCs w:val="26"/>
        </w:rPr>
        <w:t>the Commission.</w:t>
      </w:r>
    </w:p>
    <w:p w:rsidR="003D3478" w:rsidP="00D033D3" w14:paraId="29E06CF2" w14:textId="386F0379">
      <w:pPr>
        <w:widowControl/>
        <w:rPr>
          <w:szCs w:val="26"/>
        </w:rPr>
      </w:pPr>
    </w:p>
    <w:p w:rsidR="00D033D3" w:rsidP="00D033D3" w14:paraId="113CC035" w14:textId="77777777">
      <w:pPr>
        <w:widowControl/>
        <w:rPr>
          <w:szCs w:val="26"/>
        </w:rPr>
      </w:pPr>
    </w:p>
    <w:p w:rsidR="00D033D3" w:rsidP="00D033D3" w14:paraId="22C6DEE1" w14:textId="77777777">
      <w:pPr>
        <w:widowControl/>
        <w:rPr>
          <w:szCs w:val="26"/>
        </w:rPr>
      </w:pPr>
    </w:p>
    <w:p w:rsidR="00D033D3" w:rsidP="00D033D3" w14:paraId="20D59D0B" w14:textId="77777777">
      <w:pPr>
        <w:widowControl/>
        <w:rPr>
          <w:szCs w:val="26"/>
        </w:rPr>
      </w:pPr>
    </w:p>
    <w:p w:rsidR="00D033D3" w:rsidRPr="00D033D3" w:rsidP="00D033D3" w14:paraId="31F59911" w14:textId="6FAB0E5C">
      <w:pPr>
        <w:widowControl/>
        <w:ind w:firstLine="2606"/>
        <w:jc w:val="center"/>
      </w:pPr>
      <w:r w:rsidRPr="00D033D3">
        <w:t>Debbie-Anne A. Reese,</w:t>
      </w:r>
    </w:p>
    <w:p w:rsidR="00D033D3" w:rsidRPr="00D033D3" w:rsidP="00D033D3" w14:paraId="6B0C8033" w14:textId="1052D2E4">
      <w:pPr>
        <w:widowControl/>
        <w:ind w:firstLine="2606"/>
        <w:jc w:val="center"/>
      </w:pPr>
      <w:r w:rsidRPr="00D033D3">
        <w:t>Secretary.</w:t>
      </w:r>
    </w:p>
    <w:sectPr w:rsidSect="00DB4ABC">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471E" w:rsidP="0048020B" w14:paraId="487AB755" w14:textId="77777777">
      <w:r>
        <w:separator/>
      </w:r>
    </w:p>
  </w:endnote>
  <w:endnote w:type="continuationSeparator" w:id="1">
    <w:p w:rsidR="00A0471E" w:rsidP="0048020B" w14:paraId="49BF566E" w14:textId="77777777">
      <w:r>
        <w:continuationSeparator/>
      </w:r>
    </w:p>
  </w:endnote>
  <w:endnote w:type="continuationNotice" w:id="2">
    <w:p w:rsidR="00A0471E" w14:paraId="23916C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71E" w:rsidP="0048020B" w14:paraId="1F50EF51" w14:textId="77777777">
      <w:r>
        <w:separator/>
      </w:r>
    </w:p>
  </w:footnote>
  <w:footnote w:type="continuationSeparator" w:id="1">
    <w:p w:rsidR="00A0471E" w:rsidP="0048020B" w14:paraId="4F5EA1E5" w14:textId="77777777">
      <w:r>
        <w:continuationSeparator/>
      </w:r>
    </w:p>
  </w:footnote>
  <w:footnote w:type="continuationNotice" w:id="2">
    <w:p w:rsidR="00A0471E" w:rsidRPr="00002C45" w:rsidP="00002C45" w14:paraId="480F9456" w14:textId="77777777">
      <w:pPr>
        <w:pStyle w:val="Footer"/>
        <w:spacing w:line="14" w:lineRule="exact"/>
        <w:rPr>
          <w:sz w:val="2"/>
        </w:rPr>
      </w:pPr>
    </w:p>
  </w:footnote>
  <w:footnote w:id="3">
    <w:p w:rsidR="00BB0DDF" w14:paraId="3916FAB8" w14:textId="2679144A">
      <w:pPr>
        <w:pStyle w:val="FootnoteText"/>
      </w:pPr>
      <w:r>
        <w:rPr>
          <w:rStyle w:val="FootnoteReference"/>
        </w:rPr>
        <w:footnoteRef/>
      </w:r>
      <w:r>
        <w:t xml:space="preserve"> </w:t>
      </w:r>
      <w:r w:rsidR="002D4D1D">
        <w:t xml:space="preserve">NERC </w:t>
      </w:r>
      <w:r w:rsidR="00274B5B">
        <w:t>Petition</w:t>
      </w:r>
      <w:r w:rsidR="00AC427B">
        <w:t xml:space="preserve">, Docket No. </w:t>
      </w:r>
      <w:r w:rsidR="00221113">
        <w:t>RD</w:t>
      </w:r>
      <w:r w:rsidR="008341F7">
        <w:t>25-1-000</w:t>
      </w:r>
      <w:r w:rsidR="00814C20">
        <w:t xml:space="preserve"> (</w:t>
      </w:r>
      <w:r w:rsidR="002858F0">
        <w:t xml:space="preserve">NERC </w:t>
      </w:r>
      <w:r w:rsidR="00814C20">
        <w:t>IBR</w:t>
      </w:r>
      <w:r w:rsidR="00AB6661">
        <w:t xml:space="preserve"> Definition Petition</w:t>
      </w:r>
      <w:r w:rsidR="006870E7">
        <w:t>).</w:t>
      </w:r>
    </w:p>
  </w:footnote>
  <w:footnote w:id="4">
    <w:p w:rsidR="00432E4B" w14:paraId="2B004E4B" w14:textId="3E012294">
      <w:pPr>
        <w:pStyle w:val="FootnoteText"/>
      </w:pPr>
      <w:r>
        <w:rPr>
          <w:rStyle w:val="FootnoteReference"/>
        </w:rPr>
        <w:footnoteRef/>
      </w:r>
      <w:r>
        <w:t xml:space="preserve"> </w:t>
      </w:r>
      <w:r w:rsidR="002D4D1D">
        <w:t xml:space="preserve">NERC </w:t>
      </w:r>
      <w:r w:rsidR="006870E7">
        <w:t xml:space="preserve">Petition, Docket No. </w:t>
      </w:r>
      <w:r w:rsidR="00221113">
        <w:t>RD</w:t>
      </w:r>
      <w:r w:rsidR="006870E7">
        <w:t>25-2-000 (</w:t>
      </w:r>
      <w:r w:rsidR="002858F0">
        <w:t xml:space="preserve">NERC </w:t>
      </w:r>
      <w:r w:rsidR="006870E7">
        <w:t>PRC-028-1 Petition).</w:t>
      </w:r>
    </w:p>
  </w:footnote>
  <w:footnote w:id="5">
    <w:p w:rsidR="00432E4B" w14:paraId="459C029B" w14:textId="00A67B64">
      <w:pPr>
        <w:pStyle w:val="FootnoteText"/>
      </w:pPr>
      <w:r>
        <w:rPr>
          <w:rStyle w:val="FootnoteReference"/>
        </w:rPr>
        <w:footnoteRef/>
      </w:r>
      <w:r>
        <w:t xml:space="preserve"> </w:t>
      </w:r>
      <w:r w:rsidR="002D4D1D">
        <w:t xml:space="preserve">NERC </w:t>
      </w:r>
      <w:r w:rsidR="008A7463">
        <w:t xml:space="preserve">Petition, Docket No. </w:t>
      </w:r>
      <w:r w:rsidR="00221113">
        <w:t>RD</w:t>
      </w:r>
      <w:r w:rsidR="008A7463">
        <w:t>25-</w:t>
      </w:r>
      <w:r w:rsidR="00221113">
        <w:t>3</w:t>
      </w:r>
      <w:r w:rsidR="008A7463">
        <w:t>-000 (</w:t>
      </w:r>
      <w:r w:rsidR="002858F0">
        <w:t xml:space="preserve">NERC </w:t>
      </w:r>
      <w:r w:rsidR="008A7463">
        <w:t>PRC-030-1 Petition).</w:t>
      </w:r>
    </w:p>
  </w:footnote>
  <w:footnote w:id="6">
    <w:p w:rsidR="00F32F3F" w14:paraId="3055115F" w14:textId="1EA6EF9D">
      <w:pPr>
        <w:pStyle w:val="FootnoteText"/>
      </w:pPr>
      <w:r>
        <w:rPr>
          <w:rStyle w:val="FootnoteReference"/>
        </w:rPr>
        <w:footnoteRef/>
      </w:r>
      <w:r>
        <w:t xml:space="preserve"> </w:t>
      </w:r>
      <w:r w:rsidR="005916AB">
        <w:t xml:space="preserve">16 U.S.C. </w:t>
      </w:r>
      <w:r w:rsidRPr="00C96E22" w:rsidR="00C96E22">
        <w:t>§</w:t>
      </w:r>
      <w:r w:rsidR="00C96E22">
        <w:t xml:space="preserve"> 824o.  </w:t>
      </w:r>
    </w:p>
  </w:footnote>
  <w:footnote w:id="7">
    <w:p w:rsidR="00BB0DDF" w:rsidRPr="004B5F1A" w:rsidP="00BB0DDF" w14:paraId="66D63EC4" w14:textId="4531978F">
      <w:pPr>
        <w:pStyle w:val="FootnoteText"/>
      </w:pPr>
      <w:r>
        <w:rPr>
          <w:rStyle w:val="FootnoteReference"/>
        </w:rPr>
        <w:footnoteRef/>
      </w:r>
      <w:r>
        <w:t xml:space="preserve"> </w:t>
      </w:r>
      <w:r w:rsidR="007E321F">
        <w:rPr>
          <w:i/>
          <w:iCs/>
        </w:rPr>
        <w:t>Reliability Standards to Address Inverter-Based Res</w:t>
      </w:r>
      <w:r w:rsidR="00592B40">
        <w:rPr>
          <w:i/>
          <w:iCs/>
        </w:rPr>
        <w:t>.</w:t>
      </w:r>
      <w:r w:rsidR="007E321F">
        <w:t xml:space="preserve">, Order No. </w:t>
      </w:r>
      <w:r w:rsidRPr="00451C2D" w:rsidR="007E321F">
        <w:t>901, 185</w:t>
      </w:r>
      <w:r w:rsidR="00300DE7">
        <w:t> </w:t>
      </w:r>
      <w:r w:rsidRPr="00451C2D" w:rsidR="007E321F">
        <w:t>FERC ¶</w:t>
      </w:r>
      <w:r w:rsidRPr="006C1BF7" w:rsidR="007E321F">
        <w:t xml:space="preserve"> </w:t>
      </w:r>
      <w:r w:rsidRPr="00451C2D" w:rsidR="007E321F">
        <w:t>61,042</w:t>
      </w:r>
      <w:r w:rsidR="007E321F">
        <w:t>,</w:t>
      </w:r>
      <w:r w:rsidRPr="00451C2D" w:rsidR="007E321F">
        <w:t xml:space="preserve"> at</w:t>
      </w:r>
      <w:r>
        <w:t xml:space="preserve"> P 229</w:t>
      </w:r>
      <w:r w:rsidR="007E321F">
        <w:t xml:space="preserve"> (2023)</w:t>
      </w:r>
      <w:r>
        <w:t>.</w:t>
      </w:r>
    </w:p>
  </w:footnote>
  <w:footnote w:id="8">
    <w:p w:rsidR="00BB0DDF" w:rsidRPr="00724B1E" w:rsidP="00BB0DDF" w14:paraId="4432D958" w14:textId="77777777">
      <w:pPr>
        <w:pStyle w:val="FootnoteText"/>
      </w:pPr>
      <w:r>
        <w:rPr>
          <w:rStyle w:val="FootnoteReference"/>
        </w:rPr>
        <w:footnoteRef/>
      </w:r>
      <w:r>
        <w:t xml:space="preserve"> </w:t>
      </w:r>
      <w:r>
        <w:rPr>
          <w:i/>
          <w:iCs/>
        </w:rPr>
        <w:t>Id.</w:t>
      </w:r>
      <w:r>
        <w:t xml:space="preserve"> P 86.</w:t>
      </w:r>
    </w:p>
  </w:footnote>
  <w:footnote w:id="9">
    <w:p w:rsidR="00BB0DDF" w:rsidRPr="00473A65" w:rsidP="00BB0DDF" w14:paraId="6DC8CD46" w14:textId="77777777">
      <w:pPr>
        <w:pStyle w:val="FootnoteText"/>
      </w:pPr>
      <w:r>
        <w:rPr>
          <w:rStyle w:val="FootnoteReference"/>
        </w:rPr>
        <w:footnoteRef/>
      </w:r>
      <w:r>
        <w:t xml:space="preserve"> </w:t>
      </w:r>
      <w:r>
        <w:rPr>
          <w:i/>
          <w:iCs/>
        </w:rPr>
        <w:t>Id.</w:t>
      </w:r>
      <w:r>
        <w:t xml:space="preserve"> P 208.</w:t>
      </w:r>
    </w:p>
  </w:footnote>
  <w:footnote w:id="10">
    <w:p w:rsidR="00BB0DDF" w:rsidRPr="00D36922" w:rsidP="00BB0DDF" w14:paraId="4B77DB22" w14:textId="77777777">
      <w:pPr>
        <w:pStyle w:val="FootnoteText"/>
      </w:pPr>
      <w:r>
        <w:rPr>
          <w:rStyle w:val="FootnoteReference"/>
        </w:rPr>
        <w:footnoteRef/>
      </w:r>
      <w:r>
        <w:t xml:space="preserve"> </w:t>
      </w:r>
      <w:r>
        <w:rPr>
          <w:i/>
          <w:iCs/>
        </w:rPr>
        <w:t>Id.</w:t>
      </w:r>
      <w:r>
        <w:t xml:space="preserve"> P 229.</w:t>
      </w:r>
    </w:p>
  </w:footnote>
  <w:footnote w:id="11">
    <w:p w:rsidR="00BB0DDF" w:rsidRPr="003E1A1A" w:rsidP="00BB0DDF" w14:paraId="65E28B1F" w14:textId="432C9390">
      <w:pPr>
        <w:pStyle w:val="FootnoteText"/>
      </w:pPr>
      <w:r>
        <w:rPr>
          <w:rStyle w:val="FootnoteReference"/>
        </w:rPr>
        <w:footnoteRef/>
      </w:r>
      <w:r>
        <w:t xml:space="preserve"> </w:t>
      </w:r>
      <w:r w:rsidR="006573A3">
        <w:t>NERC IBR Definition Petition</w:t>
      </w:r>
      <w:r w:rsidR="0057530E">
        <w:t xml:space="preserve"> at 9</w:t>
      </w:r>
      <w:r w:rsidR="006573A3">
        <w:rPr>
          <w:i/>
          <w:iCs/>
        </w:rPr>
        <w:t xml:space="preserve"> </w:t>
      </w:r>
      <w:r>
        <w:t>(“</w:t>
      </w:r>
      <w:r w:rsidR="006573A3">
        <w:t>E</w:t>
      </w:r>
      <w:r>
        <w:t xml:space="preserve">xamples </w:t>
      </w:r>
      <w:r>
        <w:t>include, but</w:t>
      </w:r>
      <w:r>
        <w:t xml:space="preserve"> are not limited to plants/facilities with solar photovoltaic (PV), Type 3 and Type 4 wind, battery energy storage system (BESS), and fuel cell devices.”).  </w:t>
      </w:r>
    </w:p>
  </w:footnote>
  <w:footnote w:id="12">
    <w:p w:rsidR="00BB0DDF" w:rsidRPr="00EA44DC" w:rsidP="00BB0DDF" w14:paraId="5E2AA0F7" w14:textId="4513CE1C">
      <w:pPr>
        <w:pStyle w:val="FootnoteText"/>
      </w:pPr>
      <w:r>
        <w:rPr>
          <w:rStyle w:val="FootnoteReference"/>
        </w:rPr>
        <w:footnoteRef/>
      </w:r>
      <w:r>
        <w:t xml:space="preserve"> </w:t>
      </w:r>
      <w:r>
        <w:rPr>
          <w:i/>
          <w:iCs/>
        </w:rPr>
        <w:t>Id</w:t>
      </w:r>
      <w:r w:rsidRPr="002F2137">
        <w:rPr>
          <w:i/>
          <w:iCs/>
        </w:rPr>
        <w:t>.</w:t>
      </w:r>
      <w:r>
        <w:t xml:space="preserve"> at 9-10</w:t>
      </w:r>
      <w:r w:rsidR="00B448E8">
        <w:t>.</w:t>
      </w:r>
      <w:r>
        <w:t xml:space="preserve">  </w:t>
      </w:r>
    </w:p>
  </w:footnote>
  <w:footnote w:id="13">
    <w:p w:rsidR="00BB0DDF" w:rsidRPr="00737F33" w:rsidP="00BB0DDF" w14:paraId="246E0464" w14:textId="7C69C86F">
      <w:pPr>
        <w:pStyle w:val="FootnoteText"/>
      </w:pPr>
      <w:r>
        <w:rPr>
          <w:rStyle w:val="FootnoteReference"/>
        </w:rPr>
        <w:footnoteRef/>
      </w:r>
      <w:r>
        <w:t xml:space="preserve"> </w:t>
      </w:r>
      <w:r w:rsidRPr="002F2137" w:rsidR="00A82968">
        <w:rPr>
          <w:i/>
          <w:iCs/>
        </w:rPr>
        <w:t>Id.</w:t>
      </w:r>
      <w:r>
        <w:t xml:space="preserve"> at 11.  In its petition, NERC appears to use the terms “generating resource” and “generation resource” interchangeably.  </w:t>
      </w:r>
      <w:r>
        <w:rPr>
          <w:i/>
          <w:iCs/>
        </w:rPr>
        <w:t>See</w:t>
      </w:r>
      <w:r>
        <w:t xml:space="preserve"> </w:t>
      </w:r>
      <w:r>
        <w:rPr>
          <w:i/>
          <w:iCs/>
        </w:rPr>
        <w:t>id</w:t>
      </w:r>
      <w:r>
        <w:t xml:space="preserve">. at 10-11.  </w:t>
      </w:r>
    </w:p>
  </w:footnote>
  <w:footnote w:id="14">
    <w:p w:rsidR="00BB0DDF" w:rsidP="00BB0DDF" w14:paraId="7E55542A" w14:textId="5F6DA7E1">
      <w:pPr>
        <w:pStyle w:val="FootnoteText"/>
      </w:pPr>
      <w:r>
        <w:rPr>
          <w:rStyle w:val="FootnoteReference"/>
        </w:rPr>
        <w:footnoteRef/>
      </w:r>
      <w:r>
        <w:t xml:space="preserve"> </w:t>
      </w:r>
      <w:r w:rsidR="009A41C6">
        <w:rPr>
          <w:i/>
          <w:iCs/>
        </w:rPr>
        <w:t>Id</w:t>
      </w:r>
      <w:r w:rsidRPr="002F2137" w:rsidR="009A41C6">
        <w:rPr>
          <w:i/>
          <w:iCs/>
        </w:rPr>
        <w:t>.</w:t>
      </w:r>
      <w:r>
        <w:t xml:space="preserve"> at 14.  </w:t>
      </w:r>
    </w:p>
  </w:footnote>
  <w:footnote w:id="15">
    <w:p w:rsidR="008E161E" w:rsidRPr="007F61FE" w14:paraId="12CDA8E3" w14:textId="548BC1B2">
      <w:pPr>
        <w:pStyle w:val="FootnoteText"/>
        <w:rPr>
          <w:iCs/>
        </w:rPr>
      </w:pPr>
      <w:r>
        <w:rPr>
          <w:rStyle w:val="FootnoteReference"/>
        </w:rPr>
        <w:footnoteRef/>
      </w:r>
      <w:r>
        <w:t xml:space="preserve"> </w:t>
      </w:r>
      <w:r w:rsidRPr="008E161E">
        <w:rPr>
          <w:bCs/>
          <w:iCs/>
        </w:rPr>
        <w:t xml:space="preserve">NERC states that proposed Reliability Standard PRC-028-1 </w:t>
      </w:r>
      <w:r>
        <w:rPr>
          <w:bCs/>
          <w:iCs/>
        </w:rPr>
        <w:t>does not address</w:t>
      </w:r>
      <w:r w:rsidRPr="008E161E">
        <w:rPr>
          <w:bCs/>
          <w:iCs/>
        </w:rPr>
        <w:t xml:space="preserve"> the Commission’s </w:t>
      </w:r>
      <w:r>
        <w:rPr>
          <w:bCs/>
          <w:iCs/>
        </w:rPr>
        <w:t xml:space="preserve">Order No. 901 </w:t>
      </w:r>
      <w:r w:rsidRPr="008E161E">
        <w:rPr>
          <w:bCs/>
          <w:iCs/>
        </w:rPr>
        <w:t>directive regarding the validation of registered IBR models using disturbance monitoring data, which NERC intends to address during Milestone 3 of its Order No. 901 Work Plan</w:t>
      </w:r>
      <w:r>
        <w:rPr>
          <w:bCs/>
          <w:iCs/>
        </w:rPr>
        <w:t>.</w:t>
      </w:r>
      <w:r w:rsidR="00950718">
        <w:rPr>
          <w:bCs/>
          <w:iCs/>
        </w:rPr>
        <w:t xml:space="preserve">  </w:t>
      </w:r>
      <w:r w:rsidR="00FB575E">
        <w:rPr>
          <w:bCs/>
          <w:i/>
        </w:rPr>
        <w:t xml:space="preserve">See </w:t>
      </w:r>
      <w:r w:rsidR="009F17C7">
        <w:t>NERC PRC-028-1 Petition</w:t>
      </w:r>
      <w:r w:rsidR="007F61FE">
        <w:rPr>
          <w:bCs/>
          <w:iCs/>
        </w:rPr>
        <w:t xml:space="preserve"> at </w:t>
      </w:r>
      <w:r w:rsidR="009F17C7">
        <w:rPr>
          <w:bCs/>
          <w:iCs/>
        </w:rPr>
        <w:t>35-36.</w:t>
      </w:r>
    </w:p>
  </w:footnote>
  <w:footnote w:id="16">
    <w:p w:rsidR="00BB0DDF" w:rsidP="00BB0DDF" w14:paraId="7D9A77CE" w14:textId="0108059A">
      <w:pPr>
        <w:pStyle w:val="FootnoteText"/>
      </w:pPr>
      <w:r>
        <w:rPr>
          <w:rStyle w:val="FootnoteReference"/>
        </w:rPr>
        <w:footnoteRef/>
      </w:r>
      <w:r>
        <w:t xml:space="preserve"> </w:t>
      </w:r>
      <w:r w:rsidR="009A41C6">
        <w:rPr>
          <w:i/>
          <w:iCs/>
        </w:rPr>
        <w:t>Id</w:t>
      </w:r>
      <w:r w:rsidRPr="002F2137" w:rsidR="009A41C6">
        <w:rPr>
          <w:i/>
          <w:iCs/>
        </w:rPr>
        <w:t>.</w:t>
      </w:r>
      <w:r>
        <w:t xml:space="preserve"> at 19.</w:t>
      </w:r>
    </w:p>
  </w:footnote>
  <w:footnote w:id="17">
    <w:p w:rsidR="00BB0DDF" w:rsidRPr="00564DFD" w:rsidP="00BB0DDF" w14:paraId="7C92B238" w14:textId="060E34C3">
      <w:pPr>
        <w:pStyle w:val="FootnoteText"/>
      </w:pPr>
      <w:r>
        <w:rPr>
          <w:rStyle w:val="FootnoteReference"/>
        </w:rPr>
        <w:footnoteRef/>
      </w:r>
      <w:r>
        <w:t xml:space="preserve"> </w:t>
      </w:r>
      <w:r w:rsidR="009A41C6">
        <w:rPr>
          <w:i/>
          <w:iCs/>
        </w:rPr>
        <w:t>Id</w:t>
      </w:r>
      <w:r w:rsidRPr="002F2137" w:rsidR="009A41C6">
        <w:rPr>
          <w:i/>
          <w:iCs/>
        </w:rPr>
        <w:t>.</w:t>
      </w:r>
      <w:r>
        <w:t xml:space="preserve"> at 21-22.</w:t>
      </w:r>
    </w:p>
  </w:footnote>
  <w:footnote w:id="18">
    <w:p w:rsidR="00C111B6" w:rsidRPr="00C111B6" w14:paraId="7B709B14" w14:textId="3D9AC9AA">
      <w:pPr>
        <w:pStyle w:val="FootnoteText"/>
      </w:pPr>
      <w:r>
        <w:rPr>
          <w:rStyle w:val="FootnoteReference"/>
        </w:rPr>
        <w:footnoteRef/>
      </w:r>
      <w:r>
        <w:t xml:space="preserve"> </w:t>
      </w:r>
      <w:r>
        <w:rPr>
          <w:i/>
          <w:iCs/>
        </w:rPr>
        <w:t>Id.</w:t>
      </w:r>
      <w:r>
        <w:t xml:space="preserve"> at 2.</w:t>
      </w:r>
    </w:p>
  </w:footnote>
  <w:footnote w:id="19">
    <w:p w:rsidR="00BB0DDF" w:rsidRPr="00544608" w:rsidP="00E669B5" w14:paraId="456FA9D2" w14:textId="7675DE27">
      <w:pPr>
        <w:pStyle w:val="FootnoteText"/>
        <w:ind w:right="-180"/>
      </w:pPr>
      <w:r w:rsidRPr="00F33E60">
        <w:rPr>
          <w:rStyle w:val="FootnoteReference"/>
        </w:rPr>
        <w:footnoteRef/>
      </w:r>
      <w:r>
        <w:t xml:space="preserve"> </w:t>
      </w:r>
      <w:r w:rsidR="009A41C6">
        <w:rPr>
          <w:i/>
          <w:iCs/>
        </w:rPr>
        <w:t>Id</w:t>
      </w:r>
      <w:r w:rsidRPr="002F2137" w:rsidR="009A41C6">
        <w:rPr>
          <w:i/>
          <w:iCs/>
        </w:rPr>
        <w:t>.</w:t>
      </w:r>
      <w:r>
        <w:t xml:space="preserve"> at 22; </w:t>
      </w:r>
      <w:r w:rsidRPr="0068483E">
        <w:rPr>
          <w:i/>
        </w:rPr>
        <w:t>see also</w:t>
      </w:r>
      <w:r w:rsidRPr="0068483E">
        <w:t xml:space="preserve"> </w:t>
      </w:r>
      <w:r w:rsidRPr="0068483E" w:rsidR="00994435">
        <w:rPr>
          <w:bCs/>
          <w:iCs/>
        </w:rPr>
        <w:t>NERC</w:t>
      </w:r>
      <w:r w:rsidR="0057530E">
        <w:rPr>
          <w:bCs/>
          <w:iCs/>
        </w:rPr>
        <w:t>,</w:t>
      </w:r>
      <w:r w:rsidRPr="0068483E" w:rsidR="00994435">
        <w:rPr>
          <w:bCs/>
          <w:iCs/>
        </w:rPr>
        <w:t xml:space="preserve"> </w:t>
      </w:r>
      <w:r w:rsidRPr="0057530E" w:rsidR="00994435">
        <w:rPr>
          <w:bCs/>
          <w:i/>
        </w:rPr>
        <w:t>Rules of Procedure</w:t>
      </w:r>
      <w:r w:rsidRPr="0068483E" w:rsidR="00994435">
        <w:rPr>
          <w:bCs/>
          <w:iCs/>
        </w:rPr>
        <w:t>, App. 5B (Statement of Compliance Registry Criteria)</w:t>
      </w:r>
      <w:r w:rsidR="0057530E">
        <w:rPr>
          <w:bCs/>
          <w:iCs/>
        </w:rPr>
        <w:t xml:space="preserve"> (June 27,2024), </w:t>
      </w:r>
      <w:r w:rsidRPr="0057530E" w:rsidR="0057530E">
        <w:rPr>
          <w:bCs/>
          <w:iCs/>
        </w:rPr>
        <w:t>https://www.nerc.com/AboutNERC/Pages/Rules-of-Procedure.aspx.</w:t>
      </w:r>
    </w:p>
  </w:footnote>
  <w:footnote w:id="20">
    <w:p w:rsidR="00257A5C" w:rsidRPr="00170069" w14:paraId="61D1B0BF" w14:textId="7BD12547">
      <w:pPr>
        <w:pStyle w:val="FootnoteText"/>
        <w:rPr>
          <w:i/>
          <w:iCs/>
        </w:rPr>
      </w:pPr>
      <w:r>
        <w:rPr>
          <w:rStyle w:val="FootnoteReference"/>
        </w:rPr>
        <w:footnoteRef/>
      </w:r>
      <w:r>
        <w:t xml:space="preserve"> NERC PRC-028-1 Petition at </w:t>
      </w:r>
      <w:r w:rsidR="003B4A3A">
        <w:t>23-31</w:t>
      </w:r>
      <w:r>
        <w:t>.</w:t>
      </w:r>
    </w:p>
  </w:footnote>
  <w:footnote w:id="21">
    <w:p w:rsidR="007F52A8" w:rsidRPr="00170069" w14:paraId="492F2E33" w14:textId="1441E666">
      <w:pPr>
        <w:pStyle w:val="FootnoteText"/>
        <w:rPr>
          <w:i/>
          <w:iCs/>
        </w:rPr>
      </w:pPr>
      <w:r>
        <w:rPr>
          <w:rStyle w:val="FootnoteReference"/>
        </w:rPr>
        <w:footnoteRef/>
      </w:r>
      <w:r>
        <w:t xml:space="preserve"> </w:t>
      </w:r>
      <w:r w:rsidR="003B4A3A">
        <w:rPr>
          <w:i/>
          <w:iCs/>
        </w:rPr>
        <w:t>Id.</w:t>
      </w:r>
      <w:r>
        <w:t xml:space="preserve"> at 2.</w:t>
      </w:r>
    </w:p>
  </w:footnote>
  <w:footnote w:id="22">
    <w:p w:rsidR="006952F8" w:rsidRPr="006952F8" w14:paraId="796F6A78" w14:textId="4194DDD4">
      <w:pPr>
        <w:pStyle w:val="FootnoteText"/>
      </w:pPr>
      <w:r>
        <w:rPr>
          <w:rStyle w:val="FootnoteReference"/>
        </w:rPr>
        <w:footnoteRef/>
      </w:r>
      <w:r>
        <w:t xml:space="preserve"> </w:t>
      </w:r>
      <w:r>
        <w:rPr>
          <w:i/>
          <w:iCs/>
        </w:rPr>
        <w:t>Id.</w:t>
      </w:r>
      <w:r>
        <w:t xml:space="preserve"> at 34-35.</w:t>
      </w:r>
    </w:p>
  </w:footnote>
  <w:footnote w:id="23">
    <w:p w:rsidR="00BE3970" w:rsidP="00BE3970" w14:paraId="08EDBE2A" w14:textId="224084CF">
      <w:pPr>
        <w:pStyle w:val="FootnoteText"/>
      </w:pPr>
      <w:r>
        <w:rPr>
          <w:rStyle w:val="FootnoteReference"/>
        </w:rPr>
        <w:footnoteRef/>
      </w:r>
      <w:r>
        <w:t xml:space="preserve"> </w:t>
      </w:r>
      <w:r w:rsidR="007F52A8">
        <w:rPr>
          <w:i/>
          <w:iCs/>
        </w:rPr>
        <w:t>Id.</w:t>
      </w:r>
      <w:r w:rsidR="00066E94">
        <w:t xml:space="preserve"> </w:t>
      </w:r>
      <w:r>
        <w:t>at 38</w:t>
      </w:r>
      <w:r w:rsidR="00066E94">
        <w:t>.</w:t>
      </w:r>
    </w:p>
  </w:footnote>
  <w:footnote w:id="24">
    <w:p w:rsidR="00BE3970" w:rsidP="00BE3970" w14:paraId="23A4F60D" w14:textId="65A7FD12">
      <w:pPr>
        <w:pStyle w:val="FootnoteText"/>
      </w:pPr>
      <w:r>
        <w:rPr>
          <w:rStyle w:val="FootnoteReference"/>
        </w:rPr>
        <w:footnoteRef/>
      </w:r>
      <w:r>
        <w:t xml:space="preserve"> </w:t>
      </w:r>
      <w:r w:rsidR="007474F1">
        <w:rPr>
          <w:i/>
          <w:iCs/>
        </w:rPr>
        <w:t>See</w:t>
      </w:r>
      <w:r>
        <w:rPr>
          <w:i/>
        </w:rPr>
        <w:t xml:space="preserve"> </w:t>
      </w:r>
      <w:r w:rsidR="009A41C6">
        <w:rPr>
          <w:i/>
          <w:iCs/>
        </w:rPr>
        <w:t>id</w:t>
      </w:r>
      <w:r w:rsidRPr="002F2137">
        <w:rPr>
          <w:i/>
          <w:iCs/>
        </w:rPr>
        <w:t>.</w:t>
      </w:r>
    </w:p>
  </w:footnote>
  <w:footnote w:id="25">
    <w:p w:rsidR="007865B2" w:rsidP="007865B2" w14:paraId="26A074CA" w14:textId="3FC985C7">
      <w:pPr>
        <w:pStyle w:val="FootnoteText"/>
      </w:pPr>
      <w:r>
        <w:rPr>
          <w:rStyle w:val="FootnoteReference"/>
        </w:rPr>
        <w:footnoteRef/>
      </w:r>
      <w:r>
        <w:t xml:space="preserve"> </w:t>
      </w:r>
      <w:r w:rsidR="0068483E">
        <w:rPr>
          <w:i/>
          <w:iCs/>
        </w:rPr>
        <w:t>Id</w:t>
      </w:r>
      <w:r w:rsidRPr="002F2137" w:rsidR="0068483E">
        <w:rPr>
          <w:i/>
          <w:iCs/>
        </w:rPr>
        <w:t>.</w:t>
      </w:r>
      <w:r>
        <w:t xml:space="preserve"> at 39.</w:t>
      </w:r>
    </w:p>
  </w:footnote>
  <w:footnote w:id="26">
    <w:p w:rsidR="007865B2" w:rsidRPr="00424693" w:rsidP="007865B2" w14:paraId="336950DE" w14:textId="32C3AF14">
      <w:pPr>
        <w:pStyle w:val="FootnoteText"/>
        <w:rPr>
          <w:i/>
          <w:iCs/>
        </w:rPr>
      </w:pPr>
      <w:r>
        <w:rPr>
          <w:rStyle w:val="FootnoteReference"/>
        </w:rPr>
        <w:footnoteRef/>
      </w:r>
      <w:r>
        <w:t xml:space="preserve"> </w:t>
      </w:r>
      <w:r w:rsidR="003158C6">
        <w:rPr>
          <w:i/>
          <w:iCs/>
        </w:rPr>
        <w:t>Id</w:t>
      </w:r>
      <w:r w:rsidRPr="002F2137" w:rsidR="003158C6">
        <w:rPr>
          <w:i/>
          <w:iCs/>
        </w:rPr>
        <w:t>.</w:t>
      </w:r>
      <w:r w:rsidR="003158C6">
        <w:t xml:space="preserve">  </w:t>
      </w:r>
    </w:p>
  </w:footnote>
  <w:footnote w:id="27">
    <w:p w:rsidR="00BE3970" w:rsidP="002F2137" w14:paraId="7112A14E" w14:textId="18DC05BE">
      <w:pPr>
        <w:pStyle w:val="FootnoteText"/>
        <w:keepLines/>
      </w:pPr>
      <w:r>
        <w:rPr>
          <w:rStyle w:val="FootnoteReference"/>
        </w:rPr>
        <w:footnoteRef/>
      </w:r>
      <w:r>
        <w:t xml:space="preserve"> </w:t>
      </w:r>
      <w:r w:rsidR="009A41C6">
        <w:rPr>
          <w:i/>
          <w:iCs/>
        </w:rPr>
        <w:t>See</w:t>
      </w:r>
      <w:r w:rsidRPr="6E61E4CA">
        <w:rPr>
          <w:i/>
          <w:iCs/>
        </w:rPr>
        <w:t xml:space="preserve"> </w:t>
      </w:r>
      <w:r>
        <w:t>NERC PRC-030-1 Petition at 1</w:t>
      </w:r>
      <w:r w:rsidR="322872FD">
        <w:t xml:space="preserve">; </w:t>
      </w:r>
      <w:r w:rsidRPr="322872FD" w:rsidR="322872FD">
        <w:rPr>
          <w:i/>
          <w:iCs/>
        </w:rPr>
        <w:t xml:space="preserve">see also </w:t>
      </w:r>
      <w:r w:rsidRPr="322872FD" w:rsidR="322872FD">
        <w:t xml:space="preserve">Order No. 901, </w:t>
      </w:r>
      <w:r w:rsidRPr="0980C3C7" w:rsidR="322872FD">
        <w:rPr>
          <w:rFonts w:eastAsia="Times New Roman"/>
        </w:rPr>
        <w:t>185 FERC ¶</w:t>
      </w:r>
      <w:r w:rsidR="00300DE7">
        <w:rPr>
          <w:rFonts w:eastAsia="Times New Roman"/>
        </w:rPr>
        <w:t> </w:t>
      </w:r>
      <w:r w:rsidRPr="0980C3C7" w:rsidR="322872FD">
        <w:rPr>
          <w:rFonts w:eastAsia="Times New Roman"/>
        </w:rPr>
        <w:t>61,042</w:t>
      </w:r>
      <w:r w:rsidRPr="0980C3C7" w:rsidR="090B9E6D">
        <w:rPr>
          <w:rFonts w:eastAsia="Times New Roman"/>
        </w:rPr>
        <w:t xml:space="preserve"> at P </w:t>
      </w:r>
      <w:r w:rsidR="00946FF4">
        <w:rPr>
          <w:rFonts w:eastAsia="Times New Roman"/>
        </w:rPr>
        <w:t>208</w:t>
      </w:r>
      <w:r w:rsidRPr="0980C3C7">
        <w:rPr>
          <w:rFonts w:eastAsia="Times New Roman"/>
        </w:rPr>
        <w:t>.</w:t>
      </w:r>
    </w:p>
  </w:footnote>
  <w:footnote w:id="28">
    <w:p w:rsidR="00BE3970" w:rsidP="00BE3970" w14:paraId="6D3161BC" w14:textId="3795E60F">
      <w:pPr>
        <w:pStyle w:val="FootnoteText"/>
      </w:pPr>
      <w:r>
        <w:rPr>
          <w:rStyle w:val="FootnoteReference"/>
        </w:rPr>
        <w:footnoteRef/>
      </w:r>
      <w:r>
        <w:t xml:space="preserve"> </w:t>
      </w:r>
      <w:r w:rsidR="00264671">
        <w:t>NERC PRC-030-1 Petition</w:t>
      </w:r>
      <w:r w:rsidR="00F47774">
        <w:t xml:space="preserve"> </w:t>
      </w:r>
      <w:r>
        <w:t>at 16.</w:t>
      </w:r>
    </w:p>
  </w:footnote>
  <w:footnote w:id="29">
    <w:p w:rsidR="00BE3970" w:rsidRPr="00C41053" w:rsidP="00BE3970" w14:paraId="1A7F48C2" w14:textId="67E4CB77">
      <w:pPr>
        <w:pStyle w:val="FootnoteText"/>
      </w:pPr>
      <w:r>
        <w:rPr>
          <w:rStyle w:val="FootnoteReference"/>
        </w:rPr>
        <w:footnoteRef/>
      </w:r>
      <w:r>
        <w:t xml:space="preserve"> Applicable non-bulk</w:t>
      </w:r>
      <w:r w:rsidR="7BB199CC">
        <w:t xml:space="preserve"> </w:t>
      </w:r>
      <w:r>
        <w:t>electric system IBRs include those non-bulk</w:t>
      </w:r>
      <w:r w:rsidR="3A7982FE">
        <w:t xml:space="preserve"> </w:t>
      </w:r>
      <w:r>
        <w:t xml:space="preserve">electric system IBRs that </w:t>
      </w:r>
      <w:r w:rsidRPr="00C41053">
        <w:t xml:space="preserve">either have or contribute to an aggregate nameplate capacity of greater than or equal to 20 MVA, connected through a system designed primarily for delivering such capacity to a common point of connection at a voltage greater than or equal to </w:t>
      </w:r>
      <w:r w:rsidR="00E7303A">
        <w:t xml:space="preserve">       </w:t>
      </w:r>
      <w:r w:rsidRPr="00C41053">
        <w:t>60 kV</w:t>
      </w:r>
      <w:r>
        <w:t xml:space="preserve">.  </w:t>
      </w:r>
      <w:r>
        <w:rPr>
          <w:i/>
          <w:iCs/>
        </w:rPr>
        <w:t xml:space="preserve">See </w:t>
      </w:r>
      <w:r w:rsidR="003E6903">
        <w:rPr>
          <w:i/>
          <w:iCs/>
        </w:rPr>
        <w:t>id</w:t>
      </w:r>
      <w:r w:rsidRPr="002F2137" w:rsidR="003E6903">
        <w:rPr>
          <w:i/>
          <w:iCs/>
        </w:rPr>
        <w:t>.</w:t>
      </w:r>
      <w:r>
        <w:t xml:space="preserve"> at 17, 32.</w:t>
      </w:r>
    </w:p>
  </w:footnote>
  <w:footnote w:id="30">
    <w:p w:rsidR="00BE3970" w:rsidRPr="003875D0" w:rsidP="00E7303A" w14:paraId="2016FDD7" w14:textId="6B96ED44">
      <w:pPr>
        <w:pStyle w:val="FootnoteText"/>
        <w:ind w:right="-180"/>
      </w:pPr>
      <w:r>
        <w:rPr>
          <w:rStyle w:val="FootnoteReference"/>
        </w:rPr>
        <w:footnoteRef/>
      </w:r>
      <w:r>
        <w:t xml:space="preserve"> </w:t>
      </w:r>
      <w:r w:rsidRPr="00782836">
        <w:rPr>
          <w:i/>
        </w:rPr>
        <w:t>See</w:t>
      </w:r>
      <w:r w:rsidR="0057530E">
        <w:rPr>
          <w:i/>
        </w:rPr>
        <w:t xml:space="preserve"> N. Am. Elec. Reliability Corp.</w:t>
      </w:r>
      <w:r w:rsidRPr="0057530E" w:rsidR="0057530E">
        <w:rPr>
          <w:iCs/>
        </w:rPr>
        <w:t>,</w:t>
      </w:r>
      <w:r w:rsidRPr="00782836">
        <w:rPr>
          <w:i/>
        </w:rPr>
        <w:t xml:space="preserve"> </w:t>
      </w:r>
      <w:r w:rsidRPr="00782836">
        <w:t>183 FERC ¶ 61,116</w:t>
      </w:r>
      <w:r w:rsidRPr="0068483E" w:rsidR="009F4FD9">
        <w:t>, at P 52</w:t>
      </w:r>
      <w:r w:rsidRPr="00782836">
        <w:t xml:space="preserve"> (2023)</w:t>
      </w:r>
      <w:r w:rsidRPr="0068483E" w:rsidR="00E8105B">
        <w:t xml:space="preserve"> (citing</w:t>
      </w:r>
      <w:r w:rsidR="0057530E">
        <w:rPr>
          <w:i/>
        </w:rPr>
        <w:t xml:space="preserve"> Registration of Inverter-based Res</w:t>
      </w:r>
      <w:r w:rsidRPr="0068483E" w:rsidR="004E34D7">
        <w:t xml:space="preserve">., </w:t>
      </w:r>
      <w:bookmarkStart w:id="5" w:name="_Hlk132013607"/>
      <w:r w:rsidRPr="0068483E" w:rsidR="004E34D7">
        <w:t xml:space="preserve">181 FERC ¶ 61,124, at P 33 </w:t>
      </w:r>
      <w:bookmarkEnd w:id="5"/>
      <w:r w:rsidRPr="0068483E" w:rsidR="004E34D7">
        <w:t xml:space="preserve">(2022) (directing NERC to </w:t>
      </w:r>
      <w:r w:rsidRPr="0068483E" w:rsidR="0083799E">
        <w:t>ensure</w:t>
      </w:r>
      <w:r w:rsidRPr="0068483E" w:rsidR="003B4AB4">
        <w:t xml:space="preserve"> IBR owners and operators are registered and required to comply with applicable Reliability Standards within 36 months of Commission approval of the NERC</w:t>
      </w:r>
      <w:r w:rsidRPr="0068483E" w:rsidR="0088534C">
        <w:t xml:space="preserve"> Registration Work Plan</w:t>
      </w:r>
      <w:r w:rsidRPr="0068483E" w:rsidR="00782836">
        <w:t xml:space="preserve"> (May 18, 2026)</w:t>
      </w:r>
      <w:r w:rsidR="00D80CEC">
        <w:t>)</w:t>
      </w:r>
      <w:r w:rsidRPr="0068483E" w:rsidR="00782836">
        <w:t>)</w:t>
      </w:r>
      <w:r w:rsidRPr="00782836">
        <w:t>.</w:t>
      </w:r>
    </w:p>
  </w:footnote>
  <w:footnote w:id="31">
    <w:p w:rsidR="00BE3970" w:rsidRPr="0013103F" w:rsidP="00BE3970" w14:paraId="2D14DFE6" w14:textId="6B01CCB8">
      <w:pPr>
        <w:pStyle w:val="FootnoteText"/>
      </w:pPr>
      <w:r>
        <w:rPr>
          <w:rStyle w:val="FootnoteReference"/>
        </w:rPr>
        <w:footnoteRef/>
      </w:r>
      <w:r>
        <w:t xml:space="preserve"> Proposed Reliability Standard PRC-030-1 establishes a minimum threshold of at least 20 MW and at least 10% of the plant’s gross nameplate rating, occurring within a four second period</w:t>
      </w:r>
      <w:r w:rsidR="5E4D49DF">
        <w:t>,</w:t>
      </w:r>
      <w:r>
        <w:t xml:space="preserve"> that NERC states would make the self-identification of events manageable for both small and large facilities. </w:t>
      </w:r>
      <w:r w:rsidR="00E201E0">
        <w:t xml:space="preserve"> </w:t>
      </w:r>
      <w:r>
        <w:rPr>
          <w:i/>
          <w:iCs/>
        </w:rPr>
        <w:t xml:space="preserve">See </w:t>
      </w:r>
      <w:r>
        <w:t>NERC PRC-030-1 Petition at 19.</w:t>
      </w:r>
    </w:p>
  </w:footnote>
  <w:footnote w:id="32">
    <w:p w:rsidR="00BE3970" w:rsidP="00BE3970" w14:paraId="14DE3647" w14:textId="1C522D94">
      <w:pPr>
        <w:pStyle w:val="FootnoteText"/>
      </w:pPr>
      <w:r>
        <w:rPr>
          <w:rStyle w:val="FootnoteReference"/>
        </w:rPr>
        <w:footnoteRef/>
      </w:r>
      <w:r>
        <w:t xml:space="preserve"> </w:t>
      </w:r>
      <w:r w:rsidR="00E201E0">
        <w:rPr>
          <w:i/>
          <w:iCs/>
        </w:rPr>
        <w:t>Id</w:t>
      </w:r>
      <w:r w:rsidRPr="002F2137" w:rsidR="00E201E0">
        <w:rPr>
          <w:i/>
          <w:iCs/>
        </w:rPr>
        <w:t>.</w:t>
      </w:r>
      <w:r>
        <w:t xml:space="preserve"> at 18, 21 (describing those slower changes in Real Power that are excluded from the identification requirements in Requirement R1 because they are anticipated with normal operations or expected responses).</w:t>
      </w:r>
    </w:p>
  </w:footnote>
  <w:footnote w:id="33">
    <w:p w:rsidR="00971A95" w:rsidP="00971A95" w14:paraId="753C0096" w14:textId="77777777">
      <w:pPr>
        <w:pStyle w:val="FootnoteText"/>
      </w:pPr>
      <w:r>
        <w:rPr>
          <w:rStyle w:val="FootnoteReference"/>
        </w:rPr>
        <w:footnoteRef/>
      </w:r>
      <w:r>
        <w:t xml:space="preserve"> </w:t>
      </w:r>
      <w:r>
        <w:rPr>
          <w:i/>
          <w:iCs/>
        </w:rPr>
        <w:t>Id</w:t>
      </w:r>
      <w:r w:rsidRPr="001559EA">
        <w:rPr>
          <w:i/>
          <w:iCs/>
        </w:rPr>
        <w:t>.</w:t>
      </w:r>
      <w:r>
        <w:t xml:space="preserve"> at 22-24.</w:t>
      </w:r>
    </w:p>
  </w:footnote>
  <w:footnote w:id="34">
    <w:p w:rsidR="00BE3970" w:rsidRPr="00AF0718" w:rsidP="00E7303A" w14:paraId="67FE9804" w14:textId="51B76C08">
      <w:pPr>
        <w:pStyle w:val="FootnoteText"/>
        <w:ind w:right="-90"/>
      </w:pPr>
      <w:r>
        <w:rPr>
          <w:rStyle w:val="FootnoteReference"/>
        </w:rPr>
        <w:footnoteRef/>
      </w:r>
      <w:r>
        <w:t xml:space="preserve"> Primary characteristics of an acceptable technical justification for not performing corrective actions include “interconnection requirements on IBR performance extending beyond those in place at the time of interconnection” and corrective actions would require significant material modifications or a qualified change.  </w:t>
      </w:r>
      <w:r>
        <w:rPr>
          <w:i/>
          <w:iCs/>
        </w:rPr>
        <w:t xml:space="preserve">See </w:t>
      </w:r>
      <w:r w:rsidR="00E201E0">
        <w:rPr>
          <w:i/>
          <w:iCs/>
        </w:rPr>
        <w:t>id</w:t>
      </w:r>
      <w:r w:rsidRPr="002F2137" w:rsidR="00E201E0">
        <w:rPr>
          <w:i/>
          <w:iCs/>
        </w:rPr>
        <w:t>.</w:t>
      </w:r>
      <w:r>
        <w:t xml:space="preserve"> at 26.</w:t>
      </w:r>
    </w:p>
  </w:footnote>
  <w:footnote w:id="35">
    <w:p w:rsidR="00BE3970" w:rsidP="00BE3970" w14:paraId="2D1AB99B" w14:textId="59A495F6">
      <w:pPr>
        <w:pStyle w:val="FootnoteText"/>
      </w:pPr>
      <w:r>
        <w:rPr>
          <w:rStyle w:val="FootnoteReference"/>
        </w:rPr>
        <w:footnoteRef/>
      </w:r>
      <w:r>
        <w:t xml:space="preserve"> </w:t>
      </w:r>
      <w:r w:rsidR="00E201E0">
        <w:rPr>
          <w:i/>
          <w:iCs/>
        </w:rPr>
        <w:t>Id</w:t>
      </w:r>
      <w:r w:rsidRPr="002F2137" w:rsidR="00E201E0">
        <w:rPr>
          <w:i/>
          <w:iCs/>
        </w:rPr>
        <w:t>.</w:t>
      </w:r>
      <w:r>
        <w:t xml:space="preserve"> at 24.</w:t>
      </w:r>
    </w:p>
  </w:footnote>
  <w:footnote w:id="36">
    <w:p w:rsidR="00077A3F" w:rsidP="00077A3F" w14:paraId="773395B2" w14:textId="779B7BD6">
      <w:pPr>
        <w:pStyle w:val="FootnoteText"/>
      </w:pPr>
      <w:r>
        <w:rPr>
          <w:rStyle w:val="FootnoteReference"/>
        </w:rPr>
        <w:footnoteRef/>
      </w:r>
      <w:r>
        <w:t xml:space="preserve"> </w:t>
      </w:r>
      <w:r w:rsidR="007275C4">
        <w:rPr>
          <w:i/>
          <w:iCs/>
        </w:rPr>
        <w:t xml:space="preserve">See </w:t>
      </w:r>
      <w:r w:rsidR="007275C4">
        <w:t xml:space="preserve">Order No. </w:t>
      </w:r>
      <w:r w:rsidRPr="00451C2D" w:rsidR="007275C4">
        <w:t>901, 185 FERC ¶</w:t>
      </w:r>
      <w:r w:rsidRPr="006C1BF7" w:rsidR="007275C4">
        <w:t xml:space="preserve"> </w:t>
      </w:r>
      <w:r w:rsidRPr="00451C2D" w:rsidR="007275C4">
        <w:t>61,042 at</w:t>
      </w:r>
      <w:r w:rsidR="007275C4">
        <w:t xml:space="preserve"> P</w:t>
      </w:r>
      <w:r w:rsidRPr="006774CC">
        <w:t xml:space="preserve"> 208</w:t>
      </w:r>
      <w:r>
        <w:t>.</w:t>
      </w:r>
    </w:p>
  </w:footnote>
  <w:footnote w:id="37">
    <w:p w:rsidR="00BE3970" w:rsidP="00BE3970" w14:paraId="364602CB" w14:textId="6267EEF3">
      <w:pPr>
        <w:pStyle w:val="FootnoteText"/>
      </w:pPr>
      <w:r>
        <w:rPr>
          <w:rStyle w:val="FootnoteReference"/>
        </w:rPr>
        <w:footnoteRef/>
      </w:r>
      <w:r>
        <w:t xml:space="preserve"> </w:t>
      </w:r>
      <w:r w:rsidR="00E201E0">
        <w:rPr>
          <w:i/>
          <w:iCs/>
        </w:rPr>
        <w:t>See</w:t>
      </w:r>
      <w:r>
        <w:rPr>
          <w:i/>
        </w:rPr>
        <w:t xml:space="preserve"> </w:t>
      </w:r>
      <w:r>
        <w:t>NERC PRC-030-1 Petition at 32.</w:t>
      </w:r>
    </w:p>
  </w:footnote>
  <w:footnote w:id="38">
    <w:p w:rsidR="00BE3970" w:rsidP="00BE3970" w14:paraId="36E6037B" w14:textId="499F8406">
      <w:pPr>
        <w:pStyle w:val="FootnoteText"/>
      </w:pPr>
      <w:r>
        <w:rPr>
          <w:rStyle w:val="FootnoteReference"/>
        </w:rPr>
        <w:footnoteRef/>
      </w:r>
      <w:r>
        <w:t xml:space="preserve"> </w:t>
      </w:r>
      <w:r w:rsidR="00E201E0">
        <w:rPr>
          <w:i/>
          <w:iCs/>
        </w:rPr>
        <w:t>See</w:t>
      </w:r>
      <w:r>
        <w:rPr>
          <w:i/>
        </w:rPr>
        <w:t xml:space="preserve"> </w:t>
      </w:r>
      <w:r>
        <w:t xml:space="preserve">Order No. </w:t>
      </w:r>
      <w:r w:rsidRPr="00451C2D">
        <w:t>901, 185 FERC ¶</w:t>
      </w:r>
      <w:r w:rsidRPr="006C1BF7">
        <w:t xml:space="preserve"> </w:t>
      </w:r>
      <w:r w:rsidRPr="00451C2D">
        <w:t xml:space="preserve">61,042 at </w:t>
      </w:r>
      <w:r>
        <w:t xml:space="preserve">P 226. </w:t>
      </w:r>
    </w:p>
  </w:footnote>
  <w:footnote w:id="39">
    <w:p w:rsidR="00BE3970" w14:paraId="2A9D1171" w14:textId="5D2CE292">
      <w:pPr>
        <w:pStyle w:val="FootnoteText"/>
      </w:pPr>
      <w:r>
        <w:rPr>
          <w:rStyle w:val="FootnoteReference"/>
        </w:rPr>
        <w:footnoteRef/>
      </w:r>
      <w:r>
        <w:t xml:space="preserve"> 16 U.S.C. 824o(d)(2).  </w:t>
      </w:r>
    </w:p>
  </w:footnote>
  <w:footnote w:id="40">
    <w:p w:rsidR="00BE3970" w:rsidRPr="00830D64" w:rsidP="00BE3970" w14:paraId="47373605" w14:textId="77777777">
      <w:pPr>
        <w:pStyle w:val="FootnoteText"/>
      </w:pPr>
      <w:r>
        <w:rPr>
          <w:rStyle w:val="FootnoteReference"/>
        </w:rPr>
        <w:footnoteRef/>
      </w:r>
      <w:r>
        <w:t xml:space="preserve"> </w:t>
      </w:r>
      <w:r>
        <w:rPr>
          <w:i/>
          <w:iCs/>
        </w:rPr>
        <w:t xml:space="preserve">See </w:t>
      </w:r>
      <w:bookmarkStart w:id="6" w:name="_Hlk148633590"/>
      <w:r>
        <w:t xml:space="preserve">Order No. 901, </w:t>
      </w:r>
      <w:r w:rsidRPr="006C1BF7">
        <w:t>185 FERC ¶ 61,04</w:t>
      </w:r>
      <w:bookmarkEnd w:id="6"/>
      <w:r>
        <w:t xml:space="preserve">2 at PP 1-8.  </w:t>
      </w:r>
    </w:p>
  </w:footnote>
  <w:footnote w:id="41">
    <w:p w:rsidR="00C126CD" w14:paraId="59B69CCA" w14:textId="73A8A793">
      <w:pPr>
        <w:pStyle w:val="FootnoteText"/>
      </w:pPr>
      <w:r>
        <w:rPr>
          <w:rStyle w:val="FootnoteReference"/>
        </w:rPr>
        <w:footnoteRef/>
      </w:r>
      <w:r>
        <w:t xml:space="preserve"> The “Number of Entity” data is compiled from the November 20, 2024, edition of the NERC Compliance Registry.</w:t>
      </w:r>
      <w:r w:rsidR="00DB2F62">
        <w:t xml:space="preserve">  </w:t>
      </w:r>
    </w:p>
  </w:footnote>
  <w:footnote w:id="42">
    <w:p w:rsidR="008B0CC5" w14:paraId="6CE71974" w14:textId="0690BBF9">
      <w:pPr>
        <w:pStyle w:val="FootnoteText"/>
      </w:pPr>
      <w:r>
        <w:rPr>
          <w:rStyle w:val="FootnoteReference"/>
        </w:rPr>
        <w:footnoteRef/>
      </w:r>
      <w:r>
        <w:t xml:space="preserve"> </w:t>
      </w:r>
      <w:r w:rsidRPr="00C35159" w:rsidR="00C35159">
        <w:t xml:space="preserve">The estimated hourly cost (salary plus benefits) is a combination </w:t>
      </w:r>
      <w:r w:rsidR="00026F04">
        <w:t>of the following categories from</w:t>
      </w:r>
      <w:r w:rsidRPr="00C35159" w:rsidR="00C35159">
        <w:t xml:space="preserve"> the Bureau of Labor Statistics (BLS</w:t>
      </w:r>
      <w:r w:rsidR="00026F04">
        <w:t xml:space="preserve">) website, </w:t>
      </w:r>
      <w:r w:rsidRPr="0057530E" w:rsidR="00026F04">
        <w:t>http://www.bls.gov/oes/current/naics2_22.htm</w:t>
      </w:r>
      <w:r w:rsidR="00026F04">
        <w:t xml:space="preserve">: </w:t>
      </w:r>
      <w:r w:rsidR="001856B8">
        <w:t xml:space="preserve"> </w:t>
      </w:r>
      <w:r w:rsidR="00026F04">
        <w:t>75%</w:t>
      </w:r>
      <w:r w:rsidRPr="00C35159" w:rsidR="00C35159">
        <w:t xml:space="preserve"> of the average of an Electrical Engineer (17-2071) $79.31</w:t>
      </w:r>
      <w:r w:rsidR="00026F04">
        <w:t xml:space="preserve">/hr., </w:t>
      </w:r>
      <w:r w:rsidR="007640DB">
        <w:t>$</w:t>
      </w:r>
      <w:r w:rsidRPr="00C35159" w:rsidR="00C35159">
        <w:t xml:space="preserve">79.31 x </w:t>
      </w:r>
      <w:r w:rsidR="00190F60">
        <w:t>0</w:t>
      </w:r>
      <w:r w:rsidRPr="00C35159" w:rsidR="00C35159">
        <w:t xml:space="preserve">.75 = </w:t>
      </w:r>
      <w:r w:rsidR="007640DB">
        <w:t>$</w:t>
      </w:r>
      <w:r w:rsidR="00026F04">
        <w:t xml:space="preserve">59.4825 </w:t>
      </w:r>
      <w:r w:rsidR="00C35159">
        <w:t>($</w:t>
      </w:r>
      <w:r w:rsidR="00026F04">
        <w:t>59.48</w:t>
      </w:r>
      <w:r w:rsidR="00C35159">
        <w:t>/hour</w:t>
      </w:r>
      <w:r w:rsidR="00026F04">
        <w:t>); and 25%</w:t>
      </w:r>
      <w:r w:rsidRPr="00C35159" w:rsidR="00C35159">
        <w:t xml:space="preserve"> of an Information and Record Clerk (43-4199) $44.74</w:t>
      </w:r>
      <w:r w:rsidR="00026F04">
        <w:t>/hr., $44.74</w:t>
      </w:r>
      <w:r w:rsidRPr="00C35159" w:rsidR="00C35159">
        <w:t xml:space="preserve"> x </w:t>
      </w:r>
      <w:r w:rsidR="007640DB">
        <w:t>0</w:t>
      </w:r>
      <w:r w:rsidRPr="00C35159" w:rsidR="00C35159">
        <w:t>.25 = 11.185 ($11.19/hour</w:t>
      </w:r>
      <w:r w:rsidR="00026F04">
        <w:t>)</w:t>
      </w:r>
      <w:r w:rsidR="008F17C4">
        <w:t>;</w:t>
      </w:r>
      <w:r w:rsidRPr="00C35159" w:rsidR="00C35159">
        <w:t xml:space="preserve"> for a total </w:t>
      </w:r>
      <w:r w:rsidR="00EB6720">
        <w:t xml:space="preserve">of </w:t>
      </w:r>
      <w:r w:rsidRPr="00C35159" w:rsidR="00C35159">
        <w:t>($</w:t>
      </w:r>
      <w:r w:rsidR="00026F04">
        <w:t>59.48</w:t>
      </w:r>
      <w:r w:rsidRPr="00C35159" w:rsidR="00C35159">
        <w:t xml:space="preserve">+$11.19 = </w:t>
      </w:r>
      <w:r w:rsidRPr="00170069" w:rsidR="00C35159">
        <w:rPr>
          <w:b/>
        </w:rPr>
        <w:t>$</w:t>
      </w:r>
      <w:r w:rsidRPr="00170069" w:rsidR="00026F04">
        <w:rPr>
          <w:b/>
          <w:bCs/>
        </w:rPr>
        <w:t>70.67</w:t>
      </w:r>
      <w:r w:rsidRPr="00E60290" w:rsidR="00C35159">
        <w:rPr>
          <w:b/>
        </w:rPr>
        <w:t>/hour</w:t>
      </w:r>
      <w:r w:rsidRPr="00C35159" w:rsidR="00C35159">
        <w:t>).</w:t>
      </w:r>
      <w:r w:rsidR="00026F04">
        <w:t xml:space="preserve"> </w:t>
      </w:r>
    </w:p>
  </w:footnote>
  <w:footnote w:id="43">
    <w:p w:rsidR="00DB2F62" w14:paraId="2CDBC85C" w14:textId="5BA9E808">
      <w:pPr>
        <w:pStyle w:val="FootnoteText"/>
      </w:pPr>
      <w:r>
        <w:rPr>
          <w:rStyle w:val="FootnoteReference"/>
        </w:rPr>
        <w:footnoteRef/>
      </w:r>
      <w:r>
        <w:t xml:space="preserve"> The “Number of Entity” data is compiled from the November 20, 2024, edition of the NERC Compliance Registry.  </w:t>
      </w:r>
    </w:p>
  </w:footnote>
  <w:footnote w:id="44">
    <w:p w:rsidR="00CF6CBB" w14:paraId="129C2641" w14:textId="6CCDAB88">
      <w:pPr>
        <w:pStyle w:val="FootnoteText"/>
      </w:pPr>
      <w:r>
        <w:rPr>
          <w:rStyle w:val="FootnoteReference"/>
        </w:rPr>
        <w:footnoteRef/>
      </w:r>
      <w:r>
        <w:t xml:space="preserve"> The estimated hourly cost (salary plus benefits) is a combination of the following categories from the Bureau of Labor Statistics (BLS) website, </w:t>
      </w:r>
      <w:r w:rsidRPr="0057530E">
        <w:t>http://www.bls.gov/oes/current/naics2_22.htm</w:t>
      </w:r>
      <w:r>
        <w:t xml:space="preserve">:  75% of the average of an Electrical Engineer (17-2071) $79.31/hr., </w:t>
      </w:r>
      <w:r w:rsidR="00E6038A">
        <w:t>$</w:t>
      </w:r>
      <w:r>
        <w:t xml:space="preserve">79.31 x </w:t>
      </w:r>
      <w:r w:rsidR="00E6038A">
        <w:t>0</w:t>
      </w:r>
      <w:r>
        <w:t xml:space="preserve">.75 = </w:t>
      </w:r>
      <w:r w:rsidR="00E6038A">
        <w:t>$</w:t>
      </w:r>
      <w:r>
        <w:t xml:space="preserve">59.4825 ($59.48/hour); and 25% of an Information and Record Clerk (43-4199) $44.74/hr., $44.74 x </w:t>
      </w:r>
      <w:r w:rsidR="00E6038A">
        <w:t>0</w:t>
      </w:r>
      <w:r>
        <w:t xml:space="preserve">.25 = </w:t>
      </w:r>
      <w:r w:rsidR="00E6038A">
        <w:t>$</w:t>
      </w:r>
      <w:r>
        <w:t>11.185 ($11.19/hour)</w:t>
      </w:r>
      <w:r w:rsidR="00FB0B39">
        <w:t>;</w:t>
      </w:r>
      <w:r>
        <w:t xml:space="preserve"> for a total </w:t>
      </w:r>
      <w:r w:rsidR="008F17C4">
        <w:t xml:space="preserve">of </w:t>
      </w:r>
      <w:r>
        <w:t>($59.48</w:t>
      </w:r>
      <w:r w:rsidR="00FB0B39">
        <w:t xml:space="preserve"> </w:t>
      </w:r>
      <w:r>
        <w:t>+</w:t>
      </w:r>
      <w:r w:rsidR="00FB0B39">
        <w:t xml:space="preserve"> </w:t>
      </w:r>
      <w:r>
        <w:t xml:space="preserve">$11.19 = </w:t>
      </w:r>
      <w:r w:rsidRPr="00C5323D">
        <w:rPr>
          <w:b/>
          <w:bCs/>
        </w:rPr>
        <w:t>$70.67/hour</w:t>
      </w:r>
      <w:r>
        <w:t xml:space="preserve">).  </w:t>
      </w:r>
    </w:p>
  </w:footnote>
  <w:footnote w:id="45">
    <w:p w:rsidR="00CF6CBB" w14:paraId="74A245FB" w14:textId="50D65804">
      <w:pPr>
        <w:pStyle w:val="FootnoteText"/>
      </w:pPr>
      <w:r>
        <w:rPr>
          <w:rStyle w:val="FootnoteReference"/>
        </w:rPr>
        <w:footnoteRef/>
      </w:r>
      <w:r>
        <w:t xml:space="preserve"> The “Number of Entity” data is compiled from the November 20, 2024, edition of the NERC Compliance Registry.  </w:t>
      </w:r>
    </w:p>
  </w:footnote>
  <w:footnote w:id="46">
    <w:p w:rsidR="00CF6CBB" w:rsidP="00124003" w14:paraId="6C759D1A" w14:textId="6415F897">
      <w:pPr>
        <w:pStyle w:val="FootnoteText"/>
        <w:widowControl/>
      </w:pPr>
      <w:r w:rsidRPr="00D033D3">
        <w:rPr>
          <w:rStyle w:val="FootnoteReference"/>
        </w:rPr>
        <w:footnoteRef/>
      </w:r>
      <w:r>
        <w:t xml:space="preserve"> The estimated hourly cost (salary plus benefits) is a combination of the following categories from the Bureau of Labor Statistics (BLS) website, </w:t>
      </w:r>
      <w:r w:rsidRPr="001B3E46">
        <w:t>http://www.bls.gov/oes/current/naics2_22.htm</w:t>
      </w:r>
      <w:r>
        <w:t xml:space="preserve">: </w:t>
      </w:r>
      <w:r w:rsidR="008F12BB">
        <w:t xml:space="preserve"> </w:t>
      </w:r>
      <w:r>
        <w:t xml:space="preserve">75% of the average of an Electrical Engineer (17-2071) $79.31/hr., 79.31 x </w:t>
      </w:r>
      <w:r w:rsidR="00FB0B39">
        <w:t>0</w:t>
      </w:r>
      <w:r>
        <w:t xml:space="preserve">.75 = 59.4825 ($59.48/hour); and 25% of an Information and Record Clerk (43-4199) $44.74/hr., $44.74 x </w:t>
      </w:r>
      <w:r w:rsidR="00FB0B39">
        <w:t>0</w:t>
      </w:r>
      <w:r>
        <w:t>.25% = 11.185 ($11.19/hour)</w:t>
      </w:r>
      <w:r w:rsidR="00FB0B39">
        <w:t>;</w:t>
      </w:r>
      <w:r>
        <w:t xml:space="preserve"> for a total </w:t>
      </w:r>
      <w:r w:rsidR="00FB0B39">
        <w:t xml:space="preserve">of </w:t>
      </w:r>
      <w:r>
        <w:t>($59.48</w:t>
      </w:r>
      <w:r w:rsidR="00FB0B39">
        <w:t xml:space="preserve"> </w:t>
      </w:r>
      <w:r>
        <w:t>+</w:t>
      </w:r>
      <w:r w:rsidR="00FB0B39">
        <w:t xml:space="preserve"> </w:t>
      </w:r>
      <w:r>
        <w:t xml:space="preserve">$11.19 = </w:t>
      </w:r>
      <w:r w:rsidRPr="00C5323D">
        <w:rPr>
          <w:b/>
          <w:bCs/>
        </w:rPr>
        <w:t>$70.67/hour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92F" w:rsidP="00440185" w14:paraId="26BE5452" w14:textId="4E3D7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661">
      <w:rPr>
        <w:rStyle w:val="PageNumber"/>
        <w:noProof/>
      </w:rPr>
      <w:t>- 8 -</w:t>
    </w:r>
    <w:r>
      <w:rPr>
        <w:rStyle w:val="PageNumber"/>
      </w:rPr>
      <w:fldChar w:fldCharType="end"/>
    </w:r>
  </w:p>
  <w:p w:rsidR="00F0392F" w:rsidP="00440185" w14:paraId="6EB597E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92F" w:rsidP="00C4767D" w14:paraId="1F932A3F" w14:textId="3473818B">
    <w:pPr>
      <w:pStyle w:val="Header"/>
      <w:tabs>
        <w:tab w:val="clear" w:pos="4680"/>
      </w:tabs>
    </w:pPr>
    <w:r>
      <w:t xml:space="preserve">Docket No. </w:t>
    </w:r>
    <w:r w:rsidR="00BB0DDF">
      <w:t>RD25-1-000</w:t>
    </w:r>
    <w:r w:rsidR="00C4767D">
      <w:t xml:space="preserve">, </w:t>
    </w:r>
    <w:r w:rsidRPr="002F2137" w:rsidR="00C4767D">
      <w:t>et al.</w:t>
    </w:r>
    <w:r>
      <w:tab/>
    </w:r>
    <w:r w:rsidR="009110E5">
      <w:rPr>
        <w:noProof/>
      </w:rPr>
      <w:fldChar w:fldCharType="begin"/>
    </w:r>
    <w:r w:rsidR="009110E5">
      <w:rPr>
        <w:noProof/>
      </w:rPr>
      <w:instrText xml:space="preserve"> PAGE  \* MERGEFORMAT </w:instrText>
    </w:r>
    <w:r w:rsidR="009110E5">
      <w:rPr>
        <w:noProof/>
      </w:rPr>
      <w:fldChar w:fldCharType="separate"/>
    </w:r>
    <w:r w:rsidR="00637661">
      <w:rPr>
        <w:noProof/>
      </w:rPr>
      <w:t>- 2 -</w:t>
    </w:r>
    <w:r w:rsidR="009110E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616859"/>
    <w:multiLevelType w:val="hybridMultilevel"/>
    <w:tmpl w:val="E35848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Symbol"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Symbol" w:hint="default"/>
      </w:rPr>
    </w:lvl>
    <w:lvl w:ilvl="8" w:tentative="1">
      <w:start w:val="1"/>
      <w:numFmt w:val="bullet"/>
      <w:lvlText w:val=""/>
      <w:lvlJc w:val="left"/>
      <w:pPr>
        <w:ind w:left="720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29847053"/>
    <w:multiLevelType w:val="hybridMultilevel"/>
    <w:tmpl w:val="FCD87F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Symbol"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Symbol" w:hint="default"/>
      </w:rPr>
    </w:lvl>
    <w:lvl w:ilvl="8" w:tentative="1">
      <w:start w:val="1"/>
      <w:numFmt w:val="bullet"/>
      <w:lvlText w:val=""/>
      <w:lvlJc w:val="left"/>
      <w:pPr>
        <w:ind w:left="720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3124C1"/>
    <w:multiLevelType w:val="hybridMultilevel"/>
    <w:tmpl w:val="4D8ED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1">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69F2B0E"/>
    <w:multiLevelType w:val="hybridMultilevel"/>
    <w:tmpl w:val="EA205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3">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4">
    <w:nsid w:val="767C5790"/>
    <w:multiLevelType w:val="hybridMultilevel"/>
    <w:tmpl w:val="E3F24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17144677">
    <w:abstractNumId w:val="9"/>
  </w:num>
  <w:num w:numId="2" w16cid:durableId="251206871">
    <w:abstractNumId w:val="7"/>
  </w:num>
  <w:num w:numId="3" w16cid:durableId="578561814">
    <w:abstractNumId w:val="6"/>
  </w:num>
  <w:num w:numId="4" w16cid:durableId="1768884512">
    <w:abstractNumId w:val="5"/>
  </w:num>
  <w:num w:numId="5" w16cid:durableId="1153177327">
    <w:abstractNumId w:val="4"/>
  </w:num>
  <w:num w:numId="6" w16cid:durableId="1062099881">
    <w:abstractNumId w:val="8"/>
  </w:num>
  <w:num w:numId="7" w16cid:durableId="28800855">
    <w:abstractNumId w:val="3"/>
  </w:num>
  <w:num w:numId="8" w16cid:durableId="85198532">
    <w:abstractNumId w:val="2"/>
  </w:num>
  <w:num w:numId="9" w16cid:durableId="1269237362">
    <w:abstractNumId w:val="1"/>
  </w:num>
  <w:num w:numId="10" w16cid:durableId="709495092">
    <w:abstractNumId w:val="0"/>
  </w:num>
  <w:num w:numId="11" w16cid:durableId="1617525056">
    <w:abstractNumId w:val="25"/>
  </w:num>
  <w:num w:numId="12" w16cid:durableId="848102306">
    <w:abstractNumId w:val="21"/>
  </w:num>
  <w:num w:numId="13" w16cid:durableId="1985042058">
    <w:abstractNumId w:val="14"/>
  </w:num>
  <w:num w:numId="14" w16cid:durableId="1760567253">
    <w:abstractNumId w:val="23"/>
  </w:num>
  <w:num w:numId="15" w16cid:durableId="1146244425">
    <w:abstractNumId w:val="20"/>
  </w:num>
  <w:num w:numId="16" w16cid:durableId="916477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2858201">
    <w:abstractNumId w:val="11"/>
  </w:num>
  <w:num w:numId="18" w16cid:durableId="782917359">
    <w:abstractNumId w:val="10"/>
  </w:num>
  <w:num w:numId="19" w16cid:durableId="151995580">
    <w:abstractNumId w:val="15"/>
  </w:num>
  <w:num w:numId="20" w16cid:durableId="270404574">
    <w:abstractNumId w:val="12"/>
  </w:num>
  <w:num w:numId="21" w16cid:durableId="1613901164">
    <w:abstractNumId w:val="26"/>
  </w:num>
  <w:num w:numId="22" w16cid:durableId="741565558">
    <w:abstractNumId w:val="25"/>
  </w:num>
  <w:num w:numId="23" w16cid:durableId="1355302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35326">
    <w:abstractNumId w:val="13"/>
  </w:num>
  <w:num w:numId="25" w16cid:durableId="424225363">
    <w:abstractNumId w:val="16"/>
  </w:num>
  <w:num w:numId="26" w16cid:durableId="1998997348">
    <w:abstractNumId w:val="25"/>
  </w:num>
  <w:num w:numId="27" w16cid:durableId="1889221631">
    <w:abstractNumId w:val="22"/>
  </w:num>
  <w:num w:numId="28" w16cid:durableId="103548669">
    <w:abstractNumId w:val="19"/>
  </w:num>
  <w:num w:numId="29" w16cid:durableId="1837570499">
    <w:abstractNumId w:val="24"/>
  </w:num>
  <w:num w:numId="30" w16cid:durableId="929582770">
    <w:abstractNumId w:val="25"/>
  </w:num>
  <w:num w:numId="31" w16cid:durableId="904998378">
    <w:abstractNumId w:val="25"/>
    <w:lvlOverride w:ilvl="0">
      <w:startOverride w:val="1"/>
    </w:lvlOverride>
  </w:num>
  <w:num w:numId="32" w16cid:durableId="231237055">
    <w:abstractNumId w:val="17"/>
  </w:num>
  <w:num w:numId="33" w16cid:durableId="101456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BC"/>
    <w:rsid w:val="000000F4"/>
    <w:rsid w:val="000013E1"/>
    <w:rsid w:val="000018BA"/>
    <w:rsid w:val="00001D4B"/>
    <w:rsid w:val="00002693"/>
    <w:rsid w:val="00002C45"/>
    <w:rsid w:val="00002F8A"/>
    <w:rsid w:val="00003340"/>
    <w:rsid w:val="0000399C"/>
    <w:rsid w:val="00004D48"/>
    <w:rsid w:val="00006799"/>
    <w:rsid w:val="00006800"/>
    <w:rsid w:val="00006907"/>
    <w:rsid w:val="0000731D"/>
    <w:rsid w:val="0000745F"/>
    <w:rsid w:val="00007F8E"/>
    <w:rsid w:val="0001048A"/>
    <w:rsid w:val="00010FA6"/>
    <w:rsid w:val="000115BD"/>
    <w:rsid w:val="000118C8"/>
    <w:rsid w:val="0001211A"/>
    <w:rsid w:val="00012775"/>
    <w:rsid w:val="00013256"/>
    <w:rsid w:val="000133B2"/>
    <w:rsid w:val="00013EF5"/>
    <w:rsid w:val="00014118"/>
    <w:rsid w:val="0001450D"/>
    <w:rsid w:val="0001462C"/>
    <w:rsid w:val="00014D10"/>
    <w:rsid w:val="00015F6C"/>
    <w:rsid w:val="000167BD"/>
    <w:rsid w:val="0001706D"/>
    <w:rsid w:val="00017ED7"/>
    <w:rsid w:val="00017F2F"/>
    <w:rsid w:val="0002044C"/>
    <w:rsid w:val="00020E50"/>
    <w:rsid w:val="00021C94"/>
    <w:rsid w:val="00022AC3"/>
    <w:rsid w:val="00023E9A"/>
    <w:rsid w:val="00025568"/>
    <w:rsid w:val="00025AEE"/>
    <w:rsid w:val="00026F04"/>
    <w:rsid w:val="00026F62"/>
    <w:rsid w:val="00027195"/>
    <w:rsid w:val="0002721E"/>
    <w:rsid w:val="00027947"/>
    <w:rsid w:val="000306EE"/>
    <w:rsid w:val="00031400"/>
    <w:rsid w:val="000335B8"/>
    <w:rsid w:val="000337FC"/>
    <w:rsid w:val="000338D7"/>
    <w:rsid w:val="00033E49"/>
    <w:rsid w:val="000350E2"/>
    <w:rsid w:val="000350EB"/>
    <w:rsid w:val="00036049"/>
    <w:rsid w:val="00036188"/>
    <w:rsid w:val="00036D3D"/>
    <w:rsid w:val="000376F2"/>
    <w:rsid w:val="00037F83"/>
    <w:rsid w:val="00040075"/>
    <w:rsid w:val="000400BE"/>
    <w:rsid w:val="00040245"/>
    <w:rsid w:val="00040F35"/>
    <w:rsid w:val="000411E1"/>
    <w:rsid w:val="00041504"/>
    <w:rsid w:val="0004165D"/>
    <w:rsid w:val="00041ED9"/>
    <w:rsid w:val="0004251E"/>
    <w:rsid w:val="000426D0"/>
    <w:rsid w:val="000428C4"/>
    <w:rsid w:val="000431B0"/>
    <w:rsid w:val="000434E4"/>
    <w:rsid w:val="00043CD8"/>
    <w:rsid w:val="00044079"/>
    <w:rsid w:val="000445CA"/>
    <w:rsid w:val="00045F25"/>
    <w:rsid w:val="00050414"/>
    <w:rsid w:val="0005116D"/>
    <w:rsid w:val="000516F5"/>
    <w:rsid w:val="00051A41"/>
    <w:rsid w:val="00051CC0"/>
    <w:rsid w:val="00054E07"/>
    <w:rsid w:val="000550DC"/>
    <w:rsid w:val="0005510A"/>
    <w:rsid w:val="000559C8"/>
    <w:rsid w:val="00055F5F"/>
    <w:rsid w:val="00055F78"/>
    <w:rsid w:val="00056983"/>
    <w:rsid w:val="00057491"/>
    <w:rsid w:val="000602F3"/>
    <w:rsid w:val="0006032E"/>
    <w:rsid w:val="000607B0"/>
    <w:rsid w:val="00060A3B"/>
    <w:rsid w:val="0006147A"/>
    <w:rsid w:val="00062A7A"/>
    <w:rsid w:val="00063134"/>
    <w:rsid w:val="00064974"/>
    <w:rsid w:val="00064D42"/>
    <w:rsid w:val="00065E45"/>
    <w:rsid w:val="00065F74"/>
    <w:rsid w:val="00066E94"/>
    <w:rsid w:val="00070796"/>
    <w:rsid w:val="00070857"/>
    <w:rsid w:val="00070A86"/>
    <w:rsid w:val="00070F10"/>
    <w:rsid w:val="00070F8A"/>
    <w:rsid w:val="0007123B"/>
    <w:rsid w:val="0007144E"/>
    <w:rsid w:val="00072EBF"/>
    <w:rsid w:val="0007549A"/>
    <w:rsid w:val="00075B55"/>
    <w:rsid w:val="000763A3"/>
    <w:rsid w:val="000763A7"/>
    <w:rsid w:val="00077A3F"/>
    <w:rsid w:val="0008108A"/>
    <w:rsid w:val="000813EE"/>
    <w:rsid w:val="00081751"/>
    <w:rsid w:val="000857A0"/>
    <w:rsid w:val="0008650F"/>
    <w:rsid w:val="00086D98"/>
    <w:rsid w:val="00086E56"/>
    <w:rsid w:val="000872E5"/>
    <w:rsid w:val="00087521"/>
    <w:rsid w:val="0008778D"/>
    <w:rsid w:val="00091279"/>
    <w:rsid w:val="00091D21"/>
    <w:rsid w:val="00091D27"/>
    <w:rsid w:val="000927C0"/>
    <w:rsid w:val="00094DBF"/>
    <w:rsid w:val="00094EAB"/>
    <w:rsid w:val="00094F37"/>
    <w:rsid w:val="0009598D"/>
    <w:rsid w:val="000961BF"/>
    <w:rsid w:val="00097C05"/>
    <w:rsid w:val="00097EE1"/>
    <w:rsid w:val="000A0BCC"/>
    <w:rsid w:val="000A11BA"/>
    <w:rsid w:val="000A1440"/>
    <w:rsid w:val="000A16BF"/>
    <w:rsid w:val="000A1CBF"/>
    <w:rsid w:val="000A1DC9"/>
    <w:rsid w:val="000A2BA4"/>
    <w:rsid w:val="000A2F5F"/>
    <w:rsid w:val="000A30B7"/>
    <w:rsid w:val="000A43D2"/>
    <w:rsid w:val="000A59E6"/>
    <w:rsid w:val="000A6426"/>
    <w:rsid w:val="000A6835"/>
    <w:rsid w:val="000A6B4D"/>
    <w:rsid w:val="000A7EF5"/>
    <w:rsid w:val="000A7F62"/>
    <w:rsid w:val="000B025A"/>
    <w:rsid w:val="000B1754"/>
    <w:rsid w:val="000B2031"/>
    <w:rsid w:val="000B309D"/>
    <w:rsid w:val="000B4101"/>
    <w:rsid w:val="000B4124"/>
    <w:rsid w:val="000B4AEB"/>
    <w:rsid w:val="000B612D"/>
    <w:rsid w:val="000B658C"/>
    <w:rsid w:val="000B6ACB"/>
    <w:rsid w:val="000B716C"/>
    <w:rsid w:val="000B7542"/>
    <w:rsid w:val="000B771D"/>
    <w:rsid w:val="000B7C60"/>
    <w:rsid w:val="000B7E62"/>
    <w:rsid w:val="000C0253"/>
    <w:rsid w:val="000C02CA"/>
    <w:rsid w:val="000C0371"/>
    <w:rsid w:val="000C1A25"/>
    <w:rsid w:val="000C1CF3"/>
    <w:rsid w:val="000C1EB8"/>
    <w:rsid w:val="000C1EE6"/>
    <w:rsid w:val="000C2170"/>
    <w:rsid w:val="000C25CD"/>
    <w:rsid w:val="000C2899"/>
    <w:rsid w:val="000C3995"/>
    <w:rsid w:val="000C39C6"/>
    <w:rsid w:val="000C539A"/>
    <w:rsid w:val="000C616B"/>
    <w:rsid w:val="000C7843"/>
    <w:rsid w:val="000C7BA9"/>
    <w:rsid w:val="000D0A57"/>
    <w:rsid w:val="000D0DBB"/>
    <w:rsid w:val="000D0EE6"/>
    <w:rsid w:val="000D1814"/>
    <w:rsid w:val="000D1D4B"/>
    <w:rsid w:val="000D1FB6"/>
    <w:rsid w:val="000D276E"/>
    <w:rsid w:val="000D2C0F"/>
    <w:rsid w:val="000D2CCC"/>
    <w:rsid w:val="000D3B77"/>
    <w:rsid w:val="000D47C9"/>
    <w:rsid w:val="000D5096"/>
    <w:rsid w:val="000D5610"/>
    <w:rsid w:val="000D60FF"/>
    <w:rsid w:val="000D6F11"/>
    <w:rsid w:val="000D739B"/>
    <w:rsid w:val="000D7783"/>
    <w:rsid w:val="000D7DD4"/>
    <w:rsid w:val="000D7E83"/>
    <w:rsid w:val="000D7E96"/>
    <w:rsid w:val="000E010B"/>
    <w:rsid w:val="000E035A"/>
    <w:rsid w:val="000E07B8"/>
    <w:rsid w:val="000E152A"/>
    <w:rsid w:val="000E2BFA"/>
    <w:rsid w:val="000E3585"/>
    <w:rsid w:val="000E38A5"/>
    <w:rsid w:val="000E4E49"/>
    <w:rsid w:val="000E5968"/>
    <w:rsid w:val="000E67C6"/>
    <w:rsid w:val="000E70C7"/>
    <w:rsid w:val="000E773A"/>
    <w:rsid w:val="000E7C4F"/>
    <w:rsid w:val="000F06BD"/>
    <w:rsid w:val="000F105B"/>
    <w:rsid w:val="000F1160"/>
    <w:rsid w:val="000F186D"/>
    <w:rsid w:val="000F1886"/>
    <w:rsid w:val="000F2076"/>
    <w:rsid w:val="000F3468"/>
    <w:rsid w:val="000F3643"/>
    <w:rsid w:val="000F372C"/>
    <w:rsid w:val="000F4514"/>
    <w:rsid w:val="000F5605"/>
    <w:rsid w:val="000F5780"/>
    <w:rsid w:val="000F5EBB"/>
    <w:rsid w:val="000F6C7F"/>
    <w:rsid w:val="000F6E63"/>
    <w:rsid w:val="000F70FB"/>
    <w:rsid w:val="000F7165"/>
    <w:rsid w:val="00102752"/>
    <w:rsid w:val="0010469F"/>
    <w:rsid w:val="0010517D"/>
    <w:rsid w:val="0010525A"/>
    <w:rsid w:val="00105CF0"/>
    <w:rsid w:val="00107FCB"/>
    <w:rsid w:val="0011030D"/>
    <w:rsid w:val="00110A00"/>
    <w:rsid w:val="0011130A"/>
    <w:rsid w:val="00111362"/>
    <w:rsid w:val="0011155E"/>
    <w:rsid w:val="001115C4"/>
    <w:rsid w:val="001117D5"/>
    <w:rsid w:val="00112DD0"/>
    <w:rsid w:val="0011346E"/>
    <w:rsid w:val="001145B9"/>
    <w:rsid w:val="0011569F"/>
    <w:rsid w:val="00115DFB"/>
    <w:rsid w:val="00117193"/>
    <w:rsid w:val="00117907"/>
    <w:rsid w:val="00120092"/>
    <w:rsid w:val="00120603"/>
    <w:rsid w:val="001209EF"/>
    <w:rsid w:val="00121870"/>
    <w:rsid w:val="00121B4C"/>
    <w:rsid w:val="00121C88"/>
    <w:rsid w:val="00122197"/>
    <w:rsid w:val="001223A8"/>
    <w:rsid w:val="00123CF7"/>
    <w:rsid w:val="00123E7D"/>
    <w:rsid w:val="00124003"/>
    <w:rsid w:val="00124BA9"/>
    <w:rsid w:val="00125F12"/>
    <w:rsid w:val="00126909"/>
    <w:rsid w:val="0012713F"/>
    <w:rsid w:val="0013033C"/>
    <w:rsid w:val="00130421"/>
    <w:rsid w:val="00130CCE"/>
    <w:rsid w:val="00130E34"/>
    <w:rsid w:val="0013103F"/>
    <w:rsid w:val="001310B7"/>
    <w:rsid w:val="00131AD6"/>
    <w:rsid w:val="0013208C"/>
    <w:rsid w:val="00132312"/>
    <w:rsid w:val="00132D57"/>
    <w:rsid w:val="00134876"/>
    <w:rsid w:val="00134D35"/>
    <w:rsid w:val="00135639"/>
    <w:rsid w:val="001358D8"/>
    <w:rsid w:val="00136707"/>
    <w:rsid w:val="00136E7D"/>
    <w:rsid w:val="0014020C"/>
    <w:rsid w:val="001402AD"/>
    <w:rsid w:val="001421AA"/>
    <w:rsid w:val="00143358"/>
    <w:rsid w:val="00145489"/>
    <w:rsid w:val="00145A38"/>
    <w:rsid w:val="001468E0"/>
    <w:rsid w:val="00146A6B"/>
    <w:rsid w:val="00146FA5"/>
    <w:rsid w:val="00150384"/>
    <w:rsid w:val="00151310"/>
    <w:rsid w:val="001516EA"/>
    <w:rsid w:val="001520D4"/>
    <w:rsid w:val="00153084"/>
    <w:rsid w:val="001531BE"/>
    <w:rsid w:val="001532B5"/>
    <w:rsid w:val="00154AD1"/>
    <w:rsid w:val="00154C7A"/>
    <w:rsid w:val="001559EA"/>
    <w:rsid w:val="00155FA4"/>
    <w:rsid w:val="00157164"/>
    <w:rsid w:val="001600E2"/>
    <w:rsid w:val="001602DA"/>
    <w:rsid w:val="00160CF2"/>
    <w:rsid w:val="001617B7"/>
    <w:rsid w:val="001619DC"/>
    <w:rsid w:val="00161DB4"/>
    <w:rsid w:val="00162D75"/>
    <w:rsid w:val="00162F5A"/>
    <w:rsid w:val="00163167"/>
    <w:rsid w:val="00164438"/>
    <w:rsid w:val="001647E0"/>
    <w:rsid w:val="001649EE"/>
    <w:rsid w:val="00164A83"/>
    <w:rsid w:val="00164F58"/>
    <w:rsid w:val="001656C2"/>
    <w:rsid w:val="00166E0E"/>
    <w:rsid w:val="0016731F"/>
    <w:rsid w:val="001675D4"/>
    <w:rsid w:val="0016792F"/>
    <w:rsid w:val="00167956"/>
    <w:rsid w:val="00167AC4"/>
    <w:rsid w:val="00170069"/>
    <w:rsid w:val="001707DF"/>
    <w:rsid w:val="00170D66"/>
    <w:rsid w:val="00171142"/>
    <w:rsid w:val="001718F0"/>
    <w:rsid w:val="00171D38"/>
    <w:rsid w:val="00171E20"/>
    <w:rsid w:val="00172034"/>
    <w:rsid w:val="00172292"/>
    <w:rsid w:val="00172DB5"/>
    <w:rsid w:val="00173039"/>
    <w:rsid w:val="001732DA"/>
    <w:rsid w:val="001735E9"/>
    <w:rsid w:val="00173ED5"/>
    <w:rsid w:val="00174759"/>
    <w:rsid w:val="00175341"/>
    <w:rsid w:val="00175BE3"/>
    <w:rsid w:val="001762B4"/>
    <w:rsid w:val="0017696A"/>
    <w:rsid w:val="00177197"/>
    <w:rsid w:val="001775B6"/>
    <w:rsid w:val="0017794F"/>
    <w:rsid w:val="00180F93"/>
    <w:rsid w:val="001812DE"/>
    <w:rsid w:val="00181DF0"/>
    <w:rsid w:val="00181ED1"/>
    <w:rsid w:val="0018232E"/>
    <w:rsid w:val="00182408"/>
    <w:rsid w:val="00183A5A"/>
    <w:rsid w:val="00183E75"/>
    <w:rsid w:val="001845EC"/>
    <w:rsid w:val="001847AD"/>
    <w:rsid w:val="00184F56"/>
    <w:rsid w:val="001856B8"/>
    <w:rsid w:val="001858D1"/>
    <w:rsid w:val="00186921"/>
    <w:rsid w:val="00187289"/>
    <w:rsid w:val="001874AD"/>
    <w:rsid w:val="00187B7F"/>
    <w:rsid w:val="001902AD"/>
    <w:rsid w:val="001907F3"/>
    <w:rsid w:val="00190F60"/>
    <w:rsid w:val="00191617"/>
    <w:rsid w:val="00191739"/>
    <w:rsid w:val="001917B2"/>
    <w:rsid w:val="0019292E"/>
    <w:rsid w:val="00193081"/>
    <w:rsid w:val="00193663"/>
    <w:rsid w:val="0019391B"/>
    <w:rsid w:val="00194126"/>
    <w:rsid w:val="00195318"/>
    <w:rsid w:val="0019573E"/>
    <w:rsid w:val="001964B7"/>
    <w:rsid w:val="001966AC"/>
    <w:rsid w:val="00196798"/>
    <w:rsid w:val="00197538"/>
    <w:rsid w:val="00197E4B"/>
    <w:rsid w:val="00197F12"/>
    <w:rsid w:val="001A0085"/>
    <w:rsid w:val="001A1EF8"/>
    <w:rsid w:val="001A2442"/>
    <w:rsid w:val="001A2AF1"/>
    <w:rsid w:val="001A2AF3"/>
    <w:rsid w:val="001A32B0"/>
    <w:rsid w:val="001A3330"/>
    <w:rsid w:val="001A33D6"/>
    <w:rsid w:val="001A3420"/>
    <w:rsid w:val="001A3B17"/>
    <w:rsid w:val="001A4296"/>
    <w:rsid w:val="001A4490"/>
    <w:rsid w:val="001A48E7"/>
    <w:rsid w:val="001A4DA2"/>
    <w:rsid w:val="001A4FE8"/>
    <w:rsid w:val="001A54F9"/>
    <w:rsid w:val="001A6587"/>
    <w:rsid w:val="001A6E94"/>
    <w:rsid w:val="001B0A79"/>
    <w:rsid w:val="001B138B"/>
    <w:rsid w:val="001B13F2"/>
    <w:rsid w:val="001B1FE9"/>
    <w:rsid w:val="001B2C6D"/>
    <w:rsid w:val="001B2C7A"/>
    <w:rsid w:val="001B362D"/>
    <w:rsid w:val="001B37B2"/>
    <w:rsid w:val="001B3E46"/>
    <w:rsid w:val="001B4529"/>
    <w:rsid w:val="001B4DD9"/>
    <w:rsid w:val="001B4FB2"/>
    <w:rsid w:val="001B5B8E"/>
    <w:rsid w:val="001B5C40"/>
    <w:rsid w:val="001B645C"/>
    <w:rsid w:val="001B7AE7"/>
    <w:rsid w:val="001C05DB"/>
    <w:rsid w:val="001C087C"/>
    <w:rsid w:val="001C0C1D"/>
    <w:rsid w:val="001C1056"/>
    <w:rsid w:val="001C13FE"/>
    <w:rsid w:val="001C1517"/>
    <w:rsid w:val="001C246F"/>
    <w:rsid w:val="001C2FBB"/>
    <w:rsid w:val="001C3081"/>
    <w:rsid w:val="001C41C8"/>
    <w:rsid w:val="001C4449"/>
    <w:rsid w:val="001C498A"/>
    <w:rsid w:val="001C4EE1"/>
    <w:rsid w:val="001C5230"/>
    <w:rsid w:val="001C5868"/>
    <w:rsid w:val="001C5A3B"/>
    <w:rsid w:val="001C5C0F"/>
    <w:rsid w:val="001C6E50"/>
    <w:rsid w:val="001C746D"/>
    <w:rsid w:val="001D01B5"/>
    <w:rsid w:val="001D0F3C"/>
    <w:rsid w:val="001D0FC7"/>
    <w:rsid w:val="001D1B26"/>
    <w:rsid w:val="001D2383"/>
    <w:rsid w:val="001D264B"/>
    <w:rsid w:val="001D2D6F"/>
    <w:rsid w:val="001D341B"/>
    <w:rsid w:val="001D3B0D"/>
    <w:rsid w:val="001D4C52"/>
    <w:rsid w:val="001D6538"/>
    <w:rsid w:val="001D6F05"/>
    <w:rsid w:val="001D7928"/>
    <w:rsid w:val="001D7993"/>
    <w:rsid w:val="001D7AA3"/>
    <w:rsid w:val="001E01F9"/>
    <w:rsid w:val="001E028E"/>
    <w:rsid w:val="001E0518"/>
    <w:rsid w:val="001E0DA8"/>
    <w:rsid w:val="001E0E33"/>
    <w:rsid w:val="001E14B8"/>
    <w:rsid w:val="001E165F"/>
    <w:rsid w:val="001E1A48"/>
    <w:rsid w:val="001E2579"/>
    <w:rsid w:val="001E26BD"/>
    <w:rsid w:val="001E2A47"/>
    <w:rsid w:val="001E31ED"/>
    <w:rsid w:val="001E375C"/>
    <w:rsid w:val="001E3B8A"/>
    <w:rsid w:val="001E4099"/>
    <w:rsid w:val="001E439B"/>
    <w:rsid w:val="001E4878"/>
    <w:rsid w:val="001E4D89"/>
    <w:rsid w:val="001E524D"/>
    <w:rsid w:val="001E5561"/>
    <w:rsid w:val="001E59F9"/>
    <w:rsid w:val="001E63C9"/>
    <w:rsid w:val="001F0B83"/>
    <w:rsid w:val="001F0E84"/>
    <w:rsid w:val="001F14E1"/>
    <w:rsid w:val="001F4617"/>
    <w:rsid w:val="001F49A9"/>
    <w:rsid w:val="001F49C7"/>
    <w:rsid w:val="001F51A0"/>
    <w:rsid w:val="001F54D4"/>
    <w:rsid w:val="001F5CC6"/>
    <w:rsid w:val="001F6842"/>
    <w:rsid w:val="001F6EBE"/>
    <w:rsid w:val="001F7203"/>
    <w:rsid w:val="001F75CF"/>
    <w:rsid w:val="001F7CC7"/>
    <w:rsid w:val="001F7E40"/>
    <w:rsid w:val="001F7F29"/>
    <w:rsid w:val="0020043D"/>
    <w:rsid w:val="00200A80"/>
    <w:rsid w:val="00200DC9"/>
    <w:rsid w:val="002013F8"/>
    <w:rsid w:val="00202905"/>
    <w:rsid w:val="00202C4E"/>
    <w:rsid w:val="00204669"/>
    <w:rsid w:val="00204720"/>
    <w:rsid w:val="00204726"/>
    <w:rsid w:val="00204AC0"/>
    <w:rsid w:val="00204E35"/>
    <w:rsid w:val="00205280"/>
    <w:rsid w:val="0020617D"/>
    <w:rsid w:val="00206B06"/>
    <w:rsid w:val="00207229"/>
    <w:rsid w:val="0021032C"/>
    <w:rsid w:val="0021249E"/>
    <w:rsid w:val="00212B07"/>
    <w:rsid w:val="002133FF"/>
    <w:rsid w:val="002136E7"/>
    <w:rsid w:val="00213F5E"/>
    <w:rsid w:val="00214E13"/>
    <w:rsid w:val="00216C96"/>
    <w:rsid w:val="002175AE"/>
    <w:rsid w:val="00217A6D"/>
    <w:rsid w:val="00220B30"/>
    <w:rsid w:val="00221113"/>
    <w:rsid w:val="00221618"/>
    <w:rsid w:val="00222167"/>
    <w:rsid w:val="00222479"/>
    <w:rsid w:val="0022247D"/>
    <w:rsid w:val="0022333A"/>
    <w:rsid w:val="0022353D"/>
    <w:rsid w:val="002235E8"/>
    <w:rsid w:val="00223C3A"/>
    <w:rsid w:val="00224859"/>
    <w:rsid w:val="0022524E"/>
    <w:rsid w:val="002257B8"/>
    <w:rsid w:val="00225A12"/>
    <w:rsid w:val="00230B81"/>
    <w:rsid w:val="0023218E"/>
    <w:rsid w:val="00232A9D"/>
    <w:rsid w:val="00233AC3"/>
    <w:rsid w:val="00233FFC"/>
    <w:rsid w:val="0023454A"/>
    <w:rsid w:val="002354E4"/>
    <w:rsid w:val="00235623"/>
    <w:rsid w:val="00235B91"/>
    <w:rsid w:val="00235CB0"/>
    <w:rsid w:val="00236693"/>
    <w:rsid w:val="0023707A"/>
    <w:rsid w:val="00237357"/>
    <w:rsid w:val="00240493"/>
    <w:rsid w:val="00240808"/>
    <w:rsid w:val="00241B2C"/>
    <w:rsid w:val="002421CA"/>
    <w:rsid w:val="00242855"/>
    <w:rsid w:val="00243766"/>
    <w:rsid w:val="002439EC"/>
    <w:rsid w:val="00244A2C"/>
    <w:rsid w:val="002459A8"/>
    <w:rsid w:val="00245D8F"/>
    <w:rsid w:val="0024715C"/>
    <w:rsid w:val="00247161"/>
    <w:rsid w:val="00247A3D"/>
    <w:rsid w:val="00247C9A"/>
    <w:rsid w:val="00247EBB"/>
    <w:rsid w:val="00250690"/>
    <w:rsid w:val="00250FA2"/>
    <w:rsid w:val="002523DB"/>
    <w:rsid w:val="00252907"/>
    <w:rsid w:val="00252E4C"/>
    <w:rsid w:val="00252EA5"/>
    <w:rsid w:val="00253315"/>
    <w:rsid w:val="0025385E"/>
    <w:rsid w:val="0025451E"/>
    <w:rsid w:val="00254EEE"/>
    <w:rsid w:val="00255417"/>
    <w:rsid w:val="00255B46"/>
    <w:rsid w:val="0025688C"/>
    <w:rsid w:val="00257A5C"/>
    <w:rsid w:val="00257BF4"/>
    <w:rsid w:val="0026147F"/>
    <w:rsid w:val="002625FA"/>
    <w:rsid w:val="00262C84"/>
    <w:rsid w:val="00262FED"/>
    <w:rsid w:val="002645B8"/>
    <w:rsid w:val="00264671"/>
    <w:rsid w:val="00264F8A"/>
    <w:rsid w:val="00266692"/>
    <w:rsid w:val="0026680A"/>
    <w:rsid w:val="00267328"/>
    <w:rsid w:val="002674B6"/>
    <w:rsid w:val="00267F89"/>
    <w:rsid w:val="002704A6"/>
    <w:rsid w:val="00270591"/>
    <w:rsid w:val="0027075A"/>
    <w:rsid w:val="002748D7"/>
    <w:rsid w:val="00274B5B"/>
    <w:rsid w:val="00275656"/>
    <w:rsid w:val="0027608A"/>
    <w:rsid w:val="00277CF3"/>
    <w:rsid w:val="0028005A"/>
    <w:rsid w:val="00280E5C"/>
    <w:rsid w:val="002817CE"/>
    <w:rsid w:val="00281D7D"/>
    <w:rsid w:val="00282286"/>
    <w:rsid w:val="002858F0"/>
    <w:rsid w:val="00285984"/>
    <w:rsid w:val="00286665"/>
    <w:rsid w:val="00286BD3"/>
    <w:rsid w:val="00286DFB"/>
    <w:rsid w:val="00287538"/>
    <w:rsid w:val="00287E61"/>
    <w:rsid w:val="0029004A"/>
    <w:rsid w:val="00290E67"/>
    <w:rsid w:val="0029127C"/>
    <w:rsid w:val="002927C4"/>
    <w:rsid w:val="00292B36"/>
    <w:rsid w:val="00292D7B"/>
    <w:rsid w:val="002932D8"/>
    <w:rsid w:val="0029432F"/>
    <w:rsid w:val="00294389"/>
    <w:rsid w:val="00294489"/>
    <w:rsid w:val="00295B51"/>
    <w:rsid w:val="00297CD3"/>
    <w:rsid w:val="002A05CF"/>
    <w:rsid w:val="002A0B4A"/>
    <w:rsid w:val="002A0D73"/>
    <w:rsid w:val="002A21DA"/>
    <w:rsid w:val="002A21E3"/>
    <w:rsid w:val="002A2AB4"/>
    <w:rsid w:val="002A32D1"/>
    <w:rsid w:val="002A33D2"/>
    <w:rsid w:val="002A372B"/>
    <w:rsid w:val="002A4489"/>
    <w:rsid w:val="002A5C43"/>
    <w:rsid w:val="002A734B"/>
    <w:rsid w:val="002A7950"/>
    <w:rsid w:val="002B020D"/>
    <w:rsid w:val="002B1839"/>
    <w:rsid w:val="002B1D30"/>
    <w:rsid w:val="002B1E17"/>
    <w:rsid w:val="002B30C6"/>
    <w:rsid w:val="002B35F2"/>
    <w:rsid w:val="002B39D5"/>
    <w:rsid w:val="002B3A7C"/>
    <w:rsid w:val="002B433D"/>
    <w:rsid w:val="002B45D4"/>
    <w:rsid w:val="002B4D1B"/>
    <w:rsid w:val="002B5E16"/>
    <w:rsid w:val="002B6D44"/>
    <w:rsid w:val="002C143B"/>
    <w:rsid w:val="002C3C8D"/>
    <w:rsid w:val="002C45AB"/>
    <w:rsid w:val="002C46B8"/>
    <w:rsid w:val="002C5273"/>
    <w:rsid w:val="002C733F"/>
    <w:rsid w:val="002C7704"/>
    <w:rsid w:val="002C78CF"/>
    <w:rsid w:val="002D032E"/>
    <w:rsid w:val="002D12FD"/>
    <w:rsid w:val="002D206A"/>
    <w:rsid w:val="002D2364"/>
    <w:rsid w:val="002D269E"/>
    <w:rsid w:val="002D32C1"/>
    <w:rsid w:val="002D3540"/>
    <w:rsid w:val="002D358E"/>
    <w:rsid w:val="002D3590"/>
    <w:rsid w:val="002D365D"/>
    <w:rsid w:val="002D3DA5"/>
    <w:rsid w:val="002D42E6"/>
    <w:rsid w:val="002D49AC"/>
    <w:rsid w:val="002D4A1D"/>
    <w:rsid w:val="002D4D1D"/>
    <w:rsid w:val="002D5250"/>
    <w:rsid w:val="002D5288"/>
    <w:rsid w:val="002D59BC"/>
    <w:rsid w:val="002D656B"/>
    <w:rsid w:val="002D75AD"/>
    <w:rsid w:val="002D7804"/>
    <w:rsid w:val="002E02C3"/>
    <w:rsid w:val="002E0B75"/>
    <w:rsid w:val="002E0CDC"/>
    <w:rsid w:val="002E15A3"/>
    <w:rsid w:val="002E1948"/>
    <w:rsid w:val="002E1D30"/>
    <w:rsid w:val="002E27AD"/>
    <w:rsid w:val="002E3FA8"/>
    <w:rsid w:val="002E49CC"/>
    <w:rsid w:val="002E611E"/>
    <w:rsid w:val="002E703B"/>
    <w:rsid w:val="002E74B4"/>
    <w:rsid w:val="002E7997"/>
    <w:rsid w:val="002E7D60"/>
    <w:rsid w:val="002F0CEC"/>
    <w:rsid w:val="002F179E"/>
    <w:rsid w:val="002F2137"/>
    <w:rsid w:val="002F2DD0"/>
    <w:rsid w:val="002F350F"/>
    <w:rsid w:val="002F38F7"/>
    <w:rsid w:val="002F3EBC"/>
    <w:rsid w:val="002F5732"/>
    <w:rsid w:val="002F5BBB"/>
    <w:rsid w:val="002F5F0F"/>
    <w:rsid w:val="002F7C1B"/>
    <w:rsid w:val="00300050"/>
    <w:rsid w:val="003001D0"/>
    <w:rsid w:val="003009F8"/>
    <w:rsid w:val="00300DE7"/>
    <w:rsid w:val="003010DB"/>
    <w:rsid w:val="00301D68"/>
    <w:rsid w:val="003027F0"/>
    <w:rsid w:val="003031DA"/>
    <w:rsid w:val="0030383E"/>
    <w:rsid w:val="00303D9D"/>
    <w:rsid w:val="00304027"/>
    <w:rsid w:val="00305B90"/>
    <w:rsid w:val="0030648E"/>
    <w:rsid w:val="00307960"/>
    <w:rsid w:val="003102FF"/>
    <w:rsid w:val="00310609"/>
    <w:rsid w:val="003132F7"/>
    <w:rsid w:val="003141D3"/>
    <w:rsid w:val="003158C6"/>
    <w:rsid w:val="003161C0"/>
    <w:rsid w:val="00316257"/>
    <w:rsid w:val="00317B49"/>
    <w:rsid w:val="00320470"/>
    <w:rsid w:val="00320F6B"/>
    <w:rsid w:val="00321037"/>
    <w:rsid w:val="00321DFA"/>
    <w:rsid w:val="00321FF0"/>
    <w:rsid w:val="0032245A"/>
    <w:rsid w:val="00323116"/>
    <w:rsid w:val="0032339A"/>
    <w:rsid w:val="00323513"/>
    <w:rsid w:val="00323527"/>
    <w:rsid w:val="00323C51"/>
    <w:rsid w:val="00323DE2"/>
    <w:rsid w:val="00324DEA"/>
    <w:rsid w:val="003250E8"/>
    <w:rsid w:val="00325225"/>
    <w:rsid w:val="00325648"/>
    <w:rsid w:val="00325905"/>
    <w:rsid w:val="0032643B"/>
    <w:rsid w:val="003267F0"/>
    <w:rsid w:val="0032757C"/>
    <w:rsid w:val="00330165"/>
    <w:rsid w:val="003304CC"/>
    <w:rsid w:val="003304E8"/>
    <w:rsid w:val="00331343"/>
    <w:rsid w:val="003319B6"/>
    <w:rsid w:val="003322AA"/>
    <w:rsid w:val="00333853"/>
    <w:rsid w:val="00334034"/>
    <w:rsid w:val="003348E6"/>
    <w:rsid w:val="00335933"/>
    <w:rsid w:val="00335D20"/>
    <w:rsid w:val="003366CA"/>
    <w:rsid w:val="00336E0A"/>
    <w:rsid w:val="00337427"/>
    <w:rsid w:val="003429CC"/>
    <w:rsid w:val="00342A3D"/>
    <w:rsid w:val="00342F7F"/>
    <w:rsid w:val="003437BD"/>
    <w:rsid w:val="00344336"/>
    <w:rsid w:val="0034570A"/>
    <w:rsid w:val="00345940"/>
    <w:rsid w:val="00346034"/>
    <w:rsid w:val="003463EF"/>
    <w:rsid w:val="00346F36"/>
    <w:rsid w:val="0034703B"/>
    <w:rsid w:val="00347888"/>
    <w:rsid w:val="003478CF"/>
    <w:rsid w:val="003479C8"/>
    <w:rsid w:val="00350600"/>
    <w:rsid w:val="003508CE"/>
    <w:rsid w:val="00350987"/>
    <w:rsid w:val="00350FC8"/>
    <w:rsid w:val="003512F9"/>
    <w:rsid w:val="00351A19"/>
    <w:rsid w:val="00351DD5"/>
    <w:rsid w:val="003520AD"/>
    <w:rsid w:val="00353BDC"/>
    <w:rsid w:val="003543CD"/>
    <w:rsid w:val="00354BDD"/>
    <w:rsid w:val="00356CCB"/>
    <w:rsid w:val="003573BF"/>
    <w:rsid w:val="00360419"/>
    <w:rsid w:val="00360AA1"/>
    <w:rsid w:val="00360B15"/>
    <w:rsid w:val="003610B0"/>
    <w:rsid w:val="003610D5"/>
    <w:rsid w:val="003612FD"/>
    <w:rsid w:val="00361AC2"/>
    <w:rsid w:val="00361FC7"/>
    <w:rsid w:val="00362184"/>
    <w:rsid w:val="00362CD8"/>
    <w:rsid w:val="00363653"/>
    <w:rsid w:val="00364582"/>
    <w:rsid w:val="0036474D"/>
    <w:rsid w:val="00364E6F"/>
    <w:rsid w:val="0036534A"/>
    <w:rsid w:val="003658EE"/>
    <w:rsid w:val="00365F1D"/>
    <w:rsid w:val="0036721A"/>
    <w:rsid w:val="003707F4"/>
    <w:rsid w:val="00370A7E"/>
    <w:rsid w:val="00370D15"/>
    <w:rsid w:val="00371880"/>
    <w:rsid w:val="00372419"/>
    <w:rsid w:val="003725DD"/>
    <w:rsid w:val="003731B7"/>
    <w:rsid w:val="00373B59"/>
    <w:rsid w:val="003740F2"/>
    <w:rsid w:val="00374485"/>
    <w:rsid w:val="00374532"/>
    <w:rsid w:val="003745B4"/>
    <w:rsid w:val="00374868"/>
    <w:rsid w:val="00374A84"/>
    <w:rsid w:val="00374DF8"/>
    <w:rsid w:val="0037522C"/>
    <w:rsid w:val="003759D1"/>
    <w:rsid w:val="00375DF4"/>
    <w:rsid w:val="003768BB"/>
    <w:rsid w:val="003774E9"/>
    <w:rsid w:val="00381213"/>
    <w:rsid w:val="0038138D"/>
    <w:rsid w:val="00381D97"/>
    <w:rsid w:val="00382A47"/>
    <w:rsid w:val="0038307A"/>
    <w:rsid w:val="003830CE"/>
    <w:rsid w:val="00383AAB"/>
    <w:rsid w:val="00384D48"/>
    <w:rsid w:val="00385453"/>
    <w:rsid w:val="00385E2D"/>
    <w:rsid w:val="00386381"/>
    <w:rsid w:val="00386E84"/>
    <w:rsid w:val="00386EB3"/>
    <w:rsid w:val="003875D0"/>
    <w:rsid w:val="003900AE"/>
    <w:rsid w:val="00390B95"/>
    <w:rsid w:val="00390CFA"/>
    <w:rsid w:val="00391BCC"/>
    <w:rsid w:val="00392011"/>
    <w:rsid w:val="00392263"/>
    <w:rsid w:val="0039262E"/>
    <w:rsid w:val="003937F3"/>
    <w:rsid w:val="003938A0"/>
    <w:rsid w:val="003944B1"/>
    <w:rsid w:val="00394873"/>
    <w:rsid w:val="00394AEE"/>
    <w:rsid w:val="00394C77"/>
    <w:rsid w:val="0039532E"/>
    <w:rsid w:val="0039571B"/>
    <w:rsid w:val="00396A31"/>
    <w:rsid w:val="00396A6C"/>
    <w:rsid w:val="00396DBF"/>
    <w:rsid w:val="00396E99"/>
    <w:rsid w:val="0039707B"/>
    <w:rsid w:val="003973A8"/>
    <w:rsid w:val="00397C7D"/>
    <w:rsid w:val="003A010A"/>
    <w:rsid w:val="003A0D99"/>
    <w:rsid w:val="003A0FB7"/>
    <w:rsid w:val="003A144E"/>
    <w:rsid w:val="003A15D6"/>
    <w:rsid w:val="003A188E"/>
    <w:rsid w:val="003A250B"/>
    <w:rsid w:val="003A2C28"/>
    <w:rsid w:val="003A34DA"/>
    <w:rsid w:val="003A3A54"/>
    <w:rsid w:val="003A4B87"/>
    <w:rsid w:val="003A4D82"/>
    <w:rsid w:val="003A4F2B"/>
    <w:rsid w:val="003A51A0"/>
    <w:rsid w:val="003A568F"/>
    <w:rsid w:val="003A5EE6"/>
    <w:rsid w:val="003A6126"/>
    <w:rsid w:val="003A6A6D"/>
    <w:rsid w:val="003A6C28"/>
    <w:rsid w:val="003B05C1"/>
    <w:rsid w:val="003B0D5C"/>
    <w:rsid w:val="003B0DEC"/>
    <w:rsid w:val="003B13B2"/>
    <w:rsid w:val="003B1626"/>
    <w:rsid w:val="003B2445"/>
    <w:rsid w:val="003B2519"/>
    <w:rsid w:val="003B2991"/>
    <w:rsid w:val="003B2E7E"/>
    <w:rsid w:val="003B3C1F"/>
    <w:rsid w:val="003B4A3A"/>
    <w:rsid w:val="003B4AB4"/>
    <w:rsid w:val="003B56B1"/>
    <w:rsid w:val="003B580E"/>
    <w:rsid w:val="003B593C"/>
    <w:rsid w:val="003B5A08"/>
    <w:rsid w:val="003B7AB1"/>
    <w:rsid w:val="003B7BEE"/>
    <w:rsid w:val="003C0BAC"/>
    <w:rsid w:val="003C19EF"/>
    <w:rsid w:val="003C1E32"/>
    <w:rsid w:val="003C294A"/>
    <w:rsid w:val="003C2A4F"/>
    <w:rsid w:val="003C2C9F"/>
    <w:rsid w:val="003C3A1E"/>
    <w:rsid w:val="003C4980"/>
    <w:rsid w:val="003C505B"/>
    <w:rsid w:val="003C5C7C"/>
    <w:rsid w:val="003C789D"/>
    <w:rsid w:val="003C7E11"/>
    <w:rsid w:val="003D233D"/>
    <w:rsid w:val="003D2984"/>
    <w:rsid w:val="003D2EA2"/>
    <w:rsid w:val="003D3478"/>
    <w:rsid w:val="003D3A3D"/>
    <w:rsid w:val="003D3A6C"/>
    <w:rsid w:val="003D3F5F"/>
    <w:rsid w:val="003D409B"/>
    <w:rsid w:val="003D6214"/>
    <w:rsid w:val="003D693B"/>
    <w:rsid w:val="003D6C12"/>
    <w:rsid w:val="003E0709"/>
    <w:rsid w:val="003E0E74"/>
    <w:rsid w:val="003E10A2"/>
    <w:rsid w:val="003E15C5"/>
    <w:rsid w:val="003E1793"/>
    <w:rsid w:val="003E1917"/>
    <w:rsid w:val="003E1A1A"/>
    <w:rsid w:val="003E1BF9"/>
    <w:rsid w:val="003E1E41"/>
    <w:rsid w:val="003E232A"/>
    <w:rsid w:val="003E242B"/>
    <w:rsid w:val="003E2B40"/>
    <w:rsid w:val="003E324B"/>
    <w:rsid w:val="003E3C75"/>
    <w:rsid w:val="003E3E34"/>
    <w:rsid w:val="003E47AA"/>
    <w:rsid w:val="003E494B"/>
    <w:rsid w:val="003E4ACD"/>
    <w:rsid w:val="003E4B7F"/>
    <w:rsid w:val="003E5061"/>
    <w:rsid w:val="003E5211"/>
    <w:rsid w:val="003E5C8E"/>
    <w:rsid w:val="003E6903"/>
    <w:rsid w:val="003E6B4E"/>
    <w:rsid w:val="003F2072"/>
    <w:rsid w:val="003F223B"/>
    <w:rsid w:val="003F23F2"/>
    <w:rsid w:val="003F2456"/>
    <w:rsid w:val="003F27ED"/>
    <w:rsid w:val="003F31B1"/>
    <w:rsid w:val="003F31D2"/>
    <w:rsid w:val="003F3399"/>
    <w:rsid w:val="003F3716"/>
    <w:rsid w:val="003F3926"/>
    <w:rsid w:val="003F4474"/>
    <w:rsid w:val="003F4845"/>
    <w:rsid w:val="003F5038"/>
    <w:rsid w:val="003F5554"/>
    <w:rsid w:val="003F6653"/>
    <w:rsid w:val="003F6E4D"/>
    <w:rsid w:val="003F7ED5"/>
    <w:rsid w:val="00401EBB"/>
    <w:rsid w:val="00402B9A"/>
    <w:rsid w:val="00402C1E"/>
    <w:rsid w:val="00402ED6"/>
    <w:rsid w:val="00403765"/>
    <w:rsid w:val="004039F6"/>
    <w:rsid w:val="00404439"/>
    <w:rsid w:val="00404ABD"/>
    <w:rsid w:val="00404D82"/>
    <w:rsid w:val="0040628C"/>
    <w:rsid w:val="004067AD"/>
    <w:rsid w:val="00406CF8"/>
    <w:rsid w:val="00407C27"/>
    <w:rsid w:val="00410680"/>
    <w:rsid w:val="004109A9"/>
    <w:rsid w:val="004114BC"/>
    <w:rsid w:val="00411A6C"/>
    <w:rsid w:val="00411BEE"/>
    <w:rsid w:val="00411CC4"/>
    <w:rsid w:val="00411CE6"/>
    <w:rsid w:val="00413193"/>
    <w:rsid w:val="00413B73"/>
    <w:rsid w:val="0041553E"/>
    <w:rsid w:val="00415CA6"/>
    <w:rsid w:val="00416D95"/>
    <w:rsid w:val="004178FB"/>
    <w:rsid w:val="00420726"/>
    <w:rsid w:val="00420C0B"/>
    <w:rsid w:val="00421798"/>
    <w:rsid w:val="0042295D"/>
    <w:rsid w:val="00422DFD"/>
    <w:rsid w:val="00423C90"/>
    <w:rsid w:val="00424693"/>
    <w:rsid w:val="004252F8"/>
    <w:rsid w:val="004266FF"/>
    <w:rsid w:val="00427CD1"/>
    <w:rsid w:val="00430A69"/>
    <w:rsid w:val="00430C0E"/>
    <w:rsid w:val="00430E23"/>
    <w:rsid w:val="00432E4B"/>
    <w:rsid w:val="004335B1"/>
    <w:rsid w:val="004337A4"/>
    <w:rsid w:val="00433E9B"/>
    <w:rsid w:val="0043519F"/>
    <w:rsid w:val="00436A3E"/>
    <w:rsid w:val="00436D48"/>
    <w:rsid w:val="00437C86"/>
    <w:rsid w:val="00440185"/>
    <w:rsid w:val="00440B41"/>
    <w:rsid w:val="00440D78"/>
    <w:rsid w:val="00441A7C"/>
    <w:rsid w:val="00441E94"/>
    <w:rsid w:val="004420F6"/>
    <w:rsid w:val="0044324E"/>
    <w:rsid w:val="0044359A"/>
    <w:rsid w:val="00443751"/>
    <w:rsid w:val="00443BD6"/>
    <w:rsid w:val="00443D0B"/>
    <w:rsid w:val="00445245"/>
    <w:rsid w:val="00445978"/>
    <w:rsid w:val="00445D8B"/>
    <w:rsid w:val="00445E33"/>
    <w:rsid w:val="00446475"/>
    <w:rsid w:val="00450013"/>
    <w:rsid w:val="00450327"/>
    <w:rsid w:val="00450800"/>
    <w:rsid w:val="00451486"/>
    <w:rsid w:val="00451C2D"/>
    <w:rsid w:val="00453399"/>
    <w:rsid w:val="00453578"/>
    <w:rsid w:val="00453943"/>
    <w:rsid w:val="00455234"/>
    <w:rsid w:val="00455E55"/>
    <w:rsid w:val="00455EF9"/>
    <w:rsid w:val="00460588"/>
    <w:rsid w:val="0046094C"/>
    <w:rsid w:val="0046133D"/>
    <w:rsid w:val="00461987"/>
    <w:rsid w:val="00461AF9"/>
    <w:rsid w:val="00461D07"/>
    <w:rsid w:val="00462336"/>
    <w:rsid w:val="00463D95"/>
    <w:rsid w:val="004643BA"/>
    <w:rsid w:val="004645D5"/>
    <w:rsid w:val="00464BEA"/>
    <w:rsid w:val="004650B8"/>
    <w:rsid w:val="004653F2"/>
    <w:rsid w:val="00466989"/>
    <w:rsid w:val="00467500"/>
    <w:rsid w:val="004677F0"/>
    <w:rsid w:val="00467B97"/>
    <w:rsid w:val="00470135"/>
    <w:rsid w:val="00470B80"/>
    <w:rsid w:val="00471679"/>
    <w:rsid w:val="0047184B"/>
    <w:rsid w:val="00471D09"/>
    <w:rsid w:val="00473A65"/>
    <w:rsid w:val="0047488D"/>
    <w:rsid w:val="0047523F"/>
    <w:rsid w:val="004752B7"/>
    <w:rsid w:val="004758A9"/>
    <w:rsid w:val="00475AC7"/>
    <w:rsid w:val="00475C79"/>
    <w:rsid w:val="00475E47"/>
    <w:rsid w:val="00476348"/>
    <w:rsid w:val="00477399"/>
    <w:rsid w:val="004774BE"/>
    <w:rsid w:val="00477F15"/>
    <w:rsid w:val="0048020B"/>
    <w:rsid w:val="0048028A"/>
    <w:rsid w:val="0048143B"/>
    <w:rsid w:val="00481A6E"/>
    <w:rsid w:val="00481CDC"/>
    <w:rsid w:val="00481E1C"/>
    <w:rsid w:val="00482179"/>
    <w:rsid w:val="004823B2"/>
    <w:rsid w:val="0048249A"/>
    <w:rsid w:val="0048255B"/>
    <w:rsid w:val="00482AD1"/>
    <w:rsid w:val="00483A65"/>
    <w:rsid w:val="00483CB3"/>
    <w:rsid w:val="004840E3"/>
    <w:rsid w:val="004844CE"/>
    <w:rsid w:val="0048582D"/>
    <w:rsid w:val="004864DA"/>
    <w:rsid w:val="004872BC"/>
    <w:rsid w:val="004874A4"/>
    <w:rsid w:val="00487806"/>
    <w:rsid w:val="00487D14"/>
    <w:rsid w:val="00487D5C"/>
    <w:rsid w:val="00490397"/>
    <w:rsid w:val="004906A1"/>
    <w:rsid w:val="00491134"/>
    <w:rsid w:val="00491400"/>
    <w:rsid w:val="00491FDF"/>
    <w:rsid w:val="00492D6C"/>
    <w:rsid w:val="00493667"/>
    <w:rsid w:val="00494355"/>
    <w:rsid w:val="004956D3"/>
    <w:rsid w:val="00495E07"/>
    <w:rsid w:val="0049799D"/>
    <w:rsid w:val="00497A25"/>
    <w:rsid w:val="004A02B7"/>
    <w:rsid w:val="004A03E5"/>
    <w:rsid w:val="004A07DE"/>
    <w:rsid w:val="004A13A8"/>
    <w:rsid w:val="004A17E5"/>
    <w:rsid w:val="004A1878"/>
    <w:rsid w:val="004A2394"/>
    <w:rsid w:val="004A3F4E"/>
    <w:rsid w:val="004A4698"/>
    <w:rsid w:val="004A503D"/>
    <w:rsid w:val="004A5396"/>
    <w:rsid w:val="004A6725"/>
    <w:rsid w:val="004A7DC4"/>
    <w:rsid w:val="004B085E"/>
    <w:rsid w:val="004B092F"/>
    <w:rsid w:val="004B0BFF"/>
    <w:rsid w:val="004B2BA8"/>
    <w:rsid w:val="004B4ED2"/>
    <w:rsid w:val="004B52CC"/>
    <w:rsid w:val="004B5F1A"/>
    <w:rsid w:val="004C08AA"/>
    <w:rsid w:val="004C190E"/>
    <w:rsid w:val="004C28AB"/>
    <w:rsid w:val="004C429F"/>
    <w:rsid w:val="004C456B"/>
    <w:rsid w:val="004C4DD5"/>
    <w:rsid w:val="004C5DCB"/>
    <w:rsid w:val="004C6153"/>
    <w:rsid w:val="004C67EA"/>
    <w:rsid w:val="004C6A9F"/>
    <w:rsid w:val="004C717C"/>
    <w:rsid w:val="004C7A63"/>
    <w:rsid w:val="004C7C90"/>
    <w:rsid w:val="004D0C4A"/>
    <w:rsid w:val="004D0E40"/>
    <w:rsid w:val="004D12A0"/>
    <w:rsid w:val="004D1C42"/>
    <w:rsid w:val="004D1E30"/>
    <w:rsid w:val="004D1EE8"/>
    <w:rsid w:val="004D2241"/>
    <w:rsid w:val="004D33A7"/>
    <w:rsid w:val="004D35E8"/>
    <w:rsid w:val="004D3E1B"/>
    <w:rsid w:val="004D5233"/>
    <w:rsid w:val="004D57C3"/>
    <w:rsid w:val="004D642E"/>
    <w:rsid w:val="004D7B26"/>
    <w:rsid w:val="004D7D21"/>
    <w:rsid w:val="004E0C67"/>
    <w:rsid w:val="004E0FAD"/>
    <w:rsid w:val="004E1DD6"/>
    <w:rsid w:val="004E2809"/>
    <w:rsid w:val="004E290E"/>
    <w:rsid w:val="004E34D7"/>
    <w:rsid w:val="004E35E7"/>
    <w:rsid w:val="004E58B0"/>
    <w:rsid w:val="004E7471"/>
    <w:rsid w:val="004F026F"/>
    <w:rsid w:val="004F09C8"/>
    <w:rsid w:val="004F1D8E"/>
    <w:rsid w:val="004F206F"/>
    <w:rsid w:val="004F2176"/>
    <w:rsid w:val="004F2DE8"/>
    <w:rsid w:val="004F3450"/>
    <w:rsid w:val="004F4952"/>
    <w:rsid w:val="004F4AC9"/>
    <w:rsid w:val="004F52A1"/>
    <w:rsid w:val="004F6BF5"/>
    <w:rsid w:val="004F7802"/>
    <w:rsid w:val="004F7C45"/>
    <w:rsid w:val="00501487"/>
    <w:rsid w:val="005016B7"/>
    <w:rsid w:val="00501857"/>
    <w:rsid w:val="005019B9"/>
    <w:rsid w:val="00501B18"/>
    <w:rsid w:val="00502421"/>
    <w:rsid w:val="00502688"/>
    <w:rsid w:val="005027D2"/>
    <w:rsid w:val="00502870"/>
    <w:rsid w:val="00503174"/>
    <w:rsid w:val="0050331A"/>
    <w:rsid w:val="00504180"/>
    <w:rsid w:val="005046C9"/>
    <w:rsid w:val="0050529A"/>
    <w:rsid w:val="00505893"/>
    <w:rsid w:val="00505CAE"/>
    <w:rsid w:val="00505E9E"/>
    <w:rsid w:val="0050601D"/>
    <w:rsid w:val="00507320"/>
    <w:rsid w:val="005076DF"/>
    <w:rsid w:val="005078E0"/>
    <w:rsid w:val="00507F8E"/>
    <w:rsid w:val="005109AB"/>
    <w:rsid w:val="00511D4B"/>
    <w:rsid w:val="00512AAE"/>
    <w:rsid w:val="00513DAF"/>
    <w:rsid w:val="00513E14"/>
    <w:rsid w:val="005148E2"/>
    <w:rsid w:val="00514CD0"/>
    <w:rsid w:val="00514F42"/>
    <w:rsid w:val="005151F3"/>
    <w:rsid w:val="005154C1"/>
    <w:rsid w:val="00515CC8"/>
    <w:rsid w:val="00516935"/>
    <w:rsid w:val="005206B8"/>
    <w:rsid w:val="00520F3B"/>
    <w:rsid w:val="005216FB"/>
    <w:rsid w:val="00521DD2"/>
    <w:rsid w:val="0052229F"/>
    <w:rsid w:val="005225D3"/>
    <w:rsid w:val="0052351B"/>
    <w:rsid w:val="00523C7E"/>
    <w:rsid w:val="00523FE1"/>
    <w:rsid w:val="00530244"/>
    <w:rsid w:val="0053070F"/>
    <w:rsid w:val="00530DCA"/>
    <w:rsid w:val="00531569"/>
    <w:rsid w:val="00531A7E"/>
    <w:rsid w:val="00532796"/>
    <w:rsid w:val="00533081"/>
    <w:rsid w:val="00533468"/>
    <w:rsid w:val="005338C2"/>
    <w:rsid w:val="00533A6A"/>
    <w:rsid w:val="00534720"/>
    <w:rsid w:val="0053493D"/>
    <w:rsid w:val="00535B44"/>
    <w:rsid w:val="00535E12"/>
    <w:rsid w:val="005375D0"/>
    <w:rsid w:val="00540019"/>
    <w:rsid w:val="00541146"/>
    <w:rsid w:val="00541B01"/>
    <w:rsid w:val="00541D05"/>
    <w:rsid w:val="00542CCE"/>
    <w:rsid w:val="00544608"/>
    <w:rsid w:val="005448CF"/>
    <w:rsid w:val="005449D5"/>
    <w:rsid w:val="00545030"/>
    <w:rsid w:val="00545AF1"/>
    <w:rsid w:val="00545B96"/>
    <w:rsid w:val="00545CC2"/>
    <w:rsid w:val="0054649F"/>
    <w:rsid w:val="00546C28"/>
    <w:rsid w:val="00546C4D"/>
    <w:rsid w:val="00547BAB"/>
    <w:rsid w:val="0055067A"/>
    <w:rsid w:val="00550E4D"/>
    <w:rsid w:val="00551473"/>
    <w:rsid w:val="00551D7B"/>
    <w:rsid w:val="00552A27"/>
    <w:rsid w:val="005541D7"/>
    <w:rsid w:val="005544D2"/>
    <w:rsid w:val="00554E08"/>
    <w:rsid w:val="00554EDD"/>
    <w:rsid w:val="00556625"/>
    <w:rsid w:val="005573B8"/>
    <w:rsid w:val="005573D1"/>
    <w:rsid w:val="0056075B"/>
    <w:rsid w:val="00560908"/>
    <w:rsid w:val="005609A5"/>
    <w:rsid w:val="00561650"/>
    <w:rsid w:val="0056171E"/>
    <w:rsid w:val="00561AF5"/>
    <w:rsid w:val="00561B82"/>
    <w:rsid w:val="005629C4"/>
    <w:rsid w:val="00562BC9"/>
    <w:rsid w:val="00563F57"/>
    <w:rsid w:val="00563F7A"/>
    <w:rsid w:val="00564603"/>
    <w:rsid w:val="00564DFD"/>
    <w:rsid w:val="00565374"/>
    <w:rsid w:val="00565948"/>
    <w:rsid w:val="00566645"/>
    <w:rsid w:val="0056683F"/>
    <w:rsid w:val="0056708E"/>
    <w:rsid w:val="00571876"/>
    <w:rsid w:val="00571D6D"/>
    <w:rsid w:val="005722CF"/>
    <w:rsid w:val="0057335E"/>
    <w:rsid w:val="00573B87"/>
    <w:rsid w:val="0057433F"/>
    <w:rsid w:val="0057438B"/>
    <w:rsid w:val="0057442B"/>
    <w:rsid w:val="005746AA"/>
    <w:rsid w:val="005751AD"/>
    <w:rsid w:val="0057530E"/>
    <w:rsid w:val="005761AE"/>
    <w:rsid w:val="00576858"/>
    <w:rsid w:val="00576A54"/>
    <w:rsid w:val="005776E5"/>
    <w:rsid w:val="00577DC6"/>
    <w:rsid w:val="005816F4"/>
    <w:rsid w:val="00581715"/>
    <w:rsid w:val="00583034"/>
    <w:rsid w:val="005833BA"/>
    <w:rsid w:val="005834BC"/>
    <w:rsid w:val="005836E7"/>
    <w:rsid w:val="00583927"/>
    <w:rsid w:val="005844C1"/>
    <w:rsid w:val="00585174"/>
    <w:rsid w:val="00585AC0"/>
    <w:rsid w:val="00586ADF"/>
    <w:rsid w:val="00587404"/>
    <w:rsid w:val="00587A03"/>
    <w:rsid w:val="00587A4E"/>
    <w:rsid w:val="00587EC4"/>
    <w:rsid w:val="00590332"/>
    <w:rsid w:val="0059038C"/>
    <w:rsid w:val="00590521"/>
    <w:rsid w:val="005916AB"/>
    <w:rsid w:val="0059190A"/>
    <w:rsid w:val="00591A08"/>
    <w:rsid w:val="00591A41"/>
    <w:rsid w:val="00591D82"/>
    <w:rsid w:val="00592095"/>
    <w:rsid w:val="00592422"/>
    <w:rsid w:val="00592B40"/>
    <w:rsid w:val="00593459"/>
    <w:rsid w:val="005937B3"/>
    <w:rsid w:val="00594015"/>
    <w:rsid w:val="00594321"/>
    <w:rsid w:val="00594631"/>
    <w:rsid w:val="00594E87"/>
    <w:rsid w:val="00595F49"/>
    <w:rsid w:val="005A010E"/>
    <w:rsid w:val="005A14DB"/>
    <w:rsid w:val="005A2314"/>
    <w:rsid w:val="005A2C93"/>
    <w:rsid w:val="005A45FF"/>
    <w:rsid w:val="005A4CD3"/>
    <w:rsid w:val="005A4FAB"/>
    <w:rsid w:val="005A5E83"/>
    <w:rsid w:val="005A6F7C"/>
    <w:rsid w:val="005A7BB7"/>
    <w:rsid w:val="005A7DC0"/>
    <w:rsid w:val="005B0F21"/>
    <w:rsid w:val="005B0F68"/>
    <w:rsid w:val="005B10C8"/>
    <w:rsid w:val="005B130C"/>
    <w:rsid w:val="005B18B2"/>
    <w:rsid w:val="005B1B12"/>
    <w:rsid w:val="005B29F9"/>
    <w:rsid w:val="005B3D01"/>
    <w:rsid w:val="005B40A6"/>
    <w:rsid w:val="005B4618"/>
    <w:rsid w:val="005B46AD"/>
    <w:rsid w:val="005B5C2C"/>
    <w:rsid w:val="005B603B"/>
    <w:rsid w:val="005B7FBF"/>
    <w:rsid w:val="005C01B7"/>
    <w:rsid w:val="005C0B70"/>
    <w:rsid w:val="005C3183"/>
    <w:rsid w:val="005C3604"/>
    <w:rsid w:val="005C391C"/>
    <w:rsid w:val="005C4DE7"/>
    <w:rsid w:val="005C53B6"/>
    <w:rsid w:val="005C57A4"/>
    <w:rsid w:val="005C6451"/>
    <w:rsid w:val="005C6824"/>
    <w:rsid w:val="005C6A84"/>
    <w:rsid w:val="005C7219"/>
    <w:rsid w:val="005C7826"/>
    <w:rsid w:val="005C782C"/>
    <w:rsid w:val="005D2A74"/>
    <w:rsid w:val="005D3004"/>
    <w:rsid w:val="005D3B2E"/>
    <w:rsid w:val="005D4105"/>
    <w:rsid w:val="005D51A7"/>
    <w:rsid w:val="005D532E"/>
    <w:rsid w:val="005D6A16"/>
    <w:rsid w:val="005D7028"/>
    <w:rsid w:val="005D71B3"/>
    <w:rsid w:val="005D7526"/>
    <w:rsid w:val="005D7AB7"/>
    <w:rsid w:val="005D7C39"/>
    <w:rsid w:val="005D7E09"/>
    <w:rsid w:val="005E01AB"/>
    <w:rsid w:val="005E0A8D"/>
    <w:rsid w:val="005E13DF"/>
    <w:rsid w:val="005E27B5"/>
    <w:rsid w:val="005E3C11"/>
    <w:rsid w:val="005E4045"/>
    <w:rsid w:val="005E4C65"/>
    <w:rsid w:val="005E4F03"/>
    <w:rsid w:val="005E6904"/>
    <w:rsid w:val="005E70B8"/>
    <w:rsid w:val="005E7CD2"/>
    <w:rsid w:val="005F00A5"/>
    <w:rsid w:val="005F08B1"/>
    <w:rsid w:val="005F0B76"/>
    <w:rsid w:val="005F0CF4"/>
    <w:rsid w:val="005F20A8"/>
    <w:rsid w:val="005F2DBA"/>
    <w:rsid w:val="005F34C6"/>
    <w:rsid w:val="005F3CFF"/>
    <w:rsid w:val="005F4318"/>
    <w:rsid w:val="005F488D"/>
    <w:rsid w:val="005F4F8E"/>
    <w:rsid w:val="005F54A4"/>
    <w:rsid w:val="005F590E"/>
    <w:rsid w:val="005F59DD"/>
    <w:rsid w:val="005F618C"/>
    <w:rsid w:val="005F61BC"/>
    <w:rsid w:val="005F66E8"/>
    <w:rsid w:val="005F7297"/>
    <w:rsid w:val="005F76CC"/>
    <w:rsid w:val="005F7C1D"/>
    <w:rsid w:val="00600D0C"/>
    <w:rsid w:val="00601AA6"/>
    <w:rsid w:val="00601CCD"/>
    <w:rsid w:val="0060255D"/>
    <w:rsid w:val="00602607"/>
    <w:rsid w:val="00602DB4"/>
    <w:rsid w:val="00603A83"/>
    <w:rsid w:val="00604114"/>
    <w:rsid w:val="006043E6"/>
    <w:rsid w:val="00604499"/>
    <w:rsid w:val="006054A1"/>
    <w:rsid w:val="006074E4"/>
    <w:rsid w:val="0060FDCC"/>
    <w:rsid w:val="006106ED"/>
    <w:rsid w:val="006112D1"/>
    <w:rsid w:val="00611347"/>
    <w:rsid w:val="006116B1"/>
    <w:rsid w:val="00611EF7"/>
    <w:rsid w:val="00611FEF"/>
    <w:rsid w:val="006125D4"/>
    <w:rsid w:val="0061319D"/>
    <w:rsid w:val="006133D7"/>
    <w:rsid w:val="00613708"/>
    <w:rsid w:val="00613802"/>
    <w:rsid w:val="0061418A"/>
    <w:rsid w:val="006141F7"/>
    <w:rsid w:val="00614884"/>
    <w:rsid w:val="00614E89"/>
    <w:rsid w:val="00614E9F"/>
    <w:rsid w:val="00616559"/>
    <w:rsid w:val="00616F7E"/>
    <w:rsid w:val="00620598"/>
    <w:rsid w:val="00620DAC"/>
    <w:rsid w:val="00621BF3"/>
    <w:rsid w:val="006223D6"/>
    <w:rsid w:val="00622BF8"/>
    <w:rsid w:val="00622D42"/>
    <w:rsid w:val="006242EA"/>
    <w:rsid w:val="00624B34"/>
    <w:rsid w:val="00625518"/>
    <w:rsid w:val="00625B93"/>
    <w:rsid w:val="00626B1A"/>
    <w:rsid w:val="006272EE"/>
    <w:rsid w:val="006276E4"/>
    <w:rsid w:val="00627DAC"/>
    <w:rsid w:val="006319EC"/>
    <w:rsid w:val="00631BC8"/>
    <w:rsid w:val="00634305"/>
    <w:rsid w:val="00634325"/>
    <w:rsid w:val="00634556"/>
    <w:rsid w:val="006346EB"/>
    <w:rsid w:val="006347A0"/>
    <w:rsid w:val="00635510"/>
    <w:rsid w:val="00635EE5"/>
    <w:rsid w:val="00637661"/>
    <w:rsid w:val="00637999"/>
    <w:rsid w:val="00637C95"/>
    <w:rsid w:val="00637E4B"/>
    <w:rsid w:val="00641DBF"/>
    <w:rsid w:val="00642342"/>
    <w:rsid w:val="006424FC"/>
    <w:rsid w:val="00642EA1"/>
    <w:rsid w:val="00643640"/>
    <w:rsid w:val="006448A7"/>
    <w:rsid w:val="0064492F"/>
    <w:rsid w:val="00644B7A"/>
    <w:rsid w:val="00645063"/>
    <w:rsid w:val="006451A5"/>
    <w:rsid w:val="006454DE"/>
    <w:rsid w:val="006474FD"/>
    <w:rsid w:val="0065124F"/>
    <w:rsid w:val="00651830"/>
    <w:rsid w:val="00651EB5"/>
    <w:rsid w:val="00651FF7"/>
    <w:rsid w:val="00652028"/>
    <w:rsid w:val="006522B0"/>
    <w:rsid w:val="006545A6"/>
    <w:rsid w:val="006549CD"/>
    <w:rsid w:val="00654A56"/>
    <w:rsid w:val="00655A79"/>
    <w:rsid w:val="0065627F"/>
    <w:rsid w:val="00656B30"/>
    <w:rsid w:val="006573A3"/>
    <w:rsid w:val="00657A28"/>
    <w:rsid w:val="0066018C"/>
    <w:rsid w:val="0066106F"/>
    <w:rsid w:val="00662C14"/>
    <w:rsid w:val="00663FAE"/>
    <w:rsid w:val="00664511"/>
    <w:rsid w:val="00664778"/>
    <w:rsid w:val="006647CF"/>
    <w:rsid w:val="006647F5"/>
    <w:rsid w:val="00664FFF"/>
    <w:rsid w:val="00665487"/>
    <w:rsid w:val="006656A1"/>
    <w:rsid w:val="00667B22"/>
    <w:rsid w:val="00670748"/>
    <w:rsid w:val="006719E9"/>
    <w:rsid w:val="00671F6E"/>
    <w:rsid w:val="00672008"/>
    <w:rsid w:val="0067248A"/>
    <w:rsid w:val="00672857"/>
    <w:rsid w:val="006728E5"/>
    <w:rsid w:val="00672F25"/>
    <w:rsid w:val="0067304E"/>
    <w:rsid w:val="006731DD"/>
    <w:rsid w:val="006737E3"/>
    <w:rsid w:val="00673CA3"/>
    <w:rsid w:val="006740BD"/>
    <w:rsid w:val="006745E5"/>
    <w:rsid w:val="00674AAB"/>
    <w:rsid w:val="006764DB"/>
    <w:rsid w:val="006766FE"/>
    <w:rsid w:val="00676700"/>
    <w:rsid w:val="00676AE5"/>
    <w:rsid w:val="0067734B"/>
    <w:rsid w:val="006774CC"/>
    <w:rsid w:val="00677920"/>
    <w:rsid w:val="00677A0E"/>
    <w:rsid w:val="0068042B"/>
    <w:rsid w:val="006808FF"/>
    <w:rsid w:val="00680977"/>
    <w:rsid w:val="00680D64"/>
    <w:rsid w:val="006810A8"/>
    <w:rsid w:val="00681181"/>
    <w:rsid w:val="006826EB"/>
    <w:rsid w:val="006838EC"/>
    <w:rsid w:val="00683A9A"/>
    <w:rsid w:val="0068483E"/>
    <w:rsid w:val="00684AEC"/>
    <w:rsid w:val="006856E0"/>
    <w:rsid w:val="00685952"/>
    <w:rsid w:val="00685FF9"/>
    <w:rsid w:val="006868E6"/>
    <w:rsid w:val="006870E7"/>
    <w:rsid w:val="006873A9"/>
    <w:rsid w:val="00690B45"/>
    <w:rsid w:val="00691C8D"/>
    <w:rsid w:val="00691DED"/>
    <w:rsid w:val="00692CCB"/>
    <w:rsid w:val="00692DD5"/>
    <w:rsid w:val="00692FCE"/>
    <w:rsid w:val="00693664"/>
    <w:rsid w:val="0069384E"/>
    <w:rsid w:val="00693B1C"/>
    <w:rsid w:val="0069432C"/>
    <w:rsid w:val="0069435C"/>
    <w:rsid w:val="00694FE8"/>
    <w:rsid w:val="006952F8"/>
    <w:rsid w:val="006954F8"/>
    <w:rsid w:val="00697542"/>
    <w:rsid w:val="00697B8D"/>
    <w:rsid w:val="00697C8B"/>
    <w:rsid w:val="006A11CD"/>
    <w:rsid w:val="006A1363"/>
    <w:rsid w:val="006A1444"/>
    <w:rsid w:val="006A18B6"/>
    <w:rsid w:val="006A295B"/>
    <w:rsid w:val="006A2A09"/>
    <w:rsid w:val="006A3582"/>
    <w:rsid w:val="006A3751"/>
    <w:rsid w:val="006A44C4"/>
    <w:rsid w:val="006A547D"/>
    <w:rsid w:val="006A55A9"/>
    <w:rsid w:val="006A591A"/>
    <w:rsid w:val="006A5B0F"/>
    <w:rsid w:val="006A5B7D"/>
    <w:rsid w:val="006A5ED6"/>
    <w:rsid w:val="006A5FF3"/>
    <w:rsid w:val="006A6288"/>
    <w:rsid w:val="006A65E3"/>
    <w:rsid w:val="006A6F16"/>
    <w:rsid w:val="006A7582"/>
    <w:rsid w:val="006B0864"/>
    <w:rsid w:val="006B0D75"/>
    <w:rsid w:val="006B1E15"/>
    <w:rsid w:val="006B20EE"/>
    <w:rsid w:val="006B3A9F"/>
    <w:rsid w:val="006B3E83"/>
    <w:rsid w:val="006B4826"/>
    <w:rsid w:val="006B4AD9"/>
    <w:rsid w:val="006B5B8D"/>
    <w:rsid w:val="006B72A8"/>
    <w:rsid w:val="006B7611"/>
    <w:rsid w:val="006B7A8D"/>
    <w:rsid w:val="006C01D5"/>
    <w:rsid w:val="006C1BF7"/>
    <w:rsid w:val="006C1D8C"/>
    <w:rsid w:val="006C2CF2"/>
    <w:rsid w:val="006C3130"/>
    <w:rsid w:val="006C346C"/>
    <w:rsid w:val="006C38A0"/>
    <w:rsid w:val="006C3C5E"/>
    <w:rsid w:val="006C443A"/>
    <w:rsid w:val="006C51B3"/>
    <w:rsid w:val="006C51D5"/>
    <w:rsid w:val="006C560F"/>
    <w:rsid w:val="006C6FBC"/>
    <w:rsid w:val="006C7F5E"/>
    <w:rsid w:val="006C7F80"/>
    <w:rsid w:val="006D1A35"/>
    <w:rsid w:val="006D1ACE"/>
    <w:rsid w:val="006D2299"/>
    <w:rsid w:val="006D2CF0"/>
    <w:rsid w:val="006D2D65"/>
    <w:rsid w:val="006D36D7"/>
    <w:rsid w:val="006D40C0"/>
    <w:rsid w:val="006D432E"/>
    <w:rsid w:val="006D4BC8"/>
    <w:rsid w:val="006D50C8"/>
    <w:rsid w:val="006D5B0E"/>
    <w:rsid w:val="006D6823"/>
    <w:rsid w:val="006D6C71"/>
    <w:rsid w:val="006D6EB1"/>
    <w:rsid w:val="006D794F"/>
    <w:rsid w:val="006E03D6"/>
    <w:rsid w:val="006E0E4B"/>
    <w:rsid w:val="006E1126"/>
    <w:rsid w:val="006E28B9"/>
    <w:rsid w:val="006E395F"/>
    <w:rsid w:val="006E4894"/>
    <w:rsid w:val="006E494B"/>
    <w:rsid w:val="006E4CFC"/>
    <w:rsid w:val="006E6044"/>
    <w:rsid w:val="006E7363"/>
    <w:rsid w:val="006E7B3F"/>
    <w:rsid w:val="006E7CA1"/>
    <w:rsid w:val="006E7CC9"/>
    <w:rsid w:val="006F066D"/>
    <w:rsid w:val="006F0AFA"/>
    <w:rsid w:val="006F1B52"/>
    <w:rsid w:val="006F26D7"/>
    <w:rsid w:val="006F2985"/>
    <w:rsid w:val="006F3650"/>
    <w:rsid w:val="006F36B9"/>
    <w:rsid w:val="006F3767"/>
    <w:rsid w:val="006F384B"/>
    <w:rsid w:val="006F3C6E"/>
    <w:rsid w:val="006F422E"/>
    <w:rsid w:val="006F42DE"/>
    <w:rsid w:val="006F4417"/>
    <w:rsid w:val="006F447B"/>
    <w:rsid w:val="006F4776"/>
    <w:rsid w:val="006F5519"/>
    <w:rsid w:val="006F55BD"/>
    <w:rsid w:val="006F6170"/>
    <w:rsid w:val="006F65DD"/>
    <w:rsid w:val="006F6A11"/>
    <w:rsid w:val="006F711D"/>
    <w:rsid w:val="00700926"/>
    <w:rsid w:val="00700D68"/>
    <w:rsid w:val="00701398"/>
    <w:rsid w:val="00702016"/>
    <w:rsid w:val="00702162"/>
    <w:rsid w:val="00702B36"/>
    <w:rsid w:val="00702E0B"/>
    <w:rsid w:val="00703A56"/>
    <w:rsid w:val="00704117"/>
    <w:rsid w:val="00704521"/>
    <w:rsid w:val="00706A59"/>
    <w:rsid w:val="00707044"/>
    <w:rsid w:val="0070719E"/>
    <w:rsid w:val="007109FB"/>
    <w:rsid w:val="00710A58"/>
    <w:rsid w:val="007116AC"/>
    <w:rsid w:val="007116D0"/>
    <w:rsid w:val="0071216E"/>
    <w:rsid w:val="007124A2"/>
    <w:rsid w:val="0071261A"/>
    <w:rsid w:val="00713739"/>
    <w:rsid w:val="00713DC2"/>
    <w:rsid w:val="007142EE"/>
    <w:rsid w:val="007146FE"/>
    <w:rsid w:val="007150A4"/>
    <w:rsid w:val="007154AB"/>
    <w:rsid w:val="00715AD1"/>
    <w:rsid w:val="007173A4"/>
    <w:rsid w:val="007223E9"/>
    <w:rsid w:val="0072283F"/>
    <w:rsid w:val="00722CF2"/>
    <w:rsid w:val="007230D6"/>
    <w:rsid w:val="00723E4B"/>
    <w:rsid w:val="00724152"/>
    <w:rsid w:val="00724553"/>
    <w:rsid w:val="00724B1E"/>
    <w:rsid w:val="00724EAD"/>
    <w:rsid w:val="00725221"/>
    <w:rsid w:val="007253F9"/>
    <w:rsid w:val="0072552E"/>
    <w:rsid w:val="00726956"/>
    <w:rsid w:val="007275C4"/>
    <w:rsid w:val="00727B64"/>
    <w:rsid w:val="00730ED8"/>
    <w:rsid w:val="007318DF"/>
    <w:rsid w:val="00731F08"/>
    <w:rsid w:val="00731F1F"/>
    <w:rsid w:val="00731FA8"/>
    <w:rsid w:val="0073261C"/>
    <w:rsid w:val="00732E2C"/>
    <w:rsid w:val="00734468"/>
    <w:rsid w:val="00734AEE"/>
    <w:rsid w:val="00734E2F"/>
    <w:rsid w:val="00735B3D"/>
    <w:rsid w:val="00735C0C"/>
    <w:rsid w:val="00735ECF"/>
    <w:rsid w:val="00736BB4"/>
    <w:rsid w:val="00736DE9"/>
    <w:rsid w:val="00737CB4"/>
    <w:rsid w:val="00737F33"/>
    <w:rsid w:val="00737FBA"/>
    <w:rsid w:val="007405FB"/>
    <w:rsid w:val="00740673"/>
    <w:rsid w:val="00740CBA"/>
    <w:rsid w:val="00741D44"/>
    <w:rsid w:val="00742DC1"/>
    <w:rsid w:val="00743906"/>
    <w:rsid w:val="00743A10"/>
    <w:rsid w:val="00743FB7"/>
    <w:rsid w:val="0074492E"/>
    <w:rsid w:val="00745A1F"/>
    <w:rsid w:val="00745C5A"/>
    <w:rsid w:val="007465A9"/>
    <w:rsid w:val="00746FCF"/>
    <w:rsid w:val="007474F1"/>
    <w:rsid w:val="00747686"/>
    <w:rsid w:val="0075038F"/>
    <w:rsid w:val="0075149C"/>
    <w:rsid w:val="00751BC3"/>
    <w:rsid w:val="00753914"/>
    <w:rsid w:val="00753EAC"/>
    <w:rsid w:val="00754382"/>
    <w:rsid w:val="007543BD"/>
    <w:rsid w:val="00754A0D"/>
    <w:rsid w:val="00754C57"/>
    <w:rsid w:val="00754DFC"/>
    <w:rsid w:val="00754F87"/>
    <w:rsid w:val="007552C1"/>
    <w:rsid w:val="0075535D"/>
    <w:rsid w:val="00755EDD"/>
    <w:rsid w:val="00755F4E"/>
    <w:rsid w:val="007562E2"/>
    <w:rsid w:val="00756638"/>
    <w:rsid w:val="007567C4"/>
    <w:rsid w:val="007573DE"/>
    <w:rsid w:val="0075741E"/>
    <w:rsid w:val="0075752A"/>
    <w:rsid w:val="007602A0"/>
    <w:rsid w:val="00761608"/>
    <w:rsid w:val="00761F2C"/>
    <w:rsid w:val="00762447"/>
    <w:rsid w:val="0076285E"/>
    <w:rsid w:val="0076328E"/>
    <w:rsid w:val="0076357B"/>
    <w:rsid w:val="00763B23"/>
    <w:rsid w:val="007640DB"/>
    <w:rsid w:val="0076426A"/>
    <w:rsid w:val="007649AF"/>
    <w:rsid w:val="00764B6C"/>
    <w:rsid w:val="0076561E"/>
    <w:rsid w:val="007661B0"/>
    <w:rsid w:val="0076639C"/>
    <w:rsid w:val="00767569"/>
    <w:rsid w:val="00770AA9"/>
    <w:rsid w:val="00770E5F"/>
    <w:rsid w:val="007713F1"/>
    <w:rsid w:val="00771BE9"/>
    <w:rsid w:val="00771F0C"/>
    <w:rsid w:val="00772893"/>
    <w:rsid w:val="00772EE5"/>
    <w:rsid w:val="00775687"/>
    <w:rsid w:val="00775722"/>
    <w:rsid w:val="0077770F"/>
    <w:rsid w:val="0078072A"/>
    <w:rsid w:val="007809A8"/>
    <w:rsid w:val="00780A45"/>
    <w:rsid w:val="00780CBA"/>
    <w:rsid w:val="007817D9"/>
    <w:rsid w:val="00781DC3"/>
    <w:rsid w:val="00782836"/>
    <w:rsid w:val="007837C8"/>
    <w:rsid w:val="00783F5A"/>
    <w:rsid w:val="00784FA7"/>
    <w:rsid w:val="0078565B"/>
    <w:rsid w:val="007857F3"/>
    <w:rsid w:val="00785A21"/>
    <w:rsid w:val="00785C0F"/>
    <w:rsid w:val="00786032"/>
    <w:rsid w:val="00786118"/>
    <w:rsid w:val="007865B2"/>
    <w:rsid w:val="0078690A"/>
    <w:rsid w:val="007876E3"/>
    <w:rsid w:val="00787A05"/>
    <w:rsid w:val="00790145"/>
    <w:rsid w:val="00790844"/>
    <w:rsid w:val="00790F68"/>
    <w:rsid w:val="007928AD"/>
    <w:rsid w:val="00792AD4"/>
    <w:rsid w:val="00792EDE"/>
    <w:rsid w:val="00793B35"/>
    <w:rsid w:val="00795784"/>
    <w:rsid w:val="00795E7D"/>
    <w:rsid w:val="0079652D"/>
    <w:rsid w:val="00796853"/>
    <w:rsid w:val="00796E25"/>
    <w:rsid w:val="007A0174"/>
    <w:rsid w:val="007A0179"/>
    <w:rsid w:val="007A0192"/>
    <w:rsid w:val="007A0B1C"/>
    <w:rsid w:val="007A1986"/>
    <w:rsid w:val="007A2C40"/>
    <w:rsid w:val="007A3472"/>
    <w:rsid w:val="007A37BA"/>
    <w:rsid w:val="007A4135"/>
    <w:rsid w:val="007A4EB5"/>
    <w:rsid w:val="007A5020"/>
    <w:rsid w:val="007A5A00"/>
    <w:rsid w:val="007A7EBD"/>
    <w:rsid w:val="007B1078"/>
    <w:rsid w:val="007B1CEF"/>
    <w:rsid w:val="007B268E"/>
    <w:rsid w:val="007B2A7E"/>
    <w:rsid w:val="007B33A7"/>
    <w:rsid w:val="007B4019"/>
    <w:rsid w:val="007B4510"/>
    <w:rsid w:val="007B4596"/>
    <w:rsid w:val="007B5F48"/>
    <w:rsid w:val="007B6942"/>
    <w:rsid w:val="007B71E9"/>
    <w:rsid w:val="007B723D"/>
    <w:rsid w:val="007B7466"/>
    <w:rsid w:val="007B7C0F"/>
    <w:rsid w:val="007B7E8A"/>
    <w:rsid w:val="007B7FAE"/>
    <w:rsid w:val="007C0DD4"/>
    <w:rsid w:val="007C1702"/>
    <w:rsid w:val="007C20A2"/>
    <w:rsid w:val="007C272B"/>
    <w:rsid w:val="007C2806"/>
    <w:rsid w:val="007C3131"/>
    <w:rsid w:val="007C3361"/>
    <w:rsid w:val="007C3604"/>
    <w:rsid w:val="007C39AB"/>
    <w:rsid w:val="007C41D1"/>
    <w:rsid w:val="007C45AD"/>
    <w:rsid w:val="007C48C7"/>
    <w:rsid w:val="007C5221"/>
    <w:rsid w:val="007C5232"/>
    <w:rsid w:val="007C55A7"/>
    <w:rsid w:val="007C5DBF"/>
    <w:rsid w:val="007C631C"/>
    <w:rsid w:val="007C6619"/>
    <w:rsid w:val="007C69D6"/>
    <w:rsid w:val="007C6A3A"/>
    <w:rsid w:val="007C6F9B"/>
    <w:rsid w:val="007C7712"/>
    <w:rsid w:val="007C7776"/>
    <w:rsid w:val="007D0825"/>
    <w:rsid w:val="007D105E"/>
    <w:rsid w:val="007D23DD"/>
    <w:rsid w:val="007D3591"/>
    <w:rsid w:val="007D38D7"/>
    <w:rsid w:val="007D39B6"/>
    <w:rsid w:val="007D3C1B"/>
    <w:rsid w:val="007D506C"/>
    <w:rsid w:val="007D5357"/>
    <w:rsid w:val="007D6496"/>
    <w:rsid w:val="007D6683"/>
    <w:rsid w:val="007D69ED"/>
    <w:rsid w:val="007E0370"/>
    <w:rsid w:val="007E167E"/>
    <w:rsid w:val="007E1979"/>
    <w:rsid w:val="007E1C1A"/>
    <w:rsid w:val="007E2185"/>
    <w:rsid w:val="007E23A7"/>
    <w:rsid w:val="007E291E"/>
    <w:rsid w:val="007E321F"/>
    <w:rsid w:val="007E34F8"/>
    <w:rsid w:val="007E39F7"/>
    <w:rsid w:val="007E5B67"/>
    <w:rsid w:val="007E6167"/>
    <w:rsid w:val="007E6EBD"/>
    <w:rsid w:val="007E7384"/>
    <w:rsid w:val="007E74C5"/>
    <w:rsid w:val="007F100F"/>
    <w:rsid w:val="007F11EA"/>
    <w:rsid w:val="007F1F6A"/>
    <w:rsid w:val="007F217D"/>
    <w:rsid w:val="007F21FA"/>
    <w:rsid w:val="007F2DCD"/>
    <w:rsid w:val="007F3211"/>
    <w:rsid w:val="007F32C6"/>
    <w:rsid w:val="007F3437"/>
    <w:rsid w:val="007F52A8"/>
    <w:rsid w:val="007F55FE"/>
    <w:rsid w:val="007F61FE"/>
    <w:rsid w:val="007F7CC3"/>
    <w:rsid w:val="007F7D41"/>
    <w:rsid w:val="00801716"/>
    <w:rsid w:val="00801C70"/>
    <w:rsid w:val="00802309"/>
    <w:rsid w:val="00802692"/>
    <w:rsid w:val="00802C55"/>
    <w:rsid w:val="008034C1"/>
    <w:rsid w:val="00803C70"/>
    <w:rsid w:val="00803CB6"/>
    <w:rsid w:val="008042F7"/>
    <w:rsid w:val="008043DE"/>
    <w:rsid w:val="0080496F"/>
    <w:rsid w:val="00804CDA"/>
    <w:rsid w:val="00805091"/>
    <w:rsid w:val="008052E4"/>
    <w:rsid w:val="0080606A"/>
    <w:rsid w:val="00806193"/>
    <w:rsid w:val="0080693C"/>
    <w:rsid w:val="00806F86"/>
    <w:rsid w:val="00807E29"/>
    <w:rsid w:val="008110BB"/>
    <w:rsid w:val="00812103"/>
    <w:rsid w:val="00812156"/>
    <w:rsid w:val="00812A93"/>
    <w:rsid w:val="00812E0A"/>
    <w:rsid w:val="0081322F"/>
    <w:rsid w:val="0081352B"/>
    <w:rsid w:val="00813640"/>
    <w:rsid w:val="00814514"/>
    <w:rsid w:val="00814C20"/>
    <w:rsid w:val="00815485"/>
    <w:rsid w:val="00815BAE"/>
    <w:rsid w:val="00815E80"/>
    <w:rsid w:val="00816559"/>
    <w:rsid w:val="00816792"/>
    <w:rsid w:val="00817707"/>
    <w:rsid w:val="00817F41"/>
    <w:rsid w:val="00821D99"/>
    <w:rsid w:val="00822764"/>
    <w:rsid w:val="00822C28"/>
    <w:rsid w:val="00822E9E"/>
    <w:rsid w:val="008237E2"/>
    <w:rsid w:val="00825E7F"/>
    <w:rsid w:val="008264FF"/>
    <w:rsid w:val="008266B2"/>
    <w:rsid w:val="0082688F"/>
    <w:rsid w:val="00826A71"/>
    <w:rsid w:val="0082720A"/>
    <w:rsid w:val="0082773D"/>
    <w:rsid w:val="00827BAD"/>
    <w:rsid w:val="00830BC7"/>
    <w:rsid w:val="00830D64"/>
    <w:rsid w:val="0083130D"/>
    <w:rsid w:val="0083142D"/>
    <w:rsid w:val="0083173E"/>
    <w:rsid w:val="00832887"/>
    <w:rsid w:val="00832958"/>
    <w:rsid w:val="00832A06"/>
    <w:rsid w:val="00832D4F"/>
    <w:rsid w:val="00833507"/>
    <w:rsid w:val="00833894"/>
    <w:rsid w:val="00833ECA"/>
    <w:rsid w:val="00833FBE"/>
    <w:rsid w:val="008341F7"/>
    <w:rsid w:val="00834DCB"/>
    <w:rsid w:val="00835949"/>
    <w:rsid w:val="008361BE"/>
    <w:rsid w:val="00836673"/>
    <w:rsid w:val="00836B98"/>
    <w:rsid w:val="00837133"/>
    <w:rsid w:val="008371FB"/>
    <w:rsid w:val="0083799E"/>
    <w:rsid w:val="00837F55"/>
    <w:rsid w:val="00840C42"/>
    <w:rsid w:val="00840CDE"/>
    <w:rsid w:val="00841BF7"/>
    <w:rsid w:val="00842009"/>
    <w:rsid w:val="00842056"/>
    <w:rsid w:val="00843258"/>
    <w:rsid w:val="00844893"/>
    <w:rsid w:val="00844F10"/>
    <w:rsid w:val="00845186"/>
    <w:rsid w:val="00846BDF"/>
    <w:rsid w:val="00846FDC"/>
    <w:rsid w:val="008474B5"/>
    <w:rsid w:val="00850ACC"/>
    <w:rsid w:val="00850F25"/>
    <w:rsid w:val="00851002"/>
    <w:rsid w:val="00851297"/>
    <w:rsid w:val="008513D8"/>
    <w:rsid w:val="00851594"/>
    <w:rsid w:val="0085256C"/>
    <w:rsid w:val="008528A3"/>
    <w:rsid w:val="00852997"/>
    <w:rsid w:val="00855364"/>
    <w:rsid w:val="008561D7"/>
    <w:rsid w:val="008601B7"/>
    <w:rsid w:val="00860B22"/>
    <w:rsid w:val="0086129E"/>
    <w:rsid w:val="00862457"/>
    <w:rsid w:val="00862A5A"/>
    <w:rsid w:val="00862CE0"/>
    <w:rsid w:val="00863025"/>
    <w:rsid w:val="0086315A"/>
    <w:rsid w:val="0086319A"/>
    <w:rsid w:val="0086340D"/>
    <w:rsid w:val="008636FC"/>
    <w:rsid w:val="00863859"/>
    <w:rsid w:val="00863B58"/>
    <w:rsid w:val="00863DB6"/>
    <w:rsid w:val="00863F56"/>
    <w:rsid w:val="00865869"/>
    <w:rsid w:val="0086648E"/>
    <w:rsid w:val="00866624"/>
    <w:rsid w:val="008704ED"/>
    <w:rsid w:val="008707DE"/>
    <w:rsid w:val="00870C1B"/>
    <w:rsid w:val="0087147B"/>
    <w:rsid w:val="008714EA"/>
    <w:rsid w:val="00871F34"/>
    <w:rsid w:val="00872A2D"/>
    <w:rsid w:val="00873B2D"/>
    <w:rsid w:val="00874127"/>
    <w:rsid w:val="00874CC4"/>
    <w:rsid w:val="00874FB1"/>
    <w:rsid w:val="00875D6A"/>
    <w:rsid w:val="0087656B"/>
    <w:rsid w:val="00876BFE"/>
    <w:rsid w:val="008771F4"/>
    <w:rsid w:val="00880946"/>
    <w:rsid w:val="00880E23"/>
    <w:rsid w:val="00881E3C"/>
    <w:rsid w:val="0088357D"/>
    <w:rsid w:val="00884328"/>
    <w:rsid w:val="00884CF5"/>
    <w:rsid w:val="0088533B"/>
    <w:rsid w:val="0088534C"/>
    <w:rsid w:val="00885861"/>
    <w:rsid w:val="00886187"/>
    <w:rsid w:val="0088740E"/>
    <w:rsid w:val="00887B02"/>
    <w:rsid w:val="00890E54"/>
    <w:rsid w:val="0089221C"/>
    <w:rsid w:val="00892A4E"/>
    <w:rsid w:val="00892EF5"/>
    <w:rsid w:val="00893305"/>
    <w:rsid w:val="00894A21"/>
    <w:rsid w:val="00896619"/>
    <w:rsid w:val="00896A4C"/>
    <w:rsid w:val="0089797F"/>
    <w:rsid w:val="00897E73"/>
    <w:rsid w:val="008A0203"/>
    <w:rsid w:val="008A048E"/>
    <w:rsid w:val="008A1E61"/>
    <w:rsid w:val="008A1E98"/>
    <w:rsid w:val="008A23C9"/>
    <w:rsid w:val="008A26AB"/>
    <w:rsid w:val="008A285D"/>
    <w:rsid w:val="008A3379"/>
    <w:rsid w:val="008A3488"/>
    <w:rsid w:val="008A3961"/>
    <w:rsid w:val="008A39F8"/>
    <w:rsid w:val="008A3B4A"/>
    <w:rsid w:val="008A3CC7"/>
    <w:rsid w:val="008A4462"/>
    <w:rsid w:val="008A540B"/>
    <w:rsid w:val="008A59C8"/>
    <w:rsid w:val="008A5C5C"/>
    <w:rsid w:val="008A6912"/>
    <w:rsid w:val="008A6A8C"/>
    <w:rsid w:val="008A7463"/>
    <w:rsid w:val="008A7901"/>
    <w:rsid w:val="008A7AC1"/>
    <w:rsid w:val="008B0754"/>
    <w:rsid w:val="008B0CC5"/>
    <w:rsid w:val="008B16B0"/>
    <w:rsid w:val="008B24CC"/>
    <w:rsid w:val="008B32A9"/>
    <w:rsid w:val="008B3313"/>
    <w:rsid w:val="008B487E"/>
    <w:rsid w:val="008B4AA4"/>
    <w:rsid w:val="008B4C59"/>
    <w:rsid w:val="008B5141"/>
    <w:rsid w:val="008B6417"/>
    <w:rsid w:val="008B771D"/>
    <w:rsid w:val="008B795B"/>
    <w:rsid w:val="008C0AC2"/>
    <w:rsid w:val="008C0AF4"/>
    <w:rsid w:val="008C0DAB"/>
    <w:rsid w:val="008C18D1"/>
    <w:rsid w:val="008C20A5"/>
    <w:rsid w:val="008C2548"/>
    <w:rsid w:val="008C2B21"/>
    <w:rsid w:val="008C2EDB"/>
    <w:rsid w:val="008C3042"/>
    <w:rsid w:val="008C3AB1"/>
    <w:rsid w:val="008C47D8"/>
    <w:rsid w:val="008C492B"/>
    <w:rsid w:val="008C4E6A"/>
    <w:rsid w:val="008C6ADF"/>
    <w:rsid w:val="008C6C9A"/>
    <w:rsid w:val="008C79BC"/>
    <w:rsid w:val="008D0153"/>
    <w:rsid w:val="008D0434"/>
    <w:rsid w:val="008D06B8"/>
    <w:rsid w:val="008D1B64"/>
    <w:rsid w:val="008D1C75"/>
    <w:rsid w:val="008D20D1"/>
    <w:rsid w:val="008D2249"/>
    <w:rsid w:val="008D2490"/>
    <w:rsid w:val="008D257D"/>
    <w:rsid w:val="008D3368"/>
    <w:rsid w:val="008D3A5B"/>
    <w:rsid w:val="008D3E34"/>
    <w:rsid w:val="008D4162"/>
    <w:rsid w:val="008D789D"/>
    <w:rsid w:val="008D7A61"/>
    <w:rsid w:val="008E0875"/>
    <w:rsid w:val="008E0FAE"/>
    <w:rsid w:val="008E161E"/>
    <w:rsid w:val="008E175C"/>
    <w:rsid w:val="008E1E4D"/>
    <w:rsid w:val="008E2412"/>
    <w:rsid w:val="008E2A6A"/>
    <w:rsid w:val="008E38DE"/>
    <w:rsid w:val="008E4014"/>
    <w:rsid w:val="008E421D"/>
    <w:rsid w:val="008E4430"/>
    <w:rsid w:val="008E495D"/>
    <w:rsid w:val="008E548A"/>
    <w:rsid w:val="008E57E3"/>
    <w:rsid w:val="008E6FAD"/>
    <w:rsid w:val="008E71EA"/>
    <w:rsid w:val="008E735F"/>
    <w:rsid w:val="008F007F"/>
    <w:rsid w:val="008F086D"/>
    <w:rsid w:val="008F12BB"/>
    <w:rsid w:val="008F17C4"/>
    <w:rsid w:val="008F42EC"/>
    <w:rsid w:val="008F430E"/>
    <w:rsid w:val="008F45C5"/>
    <w:rsid w:val="008F4A57"/>
    <w:rsid w:val="008F4B82"/>
    <w:rsid w:val="008F4D40"/>
    <w:rsid w:val="008F4DCC"/>
    <w:rsid w:val="008F5096"/>
    <w:rsid w:val="008F514B"/>
    <w:rsid w:val="008F5492"/>
    <w:rsid w:val="008F5D36"/>
    <w:rsid w:val="008F5E30"/>
    <w:rsid w:val="008F5E46"/>
    <w:rsid w:val="008F5EBC"/>
    <w:rsid w:val="008F682D"/>
    <w:rsid w:val="008F6C24"/>
    <w:rsid w:val="00900420"/>
    <w:rsid w:val="00900747"/>
    <w:rsid w:val="00900836"/>
    <w:rsid w:val="00900E7C"/>
    <w:rsid w:val="00901AAE"/>
    <w:rsid w:val="00904674"/>
    <w:rsid w:val="0090470A"/>
    <w:rsid w:val="0090478A"/>
    <w:rsid w:val="0090482E"/>
    <w:rsid w:val="009056B9"/>
    <w:rsid w:val="00905986"/>
    <w:rsid w:val="0090711E"/>
    <w:rsid w:val="00907869"/>
    <w:rsid w:val="00907901"/>
    <w:rsid w:val="00907BE5"/>
    <w:rsid w:val="00907E9E"/>
    <w:rsid w:val="009102A7"/>
    <w:rsid w:val="00910BEC"/>
    <w:rsid w:val="00910C85"/>
    <w:rsid w:val="00910FF5"/>
    <w:rsid w:val="009110E5"/>
    <w:rsid w:val="009115E4"/>
    <w:rsid w:val="00911D86"/>
    <w:rsid w:val="00912706"/>
    <w:rsid w:val="00912E5F"/>
    <w:rsid w:val="00913D3C"/>
    <w:rsid w:val="009143A0"/>
    <w:rsid w:val="00915863"/>
    <w:rsid w:val="00916B1C"/>
    <w:rsid w:val="00916BC2"/>
    <w:rsid w:val="00916ED7"/>
    <w:rsid w:val="00917172"/>
    <w:rsid w:val="009173C8"/>
    <w:rsid w:val="0092008E"/>
    <w:rsid w:val="009204F8"/>
    <w:rsid w:val="00923C16"/>
    <w:rsid w:val="009253EF"/>
    <w:rsid w:val="009254D5"/>
    <w:rsid w:val="009265BA"/>
    <w:rsid w:val="00927335"/>
    <w:rsid w:val="00930EF7"/>
    <w:rsid w:val="009317B8"/>
    <w:rsid w:val="009318F6"/>
    <w:rsid w:val="00931A65"/>
    <w:rsid w:val="00931DD4"/>
    <w:rsid w:val="009329B9"/>
    <w:rsid w:val="0093405F"/>
    <w:rsid w:val="00934284"/>
    <w:rsid w:val="0093548B"/>
    <w:rsid w:val="00935A67"/>
    <w:rsid w:val="00935DFD"/>
    <w:rsid w:val="00936091"/>
    <w:rsid w:val="009360D6"/>
    <w:rsid w:val="0093626F"/>
    <w:rsid w:val="009370CA"/>
    <w:rsid w:val="00937389"/>
    <w:rsid w:val="00941336"/>
    <w:rsid w:val="009429DD"/>
    <w:rsid w:val="00942E1C"/>
    <w:rsid w:val="00943462"/>
    <w:rsid w:val="00943673"/>
    <w:rsid w:val="009437AB"/>
    <w:rsid w:val="00944123"/>
    <w:rsid w:val="0094449D"/>
    <w:rsid w:val="00944F91"/>
    <w:rsid w:val="009455EE"/>
    <w:rsid w:val="0094574C"/>
    <w:rsid w:val="00945B64"/>
    <w:rsid w:val="00945F3D"/>
    <w:rsid w:val="009466EE"/>
    <w:rsid w:val="00946A97"/>
    <w:rsid w:val="00946AF9"/>
    <w:rsid w:val="00946FF4"/>
    <w:rsid w:val="00947936"/>
    <w:rsid w:val="00950718"/>
    <w:rsid w:val="0095227C"/>
    <w:rsid w:val="0095352F"/>
    <w:rsid w:val="009539A7"/>
    <w:rsid w:val="00953D04"/>
    <w:rsid w:val="00953D51"/>
    <w:rsid w:val="00954341"/>
    <w:rsid w:val="00954BF4"/>
    <w:rsid w:val="00954C68"/>
    <w:rsid w:val="00954DBF"/>
    <w:rsid w:val="009557B0"/>
    <w:rsid w:val="00955FCC"/>
    <w:rsid w:val="00956156"/>
    <w:rsid w:val="0095656B"/>
    <w:rsid w:val="00956DB8"/>
    <w:rsid w:val="009575E1"/>
    <w:rsid w:val="0095766D"/>
    <w:rsid w:val="0096061C"/>
    <w:rsid w:val="00960650"/>
    <w:rsid w:val="00960BC7"/>
    <w:rsid w:val="00961580"/>
    <w:rsid w:val="009632C9"/>
    <w:rsid w:val="00963CB0"/>
    <w:rsid w:val="00963D5B"/>
    <w:rsid w:val="0096408E"/>
    <w:rsid w:val="009645ED"/>
    <w:rsid w:val="00964812"/>
    <w:rsid w:val="00964963"/>
    <w:rsid w:val="00965F0B"/>
    <w:rsid w:val="00970C79"/>
    <w:rsid w:val="00970D0B"/>
    <w:rsid w:val="00971269"/>
    <w:rsid w:val="0097138E"/>
    <w:rsid w:val="009718E2"/>
    <w:rsid w:val="00971A95"/>
    <w:rsid w:val="009720ED"/>
    <w:rsid w:val="0097229C"/>
    <w:rsid w:val="0097354A"/>
    <w:rsid w:val="0097442E"/>
    <w:rsid w:val="0097474D"/>
    <w:rsid w:val="00974BEA"/>
    <w:rsid w:val="00975B44"/>
    <w:rsid w:val="0097624D"/>
    <w:rsid w:val="00976312"/>
    <w:rsid w:val="0097655B"/>
    <w:rsid w:val="0097667C"/>
    <w:rsid w:val="00977184"/>
    <w:rsid w:val="0097718F"/>
    <w:rsid w:val="0097731A"/>
    <w:rsid w:val="009802C9"/>
    <w:rsid w:val="00980DB2"/>
    <w:rsid w:val="00980FB4"/>
    <w:rsid w:val="00985864"/>
    <w:rsid w:val="00985ABF"/>
    <w:rsid w:val="00985F19"/>
    <w:rsid w:val="00986D1C"/>
    <w:rsid w:val="009874F5"/>
    <w:rsid w:val="009876F1"/>
    <w:rsid w:val="009879C3"/>
    <w:rsid w:val="00987BC8"/>
    <w:rsid w:val="00990252"/>
    <w:rsid w:val="00993055"/>
    <w:rsid w:val="00994435"/>
    <w:rsid w:val="00995D77"/>
    <w:rsid w:val="009967F2"/>
    <w:rsid w:val="00996A41"/>
    <w:rsid w:val="009970A3"/>
    <w:rsid w:val="00997170"/>
    <w:rsid w:val="00997251"/>
    <w:rsid w:val="009973DA"/>
    <w:rsid w:val="00997790"/>
    <w:rsid w:val="00997C93"/>
    <w:rsid w:val="009A2B2D"/>
    <w:rsid w:val="009A2FA8"/>
    <w:rsid w:val="009A41C6"/>
    <w:rsid w:val="009A5FD6"/>
    <w:rsid w:val="009A621B"/>
    <w:rsid w:val="009A66D0"/>
    <w:rsid w:val="009A66F1"/>
    <w:rsid w:val="009A720D"/>
    <w:rsid w:val="009A7280"/>
    <w:rsid w:val="009B01FC"/>
    <w:rsid w:val="009B0C8B"/>
    <w:rsid w:val="009B1106"/>
    <w:rsid w:val="009B1BFE"/>
    <w:rsid w:val="009B2A87"/>
    <w:rsid w:val="009B2AEA"/>
    <w:rsid w:val="009B6D32"/>
    <w:rsid w:val="009B7187"/>
    <w:rsid w:val="009B74CA"/>
    <w:rsid w:val="009C01CA"/>
    <w:rsid w:val="009C1152"/>
    <w:rsid w:val="009C1911"/>
    <w:rsid w:val="009C1DB2"/>
    <w:rsid w:val="009C1E7C"/>
    <w:rsid w:val="009C2104"/>
    <w:rsid w:val="009C229F"/>
    <w:rsid w:val="009C3195"/>
    <w:rsid w:val="009C401E"/>
    <w:rsid w:val="009C4C0E"/>
    <w:rsid w:val="009C57F6"/>
    <w:rsid w:val="009C6A74"/>
    <w:rsid w:val="009C6AE7"/>
    <w:rsid w:val="009C7EFD"/>
    <w:rsid w:val="009D05B8"/>
    <w:rsid w:val="009D0B2C"/>
    <w:rsid w:val="009D0BDF"/>
    <w:rsid w:val="009D1130"/>
    <w:rsid w:val="009D1749"/>
    <w:rsid w:val="009D233C"/>
    <w:rsid w:val="009D2522"/>
    <w:rsid w:val="009D2603"/>
    <w:rsid w:val="009D2B28"/>
    <w:rsid w:val="009D4487"/>
    <w:rsid w:val="009D4A35"/>
    <w:rsid w:val="009D5BE6"/>
    <w:rsid w:val="009D6824"/>
    <w:rsid w:val="009D7BC2"/>
    <w:rsid w:val="009E0E75"/>
    <w:rsid w:val="009E1B1A"/>
    <w:rsid w:val="009E1C66"/>
    <w:rsid w:val="009E214D"/>
    <w:rsid w:val="009E2649"/>
    <w:rsid w:val="009E3F8E"/>
    <w:rsid w:val="009E405A"/>
    <w:rsid w:val="009E40AF"/>
    <w:rsid w:val="009E4841"/>
    <w:rsid w:val="009E4E95"/>
    <w:rsid w:val="009E530D"/>
    <w:rsid w:val="009E6199"/>
    <w:rsid w:val="009E7604"/>
    <w:rsid w:val="009E7742"/>
    <w:rsid w:val="009E7BDC"/>
    <w:rsid w:val="009E7D94"/>
    <w:rsid w:val="009F03A0"/>
    <w:rsid w:val="009F0548"/>
    <w:rsid w:val="009F0ED5"/>
    <w:rsid w:val="009F148A"/>
    <w:rsid w:val="009F17C7"/>
    <w:rsid w:val="009F2962"/>
    <w:rsid w:val="009F2AB4"/>
    <w:rsid w:val="009F2E31"/>
    <w:rsid w:val="009F3384"/>
    <w:rsid w:val="009F3F1F"/>
    <w:rsid w:val="009F4FB3"/>
    <w:rsid w:val="009F4FD9"/>
    <w:rsid w:val="009F50A3"/>
    <w:rsid w:val="009F546D"/>
    <w:rsid w:val="009F5B8B"/>
    <w:rsid w:val="009F5DEE"/>
    <w:rsid w:val="009F7059"/>
    <w:rsid w:val="009F71D1"/>
    <w:rsid w:val="009F776B"/>
    <w:rsid w:val="00A00403"/>
    <w:rsid w:val="00A01EFD"/>
    <w:rsid w:val="00A03B05"/>
    <w:rsid w:val="00A04100"/>
    <w:rsid w:val="00A0471E"/>
    <w:rsid w:val="00A04A8A"/>
    <w:rsid w:val="00A06090"/>
    <w:rsid w:val="00A06718"/>
    <w:rsid w:val="00A06D57"/>
    <w:rsid w:val="00A06E9F"/>
    <w:rsid w:val="00A06EE6"/>
    <w:rsid w:val="00A075AB"/>
    <w:rsid w:val="00A106E7"/>
    <w:rsid w:val="00A10C93"/>
    <w:rsid w:val="00A11427"/>
    <w:rsid w:val="00A11B34"/>
    <w:rsid w:val="00A11EBD"/>
    <w:rsid w:val="00A12764"/>
    <w:rsid w:val="00A12789"/>
    <w:rsid w:val="00A12BA7"/>
    <w:rsid w:val="00A14834"/>
    <w:rsid w:val="00A14B24"/>
    <w:rsid w:val="00A14D6A"/>
    <w:rsid w:val="00A154C8"/>
    <w:rsid w:val="00A172A6"/>
    <w:rsid w:val="00A17945"/>
    <w:rsid w:val="00A17E83"/>
    <w:rsid w:val="00A20089"/>
    <w:rsid w:val="00A21194"/>
    <w:rsid w:val="00A21387"/>
    <w:rsid w:val="00A217ED"/>
    <w:rsid w:val="00A229C1"/>
    <w:rsid w:val="00A22D6C"/>
    <w:rsid w:val="00A23455"/>
    <w:rsid w:val="00A2380E"/>
    <w:rsid w:val="00A23BE9"/>
    <w:rsid w:val="00A2403B"/>
    <w:rsid w:val="00A240DF"/>
    <w:rsid w:val="00A243E7"/>
    <w:rsid w:val="00A24843"/>
    <w:rsid w:val="00A2536F"/>
    <w:rsid w:val="00A25CF1"/>
    <w:rsid w:val="00A263F4"/>
    <w:rsid w:val="00A26616"/>
    <w:rsid w:val="00A26AF6"/>
    <w:rsid w:val="00A27422"/>
    <w:rsid w:val="00A279A7"/>
    <w:rsid w:val="00A27E41"/>
    <w:rsid w:val="00A30BD3"/>
    <w:rsid w:val="00A30DB3"/>
    <w:rsid w:val="00A3207E"/>
    <w:rsid w:val="00A322BD"/>
    <w:rsid w:val="00A3243B"/>
    <w:rsid w:val="00A337C3"/>
    <w:rsid w:val="00A34D43"/>
    <w:rsid w:val="00A3503F"/>
    <w:rsid w:val="00A35E84"/>
    <w:rsid w:val="00A37A57"/>
    <w:rsid w:val="00A37E85"/>
    <w:rsid w:val="00A406DC"/>
    <w:rsid w:val="00A4144F"/>
    <w:rsid w:val="00A41716"/>
    <w:rsid w:val="00A4248D"/>
    <w:rsid w:val="00A45F67"/>
    <w:rsid w:val="00A45F87"/>
    <w:rsid w:val="00A4630E"/>
    <w:rsid w:val="00A4674A"/>
    <w:rsid w:val="00A46875"/>
    <w:rsid w:val="00A469E4"/>
    <w:rsid w:val="00A470EC"/>
    <w:rsid w:val="00A47D5D"/>
    <w:rsid w:val="00A50B75"/>
    <w:rsid w:val="00A51F1C"/>
    <w:rsid w:val="00A52C66"/>
    <w:rsid w:val="00A5316C"/>
    <w:rsid w:val="00A534E2"/>
    <w:rsid w:val="00A55DE0"/>
    <w:rsid w:val="00A56D43"/>
    <w:rsid w:val="00A5725B"/>
    <w:rsid w:val="00A57D42"/>
    <w:rsid w:val="00A60BBB"/>
    <w:rsid w:val="00A60C83"/>
    <w:rsid w:val="00A61199"/>
    <w:rsid w:val="00A6148E"/>
    <w:rsid w:val="00A61860"/>
    <w:rsid w:val="00A61AC1"/>
    <w:rsid w:val="00A61E63"/>
    <w:rsid w:val="00A6537B"/>
    <w:rsid w:val="00A6540C"/>
    <w:rsid w:val="00A6591E"/>
    <w:rsid w:val="00A669EF"/>
    <w:rsid w:val="00A674EA"/>
    <w:rsid w:val="00A700A0"/>
    <w:rsid w:val="00A70A7E"/>
    <w:rsid w:val="00A70B99"/>
    <w:rsid w:val="00A713D1"/>
    <w:rsid w:val="00A71599"/>
    <w:rsid w:val="00A71BDA"/>
    <w:rsid w:val="00A7315B"/>
    <w:rsid w:val="00A73365"/>
    <w:rsid w:val="00A7386C"/>
    <w:rsid w:val="00A739AD"/>
    <w:rsid w:val="00A74731"/>
    <w:rsid w:val="00A74AB5"/>
    <w:rsid w:val="00A753F5"/>
    <w:rsid w:val="00A7628C"/>
    <w:rsid w:val="00A763A9"/>
    <w:rsid w:val="00A76486"/>
    <w:rsid w:val="00A810B9"/>
    <w:rsid w:val="00A82968"/>
    <w:rsid w:val="00A83689"/>
    <w:rsid w:val="00A83ABF"/>
    <w:rsid w:val="00A84A4E"/>
    <w:rsid w:val="00A8527A"/>
    <w:rsid w:val="00A85757"/>
    <w:rsid w:val="00A85982"/>
    <w:rsid w:val="00A85CE6"/>
    <w:rsid w:val="00A862C2"/>
    <w:rsid w:val="00A864E0"/>
    <w:rsid w:val="00A865CF"/>
    <w:rsid w:val="00A866B9"/>
    <w:rsid w:val="00A86700"/>
    <w:rsid w:val="00A90136"/>
    <w:rsid w:val="00A920EB"/>
    <w:rsid w:val="00A92744"/>
    <w:rsid w:val="00A93BF7"/>
    <w:rsid w:val="00A93C3C"/>
    <w:rsid w:val="00A9466E"/>
    <w:rsid w:val="00A94882"/>
    <w:rsid w:val="00A94C54"/>
    <w:rsid w:val="00A94C5E"/>
    <w:rsid w:val="00A95097"/>
    <w:rsid w:val="00A96201"/>
    <w:rsid w:val="00A96D20"/>
    <w:rsid w:val="00A972FF"/>
    <w:rsid w:val="00A97C41"/>
    <w:rsid w:val="00AA02F0"/>
    <w:rsid w:val="00AA121E"/>
    <w:rsid w:val="00AA1320"/>
    <w:rsid w:val="00AA156A"/>
    <w:rsid w:val="00AA1A4B"/>
    <w:rsid w:val="00AA22FC"/>
    <w:rsid w:val="00AA2687"/>
    <w:rsid w:val="00AA2D44"/>
    <w:rsid w:val="00AA30BE"/>
    <w:rsid w:val="00AA42C4"/>
    <w:rsid w:val="00AA599A"/>
    <w:rsid w:val="00AA5B98"/>
    <w:rsid w:val="00AA652E"/>
    <w:rsid w:val="00AA6A15"/>
    <w:rsid w:val="00AA6D84"/>
    <w:rsid w:val="00AA74A3"/>
    <w:rsid w:val="00AA7A2C"/>
    <w:rsid w:val="00AA7D0E"/>
    <w:rsid w:val="00AB14F0"/>
    <w:rsid w:val="00AB1509"/>
    <w:rsid w:val="00AB197C"/>
    <w:rsid w:val="00AB1B1A"/>
    <w:rsid w:val="00AB2560"/>
    <w:rsid w:val="00AB3CA3"/>
    <w:rsid w:val="00AB4931"/>
    <w:rsid w:val="00AB51C9"/>
    <w:rsid w:val="00AB59B1"/>
    <w:rsid w:val="00AB6661"/>
    <w:rsid w:val="00AB6C3A"/>
    <w:rsid w:val="00AB6FF9"/>
    <w:rsid w:val="00AB7300"/>
    <w:rsid w:val="00AB7344"/>
    <w:rsid w:val="00AC1C4F"/>
    <w:rsid w:val="00AC1D33"/>
    <w:rsid w:val="00AC256D"/>
    <w:rsid w:val="00AC2EAA"/>
    <w:rsid w:val="00AC31E4"/>
    <w:rsid w:val="00AC352F"/>
    <w:rsid w:val="00AC3687"/>
    <w:rsid w:val="00AC382A"/>
    <w:rsid w:val="00AC383A"/>
    <w:rsid w:val="00AC3C9E"/>
    <w:rsid w:val="00AC427B"/>
    <w:rsid w:val="00AC44DD"/>
    <w:rsid w:val="00AC4BDA"/>
    <w:rsid w:val="00AC5425"/>
    <w:rsid w:val="00AC6E7E"/>
    <w:rsid w:val="00AC72A3"/>
    <w:rsid w:val="00AD1F38"/>
    <w:rsid w:val="00AD21E7"/>
    <w:rsid w:val="00AD247D"/>
    <w:rsid w:val="00AD299D"/>
    <w:rsid w:val="00AD2B30"/>
    <w:rsid w:val="00AD3BEA"/>
    <w:rsid w:val="00AD3CC4"/>
    <w:rsid w:val="00AD444F"/>
    <w:rsid w:val="00AD5E69"/>
    <w:rsid w:val="00AD60D1"/>
    <w:rsid w:val="00AD6644"/>
    <w:rsid w:val="00AD6B26"/>
    <w:rsid w:val="00AD7AA1"/>
    <w:rsid w:val="00AE093D"/>
    <w:rsid w:val="00AE1304"/>
    <w:rsid w:val="00AE163A"/>
    <w:rsid w:val="00AE2CFB"/>
    <w:rsid w:val="00AE3B03"/>
    <w:rsid w:val="00AE3F90"/>
    <w:rsid w:val="00AE4B7C"/>
    <w:rsid w:val="00AE5A8A"/>
    <w:rsid w:val="00AE5B71"/>
    <w:rsid w:val="00AE66FE"/>
    <w:rsid w:val="00AE6D9B"/>
    <w:rsid w:val="00AF0718"/>
    <w:rsid w:val="00AF1532"/>
    <w:rsid w:val="00AF15CE"/>
    <w:rsid w:val="00AF1E4D"/>
    <w:rsid w:val="00AF1F64"/>
    <w:rsid w:val="00AF2305"/>
    <w:rsid w:val="00AF28D8"/>
    <w:rsid w:val="00AF2A93"/>
    <w:rsid w:val="00AF3248"/>
    <w:rsid w:val="00AF4106"/>
    <w:rsid w:val="00AF46AA"/>
    <w:rsid w:val="00AF4EFD"/>
    <w:rsid w:val="00AF5104"/>
    <w:rsid w:val="00AF5686"/>
    <w:rsid w:val="00AF5D98"/>
    <w:rsid w:val="00AF5E1A"/>
    <w:rsid w:val="00AF6FFF"/>
    <w:rsid w:val="00AF73C0"/>
    <w:rsid w:val="00AF7AB8"/>
    <w:rsid w:val="00B00260"/>
    <w:rsid w:val="00B01472"/>
    <w:rsid w:val="00B01FF4"/>
    <w:rsid w:val="00B02185"/>
    <w:rsid w:val="00B027D4"/>
    <w:rsid w:val="00B028E3"/>
    <w:rsid w:val="00B03531"/>
    <w:rsid w:val="00B0368C"/>
    <w:rsid w:val="00B03A57"/>
    <w:rsid w:val="00B03F37"/>
    <w:rsid w:val="00B04119"/>
    <w:rsid w:val="00B041F9"/>
    <w:rsid w:val="00B04218"/>
    <w:rsid w:val="00B0434A"/>
    <w:rsid w:val="00B04BEA"/>
    <w:rsid w:val="00B05F8B"/>
    <w:rsid w:val="00B05FCB"/>
    <w:rsid w:val="00B0667D"/>
    <w:rsid w:val="00B07392"/>
    <w:rsid w:val="00B07AD1"/>
    <w:rsid w:val="00B07EC3"/>
    <w:rsid w:val="00B07FBE"/>
    <w:rsid w:val="00B105E2"/>
    <w:rsid w:val="00B11FF2"/>
    <w:rsid w:val="00B1222F"/>
    <w:rsid w:val="00B1234A"/>
    <w:rsid w:val="00B13044"/>
    <w:rsid w:val="00B1304B"/>
    <w:rsid w:val="00B1580F"/>
    <w:rsid w:val="00B16AB8"/>
    <w:rsid w:val="00B16D28"/>
    <w:rsid w:val="00B16DC0"/>
    <w:rsid w:val="00B210F8"/>
    <w:rsid w:val="00B21550"/>
    <w:rsid w:val="00B21719"/>
    <w:rsid w:val="00B218D0"/>
    <w:rsid w:val="00B2222C"/>
    <w:rsid w:val="00B22E4B"/>
    <w:rsid w:val="00B24276"/>
    <w:rsid w:val="00B24E00"/>
    <w:rsid w:val="00B25ECD"/>
    <w:rsid w:val="00B25F87"/>
    <w:rsid w:val="00B27F56"/>
    <w:rsid w:val="00B30668"/>
    <w:rsid w:val="00B3090E"/>
    <w:rsid w:val="00B310B6"/>
    <w:rsid w:val="00B313FE"/>
    <w:rsid w:val="00B31EE5"/>
    <w:rsid w:val="00B31F19"/>
    <w:rsid w:val="00B32FE1"/>
    <w:rsid w:val="00B3313B"/>
    <w:rsid w:val="00B33654"/>
    <w:rsid w:val="00B36B5F"/>
    <w:rsid w:val="00B36F88"/>
    <w:rsid w:val="00B400A9"/>
    <w:rsid w:val="00B408D6"/>
    <w:rsid w:val="00B41DBC"/>
    <w:rsid w:val="00B43126"/>
    <w:rsid w:val="00B432B1"/>
    <w:rsid w:val="00B43440"/>
    <w:rsid w:val="00B439D9"/>
    <w:rsid w:val="00B447CE"/>
    <w:rsid w:val="00B448E8"/>
    <w:rsid w:val="00B44F72"/>
    <w:rsid w:val="00B4523B"/>
    <w:rsid w:val="00B45244"/>
    <w:rsid w:val="00B45451"/>
    <w:rsid w:val="00B462F2"/>
    <w:rsid w:val="00B46A53"/>
    <w:rsid w:val="00B47419"/>
    <w:rsid w:val="00B50A47"/>
    <w:rsid w:val="00B50BFA"/>
    <w:rsid w:val="00B51073"/>
    <w:rsid w:val="00B52577"/>
    <w:rsid w:val="00B5275C"/>
    <w:rsid w:val="00B52CBF"/>
    <w:rsid w:val="00B53B49"/>
    <w:rsid w:val="00B53C0C"/>
    <w:rsid w:val="00B54748"/>
    <w:rsid w:val="00B548FA"/>
    <w:rsid w:val="00B54C84"/>
    <w:rsid w:val="00B55801"/>
    <w:rsid w:val="00B55F0E"/>
    <w:rsid w:val="00B565BD"/>
    <w:rsid w:val="00B56661"/>
    <w:rsid w:val="00B56FF3"/>
    <w:rsid w:val="00B5706A"/>
    <w:rsid w:val="00B57327"/>
    <w:rsid w:val="00B57EA9"/>
    <w:rsid w:val="00B60720"/>
    <w:rsid w:val="00B61522"/>
    <w:rsid w:val="00B61C7A"/>
    <w:rsid w:val="00B62C5C"/>
    <w:rsid w:val="00B641F8"/>
    <w:rsid w:val="00B642EC"/>
    <w:rsid w:val="00B65801"/>
    <w:rsid w:val="00B65BC1"/>
    <w:rsid w:val="00B65BFC"/>
    <w:rsid w:val="00B666D6"/>
    <w:rsid w:val="00B66A37"/>
    <w:rsid w:val="00B66E39"/>
    <w:rsid w:val="00B67D4F"/>
    <w:rsid w:val="00B7299A"/>
    <w:rsid w:val="00B72B06"/>
    <w:rsid w:val="00B7385A"/>
    <w:rsid w:val="00B73CF7"/>
    <w:rsid w:val="00B7478F"/>
    <w:rsid w:val="00B75206"/>
    <w:rsid w:val="00B75593"/>
    <w:rsid w:val="00B755E7"/>
    <w:rsid w:val="00B756A2"/>
    <w:rsid w:val="00B761EB"/>
    <w:rsid w:val="00B76512"/>
    <w:rsid w:val="00B7662E"/>
    <w:rsid w:val="00B778F0"/>
    <w:rsid w:val="00B80719"/>
    <w:rsid w:val="00B84C8C"/>
    <w:rsid w:val="00B851F3"/>
    <w:rsid w:val="00B852EA"/>
    <w:rsid w:val="00B8596E"/>
    <w:rsid w:val="00B85E07"/>
    <w:rsid w:val="00B86217"/>
    <w:rsid w:val="00B87AC8"/>
    <w:rsid w:val="00B87AEB"/>
    <w:rsid w:val="00B90D3E"/>
    <w:rsid w:val="00B91006"/>
    <w:rsid w:val="00B92597"/>
    <w:rsid w:val="00B930F9"/>
    <w:rsid w:val="00B93702"/>
    <w:rsid w:val="00B93EA5"/>
    <w:rsid w:val="00B94E61"/>
    <w:rsid w:val="00B956FA"/>
    <w:rsid w:val="00B9602C"/>
    <w:rsid w:val="00BA06E3"/>
    <w:rsid w:val="00BA0C2C"/>
    <w:rsid w:val="00BA148A"/>
    <w:rsid w:val="00BA23BA"/>
    <w:rsid w:val="00BA24A5"/>
    <w:rsid w:val="00BA32CF"/>
    <w:rsid w:val="00BA35EF"/>
    <w:rsid w:val="00BA4257"/>
    <w:rsid w:val="00BA49FA"/>
    <w:rsid w:val="00BA726E"/>
    <w:rsid w:val="00BB019B"/>
    <w:rsid w:val="00BB0DDF"/>
    <w:rsid w:val="00BB121A"/>
    <w:rsid w:val="00BB1303"/>
    <w:rsid w:val="00BB179B"/>
    <w:rsid w:val="00BB2080"/>
    <w:rsid w:val="00BB2793"/>
    <w:rsid w:val="00BB2939"/>
    <w:rsid w:val="00BB2EAF"/>
    <w:rsid w:val="00BB3FE5"/>
    <w:rsid w:val="00BB4F6C"/>
    <w:rsid w:val="00BB6570"/>
    <w:rsid w:val="00BB65D0"/>
    <w:rsid w:val="00BB7103"/>
    <w:rsid w:val="00BB781E"/>
    <w:rsid w:val="00BB7D74"/>
    <w:rsid w:val="00BC1770"/>
    <w:rsid w:val="00BC21EE"/>
    <w:rsid w:val="00BC2ACB"/>
    <w:rsid w:val="00BC33DE"/>
    <w:rsid w:val="00BC3479"/>
    <w:rsid w:val="00BC35C5"/>
    <w:rsid w:val="00BC3D02"/>
    <w:rsid w:val="00BC4506"/>
    <w:rsid w:val="00BC5234"/>
    <w:rsid w:val="00BC5695"/>
    <w:rsid w:val="00BC658F"/>
    <w:rsid w:val="00BD1415"/>
    <w:rsid w:val="00BD1AED"/>
    <w:rsid w:val="00BD2774"/>
    <w:rsid w:val="00BD2E44"/>
    <w:rsid w:val="00BD2F1C"/>
    <w:rsid w:val="00BD4653"/>
    <w:rsid w:val="00BD6DC5"/>
    <w:rsid w:val="00BD6E91"/>
    <w:rsid w:val="00BD706F"/>
    <w:rsid w:val="00BD7A09"/>
    <w:rsid w:val="00BD7AC7"/>
    <w:rsid w:val="00BD7B64"/>
    <w:rsid w:val="00BE0049"/>
    <w:rsid w:val="00BE0979"/>
    <w:rsid w:val="00BE09A2"/>
    <w:rsid w:val="00BE0AA5"/>
    <w:rsid w:val="00BE0B68"/>
    <w:rsid w:val="00BE1520"/>
    <w:rsid w:val="00BE175A"/>
    <w:rsid w:val="00BE1CC8"/>
    <w:rsid w:val="00BE1F0A"/>
    <w:rsid w:val="00BE2134"/>
    <w:rsid w:val="00BE2499"/>
    <w:rsid w:val="00BE3970"/>
    <w:rsid w:val="00BE3F41"/>
    <w:rsid w:val="00BE4943"/>
    <w:rsid w:val="00BE63A0"/>
    <w:rsid w:val="00BE65EF"/>
    <w:rsid w:val="00BE7A0D"/>
    <w:rsid w:val="00BE7D06"/>
    <w:rsid w:val="00BF0271"/>
    <w:rsid w:val="00BF06A7"/>
    <w:rsid w:val="00BF0BED"/>
    <w:rsid w:val="00BF11BA"/>
    <w:rsid w:val="00BF1F13"/>
    <w:rsid w:val="00BF1F47"/>
    <w:rsid w:val="00BF2403"/>
    <w:rsid w:val="00BF2696"/>
    <w:rsid w:val="00BF2A61"/>
    <w:rsid w:val="00BF343E"/>
    <w:rsid w:val="00BF34EC"/>
    <w:rsid w:val="00BF3F32"/>
    <w:rsid w:val="00BF3FEC"/>
    <w:rsid w:val="00BF49D3"/>
    <w:rsid w:val="00BF49EA"/>
    <w:rsid w:val="00BF4E3B"/>
    <w:rsid w:val="00BF50AF"/>
    <w:rsid w:val="00BF5102"/>
    <w:rsid w:val="00BF5C6F"/>
    <w:rsid w:val="00BF5E81"/>
    <w:rsid w:val="00BF65CA"/>
    <w:rsid w:val="00BF79B2"/>
    <w:rsid w:val="00BF7CCD"/>
    <w:rsid w:val="00C00494"/>
    <w:rsid w:val="00C007D4"/>
    <w:rsid w:val="00C008D8"/>
    <w:rsid w:val="00C01123"/>
    <w:rsid w:val="00C0119A"/>
    <w:rsid w:val="00C0137B"/>
    <w:rsid w:val="00C0169B"/>
    <w:rsid w:val="00C01EC7"/>
    <w:rsid w:val="00C026C0"/>
    <w:rsid w:val="00C027A9"/>
    <w:rsid w:val="00C0330D"/>
    <w:rsid w:val="00C03EA6"/>
    <w:rsid w:val="00C04BB5"/>
    <w:rsid w:val="00C04C47"/>
    <w:rsid w:val="00C06F9F"/>
    <w:rsid w:val="00C07039"/>
    <w:rsid w:val="00C07A54"/>
    <w:rsid w:val="00C07BCC"/>
    <w:rsid w:val="00C10D5C"/>
    <w:rsid w:val="00C111B6"/>
    <w:rsid w:val="00C114E5"/>
    <w:rsid w:val="00C11B27"/>
    <w:rsid w:val="00C123A2"/>
    <w:rsid w:val="00C126CD"/>
    <w:rsid w:val="00C127B1"/>
    <w:rsid w:val="00C129D7"/>
    <w:rsid w:val="00C12C69"/>
    <w:rsid w:val="00C1419F"/>
    <w:rsid w:val="00C1533E"/>
    <w:rsid w:val="00C15709"/>
    <w:rsid w:val="00C15781"/>
    <w:rsid w:val="00C15A9E"/>
    <w:rsid w:val="00C15BD6"/>
    <w:rsid w:val="00C15E87"/>
    <w:rsid w:val="00C16305"/>
    <w:rsid w:val="00C1692B"/>
    <w:rsid w:val="00C16E1A"/>
    <w:rsid w:val="00C175D0"/>
    <w:rsid w:val="00C2096B"/>
    <w:rsid w:val="00C21A8D"/>
    <w:rsid w:val="00C21E2C"/>
    <w:rsid w:val="00C21EEB"/>
    <w:rsid w:val="00C2291C"/>
    <w:rsid w:val="00C22D8B"/>
    <w:rsid w:val="00C231CA"/>
    <w:rsid w:val="00C24793"/>
    <w:rsid w:val="00C24DB0"/>
    <w:rsid w:val="00C24EBF"/>
    <w:rsid w:val="00C25A55"/>
    <w:rsid w:val="00C263F1"/>
    <w:rsid w:val="00C26FE9"/>
    <w:rsid w:val="00C279AD"/>
    <w:rsid w:val="00C27AF0"/>
    <w:rsid w:val="00C305EA"/>
    <w:rsid w:val="00C30DD6"/>
    <w:rsid w:val="00C30F69"/>
    <w:rsid w:val="00C31498"/>
    <w:rsid w:val="00C333CC"/>
    <w:rsid w:val="00C33619"/>
    <w:rsid w:val="00C3426D"/>
    <w:rsid w:val="00C3493C"/>
    <w:rsid w:val="00C34B05"/>
    <w:rsid w:val="00C35159"/>
    <w:rsid w:val="00C409CD"/>
    <w:rsid w:val="00C41053"/>
    <w:rsid w:val="00C41C33"/>
    <w:rsid w:val="00C421BC"/>
    <w:rsid w:val="00C421CE"/>
    <w:rsid w:val="00C4336B"/>
    <w:rsid w:val="00C43931"/>
    <w:rsid w:val="00C43A53"/>
    <w:rsid w:val="00C445BC"/>
    <w:rsid w:val="00C44ADA"/>
    <w:rsid w:val="00C44CEA"/>
    <w:rsid w:val="00C46060"/>
    <w:rsid w:val="00C4767D"/>
    <w:rsid w:val="00C50455"/>
    <w:rsid w:val="00C506C5"/>
    <w:rsid w:val="00C50A3E"/>
    <w:rsid w:val="00C50D1B"/>
    <w:rsid w:val="00C523C6"/>
    <w:rsid w:val="00C53065"/>
    <w:rsid w:val="00C5323D"/>
    <w:rsid w:val="00C53A4A"/>
    <w:rsid w:val="00C55875"/>
    <w:rsid w:val="00C56989"/>
    <w:rsid w:val="00C57771"/>
    <w:rsid w:val="00C605B8"/>
    <w:rsid w:val="00C60863"/>
    <w:rsid w:val="00C60A39"/>
    <w:rsid w:val="00C61F90"/>
    <w:rsid w:val="00C622E9"/>
    <w:rsid w:val="00C6285D"/>
    <w:rsid w:val="00C62A5E"/>
    <w:rsid w:val="00C62B1A"/>
    <w:rsid w:val="00C62CF2"/>
    <w:rsid w:val="00C62D5E"/>
    <w:rsid w:val="00C639E3"/>
    <w:rsid w:val="00C63A36"/>
    <w:rsid w:val="00C64802"/>
    <w:rsid w:val="00C65162"/>
    <w:rsid w:val="00C65678"/>
    <w:rsid w:val="00C65F2D"/>
    <w:rsid w:val="00C6662D"/>
    <w:rsid w:val="00C6686C"/>
    <w:rsid w:val="00C66FEE"/>
    <w:rsid w:val="00C6730F"/>
    <w:rsid w:val="00C67910"/>
    <w:rsid w:val="00C67952"/>
    <w:rsid w:val="00C67A6F"/>
    <w:rsid w:val="00C700B0"/>
    <w:rsid w:val="00C70563"/>
    <w:rsid w:val="00C70681"/>
    <w:rsid w:val="00C71292"/>
    <w:rsid w:val="00C71484"/>
    <w:rsid w:val="00C716CA"/>
    <w:rsid w:val="00C7268A"/>
    <w:rsid w:val="00C735A7"/>
    <w:rsid w:val="00C736EF"/>
    <w:rsid w:val="00C73A8C"/>
    <w:rsid w:val="00C7429E"/>
    <w:rsid w:val="00C74D86"/>
    <w:rsid w:val="00C74E4C"/>
    <w:rsid w:val="00C74E54"/>
    <w:rsid w:val="00C74ED3"/>
    <w:rsid w:val="00C75489"/>
    <w:rsid w:val="00C759A2"/>
    <w:rsid w:val="00C75D66"/>
    <w:rsid w:val="00C75E29"/>
    <w:rsid w:val="00C75F3A"/>
    <w:rsid w:val="00C76032"/>
    <w:rsid w:val="00C76442"/>
    <w:rsid w:val="00C76E0C"/>
    <w:rsid w:val="00C7703F"/>
    <w:rsid w:val="00C8061F"/>
    <w:rsid w:val="00C82B25"/>
    <w:rsid w:val="00C836CC"/>
    <w:rsid w:val="00C837C0"/>
    <w:rsid w:val="00C8431F"/>
    <w:rsid w:val="00C845EB"/>
    <w:rsid w:val="00C847E1"/>
    <w:rsid w:val="00C84A8F"/>
    <w:rsid w:val="00C84C1A"/>
    <w:rsid w:val="00C85BF7"/>
    <w:rsid w:val="00C86FF4"/>
    <w:rsid w:val="00C87307"/>
    <w:rsid w:val="00C87486"/>
    <w:rsid w:val="00C87C43"/>
    <w:rsid w:val="00C90563"/>
    <w:rsid w:val="00C9059E"/>
    <w:rsid w:val="00C90738"/>
    <w:rsid w:val="00C921E1"/>
    <w:rsid w:val="00C92E9A"/>
    <w:rsid w:val="00C935D8"/>
    <w:rsid w:val="00C93AEA"/>
    <w:rsid w:val="00C93DFD"/>
    <w:rsid w:val="00C94FED"/>
    <w:rsid w:val="00C9581F"/>
    <w:rsid w:val="00C96E22"/>
    <w:rsid w:val="00C97013"/>
    <w:rsid w:val="00C9718A"/>
    <w:rsid w:val="00CA096A"/>
    <w:rsid w:val="00CA1FDD"/>
    <w:rsid w:val="00CA410E"/>
    <w:rsid w:val="00CA447E"/>
    <w:rsid w:val="00CA4514"/>
    <w:rsid w:val="00CA48A5"/>
    <w:rsid w:val="00CA4D31"/>
    <w:rsid w:val="00CA7DEA"/>
    <w:rsid w:val="00CA7FA0"/>
    <w:rsid w:val="00CB0001"/>
    <w:rsid w:val="00CB0CDF"/>
    <w:rsid w:val="00CB1AA8"/>
    <w:rsid w:val="00CB1D01"/>
    <w:rsid w:val="00CB1D2D"/>
    <w:rsid w:val="00CB1E85"/>
    <w:rsid w:val="00CB29B2"/>
    <w:rsid w:val="00CB29D4"/>
    <w:rsid w:val="00CB44E3"/>
    <w:rsid w:val="00CB4A6E"/>
    <w:rsid w:val="00CB601C"/>
    <w:rsid w:val="00CB6336"/>
    <w:rsid w:val="00CB640D"/>
    <w:rsid w:val="00CB6C5A"/>
    <w:rsid w:val="00CC0606"/>
    <w:rsid w:val="00CC0A2D"/>
    <w:rsid w:val="00CC2B50"/>
    <w:rsid w:val="00CC37A3"/>
    <w:rsid w:val="00CC3DA8"/>
    <w:rsid w:val="00CC5219"/>
    <w:rsid w:val="00CC590C"/>
    <w:rsid w:val="00CC5DA1"/>
    <w:rsid w:val="00CC5DBF"/>
    <w:rsid w:val="00CC5DEA"/>
    <w:rsid w:val="00CC609D"/>
    <w:rsid w:val="00CC6178"/>
    <w:rsid w:val="00CC67FF"/>
    <w:rsid w:val="00CC6F16"/>
    <w:rsid w:val="00CC7008"/>
    <w:rsid w:val="00CD016C"/>
    <w:rsid w:val="00CD0298"/>
    <w:rsid w:val="00CD11A8"/>
    <w:rsid w:val="00CD1424"/>
    <w:rsid w:val="00CD1478"/>
    <w:rsid w:val="00CD1D0D"/>
    <w:rsid w:val="00CD2645"/>
    <w:rsid w:val="00CD2865"/>
    <w:rsid w:val="00CD2DEC"/>
    <w:rsid w:val="00CD2E74"/>
    <w:rsid w:val="00CD2E79"/>
    <w:rsid w:val="00CD33D5"/>
    <w:rsid w:val="00CD411E"/>
    <w:rsid w:val="00CD4143"/>
    <w:rsid w:val="00CD4374"/>
    <w:rsid w:val="00CD4A6E"/>
    <w:rsid w:val="00CD5839"/>
    <w:rsid w:val="00CD7107"/>
    <w:rsid w:val="00CE10BD"/>
    <w:rsid w:val="00CE14FD"/>
    <w:rsid w:val="00CE257B"/>
    <w:rsid w:val="00CE2CE7"/>
    <w:rsid w:val="00CE2DE0"/>
    <w:rsid w:val="00CE3098"/>
    <w:rsid w:val="00CE32F8"/>
    <w:rsid w:val="00CE49BA"/>
    <w:rsid w:val="00CE555A"/>
    <w:rsid w:val="00CE584E"/>
    <w:rsid w:val="00CE63FD"/>
    <w:rsid w:val="00CE667B"/>
    <w:rsid w:val="00CE69A4"/>
    <w:rsid w:val="00CE6B22"/>
    <w:rsid w:val="00CE6E25"/>
    <w:rsid w:val="00CE6EDF"/>
    <w:rsid w:val="00CE6F43"/>
    <w:rsid w:val="00CE7F13"/>
    <w:rsid w:val="00CF13E3"/>
    <w:rsid w:val="00CF1871"/>
    <w:rsid w:val="00CF1AA9"/>
    <w:rsid w:val="00CF1CCD"/>
    <w:rsid w:val="00CF23E1"/>
    <w:rsid w:val="00CF244C"/>
    <w:rsid w:val="00CF2A88"/>
    <w:rsid w:val="00CF2DCF"/>
    <w:rsid w:val="00CF309C"/>
    <w:rsid w:val="00CF3FB2"/>
    <w:rsid w:val="00CF52D6"/>
    <w:rsid w:val="00CF53C2"/>
    <w:rsid w:val="00CF58C4"/>
    <w:rsid w:val="00CF6414"/>
    <w:rsid w:val="00CF6720"/>
    <w:rsid w:val="00CF69DE"/>
    <w:rsid w:val="00CF6CBB"/>
    <w:rsid w:val="00CF77D6"/>
    <w:rsid w:val="00D000E1"/>
    <w:rsid w:val="00D0011E"/>
    <w:rsid w:val="00D004BE"/>
    <w:rsid w:val="00D00DBC"/>
    <w:rsid w:val="00D012F7"/>
    <w:rsid w:val="00D017BA"/>
    <w:rsid w:val="00D01B4C"/>
    <w:rsid w:val="00D033D3"/>
    <w:rsid w:val="00D03474"/>
    <w:rsid w:val="00D03586"/>
    <w:rsid w:val="00D04484"/>
    <w:rsid w:val="00D044D4"/>
    <w:rsid w:val="00D04607"/>
    <w:rsid w:val="00D05726"/>
    <w:rsid w:val="00D06998"/>
    <w:rsid w:val="00D075C6"/>
    <w:rsid w:val="00D07B08"/>
    <w:rsid w:val="00D07F1F"/>
    <w:rsid w:val="00D07F2D"/>
    <w:rsid w:val="00D07F3E"/>
    <w:rsid w:val="00D11F48"/>
    <w:rsid w:val="00D128E1"/>
    <w:rsid w:val="00D12DD4"/>
    <w:rsid w:val="00D1312D"/>
    <w:rsid w:val="00D131C2"/>
    <w:rsid w:val="00D14553"/>
    <w:rsid w:val="00D14FB9"/>
    <w:rsid w:val="00D1551F"/>
    <w:rsid w:val="00D157C8"/>
    <w:rsid w:val="00D16EBE"/>
    <w:rsid w:val="00D16EFF"/>
    <w:rsid w:val="00D1780B"/>
    <w:rsid w:val="00D20016"/>
    <w:rsid w:val="00D20179"/>
    <w:rsid w:val="00D20BC2"/>
    <w:rsid w:val="00D20DDB"/>
    <w:rsid w:val="00D213E9"/>
    <w:rsid w:val="00D22168"/>
    <w:rsid w:val="00D227C7"/>
    <w:rsid w:val="00D249A7"/>
    <w:rsid w:val="00D25A97"/>
    <w:rsid w:val="00D25C14"/>
    <w:rsid w:val="00D25D07"/>
    <w:rsid w:val="00D26E3A"/>
    <w:rsid w:val="00D27081"/>
    <w:rsid w:val="00D27408"/>
    <w:rsid w:val="00D27A86"/>
    <w:rsid w:val="00D303E0"/>
    <w:rsid w:val="00D3049A"/>
    <w:rsid w:val="00D3057F"/>
    <w:rsid w:val="00D30769"/>
    <w:rsid w:val="00D30E72"/>
    <w:rsid w:val="00D31417"/>
    <w:rsid w:val="00D31C42"/>
    <w:rsid w:val="00D327C0"/>
    <w:rsid w:val="00D3411C"/>
    <w:rsid w:val="00D34765"/>
    <w:rsid w:val="00D34827"/>
    <w:rsid w:val="00D35C52"/>
    <w:rsid w:val="00D35FC8"/>
    <w:rsid w:val="00D36922"/>
    <w:rsid w:val="00D377DF"/>
    <w:rsid w:val="00D37E57"/>
    <w:rsid w:val="00D40254"/>
    <w:rsid w:val="00D40862"/>
    <w:rsid w:val="00D40D77"/>
    <w:rsid w:val="00D41D84"/>
    <w:rsid w:val="00D42283"/>
    <w:rsid w:val="00D4336D"/>
    <w:rsid w:val="00D442B4"/>
    <w:rsid w:val="00D45507"/>
    <w:rsid w:val="00D46107"/>
    <w:rsid w:val="00D46190"/>
    <w:rsid w:val="00D46359"/>
    <w:rsid w:val="00D46364"/>
    <w:rsid w:val="00D50854"/>
    <w:rsid w:val="00D50E5F"/>
    <w:rsid w:val="00D51479"/>
    <w:rsid w:val="00D51E1B"/>
    <w:rsid w:val="00D51F40"/>
    <w:rsid w:val="00D5292C"/>
    <w:rsid w:val="00D553E7"/>
    <w:rsid w:val="00D55FD1"/>
    <w:rsid w:val="00D56627"/>
    <w:rsid w:val="00D574A1"/>
    <w:rsid w:val="00D57AB3"/>
    <w:rsid w:val="00D57CA5"/>
    <w:rsid w:val="00D60DAA"/>
    <w:rsid w:val="00D61996"/>
    <w:rsid w:val="00D61CD9"/>
    <w:rsid w:val="00D62012"/>
    <w:rsid w:val="00D63D53"/>
    <w:rsid w:val="00D6468D"/>
    <w:rsid w:val="00D66653"/>
    <w:rsid w:val="00D66B0B"/>
    <w:rsid w:val="00D70792"/>
    <w:rsid w:val="00D7106E"/>
    <w:rsid w:val="00D71ED7"/>
    <w:rsid w:val="00D72181"/>
    <w:rsid w:val="00D72445"/>
    <w:rsid w:val="00D72465"/>
    <w:rsid w:val="00D72A93"/>
    <w:rsid w:val="00D72C2C"/>
    <w:rsid w:val="00D7396F"/>
    <w:rsid w:val="00D73E08"/>
    <w:rsid w:val="00D76145"/>
    <w:rsid w:val="00D7655C"/>
    <w:rsid w:val="00D76637"/>
    <w:rsid w:val="00D7690A"/>
    <w:rsid w:val="00D778A5"/>
    <w:rsid w:val="00D80433"/>
    <w:rsid w:val="00D80980"/>
    <w:rsid w:val="00D80CEC"/>
    <w:rsid w:val="00D81781"/>
    <w:rsid w:val="00D81F25"/>
    <w:rsid w:val="00D81FC2"/>
    <w:rsid w:val="00D82763"/>
    <w:rsid w:val="00D82849"/>
    <w:rsid w:val="00D82B50"/>
    <w:rsid w:val="00D82FCE"/>
    <w:rsid w:val="00D831A6"/>
    <w:rsid w:val="00D83B9E"/>
    <w:rsid w:val="00D842CB"/>
    <w:rsid w:val="00D84AC4"/>
    <w:rsid w:val="00D861FB"/>
    <w:rsid w:val="00D86C92"/>
    <w:rsid w:val="00D905D9"/>
    <w:rsid w:val="00D9076D"/>
    <w:rsid w:val="00D90D17"/>
    <w:rsid w:val="00D91DE4"/>
    <w:rsid w:val="00D92A4E"/>
    <w:rsid w:val="00D92ECB"/>
    <w:rsid w:val="00D93CA8"/>
    <w:rsid w:val="00D943F7"/>
    <w:rsid w:val="00D94688"/>
    <w:rsid w:val="00D94931"/>
    <w:rsid w:val="00D9556D"/>
    <w:rsid w:val="00D956B6"/>
    <w:rsid w:val="00D95B0C"/>
    <w:rsid w:val="00DA0D8F"/>
    <w:rsid w:val="00DA10DE"/>
    <w:rsid w:val="00DA1CF1"/>
    <w:rsid w:val="00DA2A5F"/>
    <w:rsid w:val="00DA348C"/>
    <w:rsid w:val="00DA4017"/>
    <w:rsid w:val="00DA449A"/>
    <w:rsid w:val="00DA4BCD"/>
    <w:rsid w:val="00DA4C3F"/>
    <w:rsid w:val="00DA4CA7"/>
    <w:rsid w:val="00DA4FAE"/>
    <w:rsid w:val="00DA57BF"/>
    <w:rsid w:val="00DA59E1"/>
    <w:rsid w:val="00DA72DC"/>
    <w:rsid w:val="00DB038D"/>
    <w:rsid w:val="00DB0916"/>
    <w:rsid w:val="00DB09EC"/>
    <w:rsid w:val="00DB2F62"/>
    <w:rsid w:val="00DB3274"/>
    <w:rsid w:val="00DB3E04"/>
    <w:rsid w:val="00DB4A23"/>
    <w:rsid w:val="00DB4ABC"/>
    <w:rsid w:val="00DB567C"/>
    <w:rsid w:val="00DB5743"/>
    <w:rsid w:val="00DB59F0"/>
    <w:rsid w:val="00DB5C76"/>
    <w:rsid w:val="00DB69B3"/>
    <w:rsid w:val="00DC00FE"/>
    <w:rsid w:val="00DC01DA"/>
    <w:rsid w:val="00DC0500"/>
    <w:rsid w:val="00DC0EA4"/>
    <w:rsid w:val="00DC1EEB"/>
    <w:rsid w:val="00DC25F2"/>
    <w:rsid w:val="00DC2A9C"/>
    <w:rsid w:val="00DC39D5"/>
    <w:rsid w:val="00DC416C"/>
    <w:rsid w:val="00DC41B7"/>
    <w:rsid w:val="00DC4207"/>
    <w:rsid w:val="00DC43D2"/>
    <w:rsid w:val="00DC62ED"/>
    <w:rsid w:val="00DC7B5F"/>
    <w:rsid w:val="00DD1297"/>
    <w:rsid w:val="00DD1854"/>
    <w:rsid w:val="00DD2C37"/>
    <w:rsid w:val="00DD6C68"/>
    <w:rsid w:val="00DD7325"/>
    <w:rsid w:val="00DE02AE"/>
    <w:rsid w:val="00DE1B32"/>
    <w:rsid w:val="00DE339E"/>
    <w:rsid w:val="00DE3C61"/>
    <w:rsid w:val="00DE6150"/>
    <w:rsid w:val="00DE6233"/>
    <w:rsid w:val="00DE7144"/>
    <w:rsid w:val="00DE75B9"/>
    <w:rsid w:val="00DE7F35"/>
    <w:rsid w:val="00DF07AD"/>
    <w:rsid w:val="00DF19CA"/>
    <w:rsid w:val="00DF20CC"/>
    <w:rsid w:val="00DF21FD"/>
    <w:rsid w:val="00DF2436"/>
    <w:rsid w:val="00DF267B"/>
    <w:rsid w:val="00DF43D8"/>
    <w:rsid w:val="00DF48A5"/>
    <w:rsid w:val="00DF58E8"/>
    <w:rsid w:val="00DF6E31"/>
    <w:rsid w:val="00E007B2"/>
    <w:rsid w:val="00E02707"/>
    <w:rsid w:val="00E03136"/>
    <w:rsid w:val="00E05530"/>
    <w:rsid w:val="00E05818"/>
    <w:rsid w:val="00E05BD8"/>
    <w:rsid w:val="00E05EFE"/>
    <w:rsid w:val="00E07940"/>
    <w:rsid w:val="00E079BB"/>
    <w:rsid w:val="00E10FAB"/>
    <w:rsid w:val="00E11426"/>
    <w:rsid w:val="00E1162F"/>
    <w:rsid w:val="00E11AAA"/>
    <w:rsid w:val="00E11AB6"/>
    <w:rsid w:val="00E12674"/>
    <w:rsid w:val="00E12AC5"/>
    <w:rsid w:val="00E12D4D"/>
    <w:rsid w:val="00E12F33"/>
    <w:rsid w:val="00E1430E"/>
    <w:rsid w:val="00E14A9D"/>
    <w:rsid w:val="00E15AE0"/>
    <w:rsid w:val="00E168A4"/>
    <w:rsid w:val="00E16C50"/>
    <w:rsid w:val="00E16FAC"/>
    <w:rsid w:val="00E201E0"/>
    <w:rsid w:val="00E20AEF"/>
    <w:rsid w:val="00E216A6"/>
    <w:rsid w:val="00E2231A"/>
    <w:rsid w:val="00E237F9"/>
    <w:rsid w:val="00E2462E"/>
    <w:rsid w:val="00E25477"/>
    <w:rsid w:val="00E26BEC"/>
    <w:rsid w:val="00E2749E"/>
    <w:rsid w:val="00E27D14"/>
    <w:rsid w:val="00E30707"/>
    <w:rsid w:val="00E31BD7"/>
    <w:rsid w:val="00E3226D"/>
    <w:rsid w:val="00E332F7"/>
    <w:rsid w:val="00E333CD"/>
    <w:rsid w:val="00E333DA"/>
    <w:rsid w:val="00E336F6"/>
    <w:rsid w:val="00E337BA"/>
    <w:rsid w:val="00E33BF8"/>
    <w:rsid w:val="00E33BFF"/>
    <w:rsid w:val="00E35B18"/>
    <w:rsid w:val="00E363A3"/>
    <w:rsid w:val="00E36DD6"/>
    <w:rsid w:val="00E36E45"/>
    <w:rsid w:val="00E37A24"/>
    <w:rsid w:val="00E41430"/>
    <w:rsid w:val="00E41820"/>
    <w:rsid w:val="00E42C91"/>
    <w:rsid w:val="00E42C9B"/>
    <w:rsid w:val="00E43C33"/>
    <w:rsid w:val="00E43CCC"/>
    <w:rsid w:val="00E44509"/>
    <w:rsid w:val="00E446DD"/>
    <w:rsid w:val="00E44BC9"/>
    <w:rsid w:val="00E45400"/>
    <w:rsid w:val="00E4592F"/>
    <w:rsid w:val="00E46F33"/>
    <w:rsid w:val="00E47430"/>
    <w:rsid w:val="00E47CD7"/>
    <w:rsid w:val="00E47DD2"/>
    <w:rsid w:val="00E5073F"/>
    <w:rsid w:val="00E51BBB"/>
    <w:rsid w:val="00E523F8"/>
    <w:rsid w:val="00E52811"/>
    <w:rsid w:val="00E54D55"/>
    <w:rsid w:val="00E54F61"/>
    <w:rsid w:val="00E5617F"/>
    <w:rsid w:val="00E57478"/>
    <w:rsid w:val="00E60290"/>
    <w:rsid w:val="00E6038A"/>
    <w:rsid w:val="00E60B3D"/>
    <w:rsid w:val="00E60DE8"/>
    <w:rsid w:val="00E62BA3"/>
    <w:rsid w:val="00E6330A"/>
    <w:rsid w:val="00E63366"/>
    <w:rsid w:val="00E63AD0"/>
    <w:rsid w:val="00E63E03"/>
    <w:rsid w:val="00E642D3"/>
    <w:rsid w:val="00E64A99"/>
    <w:rsid w:val="00E64D76"/>
    <w:rsid w:val="00E66427"/>
    <w:rsid w:val="00E669B5"/>
    <w:rsid w:val="00E678C1"/>
    <w:rsid w:val="00E7197C"/>
    <w:rsid w:val="00E71DE7"/>
    <w:rsid w:val="00E72407"/>
    <w:rsid w:val="00E72D09"/>
    <w:rsid w:val="00E72FEE"/>
    <w:rsid w:val="00E7303A"/>
    <w:rsid w:val="00E756F6"/>
    <w:rsid w:val="00E75947"/>
    <w:rsid w:val="00E75C93"/>
    <w:rsid w:val="00E7775A"/>
    <w:rsid w:val="00E8105B"/>
    <w:rsid w:val="00E8178C"/>
    <w:rsid w:val="00E81C52"/>
    <w:rsid w:val="00E8251D"/>
    <w:rsid w:val="00E82A6B"/>
    <w:rsid w:val="00E82EC3"/>
    <w:rsid w:val="00E8352D"/>
    <w:rsid w:val="00E84486"/>
    <w:rsid w:val="00E84A1C"/>
    <w:rsid w:val="00E87478"/>
    <w:rsid w:val="00E877C7"/>
    <w:rsid w:val="00E87BA0"/>
    <w:rsid w:val="00E87C3E"/>
    <w:rsid w:val="00E87F29"/>
    <w:rsid w:val="00E9019A"/>
    <w:rsid w:val="00E917D3"/>
    <w:rsid w:val="00E917E1"/>
    <w:rsid w:val="00E9253B"/>
    <w:rsid w:val="00E92F00"/>
    <w:rsid w:val="00E93195"/>
    <w:rsid w:val="00E94952"/>
    <w:rsid w:val="00E94EF4"/>
    <w:rsid w:val="00E968AC"/>
    <w:rsid w:val="00E9758C"/>
    <w:rsid w:val="00E97592"/>
    <w:rsid w:val="00EA146E"/>
    <w:rsid w:val="00EA16B9"/>
    <w:rsid w:val="00EA20AA"/>
    <w:rsid w:val="00EA26FE"/>
    <w:rsid w:val="00EA3287"/>
    <w:rsid w:val="00EA35D6"/>
    <w:rsid w:val="00EA4273"/>
    <w:rsid w:val="00EA44DC"/>
    <w:rsid w:val="00EA54E4"/>
    <w:rsid w:val="00EA69DF"/>
    <w:rsid w:val="00EA69FB"/>
    <w:rsid w:val="00EB0E52"/>
    <w:rsid w:val="00EB1C6B"/>
    <w:rsid w:val="00EB590F"/>
    <w:rsid w:val="00EB5C5A"/>
    <w:rsid w:val="00EB5C70"/>
    <w:rsid w:val="00EB6720"/>
    <w:rsid w:val="00EB6B26"/>
    <w:rsid w:val="00EB7515"/>
    <w:rsid w:val="00EC1AD0"/>
    <w:rsid w:val="00EC2071"/>
    <w:rsid w:val="00EC3052"/>
    <w:rsid w:val="00EC3D68"/>
    <w:rsid w:val="00EC3F55"/>
    <w:rsid w:val="00EC531C"/>
    <w:rsid w:val="00EC5372"/>
    <w:rsid w:val="00EC537F"/>
    <w:rsid w:val="00EC710D"/>
    <w:rsid w:val="00EC756B"/>
    <w:rsid w:val="00EC770E"/>
    <w:rsid w:val="00EC7CA5"/>
    <w:rsid w:val="00ED0125"/>
    <w:rsid w:val="00ED09A2"/>
    <w:rsid w:val="00ED2451"/>
    <w:rsid w:val="00ED26AE"/>
    <w:rsid w:val="00ED28D6"/>
    <w:rsid w:val="00ED37FF"/>
    <w:rsid w:val="00ED42EB"/>
    <w:rsid w:val="00ED43F3"/>
    <w:rsid w:val="00ED5564"/>
    <w:rsid w:val="00ED5E95"/>
    <w:rsid w:val="00ED5FFB"/>
    <w:rsid w:val="00ED6D6A"/>
    <w:rsid w:val="00EE0380"/>
    <w:rsid w:val="00EE1870"/>
    <w:rsid w:val="00EE22CA"/>
    <w:rsid w:val="00EE3672"/>
    <w:rsid w:val="00EE475B"/>
    <w:rsid w:val="00EE48FB"/>
    <w:rsid w:val="00EE5277"/>
    <w:rsid w:val="00EE5B75"/>
    <w:rsid w:val="00EE5CAF"/>
    <w:rsid w:val="00EE73E2"/>
    <w:rsid w:val="00EE742C"/>
    <w:rsid w:val="00EE79C9"/>
    <w:rsid w:val="00EE7BCE"/>
    <w:rsid w:val="00EE7D26"/>
    <w:rsid w:val="00EF020E"/>
    <w:rsid w:val="00EF09BE"/>
    <w:rsid w:val="00EF09DB"/>
    <w:rsid w:val="00EF1519"/>
    <w:rsid w:val="00EF25C1"/>
    <w:rsid w:val="00EF3431"/>
    <w:rsid w:val="00EF52B3"/>
    <w:rsid w:val="00EF5446"/>
    <w:rsid w:val="00EF5C19"/>
    <w:rsid w:val="00EF6B8F"/>
    <w:rsid w:val="00EF7AF0"/>
    <w:rsid w:val="00EF7F18"/>
    <w:rsid w:val="00F0000F"/>
    <w:rsid w:val="00F0014F"/>
    <w:rsid w:val="00F00AEE"/>
    <w:rsid w:val="00F00AF7"/>
    <w:rsid w:val="00F00E48"/>
    <w:rsid w:val="00F0392F"/>
    <w:rsid w:val="00F059BF"/>
    <w:rsid w:val="00F0667E"/>
    <w:rsid w:val="00F0694E"/>
    <w:rsid w:val="00F06F09"/>
    <w:rsid w:val="00F06FEF"/>
    <w:rsid w:val="00F07694"/>
    <w:rsid w:val="00F07ED5"/>
    <w:rsid w:val="00F07F60"/>
    <w:rsid w:val="00F07F81"/>
    <w:rsid w:val="00F07FC3"/>
    <w:rsid w:val="00F110A1"/>
    <w:rsid w:val="00F129C9"/>
    <w:rsid w:val="00F1383F"/>
    <w:rsid w:val="00F13DCB"/>
    <w:rsid w:val="00F14445"/>
    <w:rsid w:val="00F1588F"/>
    <w:rsid w:val="00F1631C"/>
    <w:rsid w:val="00F165CA"/>
    <w:rsid w:val="00F16D78"/>
    <w:rsid w:val="00F17271"/>
    <w:rsid w:val="00F17319"/>
    <w:rsid w:val="00F17A39"/>
    <w:rsid w:val="00F17B4D"/>
    <w:rsid w:val="00F21290"/>
    <w:rsid w:val="00F21680"/>
    <w:rsid w:val="00F22EC7"/>
    <w:rsid w:val="00F2311A"/>
    <w:rsid w:val="00F23A1E"/>
    <w:rsid w:val="00F246F9"/>
    <w:rsid w:val="00F2481F"/>
    <w:rsid w:val="00F257A0"/>
    <w:rsid w:val="00F25A3F"/>
    <w:rsid w:val="00F25BDE"/>
    <w:rsid w:val="00F25D3A"/>
    <w:rsid w:val="00F25EA8"/>
    <w:rsid w:val="00F26136"/>
    <w:rsid w:val="00F2645E"/>
    <w:rsid w:val="00F26887"/>
    <w:rsid w:val="00F2702A"/>
    <w:rsid w:val="00F2776C"/>
    <w:rsid w:val="00F278DE"/>
    <w:rsid w:val="00F27DD4"/>
    <w:rsid w:val="00F3036E"/>
    <w:rsid w:val="00F30371"/>
    <w:rsid w:val="00F303C8"/>
    <w:rsid w:val="00F30979"/>
    <w:rsid w:val="00F3103F"/>
    <w:rsid w:val="00F310AC"/>
    <w:rsid w:val="00F3125E"/>
    <w:rsid w:val="00F32193"/>
    <w:rsid w:val="00F321E5"/>
    <w:rsid w:val="00F327C6"/>
    <w:rsid w:val="00F3286B"/>
    <w:rsid w:val="00F32911"/>
    <w:rsid w:val="00F32E6A"/>
    <w:rsid w:val="00F32F3F"/>
    <w:rsid w:val="00F334A0"/>
    <w:rsid w:val="00F3375D"/>
    <w:rsid w:val="00F3385A"/>
    <w:rsid w:val="00F33E60"/>
    <w:rsid w:val="00F340D7"/>
    <w:rsid w:val="00F34D21"/>
    <w:rsid w:val="00F35538"/>
    <w:rsid w:val="00F36148"/>
    <w:rsid w:val="00F3615F"/>
    <w:rsid w:val="00F36B8F"/>
    <w:rsid w:val="00F36E4A"/>
    <w:rsid w:val="00F3719D"/>
    <w:rsid w:val="00F37B41"/>
    <w:rsid w:val="00F37ECF"/>
    <w:rsid w:val="00F40EDA"/>
    <w:rsid w:val="00F42328"/>
    <w:rsid w:val="00F428C4"/>
    <w:rsid w:val="00F42F4D"/>
    <w:rsid w:val="00F44762"/>
    <w:rsid w:val="00F45586"/>
    <w:rsid w:val="00F455CC"/>
    <w:rsid w:val="00F4593B"/>
    <w:rsid w:val="00F45D2B"/>
    <w:rsid w:val="00F45DEF"/>
    <w:rsid w:val="00F46179"/>
    <w:rsid w:val="00F47774"/>
    <w:rsid w:val="00F47E2D"/>
    <w:rsid w:val="00F50A69"/>
    <w:rsid w:val="00F50E7F"/>
    <w:rsid w:val="00F52054"/>
    <w:rsid w:val="00F53D8B"/>
    <w:rsid w:val="00F55398"/>
    <w:rsid w:val="00F55F0B"/>
    <w:rsid w:val="00F56B0B"/>
    <w:rsid w:val="00F56DC0"/>
    <w:rsid w:val="00F576F4"/>
    <w:rsid w:val="00F60584"/>
    <w:rsid w:val="00F606BA"/>
    <w:rsid w:val="00F60906"/>
    <w:rsid w:val="00F611E4"/>
    <w:rsid w:val="00F612C8"/>
    <w:rsid w:val="00F614AB"/>
    <w:rsid w:val="00F6454E"/>
    <w:rsid w:val="00F6490D"/>
    <w:rsid w:val="00F656E6"/>
    <w:rsid w:val="00F66E57"/>
    <w:rsid w:val="00F67668"/>
    <w:rsid w:val="00F7035C"/>
    <w:rsid w:val="00F71008"/>
    <w:rsid w:val="00F71B25"/>
    <w:rsid w:val="00F71C8B"/>
    <w:rsid w:val="00F71E6B"/>
    <w:rsid w:val="00F72519"/>
    <w:rsid w:val="00F736D4"/>
    <w:rsid w:val="00F736D7"/>
    <w:rsid w:val="00F73A2C"/>
    <w:rsid w:val="00F753C2"/>
    <w:rsid w:val="00F75823"/>
    <w:rsid w:val="00F76600"/>
    <w:rsid w:val="00F76748"/>
    <w:rsid w:val="00F773AF"/>
    <w:rsid w:val="00F77F32"/>
    <w:rsid w:val="00F81198"/>
    <w:rsid w:val="00F81978"/>
    <w:rsid w:val="00F82856"/>
    <w:rsid w:val="00F830CF"/>
    <w:rsid w:val="00F832B3"/>
    <w:rsid w:val="00F837A2"/>
    <w:rsid w:val="00F84B88"/>
    <w:rsid w:val="00F85E66"/>
    <w:rsid w:val="00F876F4"/>
    <w:rsid w:val="00F87B09"/>
    <w:rsid w:val="00F87E3A"/>
    <w:rsid w:val="00F90263"/>
    <w:rsid w:val="00F9086D"/>
    <w:rsid w:val="00F90D87"/>
    <w:rsid w:val="00F913C1"/>
    <w:rsid w:val="00F91607"/>
    <w:rsid w:val="00F92D41"/>
    <w:rsid w:val="00F9379E"/>
    <w:rsid w:val="00F93A52"/>
    <w:rsid w:val="00F949B3"/>
    <w:rsid w:val="00F952D6"/>
    <w:rsid w:val="00F95431"/>
    <w:rsid w:val="00F95BBC"/>
    <w:rsid w:val="00F968FE"/>
    <w:rsid w:val="00F97212"/>
    <w:rsid w:val="00F97374"/>
    <w:rsid w:val="00F978BF"/>
    <w:rsid w:val="00FA0083"/>
    <w:rsid w:val="00FA13CC"/>
    <w:rsid w:val="00FA1B72"/>
    <w:rsid w:val="00FA2E12"/>
    <w:rsid w:val="00FA319C"/>
    <w:rsid w:val="00FA33F7"/>
    <w:rsid w:val="00FA72A2"/>
    <w:rsid w:val="00FA7B42"/>
    <w:rsid w:val="00FA7D6F"/>
    <w:rsid w:val="00FB03DD"/>
    <w:rsid w:val="00FB0B39"/>
    <w:rsid w:val="00FB0CB6"/>
    <w:rsid w:val="00FB1169"/>
    <w:rsid w:val="00FB11AB"/>
    <w:rsid w:val="00FB1415"/>
    <w:rsid w:val="00FB174C"/>
    <w:rsid w:val="00FB1838"/>
    <w:rsid w:val="00FB1927"/>
    <w:rsid w:val="00FB21A7"/>
    <w:rsid w:val="00FB37C2"/>
    <w:rsid w:val="00FB47D8"/>
    <w:rsid w:val="00FB48D4"/>
    <w:rsid w:val="00FB527C"/>
    <w:rsid w:val="00FB575E"/>
    <w:rsid w:val="00FB5916"/>
    <w:rsid w:val="00FB62C9"/>
    <w:rsid w:val="00FB65C9"/>
    <w:rsid w:val="00FB723F"/>
    <w:rsid w:val="00FB7330"/>
    <w:rsid w:val="00FB7BC4"/>
    <w:rsid w:val="00FC01B0"/>
    <w:rsid w:val="00FC0AE3"/>
    <w:rsid w:val="00FC13CF"/>
    <w:rsid w:val="00FC145F"/>
    <w:rsid w:val="00FC16EB"/>
    <w:rsid w:val="00FC1AF7"/>
    <w:rsid w:val="00FC2012"/>
    <w:rsid w:val="00FC2BCA"/>
    <w:rsid w:val="00FC3190"/>
    <w:rsid w:val="00FC33B2"/>
    <w:rsid w:val="00FC4179"/>
    <w:rsid w:val="00FC4497"/>
    <w:rsid w:val="00FC45AA"/>
    <w:rsid w:val="00FC4B68"/>
    <w:rsid w:val="00FC5892"/>
    <w:rsid w:val="00FC5E92"/>
    <w:rsid w:val="00FC77D0"/>
    <w:rsid w:val="00FC7942"/>
    <w:rsid w:val="00FC79EB"/>
    <w:rsid w:val="00FD007B"/>
    <w:rsid w:val="00FD019B"/>
    <w:rsid w:val="00FD02A1"/>
    <w:rsid w:val="00FD1BBE"/>
    <w:rsid w:val="00FD3411"/>
    <w:rsid w:val="00FD3C3B"/>
    <w:rsid w:val="00FD4137"/>
    <w:rsid w:val="00FD4250"/>
    <w:rsid w:val="00FD44AE"/>
    <w:rsid w:val="00FD4D54"/>
    <w:rsid w:val="00FD5E74"/>
    <w:rsid w:val="00FD643A"/>
    <w:rsid w:val="00FD6A30"/>
    <w:rsid w:val="00FD702B"/>
    <w:rsid w:val="00FD72D3"/>
    <w:rsid w:val="00FD7341"/>
    <w:rsid w:val="00FD7E30"/>
    <w:rsid w:val="00FE0656"/>
    <w:rsid w:val="00FE0E54"/>
    <w:rsid w:val="00FE1102"/>
    <w:rsid w:val="00FE1464"/>
    <w:rsid w:val="00FE18B4"/>
    <w:rsid w:val="00FE1C5F"/>
    <w:rsid w:val="00FE1CCF"/>
    <w:rsid w:val="00FE33B1"/>
    <w:rsid w:val="00FE3908"/>
    <w:rsid w:val="00FE4E58"/>
    <w:rsid w:val="00FE57C2"/>
    <w:rsid w:val="00FE5E55"/>
    <w:rsid w:val="00FE6318"/>
    <w:rsid w:val="00FE68A1"/>
    <w:rsid w:val="00FE70F8"/>
    <w:rsid w:val="00FF00F7"/>
    <w:rsid w:val="00FF1864"/>
    <w:rsid w:val="00FF2198"/>
    <w:rsid w:val="00FF2366"/>
    <w:rsid w:val="00FF3F53"/>
    <w:rsid w:val="00FF41BA"/>
    <w:rsid w:val="00FF4E89"/>
    <w:rsid w:val="00FF58A7"/>
    <w:rsid w:val="00FF6A11"/>
    <w:rsid w:val="00FF6F5C"/>
    <w:rsid w:val="0168C121"/>
    <w:rsid w:val="0284CB97"/>
    <w:rsid w:val="03E8D0AA"/>
    <w:rsid w:val="0498A83C"/>
    <w:rsid w:val="077F140B"/>
    <w:rsid w:val="08CD9F08"/>
    <w:rsid w:val="090B9E6D"/>
    <w:rsid w:val="09435A2C"/>
    <w:rsid w:val="0980C3C7"/>
    <w:rsid w:val="0B053E67"/>
    <w:rsid w:val="0B47614B"/>
    <w:rsid w:val="0B91304B"/>
    <w:rsid w:val="0BCF5039"/>
    <w:rsid w:val="0BFE1FF4"/>
    <w:rsid w:val="0C0FDF10"/>
    <w:rsid w:val="0C62DFE6"/>
    <w:rsid w:val="0DC6206E"/>
    <w:rsid w:val="0F1E304E"/>
    <w:rsid w:val="0F92FB08"/>
    <w:rsid w:val="0FAA4037"/>
    <w:rsid w:val="1103EAE6"/>
    <w:rsid w:val="11349E5B"/>
    <w:rsid w:val="129E60AE"/>
    <w:rsid w:val="1315374C"/>
    <w:rsid w:val="1470352F"/>
    <w:rsid w:val="14BAF62A"/>
    <w:rsid w:val="14CE84D7"/>
    <w:rsid w:val="15373F4A"/>
    <w:rsid w:val="16031669"/>
    <w:rsid w:val="161338CD"/>
    <w:rsid w:val="165EB841"/>
    <w:rsid w:val="16FC8D7A"/>
    <w:rsid w:val="170731D1"/>
    <w:rsid w:val="173B164F"/>
    <w:rsid w:val="17413913"/>
    <w:rsid w:val="17F81156"/>
    <w:rsid w:val="18D3ED4A"/>
    <w:rsid w:val="1B90F72C"/>
    <w:rsid w:val="1C421E28"/>
    <w:rsid w:val="1C599AF5"/>
    <w:rsid w:val="1D133805"/>
    <w:rsid w:val="1D3EF75D"/>
    <w:rsid w:val="1DF49281"/>
    <w:rsid w:val="1E7171B2"/>
    <w:rsid w:val="1EDD5314"/>
    <w:rsid w:val="1F5E33E2"/>
    <w:rsid w:val="1F7265F0"/>
    <w:rsid w:val="2028FF53"/>
    <w:rsid w:val="2068844C"/>
    <w:rsid w:val="20CF8582"/>
    <w:rsid w:val="210D65E1"/>
    <w:rsid w:val="2128FD82"/>
    <w:rsid w:val="22166854"/>
    <w:rsid w:val="22CD2186"/>
    <w:rsid w:val="23F764D2"/>
    <w:rsid w:val="24DF24FF"/>
    <w:rsid w:val="25310822"/>
    <w:rsid w:val="25D209F1"/>
    <w:rsid w:val="25F5F097"/>
    <w:rsid w:val="263EB037"/>
    <w:rsid w:val="264022AB"/>
    <w:rsid w:val="27D4FE43"/>
    <w:rsid w:val="29740B6A"/>
    <w:rsid w:val="2AAA7DC9"/>
    <w:rsid w:val="2B015DB9"/>
    <w:rsid w:val="2C6CB04F"/>
    <w:rsid w:val="2D66BE0D"/>
    <w:rsid w:val="2E64FB9B"/>
    <w:rsid w:val="2E65ACE0"/>
    <w:rsid w:val="2EBDFC07"/>
    <w:rsid w:val="2ED9010C"/>
    <w:rsid w:val="2EEA0493"/>
    <w:rsid w:val="2FC7F3DD"/>
    <w:rsid w:val="2FCD5CFE"/>
    <w:rsid w:val="3082804F"/>
    <w:rsid w:val="322872FD"/>
    <w:rsid w:val="34877AC8"/>
    <w:rsid w:val="349ECF99"/>
    <w:rsid w:val="3564E506"/>
    <w:rsid w:val="360C37AE"/>
    <w:rsid w:val="36640807"/>
    <w:rsid w:val="39616745"/>
    <w:rsid w:val="39DC9E39"/>
    <w:rsid w:val="39E7795D"/>
    <w:rsid w:val="39EBAE5B"/>
    <w:rsid w:val="3A7982FE"/>
    <w:rsid w:val="3BD402D7"/>
    <w:rsid w:val="3C3CD555"/>
    <w:rsid w:val="3C82E286"/>
    <w:rsid w:val="3CBCD2AC"/>
    <w:rsid w:val="3CFAC75C"/>
    <w:rsid w:val="3EA15160"/>
    <w:rsid w:val="3F17576F"/>
    <w:rsid w:val="3FC03B49"/>
    <w:rsid w:val="400D4848"/>
    <w:rsid w:val="403A7D66"/>
    <w:rsid w:val="4311E88F"/>
    <w:rsid w:val="44A43D39"/>
    <w:rsid w:val="45ADE5F3"/>
    <w:rsid w:val="476DE04A"/>
    <w:rsid w:val="47B66BF1"/>
    <w:rsid w:val="481213C7"/>
    <w:rsid w:val="48492CBA"/>
    <w:rsid w:val="49ADFD8D"/>
    <w:rsid w:val="49C5D9C2"/>
    <w:rsid w:val="4A2496F5"/>
    <w:rsid w:val="4C955810"/>
    <w:rsid w:val="4DADCD90"/>
    <w:rsid w:val="4E806E1A"/>
    <w:rsid w:val="4EFE1B51"/>
    <w:rsid w:val="505526B2"/>
    <w:rsid w:val="51A260BE"/>
    <w:rsid w:val="51D57AED"/>
    <w:rsid w:val="5201489F"/>
    <w:rsid w:val="52A92AA3"/>
    <w:rsid w:val="52B93AD3"/>
    <w:rsid w:val="52C7349E"/>
    <w:rsid w:val="53C7D677"/>
    <w:rsid w:val="560EC60B"/>
    <w:rsid w:val="56F298C8"/>
    <w:rsid w:val="571C2CDB"/>
    <w:rsid w:val="596154D4"/>
    <w:rsid w:val="59DFBABB"/>
    <w:rsid w:val="5AC44A8E"/>
    <w:rsid w:val="5B3228A3"/>
    <w:rsid w:val="5B37521F"/>
    <w:rsid w:val="5B75254E"/>
    <w:rsid w:val="5B89BF5F"/>
    <w:rsid w:val="5C161976"/>
    <w:rsid w:val="5C4B625A"/>
    <w:rsid w:val="5C8E61B1"/>
    <w:rsid w:val="5CB6A023"/>
    <w:rsid w:val="5CC324F4"/>
    <w:rsid w:val="5D5E1A05"/>
    <w:rsid w:val="5D735069"/>
    <w:rsid w:val="5D953A72"/>
    <w:rsid w:val="5E4D49DF"/>
    <w:rsid w:val="5F72164B"/>
    <w:rsid w:val="5FA78D38"/>
    <w:rsid w:val="602B95D7"/>
    <w:rsid w:val="60DAB2A6"/>
    <w:rsid w:val="62024550"/>
    <w:rsid w:val="62E9C68E"/>
    <w:rsid w:val="639596BC"/>
    <w:rsid w:val="64A77F26"/>
    <w:rsid w:val="654D47F4"/>
    <w:rsid w:val="66D76A61"/>
    <w:rsid w:val="67320793"/>
    <w:rsid w:val="68897F6A"/>
    <w:rsid w:val="689B97A0"/>
    <w:rsid w:val="69E8BB59"/>
    <w:rsid w:val="6A6EFFAC"/>
    <w:rsid w:val="6DC4A7EA"/>
    <w:rsid w:val="6E594BD5"/>
    <w:rsid w:val="6E61E4CA"/>
    <w:rsid w:val="6F360F01"/>
    <w:rsid w:val="6FB8C640"/>
    <w:rsid w:val="6FD7E192"/>
    <w:rsid w:val="707CC708"/>
    <w:rsid w:val="711A3670"/>
    <w:rsid w:val="716ED175"/>
    <w:rsid w:val="7238DC2B"/>
    <w:rsid w:val="73364A03"/>
    <w:rsid w:val="736C93FB"/>
    <w:rsid w:val="73767037"/>
    <w:rsid w:val="73923ACC"/>
    <w:rsid w:val="74958931"/>
    <w:rsid w:val="75107286"/>
    <w:rsid w:val="7523C869"/>
    <w:rsid w:val="75917AD7"/>
    <w:rsid w:val="75971A09"/>
    <w:rsid w:val="75A67909"/>
    <w:rsid w:val="763AAC3D"/>
    <w:rsid w:val="764A2E4E"/>
    <w:rsid w:val="766EED76"/>
    <w:rsid w:val="767D6DC5"/>
    <w:rsid w:val="76C724D5"/>
    <w:rsid w:val="77DD7F32"/>
    <w:rsid w:val="78821097"/>
    <w:rsid w:val="7924C175"/>
    <w:rsid w:val="79511017"/>
    <w:rsid w:val="7980EF70"/>
    <w:rsid w:val="7B216BDF"/>
    <w:rsid w:val="7BAB854F"/>
    <w:rsid w:val="7BB199CC"/>
    <w:rsid w:val="7D137B25"/>
    <w:rsid w:val="7D529F0A"/>
    <w:rsid w:val="7DD68E4D"/>
    <w:rsid w:val="7E13C341"/>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2D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3" w:semiHidden="1" w:uiPriority="99"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878"/>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43358"/>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4A1878"/>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4A1878"/>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4A1878"/>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4A1878"/>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4A1878"/>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4A1878"/>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4A1878"/>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4A1878"/>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nhideWhenUsed/>
    <w:qFormat/>
    <w:rsid w:val="004A1878"/>
    <w:pPr>
      <w:spacing w:after="260"/>
      <w:ind w:firstLine="720"/>
    </w:pPr>
    <w:rPr>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DB4ABC"/>
    <w:rPr>
      <w:rFonts w:ascii="Times New Roman" w:hAnsi="Times New Roman" w:cs="Times New Roman"/>
      <w:sz w:val="26"/>
      <w:szCs w:val="20"/>
    </w:rPr>
  </w:style>
  <w:style w:type="paragraph" w:customStyle="1" w:styleId="myTOC1">
    <w:name w:val="myTOC 1"/>
    <w:basedOn w:val="Normal"/>
    <w:next w:val="Normal"/>
    <w:rsid w:val="004A1878"/>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A1878"/>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A1878"/>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A1878"/>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A1878"/>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A1878"/>
    <w:pPr>
      <w:tabs>
        <w:tab w:val="right" w:leader="dot" w:pos="9360"/>
      </w:tabs>
      <w:ind w:left="1440"/>
    </w:pPr>
    <w:rPr>
      <w:rFonts w:eastAsia="Times New Roman"/>
      <w:szCs w:val="26"/>
    </w:rPr>
  </w:style>
  <w:style w:type="paragraph" w:customStyle="1" w:styleId="myTOC7">
    <w:name w:val="myTOC 7"/>
    <w:basedOn w:val="Normal"/>
    <w:next w:val="Normal"/>
    <w:rsid w:val="004A1878"/>
    <w:pPr>
      <w:tabs>
        <w:tab w:val="right" w:leader="dot" w:pos="9360"/>
      </w:tabs>
      <w:ind w:left="1728"/>
    </w:pPr>
    <w:rPr>
      <w:rFonts w:eastAsia="Times New Roman"/>
      <w:szCs w:val="26"/>
    </w:rPr>
  </w:style>
  <w:style w:type="paragraph" w:customStyle="1" w:styleId="myTOC8">
    <w:name w:val="myTOC 8"/>
    <w:basedOn w:val="Normal"/>
    <w:next w:val="Normal"/>
    <w:rsid w:val="004A1878"/>
    <w:pPr>
      <w:tabs>
        <w:tab w:val="right" w:leader="dot" w:pos="9360"/>
      </w:tabs>
      <w:ind w:left="2016"/>
    </w:pPr>
    <w:rPr>
      <w:rFonts w:eastAsia="Times New Roman"/>
      <w:szCs w:val="26"/>
    </w:rPr>
  </w:style>
  <w:style w:type="paragraph" w:customStyle="1" w:styleId="myTOC9">
    <w:name w:val="myTOC 9"/>
    <w:basedOn w:val="Normal"/>
    <w:next w:val="Normal"/>
    <w:rsid w:val="004A1878"/>
    <w:pPr>
      <w:tabs>
        <w:tab w:val="right" w:leader="dot" w:pos="9360"/>
      </w:tabs>
      <w:ind w:left="2304"/>
    </w:pPr>
    <w:rPr>
      <w:rFonts w:eastAsia="Times New Roman"/>
      <w:szCs w:val="26"/>
    </w:rPr>
  </w:style>
  <w:style w:type="paragraph" w:customStyle="1" w:styleId="Non-TOCStyle">
    <w:name w:val="Non-TOC Style"/>
    <w:basedOn w:val="Normal"/>
    <w:next w:val="FERCparanumber"/>
    <w:rsid w:val="00143358"/>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4A1878"/>
    <w:rPr>
      <w:rFonts w:ascii="Arial" w:hAnsi="Arial" w:cs="Arial"/>
      <w:sz w:val="20"/>
      <w:szCs w:val="18"/>
    </w:rPr>
  </w:style>
  <w:style w:type="character" w:customStyle="1" w:styleId="BalloonTextChar">
    <w:name w:val="Balloon Text Char"/>
    <w:basedOn w:val="DefaultParagraphFont"/>
    <w:link w:val="BalloonText"/>
    <w:uiPriority w:val="99"/>
    <w:semiHidden/>
    <w:rsid w:val="004A1878"/>
    <w:rPr>
      <w:rFonts w:ascii="Arial" w:hAnsi="Arial" w:cs="Arial"/>
      <w:sz w:val="20"/>
      <w:szCs w:val="18"/>
    </w:rPr>
  </w:style>
  <w:style w:type="paragraph" w:styleId="Bibliography">
    <w:name w:val="Bibliography"/>
    <w:basedOn w:val="Normal"/>
    <w:next w:val="Normal"/>
    <w:uiPriority w:val="37"/>
    <w:semiHidden/>
    <w:unhideWhenUsed/>
    <w:rsid w:val="004A1878"/>
  </w:style>
  <w:style w:type="paragraph" w:styleId="BlockText">
    <w:name w:val="Block Text"/>
    <w:basedOn w:val="Normal"/>
    <w:uiPriority w:val="99"/>
    <w:semiHidden/>
    <w:unhideWhenUsed/>
    <w:rsid w:val="004A187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4A1878"/>
    <w:pPr>
      <w:spacing w:after="240"/>
      <w:ind w:firstLine="720"/>
    </w:pPr>
  </w:style>
  <w:style w:type="character" w:customStyle="1" w:styleId="BodyTextChar">
    <w:name w:val="Body Text Char"/>
    <w:basedOn w:val="DefaultParagraphFont"/>
    <w:link w:val="BodyText"/>
    <w:uiPriority w:val="99"/>
    <w:rsid w:val="004A1878"/>
    <w:rPr>
      <w:rFonts w:ascii="Times New Roman" w:hAnsi="Times New Roman" w:cs="Times New Roman"/>
      <w:sz w:val="26"/>
    </w:rPr>
  </w:style>
  <w:style w:type="paragraph" w:styleId="BodyText2">
    <w:name w:val="Body Text 2"/>
    <w:basedOn w:val="Normal"/>
    <w:link w:val="BodyText2Char"/>
    <w:uiPriority w:val="99"/>
    <w:semiHidden/>
    <w:unhideWhenUsed/>
    <w:rsid w:val="004A1878"/>
    <w:pPr>
      <w:spacing w:after="120" w:line="480" w:lineRule="auto"/>
    </w:pPr>
  </w:style>
  <w:style w:type="character" w:customStyle="1" w:styleId="BodyText2Char">
    <w:name w:val="Body Text 2 Char"/>
    <w:basedOn w:val="DefaultParagraphFont"/>
    <w:link w:val="BodyText2"/>
    <w:uiPriority w:val="99"/>
    <w:semiHidden/>
    <w:rsid w:val="004A1878"/>
    <w:rPr>
      <w:rFonts w:ascii="Times New Roman" w:hAnsi="Times New Roman" w:cs="Times New Roman"/>
      <w:sz w:val="26"/>
    </w:rPr>
  </w:style>
  <w:style w:type="paragraph" w:styleId="BodyText3">
    <w:name w:val="Body Text 3"/>
    <w:basedOn w:val="Normal"/>
    <w:link w:val="BodyText3Char"/>
    <w:uiPriority w:val="99"/>
    <w:semiHidden/>
    <w:unhideWhenUsed/>
    <w:rsid w:val="004A1878"/>
    <w:pPr>
      <w:spacing w:after="120"/>
    </w:pPr>
    <w:rPr>
      <w:sz w:val="16"/>
      <w:szCs w:val="16"/>
    </w:rPr>
  </w:style>
  <w:style w:type="character" w:customStyle="1" w:styleId="BodyText3Char">
    <w:name w:val="Body Text 3 Char"/>
    <w:basedOn w:val="DefaultParagraphFont"/>
    <w:link w:val="BodyText3"/>
    <w:uiPriority w:val="99"/>
    <w:semiHidden/>
    <w:rsid w:val="004A1878"/>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A1878"/>
    <w:pPr>
      <w:spacing w:after="160"/>
      <w:ind w:firstLine="360"/>
    </w:pPr>
  </w:style>
  <w:style w:type="character" w:customStyle="1" w:styleId="BodyTextFirstIndentChar">
    <w:name w:val="Body Text First Indent Char"/>
    <w:basedOn w:val="BodyTextChar"/>
    <w:link w:val="BodyTextFirstIndent"/>
    <w:uiPriority w:val="99"/>
    <w:semiHidden/>
    <w:rsid w:val="004A1878"/>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A1878"/>
    <w:pPr>
      <w:spacing w:after="120"/>
      <w:ind w:left="360"/>
    </w:pPr>
  </w:style>
  <w:style w:type="character" w:customStyle="1" w:styleId="BodyTextIndentChar">
    <w:name w:val="Body Text Indent Char"/>
    <w:basedOn w:val="DefaultParagraphFont"/>
    <w:link w:val="BodyTextIndent"/>
    <w:uiPriority w:val="99"/>
    <w:semiHidden/>
    <w:rsid w:val="004A1878"/>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A1878"/>
    <w:pPr>
      <w:spacing w:after="160"/>
      <w:ind w:firstLine="360"/>
    </w:pPr>
  </w:style>
  <w:style w:type="character" w:customStyle="1" w:styleId="BodyTextFirstIndent2Char">
    <w:name w:val="Body Text First Indent 2 Char"/>
    <w:basedOn w:val="BodyTextIndentChar"/>
    <w:link w:val="BodyTextFirstIndent2"/>
    <w:uiPriority w:val="99"/>
    <w:semiHidden/>
    <w:rsid w:val="004A1878"/>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A1878"/>
    <w:pPr>
      <w:spacing w:after="120" w:line="480" w:lineRule="auto"/>
      <w:ind w:left="360"/>
    </w:pPr>
  </w:style>
  <w:style w:type="character" w:customStyle="1" w:styleId="BodyTextIndent2Char">
    <w:name w:val="Body Text Indent 2 Char"/>
    <w:basedOn w:val="DefaultParagraphFont"/>
    <w:link w:val="BodyTextIndent2"/>
    <w:uiPriority w:val="99"/>
    <w:semiHidden/>
    <w:rsid w:val="004A1878"/>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A18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1878"/>
    <w:rPr>
      <w:rFonts w:ascii="Times New Roman" w:hAnsi="Times New Roman" w:cs="Times New Roman"/>
      <w:sz w:val="16"/>
      <w:szCs w:val="16"/>
    </w:rPr>
  </w:style>
  <w:style w:type="paragraph" w:styleId="Caption">
    <w:name w:val="caption"/>
    <w:basedOn w:val="Normal"/>
    <w:next w:val="Normal"/>
    <w:uiPriority w:val="35"/>
    <w:semiHidden/>
    <w:unhideWhenUsed/>
    <w:qFormat/>
    <w:rsid w:val="004A1878"/>
    <w:pPr>
      <w:spacing w:after="200"/>
    </w:pPr>
    <w:rPr>
      <w:iCs/>
      <w:szCs w:val="18"/>
    </w:rPr>
  </w:style>
  <w:style w:type="paragraph" w:styleId="Closing">
    <w:name w:val="Closing"/>
    <w:basedOn w:val="Normal"/>
    <w:link w:val="ClosingChar"/>
    <w:uiPriority w:val="99"/>
    <w:semiHidden/>
    <w:unhideWhenUsed/>
    <w:rsid w:val="004A1878"/>
    <w:pPr>
      <w:ind w:left="4320"/>
    </w:pPr>
  </w:style>
  <w:style w:type="character" w:customStyle="1" w:styleId="ClosingChar">
    <w:name w:val="Closing Char"/>
    <w:basedOn w:val="DefaultParagraphFont"/>
    <w:link w:val="Closing"/>
    <w:uiPriority w:val="99"/>
    <w:semiHidden/>
    <w:rsid w:val="004A1878"/>
    <w:rPr>
      <w:rFonts w:ascii="Times New Roman" w:hAnsi="Times New Roman" w:cs="Times New Roman"/>
      <w:sz w:val="26"/>
    </w:rPr>
  </w:style>
  <w:style w:type="paragraph" w:styleId="CommentText">
    <w:name w:val="annotation text"/>
    <w:basedOn w:val="Normal"/>
    <w:link w:val="CommentTextChar"/>
    <w:uiPriority w:val="99"/>
    <w:unhideWhenUsed/>
    <w:rsid w:val="004A1878"/>
    <w:rPr>
      <w:rFonts w:ascii="Arial" w:hAnsi="Arial" w:cs="Arial"/>
      <w:sz w:val="20"/>
      <w:szCs w:val="20"/>
    </w:rPr>
  </w:style>
  <w:style w:type="character" w:customStyle="1" w:styleId="CommentTextChar">
    <w:name w:val="Comment Text Char"/>
    <w:basedOn w:val="DefaultParagraphFont"/>
    <w:link w:val="CommentText"/>
    <w:uiPriority w:val="99"/>
    <w:rsid w:val="004A187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A1878"/>
    <w:rPr>
      <w:b/>
      <w:bCs/>
    </w:rPr>
  </w:style>
  <w:style w:type="character" w:customStyle="1" w:styleId="CommentSubjectChar">
    <w:name w:val="Comment Subject Char"/>
    <w:basedOn w:val="CommentTextChar"/>
    <w:link w:val="CommentSubject"/>
    <w:uiPriority w:val="99"/>
    <w:semiHidden/>
    <w:rsid w:val="004A1878"/>
    <w:rPr>
      <w:rFonts w:ascii="Arial" w:hAnsi="Arial" w:cs="Arial"/>
      <w:b/>
      <w:bCs/>
      <w:sz w:val="20"/>
      <w:szCs w:val="20"/>
    </w:rPr>
  </w:style>
  <w:style w:type="paragraph" w:styleId="Date">
    <w:name w:val="Date"/>
    <w:basedOn w:val="Normal"/>
    <w:next w:val="Normal"/>
    <w:link w:val="DateChar"/>
    <w:uiPriority w:val="99"/>
    <w:semiHidden/>
    <w:unhideWhenUsed/>
    <w:rsid w:val="004A1878"/>
  </w:style>
  <w:style w:type="character" w:customStyle="1" w:styleId="DateChar">
    <w:name w:val="Date Char"/>
    <w:basedOn w:val="DefaultParagraphFont"/>
    <w:link w:val="Date"/>
    <w:uiPriority w:val="99"/>
    <w:semiHidden/>
    <w:rsid w:val="004A1878"/>
    <w:rPr>
      <w:rFonts w:ascii="Times New Roman" w:hAnsi="Times New Roman" w:cs="Times New Roman"/>
      <w:sz w:val="26"/>
    </w:rPr>
  </w:style>
  <w:style w:type="paragraph" w:styleId="DocumentMap">
    <w:name w:val="Document Map"/>
    <w:basedOn w:val="Normal"/>
    <w:link w:val="DocumentMapChar"/>
    <w:uiPriority w:val="99"/>
    <w:semiHidden/>
    <w:unhideWhenUsed/>
    <w:rsid w:val="004A187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A1878"/>
    <w:rPr>
      <w:rFonts w:ascii="Segoe UI" w:hAnsi="Segoe UI" w:cs="Segoe UI"/>
      <w:sz w:val="16"/>
      <w:szCs w:val="16"/>
    </w:rPr>
  </w:style>
  <w:style w:type="paragraph" w:styleId="E-mailSignature">
    <w:name w:val="E-mail Signature"/>
    <w:basedOn w:val="Normal"/>
    <w:link w:val="E-mailSignatureChar"/>
    <w:uiPriority w:val="99"/>
    <w:semiHidden/>
    <w:unhideWhenUsed/>
    <w:rsid w:val="004A1878"/>
  </w:style>
  <w:style w:type="character" w:customStyle="1" w:styleId="E-mailSignatureChar">
    <w:name w:val="E-mail Signature Char"/>
    <w:basedOn w:val="DefaultParagraphFont"/>
    <w:link w:val="E-mailSignature"/>
    <w:uiPriority w:val="99"/>
    <w:semiHidden/>
    <w:rsid w:val="004A1878"/>
    <w:rPr>
      <w:rFonts w:ascii="Times New Roman" w:hAnsi="Times New Roman" w:cs="Times New Roman"/>
      <w:sz w:val="26"/>
    </w:rPr>
  </w:style>
  <w:style w:type="paragraph" w:styleId="EndnoteText">
    <w:name w:val="endnote text"/>
    <w:basedOn w:val="Normal"/>
    <w:link w:val="EndnoteTextChar"/>
    <w:uiPriority w:val="99"/>
    <w:semiHidden/>
    <w:unhideWhenUsed/>
    <w:rsid w:val="004A1878"/>
    <w:rPr>
      <w:sz w:val="20"/>
      <w:szCs w:val="20"/>
    </w:rPr>
  </w:style>
  <w:style w:type="character" w:customStyle="1" w:styleId="EndnoteTextChar">
    <w:name w:val="Endnote Text Char"/>
    <w:basedOn w:val="DefaultParagraphFont"/>
    <w:link w:val="EndnoteText"/>
    <w:uiPriority w:val="99"/>
    <w:semiHidden/>
    <w:rsid w:val="004A1878"/>
    <w:rPr>
      <w:rFonts w:ascii="Times New Roman" w:hAnsi="Times New Roman" w:cs="Times New Roman"/>
      <w:sz w:val="20"/>
      <w:szCs w:val="20"/>
    </w:rPr>
  </w:style>
  <w:style w:type="paragraph" w:styleId="EnvelopeAddress">
    <w:name w:val="envelope address"/>
    <w:basedOn w:val="Normal"/>
    <w:uiPriority w:val="99"/>
    <w:semiHidden/>
    <w:unhideWhenUsed/>
    <w:rsid w:val="0014335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A1878"/>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A1878"/>
    <w:pPr>
      <w:tabs>
        <w:tab w:val="center" w:pos="4680"/>
        <w:tab w:val="right" w:pos="9360"/>
      </w:tabs>
    </w:pPr>
  </w:style>
  <w:style w:type="character" w:customStyle="1" w:styleId="FooterChar">
    <w:name w:val="Footer Char"/>
    <w:basedOn w:val="DefaultParagraphFont"/>
    <w:link w:val="Footer"/>
    <w:uiPriority w:val="99"/>
    <w:rsid w:val="004A1878"/>
    <w:rPr>
      <w:rFonts w:ascii="Times New Roman" w:hAnsi="Times New Roman" w:cs="Times New Roman"/>
      <w:sz w:val="26"/>
    </w:rPr>
  </w:style>
  <w:style w:type="paragraph" w:styleId="Header">
    <w:name w:val="header"/>
    <w:basedOn w:val="Normal"/>
    <w:link w:val="HeaderChar"/>
    <w:uiPriority w:val="99"/>
    <w:unhideWhenUsed/>
    <w:rsid w:val="004A1878"/>
    <w:pPr>
      <w:tabs>
        <w:tab w:val="center" w:pos="4680"/>
        <w:tab w:val="right" w:pos="9360"/>
      </w:tabs>
    </w:pPr>
  </w:style>
  <w:style w:type="character" w:customStyle="1" w:styleId="HeaderChar">
    <w:name w:val="Header Char"/>
    <w:basedOn w:val="DefaultParagraphFont"/>
    <w:link w:val="Header"/>
    <w:uiPriority w:val="99"/>
    <w:rsid w:val="004A1878"/>
    <w:rPr>
      <w:rFonts w:ascii="Times New Roman" w:hAnsi="Times New Roman" w:cs="Times New Roman"/>
      <w:sz w:val="26"/>
    </w:rPr>
  </w:style>
  <w:style w:type="character" w:customStyle="1" w:styleId="a">
    <w:name w:val="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name w:val="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name w:val="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name w:val="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name w:val="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name w:val="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name w:val="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name w:val="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name w:val="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A1878"/>
    <w:rPr>
      <w:i/>
      <w:iCs/>
    </w:rPr>
  </w:style>
  <w:style w:type="character" w:customStyle="1" w:styleId="HTMLAddressChar">
    <w:name w:val="HTML Address Char"/>
    <w:basedOn w:val="DefaultParagraphFont"/>
    <w:link w:val="HTMLAddress"/>
    <w:uiPriority w:val="99"/>
    <w:semiHidden/>
    <w:rsid w:val="004A1878"/>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A187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A1878"/>
    <w:rPr>
      <w:rFonts w:ascii="Consolas" w:hAnsi="Consolas" w:cs="Consolas"/>
      <w:sz w:val="20"/>
      <w:szCs w:val="20"/>
    </w:rPr>
  </w:style>
  <w:style w:type="paragraph" w:styleId="Index1">
    <w:name w:val="index 1"/>
    <w:basedOn w:val="Normal"/>
    <w:next w:val="Normal"/>
    <w:uiPriority w:val="99"/>
    <w:semiHidden/>
    <w:unhideWhenUsed/>
    <w:rsid w:val="004A1878"/>
    <w:pPr>
      <w:ind w:left="220" w:hanging="220"/>
    </w:pPr>
  </w:style>
  <w:style w:type="paragraph" w:styleId="Index2">
    <w:name w:val="index 2"/>
    <w:basedOn w:val="Normal"/>
    <w:next w:val="Normal"/>
    <w:uiPriority w:val="99"/>
    <w:semiHidden/>
    <w:unhideWhenUsed/>
    <w:rsid w:val="004A1878"/>
    <w:pPr>
      <w:ind w:left="440" w:hanging="220"/>
    </w:pPr>
  </w:style>
  <w:style w:type="paragraph" w:styleId="Index3">
    <w:name w:val="index 3"/>
    <w:basedOn w:val="Normal"/>
    <w:next w:val="Normal"/>
    <w:uiPriority w:val="99"/>
    <w:semiHidden/>
    <w:unhideWhenUsed/>
    <w:rsid w:val="004A1878"/>
    <w:pPr>
      <w:ind w:left="660" w:hanging="220"/>
    </w:pPr>
  </w:style>
  <w:style w:type="paragraph" w:styleId="Index4">
    <w:name w:val="index 4"/>
    <w:basedOn w:val="Normal"/>
    <w:next w:val="Normal"/>
    <w:uiPriority w:val="99"/>
    <w:semiHidden/>
    <w:unhideWhenUsed/>
    <w:rsid w:val="004A1878"/>
    <w:pPr>
      <w:ind w:left="880" w:hanging="220"/>
    </w:pPr>
  </w:style>
  <w:style w:type="paragraph" w:styleId="Index5">
    <w:name w:val="index 5"/>
    <w:basedOn w:val="Normal"/>
    <w:next w:val="Normal"/>
    <w:uiPriority w:val="99"/>
    <w:semiHidden/>
    <w:unhideWhenUsed/>
    <w:rsid w:val="004A1878"/>
    <w:pPr>
      <w:ind w:left="1100" w:hanging="220"/>
    </w:pPr>
  </w:style>
  <w:style w:type="paragraph" w:styleId="Index6">
    <w:name w:val="index 6"/>
    <w:basedOn w:val="Normal"/>
    <w:next w:val="Normal"/>
    <w:uiPriority w:val="99"/>
    <w:semiHidden/>
    <w:unhideWhenUsed/>
    <w:rsid w:val="004A1878"/>
    <w:pPr>
      <w:ind w:left="1320" w:hanging="220"/>
    </w:pPr>
  </w:style>
  <w:style w:type="paragraph" w:styleId="Index7">
    <w:name w:val="index 7"/>
    <w:basedOn w:val="Normal"/>
    <w:next w:val="Normal"/>
    <w:uiPriority w:val="99"/>
    <w:semiHidden/>
    <w:unhideWhenUsed/>
    <w:rsid w:val="004A1878"/>
    <w:pPr>
      <w:ind w:left="1540" w:hanging="220"/>
    </w:pPr>
  </w:style>
  <w:style w:type="paragraph" w:styleId="Index8">
    <w:name w:val="index 8"/>
    <w:basedOn w:val="Normal"/>
    <w:next w:val="Normal"/>
    <w:uiPriority w:val="99"/>
    <w:semiHidden/>
    <w:unhideWhenUsed/>
    <w:rsid w:val="004A1878"/>
    <w:pPr>
      <w:ind w:left="1760" w:hanging="220"/>
    </w:pPr>
  </w:style>
  <w:style w:type="paragraph" w:styleId="Index9">
    <w:name w:val="index 9"/>
    <w:basedOn w:val="Normal"/>
    <w:next w:val="Normal"/>
    <w:uiPriority w:val="99"/>
    <w:semiHidden/>
    <w:unhideWhenUsed/>
    <w:rsid w:val="004A1878"/>
    <w:pPr>
      <w:ind w:left="1980" w:hanging="220"/>
    </w:pPr>
  </w:style>
  <w:style w:type="paragraph" w:styleId="IndexHeading">
    <w:name w:val="index heading"/>
    <w:basedOn w:val="Normal"/>
    <w:next w:val="Index1"/>
    <w:uiPriority w:val="99"/>
    <w:semiHidden/>
    <w:unhideWhenUsed/>
    <w:rsid w:val="004A18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18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A1878"/>
    <w:rPr>
      <w:rFonts w:ascii="Times New Roman" w:hAnsi="Times New Roman" w:cs="Times New Roman"/>
      <w:i/>
      <w:iCs/>
      <w:color w:val="5B9BD5" w:themeColor="accent1"/>
      <w:sz w:val="26"/>
    </w:rPr>
  </w:style>
  <w:style w:type="paragraph" w:styleId="List">
    <w:name w:val="List"/>
    <w:basedOn w:val="Normal"/>
    <w:uiPriority w:val="99"/>
    <w:semiHidden/>
    <w:unhideWhenUsed/>
    <w:rsid w:val="004A1878"/>
    <w:pPr>
      <w:ind w:left="360" w:hanging="360"/>
      <w:contextualSpacing/>
    </w:pPr>
  </w:style>
  <w:style w:type="paragraph" w:styleId="List2">
    <w:name w:val="List 2"/>
    <w:basedOn w:val="Normal"/>
    <w:uiPriority w:val="99"/>
    <w:semiHidden/>
    <w:unhideWhenUsed/>
    <w:rsid w:val="004A1878"/>
    <w:pPr>
      <w:ind w:left="720" w:hanging="360"/>
      <w:contextualSpacing/>
    </w:pPr>
  </w:style>
  <w:style w:type="paragraph" w:styleId="List3">
    <w:name w:val="List 3"/>
    <w:basedOn w:val="Normal"/>
    <w:uiPriority w:val="99"/>
    <w:semiHidden/>
    <w:unhideWhenUsed/>
    <w:rsid w:val="004A1878"/>
    <w:pPr>
      <w:ind w:left="1080" w:hanging="360"/>
      <w:contextualSpacing/>
    </w:pPr>
  </w:style>
  <w:style w:type="paragraph" w:styleId="List4">
    <w:name w:val="List 4"/>
    <w:basedOn w:val="Normal"/>
    <w:uiPriority w:val="99"/>
    <w:semiHidden/>
    <w:unhideWhenUsed/>
    <w:rsid w:val="004A1878"/>
    <w:pPr>
      <w:ind w:left="1440" w:hanging="360"/>
      <w:contextualSpacing/>
    </w:pPr>
  </w:style>
  <w:style w:type="paragraph" w:styleId="List5">
    <w:name w:val="List 5"/>
    <w:basedOn w:val="Normal"/>
    <w:uiPriority w:val="99"/>
    <w:semiHidden/>
    <w:unhideWhenUsed/>
    <w:rsid w:val="004A1878"/>
    <w:pPr>
      <w:ind w:left="1800" w:hanging="360"/>
      <w:contextualSpacing/>
    </w:pPr>
  </w:style>
  <w:style w:type="paragraph" w:styleId="ListBullet">
    <w:name w:val="List Bullet"/>
    <w:basedOn w:val="Normal"/>
    <w:uiPriority w:val="99"/>
    <w:semiHidden/>
    <w:unhideWhenUsed/>
    <w:rsid w:val="00143358"/>
    <w:pPr>
      <w:numPr>
        <w:numId w:val="1"/>
      </w:numPr>
      <w:contextualSpacing/>
    </w:pPr>
  </w:style>
  <w:style w:type="paragraph" w:styleId="ListBullet2">
    <w:name w:val="List Bullet 2"/>
    <w:basedOn w:val="Normal"/>
    <w:uiPriority w:val="99"/>
    <w:semiHidden/>
    <w:unhideWhenUsed/>
    <w:rsid w:val="00143358"/>
    <w:pPr>
      <w:numPr>
        <w:numId w:val="2"/>
      </w:numPr>
      <w:contextualSpacing/>
    </w:pPr>
  </w:style>
  <w:style w:type="paragraph" w:styleId="ListBullet3">
    <w:name w:val="List Bullet 3"/>
    <w:basedOn w:val="Normal"/>
    <w:uiPriority w:val="99"/>
    <w:unhideWhenUsed/>
    <w:rsid w:val="00143358"/>
    <w:pPr>
      <w:numPr>
        <w:numId w:val="3"/>
      </w:numPr>
      <w:contextualSpacing/>
    </w:pPr>
  </w:style>
  <w:style w:type="paragraph" w:styleId="ListBullet4">
    <w:name w:val="List Bullet 4"/>
    <w:basedOn w:val="Normal"/>
    <w:uiPriority w:val="99"/>
    <w:semiHidden/>
    <w:unhideWhenUsed/>
    <w:rsid w:val="00143358"/>
    <w:pPr>
      <w:numPr>
        <w:numId w:val="4"/>
      </w:numPr>
      <w:contextualSpacing/>
    </w:pPr>
  </w:style>
  <w:style w:type="paragraph" w:styleId="ListBullet5">
    <w:name w:val="List Bullet 5"/>
    <w:basedOn w:val="Normal"/>
    <w:uiPriority w:val="99"/>
    <w:semiHidden/>
    <w:unhideWhenUsed/>
    <w:rsid w:val="00143358"/>
    <w:pPr>
      <w:numPr>
        <w:numId w:val="5"/>
      </w:numPr>
      <w:contextualSpacing/>
    </w:pPr>
  </w:style>
  <w:style w:type="paragraph" w:styleId="ListContinue">
    <w:name w:val="List Continue"/>
    <w:basedOn w:val="Normal"/>
    <w:uiPriority w:val="99"/>
    <w:semiHidden/>
    <w:unhideWhenUsed/>
    <w:rsid w:val="004A1878"/>
    <w:pPr>
      <w:spacing w:after="120"/>
      <w:ind w:left="360"/>
      <w:contextualSpacing/>
    </w:pPr>
  </w:style>
  <w:style w:type="paragraph" w:styleId="ListContinue2">
    <w:name w:val="List Continue 2"/>
    <w:basedOn w:val="Normal"/>
    <w:uiPriority w:val="99"/>
    <w:semiHidden/>
    <w:unhideWhenUsed/>
    <w:rsid w:val="004A1878"/>
    <w:pPr>
      <w:spacing w:after="120"/>
      <w:ind w:left="720"/>
      <w:contextualSpacing/>
    </w:pPr>
  </w:style>
  <w:style w:type="paragraph" w:styleId="ListContinue3">
    <w:name w:val="List Continue 3"/>
    <w:basedOn w:val="Normal"/>
    <w:uiPriority w:val="99"/>
    <w:semiHidden/>
    <w:unhideWhenUsed/>
    <w:rsid w:val="004A1878"/>
    <w:pPr>
      <w:spacing w:after="120"/>
      <w:ind w:left="1080"/>
      <w:contextualSpacing/>
    </w:pPr>
  </w:style>
  <w:style w:type="paragraph" w:styleId="ListContinue4">
    <w:name w:val="List Continue 4"/>
    <w:basedOn w:val="Normal"/>
    <w:uiPriority w:val="99"/>
    <w:semiHidden/>
    <w:unhideWhenUsed/>
    <w:rsid w:val="004A1878"/>
    <w:pPr>
      <w:spacing w:after="120"/>
      <w:ind w:left="1440"/>
      <w:contextualSpacing/>
    </w:pPr>
  </w:style>
  <w:style w:type="paragraph" w:styleId="ListContinue5">
    <w:name w:val="List Continue 5"/>
    <w:basedOn w:val="Normal"/>
    <w:uiPriority w:val="99"/>
    <w:semiHidden/>
    <w:unhideWhenUsed/>
    <w:rsid w:val="004A1878"/>
    <w:pPr>
      <w:spacing w:after="120"/>
      <w:ind w:left="1800"/>
      <w:contextualSpacing/>
    </w:pPr>
  </w:style>
  <w:style w:type="paragraph" w:styleId="ListNumber">
    <w:name w:val="List Number"/>
    <w:basedOn w:val="Normal"/>
    <w:uiPriority w:val="99"/>
    <w:semiHidden/>
    <w:unhideWhenUsed/>
    <w:rsid w:val="00143358"/>
    <w:pPr>
      <w:numPr>
        <w:numId w:val="6"/>
      </w:numPr>
      <w:contextualSpacing/>
    </w:pPr>
  </w:style>
  <w:style w:type="paragraph" w:styleId="ListNumber2">
    <w:name w:val="List Number 2"/>
    <w:basedOn w:val="Normal"/>
    <w:uiPriority w:val="99"/>
    <w:semiHidden/>
    <w:unhideWhenUsed/>
    <w:rsid w:val="00143358"/>
    <w:pPr>
      <w:numPr>
        <w:numId w:val="7"/>
      </w:numPr>
      <w:contextualSpacing/>
    </w:pPr>
  </w:style>
  <w:style w:type="paragraph" w:styleId="ListNumber3">
    <w:name w:val="List Number 3"/>
    <w:basedOn w:val="Normal"/>
    <w:uiPriority w:val="99"/>
    <w:unhideWhenUsed/>
    <w:rsid w:val="00143358"/>
    <w:pPr>
      <w:numPr>
        <w:numId w:val="8"/>
      </w:numPr>
      <w:contextualSpacing/>
    </w:pPr>
  </w:style>
  <w:style w:type="paragraph" w:styleId="ListNumber4">
    <w:name w:val="List Number 4"/>
    <w:basedOn w:val="Normal"/>
    <w:uiPriority w:val="99"/>
    <w:semiHidden/>
    <w:unhideWhenUsed/>
    <w:rsid w:val="00143358"/>
    <w:pPr>
      <w:numPr>
        <w:numId w:val="9"/>
      </w:numPr>
      <w:contextualSpacing/>
    </w:pPr>
  </w:style>
  <w:style w:type="paragraph" w:styleId="ListNumber5">
    <w:name w:val="List Number 5"/>
    <w:basedOn w:val="Normal"/>
    <w:uiPriority w:val="99"/>
    <w:semiHidden/>
    <w:unhideWhenUsed/>
    <w:rsid w:val="00143358"/>
    <w:pPr>
      <w:numPr>
        <w:numId w:val="10"/>
      </w:numPr>
      <w:contextualSpacing/>
    </w:pPr>
  </w:style>
  <w:style w:type="paragraph" w:styleId="ListParagraph">
    <w:name w:val="List Paragraph"/>
    <w:basedOn w:val="Normal"/>
    <w:uiPriority w:val="34"/>
    <w:qFormat/>
    <w:rsid w:val="004A1878"/>
    <w:pPr>
      <w:ind w:left="720"/>
      <w:contextualSpacing/>
    </w:pPr>
  </w:style>
  <w:style w:type="paragraph" w:styleId="Macro">
    <w:name w:val="macro"/>
    <w:link w:val="MacroTextChar"/>
    <w:uiPriority w:val="99"/>
    <w:semiHidden/>
    <w:unhideWhenUsed/>
    <w:rsid w:val="004A18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4A1878"/>
    <w:rPr>
      <w:rFonts w:ascii="Consolas" w:hAnsi="Consolas" w:cs="Consolas"/>
      <w:sz w:val="20"/>
      <w:szCs w:val="20"/>
    </w:rPr>
  </w:style>
  <w:style w:type="paragraph" w:styleId="MessageHeader">
    <w:name w:val="Message Header"/>
    <w:basedOn w:val="Normal"/>
    <w:link w:val="MessageHeaderChar"/>
    <w:uiPriority w:val="99"/>
    <w:semiHidden/>
    <w:unhideWhenUsed/>
    <w:rsid w:val="004A187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A1878"/>
    <w:rPr>
      <w:rFonts w:asciiTheme="majorHAnsi" w:eastAsiaTheme="majorEastAsia" w:hAnsiTheme="majorHAnsi" w:cstheme="majorBidi"/>
      <w:sz w:val="24"/>
      <w:szCs w:val="24"/>
      <w:shd w:val="pct20" w:color="auto" w:fill="auto"/>
    </w:rPr>
  </w:style>
  <w:style w:type="paragraph" w:styleId="NoSpacing">
    <w:name w:val="No Spacing"/>
    <w:uiPriority w:val="3"/>
    <w:qFormat/>
    <w:rsid w:val="004A1878"/>
    <w:pPr>
      <w:spacing w:after="0" w:line="240" w:lineRule="auto"/>
    </w:pPr>
  </w:style>
  <w:style w:type="paragraph" w:styleId="NormalWeb">
    <w:name w:val="Normal (Web)"/>
    <w:basedOn w:val="Normal"/>
    <w:uiPriority w:val="99"/>
    <w:unhideWhenUsed/>
    <w:rsid w:val="004A1878"/>
    <w:rPr>
      <w:sz w:val="24"/>
      <w:szCs w:val="24"/>
    </w:rPr>
  </w:style>
  <w:style w:type="paragraph" w:styleId="NormalIndent">
    <w:name w:val="Normal Indent"/>
    <w:basedOn w:val="Normal"/>
    <w:uiPriority w:val="99"/>
    <w:semiHidden/>
    <w:unhideWhenUsed/>
    <w:rsid w:val="004A1878"/>
    <w:pPr>
      <w:ind w:left="720"/>
    </w:pPr>
  </w:style>
  <w:style w:type="paragraph" w:styleId="NoteHeading">
    <w:name w:val="Note Heading"/>
    <w:basedOn w:val="Normal"/>
    <w:next w:val="Normal"/>
    <w:link w:val="NoteHeadingChar"/>
    <w:uiPriority w:val="99"/>
    <w:semiHidden/>
    <w:unhideWhenUsed/>
    <w:rsid w:val="004A1878"/>
  </w:style>
  <w:style w:type="character" w:customStyle="1" w:styleId="NoteHeadingChar">
    <w:name w:val="Note Heading Char"/>
    <w:basedOn w:val="DefaultParagraphFont"/>
    <w:link w:val="NoteHeading"/>
    <w:uiPriority w:val="99"/>
    <w:semiHidden/>
    <w:rsid w:val="004A1878"/>
    <w:rPr>
      <w:rFonts w:ascii="Times New Roman" w:hAnsi="Times New Roman" w:cs="Times New Roman"/>
      <w:sz w:val="26"/>
    </w:rPr>
  </w:style>
  <w:style w:type="paragraph" w:styleId="PlainText">
    <w:name w:val="Plain Text"/>
    <w:basedOn w:val="Normal"/>
    <w:link w:val="PlainTextChar"/>
    <w:uiPriority w:val="99"/>
    <w:semiHidden/>
    <w:unhideWhenUsed/>
    <w:rsid w:val="004A1878"/>
    <w:rPr>
      <w:rFonts w:ascii="Consolas" w:hAnsi="Consolas" w:cs="Consolas"/>
      <w:sz w:val="21"/>
      <w:szCs w:val="21"/>
    </w:rPr>
  </w:style>
  <w:style w:type="character" w:customStyle="1" w:styleId="PlainTextChar">
    <w:name w:val="Plain Text Char"/>
    <w:basedOn w:val="DefaultParagraphFont"/>
    <w:link w:val="PlainText"/>
    <w:uiPriority w:val="99"/>
    <w:semiHidden/>
    <w:rsid w:val="004A1878"/>
    <w:rPr>
      <w:rFonts w:ascii="Consolas" w:hAnsi="Consolas" w:cs="Consolas"/>
      <w:sz w:val="21"/>
      <w:szCs w:val="21"/>
    </w:rPr>
  </w:style>
  <w:style w:type="paragraph" w:styleId="Quote">
    <w:name w:val="Quote"/>
    <w:basedOn w:val="Normal"/>
    <w:next w:val="Normal"/>
    <w:link w:val="QuoteChar"/>
    <w:uiPriority w:val="29"/>
    <w:qFormat/>
    <w:rsid w:val="004A18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A1878"/>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A1878"/>
  </w:style>
  <w:style w:type="character" w:customStyle="1" w:styleId="SalutationChar">
    <w:name w:val="Salutation Char"/>
    <w:basedOn w:val="DefaultParagraphFont"/>
    <w:link w:val="Salutation"/>
    <w:uiPriority w:val="99"/>
    <w:semiHidden/>
    <w:rsid w:val="004A1878"/>
    <w:rPr>
      <w:rFonts w:ascii="Times New Roman" w:hAnsi="Times New Roman" w:cs="Times New Roman"/>
      <w:sz w:val="26"/>
    </w:rPr>
  </w:style>
  <w:style w:type="paragraph" w:styleId="Signature">
    <w:name w:val="Signature"/>
    <w:basedOn w:val="Normal"/>
    <w:link w:val="SignatureChar"/>
    <w:uiPriority w:val="99"/>
    <w:semiHidden/>
    <w:unhideWhenUsed/>
    <w:rsid w:val="004A1878"/>
    <w:pPr>
      <w:ind w:left="4320"/>
    </w:pPr>
  </w:style>
  <w:style w:type="character" w:customStyle="1" w:styleId="SignatureChar">
    <w:name w:val="Signature Char"/>
    <w:basedOn w:val="DefaultParagraphFont"/>
    <w:link w:val="Signature"/>
    <w:uiPriority w:val="99"/>
    <w:semiHidden/>
    <w:rsid w:val="004A1878"/>
    <w:rPr>
      <w:rFonts w:ascii="Times New Roman" w:hAnsi="Times New Roman" w:cs="Times New Roman"/>
      <w:sz w:val="26"/>
    </w:rPr>
  </w:style>
  <w:style w:type="paragraph" w:styleId="Subtitle">
    <w:name w:val="Subtitle"/>
    <w:basedOn w:val="Normal"/>
    <w:next w:val="Normal"/>
    <w:link w:val="SubtitleChar"/>
    <w:uiPriority w:val="11"/>
    <w:qFormat/>
    <w:rsid w:val="004A18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1878"/>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4A1878"/>
    <w:pPr>
      <w:ind w:left="220" w:hanging="220"/>
    </w:pPr>
  </w:style>
  <w:style w:type="paragraph" w:styleId="TableofFigures">
    <w:name w:val="table of figures"/>
    <w:basedOn w:val="Normal"/>
    <w:next w:val="Normal"/>
    <w:uiPriority w:val="99"/>
    <w:semiHidden/>
    <w:unhideWhenUsed/>
    <w:rsid w:val="004A1878"/>
  </w:style>
  <w:style w:type="paragraph" w:styleId="Title">
    <w:name w:val="Title"/>
    <w:basedOn w:val="Normal"/>
    <w:next w:val="Normal"/>
    <w:link w:val="TitleChar"/>
    <w:uiPriority w:val="10"/>
    <w:qFormat/>
    <w:rsid w:val="004A18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87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A1878"/>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A1878"/>
    <w:pPr>
      <w:spacing w:after="100"/>
    </w:pPr>
  </w:style>
  <w:style w:type="paragraph" w:styleId="TOC2">
    <w:name w:val="toc 2"/>
    <w:basedOn w:val="Normal"/>
    <w:next w:val="Normal"/>
    <w:uiPriority w:val="39"/>
    <w:semiHidden/>
    <w:unhideWhenUsed/>
    <w:rsid w:val="004A1878"/>
    <w:pPr>
      <w:spacing w:after="100"/>
      <w:ind w:left="220"/>
    </w:pPr>
  </w:style>
  <w:style w:type="paragraph" w:styleId="TOC3">
    <w:name w:val="toc 3"/>
    <w:basedOn w:val="Normal"/>
    <w:next w:val="Normal"/>
    <w:uiPriority w:val="39"/>
    <w:semiHidden/>
    <w:unhideWhenUsed/>
    <w:rsid w:val="004A1878"/>
    <w:pPr>
      <w:spacing w:after="100"/>
      <w:ind w:left="440"/>
    </w:pPr>
  </w:style>
  <w:style w:type="paragraph" w:styleId="TOC4">
    <w:name w:val="toc 4"/>
    <w:basedOn w:val="Normal"/>
    <w:next w:val="Normal"/>
    <w:uiPriority w:val="39"/>
    <w:semiHidden/>
    <w:unhideWhenUsed/>
    <w:rsid w:val="004A1878"/>
    <w:pPr>
      <w:spacing w:after="100"/>
      <w:ind w:left="660"/>
    </w:pPr>
  </w:style>
  <w:style w:type="paragraph" w:styleId="TOC5">
    <w:name w:val="toc 5"/>
    <w:basedOn w:val="Normal"/>
    <w:next w:val="Normal"/>
    <w:uiPriority w:val="39"/>
    <w:semiHidden/>
    <w:unhideWhenUsed/>
    <w:rsid w:val="004A1878"/>
    <w:pPr>
      <w:spacing w:after="100"/>
      <w:ind w:left="880"/>
    </w:pPr>
  </w:style>
  <w:style w:type="paragraph" w:styleId="TOC6">
    <w:name w:val="toc 6"/>
    <w:basedOn w:val="Normal"/>
    <w:next w:val="Normal"/>
    <w:uiPriority w:val="39"/>
    <w:semiHidden/>
    <w:unhideWhenUsed/>
    <w:rsid w:val="004A1878"/>
    <w:pPr>
      <w:spacing w:after="100"/>
      <w:ind w:left="1100"/>
    </w:pPr>
  </w:style>
  <w:style w:type="paragraph" w:styleId="TOC7">
    <w:name w:val="toc 7"/>
    <w:basedOn w:val="Normal"/>
    <w:next w:val="Normal"/>
    <w:uiPriority w:val="39"/>
    <w:semiHidden/>
    <w:unhideWhenUsed/>
    <w:rsid w:val="004A1878"/>
    <w:pPr>
      <w:spacing w:after="100"/>
      <w:ind w:left="1320"/>
    </w:pPr>
  </w:style>
  <w:style w:type="paragraph" w:styleId="TOC8">
    <w:name w:val="toc 8"/>
    <w:basedOn w:val="Normal"/>
    <w:next w:val="Normal"/>
    <w:uiPriority w:val="39"/>
    <w:semiHidden/>
    <w:unhideWhenUsed/>
    <w:rsid w:val="004A1878"/>
    <w:pPr>
      <w:spacing w:after="100"/>
      <w:ind w:left="1540"/>
    </w:pPr>
  </w:style>
  <w:style w:type="paragraph" w:styleId="TOC9">
    <w:name w:val="toc 9"/>
    <w:basedOn w:val="Normal"/>
    <w:next w:val="Normal"/>
    <w:uiPriority w:val="39"/>
    <w:semiHidden/>
    <w:unhideWhenUsed/>
    <w:rsid w:val="004A1878"/>
    <w:pPr>
      <w:spacing w:after="100"/>
      <w:ind w:left="1760"/>
    </w:pPr>
  </w:style>
  <w:style w:type="paragraph" w:styleId="TOCHeading">
    <w:name w:val="TOC Heading"/>
    <w:basedOn w:val="Heading1"/>
    <w:next w:val="Normal"/>
    <w:uiPriority w:val="39"/>
    <w:semiHidden/>
    <w:unhideWhenUsed/>
    <w:qFormat/>
    <w:rsid w:val="00143358"/>
    <w:pPr>
      <w:numPr>
        <w:numId w:val="0"/>
      </w:numPr>
      <w:outlineLvl w:val="9"/>
    </w:pPr>
  </w:style>
  <w:style w:type="paragraph" w:customStyle="1" w:styleId="FERCparanumber">
    <w:name w:val="FERC paranumber"/>
    <w:basedOn w:val="Normal"/>
    <w:link w:val="FERCparanumberChar"/>
    <w:qFormat/>
    <w:rsid w:val="00143358"/>
    <w:pPr>
      <w:widowControl/>
      <w:numPr>
        <w:numId w:val="16"/>
      </w:numPr>
      <w:spacing w:after="260"/>
    </w:pPr>
  </w:style>
  <w:style w:type="character" w:customStyle="1" w:styleId="FERCparanumberChar">
    <w:name w:val="FERC paranumber Char"/>
    <w:basedOn w:val="DefaultParagraphFont"/>
    <w:link w:val="FERCparanumber"/>
    <w:rsid w:val="004A1878"/>
    <w:rPr>
      <w:rFonts w:ascii="Times New Roman" w:hAnsi="Times New Roman" w:cs="Times New Roman"/>
      <w:sz w:val="26"/>
    </w:rPr>
  </w:style>
  <w:style w:type="character" w:styleId="PageNumber">
    <w:name w:val="page number"/>
    <w:basedOn w:val="DefaultParagraphFont"/>
    <w:rsid w:val="004A1878"/>
  </w:style>
  <w:style w:type="table" w:styleId="TableGrid">
    <w:name w:val="Table Grid"/>
    <w:basedOn w:val="TableNormal"/>
    <w:rsid w:val="004A187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878"/>
    <w:rPr>
      <w:color w:val="0563C1" w:themeColor="hyperlink"/>
      <w:u w:val="single"/>
    </w:rPr>
  </w:style>
  <w:style w:type="character" w:customStyle="1" w:styleId="a8">
    <w:name w:val="a8"/>
    <w:basedOn w:val="DefaultParagraphFont"/>
    <w:uiPriority w:val="9"/>
    <w:rsid w:val="00830BC7"/>
    <w:rPr>
      <w:rFonts w:ascii="Times New Roman" w:hAnsi="Times New Roman" w:eastAsiaTheme="majorEastAsia" w:cs="Times New Roman"/>
      <w:b/>
      <w:kern w:val="32"/>
      <w:sz w:val="26"/>
      <w:szCs w:val="32"/>
      <w:u w:val="single"/>
    </w:rPr>
  </w:style>
  <w:style w:type="character" w:customStyle="1" w:styleId="Heading1Char">
    <w:name w:val="Heading 1 Char"/>
    <w:basedOn w:val="DefaultParagraphFont"/>
    <w:link w:val="Heading1"/>
    <w:uiPriority w:val="9"/>
    <w:rsid w:val="004A1878"/>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4A1878"/>
    <w:rPr>
      <w:rFonts w:ascii="Times New Roman" w:hAnsi="Times New Roman" w:eastAsiaTheme="majorEastAsia" w:cs="Times New Roman"/>
      <w:b/>
      <w:kern w:val="32"/>
      <w:sz w:val="26"/>
      <w:szCs w:val="26"/>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4A1878"/>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unhideWhenUsed/>
    <w:rsid w:val="004A1878"/>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BB0DDF"/>
    <w:rPr>
      <w:color w:val="2B579A"/>
      <w:shd w:val="clear" w:color="auto" w:fill="E1DFDD"/>
    </w:rPr>
  </w:style>
  <w:style w:type="paragraph" w:customStyle="1" w:styleId="FERCNopara">
    <w:name w:val="FERC Nopara"/>
    <w:basedOn w:val="Normal"/>
    <w:uiPriority w:val="1"/>
    <w:qFormat/>
    <w:rsid w:val="004A1878"/>
    <w:pPr>
      <w:spacing w:after="260"/>
      <w:ind w:firstLine="720"/>
    </w:pPr>
  </w:style>
  <w:style w:type="character" w:styleId="UnresolvedMention">
    <w:name w:val="Unresolved Mention"/>
    <w:basedOn w:val="DefaultParagraphFont"/>
    <w:uiPriority w:val="99"/>
    <w:unhideWhenUsed/>
    <w:rsid w:val="004A1878"/>
    <w:rPr>
      <w:color w:val="605E5C"/>
      <w:shd w:val="clear" w:color="auto" w:fill="E1DFDD"/>
    </w:rPr>
  </w:style>
  <w:style w:type="paragraph" w:customStyle="1" w:styleId="paragraph">
    <w:name w:val="paragraph"/>
    <w:basedOn w:val="Normal"/>
    <w:rsid w:val="00B93EA5"/>
    <w:pPr>
      <w:widowControl/>
      <w:spacing w:before="100" w:beforeAutospacing="1" w:after="100" w:afterAutospacing="1"/>
    </w:pPr>
    <w:rPr>
      <w:rFonts w:eastAsia="Times New Roman"/>
      <w:sz w:val="24"/>
      <w:szCs w:val="24"/>
    </w:rPr>
  </w:style>
  <w:style w:type="character" w:customStyle="1" w:styleId="normaltextrun">
    <w:name w:val="normaltextrun"/>
    <w:basedOn w:val="DefaultParagraphFont"/>
    <w:rsid w:val="00B93EA5"/>
  </w:style>
  <w:style w:type="character" w:customStyle="1" w:styleId="eop">
    <w:name w:val="eop"/>
    <w:basedOn w:val="DefaultParagraphFont"/>
    <w:rsid w:val="00B93EA5"/>
  </w:style>
  <w:style w:type="character" w:customStyle="1" w:styleId="superscript">
    <w:name w:val="superscript"/>
    <w:basedOn w:val="DefaultParagraphFont"/>
    <w:rsid w:val="00B9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0745">
      <w:bodyDiv w:val="1"/>
      <w:marLeft w:val="0"/>
      <w:marRight w:val="0"/>
      <w:marTop w:val="0"/>
      <w:marBottom w:val="0"/>
      <w:divBdr>
        <w:top w:val="none" w:sz="0" w:space="0" w:color="auto"/>
        <w:left w:val="none" w:sz="0" w:space="0" w:color="auto"/>
        <w:bottom w:val="none" w:sz="0" w:space="0" w:color="auto"/>
        <w:right w:val="none" w:sz="0" w:space="0" w:color="auto"/>
      </w:divBdr>
      <w:divsChild>
        <w:div w:id="145250432">
          <w:marLeft w:val="0"/>
          <w:marRight w:val="0"/>
          <w:marTop w:val="0"/>
          <w:marBottom w:val="0"/>
          <w:divBdr>
            <w:top w:val="none" w:sz="0" w:space="0" w:color="auto"/>
            <w:left w:val="none" w:sz="0" w:space="0" w:color="auto"/>
            <w:bottom w:val="none" w:sz="0" w:space="0" w:color="auto"/>
            <w:right w:val="none" w:sz="0" w:space="0" w:color="auto"/>
          </w:divBdr>
        </w:div>
        <w:div w:id="604775837">
          <w:marLeft w:val="0"/>
          <w:marRight w:val="0"/>
          <w:marTop w:val="0"/>
          <w:marBottom w:val="0"/>
          <w:divBdr>
            <w:top w:val="none" w:sz="0" w:space="0" w:color="auto"/>
            <w:left w:val="none" w:sz="0" w:space="0" w:color="auto"/>
            <w:bottom w:val="none" w:sz="0" w:space="0" w:color="auto"/>
            <w:right w:val="none" w:sz="0" w:space="0" w:color="auto"/>
          </w:divBdr>
        </w:div>
        <w:div w:id="681202250">
          <w:marLeft w:val="0"/>
          <w:marRight w:val="0"/>
          <w:marTop w:val="0"/>
          <w:marBottom w:val="0"/>
          <w:divBdr>
            <w:top w:val="none" w:sz="0" w:space="0" w:color="auto"/>
            <w:left w:val="none" w:sz="0" w:space="0" w:color="auto"/>
            <w:bottom w:val="none" w:sz="0" w:space="0" w:color="auto"/>
            <w:right w:val="none" w:sz="0" w:space="0" w:color="auto"/>
          </w:divBdr>
        </w:div>
        <w:div w:id="830294530">
          <w:marLeft w:val="0"/>
          <w:marRight w:val="0"/>
          <w:marTop w:val="0"/>
          <w:marBottom w:val="0"/>
          <w:divBdr>
            <w:top w:val="none" w:sz="0" w:space="0" w:color="auto"/>
            <w:left w:val="none" w:sz="0" w:space="0" w:color="auto"/>
            <w:bottom w:val="none" w:sz="0" w:space="0" w:color="auto"/>
            <w:right w:val="none" w:sz="0" w:space="0" w:color="auto"/>
          </w:divBdr>
        </w:div>
        <w:div w:id="1068770656">
          <w:marLeft w:val="0"/>
          <w:marRight w:val="0"/>
          <w:marTop w:val="0"/>
          <w:marBottom w:val="0"/>
          <w:divBdr>
            <w:top w:val="none" w:sz="0" w:space="0" w:color="auto"/>
            <w:left w:val="none" w:sz="0" w:space="0" w:color="auto"/>
            <w:bottom w:val="none" w:sz="0" w:space="0" w:color="auto"/>
            <w:right w:val="none" w:sz="0" w:space="0" w:color="auto"/>
          </w:divBdr>
        </w:div>
        <w:div w:id="1086536469">
          <w:marLeft w:val="0"/>
          <w:marRight w:val="0"/>
          <w:marTop w:val="0"/>
          <w:marBottom w:val="0"/>
          <w:divBdr>
            <w:top w:val="none" w:sz="0" w:space="0" w:color="auto"/>
            <w:left w:val="none" w:sz="0" w:space="0" w:color="auto"/>
            <w:bottom w:val="none" w:sz="0" w:space="0" w:color="auto"/>
            <w:right w:val="none" w:sz="0" w:space="0" w:color="auto"/>
          </w:divBdr>
        </w:div>
        <w:div w:id="1361856463">
          <w:marLeft w:val="0"/>
          <w:marRight w:val="0"/>
          <w:marTop w:val="0"/>
          <w:marBottom w:val="0"/>
          <w:divBdr>
            <w:top w:val="none" w:sz="0" w:space="0" w:color="auto"/>
            <w:left w:val="none" w:sz="0" w:space="0" w:color="auto"/>
            <w:bottom w:val="none" w:sz="0" w:space="0" w:color="auto"/>
            <w:right w:val="none" w:sz="0" w:space="0" w:color="auto"/>
          </w:divBdr>
        </w:div>
        <w:div w:id="1501962348">
          <w:marLeft w:val="0"/>
          <w:marRight w:val="0"/>
          <w:marTop w:val="0"/>
          <w:marBottom w:val="0"/>
          <w:divBdr>
            <w:top w:val="none" w:sz="0" w:space="0" w:color="auto"/>
            <w:left w:val="none" w:sz="0" w:space="0" w:color="auto"/>
            <w:bottom w:val="none" w:sz="0" w:space="0" w:color="auto"/>
            <w:right w:val="none" w:sz="0" w:space="0" w:color="auto"/>
          </w:divBdr>
        </w:div>
        <w:div w:id="1688096267">
          <w:marLeft w:val="0"/>
          <w:marRight w:val="0"/>
          <w:marTop w:val="0"/>
          <w:marBottom w:val="0"/>
          <w:divBdr>
            <w:top w:val="none" w:sz="0" w:space="0" w:color="auto"/>
            <w:left w:val="none" w:sz="0" w:space="0" w:color="auto"/>
            <w:bottom w:val="none" w:sz="0" w:space="0" w:color="auto"/>
            <w:right w:val="none" w:sz="0" w:space="0" w:color="auto"/>
          </w:divBdr>
        </w:div>
        <w:div w:id="1713840919">
          <w:marLeft w:val="0"/>
          <w:marRight w:val="0"/>
          <w:marTop w:val="0"/>
          <w:marBottom w:val="0"/>
          <w:divBdr>
            <w:top w:val="none" w:sz="0" w:space="0" w:color="auto"/>
            <w:left w:val="none" w:sz="0" w:space="0" w:color="auto"/>
            <w:bottom w:val="none" w:sz="0" w:space="0" w:color="auto"/>
            <w:right w:val="none" w:sz="0" w:space="0" w:color="auto"/>
          </w:divBdr>
        </w:div>
        <w:div w:id="1884752162">
          <w:marLeft w:val="0"/>
          <w:marRight w:val="0"/>
          <w:marTop w:val="0"/>
          <w:marBottom w:val="0"/>
          <w:divBdr>
            <w:top w:val="none" w:sz="0" w:space="0" w:color="auto"/>
            <w:left w:val="none" w:sz="0" w:space="0" w:color="auto"/>
            <w:bottom w:val="none" w:sz="0" w:space="0" w:color="auto"/>
            <w:right w:val="none" w:sz="0" w:space="0" w:color="auto"/>
          </w:divBdr>
        </w:div>
        <w:div w:id="1958414139">
          <w:marLeft w:val="0"/>
          <w:marRight w:val="0"/>
          <w:marTop w:val="0"/>
          <w:marBottom w:val="0"/>
          <w:divBdr>
            <w:top w:val="none" w:sz="0" w:space="0" w:color="auto"/>
            <w:left w:val="none" w:sz="0" w:space="0" w:color="auto"/>
            <w:bottom w:val="none" w:sz="0" w:space="0" w:color="auto"/>
            <w:right w:val="none" w:sz="0" w:space="0" w:color="auto"/>
          </w:divBdr>
        </w:div>
        <w:div w:id="2016490779">
          <w:marLeft w:val="0"/>
          <w:marRight w:val="0"/>
          <w:marTop w:val="0"/>
          <w:marBottom w:val="0"/>
          <w:divBdr>
            <w:top w:val="none" w:sz="0" w:space="0" w:color="auto"/>
            <w:left w:val="none" w:sz="0" w:space="0" w:color="auto"/>
            <w:bottom w:val="none" w:sz="0" w:space="0" w:color="auto"/>
            <w:right w:val="none" w:sz="0" w:space="0" w:color="auto"/>
          </w:divBdr>
        </w:div>
        <w:div w:id="2086881116">
          <w:marLeft w:val="0"/>
          <w:marRight w:val="0"/>
          <w:marTop w:val="0"/>
          <w:marBottom w:val="0"/>
          <w:divBdr>
            <w:top w:val="none" w:sz="0" w:space="0" w:color="auto"/>
            <w:left w:val="none" w:sz="0" w:space="0" w:color="auto"/>
            <w:bottom w:val="none" w:sz="0" w:space="0" w:color="auto"/>
            <w:right w:val="none" w:sz="0" w:space="0" w:color="auto"/>
          </w:divBdr>
        </w:div>
      </w:divsChild>
    </w:div>
    <w:div w:id="183639742">
      <w:bodyDiv w:val="1"/>
      <w:marLeft w:val="0"/>
      <w:marRight w:val="0"/>
      <w:marTop w:val="0"/>
      <w:marBottom w:val="0"/>
      <w:divBdr>
        <w:top w:val="none" w:sz="0" w:space="0" w:color="auto"/>
        <w:left w:val="none" w:sz="0" w:space="0" w:color="auto"/>
        <w:bottom w:val="none" w:sz="0" w:space="0" w:color="auto"/>
        <w:right w:val="none" w:sz="0" w:space="0" w:color="auto"/>
      </w:divBdr>
    </w:div>
    <w:div w:id="896817712">
      <w:bodyDiv w:val="1"/>
      <w:marLeft w:val="0"/>
      <w:marRight w:val="0"/>
      <w:marTop w:val="0"/>
      <w:marBottom w:val="0"/>
      <w:divBdr>
        <w:top w:val="none" w:sz="0" w:space="0" w:color="auto"/>
        <w:left w:val="none" w:sz="0" w:space="0" w:color="auto"/>
        <w:bottom w:val="none" w:sz="0" w:space="0" w:color="auto"/>
        <w:right w:val="none" w:sz="0" w:space="0" w:color="auto"/>
      </w:divBdr>
    </w:div>
    <w:div w:id="996418858">
      <w:bodyDiv w:val="1"/>
      <w:marLeft w:val="0"/>
      <w:marRight w:val="0"/>
      <w:marTop w:val="0"/>
      <w:marBottom w:val="0"/>
      <w:divBdr>
        <w:top w:val="none" w:sz="0" w:space="0" w:color="auto"/>
        <w:left w:val="none" w:sz="0" w:space="0" w:color="auto"/>
        <w:bottom w:val="none" w:sz="0" w:space="0" w:color="auto"/>
        <w:right w:val="none" w:sz="0" w:space="0" w:color="auto"/>
      </w:divBdr>
      <w:divsChild>
        <w:div w:id="51345390">
          <w:marLeft w:val="0"/>
          <w:marRight w:val="0"/>
          <w:marTop w:val="0"/>
          <w:marBottom w:val="0"/>
          <w:divBdr>
            <w:top w:val="none" w:sz="0" w:space="0" w:color="auto"/>
            <w:left w:val="none" w:sz="0" w:space="0" w:color="auto"/>
            <w:bottom w:val="none" w:sz="0" w:space="0" w:color="auto"/>
            <w:right w:val="none" w:sz="0" w:space="0" w:color="auto"/>
          </w:divBdr>
        </w:div>
        <w:div w:id="115293890">
          <w:marLeft w:val="0"/>
          <w:marRight w:val="0"/>
          <w:marTop w:val="0"/>
          <w:marBottom w:val="0"/>
          <w:divBdr>
            <w:top w:val="none" w:sz="0" w:space="0" w:color="auto"/>
            <w:left w:val="none" w:sz="0" w:space="0" w:color="auto"/>
            <w:bottom w:val="none" w:sz="0" w:space="0" w:color="auto"/>
            <w:right w:val="none" w:sz="0" w:space="0" w:color="auto"/>
          </w:divBdr>
        </w:div>
        <w:div w:id="353923676">
          <w:marLeft w:val="0"/>
          <w:marRight w:val="0"/>
          <w:marTop w:val="0"/>
          <w:marBottom w:val="0"/>
          <w:divBdr>
            <w:top w:val="none" w:sz="0" w:space="0" w:color="auto"/>
            <w:left w:val="none" w:sz="0" w:space="0" w:color="auto"/>
            <w:bottom w:val="none" w:sz="0" w:space="0" w:color="auto"/>
            <w:right w:val="none" w:sz="0" w:space="0" w:color="auto"/>
          </w:divBdr>
        </w:div>
        <w:div w:id="373696687">
          <w:marLeft w:val="0"/>
          <w:marRight w:val="0"/>
          <w:marTop w:val="0"/>
          <w:marBottom w:val="0"/>
          <w:divBdr>
            <w:top w:val="none" w:sz="0" w:space="0" w:color="auto"/>
            <w:left w:val="none" w:sz="0" w:space="0" w:color="auto"/>
            <w:bottom w:val="none" w:sz="0" w:space="0" w:color="auto"/>
            <w:right w:val="none" w:sz="0" w:space="0" w:color="auto"/>
          </w:divBdr>
        </w:div>
        <w:div w:id="459616531">
          <w:marLeft w:val="0"/>
          <w:marRight w:val="0"/>
          <w:marTop w:val="0"/>
          <w:marBottom w:val="0"/>
          <w:divBdr>
            <w:top w:val="none" w:sz="0" w:space="0" w:color="auto"/>
            <w:left w:val="none" w:sz="0" w:space="0" w:color="auto"/>
            <w:bottom w:val="none" w:sz="0" w:space="0" w:color="auto"/>
            <w:right w:val="none" w:sz="0" w:space="0" w:color="auto"/>
          </w:divBdr>
        </w:div>
        <w:div w:id="506485924">
          <w:marLeft w:val="0"/>
          <w:marRight w:val="0"/>
          <w:marTop w:val="0"/>
          <w:marBottom w:val="0"/>
          <w:divBdr>
            <w:top w:val="none" w:sz="0" w:space="0" w:color="auto"/>
            <w:left w:val="none" w:sz="0" w:space="0" w:color="auto"/>
            <w:bottom w:val="none" w:sz="0" w:space="0" w:color="auto"/>
            <w:right w:val="none" w:sz="0" w:space="0" w:color="auto"/>
          </w:divBdr>
        </w:div>
        <w:div w:id="599988582">
          <w:marLeft w:val="0"/>
          <w:marRight w:val="0"/>
          <w:marTop w:val="0"/>
          <w:marBottom w:val="0"/>
          <w:divBdr>
            <w:top w:val="none" w:sz="0" w:space="0" w:color="auto"/>
            <w:left w:val="none" w:sz="0" w:space="0" w:color="auto"/>
            <w:bottom w:val="none" w:sz="0" w:space="0" w:color="auto"/>
            <w:right w:val="none" w:sz="0" w:space="0" w:color="auto"/>
          </w:divBdr>
        </w:div>
        <w:div w:id="694042396">
          <w:marLeft w:val="0"/>
          <w:marRight w:val="0"/>
          <w:marTop w:val="0"/>
          <w:marBottom w:val="0"/>
          <w:divBdr>
            <w:top w:val="none" w:sz="0" w:space="0" w:color="auto"/>
            <w:left w:val="none" w:sz="0" w:space="0" w:color="auto"/>
            <w:bottom w:val="none" w:sz="0" w:space="0" w:color="auto"/>
            <w:right w:val="none" w:sz="0" w:space="0" w:color="auto"/>
          </w:divBdr>
        </w:div>
        <w:div w:id="786311488">
          <w:marLeft w:val="0"/>
          <w:marRight w:val="0"/>
          <w:marTop w:val="0"/>
          <w:marBottom w:val="0"/>
          <w:divBdr>
            <w:top w:val="none" w:sz="0" w:space="0" w:color="auto"/>
            <w:left w:val="none" w:sz="0" w:space="0" w:color="auto"/>
            <w:bottom w:val="none" w:sz="0" w:space="0" w:color="auto"/>
            <w:right w:val="none" w:sz="0" w:space="0" w:color="auto"/>
          </w:divBdr>
        </w:div>
        <w:div w:id="802306140">
          <w:marLeft w:val="0"/>
          <w:marRight w:val="0"/>
          <w:marTop w:val="0"/>
          <w:marBottom w:val="0"/>
          <w:divBdr>
            <w:top w:val="none" w:sz="0" w:space="0" w:color="auto"/>
            <w:left w:val="none" w:sz="0" w:space="0" w:color="auto"/>
            <w:bottom w:val="none" w:sz="0" w:space="0" w:color="auto"/>
            <w:right w:val="none" w:sz="0" w:space="0" w:color="auto"/>
          </w:divBdr>
        </w:div>
        <w:div w:id="806044081">
          <w:marLeft w:val="0"/>
          <w:marRight w:val="0"/>
          <w:marTop w:val="0"/>
          <w:marBottom w:val="0"/>
          <w:divBdr>
            <w:top w:val="none" w:sz="0" w:space="0" w:color="auto"/>
            <w:left w:val="none" w:sz="0" w:space="0" w:color="auto"/>
            <w:bottom w:val="none" w:sz="0" w:space="0" w:color="auto"/>
            <w:right w:val="none" w:sz="0" w:space="0" w:color="auto"/>
          </w:divBdr>
        </w:div>
        <w:div w:id="1008875274">
          <w:marLeft w:val="0"/>
          <w:marRight w:val="0"/>
          <w:marTop w:val="0"/>
          <w:marBottom w:val="0"/>
          <w:divBdr>
            <w:top w:val="none" w:sz="0" w:space="0" w:color="auto"/>
            <w:left w:val="none" w:sz="0" w:space="0" w:color="auto"/>
            <w:bottom w:val="none" w:sz="0" w:space="0" w:color="auto"/>
            <w:right w:val="none" w:sz="0" w:space="0" w:color="auto"/>
          </w:divBdr>
        </w:div>
        <w:div w:id="1011687794">
          <w:marLeft w:val="0"/>
          <w:marRight w:val="0"/>
          <w:marTop w:val="0"/>
          <w:marBottom w:val="0"/>
          <w:divBdr>
            <w:top w:val="none" w:sz="0" w:space="0" w:color="auto"/>
            <w:left w:val="none" w:sz="0" w:space="0" w:color="auto"/>
            <w:bottom w:val="none" w:sz="0" w:space="0" w:color="auto"/>
            <w:right w:val="none" w:sz="0" w:space="0" w:color="auto"/>
          </w:divBdr>
          <w:divsChild>
            <w:div w:id="1792935141">
              <w:marLeft w:val="-75"/>
              <w:marRight w:val="0"/>
              <w:marTop w:val="30"/>
              <w:marBottom w:val="30"/>
              <w:divBdr>
                <w:top w:val="none" w:sz="0" w:space="0" w:color="auto"/>
                <w:left w:val="none" w:sz="0" w:space="0" w:color="auto"/>
                <w:bottom w:val="none" w:sz="0" w:space="0" w:color="auto"/>
                <w:right w:val="none" w:sz="0" w:space="0" w:color="auto"/>
              </w:divBdr>
              <w:divsChild>
                <w:div w:id="48456546">
                  <w:marLeft w:val="0"/>
                  <w:marRight w:val="0"/>
                  <w:marTop w:val="0"/>
                  <w:marBottom w:val="0"/>
                  <w:divBdr>
                    <w:top w:val="none" w:sz="0" w:space="0" w:color="auto"/>
                    <w:left w:val="none" w:sz="0" w:space="0" w:color="auto"/>
                    <w:bottom w:val="none" w:sz="0" w:space="0" w:color="auto"/>
                    <w:right w:val="none" w:sz="0" w:space="0" w:color="auto"/>
                  </w:divBdr>
                  <w:divsChild>
                    <w:div w:id="656149451">
                      <w:marLeft w:val="0"/>
                      <w:marRight w:val="0"/>
                      <w:marTop w:val="0"/>
                      <w:marBottom w:val="0"/>
                      <w:divBdr>
                        <w:top w:val="none" w:sz="0" w:space="0" w:color="auto"/>
                        <w:left w:val="none" w:sz="0" w:space="0" w:color="auto"/>
                        <w:bottom w:val="none" w:sz="0" w:space="0" w:color="auto"/>
                        <w:right w:val="none" w:sz="0" w:space="0" w:color="auto"/>
                      </w:divBdr>
                    </w:div>
                  </w:divsChild>
                </w:div>
                <w:div w:id="83572489">
                  <w:marLeft w:val="0"/>
                  <w:marRight w:val="0"/>
                  <w:marTop w:val="0"/>
                  <w:marBottom w:val="0"/>
                  <w:divBdr>
                    <w:top w:val="none" w:sz="0" w:space="0" w:color="auto"/>
                    <w:left w:val="none" w:sz="0" w:space="0" w:color="auto"/>
                    <w:bottom w:val="none" w:sz="0" w:space="0" w:color="auto"/>
                    <w:right w:val="none" w:sz="0" w:space="0" w:color="auto"/>
                  </w:divBdr>
                  <w:divsChild>
                    <w:div w:id="25637997">
                      <w:marLeft w:val="0"/>
                      <w:marRight w:val="0"/>
                      <w:marTop w:val="0"/>
                      <w:marBottom w:val="0"/>
                      <w:divBdr>
                        <w:top w:val="none" w:sz="0" w:space="0" w:color="auto"/>
                        <w:left w:val="none" w:sz="0" w:space="0" w:color="auto"/>
                        <w:bottom w:val="none" w:sz="0" w:space="0" w:color="auto"/>
                        <w:right w:val="none" w:sz="0" w:space="0" w:color="auto"/>
                      </w:divBdr>
                    </w:div>
                    <w:div w:id="1290668203">
                      <w:marLeft w:val="0"/>
                      <w:marRight w:val="0"/>
                      <w:marTop w:val="0"/>
                      <w:marBottom w:val="0"/>
                      <w:divBdr>
                        <w:top w:val="none" w:sz="0" w:space="0" w:color="auto"/>
                        <w:left w:val="none" w:sz="0" w:space="0" w:color="auto"/>
                        <w:bottom w:val="none" w:sz="0" w:space="0" w:color="auto"/>
                        <w:right w:val="none" w:sz="0" w:space="0" w:color="auto"/>
                      </w:divBdr>
                    </w:div>
                  </w:divsChild>
                </w:div>
                <w:div w:id="94637730">
                  <w:marLeft w:val="0"/>
                  <w:marRight w:val="0"/>
                  <w:marTop w:val="0"/>
                  <w:marBottom w:val="0"/>
                  <w:divBdr>
                    <w:top w:val="none" w:sz="0" w:space="0" w:color="auto"/>
                    <w:left w:val="none" w:sz="0" w:space="0" w:color="auto"/>
                    <w:bottom w:val="none" w:sz="0" w:space="0" w:color="auto"/>
                    <w:right w:val="none" w:sz="0" w:space="0" w:color="auto"/>
                  </w:divBdr>
                  <w:divsChild>
                    <w:div w:id="1540241562">
                      <w:marLeft w:val="0"/>
                      <w:marRight w:val="0"/>
                      <w:marTop w:val="0"/>
                      <w:marBottom w:val="0"/>
                      <w:divBdr>
                        <w:top w:val="none" w:sz="0" w:space="0" w:color="auto"/>
                        <w:left w:val="none" w:sz="0" w:space="0" w:color="auto"/>
                        <w:bottom w:val="none" w:sz="0" w:space="0" w:color="auto"/>
                        <w:right w:val="none" w:sz="0" w:space="0" w:color="auto"/>
                      </w:divBdr>
                    </w:div>
                  </w:divsChild>
                </w:div>
                <w:div w:id="128743808">
                  <w:marLeft w:val="0"/>
                  <w:marRight w:val="0"/>
                  <w:marTop w:val="0"/>
                  <w:marBottom w:val="0"/>
                  <w:divBdr>
                    <w:top w:val="none" w:sz="0" w:space="0" w:color="auto"/>
                    <w:left w:val="none" w:sz="0" w:space="0" w:color="auto"/>
                    <w:bottom w:val="none" w:sz="0" w:space="0" w:color="auto"/>
                    <w:right w:val="none" w:sz="0" w:space="0" w:color="auto"/>
                  </w:divBdr>
                  <w:divsChild>
                    <w:div w:id="1787114103">
                      <w:marLeft w:val="0"/>
                      <w:marRight w:val="0"/>
                      <w:marTop w:val="0"/>
                      <w:marBottom w:val="0"/>
                      <w:divBdr>
                        <w:top w:val="none" w:sz="0" w:space="0" w:color="auto"/>
                        <w:left w:val="none" w:sz="0" w:space="0" w:color="auto"/>
                        <w:bottom w:val="none" w:sz="0" w:space="0" w:color="auto"/>
                        <w:right w:val="none" w:sz="0" w:space="0" w:color="auto"/>
                      </w:divBdr>
                    </w:div>
                  </w:divsChild>
                </w:div>
                <w:div w:id="243882544">
                  <w:marLeft w:val="0"/>
                  <w:marRight w:val="0"/>
                  <w:marTop w:val="0"/>
                  <w:marBottom w:val="0"/>
                  <w:divBdr>
                    <w:top w:val="none" w:sz="0" w:space="0" w:color="auto"/>
                    <w:left w:val="none" w:sz="0" w:space="0" w:color="auto"/>
                    <w:bottom w:val="none" w:sz="0" w:space="0" w:color="auto"/>
                    <w:right w:val="none" w:sz="0" w:space="0" w:color="auto"/>
                  </w:divBdr>
                  <w:divsChild>
                    <w:div w:id="885140123">
                      <w:marLeft w:val="0"/>
                      <w:marRight w:val="0"/>
                      <w:marTop w:val="0"/>
                      <w:marBottom w:val="0"/>
                      <w:divBdr>
                        <w:top w:val="none" w:sz="0" w:space="0" w:color="auto"/>
                        <w:left w:val="none" w:sz="0" w:space="0" w:color="auto"/>
                        <w:bottom w:val="none" w:sz="0" w:space="0" w:color="auto"/>
                        <w:right w:val="none" w:sz="0" w:space="0" w:color="auto"/>
                      </w:divBdr>
                    </w:div>
                    <w:div w:id="1613588825">
                      <w:marLeft w:val="0"/>
                      <w:marRight w:val="0"/>
                      <w:marTop w:val="0"/>
                      <w:marBottom w:val="0"/>
                      <w:divBdr>
                        <w:top w:val="none" w:sz="0" w:space="0" w:color="auto"/>
                        <w:left w:val="none" w:sz="0" w:space="0" w:color="auto"/>
                        <w:bottom w:val="none" w:sz="0" w:space="0" w:color="auto"/>
                        <w:right w:val="none" w:sz="0" w:space="0" w:color="auto"/>
                      </w:divBdr>
                    </w:div>
                  </w:divsChild>
                </w:div>
                <w:div w:id="249043139">
                  <w:marLeft w:val="0"/>
                  <w:marRight w:val="0"/>
                  <w:marTop w:val="0"/>
                  <w:marBottom w:val="0"/>
                  <w:divBdr>
                    <w:top w:val="none" w:sz="0" w:space="0" w:color="auto"/>
                    <w:left w:val="none" w:sz="0" w:space="0" w:color="auto"/>
                    <w:bottom w:val="none" w:sz="0" w:space="0" w:color="auto"/>
                    <w:right w:val="none" w:sz="0" w:space="0" w:color="auto"/>
                  </w:divBdr>
                  <w:divsChild>
                    <w:div w:id="953756582">
                      <w:marLeft w:val="0"/>
                      <w:marRight w:val="0"/>
                      <w:marTop w:val="0"/>
                      <w:marBottom w:val="0"/>
                      <w:divBdr>
                        <w:top w:val="none" w:sz="0" w:space="0" w:color="auto"/>
                        <w:left w:val="none" w:sz="0" w:space="0" w:color="auto"/>
                        <w:bottom w:val="none" w:sz="0" w:space="0" w:color="auto"/>
                        <w:right w:val="none" w:sz="0" w:space="0" w:color="auto"/>
                      </w:divBdr>
                    </w:div>
                  </w:divsChild>
                </w:div>
                <w:div w:id="273051127">
                  <w:marLeft w:val="0"/>
                  <w:marRight w:val="0"/>
                  <w:marTop w:val="0"/>
                  <w:marBottom w:val="0"/>
                  <w:divBdr>
                    <w:top w:val="none" w:sz="0" w:space="0" w:color="auto"/>
                    <w:left w:val="none" w:sz="0" w:space="0" w:color="auto"/>
                    <w:bottom w:val="none" w:sz="0" w:space="0" w:color="auto"/>
                    <w:right w:val="none" w:sz="0" w:space="0" w:color="auto"/>
                  </w:divBdr>
                  <w:divsChild>
                    <w:div w:id="103037710">
                      <w:marLeft w:val="0"/>
                      <w:marRight w:val="0"/>
                      <w:marTop w:val="0"/>
                      <w:marBottom w:val="0"/>
                      <w:divBdr>
                        <w:top w:val="none" w:sz="0" w:space="0" w:color="auto"/>
                        <w:left w:val="none" w:sz="0" w:space="0" w:color="auto"/>
                        <w:bottom w:val="none" w:sz="0" w:space="0" w:color="auto"/>
                        <w:right w:val="none" w:sz="0" w:space="0" w:color="auto"/>
                      </w:divBdr>
                    </w:div>
                    <w:div w:id="302855609">
                      <w:marLeft w:val="0"/>
                      <w:marRight w:val="0"/>
                      <w:marTop w:val="0"/>
                      <w:marBottom w:val="0"/>
                      <w:divBdr>
                        <w:top w:val="none" w:sz="0" w:space="0" w:color="auto"/>
                        <w:left w:val="none" w:sz="0" w:space="0" w:color="auto"/>
                        <w:bottom w:val="none" w:sz="0" w:space="0" w:color="auto"/>
                        <w:right w:val="none" w:sz="0" w:space="0" w:color="auto"/>
                      </w:divBdr>
                    </w:div>
                  </w:divsChild>
                </w:div>
                <w:div w:id="275648163">
                  <w:marLeft w:val="0"/>
                  <w:marRight w:val="0"/>
                  <w:marTop w:val="0"/>
                  <w:marBottom w:val="0"/>
                  <w:divBdr>
                    <w:top w:val="none" w:sz="0" w:space="0" w:color="auto"/>
                    <w:left w:val="none" w:sz="0" w:space="0" w:color="auto"/>
                    <w:bottom w:val="none" w:sz="0" w:space="0" w:color="auto"/>
                    <w:right w:val="none" w:sz="0" w:space="0" w:color="auto"/>
                  </w:divBdr>
                  <w:divsChild>
                    <w:div w:id="1844851452">
                      <w:marLeft w:val="0"/>
                      <w:marRight w:val="0"/>
                      <w:marTop w:val="0"/>
                      <w:marBottom w:val="0"/>
                      <w:divBdr>
                        <w:top w:val="none" w:sz="0" w:space="0" w:color="auto"/>
                        <w:left w:val="none" w:sz="0" w:space="0" w:color="auto"/>
                        <w:bottom w:val="none" w:sz="0" w:space="0" w:color="auto"/>
                        <w:right w:val="none" w:sz="0" w:space="0" w:color="auto"/>
                      </w:divBdr>
                    </w:div>
                  </w:divsChild>
                </w:div>
                <w:div w:id="327758408">
                  <w:marLeft w:val="0"/>
                  <w:marRight w:val="0"/>
                  <w:marTop w:val="0"/>
                  <w:marBottom w:val="0"/>
                  <w:divBdr>
                    <w:top w:val="none" w:sz="0" w:space="0" w:color="auto"/>
                    <w:left w:val="none" w:sz="0" w:space="0" w:color="auto"/>
                    <w:bottom w:val="none" w:sz="0" w:space="0" w:color="auto"/>
                    <w:right w:val="none" w:sz="0" w:space="0" w:color="auto"/>
                  </w:divBdr>
                  <w:divsChild>
                    <w:div w:id="2026864002">
                      <w:marLeft w:val="0"/>
                      <w:marRight w:val="0"/>
                      <w:marTop w:val="0"/>
                      <w:marBottom w:val="0"/>
                      <w:divBdr>
                        <w:top w:val="none" w:sz="0" w:space="0" w:color="auto"/>
                        <w:left w:val="none" w:sz="0" w:space="0" w:color="auto"/>
                        <w:bottom w:val="none" w:sz="0" w:space="0" w:color="auto"/>
                        <w:right w:val="none" w:sz="0" w:space="0" w:color="auto"/>
                      </w:divBdr>
                    </w:div>
                  </w:divsChild>
                </w:div>
                <w:div w:id="362439950">
                  <w:marLeft w:val="0"/>
                  <w:marRight w:val="0"/>
                  <w:marTop w:val="0"/>
                  <w:marBottom w:val="0"/>
                  <w:divBdr>
                    <w:top w:val="none" w:sz="0" w:space="0" w:color="auto"/>
                    <w:left w:val="none" w:sz="0" w:space="0" w:color="auto"/>
                    <w:bottom w:val="none" w:sz="0" w:space="0" w:color="auto"/>
                    <w:right w:val="none" w:sz="0" w:space="0" w:color="auto"/>
                  </w:divBdr>
                  <w:divsChild>
                    <w:div w:id="1488283719">
                      <w:marLeft w:val="0"/>
                      <w:marRight w:val="0"/>
                      <w:marTop w:val="0"/>
                      <w:marBottom w:val="0"/>
                      <w:divBdr>
                        <w:top w:val="none" w:sz="0" w:space="0" w:color="auto"/>
                        <w:left w:val="none" w:sz="0" w:space="0" w:color="auto"/>
                        <w:bottom w:val="none" w:sz="0" w:space="0" w:color="auto"/>
                        <w:right w:val="none" w:sz="0" w:space="0" w:color="auto"/>
                      </w:divBdr>
                    </w:div>
                  </w:divsChild>
                </w:div>
                <w:div w:id="527984171">
                  <w:marLeft w:val="0"/>
                  <w:marRight w:val="0"/>
                  <w:marTop w:val="0"/>
                  <w:marBottom w:val="0"/>
                  <w:divBdr>
                    <w:top w:val="none" w:sz="0" w:space="0" w:color="auto"/>
                    <w:left w:val="none" w:sz="0" w:space="0" w:color="auto"/>
                    <w:bottom w:val="none" w:sz="0" w:space="0" w:color="auto"/>
                    <w:right w:val="none" w:sz="0" w:space="0" w:color="auto"/>
                  </w:divBdr>
                  <w:divsChild>
                    <w:div w:id="421797824">
                      <w:marLeft w:val="0"/>
                      <w:marRight w:val="0"/>
                      <w:marTop w:val="0"/>
                      <w:marBottom w:val="0"/>
                      <w:divBdr>
                        <w:top w:val="none" w:sz="0" w:space="0" w:color="auto"/>
                        <w:left w:val="none" w:sz="0" w:space="0" w:color="auto"/>
                        <w:bottom w:val="none" w:sz="0" w:space="0" w:color="auto"/>
                        <w:right w:val="none" w:sz="0" w:space="0" w:color="auto"/>
                      </w:divBdr>
                    </w:div>
                    <w:div w:id="1526364573">
                      <w:marLeft w:val="0"/>
                      <w:marRight w:val="0"/>
                      <w:marTop w:val="0"/>
                      <w:marBottom w:val="0"/>
                      <w:divBdr>
                        <w:top w:val="none" w:sz="0" w:space="0" w:color="auto"/>
                        <w:left w:val="none" w:sz="0" w:space="0" w:color="auto"/>
                        <w:bottom w:val="none" w:sz="0" w:space="0" w:color="auto"/>
                        <w:right w:val="none" w:sz="0" w:space="0" w:color="auto"/>
                      </w:divBdr>
                    </w:div>
                  </w:divsChild>
                </w:div>
                <w:div w:id="623191762">
                  <w:marLeft w:val="0"/>
                  <w:marRight w:val="0"/>
                  <w:marTop w:val="0"/>
                  <w:marBottom w:val="0"/>
                  <w:divBdr>
                    <w:top w:val="none" w:sz="0" w:space="0" w:color="auto"/>
                    <w:left w:val="none" w:sz="0" w:space="0" w:color="auto"/>
                    <w:bottom w:val="none" w:sz="0" w:space="0" w:color="auto"/>
                    <w:right w:val="none" w:sz="0" w:space="0" w:color="auto"/>
                  </w:divBdr>
                  <w:divsChild>
                    <w:div w:id="1365524345">
                      <w:marLeft w:val="0"/>
                      <w:marRight w:val="0"/>
                      <w:marTop w:val="0"/>
                      <w:marBottom w:val="0"/>
                      <w:divBdr>
                        <w:top w:val="none" w:sz="0" w:space="0" w:color="auto"/>
                        <w:left w:val="none" w:sz="0" w:space="0" w:color="auto"/>
                        <w:bottom w:val="none" w:sz="0" w:space="0" w:color="auto"/>
                        <w:right w:val="none" w:sz="0" w:space="0" w:color="auto"/>
                      </w:divBdr>
                    </w:div>
                  </w:divsChild>
                </w:div>
                <w:div w:id="677929377">
                  <w:marLeft w:val="0"/>
                  <w:marRight w:val="0"/>
                  <w:marTop w:val="0"/>
                  <w:marBottom w:val="0"/>
                  <w:divBdr>
                    <w:top w:val="none" w:sz="0" w:space="0" w:color="auto"/>
                    <w:left w:val="none" w:sz="0" w:space="0" w:color="auto"/>
                    <w:bottom w:val="none" w:sz="0" w:space="0" w:color="auto"/>
                    <w:right w:val="none" w:sz="0" w:space="0" w:color="auto"/>
                  </w:divBdr>
                  <w:divsChild>
                    <w:div w:id="1159613463">
                      <w:marLeft w:val="0"/>
                      <w:marRight w:val="0"/>
                      <w:marTop w:val="0"/>
                      <w:marBottom w:val="0"/>
                      <w:divBdr>
                        <w:top w:val="none" w:sz="0" w:space="0" w:color="auto"/>
                        <w:left w:val="none" w:sz="0" w:space="0" w:color="auto"/>
                        <w:bottom w:val="none" w:sz="0" w:space="0" w:color="auto"/>
                        <w:right w:val="none" w:sz="0" w:space="0" w:color="auto"/>
                      </w:divBdr>
                    </w:div>
                  </w:divsChild>
                </w:div>
                <w:div w:id="708649755">
                  <w:marLeft w:val="0"/>
                  <w:marRight w:val="0"/>
                  <w:marTop w:val="0"/>
                  <w:marBottom w:val="0"/>
                  <w:divBdr>
                    <w:top w:val="none" w:sz="0" w:space="0" w:color="auto"/>
                    <w:left w:val="none" w:sz="0" w:space="0" w:color="auto"/>
                    <w:bottom w:val="none" w:sz="0" w:space="0" w:color="auto"/>
                    <w:right w:val="none" w:sz="0" w:space="0" w:color="auto"/>
                  </w:divBdr>
                  <w:divsChild>
                    <w:div w:id="313949604">
                      <w:marLeft w:val="0"/>
                      <w:marRight w:val="0"/>
                      <w:marTop w:val="0"/>
                      <w:marBottom w:val="0"/>
                      <w:divBdr>
                        <w:top w:val="none" w:sz="0" w:space="0" w:color="auto"/>
                        <w:left w:val="none" w:sz="0" w:space="0" w:color="auto"/>
                        <w:bottom w:val="none" w:sz="0" w:space="0" w:color="auto"/>
                        <w:right w:val="none" w:sz="0" w:space="0" w:color="auto"/>
                      </w:divBdr>
                    </w:div>
                  </w:divsChild>
                </w:div>
                <w:div w:id="1015497086">
                  <w:marLeft w:val="0"/>
                  <w:marRight w:val="0"/>
                  <w:marTop w:val="0"/>
                  <w:marBottom w:val="0"/>
                  <w:divBdr>
                    <w:top w:val="none" w:sz="0" w:space="0" w:color="auto"/>
                    <w:left w:val="none" w:sz="0" w:space="0" w:color="auto"/>
                    <w:bottom w:val="none" w:sz="0" w:space="0" w:color="auto"/>
                    <w:right w:val="none" w:sz="0" w:space="0" w:color="auto"/>
                  </w:divBdr>
                  <w:divsChild>
                    <w:div w:id="1518152328">
                      <w:marLeft w:val="0"/>
                      <w:marRight w:val="0"/>
                      <w:marTop w:val="0"/>
                      <w:marBottom w:val="0"/>
                      <w:divBdr>
                        <w:top w:val="none" w:sz="0" w:space="0" w:color="auto"/>
                        <w:left w:val="none" w:sz="0" w:space="0" w:color="auto"/>
                        <w:bottom w:val="none" w:sz="0" w:space="0" w:color="auto"/>
                        <w:right w:val="none" w:sz="0" w:space="0" w:color="auto"/>
                      </w:divBdr>
                    </w:div>
                  </w:divsChild>
                </w:div>
                <w:div w:id="1049649340">
                  <w:marLeft w:val="0"/>
                  <w:marRight w:val="0"/>
                  <w:marTop w:val="0"/>
                  <w:marBottom w:val="0"/>
                  <w:divBdr>
                    <w:top w:val="none" w:sz="0" w:space="0" w:color="auto"/>
                    <w:left w:val="none" w:sz="0" w:space="0" w:color="auto"/>
                    <w:bottom w:val="none" w:sz="0" w:space="0" w:color="auto"/>
                    <w:right w:val="none" w:sz="0" w:space="0" w:color="auto"/>
                  </w:divBdr>
                  <w:divsChild>
                    <w:div w:id="1465083225">
                      <w:marLeft w:val="0"/>
                      <w:marRight w:val="0"/>
                      <w:marTop w:val="0"/>
                      <w:marBottom w:val="0"/>
                      <w:divBdr>
                        <w:top w:val="none" w:sz="0" w:space="0" w:color="auto"/>
                        <w:left w:val="none" w:sz="0" w:space="0" w:color="auto"/>
                        <w:bottom w:val="none" w:sz="0" w:space="0" w:color="auto"/>
                        <w:right w:val="none" w:sz="0" w:space="0" w:color="auto"/>
                      </w:divBdr>
                    </w:div>
                  </w:divsChild>
                </w:div>
                <w:div w:id="1077705567">
                  <w:marLeft w:val="0"/>
                  <w:marRight w:val="0"/>
                  <w:marTop w:val="0"/>
                  <w:marBottom w:val="0"/>
                  <w:divBdr>
                    <w:top w:val="none" w:sz="0" w:space="0" w:color="auto"/>
                    <w:left w:val="none" w:sz="0" w:space="0" w:color="auto"/>
                    <w:bottom w:val="none" w:sz="0" w:space="0" w:color="auto"/>
                    <w:right w:val="none" w:sz="0" w:space="0" w:color="auto"/>
                  </w:divBdr>
                  <w:divsChild>
                    <w:div w:id="1915898059">
                      <w:marLeft w:val="0"/>
                      <w:marRight w:val="0"/>
                      <w:marTop w:val="0"/>
                      <w:marBottom w:val="0"/>
                      <w:divBdr>
                        <w:top w:val="none" w:sz="0" w:space="0" w:color="auto"/>
                        <w:left w:val="none" w:sz="0" w:space="0" w:color="auto"/>
                        <w:bottom w:val="none" w:sz="0" w:space="0" w:color="auto"/>
                        <w:right w:val="none" w:sz="0" w:space="0" w:color="auto"/>
                      </w:divBdr>
                    </w:div>
                  </w:divsChild>
                </w:div>
                <w:div w:id="1195966975">
                  <w:marLeft w:val="0"/>
                  <w:marRight w:val="0"/>
                  <w:marTop w:val="0"/>
                  <w:marBottom w:val="0"/>
                  <w:divBdr>
                    <w:top w:val="none" w:sz="0" w:space="0" w:color="auto"/>
                    <w:left w:val="none" w:sz="0" w:space="0" w:color="auto"/>
                    <w:bottom w:val="none" w:sz="0" w:space="0" w:color="auto"/>
                    <w:right w:val="none" w:sz="0" w:space="0" w:color="auto"/>
                  </w:divBdr>
                  <w:divsChild>
                    <w:div w:id="345524818">
                      <w:marLeft w:val="0"/>
                      <w:marRight w:val="0"/>
                      <w:marTop w:val="0"/>
                      <w:marBottom w:val="0"/>
                      <w:divBdr>
                        <w:top w:val="none" w:sz="0" w:space="0" w:color="auto"/>
                        <w:left w:val="none" w:sz="0" w:space="0" w:color="auto"/>
                        <w:bottom w:val="none" w:sz="0" w:space="0" w:color="auto"/>
                        <w:right w:val="none" w:sz="0" w:space="0" w:color="auto"/>
                      </w:divBdr>
                    </w:div>
                    <w:div w:id="642585001">
                      <w:marLeft w:val="0"/>
                      <w:marRight w:val="0"/>
                      <w:marTop w:val="0"/>
                      <w:marBottom w:val="0"/>
                      <w:divBdr>
                        <w:top w:val="none" w:sz="0" w:space="0" w:color="auto"/>
                        <w:left w:val="none" w:sz="0" w:space="0" w:color="auto"/>
                        <w:bottom w:val="none" w:sz="0" w:space="0" w:color="auto"/>
                        <w:right w:val="none" w:sz="0" w:space="0" w:color="auto"/>
                      </w:divBdr>
                    </w:div>
                  </w:divsChild>
                </w:div>
                <w:div w:id="1267346061">
                  <w:marLeft w:val="0"/>
                  <w:marRight w:val="0"/>
                  <w:marTop w:val="0"/>
                  <w:marBottom w:val="0"/>
                  <w:divBdr>
                    <w:top w:val="none" w:sz="0" w:space="0" w:color="auto"/>
                    <w:left w:val="none" w:sz="0" w:space="0" w:color="auto"/>
                    <w:bottom w:val="none" w:sz="0" w:space="0" w:color="auto"/>
                    <w:right w:val="none" w:sz="0" w:space="0" w:color="auto"/>
                  </w:divBdr>
                  <w:divsChild>
                    <w:div w:id="481698483">
                      <w:marLeft w:val="0"/>
                      <w:marRight w:val="0"/>
                      <w:marTop w:val="0"/>
                      <w:marBottom w:val="0"/>
                      <w:divBdr>
                        <w:top w:val="none" w:sz="0" w:space="0" w:color="auto"/>
                        <w:left w:val="none" w:sz="0" w:space="0" w:color="auto"/>
                        <w:bottom w:val="none" w:sz="0" w:space="0" w:color="auto"/>
                        <w:right w:val="none" w:sz="0" w:space="0" w:color="auto"/>
                      </w:divBdr>
                    </w:div>
                  </w:divsChild>
                </w:div>
                <w:div w:id="1300107646">
                  <w:marLeft w:val="0"/>
                  <w:marRight w:val="0"/>
                  <w:marTop w:val="0"/>
                  <w:marBottom w:val="0"/>
                  <w:divBdr>
                    <w:top w:val="none" w:sz="0" w:space="0" w:color="auto"/>
                    <w:left w:val="none" w:sz="0" w:space="0" w:color="auto"/>
                    <w:bottom w:val="none" w:sz="0" w:space="0" w:color="auto"/>
                    <w:right w:val="none" w:sz="0" w:space="0" w:color="auto"/>
                  </w:divBdr>
                  <w:divsChild>
                    <w:div w:id="503591921">
                      <w:marLeft w:val="0"/>
                      <w:marRight w:val="0"/>
                      <w:marTop w:val="0"/>
                      <w:marBottom w:val="0"/>
                      <w:divBdr>
                        <w:top w:val="none" w:sz="0" w:space="0" w:color="auto"/>
                        <w:left w:val="none" w:sz="0" w:space="0" w:color="auto"/>
                        <w:bottom w:val="none" w:sz="0" w:space="0" w:color="auto"/>
                        <w:right w:val="none" w:sz="0" w:space="0" w:color="auto"/>
                      </w:divBdr>
                    </w:div>
                    <w:div w:id="1002465022">
                      <w:marLeft w:val="0"/>
                      <w:marRight w:val="0"/>
                      <w:marTop w:val="0"/>
                      <w:marBottom w:val="0"/>
                      <w:divBdr>
                        <w:top w:val="none" w:sz="0" w:space="0" w:color="auto"/>
                        <w:left w:val="none" w:sz="0" w:space="0" w:color="auto"/>
                        <w:bottom w:val="none" w:sz="0" w:space="0" w:color="auto"/>
                        <w:right w:val="none" w:sz="0" w:space="0" w:color="auto"/>
                      </w:divBdr>
                    </w:div>
                  </w:divsChild>
                </w:div>
                <w:div w:id="1306008421">
                  <w:marLeft w:val="0"/>
                  <w:marRight w:val="0"/>
                  <w:marTop w:val="0"/>
                  <w:marBottom w:val="0"/>
                  <w:divBdr>
                    <w:top w:val="none" w:sz="0" w:space="0" w:color="auto"/>
                    <w:left w:val="none" w:sz="0" w:space="0" w:color="auto"/>
                    <w:bottom w:val="none" w:sz="0" w:space="0" w:color="auto"/>
                    <w:right w:val="none" w:sz="0" w:space="0" w:color="auto"/>
                  </w:divBdr>
                  <w:divsChild>
                    <w:div w:id="1811827235">
                      <w:marLeft w:val="0"/>
                      <w:marRight w:val="0"/>
                      <w:marTop w:val="0"/>
                      <w:marBottom w:val="0"/>
                      <w:divBdr>
                        <w:top w:val="none" w:sz="0" w:space="0" w:color="auto"/>
                        <w:left w:val="none" w:sz="0" w:space="0" w:color="auto"/>
                        <w:bottom w:val="none" w:sz="0" w:space="0" w:color="auto"/>
                        <w:right w:val="none" w:sz="0" w:space="0" w:color="auto"/>
                      </w:divBdr>
                    </w:div>
                    <w:div w:id="2100758418">
                      <w:marLeft w:val="0"/>
                      <w:marRight w:val="0"/>
                      <w:marTop w:val="0"/>
                      <w:marBottom w:val="0"/>
                      <w:divBdr>
                        <w:top w:val="none" w:sz="0" w:space="0" w:color="auto"/>
                        <w:left w:val="none" w:sz="0" w:space="0" w:color="auto"/>
                        <w:bottom w:val="none" w:sz="0" w:space="0" w:color="auto"/>
                        <w:right w:val="none" w:sz="0" w:space="0" w:color="auto"/>
                      </w:divBdr>
                    </w:div>
                  </w:divsChild>
                </w:div>
                <w:div w:id="1329989403">
                  <w:marLeft w:val="0"/>
                  <w:marRight w:val="0"/>
                  <w:marTop w:val="0"/>
                  <w:marBottom w:val="0"/>
                  <w:divBdr>
                    <w:top w:val="none" w:sz="0" w:space="0" w:color="auto"/>
                    <w:left w:val="none" w:sz="0" w:space="0" w:color="auto"/>
                    <w:bottom w:val="none" w:sz="0" w:space="0" w:color="auto"/>
                    <w:right w:val="none" w:sz="0" w:space="0" w:color="auto"/>
                  </w:divBdr>
                  <w:divsChild>
                    <w:div w:id="249432462">
                      <w:marLeft w:val="0"/>
                      <w:marRight w:val="0"/>
                      <w:marTop w:val="0"/>
                      <w:marBottom w:val="0"/>
                      <w:divBdr>
                        <w:top w:val="none" w:sz="0" w:space="0" w:color="auto"/>
                        <w:left w:val="none" w:sz="0" w:space="0" w:color="auto"/>
                        <w:bottom w:val="none" w:sz="0" w:space="0" w:color="auto"/>
                        <w:right w:val="none" w:sz="0" w:space="0" w:color="auto"/>
                      </w:divBdr>
                    </w:div>
                    <w:div w:id="667440786">
                      <w:marLeft w:val="0"/>
                      <w:marRight w:val="0"/>
                      <w:marTop w:val="0"/>
                      <w:marBottom w:val="0"/>
                      <w:divBdr>
                        <w:top w:val="none" w:sz="0" w:space="0" w:color="auto"/>
                        <w:left w:val="none" w:sz="0" w:space="0" w:color="auto"/>
                        <w:bottom w:val="none" w:sz="0" w:space="0" w:color="auto"/>
                        <w:right w:val="none" w:sz="0" w:space="0" w:color="auto"/>
                      </w:divBdr>
                    </w:div>
                  </w:divsChild>
                </w:div>
                <w:div w:id="1348828938">
                  <w:marLeft w:val="0"/>
                  <w:marRight w:val="0"/>
                  <w:marTop w:val="0"/>
                  <w:marBottom w:val="0"/>
                  <w:divBdr>
                    <w:top w:val="none" w:sz="0" w:space="0" w:color="auto"/>
                    <w:left w:val="none" w:sz="0" w:space="0" w:color="auto"/>
                    <w:bottom w:val="none" w:sz="0" w:space="0" w:color="auto"/>
                    <w:right w:val="none" w:sz="0" w:space="0" w:color="auto"/>
                  </w:divBdr>
                  <w:divsChild>
                    <w:div w:id="633214125">
                      <w:marLeft w:val="0"/>
                      <w:marRight w:val="0"/>
                      <w:marTop w:val="0"/>
                      <w:marBottom w:val="0"/>
                      <w:divBdr>
                        <w:top w:val="none" w:sz="0" w:space="0" w:color="auto"/>
                        <w:left w:val="none" w:sz="0" w:space="0" w:color="auto"/>
                        <w:bottom w:val="none" w:sz="0" w:space="0" w:color="auto"/>
                        <w:right w:val="none" w:sz="0" w:space="0" w:color="auto"/>
                      </w:divBdr>
                    </w:div>
                  </w:divsChild>
                </w:div>
                <w:div w:id="1649357459">
                  <w:marLeft w:val="0"/>
                  <w:marRight w:val="0"/>
                  <w:marTop w:val="0"/>
                  <w:marBottom w:val="0"/>
                  <w:divBdr>
                    <w:top w:val="none" w:sz="0" w:space="0" w:color="auto"/>
                    <w:left w:val="none" w:sz="0" w:space="0" w:color="auto"/>
                    <w:bottom w:val="none" w:sz="0" w:space="0" w:color="auto"/>
                    <w:right w:val="none" w:sz="0" w:space="0" w:color="auto"/>
                  </w:divBdr>
                  <w:divsChild>
                    <w:div w:id="603539964">
                      <w:marLeft w:val="0"/>
                      <w:marRight w:val="0"/>
                      <w:marTop w:val="0"/>
                      <w:marBottom w:val="0"/>
                      <w:divBdr>
                        <w:top w:val="none" w:sz="0" w:space="0" w:color="auto"/>
                        <w:left w:val="none" w:sz="0" w:space="0" w:color="auto"/>
                        <w:bottom w:val="none" w:sz="0" w:space="0" w:color="auto"/>
                        <w:right w:val="none" w:sz="0" w:space="0" w:color="auto"/>
                      </w:divBdr>
                    </w:div>
                  </w:divsChild>
                </w:div>
                <w:div w:id="1823111411">
                  <w:marLeft w:val="0"/>
                  <w:marRight w:val="0"/>
                  <w:marTop w:val="0"/>
                  <w:marBottom w:val="0"/>
                  <w:divBdr>
                    <w:top w:val="none" w:sz="0" w:space="0" w:color="auto"/>
                    <w:left w:val="none" w:sz="0" w:space="0" w:color="auto"/>
                    <w:bottom w:val="none" w:sz="0" w:space="0" w:color="auto"/>
                    <w:right w:val="none" w:sz="0" w:space="0" w:color="auto"/>
                  </w:divBdr>
                  <w:divsChild>
                    <w:div w:id="2510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5222">
          <w:marLeft w:val="0"/>
          <w:marRight w:val="0"/>
          <w:marTop w:val="0"/>
          <w:marBottom w:val="0"/>
          <w:divBdr>
            <w:top w:val="none" w:sz="0" w:space="0" w:color="auto"/>
            <w:left w:val="none" w:sz="0" w:space="0" w:color="auto"/>
            <w:bottom w:val="none" w:sz="0" w:space="0" w:color="auto"/>
            <w:right w:val="none" w:sz="0" w:space="0" w:color="auto"/>
          </w:divBdr>
          <w:divsChild>
            <w:div w:id="1832140596">
              <w:marLeft w:val="-75"/>
              <w:marRight w:val="0"/>
              <w:marTop w:val="30"/>
              <w:marBottom w:val="30"/>
              <w:divBdr>
                <w:top w:val="none" w:sz="0" w:space="0" w:color="auto"/>
                <w:left w:val="none" w:sz="0" w:space="0" w:color="auto"/>
                <w:bottom w:val="none" w:sz="0" w:space="0" w:color="auto"/>
                <w:right w:val="none" w:sz="0" w:space="0" w:color="auto"/>
              </w:divBdr>
              <w:divsChild>
                <w:div w:id="14774711">
                  <w:marLeft w:val="0"/>
                  <w:marRight w:val="0"/>
                  <w:marTop w:val="0"/>
                  <w:marBottom w:val="0"/>
                  <w:divBdr>
                    <w:top w:val="none" w:sz="0" w:space="0" w:color="auto"/>
                    <w:left w:val="none" w:sz="0" w:space="0" w:color="auto"/>
                    <w:bottom w:val="none" w:sz="0" w:space="0" w:color="auto"/>
                    <w:right w:val="none" w:sz="0" w:space="0" w:color="auto"/>
                  </w:divBdr>
                  <w:divsChild>
                    <w:div w:id="840781791">
                      <w:marLeft w:val="0"/>
                      <w:marRight w:val="0"/>
                      <w:marTop w:val="0"/>
                      <w:marBottom w:val="0"/>
                      <w:divBdr>
                        <w:top w:val="none" w:sz="0" w:space="0" w:color="auto"/>
                        <w:left w:val="none" w:sz="0" w:space="0" w:color="auto"/>
                        <w:bottom w:val="none" w:sz="0" w:space="0" w:color="auto"/>
                        <w:right w:val="none" w:sz="0" w:space="0" w:color="auto"/>
                      </w:divBdr>
                    </w:div>
                    <w:div w:id="1327710663">
                      <w:marLeft w:val="0"/>
                      <w:marRight w:val="0"/>
                      <w:marTop w:val="0"/>
                      <w:marBottom w:val="0"/>
                      <w:divBdr>
                        <w:top w:val="none" w:sz="0" w:space="0" w:color="auto"/>
                        <w:left w:val="none" w:sz="0" w:space="0" w:color="auto"/>
                        <w:bottom w:val="none" w:sz="0" w:space="0" w:color="auto"/>
                        <w:right w:val="none" w:sz="0" w:space="0" w:color="auto"/>
                      </w:divBdr>
                    </w:div>
                  </w:divsChild>
                </w:div>
                <w:div w:id="37513654">
                  <w:marLeft w:val="0"/>
                  <w:marRight w:val="0"/>
                  <w:marTop w:val="0"/>
                  <w:marBottom w:val="0"/>
                  <w:divBdr>
                    <w:top w:val="none" w:sz="0" w:space="0" w:color="auto"/>
                    <w:left w:val="none" w:sz="0" w:space="0" w:color="auto"/>
                    <w:bottom w:val="none" w:sz="0" w:space="0" w:color="auto"/>
                    <w:right w:val="none" w:sz="0" w:space="0" w:color="auto"/>
                  </w:divBdr>
                  <w:divsChild>
                    <w:div w:id="1590654998">
                      <w:marLeft w:val="0"/>
                      <w:marRight w:val="0"/>
                      <w:marTop w:val="0"/>
                      <w:marBottom w:val="0"/>
                      <w:divBdr>
                        <w:top w:val="none" w:sz="0" w:space="0" w:color="auto"/>
                        <w:left w:val="none" w:sz="0" w:space="0" w:color="auto"/>
                        <w:bottom w:val="none" w:sz="0" w:space="0" w:color="auto"/>
                        <w:right w:val="none" w:sz="0" w:space="0" w:color="auto"/>
                      </w:divBdr>
                    </w:div>
                  </w:divsChild>
                </w:div>
                <w:div w:id="98373766">
                  <w:marLeft w:val="0"/>
                  <w:marRight w:val="0"/>
                  <w:marTop w:val="0"/>
                  <w:marBottom w:val="0"/>
                  <w:divBdr>
                    <w:top w:val="none" w:sz="0" w:space="0" w:color="auto"/>
                    <w:left w:val="none" w:sz="0" w:space="0" w:color="auto"/>
                    <w:bottom w:val="none" w:sz="0" w:space="0" w:color="auto"/>
                    <w:right w:val="none" w:sz="0" w:space="0" w:color="auto"/>
                  </w:divBdr>
                  <w:divsChild>
                    <w:div w:id="1955356118">
                      <w:marLeft w:val="0"/>
                      <w:marRight w:val="0"/>
                      <w:marTop w:val="0"/>
                      <w:marBottom w:val="0"/>
                      <w:divBdr>
                        <w:top w:val="none" w:sz="0" w:space="0" w:color="auto"/>
                        <w:left w:val="none" w:sz="0" w:space="0" w:color="auto"/>
                        <w:bottom w:val="none" w:sz="0" w:space="0" w:color="auto"/>
                        <w:right w:val="none" w:sz="0" w:space="0" w:color="auto"/>
                      </w:divBdr>
                    </w:div>
                  </w:divsChild>
                </w:div>
                <w:div w:id="146669643">
                  <w:marLeft w:val="0"/>
                  <w:marRight w:val="0"/>
                  <w:marTop w:val="0"/>
                  <w:marBottom w:val="0"/>
                  <w:divBdr>
                    <w:top w:val="none" w:sz="0" w:space="0" w:color="auto"/>
                    <w:left w:val="none" w:sz="0" w:space="0" w:color="auto"/>
                    <w:bottom w:val="none" w:sz="0" w:space="0" w:color="auto"/>
                    <w:right w:val="none" w:sz="0" w:space="0" w:color="auto"/>
                  </w:divBdr>
                  <w:divsChild>
                    <w:div w:id="527791258">
                      <w:marLeft w:val="0"/>
                      <w:marRight w:val="0"/>
                      <w:marTop w:val="0"/>
                      <w:marBottom w:val="0"/>
                      <w:divBdr>
                        <w:top w:val="none" w:sz="0" w:space="0" w:color="auto"/>
                        <w:left w:val="none" w:sz="0" w:space="0" w:color="auto"/>
                        <w:bottom w:val="none" w:sz="0" w:space="0" w:color="auto"/>
                        <w:right w:val="none" w:sz="0" w:space="0" w:color="auto"/>
                      </w:divBdr>
                    </w:div>
                    <w:div w:id="1787000884">
                      <w:marLeft w:val="0"/>
                      <w:marRight w:val="0"/>
                      <w:marTop w:val="0"/>
                      <w:marBottom w:val="0"/>
                      <w:divBdr>
                        <w:top w:val="none" w:sz="0" w:space="0" w:color="auto"/>
                        <w:left w:val="none" w:sz="0" w:space="0" w:color="auto"/>
                        <w:bottom w:val="none" w:sz="0" w:space="0" w:color="auto"/>
                        <w:right w:val="none" w:sz="0" w:space="0" w:color="auto"/>
                      </w:divBdr>
                    </w:div>
                  </w:divsChild>
                </w:div>
                <w:div w:id="175651865">
                  <w:marLeft w:val="0"/>
                  <w:marRight w:val="0"/>
                  <w:marTop w:val="0"/>
                  <w:marBottom w:val="0"/>
                  <w:divBdr>
                    <w:top w:val="none" w:sz="0" w:space="0" w:color="auto"/>
                    <w:left w:val="none" w:sz="0" w:space="0" w:color="auto"/>
                    <w:bottom w:val="none" w:sz="0" w:space="0" w:color="auto"/>
                    <w:right w:val="none" w:sz="0" w:space="0" w:color="auto"/>
                  </w:divBdr>
                  <w:divsChild>
                    <w:div w:id="242766120">
                      <w:marLeft w:val="0"/>
                      <w:marRight w:val="0"/>
                      <w:marTop w:val="0"/>
                      <w:marBottom w:val="0"/>
                      <w:divBdr>
                        <w:top w:val="none" w:sz="0" w:space="0" w:color="auto"/>
                        <w:left w:val="none" w:sz="0" w:space="0" w:color="auto"/>
                        <w:bottom w:val="none" w:sz="0" w:space="0" w:color="auto"/>
                        <w:right w:val="none" w:sz="0" w:space="0" w:color="auto"/>
                      </w:divBdr>
                    </w:div>
                    <w:div w:id="408431539">
                      <w:marLeft w:val="0"/>
                      <w:marRight w:val="0"/>
                      <w:marTop w:val="0"/>
                      <w:marBottom w:val="0"/>
                      <w:divBdr>
                        <w:top w:val="none" w:sz="0" w:space="0" w:color="auto"/>
                        <w:left w:val="none" w:sz="0" w:space="0" w:color="auto"/>
                        <w:bottom w:val="none" w:sz="0" w:space="0" w:color="auto"/>
                        <w:right w:val="none" w:sz="0" w:space="0" w:color="auto"/>
                      </w:divBdr>
                    </w:div>
                  </w:divsChild>
                </w:div>
                <w:div w:id="281108497">
                  <w:marLeft w:val="0"/>
                  <w:marRight w:val="0"/>
                  <w:marTop w:val="0"/>
                  <w:marBottom w:val="0"/>
                  <w:divBdr>
                    <w:top w:val="none" w:sz="0" w:space="0" w:color="auto"/>
                    <w:left w:val="none" w:sz="0" w:space="0" w:color="auto"/>
                    <w:bottom w:val="none" w:sz="0" w:space="0" w:color="auto"/>
                    <w:right w:val="none" w:sz="0" w:space="0" w:color="auto"/>
                  </w:divBdr>
                  <w:divsChild>
                    <w:div w:id="1381202536">
                      <w:marLeft w:val="0"/>
                      <w:marRight w:val="0"/>
                      <w:marTop w:val="0"/>
                      <w:marBottom w:val="0"/>
                      <w:divBdr>
                        <w:top w:val="none" w:sz="0" w:space="0" w:color="auto"/>
                        <w:left w:val="none" w:sz="0" w:space="0" w:color="auto"/>
                        <w:bottom w:val="none" w:sz="0" w:space="0" w:color="auto"/>
                        <w:right w:val="none" w:sz="0" w:space="0" w:color="auto"/>
                      </w:divBdr>
                    </w:div>
                  </w:divsChild>
                </w:div>
                <w:div w:id="298537972">
                  <w:marLeft w:val="0"/>
                  <w:marRight w:val="0"/>
                  <w:marTop w:val="0"/>
                  <w:marBottom w:val="0"/>
                  <w:divBdr>
                    <w:top w:val="none" w:sz="0" w:space="0" w:color="auto"/>
                    <w:left w:val="none" w:sz="0" w:space="0" w:color="auto"/>
                    <w:bottom w:val="none" w:sz="0" w:space="0" w:color="auto"/>
                    <w:right w:val="none" w:sz="0" w:space="0" w:color="auto"/>
                  </w:divBdr>
                  <w:divsChild>
                    <w:div w:id="1948467328">
                      <w:marLeft w:val="0"/>
                      <w:marRight w:val="0"/>
                      <w:marTop w:val="0"/>
                      <w:marBottom w:val="0"/>
                      <w:divBdr>
                        <w:top w:val="none" w:sz="0" w:space="0" w:color="auto"/>
                        <w:left w:val="none" w:sz="0" w:space="0" w:color="auto"/>
                        <w:bottom w:val="none" w:sz="0" w:space="0" w:color="auto"/>
                        <w:right w:val="none" w:sz="0" w:space="0" w:color="auto"/>
                      </w:divBdr>
                    </w:div>
                  </w:divsChild>
                </w:div>
                <w:div w:id="387143226">
                  <w:marLeft w:val="0"/>
                  <w:marRight w:val="0"/>
                  <w:marTop w:val="0"/>
                  <w:marBottom w:val="0"/>
                  <w:divBdr>
                    <w:top w:val="none" w:sz="0" w:space="0" w:color="auto"/>
                    <w:left w:val="none" w:sz="0" w:space="0" w:color="auto"/>
                    <w:bottom w:val="none" w:sz="0" w:space="0" w:color="auto"/>
                    <w:right w:val="none" w:sz="0" w:space="0" w:color="auto"/>
                  </w:divBdr>
                  <w:divsChild>
                    <w:div w:id="462309464">
                      <w:marLeft w:val="0"/>
                      <w:marRight w:val="0"/>
                      <w:marTop w:val="0"/>
                      <w:marBottom w:val="0"/>
                      <w:divBdr>
                        <w:top w:val="none" w:sz="0" w:space="0" w:color="auto"/>
                        <w:left w:val="none" w:sz="0" w:space="0" w:color="auto"/>
                        <w:bottom w:val="none" w:sz="0" w:space="0" w:color="auto"/>
                        <w:right w:val="none" w:sz="0" w:space="0" w:color="auto"/>
                      </w:divBdr>
                    </w:div>
                    <w:div w:id="1879313483">
                      <w:marLeft w:val="0"/>
                      <w:marRight w:val="0"/>
                      <w:marTop w:val="0"/>
                      <w:marBottom w:val="0"/>
                      <w:divBdr>
                        <w:top w:val="none" w:sz="0" w:space="0" w:color="auto"/>
                        <w:left w:val="none" w:sz="0" w:space="0" w:color="auto"/>
                        <w:bottom w:val="none" w:sz="0" w:space="0" w:color="auto"/>
                        <w:right w:val="none" w:sz="0" w:space="0" w:color="auto"/>
                      </w:divBdr>
                    </w:div>
                  </w:divsChild>
                </w:div>
                <w:div w:id="423037462">
                  <w:marLeft w:val="0"/>
                  <w:marRight w:val="0"/>
                  <w:marTop w:val="0"/>
                  <w:marBottom w:val="0"/>
                  <w:divBdr>
                    <w:top w:val="none" w:sz="0" w:space="0" w:color="auto"/>
                    <w:left w:val="none" w:sz="0" w:space="0" w:color="auto"/>
                    <w:bottom w:val="none" w:sz="0" w:space="0" w:color="auto"/>
                    <w:right w:val="none" w:sz="0" w:space="0" w:color="auto"/>
                  </w:divBdr>
                  <w:divsChild>
                    <w:div w:id="1503544302">
                      <w:marLeft w:val="0"/>
                      <w:marRight w:val="0"/>
                      <w:marTop w:val="0"/>
                      <w:marBottom w:val="0"/>
                      <w:divBdr>
                        <w:top w:val="none" w:sz="0" w:space="0" w:color="auto"/>
                        <w:left w:val="none" w:sz="0" w:space="0" w:color="auto"/>
                        <w:bottom w:val="none" w:sz="0" w:space="0" w:color="auto"/>
                        <w:right w:val="none" w:sz="0" w:space="0" w:color="auto"/>
                      </w:divBdr>
                    </w:div>
                  </w:divsChild>
                </w:div>
                <w:div w:id="690186105">
                  <w:marLeft w:val="0"/>
                  <w:marRight w:val="0"/>
                  <w:marTop w:val="0"/>
                  <w:marBottom w:val="0"/>
                  <w:divBdr>
                    <w:top w:val="none" w:sz="0" w:space="0" w:color="auto"/>
                    <w:left w:val="none" w:sz="0" w:space="0" w:color="auto"/>
                    <w:bottom w:val="none" w:sz="0" w:space="0" w:color="auto"/>
                    <w:right w:val="none" w:sz="0" w:space="0" w:color="auto"/>
                  </w:divBdr>
                  <w:divsChild>
                    <w:div w:id="124278087">
                      <w:marLeft w:val="0"/>
                      <w:marRight w:val="0"/>
                      <w:marTop w:val="0"/>
                      <w:marBottom w:val="0"/>
                      <w:divBdr>
                        <w:top w:val="none" w:sz="0" w:space="0" w:color="auto"/>
                        <w:left w:val="none" w:sz="0" w:space="0" w:color="auto"/>
                        <w:bottom w:val="none" w:sz="0" w:space="0" w:color="auto"/>
                        <w:right w:val="none" w:sz="0" w:space="0" w:color="auto"/>
                      </w:divBdr>
                    </w:div>
                  </w:divsChild>
                </w:div>
                <w:div w:id="964428956">
                  <w:marLeft w:val="0"/>
                  <w:marRight w:val="0"/>
                  <w:marTop w:val="0"/>
                  <w:marBottom w:val="0"/>
                  <w:divBdr>
                    <w:top w:val="none" w:sz="0" w:space="0" w:color="auto"/>
                    <w:left w:val="none" w:sz="0" w:space="0" w:color="auto"/>
                    <w:bottom w:val="none" w:sz="0" w:space="0" w:color="auto"/>
                    <w:right w:val="none" w:sz="0" w:space="0" w:color="auto"/>
                  </w:divBdr>
                  <w:divsChild>
                    <w:div w:id="1130325684">
                      <w:marLeft w:val="0"/>
                      <w:marRight w:val="0"/>
                      <w:marTop w:val="0"/>
                      <w:marBottom w:val="0"/>
                      <w:divBdr>
                        <w:top w:val="none" w:sz="0" w:space="0" w:color="auto"/>
                        <w:left w:val="none" w:sz="0" w:space="0" w:color="auto"/>
                        <w:bottom w:val="none" w:sz="0" w:space="0" w:color="auto"/>
                        <w:right w:val="none" w:sz="0" w:space="0" w:color="auto"/>
                      </w:divBdr>
                    </w:div>
                  </w:divsChild>
                </w:div>
                <w:div w:id="1080715536">
                  <w:marLeft w:val="0"/>
                  <w:marRight w:val="0"/>
                  <w:marTop w:val="0"/>
                  <w:marBottom w:val="0"/>
                  <w:divBdr>
                    <w:top w:val="none" w:sz="0" w:space="0" w:color="auto"/>
                    <w:left w:val="none" w:sz="0" w:space="0" w:color="auto"/>
                    <w:bottom w:val="none" w:sz="0" w:space="0" w:color="auto"/>
                    <w:right w:val="none" w:sz="0" w:space="0" w:color="auto"/>
                  </w:divBdr>
                  <w:divsChild>
                    <w:div w:id="68965036">
                      <w:marLeft w:val="0"/>
                      <w:marRight w:val="0"/>
                      <w:marTop w:val="0"/>
                      <w:marBottom w:val="0"/>
                      <w:divBdr>
                        <w:top w:val="none" w:sz="0" w:space="0" w:color="auto"/>
                        <w:left w:val="none" w:sz="0" w:space="0" w:color="auto"/>
                        <w:bottom w:val="none" w:sz="0" w:space="0" w:color="auto"/>
                        <w:right w:val="none" w:sz="0" w:space="0" w:color="auto"/>
                      </w:divBdr>
                    </w:div>
                    <w:div w:id="821891235">
                      <w:marLeft w:val="0"/>
                      <w:marRight w:val="0"/>
                      <w:marTop w:val="0"/>
                      <w:marBottom w:val="0"/>
                      <w:divBdr>
                        <w:top w:val="none" w:sz="0" w:space="0" w:color="auto"/>
                        <w:left w:val="none" w:sz="0" w:space="0" w:color="auto"/>
                        <w:bottom w:val="none" w:sz="0" w:space="0" w:color="auto"/>
                        <w:right w:val="none" w:sz="0" w:space="0" w:color="auto"/>
                      </w:divBdr>
                    </w:div>
                  </w:divsChild>
                </w:div>
                <w:div w:id="1091895564">
                  <w:marLeft w:val="0"/>
                  <w:marRight w:val="0"/>
                  <w:marTop w:val="0"/>
                  <w:marBottom w:val="0"/>
                  <w:divBdr>
                    <w:top w:val="none" w:sz="0" w:space="0" w:color="auto"/>
                    <w:left w:val="none" w:sz="0" w:space="0" w:color="auto"/>
                    <w:bottom w:val="none" w:sz="0" w:space="0" w:color="auto"/>
                    <w:right w:val="none" w:sz="0" w:space="0" w:color="auto"/>
                  </w:divBdr>
                  <w:divsChild>
                    <w:div w:id="452865492">
                      <w:marLeft w:val="0"/>
                      <w:marRight w:val="0"/>
                      <w:marTop w:val="0"/>
                      <w:marBottom w:val="0"/>
                      <w:divBdr>
                        <w:top w:val="none" w:sz="0" w:space="0" w:color="auto"/>
                        <w:left w:val="none" w:sz="0" w:space="0" w:color="auto"/>
                        <w:bottom w:val="none" w:sz="0" w:space="0" w:color="auto"/>
                        <w:right w:val="none" w:sz="0" w:space="0" w:color="auto"/>
                      </w:divBdr>
                    </w:div>
                  </w:divsChild>
                </w:div>
                <w:div w:id="1109858759">
                  <w:marLeft w:val="0"/>
                  <w:marRight w:val="0"/>
                  <w:marTop w:val="0"/>
                  <w:marBottom w:val="0"/>
                  <w:divBdr>
                    <w:top w:val="none" w:sz="0" w:space="0" w:color="auto"/>
                    <w:left w:val="none" w:sz="0" w:space="0" w:color="auto"/>
                    <w:bottom w:val="none" w:sz="0" w:space="0" w:color="auto"/>
                    <w:right w:val="none" w:sz="0" w:space="0" w:color="auto"/>
                  </w:divBdr>
                  <w:divsChild>
                    <w:div w:id="1718043804">
                      <w:marLeft w:val="0"/>
                      <w:marRight w:val="0"/>
                      <w:marTop w:val="0"/>
                      <w:marBottom w:val="0"/>
                      <w:divBdr>
                        <w:top w:val="none" w:sz="0" w:space="0" w:color="auto"/>
                        <w:left w:val="none" w:sz="0" w:space="0" w:color="auto"/>
                        <w:bottom w:val="none" w:sz="0" w:space="0" w:color="auto"/>
                        <w:right w:val="none" w:sz="0" w:space="0" w:color="auto"/>
                      </w:divBdr>
                    </w:div>
                  </w:divsChild>
                </w:div>
                <w:div w:id="1166676284">
                  <w:marLeft w:val="0"/>
                  <w:marRight w:val="0"/>
                  <w:marTop w:val="0"/>
                  <w:marBottom w:val="0"/>
                  <w:divBdr>
                    <w:top w:val="none" w:sz="0" w:space="0" w:color="auto"/>
                    <w:left w:val="none" w:sz="0" w:space="0" w:color="auto"/>
                    <w:bottom w:val="none" w:sz="0" w:space="0" w:color="auto"/>
                    <w:right w:val="none" w:sz="0" w:space="0" w:color="auto"/>
                  </w:divBdr>
                  <w:divsChild>
                    <w:div w:id="1901674732">
                      <w:marLeft w:val="0"/>
                      <w:marRight w:val="0"/>
                      <w:marTop w:val="0"/>
                      <w:marBottom w:val="0"/>
                      <w:divBdr>
                        <w:top w:val="none" w:sz="0" w:space="0" w:color="auto"/>
                        <w:left w:val="none" w:sz="0" w:space="0" w:color="auto"/>
                        <w:bottom w:val="none" w:sz="0" w:space="0" w:color="auto"/>
                        <w:right w:val="none" w:sz="0" w:space="0" w:color="auto"/>
                      </w:divBdr>
                    </w:div>
                  </w:divsChild>
                </w:div>
                <w:div w:id="1200894921">
                  <w:marLeft w:val="0"/>
                  <w:marRight w:val="0"/>
                  <w:marTop w:val="0"/>
                  <w:marBottom w:val="0"/>
                  <w:divBdr>
                    <w:top w:val="none" w:sz="0" w:space="0" w:color="auto"/>
                    <w:left w:val="none" w:sz="0" w:space="0" w:color="auto"/>
                    <w:bottom w:val="none" w:sz="0" w:space="0" w:color="auto"/>
                    <w:right w:val="none" w:sz="0" w:space="0" w:color="auto"/>
                  </w:divBdr>
                  <w:divsChild>
                    <w:div w:id="1430537886">
                      <w:marLeft w:val="0"/>
                      <w:marRight w:val="0"/>
                      <w:marTop w:val="0"/>
                      <w:marBottom w:val="0"/>
                      <w:divBdr>
                        <w:top w:val="none" w:sz="0" w:space="0" w:color="auto"/>
                        <w:left w:val="none" w:sz="0" w:space="0" w:color="auto"/>
                        <w:bottom w:val="none" w:sz="0" w:space="0" w:color="auto"/>
                        <w:right w:val="none" w:sz="0" w:space="0" w:color="auto"/>
                      </w:divBdr>
                    </w:div>
                  </w:divsChild>
                </w:div>
                <w:div w:id="1218585075">
                  <w:marLeft w:val="0"/>
                  <w:marRight w:val="0"/>
                  <w:marTop w:val="0"/>
                  <w:marBottom w:val="0"/>
                  <w:divBdr>
                    <w:top w:val="none" w:sz="0" w:space="0" w:color="auto"/>
                    <w:left w:val="none" w:sz="0" w:space="0" w:color="auto"/>
                    <w:bottom w:val="none" w:sz="0" w:space="0" w:color="auto"/>
                    <w:right w:val="none" w:sz="0" w:space="0" w:color="auto"/>
                  </w:divBdr>
                  <w:divsChild>
                    <w:div w:id="263155081">
                      <w:marLeft w:val="0"/>
                      <w:marRight w:val="0"/>
                      <w:marTop w:val="0"/>
                      <w:marBottom w:val="0"/>
                      <w:divBdr>
                        <w:top w:val="none" w:sz="0" w:space="0" w:color="auto"/>
                        <w:left w:val="none" w:sz="0" w:space="0" w:color="auto"/>
                        <w:bottom w:val="none" w:sz="0" w:space="0" w:color="auto"/>
                        <w:right w:val="none" w:sz="0" w:space="0" w:color="auto"/>
                      </w:divBdr>
                    </w:div>
                    <w:div w:id="742144088">
                      <w:marLeft w:val="0"/>
                      <w:marRight w:val="0"/>
                      <w:marTop w:val="0"/>
                      <w:marBottom w:val="0"/>
                      <w:divBdr>
                        <w:top w:val="none" w:sz="0" w:space="0" w:color="auto"/>
                        <w:left w:val="none" w:sz="0" w:space="0" w:color="auto"/>
                        <w:bottom w:val="none" w:sz="0" w:space="0" w:color="auto"/>
                        <w:right w:val="none" w:sz="0" w:space="0" w:color="auto"/>
                      </w:divBdr>
                    </w:div>
                    <w:div w:id="856961896">
                      <w:marLeft w:val="0"/>
                      <w:marRight w:val="0"/>
                      <w:marTop w:val="0"/>
                      <w:marBottom w:val="0"/>
                      <w:divBdr>
                        <w:top w:val="none" w:sz="0" w:space="0" w:color="auto"/>
                        <w:left w:val="none" w:sz="0" w:space="0" w:color="auto"/>
                        <w:bottom w:val="none" w:sz="0" w:space="0" w:color="auto"/>
                        <w:right w:val="none" w:sz="0" w:space="0" w:color="auto"/>
                      </w:divBdr>
                    </w:div>
                  </w:divsChild>
                </w:div>
                <w:div w:id="1234200029">
                  <w:marLeft w:val="0"/>
                  <w:marRight w:val="0"/>
                  <w:marTop w:val="0"/>
                  <w:marBottom w:val="0"/>
                  <w:divBdr>
                    <w:top w:val="none" w:sz="0" w:space="0" w:color="auto"/>
                    <w:left w:val="none" w:sz="0" w:space="0" w:color="auto"/>
                    <w:bottom w:val="none" w:sz="0" w:space="0" w:color="auto"/>
                    <w:right w:val="none" w:sz="0" w:space="0" w:color="auto"/>
                  </w:divBdr>
                  <w:divsChild>
                    <w:div w:id="540244162">
                      <w:marLeft w:val="0"/>
                      <w:marRight w:val="0"/>
                      <w:marTop w:val="0"/>
                      <w:marBottom w:val="0"/>
                      <w:divBdr>
                        <w:top w:val="none" w:sz="0" w:space="0" w:color="auto"/>
                        <w:left w:val="none" w:sz="0" w:space="0" w:color="auto"/>
                        <w:bottom w:val="none" w:sz="0" w:space="0" w:color="auto"/>
                        <w:right w:val="none" w:sz="0" w:space="0" w:color="auto"/>
                      </w:divBdr>
                    </w:div>
                  </w:divsChild>
                </w:div>
                <w:div w:id="1325742762">
                  <w:marLeft w:val="0"/>
                  <w:marRight w:val="0"/>
                  <w:marTop w:val="0"/>
                  <w:marBottom w:val="0"/>
                  <w:divBdr>
                    <w:top w:val="none" w:sz="0" w:space="0" w:color="auto"/>
                    <w:left w:val="none" w:sz="0" w:space="0" w:color="auto"/>
                    <w:bottom w:val="none" w:sz="0" w:space="0" w:color="auto"/>
                    <w:right w:val="none" w:sz="0" w:space="0" w:color="auto"/>
                  </w:divBdr>
                  <w:divsChild>
                    <w:div w:id="911544807">
                      <w:marLeft w:val="0"/>
                      <w:marRight w:val="0"/>
                      <w:marTop w:val="0"/>
                      <w:marBottom w:val="0"/>
                      <w:divBdr>
                        <w:top w:val="none" w:sz="0" w:space="0" w:color="auto"/>
                        <w:left w:val="none" w:sz="0" w:space="0" w:color="auto"/>
                        <w:bottom w:val="none" w:sz="0" w:space="0" w:color="auto"/>
                        <w:right w:val="none" w:sz="0" w:space="0" w:color="auto"/>
                      </w:divBdr>
                    </w:div>
                  </w:divsChild>
                </w:div>
                <w:div w:id="1453209817">
                  <w:marLeft w:val="0"/>
                  <w:marRight w:val="0"/>
                  <w:marTop w:val="0"/>
                  <w:marBottom w:val="0"/>
                  <w:divBdr>
                    <w:top w:val="none" w:sz="0" w:space="0" w:color="auto"/>
                    <w:left w:val="none" w:sz="0" w:space="0" w:color="auto"/>
                    <w:bottom w:val="none" w:sz="0" w:space="0" w:color="auto"/>
                    <w:right w:val="none" w:sz="0" w:space="0" w:color="auto"/>
                  </w:divBdr>
                  <w:divsChild>
                    <w:div w:id="302738128">
                      <w:marLeft w:val="0"/>
                      <w:marRight w:val="0"/>
                      <w:marTop w:val="0"/>
                      <w:marBottom w:val="0"/>
                      <w:divBdr>
                        <w:top w:val="none" w:sz="0" w:space="0" w:color="auto"/>
                        <w:left w:val="none" w:sz="0" w:space="0" w:color="auto"/>
                        <w:bottom w:val="none" w:sz="0" w:space="0" w:color="auto"/>
                        <w:right w:val="none" w:sz="0" w:space="0" w:color="auto"/>
                      </w:divBdr>
                    </w:div>
                  </w:divsChild>
                </w:div>
                <w:div w:id="1478304544">
                  <w:marLeft w:val="0"/>
                  <w:marRight w:val="0"/>
                  <w:marTop w:val="0"/>
                  <w:marBottom w:val="0"/>
                  <w:divBdr>
                    <w:top w:val="none" w:sz="0" w:space="0" w:color="auto"/>
                    <w:left w:val="none" w:sz="0" w:space="0" w:color="auto"/>
                    <w:bottom w:val="none" w:sz="0" w:space="0" w:color="auto"/>
                    <w:right w:val="none" w:sz="0" w:space="0" w:color="auto"/>
                  </w:divBdr>
                  <w:divsChild>
                    <w:div w:id="1505826019">
                      <w:marLeft w:val="0"/>
                      <w:marRight w:val="0"/>
                      <w:marTop w:val="0"/>
                      <w:marBottom w:val="0"/>
                      <w:divBdr>
                        <w:top w:val="none" w:sz="0" w:space="0" w:color="auto"/>
                        <w:left w:val="none" w:sz="0" w:space="0" w:color="auto"/>
                        <w:bottom w:val="none" w:sz="0" w:space="0" w:color="auto"/>
                        <w:right w:val="none" w:sz="0" w:space="0" w:color="auto"/>
                      </w:divBdr>
                    </w:div>
                  </w:divsChild>
                </w:div>
                <w:div w:id="1520003497">
                  <w:marLeft w:val="0"/>
                  <w:marRight w:val="0"/>
                  <w:marTop w:val="0"/>
                  <w:marBottom w:val="0"/>
                  <w:divBdr>
                    <w:top w:val="none" w:sz="0" w:space="0" w:color="auto"/>
                    <w:left w:val="none" w:sz="0" w:space="0" w:color="auto"/>
                    <w:bottom w:val="none" w:sz="0" w:space="0" w:color="auto"/>
                    <w:right w:val="none" w:sz="0" w:space="0" w:color="auto"/>
                  </w:divBdr>
                  <w:divsChild>
                    <w:div w:id="2036273452">
                      <w:marLeft w:val="0"/>
                      <w:marRight w:val="0"/>
                      <w:marTop w:val="0"/>
                      <w:marBottom w:val="0"/>
                      <w:divBdr>
                        <w:top w:val="none" w:sz="0" w:space="0" w:color="auto"/>
                        <w:left w:val="none" w:sz="0" w:space="0" w:color="auto"/>
                        <w:bottom w:val="none" w:sz="0" w:space="0" w:color="auto"/>
                        <w:right w:val="none" w:sz="0" w:space="0" w:color="auto"/>
                      </w:divBdr>
                    </w:div>
                  </w:divsChild>
                </w:div>
                <w:div w:id="1523319915">
                  <w:marLeft w:val="0"/>
                  <w:marRight w:val="0"/>
                  <w:marTop w:val="0"/>
                  <w:marBottom w:val="0"/>
                  <w:divBdr>
                    <w:top w:val="none" w:sz="0" w:space="0" w:color="auto"/>
                    <w:left w:val="none" w:sz="0" w:space="0" w:color="auto"/>
                    <w:bottom w:val="none" w:sz="0" w:space="0" w:color="auto"/>
                    <w:right w:val="none" w:sz="0" w:space="0" w:color="auto"/>
                  </w:divBdr>
                  <w:divsChild>
                    <w:div w:id="45763425">
                      <w:marLeft w:val="0"/>
                      <w:marRight w:val="0"/>
                      <w:marTop w:val="0"/>
                      <w:marBottom w:val="0"/>
                      <w:divBdr>
                        <w:top w:val="none" w:sz="0" w:space="0" w:color="auto"/>
                        <w:left w:val="none" w:sz="0" w:space="0" w:color="auto"/>
                        <w:bottom w:val="none" w:sz="0" w:space="0" w:color="auto"/>
                        <w:right w:val="none" w:sz="0" w:space="0" w:color="auto"/>
                      </w:divBdr>
                    </w:div>
                  </w:divsChild>
                </w:div>
                <w:div w:id="1623152368">
                  <w:marLeft w:val="0"/>
                  <w:marRight w:val="0"/>
                  <w:marTop w:val="0"/>
                  <w:marBottom w:val="0"/>
                  <w:divBdr>
                    <w:top w:val="none" w:sz="0" w:space="0" w:color="auto"/>
                    <w:left w:val="none" w:sz="0" w:space="0" w:color="auto"/>
                    <w:bottom w:val="none" w:sz="0" w:space="0" w:color="auto"/>
                    <w:right w:val="none" w:sz="0" w:space="0" w:color="auto"/>
                  </w:divBdr>
                  <w:divsChild>
                    <w:div w:id="785581376">
                      <w:marLeft w:val="0"/>
                      <w:marRight w:val="0"/>
                      <w:marTop w:val="0"/>
                      <w:marBottom w:val="0"/>
                      <w:divBdr>
                        <w:top w:val="none" w:sz="0" w:space="0" w:color="auto"/>
                        <w:left w:val="none" w:sz="0" w:space="0" w:color="auto"/>
                        <w:bottom w:val="none" w:sz="0" w:space="0" w:color="auto"/>
                        <w:right w:val="none" w:sz="0" w:space="0" w:color="auto"/>
                      </w:divBdr>
                    </w:div>
                    <w:div w:id="1937209750">
                      <w:marLeft w:val="0"/>
                      <w:marRight w:val="0"/>
                      <w:marTop w:val="0"/>
                      <w:marBottom w:val="0"/>
                      <w:divBdr>
                        <w:top w:val="none" w:sz="0" w:space="0" w:color="auto"/>
                        <w:left w:val="none" w:sz="0" w:space="0" w:color="auto"/>
                        <w:bottom w:val="none" w:sz="0" w:space="0" w:color="auto"/>
                        <w:right w:val="none" w:sz="0" w:space="0" w:color="auto"/>
                      </w:divBdr>
                    </w:div>
                  </w:divsChild>
                </w:div>
                <w:div w:id="1728457653">
                  <w:marLeft w:val="0"/>
                  <w:marRight w:val="0"/>
                  <w:marTop w:val="0"/>
                  <w:marBottom w:val="0"/>
                  <w:divBdr>
                    <w:top w:val="none" w:sz="0" w:space="0" w:color="auto"/>
                    <w:left w:val="none" w:sz="0" w:space="0" w:color="auto"/>
                    <w:bottom w:val="none" w:sz="0" w:space="0" w:color="auto"/>
                    <w:right w:val="none" w:sz="0" w:space="0" w:color="auto"/>
                  </w:divBdr>
                  <w:divsChild>
                    <w:div w:id="857933520">
                      <w:marLeft w:val="0"/>
                      <w:marRight w:val="0"/>
                      <w:marTop w:val="0"/>
                      <w:marBottom w:val="0"/>
                      <w:divBdr>
                        <w:top w:val="none" w:sz="0" w:space="0" w:color="auto"/>
                        <w:left w:val="none" w:sz="0" w:space="0" w:color="auto"/>
                        <w:bottom w:val="none" w:sz="0" w:space="0" w:color="auto"/>
                        <w:right w:val="none" w:sz="0" w:space="0" w:color="auto"/>
                      </w:divBdr>
                    </w:div>
                    <w:div w:id="2077317748">
                      <w:marLeft w:val="0"/>
                      <w:marRight w:val="0"/>
                      <w:marTop w:val="0"/>
                      <w:marBottom w:val="0"/>
                      <w:divBdr>
                        <w:top w:val="none" w:sz="0" w:space="0" w:color="auto"/>
                        <w:left w:val="none" w:sz="0" w:space="0" w:color="auto"/>
                        <w:bottom w:val="none" w:sz="0" w:space="0" w:color="auto"/>
                        <w:right w:val="none" w:sz="0" w:space="0" w:color="auto"/>
                      </w:divBdr>
                    </w:div>
                  </w:divsChild>
                </w:div>
                <w:div w:id="1780682715">
                  <w:marLeft w:val="0"/>
                  <w:marRight w:val="0"/>
                  <w:marTop w:val="0"/>
                  <w:marBottom w:val="0"/>
                  <w:divBdr>
                    <w:top w:val="none" w:sz="0" w:space="0" w:color="auto"/>
                    <w:left w:val="none" w:sz="0" w:space="0" w:color="auto"/>
                    <w:bottom w:val="none" w:sz="0" w:space="0" w:color="auto"/>
                    <w:right w:val="none" w:sz="0" w:space="0" w:color="auto"/>
                  </w:divBdr>
                  <w:divsChild>
                    <w:div w:id="1664118601">
                      <w:marLeft w:val="0"/>
                      <w:marRight w:val="0"/>
                      <w:marTop w:val="0"/>
                      <w:marBottom w:val="0"/>
                      <w:divBdr>
                        <w:top w:val="none" w:sz="0" w:space="0" w:color="auto"/>
                        <w:left w:val="none" w:sz="0" w:space="0" w:color="auto"/>
                        <w:bottom w:val="none" w:sz="0" w:space="0" w:color="auto"/>
                        <w:right w:val="none" w:sz="0" w:space="0" w:color="auto"/>
                      </w:divBdr>
                    </w:div>
                  </w:divsChild>
                </w:div>
                <w:div w:id="1855412893">
                  <w:marLeft w:val="0"/>
                  <w:marRight w:val="0"/>
                  <w:marTop w:val="0"/>
                  <w:marBottom w:val="0"/>
                  <w:divBdr>
                    <w:top w:val="none" w:sz="0" w:space="0" w:color="auto"/>
                    <w:left w:val="none" w:sz="0" w:space="0" w:color="auto"/>
                    <w:bottom w:val="none" w:sz="0" w:space="0" w:color="auto"/>
                    <w:right w:val="none" w:sz="0" w:space="0" w:color="auto"/>
                  </w:divBdr>
                  <w:divsChild>
                    <w:div w:id="1963344159">
                      <w:marLeft w:val="0"/>
                      <w:marRight w:val="0"/>
                      <w:marTop w:val="0"/>
                      <w:marBottom w:val="0"/>
                      <w:divBdr>
                        <w:top w:val="none" w:sz="0" w:space="0" w:color="auto"/>
                        <w:left w:val="none" w:sz="0" w:space="0" w:color="auto"/>
                        <w:bottom w:val="none" w:sz="0" w:space="0" w:color="auto"/>
                        <w:right w:val="none" w:sz="0" w:space="0" w:color="auto"/>
                      </w:divBdr>
                    </w:div>
                  </w:divsChild>
                </w:div>
                <w:div w:id="1908302684">
                  <w:marLeft w:val="0"/>
                  <w:marRight w:val="0"/>
                  <w:marTop w:val="0"/>
                  <w:marBottom w:val="0"/>
                  <w:divBdr>
                    <w:top w:val="none" w:sz="0" w:space="0" w:color="auto"/>
                    <w:left w:val="none" w:sz="0" w:space="0" w:color="auto"/>
                    <w:bottom w:val="none" w:sz="0" w:space="0" w:color="auto"/>
                    <w:right w:val="none" w:sz="0" w:space="0" w:color="auto"/>
                  </w:divBdr>
                  <w:divsChild>
                    <w:div w:id="127479040">
                      <w:marLeft w:val="0"/>
                      <w:marRight w:val="0"/>
                      <w:marTop w:val="0"/>
                      <w:marBottom w:val="0"/>
                      <w:divBdr>
                        <w:top w:val="none" w:sz="0" w:space="0" w:color="auto"/>
                        <w:left w:val="none" w:sz="0" w:space="0" w:color="auto"/>
                        <w:bottom w:val="none" w:sz="0" w:space="0" w:color="auto"/>
                        <w:right w:val="none" w:sz="0" w:space="0" w:color="auto"/>
                      </w:divBdr>
                    </w:div>
                    <w:div w:id="1086077893">
                      <w:marLeft w:val="0"/>
                      <w:marRight w:val="0"/>
                      <w:marTop w:val="0"/>
                      <w:marBottom w:val="0"/>
                      <w:divBdr>
                        <w:top w:val="none" w:sz="0" w:space="0" w:color="auto"/>
                        <w:left w:val="none" w:sz="0" w:space="0" w:color="auto"/>
                        <w:bottom w:val="none" w:sz="0" w:space="0" w:color="auto"/>
                        <w:right w:val="none" w:sz="0" w:space="0" w:color="auto"/>
                      </w:divBdr>
                    </w:div>
                  </w:divsChild>
                </w:div>
                <w:div w:id="1977568065">
                  <w:marLeft w:val="0"/>
                  <w:marRight w:val="0"/>
                  <w:marTop w:val="0"/>
                  <w:marBottom w:val="0"/>
                  <w:divBdr>
                    <w:top w:val="none" w:sz="0" w:space="0" w:color="auto"/>
                    <w:left w:val="none" w:sz="0" w:space="0" w:color="auto"/>
                    <w:bottom w:val="none" w:sz="0" w:space="0" w:color="auto"/>
                    <w:right w:val="none" w:sz="0" w:space="0" w:color="auto"/>
                  </w:divBdr>
                  <w:divsChild>
                    <w:div w:id="1820229160">
                      <w:marLeft w:val="0"/>
                      <w:marRight w:val="0"/>
                      <w:marTop w:val="0"/>
                      <w:marBottom w:val="0"/>
                      <w:divBdr>
                        <w:top w:val="none" w:sz="0" w:space="0" w:color="auto"/>
                        <w:left w:val="none" w:sz="0" w:space="0" w:color="auto"/>
                        <w:bottom w:val="none" w:sz="0" w:space="0" w:color="auto"/>
                        <w:right w:val="none" w:sz="0" w:space="0" w:color="auto"/>
                      </w:divBdr>
                    </w:div>
                    <w:div w:id="2138912588">
                      <w:marLeft w:val="0"/>
                      <w:marRight w:val="0"/>
                      <w:marTop w:val="0"/>
                      <w:marBottom w:val="0"/>
                      <w:divBdr>
                        <w:top w:val="none" w:sz="0" w:space="0" w:color="auto"/>
                        <w:left w:val="none" w:sz="0" w:space="0" w:color="auto"/>
                        <w:bottom w:val="none" w:sz="0" w:space="0" w:color="auto"/>
                        <w:right w:val="none" w:sz="0" w:space="0" w:color="auto"/>
                      </w:divBdr>
                    </w:div>
                  </w:divsChild>
                </w:div>
                <w:div w:id="2069455515">
                  <w:marLeft w:val="0"/>
                  <w:marRight w:val="0"/>
                  <w:marTop w:val="0"/>
                  <w:marBottom w:val="0"/>
                  <w:divBdr>
                    <w:top w:val="none" w:sz="0" w:space="0" w:color="auto"/>
                    <w:left w:val="none" w:sz="0" w:space="0" w:color="auto"/>
                    <w:bottom w:val="none" w:sz="0" w:space="0" w:color="auto"/>
                    <w:right w:val="none" w:sz="0" w:space="0" w:color="auto"/>
                  </w:divBdr>
                  <w:divsChild>
                    <w:div w:id="696540545">
                      <w:marLeft w:val="0"/>
                      <w:marRight w:val="0"/>
                      <w:marTop w:val="0"/>
                      <w:marBottom w:val="0"/>
                      <w:divBdr>
                        <w:top w:val="none" w:sz="0" w:space="0" w:color="auto"/>
                        <w:left w:val="none" w:sz="0" w:space="0" w:color="auto"/>
                        <w:bottom w:val="none" w:sz="0" w:space="0" w:color="auto"/>
                        <w:right w:val="none" w:sz="0" w:space="0" w:color="auto"/>
                      </w:divBdr>
                    </w:div>
                    <w:div w:id="13020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4541">
          <w:marLeft w:val="0"/>
          <w:marRight w:val="0"/>
          <w:marTop w:val="0"/>
          <w:marBottom w:val="0"/>
          <w:divBdr>
            <w:top w:val="none" w:sz="0" w:space="0" w:color="auto"/>
            <w:left w:val="none" w:sz="0" w:space="0" w:color="auto"/>
            <w:bottom w:val="none" w:sz="0" w:space="0" w:color="auto"/>
            <w:right w:val="none" w:sz="0" w:space="0" w:color="auto"/>
          </w:divBdr>
        </w:div>
        <w:div w:id="1179347296">
          <w:marLeft w:val="0"/>
          <w:marRight w:val="0"/>
          <w:marTop w:val="0"/>
          <w:marBottom w:val="0"/>
          <w:divBdr>
            <w:top w:val="none" w:sz="0" w:space="0" w:color="auto"/>
            <w:left w:val="none" w:sz="0" w:space="0" w:color="auto"/>
            <w:bottom w:val="none" w:sz="0" w:space="0" w:color="auto"/>
            <w:right w:val="none" w:sz="0" w:space="0" w:color="auto"/>
          </w:divBdr>
        </w:div>
        <w:div w:id="1202204323">
          <w:marLeft w:val="0"/>
          <w:marRight w:val="0"/>
          <w:marTop w:val="0"/>
          <w:marBottom w:val="0"/>
          <w:divBdr>
            <w:top w:val="none" w:sz="0" w:space="0" w:color="auto"/>
            <w:left w:val="none" w:sz="0" w:space="0" w:color="auto"/>
            <w:bottom w:val="none" w:sz="0" w:space="0" w:color="auto"/>
            <w:right w:val="none" w:sz="0" w:space="0" w:color="auto"/>
          </w:divBdr>
        </w:div>
        <w:div w:id="1288924675">
          <w:marLeft w:val="0"/>
          <w:marRight w:val="0"/>
          <w:marTop w:val="0"/>
          <w:marBottom w:val="0"/>
          <w:divBdr>
            <w:top w:val="none" w:sz="0" w:space="0" w:color="auto"/>
            <w:left w:val="none" w:sz="0" w:space="0" w:color="auto"/>
            <w:bottom w:val="none" w:sz="0" w:space="0" w:color="auto"/>
            <w:right w:val="none" w:sz="0" w:space="0" w:color="auto"/>
          </w:divBdr>
          <w:divsChild>
            <w:div w:id="1384331697">
              <w:marLeft w:val="-75"/>
              <w:marRight w:val="0"/>
              <w:marTop w:val="30"/>
              <w:marBottom w:val="30"/>
              <w:divBdr>
                <w:top w:val="none" w:sz="0" w:space="0" w:color="auto"/>
                <w:left w:val="none" w:sz="0" w:space="0" w:color="auto"/>
                <w:bottom w:val="none" w:sz="0" w:space="0" w:color="auto"/>
                <w:right w:val="none" w:sz="0" w:space="0" w:color="auto"/>
              </w:divBdr>
              <w:divsChild>
                <w:div w:id="8726903">
                  <w:marLeft w:val="0"/>
                  <w:marRight w:val="0"/>
                  <w:marTop w:val="0"/>
                  <w:marBottom w:val="0"/>
                  <w:divBdr>
                    <w:top w:val="none" w:sz="0" w:space="0" w:color="auto"/>
                    <w:left w:val="none" w:sz="0" w:space="0" w:color="auto"/>
                    <w:bottom w:val="none" w:sz="0" w:space="0" w:color="auto"/>
                    <w:right w:val="none" w:sz="0" w:space="0" w:color="auto"/>
                  </w:divBdr>
                  <w:divsChild>
                    <w:div w:id="930313434">
                      <w:marLeft w:val="0"/>
                      <w:marRight w:val="0"/>
                      <w:marTop w:val="0"/>
                      <w:marBottom w:val="0"/>
                      <w:divBdr>
                        <w:top w:val="none" w:sz="0" w:space="0" w:color="auto"/>
                        <w:left w:val="none" w:sz="0" w:space="0" w:color="auto"/>
                        <w:bottom w:val="none" w:sz="0" w:space="0" w:color="auto"/>
                        <w:right w:val="none" w:sz="0" w:space="0" w:color="auto"/>
                      </w:divBdr>
                    </w:div>
                  </w:divsChild>
                </w:div>
                <w:div w:id="221716283">
                  <w:marLeft w:val="0"/>
                  <w:marRight w:val="0"/>
                  <w:marTop w:val="0"/>
                  <w:marBottom w:val="0"/>
                  <w:divBdr>
                    <w:top w:val="none" w:sz="0" w:space="0" w:color="auto"/>
                    <w:left w:val="none" w:sz="0" w:space="0" w:color="auto"/>
                    <w:bottom w:val="none" w:sz="0" w:space="0" w:color="auto"/>
                    <w:right w:val="none" w:sz="0" w:space="0" w:color="auto"/>
                  </w:divBdr>
                  <w:divsChild>
                    <w:div w:id="723065765">
                      <w:marLeft w:val="0"/>
                      <w:marRight w:val="0"/>
                      <w:marTop w:val="0"/>
                      <w:marBottom w:val="0"/>
                      <w:divBdr>
                        <w:top w:val="none" w:sz="0" w:space="0" w:color="auto"/>
                        <w:left w:val="none" w:sz="0" w:space="0" w:color="auto"/>
                        <w:bottom w:val="none" w:sz="0" w:space="0" w:color="auto"/>
                        <w:right w:val="none" w:sz="0" w:space="0" w:color="auto"/>
                      </w:divBdr>
                    </w:div>
                  </w:divsChild>
                </w:div>
                <w:div w:id="356085366">
                  <w:marLeft w:val="0"/>
                  <w:marRight w:val="0"/>
                  <w:marTop w:val="0"/>
                  <w:marBottom w:val="0"/>
                  <w:divBdr>
                    <w:top w:val="none" w:sz="0" w:space="0" w:color="auto"/>
                    <w:left w:val="none" w:sz="0" w:space="0" w:color="auto"/>
                    <w:bottom w:val="none" w:sz="0" w:space="0" w:color="auto"/>
                    <w:right w:val="none" w:sz="0" w:space="0" w:color="auto"/>
                  </w:divBdr>
                  <w:divsChild>
                    <w:div w:id="125516488">
                      <w:marLeft w:val="0"/>
                      <w:marRight w:val="0"/>
                      <w:marTop w:val="0"/>
                      <w:marBottom w:val="0"/>
                      <w:divBdr>
                        <w:top w:val="none" w:sz="0" w:space="0" w:color="auto"/>
                        <w:left w:val="none" w:sz="0" w:space="0" w:color="auto"/>
                        <w:bottom w:val="none" w:sz="0" w:space="0" w:color="auto"/>
                        <w:right w:val="none" w:sz="0" w:space="0" w:color="auto"/>
                      </w:divBdr>
                    </w:div>
                  </w:divsChild>
                </w:div>
                <w:div w:id="436415445">
                  <w:marLeft w:val="0"/>
                  <w:marRight w:val="0"/>
                  <w:marTop w:val="0"/>
                  <w:marBottom w:val="0"/>
                  <w:divBdr>
                    <w:top w:val="none" w:sz="0" w:space="0" w:color="auto"/>
                    <w:left w:val="none" w:sz="0" w:space="0" w:color="auto"/>
                    <w:bottom w:val="none" w:sz="0" w:space="0" w:color="auto"/>
                    <w:right w:val="none" w:sz="0" w:space="0" w:color="auto"/>
                  </w:divBdr>
                  <w:divsChild>
                    <w:div w:id="90665799">
                      <w:marLeft w:val="0"/>
                      <w:marRight w:val="0"/>
                      <w:marTop w:val="0"/>
                      <w:marBottom w:val="0"/>
                      <w:divBdr>
                        <w:top w:val="none" w:sz="0" w:space="0" w:color="auto"/>
                        <w:left w:val="none" w:sz="0" w:space="0" w:color="auto"/>
                        <w:bottom w:val="none" w:sz="0" w:space="0" w:color="auto"/>
                        <w:right w:val="none" w:sz="0" w:space="0" w:color="auto"/>
                      </w:divBdr>
                    </w:div>
                  </w:divsChild>
                </w:div>
                <w:div w:id="488181019">
                  <w:marLeft w:val="0"/>
                  <w:marRight w:val="0"/>
                  <w:marTop w:val="0"/>
                  <w:marBottom w:val="0"/>
                  <w:divBdr>
                    <w:top w:val="none" w:sz="0" w:space="0" w:color="auto"/>
                    <w:left w:val="none" w:sz="0" w:space="0" w:color="auto"/>
                    <w:bottom w:val="none" w:sz="0" w:space="0" w:color="auto"/>
                    <w:right w:val="none" w:sz="0" w:space="0" w:color="auto"/>
                  </w:divBdr>
                  <w:divsChild>
                    <w:div w:id="1982036861">
                      <w:marLeft w:val="0"/>
                      <w:marRight w:val="0"/>
                      <w:marTop w:val="0"/>
                      <w:marBottom w:val="0"/>
                      <w:divBdr>
                        <w:top w:val="none" w:sz="0" w:space="0" w:color="auto"/>
                        <w:left w:val="none" w:sz="0" w:space="0" w:color="auto"/>
                        <w:bottom w:val="none" w:sz="0" w:space="0" w:color="auto"/>
                        <w:right w:val="none" w:sz="0" w:space="0" w:color="auto"/>
                      </w:divBdr>
                    </w:div>
                  </w:divsChild>
                </w:div>
                <w:div w:id="510726426">
                  <w:marLeft w:val="0"/>
                  <w:marRight w:val="0"/>
                  <w:marTop w:val="0"/>
                  <w:marBottom w:val="0"/>
                  <w:divBdr>
                    <w:top w:val="none" w:sz="0" w:space="0" w:color="auto"/>
                    <w:left w:val="none" w:sz="0" w:space="0" w:color="auto"/>
                    <w:bottom w:val="none" w:sz="0" w:space="0" w:color="auto"/>
                    <w:right w:val="none" w:sz="0" w:space="0" w:color="auto"/>
                  </w:divBdr>
                  <w:divsChild>
                    <w:div w:id="1014309854">
                      <w:marLeft w:val="0"/>
                      <w:marRight w:val="0"/>
                      <w:marTop w:val="0"/>
                      <w:marBottom w:val="0"/>
                      <w:divBdr>
                        <w:top w:val="none" w:sz="0" w:space="0" w:color="auto"/>
                        <w:left w:val="none" w:sz="0" w:space="0" w:color="auto"/>
                        <w:bottom w:val="none" w:sz="0" w:space="0" w:color="auto"/>
                        <w:right w:val="none" w:sz="0" w:space="0" w:color="auto"/>
                      </w:divBdr>
                    </w:div>
                  </w:divsChild>
                </w:div>
                <w:div w:id="529533971">
                  <w:marLeft w:val="0"/>
                  <w:marRight w:val="0"/>
                  <w:marTop w:val="0"/>
                  <w:marBottom w:val="0"/>
                  <w:divBdr>
                    <w:top w:val="none" w:sz="0" w:space="0" w:color="auto"/>
                    <w:left w:val="none" w:sz="0" w:space="0" w:color="auto"/>
                    <w:bottom w:val="none" w:sz="0" w:space="0" w:color="auto"/>
                    <w:right w:val="none" w:sz="0" w:space="0" w:color="auto"/>
                  </w:divBdr>
                  <w:divsChild>
                    <w:div w:id="560530279">
                      <w:marLeft w:val="0"/>
                      <w:marRight w:val="0"/>
                      <w:marTop w:val="0"/>
                      <w:marBottom w:val="0"/>
                      <w:divBdr>
                        <w:top w:val="none" w:sz="0" w:space="0" w:color="auto"/>
                        <w:left w:val="none" w:sz="0" w:space="0" w:color="auto"/>
                        <w:bottom w:val="none" w:sz="0" w:space="0" w:color="auto"/>
                        <w:right w:val="none" w:sz="0" w:space="0" w:color="auto"/>
                      </w:divBdr>
                    </w:div>
                  </w:divsChild>
                </w:div>
                <w:div w:id="543639396">
                  <w:marLeft w:val="0"/>
                  <w:marRight w:val="0"/>
                  <w:marTop w:val="0"/>
                  <w:marBottom w:val="0"/>
                  <w:divBdr>
                    <w:top w:val="none" w:sz="0" w:space="0" w:color="auto"/>
                    <w:left w:val="none" w:sz="0" w:space="0" w:color="auto"/>
                    <w:bottom w:val="none" w:sz="0" w:space="0" w:color="auto"/>
                    <w:right w:val="none" w:sz="0" w:space="0" w:color="auto"/>
                  </w:divBdr>
                  <w:divsChild>
                    <w:div w:id="1244874147">
                      <w:marLeft w:val="0"/>
                      <w:marRight w:val="0"/>
                      <w:marTop w:val="0"/>
                      <w:marBottom w:val="0"/>
                      <w:divBdr>
                        <w:top w:val="none" w:sz="0" w:space="0" w:color="auto"/>
                        <w:left w:val="none" w:sz="0" w:space="0" w:color="auto"/>
                        <w:bottom w:val="none" w:sz="0" w:space="0" w:color="auto"/>
                        <w:right w:val="none" w:sz="0" w:space="0" w:color="auto"/>
                      </w:divBdr>
                    </w:div>
                  </w:divsChild>
                </w:div>
                <w:div w:id="587353220">
                  <w:marLeft w:val="0"/>
                  <w:marRight w:val="0"/>
                  <w:marTop w:val="0"/>
                  <w:marBottom w:val="0"/>
                  <w:divBdr>
                    <w:top w:val="none" w:sz="0" w:space="0" w:color="auto"/>
                    <w:left w:val="none" w:sz="0" w:space="0" w:color="auto"/>
                    <w:bottom w:val="none" w:sz="0" w:space="0" w:color="auto"/>
                    <w:right w:val="none" w:sz="0" w:space="0" w:color="auto"/>
                  </w:divBdr>
                  <w:divsChild>
                    <w:div w:id="113212819">
                      <w:marLeft w:val="0"/>
                      <w:marRight w:val="0"/>
                      <w:marTop w:val="0"/>
                      <w:marBottom w:val="0"/>
                      <w:divBdr>
                        <w:top w:val="none" w:sz="0" w:space="0" w:color="auto"/>
                        <w:left w:val="none" w:sz="0" w:space="0" w:color="auto"/>
                        <w:bottom w:val="none" w:sz="0" w:space="0" w:color="auto"/>
                        <w:right w:val="none" w:sz="0" w:space="0" w:color="auto"/>
                      </w:divBdr>
                    </w:div>
                    <w:div w:id="1217812389">
                      <w:marLeft w:val="0"/>
                      <w:marRight w:val="0"/>
                      <w:marTop w:val="0"/>
                      <w:marBottom w:val="0"/>
                      <w:divBdr>
                        <w:top w:val="none" w:sz="0" w:space="0" w:color="auto"/>
                        <w:left w:val="none" w:sz="0" w:space="0" w:color="auto"/>
                        <w:bottom w:val="none" w:sz="0" w:space="0" w:color="auto"/>
                        <w:right w:val="none" w:sz="0" w:space="0" w:color="auto"/>
                      </w:divBdr>
                    </w:div>
                  </w:divsChild>
                </w:div>
                <w:div w:id="621306822">
                  <w:marLeft w:val="0"/>
                  <w:marRight w:val="0"/>
                  <w:marTop w:val="0"/>
                  <w:marBottom w:val="0"/>
                  <w:divBdr>
                    <w:top w:val="none" w:sz="0" w:space="0" w:color="auto"/>
                    <w:left w:val="none" w:sz="0" w:space="0" w:color="auto"/>
                    <w:bottom w:val="none" w:sz="0" w:space="0" w:color="auto"/>
                    <w:right w:val="none" w:sz="0" w:space="0" w:color="auto"/>
                  </w:divBdr>
                  <w:divsChild>
                    <w:div w:id="771248381">
                      <w:marLeft w:val="0"/>
                      <w:marRight w:val="0"/>
                      <w:marTop w:val="0"/>
                      <w:marBottom w:val="0"/>
                      <w:divBdr>
                        <w:top w:val="none" w:sz="0" w:space="0" w:color="auto"/>
                        <w:left w:val="none" w:sz="0" w:space="0" w:color="auto"/>
                        <w:bottom w:val="none" w:sz="0" w:space="0" w:color="auto"/>
                        <w:right w:val="none" w:sz="0" w:space="0" w:color="auto"/>
                      </w:divBdr>
                    </w:div>
                    <w:div w:id="2009360579">
                      <w:marLeft w:val="0"/>
                      <w:marRight w:val="0"/>
                      <w:marTop w:val="0"/>
                      <w:marBottom w:val="0"/>
                      <w:divBdr>
                        <w:top w:val="none" w:sz="0" w:space="0" w:color="auto"/>
                        <w:left w:val="none" w:sz="0" w:space="0" w:color="auto"/>
                        <w:bottom w:val="none" w:sz="0" w:space="0" w:color="auto"/>
                        <w:right w:val="none" w:sz="0" w:space="0" w:color="auto"/>
                      </w:divBdr>
                    </w:div>
                  </w:divsChild>
                </w:div>
                <w:div w:id="723141576">
                  <w:marLeft w:val="0"/>
                  <w:marRight w:val="0"/>
                  <w:marTop w:val="0"/>
                  <w:marBottom w:val="0"/>
                  <w:divBdr>
                    <w:top w:val="none" w:sz="0" w:space="0" w:color="auto"/>
                    <w:left w:val="none" w:sz="0" w:space="0" w:color="auto"/>
                    <w:bottom w:val="none" w:sz="0" w:space="0" w:color="auto"/>
                    <w:right w:val="none" w:sz="0" w:space="0" w:color="auto"/>
                  </w:divBdr>
                  <w:divsChild>
                    <w:div w:id="14427460">
                      <w:marLeft w:val="0"/>
                      <w:marRight w:val="0"/>
                      <w:marTop w:val="0"/>
                      <w:marBottom w:val="0"/>
                      <w:divBdr>
                        <w:top w:val="none" w:sz="0" w:space="0" w:color="auto"/>
                        <w:left w:val="none" w:sz="0" w:space="0" w:color="auto"/>
                        <w:bottom w:val="none" w:sz="0" w:space="0" w:color="auto"/>
                        <w:right w:val="none" w:sz="0" w:space="0" w:color="auto"/>
                      </w:divBdr>
                    </w:div>
                  </w:divsChild>
                </w:div>
                <w:div w:id="728308328">
                  <w:marLeft w:val="0"/>
                  <w:marRight w:val="0"/>
                  <w:marTop w:val="0"/>
                  <w:marBottom w:val="0"/>
                  <w:divBdr>
                    <w:top w:val="none" w:sz="0" w:space="0" w:color="auto"/>
                    <w:left w:val="none" w:sz="0" w:space="0" w:color="auto"/>
                    <w:bottom w:val="none" w:sz="0" w:space="0" w:color="auto"/>
                    <w:right w:val="none" w:sz="0" w:space="0" w:color="auto"/>
                  </w:divBdr>
                  <w:divsChild>
                    <w:div w:id="445387742">
                      <w:marLeft w:val="0"/>
                      <w:marRight w:val="0"/>
                      <w:marTop w:val="0"/>
                      <w:marBottom w:val="0"/>
                      <w:divBdr>
                        <w:top w:val="none" w:sz="0" w:space="0" w:color="auto"/>
                        <w:left w:val="none" w:sz="0" w:space="0" w:color="auto"/>
                        <w:bottom w:val="none" w:sz="0" w:space="0" w:color="auto"/>
                        <w:right w:val="none" w:sz="0" w:space="0" w:color="auto"/>
                      </w:divBdr>
                    </w:div>
                  </w:divsChild>
                </w:div>
                <w:div w:id="785277811">
                  <w:marLeft w:val="0"/>
                  <w:marRight w:val="0"/>
                  <w:marTop w:val="0"/>
                  <w:marBottom w:val="0"/>
                  <w:divBdr>
                    <w:top w:val="none" w:sz="0" w:space="0" w:color="auto"/>
                    <w:left w:val="none" w:sz="0" w:space="0" w:color="auto"/>
                    <w:bottom w:val="none" w:sz="0" w:space="0" w:color="auto"/>
                    <w:right w:val="none" w:sz="0" w:space="0" w:color="auto"/>
                  </w:divBdr>
                  <w:divsChild>
                    <w:div w:id="63646761">
                      <w:marLeft w:val="0"/>
                      <w:marRight w:val="0"/>
                      <w:marTop w:val="0"/>
                      <w:marBottom w:val="0"/>
                      <w:divBdr>
                        <w:top w:val="none" w:sz="0" w:space="0" w:color="auto"/>
                        <w:left w:val="none" w:sz="0" w:space="0" w:color="auto"/>
                        <w:bottom w:val="none" w:sz="0" w:space="0" w:color="auto"/>
                        <w:right w:val="none" w:sz="0" w:space="0" w:color="auto"/>
                      </w:divBdr>
                    </w:div>
                    <w:div w:id="590940751">
                      <w:marLeft w:val="0"/>
                      <w:marRight w:val="0"/>
                      <w:marTop w:val="0"/>
                      <w:marBottom w:val="0"/>
                      <w:divBdr>
                        <w:top w:val="none" w:sz="0" w:space="0" w:color="auto"/>
                        <w:left w:val="none" w:sz="0" w:space="0" w:color="auto"/>
                        <w:bottom w:val="none" w:sz="0" w:space="0" w:color="auto"/>
                        <w:right w:val="none" w:sz="0" w:space="0" w:color="auto"/>
                      </w:divBdr>
                    </w:div>
                    <w:div w:id="1015225770">
                      <w:marLeft w:val="0"/>
                      <w:marRight w:val="0"/>
                      <w:marTop w:val="0"/>
                      <w:marBottom w:val="0"/>
                      <w:divBdr>
                        <w:top w:val="none" w:sz="0" w:space="0" w:color="auto"/>
                        <w:left w:val="none" w:sz="0" w:space="0" w:color="auto"/>
                        <w:bottom w:val="none" w:sz="0" w:space="0" w:color="auto"/>
                        <w:right w:val="none" w:sz="0" w:space="0" w:color="auto"/>
                      </w:divBdr>
                    </w:div>
                  </w:divsChild>
                </w:div>
                <w:div w:id="799999600">
                  <w:marLeft w:val="0"/>
                  <w:marRight w:val="0"/>
                  <w:marTop w:val="0"/>
                  <w:marBottom w:val="0"/>
                  <w:divBdr>
                    <w:top w:val="none" w:sz="0" w:space="0" w:color="auto"/>
                    <w:left w:val="none" w:sz="0" w:space="0" w:color="auto"/>
                    <w:bottom w:val="none" w:sz="0" w:space="0" w:color="auto"/>
                    <w:right w:val="none" w:sz="0" w:space="0" w:color="auto"/>
                  </w:divBdr>
                  <w:divsChild>
                    <w:div w:id="1411348136">
                      <w:marLeft w:val="0"/>
                      <w:marRight w:val="0"/>
                      <w:marTop w:val="0"/>
                      <w:marBottom w:val="0"/>
                      <w:divBdr>
                        <w:top w:val="none" w:sz="0" w:space="0" w:color="auto"/>
                        <w:left w:val="none" w:sz="0" w:space="0" w:color="auto"/>
                        <w:bottom w:val="none" w:sz="0" w:space="0" w:color="auto"/>
                        <w:right w:val="none" w:sz="0" w:space="0" w:color="auto"/>
                      </w:divBdr>
                    </w:div>
                  </w:divsChild>
                </w:div>
                <w:div w:id="1151141548">
                  <w:marLeft w:val="0"/>
                  <w:marRight w:val="0"/>
                  <w:marTop w:val="0"/>
                  <w:marBottom w:val="0"/>
                  <w:divBdr>
                    <w:top w:val="none" w:sz="0" w:space="0" w:color="auto"/>
                    <w:left w:val="none" w:sz="0" w:space="0" w:color="auto"/>
                    <w:bottom w:val="none" w:sz="0" w:space="0" w:color="auto"/>
                    <w:right w:val="none" w:sz="0" w:space="0" w:color="auto"/>
                  </w:divBdr>
                  <w:divsChild>
                    <w:div w:id="412892193">
                      <w:marLeft w:val="0"/>
                      <w:marRight w:val="0"/>
                      <w:marTop w:val="0"/>
                      <w:marBottom w:val="0"/>
                      <w:divBdr>
                        <w:top w:val="none" w:sz="0" w:space="0" w:color="auto"/>
                        <w:left w:val="none" w:sz="0" w:space="0" w:color="auto"/>
                        <w:bottom w:val="none" w:sz="0" w:space="0" w:color="auto"/>
                        <w:right w:val="none" w:sz="0" w:space="0" w:color="auto"/>
                      </w:divBdr>
                    </w:div>
                    <w:div w:id="1578444467">
                      <w:marLeft w:val="0"/>
                      <w:marRight w:val="0"/>
                      <w:marTop w:val="0"/>
                      <w:marBottom w:val="0"/>
                      <w:divBdr>
                        <w:top w:val="none" w:sz="0" w:space="0" w:color="auto"/>
                        <w:left w:val="none" w:sz="0" w:space="0" w:color="auto"/>
                        <w:bottom w:val="none" w:sz="0" w:space="0" w:color="auto"/>
                        <w:right w:val="none" w:sz="0" w:space="0" w:color="auto"/>
                      </w:divBdr>
                    </w:div>
                  </w:divsChild>
                </w:div>
                <w:div w:id="1168862355">
                  <w:marLeft w:val="0"/>
                  <w:marRight w:val="0"/>
                  <w:marTop w:val="0"/>
                  <w:marBottom w:val="0"/>
                  <w:divBdr>
                    <w:top w:val="none" w:sz="0" w:space="0" w:color="auto"/>
                    <w:left w:val="none" w:sz="0" w:space="0" w:color="auto"/>
                    <w:bottom w:val="none" w:sz="0" w:space="0" w:color="auto"/>
                    <w:right w:val="none" w:sz="0" w:space="0" w:color="auto"/>
                  </w:divBdr>
                  <w:divsChild>
                    <w:div w:id="1432622513">
                      <w:marLeft w:val="0"/>
                      <w:marRight w:val="0"/>
                      <w:marTop w:val="0"/>
                      <w:marBottom w:val="0"/>
                      <w:divBdr>
                        <w:top w:val="none" w:sz="0" w:space="0" w:color="auto"/>
                        <w:left w:val="none" w:sz="0" w:space="0" w:color="auto"/>
                        <w:bottom w:val="none" w:sz="0" w:space="0" w:color="auto"/>
                        <w:right w:val="none" w:sz="0" w:space="0" w:color="auto"/>
                      </w:divBdr>
                    </w:div>
                  </w:divsChild>
                </w:div>
                <w:div w:id="1182620379">
                  <w:marLeft w:val="0"/>
                  <w:marRight w:val="0"/>
                  <w:marTop w:val="0"/>
                  <w:marBottom w:val="0"/>
                  <w:divBdr>
                    <w:top w:val="none" w:sz="0" w:space="0" w:color="auto"/>
                    <w:left w:val="none" w:sz="0" w:space="0" w:color="auto"/>
                    <w:bottom w:val="none" w:sz="0" w:space="0" w:color="auto"/>
                    <w:right w:val="none" w:sz="0" w:space="0" w:color="auto"/>
                  </w:divBdr>
                  <w:divsChild>
                    <w:div w:id="1505364567">
                      <w:marLeft w:val="0"/>
                      <w:marRight w:val="0"/>
                      <w:marTop w:val="0"/>
                      <w:marBottom w:val="0"/>
                      <w:divBdr>
                        <w:top w:val="none" w:sz="0" w:space="0" w:color="auto"/>
                        <w:left w:val="none" w:sz="0" w:space="0" w:color="auto"/>
                        <w:bottom w:val="none" w:sz="0" w:space="0" w:color="auto"/>
                        <w:right w:val="none" w:sz="0" w:space="0" w:color="auto"/>
                      </w:divBdr>
                    </w:div>
                  </w:divsChild>
                </w:div>
                <w:div w:id="1322926431">
                  <w:marLeft w:val="0"/>
                  <w:marRight w:val="0"/>
                  <w:marTop w:val="0"/>
                  <w:marBottom w:val="0"/>
                  <w:divBdr>
                    <w:top w:val="none" w:sz="0" w:space="0" w:color="auto"/>
                    <w:left w:val="none" w:sz="0" w:space="0" w:color="auto"/>
                    <w:bottom w:val="none" w:sz="0" w:space="0" w:color="auto"/>
                    <w:right w:val="none" w:sz="0" w:space="0" w:color="auto"/>
                  </w:divBdr>
                  <w:divsChild>
                    <w:div w:id="1939098214">
                      <w:marLeft w:val="0"/>
                      <w:marRight w:val="0"/>
                      <w:marTop w:val="0"/>
                      <w:marBottom w:val="0"/>
                      <w:divBdr>
                        <w:top w:val="none" w:sz="0" w:space="0" w:color="auto"/>
                        <w:left w:val="none" w:sz="0" w:space="0" w:color="auto"/>
                        <w:bottom w:val="none" w:sz="0" w:space="0" w:color="auto"/>
                        <w:right w:val="none" w:sz="0" w:space="0" w:color="auto"/>
                      </w:divBdr>
                    </w:div>
                  </w:divsChild>
                </w:div>
                <w:div w:id="1441995660">
                  <w:marLeft w:val="0"/>
                  <w:marRight w:val="0"/>
                  <w:marTop w:val="0"/>
                  <w:marBottom w:val="0"/>
                  <w:divBdr>
                    <w:top w:val="none" w:sz="0" w:space="0" w:color="auto"/>
                    <w:left w:val="none" w:sz="0" w:space="0" w:color="auto"/>
                    <w:bottom w:val="none" w:sz="0" w:space="0" w:color="auto"/>
                    <w:right w:val="none" w:sz="0" w:space="0" w:color="auto"/>
                  </w:divBdr>
                  <w:divsChild>
                    <w:div w:id="1758743469">
                      <w:marLeft w:val="0"/>
                      <w:marRight w:val="0"/>
                      <w:marTop w:val="0"/>
                      <w:marBottom w:val="0"/>
                      <w:divBdr>
                        <w:top w:val="none" w:sz="0" w:space="0" w:color="auto"/>
                        <w:left w:val="none" w:sz="0" w:space="0" w:color="auto"/>
                        <w:bottom w:val="none" w:sz="0" w:space="0" w:color="auto"/>
                        <w:right w:val="none" w:sz="0" w:space="0" w:color="auto"/>
                      </w:divBdr>
                    </w:div>
                  </w:divsChild>
                </w:div>
                <w:div w:id="1628389760">
                  <w:marLeft w:val="0"/>
                  <w:marRight w:val="0"/>
                  <w:marTop w:val="0"/>
                  <w:marBottom w:val="0"/>
                  <w:divBdr>
                    <w:top w:val="none" w:sz="0" w:space="0" w:color="auto"/>
                    <w:left w:val="none" w:sz="0" w:space="0" w:color="auto"/>
                    <w:bottom w:val="none" w:sz="0" w:space="0" w:color="auto"/>
                    <w:right w:val="none" w:sz="0" w:space="0" w:color="auto"/>
                  </w:divBdr>
                  <w:divsChild>
                    <w:div w:id="43454102">
                      <w:marLeft w:val="0"/>
                      <w:marRight w:val="0"/>
                      <w:marTop w:val="0"/>
                      <w:marBottom w:val="0"/>
                      <w:divBdr>
                        <w:top w:val="none" w:sz="0" w:space="0" w:color="auto"/>
                        <w:left w:val="none" w:sz="0" w:space="0" w:color="auto"/>
                        <w:bottom w:val="none" w:sz="0" w:space="0" w:color="auto"/>
                        <w:right w:val="none" w:sz="0" w:space="0" w:color="auto"/>
                      </w:divBdr>
                    </w:div>
                    <w:div w:id="432819852">
                      <w:marLeft w:val="0"/>
                      <w:marRight w:val="0"/>
                      <w:marTop w:val="0"/>
                      <w:marBottom w:val="0"/>
                      <w:divBdr>
                        <w:top w:val="none" w:sz="0" w:space="0" w:color="auto"/>
                        <w:left w:val="none" w:sz="0" w:space="0" w:color="auto"/>
                        <w:bottom w:val="none" w:sz="0" w:space="0" w:color="auto"/>
                        <w:right w:val="none" w:sz="0" w:space="0" w:color="auto"/>
                      </w:divBdr>
                    </w:div>
                  </w:divsChild>
                </w:div>
                <w:div w:id="1645042114">
                  <w:marLeft w:val="0"/>
                  <w:marRight w:val="0"/>
                  <w:marTop w:val="0"/>
                  <w:marBottom w:val="0"/>
                  <w:divBdr>
                    <w:top w:val="none" w:sz="0" w:space="0" w:color="auto"/>
                    <w:left w:val="none" w:sz="0" w:space="0" w:color="auto"/>
                    <w:bottom w:val="none" w:sz="0" w:space="0" w:color="auto"/>
                    <w:right w:val="none" w:sz="0" w:space="0" w:color="auto"/>
                  </w:divBdr>
                  <w:divsChild>
                    <w:div w:id="20711211">
                      <w:marLeft w:val="0"/>
                      <w:marRight w:val="0"/>
                      <w:marTop w:val="0"/>
                      <w:marBottom w:val="0"/>
                      <w:divBdr>
                        <w:top w:val="none" w:sz="0" w:space="0" w:color="auto"/>
                        <w:left w:val="none" w:sz="0" w:space="0" w:color="auto"/>
                        <w:bottom w:val="none" w:sz="0" w:space="0" w:color="auto"/>
                        <w:right w:val="none" w:sz="0" w:space="0" w:color="auto"/>
                      </w:divBdr>
                    </w:div>
                    <w:div w:id="366564434">
                      <w:marLeft w:val="0"/>
                      <w:marRight w:val="0"/>
                      <w:marTop w:val="0"/>
                      <w:marBottom w:val="0"/>
                      <w:divBdr>
                        <w:top w:val="none" w:sz="0" w:space="0" w:color="auto"/>
                        <w:left w:val="none" w:sz="0" w:space="0" w:color="auto"/>
                        <w:bottom w:val="none" w:sz="0" w:space="0" w:color="auto"/>
                        <w:right w:val="none" w:sz="0" w:space="0" w:color="auto"/>
                      </w:divBdr>
                    </w:div>
                  </w:divsChild>
                </w:div>
                <w:div w:id="1651599333">
                  <w:marLeft w:val="0"/>
                  <w:marRight w:val="0"/>
                  <w:marTop w:val="0"/>
                  <w:marBottom w:val="0"/>
                  <w:divBdr>
                    <w:top w:val="none" w:sz="0" w:space="0" w:color="auto"/>
                    <w:left w:val="none" w:sz="0" w:space="0" w:color="auto"/>
                    <w:bottom w:val="none" w:sz="0" w:space="0" w:color="auto"/>
                    <w:right w:val="none" w:sz="0" w:space="0" w:color="auto"/>
                  </w:divBdr>
                  <w:divsChild>
                    <w:div w:id="259263181">
                      <w:marLeft w:val="0"/>
                      <w:marRight w:val="0"/>
                      <w:marTop w:val="0"/>
                      <w:marBottom w:val="0"/>
                      <w:divBdr>
                        <w:top w:val="none" w:sz="0" w:space="0" w:color="auto"/>
                        <w:left w:val="none" w:sz="0" w:space="0" w:color="auto"/>
                        <w:bottom w:val="none" w:sz="0" w:space="0" w:color="auto"/>
                        <w:right w:val="none" w:sz="0" w:space="0" w:color="auto"/>
                      </w:divBdr>
                    </w:div>
                    <w:div w:id="1569075413">
                      <w:marLeft w:val="0"/>
                      <w:marRight w:val="0"/>
                      <w:marTop w:val="0"/>
                      <w:marBottom w:val="0"/>
                      <w:divBdr>
                        <w:top w:val="none" w:sz="0" w:space="0" w:color="auto"/>
                        <w:left w:val="none" w:sz="0" w:space="0" w:color="auto"/>
                        <w:bottom w:val="none" w:sz="0" w:space="0" w:color="auto"/>
                        <w:right w:val="none" w:sz="0" w:space="0" w:color="auto"/>
                      </w:divBdr>
                    </w:div>
                  </w:divsChild>
                </w:div>
                <w:div w:id="1951694635">
                  <w:marLeft w:val="0"/>
                  <w:marRight w:val="0"/>
                  <w:marTop w:val="0"/>
                  <w:marBottom w:val="0"/>
                  <w:divBdr>
                    <w:top w:val="none" w:sz="0" w:space="0" w:color="auto"/>
                    <w:left w:val="none" w:sz="0" w:space="0" w:color="auto"/>
                    <w:bottom w:val="none" w:sz="0" w:space="0" w:color="auto"/>
                    <w:right w:val="none" w:sz="0" w:space="0" w:color="auto"/>
                  </w:divBdr>
                  <w:divsChild>
                    <w:div w:id="520897293">
                      <w:marLeft w:val="0"/>
                      <w:marRight w:val="0"/>
                      <w:marTop w:val="0"/>
                      <w:marBottom w:val="0"/>
                      <w:divBdr>
                        <w:top w:val="none" w:sz="0" w:space="0" w:color="auto"/>
                        <w:left w:val="none" w:sz="0" w:space="0" w:color="auto"/>
                        <w:bottom w:val="none" w:sz="0" w:space="0" w:color="auto"/>
                        <w:right w:val="none" w:sz="0" w:space="0" w:color="auto"/>
                      </w:divBdr>
                    </w:div>
                  </w:divsChild>
                </w:div>
                <w:div w:id="2051028103">
                  <w:marLeft w:val="0"/>
                  <w:marRight w:val="0"/>
                  <w:marTop w:val="0"/>
                  <w:marBottom w:val="0"/>
                  <w:divBdr>
                    <w:top w:val="none" w:sz="0" w:space="0" w:color="auto"/>
                    <w:left w:val="none" w:sz="0" w:space="0" w:color="auto"/>
                    <w:bottom w:val="none" w:sz="0" w:space="0" w:color="auto"/>
                    <w:right w:val="none" w:sz="0" w:space="0" w:color="auto"/>
                  </w:divBdr>
                  <w:divsChild>
                    <w:div w:id="1493138781">
                      <w:marLeft w:val="0"/>
                      <w:marRight w:val="0"/>
                      <w:marTop w:val="0"/>
                      <w:marBottom w:val="0"/>
                      <w:divBdr>
                        <w:top w:val="none" w:sz="0" w:space="0" w:color="auto"/>
                        <w:left w:val="none" w:sz="0" w:space="0" w:color="auto"/>
                        <w:bottom w:val="none" w:sz="0" w:space="0" w:color="auto"/>
                        <w:right w:val="none" w:sz="0" w:space="0" w:color="auto"/>
                      </w:divBdr>
                    </w:div>
                  </w:divsChild>
                </w:div>
                <w:div w:id="2120097309">
                  <w:marLeft w:val="0"/>
                  <w:marRight w:val="0"/>
                  <w:marTop w:val="0"/>
                  <w:marBottom w:val="0"/>
                  <w:divBdr>
                    <w:top w:val="none" w:sz="0" w:space="0" w:color="auto"/>
                    <w:left w:val="none" w:sz="0" w:space="0" w:color="auto"/>
                    <w:bottom w:val="none" w:sz="0" w:space="0" w:color="auto"/>
                    <w:right w:val="none" w:sz="0" w:space="0" w:color="auto"/>
                  </w:divBdr>
                  <w:divsChild>
                    <w:div w:id="476534343">
                      <w:marLeft w:val="0"/>
                      <w:marRight w:val="0"/>
                      <w:marTop w:val="0"/>
                      <w:marBottom w:val="0"/>
                      <w:divBdr>
                        <w:top w:val="none" w:sz="0" w:space="0" w:color="auto"/>
                        <w:left w:val="none" w:sz="0" w:space="0" w:color="auto"/>
                        <w:bottom w:val="none" w:sz="0" w:space="0" w:color="auto"/>
                        <w:right w:val="none" w:sz="0" w:space="0" w:color="auto"/>
                      </w:divBdr>
                    </w:div>
                    <w:div w:id="15317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5867">
          <w:marLeft w:val="0"/>
          <w:marRight w:val="0"/>
          <w:marTop w:val="0"/>
          <w:marBottom w:val="0"/>
          <w:divBdr>
            <w:top w:val="none" w:sz="0" w:space="0" w:color="auto"/>
            <w:left w:val="none" w:sz="0" w:space="0" w:color="auto"/>
            <w:bottom w:val="none" w:sz="0" w:space="0" w:color="auto"/>
            <w:right w:val="none" w:sz="0" w:space="0" w:color="auto"/>
          </w:divBdr>
        </w:div>
        <w:div w:id="1657148347">
          <w:marLeft w:val="0"/>
          <w:marRight w:val="0"/>
          <w:marTop w:val="0"/>
          <w:marBottom w:val="0"/>
          <w:divBdr>
            <w:top w:val="none" w:sz="0" w:space="0" w:color="auto"/>
            <w:left w:val="none" w:sz="0" w:space="0" w:color="auto"/>
            <w:bottom w:val="none" w:sz="0" w:space="0" w:color="auto"/>
            <w:right w:val="none" w:sz="0" w:space="0" w:color="auto"/>
          </w:divBdr>
        </w:div>
        <w:div w:id="1840609748">
          <w:marLeft w:val="0"/>
          <w:marRight w:val="0"/>
          <w:marTop w:val="0"/>
          <w:marBottom w:val="0"/>
          <w:divBdr>
            <w:top w:val="none" w:sz="0" w:space="0" w:color="auto"/>
            <w:left w:val="none" w:sz="0" w:space="0" w:color="auto"/>
            <w:bottom w:val="none" w:sz="0" w:space="0" w:color="auto"/>
            <w:right w:val="none" w:sz="0" w:space="0" w:color="auto"/>
          </w:divBdr>
        </w:div>
        <w:div w:id="1933969136">
          <w:marLeft w:val="0"/>
          <w:marRight w:val="0"/>
          <w:marTop w:val="0"/>
          <w:marBottom w:val="0"/>
          <w:divBdr>
            <w:top w:val="none" w:sz="0" w:space="0" w:color="auto"/>
            <w:left w:val="none" w:sz="0" w:space="0" w:color="auto"/>
            <w:bottom w:val="none" w:sz="0" w:space="0" w:color="auto"/>
            <w:right w:val="none" w:sz="0" w:space="0" w:color="auto"/>
          </w:divBdr>
        </w:div>
        <w:div w:id="2088575292">
          <w:marLeft w:val="0"/>
          <w:marRight w:val="0"/>
          <w:marTop w:val="0"/>
          <w:marBottom w:val="0"/>
          <w:divBdr>
            <w:top w:val="none" w:sz="0" w:space="0" w:color="auto"/>
            <w:left w:val="none" w:sz="0" w:space="0" w:color="auto"/>
            <w:bottom w:val="none" w:sz="0" w:space="0" w:color="auto"/>
            <w:right w:val="none" w:sz="0" w:space="0" w:color="auto"/>
          </w:divBdr>
        </w:div>
      </w:divsChild>
    </w:div>
    <w:div w:id="1022441489">
      <w:bodyDiv w:val="1"/>
      <w:marLeft w:val="0"/>
      <w:marRight w:val="0"/>
      <w:marTop w:val="0"/>
      <w:marBottom w:val="0"/>
      <w:divBdr>
        <w:top w:val="none" w:sz="0" w:space="0" w:color="auto"/>
        <w:left w:val="none" w:sz="0" w:space="0" w:color="auto"/>
        <w:bottom w:val="none" w:sz="0" w:space="0" w:color="auto"/>
        <w:right w:val="none" w:sz="0" w:space="0" w:color="auto"/>
      </w:divBdr>
      <w:divsChild>
        <w:div w:id="1683193730">
          <w:marLeft w:val="0"/>
          <w:marRight w:val="0"/>
          <w:marTop w:val="0"/>
          <w:marBottom w:val="0"/>
          <w:divBdr>
            <w:top w:val="none" w:sz="0" w:space="0" w:color="auto"/>
            <w:left w:val="none" w:sz="0" w:space="0" w:color="auto"/>
            <w:bottom w:val="none" w:sz="0" w:space="0" w:color="auto"/>
            <w:right w:val="none" w:sz="0" w:space="0" w:color="auto"/>
          </w:divBdr>
          <w:divsChild>
            <w:div w:id="2045518296">
              <w:marLeft w:val="0"/>
              <w:marRight w:val="0"/>
              <w:marTop w:val="0"/>
              <w:marBottom w:val="0"/>
              <w:divBdr>
                <w:top w:val="none" w:sz="0" w:space="0" w:color="auto"/>
                <w:left w:val="none" w:sz="0" w:space="0" w:color="auto"/>
                <w:bottom w:val="none" w:sz="0" w:space="0" w:color="auto"/>
                <w:right w:val="none" w:sz="0" w:space="0" w:color="auto"/>
              </w:divBdr>
              <w:divsChild>
                <w:div w:id="2185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07218">
      <w:bodyDiv w:val="1"/>
      <w:marLeft w:val="0"/>
      <w:marRight w:val="0"/>
      <w:marTop w:val="0"/>
      <w:marBottom w:val="0"/>
      <w:divBdr>
        <w:top w:val="none" w:sz="0" w:space="0" w:color="auto"/>
        <w:left w:val="none" w:sz="0" w:space="0" w:color="auto"/>
        <w:bottom w:val="none" w:sz="0" w:space="0" w:color="auto"/>
        <w:right w:val="none" w:sz="0" w:space="0" w:color="auto"/>
      </w:divBdr>
    </w:div>
    <w:div w:id="1197624049">
      <w:bodyDiv w:val="1"/>
      <w:marLeft w:val="0"/>
      <w:marRight w:val="0"/>
      <w:marTop w:val="0"/>
      <w:marBottom w:val="0"/>
      <w:divBdr>
        <w:top w:val="none" w:sz="0" w:space="0" w:color="auto"/>
        <w:left w:val="none" w:sz="0" w:space="0" w:color="auto"/>
        <w:bottom w:val="none" w:sz="0" w:space="0" w:color="auto"/>
        <w:right w:val="none" w:sz="0" w:space="0" w:color="auto"/>
      </w:divBdr>
      <w:divsChild>
        <w:div w:id="1147740451">
          <w:marLeft w:val="0"/>
          <w:marRight w:val="0"/>
          <w:marTop w:val="0"/>
          <w:marBottom w:val="0"/>
          <w:divBdr>
            <w:top w:val="none" w:sz="0" w:space="0" w:color="auto"/>
            <w:left w:val="none" w:sz="0" w:space="0" w:color="auto"/>
            <w:bottom w:val="none" w:sz="0" w:space="0" w:color="auto"/>
            <w:right w:val="none" w:sz="0" w:space="0" w:color="auto"/>
          </w:divBdr>
          <w:divsChild>
            <w:div w:id="2115858091">
              <w:marLeft w:val="0"/>
              <w:marRight w:val="0"/>
              <w:marTop w:val="0"/>
              <w:marBottom w:val="0"/>
              <w:divBdr>
                <w:top w:val="none" w:sz="0" w:space="0" w:color="auto"/>
                <w:left w:val="none" w:sz="0" w:space="0" w:color="auto"/>
                <w:bottom w:val="none" w:sz="0" w:space="0" w:color="auto"/>
                <w:right w:val="none" w:sz="0" w:space="0" w:color="auto"/>
              </w:divBdr>
              <w:divsChild>
                <w:div w:id="14061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47871">
      <w:bodyDiv w:val="1"/>
      <w:marLeft w:val="0"/>
      <w:marRight w:val="0"/>
      <w:marTop w:val="0"/>
      <w:marBottom w:val="0"/>
      <w:divBdr>
        <w:top w:val="none" w:sz="0" w:space="0" w:color="auto"/>
        <w:left w:val="none" w:sz="0" w:space="0" w:color="auto"/>
        <w:bottom w:val="none" w:sz="0" w:space="0" w:color="auto"/>
        <w:right w:val="none" w:sz="0" w:space="0" w:color="auto"/>
      </w:divBdr>
    </w:div>
    <w:div w:id="131472530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05095822">
      <w:bodyDiv w:val="1"/>
      <w:marLeft w:val="0"/>
      <w:marRight w:val="0"/>
      <w:marTop w:val="0"/>
      <w:marBottom w:val="0"/>
      <w:divBdr>
        <w:top w:val="none" w:sz="0" w:space="0" w:color="auto"/>
        <w:left w:val="none" w:sz="0" w:space="0" w:color="auto"/>
        <w:bottom w:val="none" w:sz="0" w:space="0" w:color="auto"/>
        <w:right w:val="none" w:sz="0" w:space="0" w:color="auto"/>
      </w:divBdr>
    </w:div>
    <w:div w:id="1949238548">
      <w:bodyDiv w:val="1"/>
      <w:marLeft w:val="0"/>
      <w:marRight w:val="0"/>
      <w:marTop w:val="0"/>
      <w:marBottom w:val="0"/>
      <w:divBdr>
        <w:top w:val="none" w:sz="0" w:space="0" w:color="auto"/>
        <w:left w:val="none" w:sz="0" w:space="0" w:color="auto"/>
        <w:bottom w:val="none" w:sz="0" w:space="0" w:color="auto"/>
        <w:right w:val="none" w:sz="0" w:space="0" w:color="auto"/>
      </w:divBdr>
      <w:divsChild>
        <w:div w:id="91516204">
          <w:marLeft w:val="0"/>
          <w:marRight w:val="0"/>
          <w:marTop w:val="0"/>
          <w:marBottom w:val="0"/>
          <w:divBdr>
            <w:top w:val="none" w:sz="0" w:space="0" w:color="auto"/>
            <w:left w:val="none" w:sz="0" w:space="0" w:color="auto"/>
            <w:bottom w:val="none" w:sz="0" w:space="0" w:color="auto"/>
            <w:right w:val="none" w:sz="0" w:space="0" w:color="auto"/>
          </w:divBdr>
        </w:div>
        <w:div w:id="99955301">
          <w:marLeft w:val="0"/>
          <w:marRight w:val="0"/>
          <w:marTop w:val="0"/>
          <w:marBottom w:val="0"/>
          <w:divBdr>
            <w:top w:val="none" w:sz="0" w:space="0" w:color="auto"/>
            <w:left w:val="none" w:sz="0" w:space="0" w:color="auto"/>
            <w:bottom w:val="none" w:sz="0" w:space="0" w:color="auto"/>
            <w:right w:val="none" w:sz="0" w:space="0" w:color="auto"/>
          </w:divBdr>
        </w:div>
        <w:div w:id="159390875">
          <w:marLeft w:val="0"/>
          <w:marRight w:val="0"/>
          <w:marTop w:val="0"/>
          <w:marBottom w:val="0"/>
          <w:divBdr>
            <w:top w:val="none" w:sz="0" w:space="0" w:color="auto"/>
            <w:left w:val="none" w:sz="0" w:space="0" w:color="auto"/>
            <w:bottom w:val="none" w:sz="0" w:space="0" w:color="auto"/>
            <w:right w:val="none" w:sz="0" w:space="0" w:color="auto"/>
          </w:divBdr>
        </w:div>
        <w:div w:id="914096223">
          <w:marLeft w:val="0"/>
          <w:marRight w:val="0"/>
          <w:marTop w:val="0"/>
          <w:marBottom w:val="0"/>
          <w:divBdr>
            <w:top w:val="none" w:sz="0" w:space="0" w:color="auto"/>
            <w:left w:val="none" w:sz="0" w:space="0" w:color="auto"/>
            <w:bottom w:val="none" w:sz="0" w:space="0" w:color="auto"/>
            <w:right w:val="none" w:sz="0" w:space="0" w:color="auto"/>
          </w:divBdr>
        </w:div>
        <w:div w:id="1142308222">
          <w:marLeft w:val="0"/>
          <w:marRight w:val="0"/>
          <w:marTop w:val="0"/>
          <w:marBottom w:val="0"/>
          <w:divBdr>
            <w:top w:val="none" w:sz="0" w:space="0" w:color="auto"/>
            <w:left w:val="none" w:sz="0" w:space="0" w:color="auto"/>
            <w:bottom w:val="none" w:sz="0" w:space="0" w:color="auto"/>
            <w:right w:val="none" w:sz="0" w:space="0" w:color="auto"/>
          </w:divBdr>
        </w:div>
        <w:div w:id="1215435100">
          <w:marLeft w:val="0"/>
          <w:marRight w:val="0"/>
          <w:marTop w:val="0"/>
          <w:marBottom w:val="0"/>
          <w:divBdr>
            <w:top w:val="none" w:sz="0" w:space="0" w:color="auto"/>
            <w:left w:val="none" w:sz="0" w:space="0" w:color="auto"/>
            <w:bottom w:val="none" w:sz="0" w:space="0" w:color="auto"/>
            <w:right w:val="none" w:sz="0" w:space="0" w:color="auto"/>
          </w:divBdr>
        </w:div>
        <w:div w:id="1258947723">
          <w:marLeft w:val="0"/>
          <w:marRight w:val="0"/>
          <w:marTop w:val="0"/>
          <w:marBottom w:val="0"/>
          <w:divBdr>
            <w:top w:val="none" w:sz="0" w:space="0" w:color="auto"/>
            <w:left w:val="none" w:sz="0" w:space="0" w:color="auto"/>
            <w:bottom w:val="none" w:sz="0" w:space="0" w:color="auto"/>
            <w:right w:val="none" w:sz="0" w:space="0" w:color="auto"/>
          </w:divBdr>
        </w:div>
        <w:div w:id="1532107935">
          <w:marLeft w:val="0"/>
          <w:marRight w:val="0"/>
          <w:marTop w:val="0"/>
          <w:marBottom w:val="0"/>
          <w:divBdr>
            <w:top w:val="none" w:sz="0" w:space="0" w:color="auto"/>
            <w:left w:val="none" w:sz="0" w:space="0" w:color="auto"/>
            <w:bottom w:val="none" w:sz="0" w:space="0" w:color="auto"/>
            <w:right w:val="none" w:sz="0" w:space="0" w:color="auto"/>
          </w:divBdr>
        </w:div>
        <w:div w:id="1556232224">
          <w:marLeft w:val="0"/>
          <w:marRight w:val="0"/>
          <w:marTop w:val="0"/>
          <w:marBottom w:val="0"/>
          <w:divBdr>
            <w:top w:val="none" w:sz="0" w:space="0" w:color="auto"/>
            <w:left w:val="none" w:sz="0" w:space="0" w:color="auto"/>
            <w:bottom w:val="none" w:sz="0" w:space="0" w:color="auto"/>
            <w:right w:val="none" w:sz="0" w:space="0" w:color="auto"/>
          </w:divBdr>
        </w:div>
        <w:div w:id="1615284239">
          <w:marLeft w:val="0"/>
          <w:marRight w:val="0"/>
          <w:marTop w:val="0"/>
          <w:marBottom w:val="0"/>
          <w:divBdr>
            <w:top w:val="none" w:sz="0" w:space="0" w:color="auto"/>
            <w:left w:val="none" w:sz="0" w:space="0" w:color="auto"/>
            <w:bottom w:val="none" w:sz="0" w:space="0" w:color="auto"/>
            <w:right w:val="none" w:sz="0" w:space="0" w:color="auto"/>
          </w:divBdr>
        </w:div>
        <w:div w:id="1733456392">
          <w:marLeft w:val="0"/>
          <w:marRight w:val="0"/>
          <w:marTop w:val="0"/>
          <w:marBottom w:val="0"/>
          <w:divBdr>
            <w:top w:val="none" w:sz="0" w:space="0" w:color="auto"/>
            <w:left w:val="none" w:sz="0" w:space="0" w:color="auto"/>
            <w:bottom w:val="none" w:sz="0" w:space="0" w:color="auto"/>
            <w:right w:val="none" w:sz="0" w:space="0" w:color="auto"/>
          </w:divBdr>
        </w:div>
        <w:div w:id="1840195826">
          <w:marLeft w:val="0"/>
          <w:marRight w:val="0"/>
          <w:marTop w:val="0"/>
          <w:marBottom w:val="0"/>
          <w:divBdr>
            <w:top w:val="none" w:sz="0" w:space="0" w:color="auto"/>
            <w:left w:val="none" w:sz="0" w:space="0" w:color="auto"/>
            <w:bottom w:val="none" w:sz="0" w:space="0" w:color="auto"/>
            <w:right w:val="none" w:sz="0" w:space="0" w:color="auto"/>
          </w:divBdr>
        </w:div>
        <w:div w:id="1972175872">
          <w:marLeft w:val="0"/>
          <w:marRight w:val="0"/>
          <w:marTop w:val="0"/>
          <w:marBottom w:val="0"/>
          <w:divBdr>
            <w:top w:val="none" w:sz="0" w:space="0" w:color="auto"/>
            <w:left w:val="none" w:sz="0" w:space="0" w:color="auto"/>
            <w:bottom w:val="none" w:sz="0" w:space="0" w:color="auto"/>
            <w:right w:val="none" w:sz="0" w:space="0" w:color="auto"/>
          </w:divBdr>
        </w:div>
        <w:div w:id="206347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8FBAD972-D1C6-40CF-B82B-14C91CF829A2}">
  <ds:schemaRefs>
    <ds:schemaRef ds:uri="http://schemas.microsoft.com/sharepoint/v3/contenttype/forms"/>
  </ds:schemaRefs>
</ds:datastoreItem>
</file>

<file path=customXml/itemProps2.xml><?xml version="1.0" encoding="utf-8"?>
<ds:datastoreItem xmlns:ds="http://schemas.openxmlformats.org/officeDocument/2006/customXml" ds:itemID="{DC3AA0D8-1709-49CA-BE0C-0FE9036D8EB2}">
  <ds:schemaRefs>
    <ds:schemaRef ds:uri="5e8733a2-e908-454b-85cf-c9d17e1d0943"/>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D48B2BB-37C2-42B4-8E28-73D33AB02C15}">
  <ds:schemaRefs>
    <ds:schemaRef ds:uri="http://schemas.openxmlformats.org/officeDocument/2006/bibliography"/>
  </ds:schemaRefs>
</ds:datastoreItem>
</file>

<file path=customXml/itemProps4.xml><?xml version="1.0" encoding="utf-8"?>
<ds:datastoreItem xmlns:ds="http://schemas.openxmlformats.org/officeDocument/2006/customXml" ds:itemID="{7FC97A38-8834-4E76-BFF4-F4AFEE68D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CBB1A5-7197-49EE-964B-EE7B86B799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2025-06-10T17:42:00Z</dcterms:created>
  <dcterms:modified xsi:type="dcterms:W3CDTF">2025-06-10T17:42:00Z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2f904139-1371-4916-bb48-7ca8c2a046d0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2025-06-10T17:41:07Z</vt:lpwstr>
  </property>
  <property fmtid="{D5CDD505-2E9C-101B-9397-08002B2CF9AE}" pid="8" name="MSIP_Label_bd24d06a-0e85-4d57-b1e0-ba34b1abc708_SiteId">
    <vt:lpwstr>19caa9e9-04ff-43fa-885f-d77fac387903</vt:lpwstr>
  </property>
</Properties>
</file>