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B038B" w:rsidP="11AB4B38" w14:paraId="46692DEB" w14:textId="18E8CE09">
      <w:pPr>
        <w:spacing w:after="0"/>
        <w:jc w:val="center"/>
        <w:rPr>
          <w:sz w:val="32"/>
          <w:szCs w:val="32"/>
        </w:rPr>
      </w:pPr>
      <w:bookmarkStart w:id="0" w:name="_Toc49148152"/>
      <w:r w:rsidRPr="11AB4B38">
        <w:rPr>
          <w:sz w:val="32"/>
          <w:szCs w:val="32"/>
        </w:rPr>
        <w:t>U.S. Environmental Protection Agency</w:t>
      </w:r>
    </w:p>
    <w:p w:rsidR="00DE4E0C" w:rsidRPr="00CB038B" w:rsidP="11AB4B38" w14:paraId="1A3CA841" w14:textId="4B14E2EE">
      <w:pPr>
        <w:jc w:val="center"/>
        <w:rPr>
          <w:sz w:val="32"/>
          <w:szCs w:val="32"/>
        </w:rPr>
      </w:pPr>
      <w:r w:rsidRPr="11AB4B38">
        <w:rPr>
          <w:sz w:val="32"/>
          <w:szCs w:val="32"/>
        </w:rPr>
        <w:t>Information Collection Request</w:t>
      </w:r>
    </w:p>
    <w:p w:rsidR="00EA0D20" w:rsidP="00BB432F" w14:paraId="77D1C27C" w14:textId="77777777">
      <w:pPr>
        <w:rPr>
          <w:rFonts w:cstheme="minorHAnsi"/>
          <w:b/>
          <w:bCs/>
        </w:rPr>
      </w:pPr>
    </w:p>
    <w:p w:rsidR="00BB432F" w:rsidRPr="00916E48" w:rsidP="00BB432F" w14:paraId="7B82FD92" w14:textId="7CCD052F">
      <w:pPr>
        <w:rPr>
          <w:rFonts w:cstheme="minorHAnsi"/>
        </w:rPr>
      </w:pPr>
      <w:r w:rsidRPr="00BB3410">
        <w:rPr>
          <w:rFonts w:cstheme="minorHAnsi"/>
          <w:b/>
          <w:bCs/>
        </w:rPr>
        <w:t>Title</w:t>
      </w:r>
      <w:r w:rsidRPr="00EA0D20">
        <w:rPr>
          <w:rFonts w:cstheme="minorHAnsi"/>
          <w:b/>
          <w:bCs/>
        </w:rPr>
        <w:t>:</w:t>
      </w:r>
      <w:r w:rsidR="001F34A5">
        <w:rPr>
          <w:rFonts w:cstheme="minorHAnsi"/>
        </w:rPr>
        <w:t xml:space="preserve"> </w:t>
      </w:r>
      <w:bookmarkStart w:id="1" w:name="skip_nav"/>
      <w:r w:rsidRPr="00916E48" w:rsidR="00916E48">
        <w:rPr>
          <w:rFonts w:cstheme="minorHAnsi"/>
        </w:rPr>
        <w:t>Production, Import, Export, Recycling, Destruction, Transhipment, and Feedstock Use of Ozone-Depleting Substances (Proposed Rule</w:t>
      </w:r>
      <w:bookmarkEnd w:id="1"/>
      <w:r w:rsidRPr="00916E48" w:rsidR="00916E48">
        <w:rPr>
          <w:rFonts w:cstheme="minorHAnsi"/>
        </w:rPr>
        <w:t xml:space="preserve"> for </w:t>
      </w:r>
      <w:r w:rsidR="00916E48">
        <w:rPr>
          <w:rFonts w:cstheme="minorHAnsi"/>
        </w:rPr>
        <w:t xml:space="preserve">Updates Related to </w:t>
      </w:r>
      <w:r w:rsidRPr="00916E48" w:rsidR="005C303E">
        <w:t>Use of Ozone-Depleting Substances as Process Agents</w:t>
      </w:r>
      <w:r w:rsidRPr="00916E48" w:rsidR="00916E48">
        <w:t>)</w:t>
      </w:r>
    </w:p>
    <w:p w:rsidR="00EE2403" w:rsidRPr="00BB3410" w:rsidP="00BB432F" w14:paraId="71D5121E" w14:textId="242CBBAC">
      <w:pPr>
        <w:spacing w:line="240" w:lineRule="auto"/>
        <w:rPr>
          <w:rFonts w:cstheme="minorHAnsi"/>
        </w:rPr>
      </w:pPr>
      <w:r w:rsidRPr="00BB3410">
        <w:rPr>
          <w:rFonts w:cstheme="minorHAnsi"/>
          <w:b/>
          <w:bCs/>
        </w:rPr>
        <w:t>OMB Control Number</w:t>
      </w:r>
      <w:r w:rsidRPr="00EA0D20">
        <w:rPr>
          <w:rFonts w:cstheme="minorHAnsi"/>
          <w:b/>
          <w:bCs/>
        </w:rPr>
        <w:t>:</w:t>
      </w:r>
      <w:r w:rsidRPr="00BB3410" w:rsidR="00BB432F">
        <w:rPr>
          <w:rFonts w:cstheme="minorHAnsi"/>
        </w:rPr>
        <w:t xml:space="preserve"> </w:t>
      </w:r>
      <w:r w:rsidR="005C303E">
        <w:rPr>
          <w:rFonts w:cstheme="minorHAnsi"/>
        </w:rPr>
        <w:t>2060-0170</w:t>
      </w:r>
    </w:p>
    <w:p w:rsidR="00EE2403" w:rsidRPr="00BB3410" w:rsidP="00ED57A4" w14:paraId="4FB77BCA" w14:textId="2094A074">
      <w:pPr>
        <w:spacing w:before="240" w:line="240" w:lineRule="auto"/>
        <w:rPr>
          <w:rFonts w:cstheme="minorHAnsi"/>
        </w:rPr>
      </w:pPr>
      <w:r w:rsidRPr="00BB3410">
        <w:rPr>
          <w:rFonts w:cstheme="minorHAnsi"/>
          <w:b/>
          <w:bCs/>
        </w:rPr>
        <w:t>EPA ICR Number</w:t>
      </w:r>
      <w:r w:rsidRPr="00EA0D20">
        <w:rPr>
          <w:rFonts w:cstheme="minorHAnsi"/>
          <w:b/>
          <w:bCs/>
        </w:rPr>
        <w:t>:</w:t>
      </w:r>
      <w:r w:rsidRPr="00BB3410" w:rsidR="00BB432F">
        <w:rPr>
          <w:rFonts w:cstheme="minorHAnsi"/>
        </w:rPr>
        <w:t xml:space="preserve"> </w:t>
      </w:r>
      <w:r w:rsidR="005C303E">
        <w:rPr>
          <w:rFonts w:cstheme="minorHAnsi"/>
        </w:rPr>
        <w:t>1432.39</w:t>
      </w:r>
    </w:p>
    <w:p w:rsidR="00BB432F" w:rsidRPr="005C303E" w:rsidP="005C303E" w14:paraId="6A3E928D" w14:textId="658CB73F">
      <w:r w:rsidRPr="4BDBF0A0">
        <w:rPr>
          <w:b/>
          <w:bCs/>
        </w:rPr>
        <w:t>Abstract:</w:t>
      </w:r>
      <w:r w:rsidRPr="4BDBF0A0">
        <w:t xml:space="preserve"> </w:t>
      </w:r>
      <w:r w:rsidRPr="00471B10" w:rsidR="005C303E">
        <w:t>This rule-related information collection request (ICR) is being proposed in accordance with the proposed rulemaking, “Updates Related to the Use of Ozone-Depleting Substances as Process Agents.” In the proposed rule, EPA is proposing to establish recordkeeping and reporting requirements for uses of ozone-depleting substances (ODS) as process agents and to update definitions to reflect current practice. Reporters subject to the proposed rule, if finalized, would be required to report information concerning these process agent uses, including consumption and emissions data, using the Ozone-Depleting Substances Tracking System (ODSTS)</w:t>
      </w:r>
      <w:r w:rsidR="005C303E">
        <w:t>, or another format specified by EPA</w:t>
      </w:r>
      <w:r w:rsidRPr="00471B10" w:rsidR="005C303E">
        <w:t>.</w:t>
      </w:r>
    </w:p>
    <w:p w:rsidR="00DE4E0C" w:rsidRPr="00BB3410" w:rsidP="4BDBF0A0" w14:paraId="12DA0580" w14:textId="3A9EBC77">
      <w:pPr>
        <w:rPr>
          <w:b/>
          <w:bCs/>
          <w:u w:val="single"/>
        </w:rPr>
      </w:pPr>
      <w:r w:rsidRPr="4BDBF0A0">
        <w:rPr>
          <w:b/>
          <w:bCs/>
          <w:u w:val="single"/>
        </w:rPr>
        <w:t>Supporting Statement A</w:t>
      </w:r>
      <w:bookmarkEnd w:id="0"/>
    </w:p>
    <w:p w:rsidR="00D47CB3" w:rsidRPr="00E3122D" w:rsidP="00854AAE" w14:paraId="73FF37C3" w14:textId="77C3FA07">
      <w:pPr>
        <w:pStyle w:val="ListParagraph"/>
        <w:numPr>
          <w:ilvl w:val="0"/>
          <w:numId w:val="25"/>
        </w:numPr>
        <w:pBdr>
          <w:bottom w:val="single" w:sz="4" w:space="1" w:color="auto"/>
        </w:pBdr>
        <w:spacing w:before="240" w:after="0"/>
        <w:rPr>
          <w:rFonts w:cstheme="minorHAnsi"/>
          <w:b/>
          <w:bCs/>
        </w:rPr>
      </w:pPr>
      <w:bookmarkStart w:id="2" w:name="_Toc156593368"/>
      <w:r w:rsidRPr="00E3122D">
        <w:rPr>
          <w:rFonts w:cstheme="minorHAnsi"/>
          <w:b/>
          <w:bCs/>
        </w:rPr>
        <w:t>NEED AND AUTHORITY FOR THE COLLECTION</w:t>
      </w:r>
      <w:bookmarkEnd w:id="2"/>
    </w:p>
    <w:p w:rsidR="00A27E5C" w:rsidRPr="00D47CB3" w:rsidP="00854AAE" w14:paraId="0D31D853" w14:textId="354D5D40">
      <w:pPr>
        <w:pBdr>
          <w:bottom w:val="single" w:sz="4" w:space="1" w:color="auto"/>
        </w:pBdr>
        <w:spacing w:before="60"/>
        <w:rPr>
          <w:rFonts w:cstheme="minorHAnsi"/>
          <w:i/>
          <w:iCs/>
        </w:rPr>
      </w:pPr>
      <w:r w:rsidRPr="00D47CB3">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p w:rsidR="005C303E" w:rsidP="005C303E" w14:paraId="4D2FF0C8" w14:textId="77777777">
      <w:pPr>
        <w:pStyle w:val="ListParagraph"/>
        <w:ind w:left="360"/>
      </w:pPr>
      <w:bookmarkStart w:id="3" w:name="_Toc156593369"/>
      <w:r>
        <w:t xml:space="preserve">This </w:t>
      </w:r>
      <w:r w:rsidRPr="00C27CAD">
        <w:t>information</w:t>
      </w:r>
      <w:r>
        <w:t xml:space="preserve"> collection is authorized under the CAA </w:t>
      </w:r>
      <w:r w:rsidRPr="00DD6F29">
        <w:t>(42 U.S.C. 7414, 7601, 7671-7671q)</w:t>
      </w:r>
      <w:r w:rsidRPr="008240C4">
        <w:t>.</w:t>
      </w:r>
      <w:r>
        <w:t xml:space="preserve"> </w:t>
      </w:r>
    </w:p>
    <w:p w:rsidR="005C303E" w:rsidP="005C303E" w14:paraId="43350EC9" w14:textId="1E15A614">
      <w:pPr>
        <w:pStyle w:val="ListParagraph"/>
        <w:ind w:left="360"/>
      </w:pPr>
      <w:r w:rsidRPr="004D7520">
        <w:t xml:space="preserve">For electronic reporting, the Paperwork Reduction Act (PRA) requires Federal agencies to manage information resources to reduce information collection burdens on the public; increase program efficiency and effectiveness; and improve the integrity, quality, and utility of information to all users within and outside the Agency, including capabilities for ensuring dissemination of public information, public access to government information, and protections for privacy and security (44 USC 3506). </w:t>
      </w:r>
      <w:r>
        <w:t>]</w:t>
      </w:r>
    </w:p>
    <w:p w:rsidR="005C303E" w:rsidRPr="004D7520" w:rsidP="005C303E" w14:paraId="3BE9E743" w14:textId="77777777">
      <w:pPr>
        <w:pStyle w:val="ListParagraph"/>
        <w:ind w:left="360"/>
      </w:pPr>
    </w:p>
    <w:p w:rsidR="00D47CB3" w:rsidRPr="00E3122D" w:rsidP="00854AAE" w14:paraId="24F38A28" w14:textId="345BCCC4">
      <w:pPr>
        <w:pStyle w:val="ListParagraph"/>
        <w:numPr>
          <w:ilvl w:val="0"/>
          <w:numId w:val="25"/>
        </w:numPr>
        <w:pBdr>
          <w:bottom w:val="single" w:sz="4" w:space="1" w:color="auto"/>
        </w:pBdr>
        <w:spacing w:before="240" w:after="0"/>
        <w:rPr>
          <w:rFonts w:cstheme="minorHAnsi"/>
          <w:b/>
          <w:bCs/>
        </w:rPr>
      </w:pPr>
      <w:r w:rsidRPr="00E3122D">
        <w:rPr>
          <w:rFonts w:cstheme="minorHAnsi"/>
          <w:b/>
          <w:bCs/>
        </w:rPr>
        <w:t>PRACTICAL UTILITY/USERS OF THE DATA</w:t>
      </w:r>
      <w:bookmarkEnd w:id="3"/>
    </w:p>
    <w:p w:rsidR="004252C1" w:rsidRPr="00D47CB3" w:rsidP="00854AAE" w14:paraId="3E2FC7F8" w14:textId="1DCB8D2C">
      <w:pPr>
        <w:pBdr>
          <w:bottom w:val="single" w:sz="4" w:space="1" w:color="auto"/>
        </w:pBdr>
        <w:spacing w:before="60"/>
        <w:rPr>
          <w:rFonts w:ascii="Calibri" w:hAnsi="Calibri" w:cs="Calibri"/>
          <w:i/>
          <w:iCs/>
          <w:color w:val="000000"/>
          <w:shd w:val="clear" w:color="auto" w:fill="FFFFFF"/>
        </w:rPr>
      </w:pPr>
      <w:r w:rsidRPr="00D47CB3">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5C303E" w:rsidRPr="005F6DD5" w:rsidP="005C303E" w14:paraId="53194A55" w14:textId="77777777">
      <w:pPr>
        <w:pStyle w:val="ListParagraph"/>
        <w:ind w:left="360"/>
        <w:sectPr w:rsidSect="001C5F64">
          <w:footerReference w:type="default" r:id="rId9"/>
          <w:pgSz w:w="12240" w:h="15840"/>
          <w:pgMar w:top="1360" w:right="1300" w:bottom="1100" w:left="1320" w:header="0" w:footer="905" w:gutter="0"/>
          <w:pgNumType w:start="1"/>
          <w:cols w:space="720"/>
        </w:sectPr>
      </w:pPr>
      <w:bookmarkStart w:id="4" w:name="_Toc156593370"/>
      <w:r w:rsidRPr="005F6DD5">
        <w:t>The reporting and recordkeeping requirements for uses of ODS would provide clear and consistent notice each year of information EPA collects, aggregates, and reports as a party to the Montreal Protocol on Substances that Deplete the Ozone Layer; effectively monitor these narrow uses in a more routine and consistent manner under the Clean Air Act; and enhance understanding of emissions of substances harmful to the ozone layer.</w:t>
      </w:r>
    </w:p>
    <w:p w:rsidR="00074917" w:rsidRPr="00E3122D" w:rsidP="00854AAE" w14:paraId="1522D565" w14:textId="553E3A2D">
      <w:pPr>
        <w:pStyle w:val="ListParagraph"/>
        <w:numPr>
          <w:ilvl w:val="0"/>
          <w:numId w:val="25"/>
        </w:numPr>
        <w:pBdr>
          <w:bottom w:val="single" w:sz="4" w:space="1" w:color="auto"/>
        </w:pBdr>
        <w:spacing w:before="240" w:after="0"/>
        <w:rPr>
          <w:rFonts w:cstheme="minorHAnsi"/>
          <w:b/>
          <w:bCs/>
        </w:rPr>
      </w:pPr>
      <w:r w:rsidRPr="00E3122D">
        <w:rPr>
          <w:rFonts w:cstheme="minorHAnsi"/>
          <w:b/>
          <w:bCs/>
        </w:rPr>
        <w:t>USE OF TECHNOLOGY</w:t>
      </w:r>
      <w:bookmarkEnd w:id="4"/>
    </w:p>
    <w:p w:rsidR="00D47CB3" w:rsidRPr="001F0834" w:rsidP="00854AAE" w14:paraId="50A4BA09" w14:textId="2FD9C2D1">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F1E00" w:rsidRPr="00BB3410" w:rsidP="00854AAE" w14:paraId="7B30150C" w14:textId="3FA171DF">
      <w:pPr>
        <w:pBdr>
          <w:top w:val="single" w:sz="6" w:space="0" w:color="FFFFFF"/>
          <w:left w:val="single" w:sz="6" w:space="0" w:color="FFFFFF"/>
          <w:bottom w:val="single" w:sz="6" w:space="0" w:color="FFFFFF"/>
          <w:right w:val="single" w:sz="6" w:space="0" w:color="FFFFFF"/>
        </w:pBdr>
        <w:rPr>
          <w:rFonts w:cstheme="minorHAnsi"/>
        </w:rPr>
      </w:pPr>
      <w:r w:rsidRPr="0054767C">
        <w:t xml:space="preserve">Information required under this ICR will be reported electronically to EPA through the Central Data Exchange (CDX). One-time and annual data will be reported using reporting forms for class I and class I controlled substances. EPA will use the ozone-depleting substance tracking system (ODSTS) </w:t>
      </w:r>
      <w:r>
        <w:t xml:space="preserve">or a designated successor system </w:t>
      </w:r>
      <w:r w:rsidRPr="0054767C">
        <w:t>to collect and track data submitted through CDX. The ODSTS is used by EPA to collect and track data on ozone-depleting substances that are reported in accordance with 40 CFR part 82. The system is designed to collect and store CBI</w:t>
      </w:r>
      <w:r w:rsidRPr="00BB3410">
        <w:rPr>
          <w:rFonts w:cstheme="minorHAnsi"/>
          <w:bdr w:val="none" w:sz="0" w:space="0" w:color="auto" w:frame="1"/>
          <w:shd w:val="clear" w:color="auto" w:fill="FFFFFF"/>
        </w:rPr>
        <w:t xml:space="preserve">. </w:t>
      </w:r>
    </w:p>
    <w:p w:rsidR="005263EC" w:rsidRPr="00E3122D" w:rsidP="00854AAE" w14:paraId="2CB3B868" w14:textId="42333FC8">
      <w:pPr>
        <w:pStyle w:val="ListParagraph"/>
        <w:numPr>
          <w:ilvl w:val="0"/>
          <w:numId w:val="25"/>
        </w:numPr>
        <w:pBdr>
          <w:bottom w:val="single" w:sz="4" w:space="1" w:color="auto"/>
        </w:pBdr>
        <w:spacing w:before="240" w:after="0"/>
        <w:rPr>
          <w:rFonts w:cstheme="minorHAnsi"/>
          <w:b/>
          <w:bCs/>
        </w:rPr>
      </w:pPr>
      <w:bookmarkStart w:id="5" w:name="_Toc156593371"/>
      <w:r w:rsidRPr="00E3122D">
        <w:rPr>
          <w:rFonts w:cstheme="minorHAnsi"/>
          <w:b/>
          <w:bCs/>
        </w:rPr>
        <w:t>EFFORTS TO IDENTIFY DUPLICATION</w:t>
      </w:r>
      <w:bookmarkEnd w:id="5"/>
    </w:p>
    <w:p w:rsidR="00D47CB3" w:rsidRPr="001F0834" w:rsidP="00854AAE" w14:paraId="15DFF081" w14:textId="57054C58">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p w:rsidR="00F23D35" w:rsidRPr="00471B10" w:rsidP="00916E48" w14:paraId="25923C84" w14:textId="746AC89B">
      <w:bookmarkStart w:id="6" w:name="_Toc156593372"/>
      <w:r w:rsidRPr="00471B10">
        <w:t xml:space="preserve">While subject entities may report some related information, such as for existing importer and producer reporting requirements in 40 CFR 82.13 for class I controlled substances and 40 CFR 82.24 for </w:t>
      </w:r>
      <w:r w:rsidRPr="00471B10">
        <w:t>class II controlled</w:t>
      </w:r>
      <w:r w:rsidRPr="00471B10">
        <w:t xml:space="preserve"> substances, EPA is requesting </w:t>
      </w:r>
      <w:r>
        <w:t xml:space="preserve">specific </w:t>
      </w:r>
      <w:r w:rsidRPr="00471B10">
        <w:t>information not required to be submitted under existing 40 CFR part 82 requirements. The Greenhouse Gas Reporting Program (GHGRP) was established in 2009 and requires various facilities and suppliers to annually report data to EPA (see 40 CFR part 98). A subpart that relates to reporting on emissions from similar entities is subpart L, “Fluorinated Gas Production.” Subpart L of the GHGRP requires reporting and recordkeeping of emissions from owners or operators of facilities that produce a fluorinated gas from any raw material or feedstock chemical, except for processes that generate HFC–23 during the production of HCFC–22. However, generation or emissions of ODS are not included in the reporting threshold, and ODS emissions are not included in the reporting requirements. While there is potential for some overlap in GHGRP reporting with this ICR, EPA</w:t>
      </w:r>
      <w:r>
        <w:t>’s understanding is that these</w:t>
      </w:r>
      <w:r w:rsidRPr="00471B10">
        <w:t xml:space="preserve"> entities </w:t>
      </w:r>
      <w:r>
        <w:t xml:space="preserve">are </w:t>
      </w:r>
      <w:r w:rsidRPr="00471B10">
        <w:t xml:space="preserve">not </w:t>
      </w:r>
      <w:r>
        <w:t xml:space="preserve">generally </w:t>
      </w:r>
      <w:r w:rsidRPr="00471B10">
        <w:t xml:space="preserve">subject to related GHGRP requirements </w:t>
      </w:r>
      <w:r>
        <w:t xml:space="preserve">and would not generally </w:t>
      </w:r>
      <w:r w:rsidRPr="00471B10">
        <w:t xml:space="preserve">submit information </w:t>
      </w:r>
      <w:r>
        <w:t>under these requirements that are a</w:t>
      </w:r>
      <w:r w:rsidRPr="00471B10">
        <w:t xml:space="preserve">lready required to be submitted by the GHGRP. Therefore, duplication in reporting requirements is not anticipated. </w:t>
      </w:r>
    </w:p>
    <w:p w:rsidR="00251151" w:rsidRPr="00E3122D" w:rsidP="4BDBF0A0" w14:paraId="79D36B3F" w14:textId="440DD77F">
      <w:pPr>
        <w:pStyle w:val="ListParagraph"/>
        <w:numPr>
          <w:ilvl w:val="0"/>
          <w:numId w:val="25"/>
        </w:numPr>
        <w:pBdr>
          <w:bottom w:val="single" w:sz="4" w:space="1" w:color="auto"/>
        </w:pBdr>
        <w:spacing w:before="240" w:after="0"/>
        <w:rPr>
          <w:b/>
          <w:bCs/>
        </w:rPr>
      </w:pPr>
      <w:r w:rsidRPr="4BDBF0A0">
        <w:rPr>
          <w:b/>
          <w:bCs/>
        </w:rPr>
        <w:t xml:space="preserve">MINIMIZING BURDEN ON SMALL </w:t>
      </w:r>
      <w:r w:rsidRPr="4BDBF0A0" w:rsidR="0F43C128">
        <w:rPr>
          <w:b/>
          <w:bCs/>
        </w:rPr>
        <w:t xml:space="preserve">BUSINESSES AND SMALL </w:t>
      </w:r>
      <w:r w:rsidRPr="4BDBF0A0">
        <w:rPr>
          <w:b/>
          <w:bCs/>
        </w:rPr>
        <w:t>ENTITIES</w:t>
      </w:r>
      <w:bookmarkEnd w:id="6"/>
    </w:p>
    <w:p w:rsidR="00D47CB3" w:rsidRPr="001F0834" w:rsidP="00854AAE" w14:paraId="3D612A53" w14:textId="12EBD254">
      <w:pPr>
        <w:pBdr>
          <w:bottom w:val="single" w:sz="4" w:space="1" w:color="auto"/>
        </w:pBdr>
        <w:spacing w:before="60"/>
        <w:rPr>
          <w:rFonts w:cstheme="minorHAnsi"/>
          <w:i/>
          <w:iCs/>
        </w:rPr>
      </w:pPr>
      <w:r w:rsidRPr="001F0834">
        <w:rPr>
          <w:rFonts w:ascii="Calibri" w:hAnsi="Calibri" w:cs="Calibri"/>
          <w:i/>
          <w:iCs/>
          <w:color w:val="000000"/>
          <w:shd w:val="clear" w:color="auto" w:fill="FFFFFF"/>
        </w:rPr>
        <w:t>If the collection of information impacts small businesses or other small entities, describe any methods used to minimize burden.</w:t>
      </w:r>
    </w:p>
    <w:p w:rsidR="00156C9A" w:rsidP="00916E48" w14:paraId="50BDA300" w14:textId="77777777">
      <w:bookmarkStart w:id="7" w:name="_Toc156593373"/>
      <w:r>
        <w:t>Small entities are not expected to be affected by the proposed rule and this ICR.</w:t>
      </w:r>
    </w:p>
    <w:p w:rsidR="00156C9A" w:rsidRPr="00217BBA" w:rsidP="00156C9A" w14:paraId="2E8462FD" w14:textId="77777777">
      <w:pPr>
        <w:pStyle w:val="ListParagraph"/>
        <w:ind w:left="360"/>
      </w:pPr>
    </w:p>
    <w:p w:rsidR="004252C1" w:rsidRPr="00E3122D" w:rsidP="4BDBF0A0" w14:paraId="1FF5A778" w14:textId="02F91DFF">
      <w:pPr>
        <w:pStyle w:val="ListParagraph"/>
        <w:numPr>
          <w:ilvl w:val="0"/>
          <w:numId w:val="25"/>
        </w:numPr>
        <w:pBdr>
          <w:bottom w:val="single" w:sz="4" w:space="1" w:color="auto"/>
        </w:pBdr>
        <w:spacing w:before="240" w:after="0"/>
        <w:rPr>
          <w:b/>
          <w:bCs/>
        </w:rPr>
      </w:pPr>
      <w:r w:rsidRPr="4BDBF0A0">
        <w:rPr>
          <w:b/>
          <w:bCs/>
        </w:rPr>
        <w:t>CONSEQUENCES</w:t>
      </w:r>
      <w:r w:rsidRPr="4BDBF0A0" w:rsidR="00061A77">
        <w:rPr>
          <w:b/>
          <w:bCs/>
        </w:rPr>
        <w:t xml:space="preserve"> OF LESS FREQUENT COLLECTION</w:t>
      </w:r>
      <w:bookmarkEnd w:id="7"/>
    </w:p>
    <w:p w:rsidR="00D47CB3" w:rsidRPr="001F0834" w:rsidP="00854AAE" w14:paraId="00E27992" w14:textId="51FE3814">
      <w:pPr>
        <w:pBdr>
          <w:bottom w:val="single" w:sz="4" w:space="1" w:color="auto"/>
        </w:pBdr>
        <w:tabs>
          <w:tab w:val="left" w:pos="921"/>
        </w:tabs>
        <w:spacing w:before="60"/>
        <w:rPr>
          <w:rFonts w:cstheme="minorHAnsi"/>
          <w:i/>
          <w:iCs/>
        </w:rPr>
      </w:pPr>
      <w:r w:rsidRPr="001F0834">
        <w:rPr>
          <w:rFonts w:ascii="Calibri" w:hAnsi="Calibri" w:cs="Calibr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156C9A" w:rsidP="00916E48" w14:paraId="54F8A95D" w14:textId="77777777">
      <w:bookmarkStart w:id="8" w:name="_Toc156593374"/>
      <w:r w:rsidRPr="00471B10">
        <w:t xml:space="preserve">Less frequent than annual collection of data would hinder EPA’s ability to support international agreements concerning the use of controlled substances as process agents and to provide relevant information to EPA concerning implications of these uses and emissions. The annual reporting requirement, as well as an as-needed report of significant process changes, provides EPA the ability to resolve, in a timely manner, discrepancies in the data reported to us. </w:t>
      </w:r>
    </w:p>
    <w:p w:rsidR="00D0357B" w:rsidRPr="00471B10" w:rsidP="00156C9A" w14:paraId="59E3600C" w14:textId="77777777">
      <w:pPr>
        <w:pStyle w:val="ListParagraph"/>
        <w:ind w:left="360"/>
      </w:pPr>
    </w:p>
    <w:p w:rsidR="00A233E0" w:rsidRPr="00E3122D" w:rsidP="00854AAE" w14:paraId="27596CC0" w14:textId="77777777">
      <w:pPr>
        <w:pStyle w:val="ListParagraph"/>
        <w:numPr>
          <w:ilvl w:val="0"/>
          <w:numId w:val="25"/>
        </w:numPr>
        <w:pBdr>
          <w:bottom w:val="single" w:sz="4" w:space="1" w:color="auto"/>
        </w:pBdr>
        <w:spacing w:before="240" w:after="0"/>
        <w:rPr>
          <w:rFonts w:cstheme="minorHAnsi"/>
          <w:b/>
          <w:bCs/>
        </w:rPr>
      </w:pPr>
      <w:r w:rsidRPr="00E3122D">
        <w:rPr>
          <w:rFonts w:cstheme="minorHAnsi"/>
          <w:b/>
          <w:bCs/>
        </w:rPr>
        <w:t>GENERAL GUIDELINES</w:t>
      </w:r>
      <w:bookmarkEnd w:id="8"/>
    </w:p>
    <w:p w:rsidR="00A233E0" w:rsidRPr="00A233E0" w:rsidP="00854AAE" w14:paraId="7754F228" w14:textId="2EAFBFAF">
      <w:pPr>
        <w:pBdr>
          <w:bottom w:val="single" w:sz="4" w:space="1" w:color="auto"/>
        </w:pBdr>
        <w:spacing w:before="60"/>
        <w:rPr>
          <w:rFonts w:cstheme="minorHAnsi"/>
        </w:rPr>
      </w:pPr>
      <w:r w:rsidRPr="00A233E0">
        <w:rPr>
          <w:rFonts w:cstheme="minorHAnsi"/>
          <w:i/>
          <w:iCs/>
        </w:rPr>
        <w:t>Explain any special circumstances that require the collection to be conducted in a manner inconsistent with OMB guidelines.</w:t>
      </w:r>
    </w:p>
    <w:p w:rsidR="00D0357B" w:rsidP="00916E48" w14:paraId="30FFE1B0" w14:textId="77777777">
      <w:bookmarkStart w:id="9" w:name="_Toc156593375"/>
      <w:r w:rsidRPr="00954449">
        <w:t xml:space="preserve">The reporting and recordkeeping requirements do not exceed any of the OMB guidelines found at 5 CFR 1320.5(d)(2). </w:t>
      </w:r>
    </w:p>
    <w:p w:rsidR="00D0357B" w:rsidRPr="00954449" w:rsidP="00D0357B" w14:paraId="68DE7E6A" w14:textId="77777777">
      <w:pPr>
        <w:pStyle w:val="ListParagraph"/>
        <w:ind w:left="360"/>
      </w:pPr>
    </w:p>
    <w:p w:rsidR="006036CD" w:rsidRPr="00E3122D" w:rsidP="00854AAE" w14:paraId="02EE9B8D" w14:textId="77777777">
      <w:pPr>
        <w:pStyle w:val="ListParagraph"/>
        <w:numPr>
          <w:ilvl w:val="0"/>
          <w:numId w:val="25"/>
        </w:numPr>
        <w:pBdr>
          <w:bottom w:val="single" w:sz="4" w:space="1" w:color="auto"/>
        </w:pBdr>
        <w:spacing w:before="240" w:after="0"/>
        <w:rPr>
          <w:rFonts w:cstheme="minorHAnsi"/>
          <w:b/>
          <w:bCs/>
        </w:rPr>
      </w:pPr>
      <w:r w:rsidRPr="00E3122D">
        <w:rPr>
          <w:rFonts w:cstheme="minorHAnsi"/>
          <w:b/>
          <w:bCs/>
        </w:rPr>
        <w:t>PUBLIC COMMENT AND CONSULTATIONS</w:t>
      </w:r>
      <w:bookmarkStart w:id="10" w:name="_Toc156593376"/>
      <w:bookmarkEnd w:id="9"/>
    </w:p>
    <w:p w:rsidR="00DD2682" w:rsidRPr="00E3122D" w:rsidP="00854AAE" w14:paraId="4922639E" w14:textId="016E742A">
      <w:pPr>
        <w:spacing w:before="120" w:after="0"/>
        <w:rPr>
          <w:rFonts w:cstheme="minorHAnsi"/>
          <w:b/>
          <w:bCs/>
        </w:rPr>
      </w:pPr>
      <w:r w:rsidRPr="00E3122D">
        <w:rPr>
          <w:rFonts w:cstheme="minorHAnsi"/>
          <w:b/>
          <w:bCs/>
        </w:rPr>
        <w:t xml:space="preserve">8a. </w:t>
      </w:r>
      <w:r w:rsidRPr="00E3122D" w:rsidR="00A82647">
        <w:rPr>
          <w:rFonts w:cstheme="minorHAnsi"/>
          <w:b/>
          <w:bCs/>
        </w:rPr>
        <w:t>Public Comment</w:t>
      </w:r>
      <w:bookmarkStart w:id="11" w:name="_Toc156593377"/>
      <w:bookmarkEnd w:id="10"/>
    </w:p>
    <w:p w:rsidR="00A233E0" w:rsidRPr="00A233E0" w:rsidP="00854AAE" w14:paraId="4D2D25D5" w14:textId="77777777">
      <w:pPr>
        <w:spacing w:line="240" w:lineRule="auto"/>
        <w:rPr>
          <w:rFonts w:cstheme="minorHAnsi"/>
          <w:i/>
          <w:iCs/>
        </w:rPr>
      </w:pPr>
      <w:r w:rsidRPr="00A233E0">
        <w:rPr>
          <w:rFonts w:cstheme="minorHAnsi"/>
          <w:i/>
          <w:iCs/>
        </w:rPr>
        <w:t xml:space="preserve">If applicable, provide a copy and identify the date and page number of </w:t>
      </w:r>
      <w:r w:rsidRPr="00A233E0">
        <w:rPr>
          <w:rFonts w:cstheme="minorHAnsi"/>
          <w:i/>
          <w:iCs/>
        </w:rPr>
        <w:t>publication</w:t>
      </w:r>
      <w:r w:rsidRPr="00A233E0">
        <w:rPr>
          <w:rFonts w:cstheme="minorHAnsi"/>
          <w:i/>
          <w:i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0D1952" w:rsidRPr="00471B10" w:rsidP="000D1952" w14:paraId="34C7C65E" w14:textId="15CCD5A5">
      <w:r w:rsidRPr="00471B10">
        <w:t>The proposed rulemaking “Protection of Stratospheric Ozone: Updates Related to the Use of Ozone-Depleting Substances as Process Agents” will serve as the public notice for this ICR. EPA is requesting comment on this ICR in th</w:t>
      </w:r>
      <w:r>
        <w:t>e</w:t>
      </w:r>
      <w:r w:rsidRPr="00471B10">
        <w:t xml:space="preserve"> proposed rulemaking</w:t>
      </w:r>
      <w:r>
        <w:t xml:space="preserve"> published on 10/19/23 (88 FR 72027)</w:t>
      </w:r>
      <w:r w:rsidRPr="00471B10">
        <w:t xml:space="preserve">. </w:t>
      </w:r>
    </w:p>
    <w:p w:rsidR="00DB7775" w:rsidRPr="00E3122D" w:rsidP="00854AAE" w14:paraId="71A9B3CC" w14:textId="77087A05">
      <w:pPr>
        <w:spacing w:before="120" w:after="0"/>
        <w:rPr>
          <w:rFonts w:cstheme="minorHAnsi"/>
          <w:b/>
          <w:bCs/>
        </w:rPr>
      </w:pPr>
      <w:r w:rsidRPr="00E3122D">
        <w:rPr>
          <w:rFonts w:cstheme="minorHAnsi"/>
          <w:b/>
          <w:bCs/>
        </w:rPr>
        <w:t xml:space="preserve">8b. </w:t>
      </w:r>
      <w:r w:rsidRPr="00E3122D" w:rsidR="0061689C">
        <w:rPr>
          <w:rFonts w:cstheme="minorHAnsi"/>
          <w:b/>
          <w:bCs/>
        </w:rPr>
        <w:t>C</w:t>
      </w:r>
      <w:bookmarkEnd w:id="11"/>
      <w:r w:rsidRPr="00E3122D" w:rsidR="005D140B">
        <w:rPr>
          <w:rFonts w:cstheme="minorHAnsi"/>
          <w:b/>
          <w:bCs/>
        </w:rPr>
        <w:t>onsultations</w:t>
      </w:r>
    </w:p>
    <w:p w:rsidR="00A233E0" w:rsidRPr="00A233E0" w:rsidP="00854AAE" w14:paraId="04F99483" w14:textId="77777777">
      <w:pPr>
        <w:rPr>
          <w:rFonts w:cstheme="minorHAnsi"/>
          <w:i/>
          <w:iCs/>
        </w:rPr>
      </w:pPr>
      <w:r w:rsidRPr="00A233E0">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44360A" w:rsidRPr="00471B10" w:rsidP="0044360A" w14:paraId="3A7F80B7" w14:textId="00A885D0">
      <w:bookmarkStart w:id="12" w:name="_Toc156593378"/>
      <w:r w:rsidRPr="00471B10">
        <w:t>The burden calculations were developed based on EPA’s experience collecting data on ODS under 40 CFR part 82 and similar information under the GHGRP. EPA collect</w:t>
      </w:r>
      <w:r>
        <w:t>ed</w:t>
      </w:r>
      <w:r w:rsidRPr="00471B10">
        <w:t xml:space="preserve"> comments on the proposed rulemaking “Protection of Stratospheric Ozone: Updates Related to the Use of Ozone-Depleting Substances as Process Agents” and will adjust this ICR as needed. </w:t>
      </w:r>
    </w:p>
    <w:p w:rsidR="00A233E0" w:rsidRPr="00E3122D" w:rsidP="00854AAE" w14:paraId="191560B2" w14:textId="77777777">
      <w:pPr>
        <w:pStyle w:val="ListParagraph"/>
        <w:numPr>
          <w:ilvl w:val="0"/>
          <w:numId w:val="25"/>
        </w:numPr>
        <w:pBdr>
          <w:bottom w:val="single" w:sz="4" w:space="1" w:color="auto"/>
        </w:pBdr>
        <w:spacing w:before="240" w:after="0"/>
        <w:rPr>
          <w:rFonts w:cstheme="minorHAnsi"/>
          <w:b/>
          <w:bCs/>
        </w:rPr>
      </w:pPr>
      <w:r w:rsidRPr="00E3122D">
        <w:rPr>
          <w:rFonts w:cstheme="minorHAnsi"/>
          <w:b/>
          <w:bCs/>
        </w:rPr>
        <w:t>PAYMENTS OR GIFTS TO RESPONDENTS</w:t>
      </w:r>
      <w:bookmarkEnd w:id="12"/>
    </w:p>
    <w:p w:rsidR="00D47CB3" w:rsidRPr="00D47CB3" w:rsidP="00854AAE" w14:paraId="5B1B6C7F" w14:textId="1A951D95">
      <w:pPr>
        <w:pBdr>
          <w:bottom w:val="single" w:sz="4" w:space="1" w:color="auto"/>
        </w:pBdr>
        <w:spacing w:before="60"/>
        <w:rPr>
          <w:rFonts w:cstheme="minorHAnsi"/>
        </w:rPr>
      </w:pPr>
      <w:r w:rsidRPr="00A233E0">
        <w:rPr>
          <w:rFonts w:cstheme="minorHAnsi"/>
          <w:i/>
          <w:iCs/>
        </w:rPr>
        <w:t>Explain any decisions to provide payments or gifts to respondents, other than remuneration of contractors or grantees.</w:t>
      </w:r>
    </w:p>
    <w:p w:rsidR="00ED57A4" w:rsidRPr="00BB3410" w:rsidP="00854AAE" w14:paraId="0D75D3D3" w14:textId="30B469E9">
      <w:pPr>
        <w:rPr>
          <w:rFonts w:cstheme="minorHAnsi"/>
        </w:rPr>
      </w:pPr>
      <w:r>
        <w:rPr>
          <w:rStyle w:val="normaltextrun"/>
          <w:color w:val="000000"/>
          <w:bdr w:val="none" w:sz="0" w:space="0" w:color="auto" w:frame="1"/>
        </w:rPr>
        <w:t>N/A</w:t>
      </w:r>
    </w:p>
    <w:p w:rsidR="4C04BBF2" w:rsidP="4BDBF0A0" w14:paraId="333FE36D" w14:textId="45DEA41F">
      <w:pPr>
        <w:pStyle w:val="ListParagraph"/>
        <w:numPr>
          <w:ilvl w:val="0"/>
          <w:numId w:val="25"/>
        </w:numPr>
        <w:pBdr>
          <w:bottom w:val="single" w:sz="4" w:space="1" w:color="auto"/>
        </w:pBdr>
        <w:spacing w:before="240" w:after="0"/>
        <w:rPr>
          <w:b/>
          <w:bCs/>
        </w:rPr>
      </w:pPr>
      <w:r w:rsidRPr="4BDBF0A0">
        <w:rPr>
          <w:b/>
          <w:bCs/>
        </w:rPr>
        <w:t>ASSURANCE OF CONFIDENTIALITY</w:t>
      </w:r>
    </w:p>
    <w:p w:rsidR="00A233E0" w:rsidRPr="00A233E0" w:rsidP="00854AAE" w14:paraId="429AF986" w14:textId="40745D8B">
      <w:pPr>
        <w:pBdr>
          <w:bottom w:val="single" w:sz="4" w:space="1" w:color="auto"/>
        </w:pBdr>
        <w:spacing w:before="60"/>
        <w:rPr>
          <w:rFonts w:cstheme="minorHAnsi"/>
        </w:rPr>
      </w:pPr>
      <w:r w:rsidRPr="00A233E0">
        <w:rPr>
          <w:rFonts w:cstheme="minorHAnsi"/>
          <w:i/>
          <w:iCs/>
        </w:rPr>
        <w:t xml:space="preserve">Describe any assurance of confidentiality provided to respondents and the basis for the assurance in statute, regulation, or Agency policy. If the collection requires a </w:t>
      </w:r>
      <w:r w:rsidRPr="00A233E0">
        <w:rPr>
          <w:rFonts w:cstheme="minorHAnsi"/>
          <w:i/>
          <w:iCs/>
        </w:rPr>
        <w:t>systems of records notice (SORN)</w:t>
      </w:r>
      <w:r w:rsidRPr="00A233E0">
        <w:rPr>
          <w:rFonts w:cstheme="minorHAnsi"/>
          <w:i/>
          <w:iCs/>
        </w:rPr>
        <w:t xml:space="preserve"> or privacy impact assessment (PIA), those should be cited and described here.</w:t>
      </w:r>
    </w:p>
    <w:p w:rsidR="0044360A" w:rsidRPr="00471B10" w:rsidP="0044360A" w14:paraId="13260CF6" w14:textId="77777777">
      <w:bookmarkStart w:id="13" w:name="_Toc156593380"/>
      <w:r w:rsidRPr="00471B10">
        <w:t xml:space="preserve">EPA has proposed determinations concerning whether information that would be reported under this rule would be considered confidential. These determinations can be found in the </w:t>
      </w:r>
      <w:r>
        <w:t>proposal’s preamble</w:t>
      </w:r>
      <w:r w:rsidRPr="00471B10">
        <w:t>. Unless otherwise noted, remaining data elements reported to the Agency can be claimed as CBI by reporting entities, and EPA will treat them as confidential pending possible future CBI determinations pursuant to EPA’s CBI regulations at 40 CFR 2.203. For all data elements that EPA has determined to be confidential or for which EPA will provide provisional confidential treatment if claimed by reporters as CBI, EPA may release aggregated data if there are three or more reporting entities.</w:t>
      </w:r>
    </w:p>
    <w:p w:rsidR="00A233E0" w:rsidRPr="00E3122D" w:rsidP="00854AAE" w14:paraId="36FBAEFB" w14:textId="77777777">
      <w:pPr>
        <w:pStyle w:val="ListParagraph"/>
        <w:numPr>
          <w:ilvl w:val="0"/>
          <w:numId w:val="25"/>
        </w:numPr>
        <w:pBdr>
          <w:bottom w:val="single" w:sz="4" w:space="1" w:color="auto"/>
        </w:pBdr>
        <w:spacing w:before="240" w:after="0"/>
        <w:rPr>
          <w:rFonts w:cstheme="minorHAnsi"/>
          <w:b/>
          <w:bCs/>
        </w:rPr>
      </w:pPr>
      <w:r w:rsidRPr="4BDBF0A0">
        <w:rPr>
          <w:b/>
          <w:bCs/>
        </w:rPr>
        <w:t>JUSTIFICATION FOR SENSITIVE QUESTIONS</w:t>
      </w:r>
      <w:bookmarkEnd w:id="13"/>
    </w:p>
    <w:p w:rsidR="00A233E0" w:rsidRPr="00A233E0" w:rsidP="00854AAE" w14:paraId="6E3B78D8" w14:textId="5C334C1C">
      <w:pPr>
        <w:pBdr>
          <w:bottom w:val="single" w:sz="4" w:space="1" w:color="auto"/>
        </w:pBdr>
        <w:spacing w:before="60"/>
        <w:rPr>
          <w:rFonts w:cstheme="minorHAnsi"/>
        </w:rPr>
      </w:pPr>
      <w:r w:rsidRPr="00A233E0">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32BFD" w:rsidP="00916E48" w14:paraId="484CC21F" w14:textId="77777777">
      <w:bookmarkStart w:id="14" w:name="_Toc156593381"/>
      <w:r>
        <w:t>This section is not applicable because this ICR does not involve matters of sensitive nature.</w:t>
      </w:r>
    </w:p>
    <w:p w:rsidR="00032BFD" w:rsidP="00032BFD" w14:paraId="1D0BD0DC" w14:textId="77777777">
      <w:pPr>
        <w:pStyle w:val="ListParagraph"/>
        <w:ind w:left="360"/>
      </w:pPr>
    </w:p>
    <w:p w:rsidR="001172FE" w:rsidRPr="00E3122D" w:rsidP="00854AAE" w14:paraId="637A8E82" w14:textId="77777777">
      <w:pPr>
        <w:pStyle w:val="ListParagraph"/>
        <w:numPr>
          <w:ilvl w:val="0"/>
          <w:numId w:val="25"/>
        </w:numPr>
        <w:spacing w:before="240" w:after="0"/>
        <w:rPr>
          <w:rFonts w:cstheme="minorHAnsi"/>
          <w:b/>
          <w:bCs/>
        </w:rPr>
      </w:pPr>
      <w:r w:rsidRPr="4BDBF0A0">
        <w:rPr>
          <w:b/>
          <w:bCs/>
        </w:rPr>
        <w:t>RESPONDENT BURDEN HOURS</w:t>
      </w:r>
      <w:r w:rsidRPr="4BDBF0A0" w:rsidR="00DB799B">
        <w:rPr>
          <w:b/>
          <w:bCs/>
        </w:rPr>
        <w:t xml:space="preserve"> &amp; LABOR COSTS</w:t>
      </w:r>
      <w:bookmarkStart w:id="15" w:name="_Toc156593382"/>
      <w:bookmarkEnd w:id="14"/>
    </w:p>
    <w:p w:rsidR="00A233E0" w:rsidRPr="00F532D6" w:rsidP="00163C69" w14:paraId="71F2FC12" w14:textId="77777777">
      <w:pPr>
        <w:pStyle w:val="ListParagraph"/>
        <w:ind w:left="0"/>
        <w:rPr>
          <w:rFonts w:cstheme="minorHAnsi"/>
          <w:i/>
          <w:iCs/>
        </w:rPr>
      </w:pPr>
      <w:r w:rsidRPr="00F532D6">
        <w:rPr>
          <w:rFonts w:cstheme="minorHAnsi"/>
          <w:i/>
          <w:iCs/>
        </w:rPr>
        <w:t>Provide estimates of the hour burden of the collection of information. The statement should:</w:t>
      </w:r>
    </w:p>
    <w:p w:rsidR="00A233E0" w:rsidRPr="00F532D6" w:rsidP="006E197A" w14:paraId="11BD2D70" w14:textId="77777777">
      <w:pPr>
        <w:pStyle w:val="ListParagraph"/>
        <w:numPr>
          <w:ilvl w:val="0"/>
          <w:numId w:val="14"/>
        </w:numPr>
        <w:ind w:left="446"/>
        <w:rPr>
          <w:rFonts w:cstheme="minorHAnsi"/>
          <w:i/>
          <w:iCs/>
        </w:rPr>
      </w:pPr>
      <w:r w:rsidRPr="00F532D6">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F532D6" w:rsidP="001F0834" w14:paraId="2184CE92" w14:textId="77777777">
      <w:pPr>
        <w:pStyle w:val="ListParagraph"/>
        <w:numPr>
          <w:ilvl w:val="0"/>
          <w:numId w:val="14"/>
        </w:numPr>
        <w:ind w:left="450"/>
        <w:rPr>
          <w:rFonts w:cstheme="minorHAnsi"/>
          <w:i/>
          <w:iCs/>
        </w:rPr>
      </w:pPr>
      <w:r w:rsidRPr="00F532D6">
        <w:rPr>
          <w:rFonts w:cstheme="minorHAnsi"/>
          <w:i/>
          <w:iCs/>
        </w:rPr>
        <w:t>If this request for approval covers more than one form, provide separate hour burden estimates for each form and the aggregate the hour burdens.</w:t>
      </w:r>
    </w:p>
    <w:p w:rsidR="00A233E0" w:rsidRPr="00F532D6" w:rsidP="00854AAE" w14:paraId="7EF5894F" w14:textId="5EEBA470">
      <w:pPr>
        <w:pStyle w:val="ListParagraph"/>
        <w:numPr>
          <w:ilvl w:val="0"/>
          <w:numId w:val="14"/>
        </w:numPr>
        <w:pBdr>
          <w:bottom w:val="single" w:sz="4" w:space="1" w:color="auto"/>
        </w:pBdr>
        <w:ind w:left="446"/>
        <w:rPr>
          <w:rFonts w:cstheme="minorHAnsi"/>
          <w:i/>
          <w:iCs/>
        </w:rPr>
      </w:pPr>
      <w:r w:rsidRPr="00F532D6">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001F0834">
        <w:rPr>
          <w:rFonts w:cstheme="minorHAnsi"/>
          <w:i/>
          <w:iCs/>
        </w:rPr>
        <w:t>.</w:t>
      </w:r>
    </w:p>
    <w:p w:rsidR="001172FE" w:rsidRPr="00E3122D" w:rsidP="00854AAE" w14:paraId="571186E5" w14:textId="2917827F">
      <w:pPr>
        <w:spacing w:before="120" w:after="0"/>
        <w:rPr>
          <w:rFonts w:cstheme="minorHAnsi"/>
          <w:b/>
          <w:bCs/>
        </w:rPr>
      </w:pPr>
      <w:r w:rsidRPr="00E3122D">
        <w:rPr>
          <w:rFonts w:cstheme="minorHAnsi"/>
          <w:b/>
          <w:bCs/>
        </w:rPr>
        <w:t xml:space="preserve">12a. </w:t>
      </w:r>
      <w:r w:rsidRPr="00E3122D" w:rsidR="00557E8F">
        <w:rPr>
          <w:rFonts w:cstheme="minorHAnsi"/>
          <w:b/>
          <w:bCs/>
        </w:rPr>
        <w:t>Respondents/NAICS Codes</w:t>
      </w:r>
      <w:bookmarkStart w:id="16" w:name="_Toc156593383"/>
      <w:bookmarkEnd w:id="15"/>
    </w:p>
    <w:p w:rsidR="003202E5" w:rsidRPr="00471B10" w:rsidP="003202E5" w14:paraId="4D3DED75" w14:textId="77777777">
      <w:r w:rsidRPr="00471B10">
        <w:t>The appropriate North American Industry Classification System (NAICS) for potentially affected entities are listed below in Table I.</w:t>
      </w:r>
    </w:p>
    <w:p w:rsidR="003202E5" w:rsidRPr="00471B10" w:rsidP="003202E5" w14:paraId="5BCB7E0A" w14:textId="77777777">
      <w:bookmarkStart w:id="17" w:name="_bookmark0"/>
      <w:bookmarkEnd w:id="17"/>
      <w:r w:rsidRPr="00471B10">
        <w:t>Table I. NAICS Classification of Potentially Affected Entities</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00"/>
        <w:gridCol w:w="1440"/>
      </w:tblGrid>
      <w:tr w14:paraId="59C6AB9E" w14:textId="77777777" w:rsidTr="007B260E">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85"/>
        </w:trPr>
        <w:tc>
          <w:tcPr>
            <w:tcW w:w="5100" w:type="dxa"/>
            <w:shd w:val="clear" w:color="auto" w:fill="D9D9D9"/>
          </w:tcPr>
          <w:p w:rsidR="003202E5" w:rsidRPr="00471B10" w:rsidP="007B260E" w14:paraId="28AF2BFD" w14:textId="77777777">
            <w:r w:rsidRPr="00471B10">
              <w:t>Category</w:t>
            </w:r>
          </w:p>
        </w:tc>
        <w:tc>
          <w:tcPr>
            <w:tcW w:w="1440" w:type="dxa"/>
            <w:shd w:val="clear" w:color="auto" w:fill="D9D9D9"/>
          </w:tcPr>
          <w:p w:rsidR="003202E5" w:rsidRPr="00471B10" w:rsidP="007B260E" w14:paraId="63374108" w14:textId="77777777">
            <w:r w:rsidRPr="00471B10">
              <w:t>NAICS code</w:t>
            </w:r>
          </w:p>
        </w:tc>
      </w:tr>
      <w:tr w14:paraId="7A8C9966" w14:textId="77777777" w:rsidTr="007B260E">
        <w:tblPrEx>
          <w:tblW w:w="0" w:type="auto"/>
          <w:tblInd w:w="125" w:type="dxa"/>
          <w:tblLayout w:type="fixed"/>
          <w:tblCellMar>
            <w:left w:w="0" w:type="dxa"/>
            <w:right w:w="0" w:type="dxa"/>
          </w:tblCellMar>
          <w:tblLook w:val="01E0"/>
        </w:tblPrEx>
        <w:trPr>
          <w:trHeight w:val="386"/>
        </w:trPr>
        <w:tc>
          <w:tcPr>
            <w:tcW w:w="5100" w:type="dxa"/>
          </w:tcPr>
          <w:p w:rsidR="003202E5" w:rsidRPr="00471B10" w:rsidP="007B260E" w14:paraId="35B2B2D4" w14:textId="77777777">
            <w:r w:rsidRPr="00471B10">
              <w:t>Industrial Gas Manufacturing</w:t>
            </w:r>
          </w:p>
        </w:tc>
        <w:tc>
          <w:tcPr>
            <w:tcW w:w="1440" w:type="dxa"/>
          </w:tcPr>
          <w:p w:rsidR="003202E5" w:rsidRPr="00471B10" w:rsidP="007B260E" w14:paraId="23832E1B" w14:textId="77777777">
            <w:r w:rsidRPr="00471B10">
              <w:t>325120</w:t>
            </w:r>
          </w:p>
        </w:tc>
      </w:tr>
      <w:tr w14:paraId="43668FD6" w14:textId="77777777" w:rsidTr="007B260E">
        <w:tblPrEx>
          <w:tblW w:w="0" w:type="auto"/>
          <w:tblInd w:w="125" w:type="dxa"/>
          <w:tblLayout w:type="fixed"/>
          <w:tblCellMar>
            <w:left w:w="0" w:type="dxa"/>
            <w:right w:w="0" w:type="dxa"/>
          </w:tblCellMar>
          <w:tblLook w:val="01E0"/>
        </w:tblPrEx>
        <w:trPr>
          <w:trHeight w:val="386"/>
        </w:trPr>
        <w:tc>
          <w:tcPr>
            <w:tcW w:w="5100" w:type="dxa"/>
          </w:tcPr>
          <w:p w:rsidR="003202E5" w:rsidRPr="00471B10" w:rsidP="007B260E" w14:paraId="7EE5C4DA" w14:textId="77777777">
            <w:r w:rsidRPr="00471B10">
              <w:t>Other Basic Inorganic Chemical Manufacturing</w:t>
            </w:r>
          </w:p>
        </w:tc>
        <w:tc>
          <w:tcPr>
            <w:tcW w:w="1440" w:type="dxa"/>
          </w:tcPr>
          <w:p w:rsidR="003202E5" w:rsidRPr="00471B10" w:rsidP="007B260E" w14:paraId="4FBDE77D" w14:textId="77777777">
            <w:r w:rsidRPr="00471B10">
              <w:t>325180</w:t>
            </w:r>
          </w:p>
        </w:tc>
      </w:tr>
      <w:tr w14:paraId="1E20E707" w14:textId="77777777" w:rsidTr="007B260E">
        <w:tblPrEx>
          <w:tblW w:w="0" w:type="auto"/>
          <w:tblInd w:w="125" w:type="dxa"/>
          <w:tblLayout w:type="fixed"/>
          <w:tblCellMar>
            <w:left w:w="0" w:type="dxa"/>
            <w:right w:w="0" w:type="dxa"/>
          </w:tblCellMar>
          <w:tblLook w:val="01E0"/>
        </w:tblPrEx>
        <w:trPr>
          <w:trHeight w:val="386"/>
        </w:trPr>
        <w:tc>
          <w:tcPr>
            <w:tcW w:w="5100" w:type="dxa"/>
          </w:tcPr>
          <w:p w:rsidR="003202E5" w:rsidRPr="00471B10" w:rsidP="007B260E" w14:paraId="50A8CE05" w14:textId="77777777">
            <w:r w:rsidRPr="00471B10">
              <w:t>All Other Basic Organic Chemical Manufacturing</w:t>
            </w:r>
          </w:p>
        </w:tc>
        <w:tc>
          <w:tcPr>
            <w:tcW w:w="1440" w:type="dxa"/>
          </w:tcPr>
          <w:p w:rsidR="003202E5" w:rsidRPr="00471B10" w:rsidP="007B260E" w14:paraId="76F48861" w14:textId="77777777">
            <w:r w:rsidRPr="00471B10">
              <w:t>325199</w:t>
            </w:r>
          </w:p>
        </w:tc>
      </w:tr>
    </w:tbl>
    <w:p w:rsidR="00ED57A4" w:rsidRPr="00163C69" w:rsidP="00854AAE" w14:paraId="24D360E5" w14:textId="6DF33794">
      <w:pPr>
        <w:spacing w:before="120" w:after="0"/>
        <w:rPr>
          <w:rFonts w:cstheme="minorHAnsi"/>
          <w:b/>
          <w:bCs/>
        </w:rPr>
      </w:pPr>
      <w:r w:rsidRPr="00163C69">
        <w:rPr>
          <w:rFonts w:cstheme="minorHAnsi"/>
          <w:b/>
          <w:bCs/>
        </w:rPr>
        <w:t xml:space="preserve">12b. </w:t>
      </w:r>
      <w:r w:rsidRPr="00163C69" w:rsidR="00BB7DA0">
        <w:rPr>
          <w:rFonts w:cstheme="minorHAnsi"/>
          <w:b/>
          <w:bCs/>
        </w:rPr>
        <w:t>Information Requested</w:t>
      </w:r>
      <w:bookmarkStart w:id="18" w:name="_Toc156593384"/>
      <w:bookmarkEnd w:id="16"/>
    </w:p>
    <w:p w:rsidR="003202E5" w:rsidRPr="00471B10" w:rsidP="003202E5" w14:paraId="1DE1DE7F" w14:textId="77777777">
      <w:pPr>
        <w:widowControl w:val="0"/>
        <w:autoSpaceDE w:val="0"/>
        <w:autoSpaceDN w:val="0"/>
        <w:spacing w:after="0"/>
        <w:ind w:left="120"/>
      </w:pPr>
      <w:r w:rsidRPr="00471B10">
        <w:t>All</w:t>
      </w:r>
      <w:r w:rsidRPr="00471B10">
        <w:rPr>
          <w:spacing w:val="-3"/>
        </w:rPr>
        <w:t xml:space="preserve"> </w:t>
      </w:r>
      <w:r w:rsidRPr="00471B10">
        <w:t>entities which use controlled substances as process agents</w:t>
      </w:r>
      <w:r w:rsidRPr="00471B10">
        <w:rPr>
          <w:spacing w:val="-4"/>
        </w:rPr>
        <w:t xml:space="preserve"> </w:t>
      </w:r>
      <w:r w:rsidRPr="00471B10">
        <w:t>must</w:t>
      </w:r>
      <w:r w:rsidRPr="00471B10">
        <w:rPr>
          <w:spacing w:val="-2"/>
        </w:rPr>
        <w:t xml:space="preserve"> </w:t>
      </w:r>
      <w:r w:rsidRPr="00471B10">
        <w:t>record</w:t>
      </w:r>
      <w:r w:rsidRPr="00471B10">
        <w:rPr>
          <w:spacing w:val="-3"/>
        </w:rPr>
        <w:t xml:space="preserve"> </w:t>
      </w:r>
      <w:r w:rsidRPr="00471B10">
        <w:t>and/or</w:t>
      </w:r>
      <w:r w:rsidRPr="00471B10">
        <w:rPr>
          <w:spacing w:val="-3"/>
        </w:rPr>
        <w:t xml:space="preserve"> </w:t>
      </w:r>
      <w:r w:rsidRPr="00471B10">
        <w:t>report</w:t>
      </w:r>
      <w:r w:rsidRPr="00471B10">
        <w:rPr>
          <w:spacing w:val="-3"/>
        </w:rPr>
        <w:t xml:space="preserve"> </w:t>
      </w:r>
      <w:r w:rsidRPr="00471B10">
        <w:t>the</w:t>
      </w:r>
      <w:r w:rsidRPr="00471B10">
        <w:rPr>
          <w:spacing w:val="-3"/>
        </w:rPr>
        <w:t xml:space="preserve"> </w:t>
      </w:r>
      <w:r w:rsidRPr="00471B10">
        <w:t>following</w:t>
      </w:r>
      <w:r w:rsidRPr="00471B10">
        <w:rPr>
          <w:spacing w:val="-2"/>
        </w:rPr>
        <w:t xml:space="preserve"> </w:t>
      </w:r>
      <w:r>
        <w:rPr>
          <w:spacing w:val="-2"/>
        </w:rPr>
        <w:t xml:space="preserve">on a </w:t>
      </w:r>
      <w:r w:rsidRPr="00471B10">
        <w:t>one time, annual and/or as needed</w:t>
      </w:r>
      <w:r>
        <w:t xml:space="preserve"> basis</w:t>
      </w:r>
      <w:r w:rsidRPr="00471B10">
        <w:t>.</w:t>
      </w:r>
    </w:p>
    <w:p w:rsidR="003202E5" w:rsidRPr="00471B10" w:rsidP="003202E5" w14:paraId="7D2176E4" w14:textId="77777777">
      <w:pPr>
        <w:widowControl w:val="0"/>
        <w:autoSpaceDE w:val="0"/>
        <w:autoSpaceDN w:val="0"/>
        <w:spacing w:after="0"/>
        <w:ind w:left="120"/>
      </w:pPr>
    </w:p>
    <w:p w:rsidR="003202E5" w:rsidRPr="00471B10" w:rsidP="003202E5" w14:paraId="07DAF0FB" w14:textId="77777777">
      <w:pPr>
        <w:widowControl w:val="0"/>
        <w:autoSpaceDE w:val="0"/>
        <w:autoSpaceDN w:val="0"/>
        <w:spacing w:after="0"/>
        <w:ind w:left="120"/>
      </w:pPr>
      <w:r w:rsidRPr="00471B10">
        <w:rPr>
          <w:u w:val="single"/>
        </w:rPr>
        <w:t>Process Agent Use One-time Report (class I and class II):</w:t>
      </w:r>
    </w:p>
    <w:p w:rsidR="003202E5" w:rsidRPr="00471B10" w:rsidP="003202E5" w14:paraId="755B933D" w14:textId="77777777">
      <w:pPr>
        <w:widowControl w:val="0"/>
        <w:autoSpaceDE w:val="0"/>
        <w:autoSpaceDN w:val="0"/>
        <w:spacing w:after="0"/>
        <w:ind w:left="120"/>
      </w:pPr>
    </w:p>
    <w:p w:rsidR="003202E5" w:rsidRPr="00471B10" w:rsidP="003202E5" w14:paraId="552C84FE" w14:textId="77777777">
      <w:pPr>
        <w:widowControl w:val="0"/>
        <w:numPr>
          <w:ilvl w:val="0"/>
          <w:numId w:val="28"/>
        </w:numPr>
        <w:autoSpaceDE w:val="0"/>
        <w:autoSpaceDN w:val="0"/>
        <w:spacing w:after="0" w:line="240" w:lineRule="auto"/>
      </w:pPr>
      <w:r w:rsidRPr="00471B10">
        <w:t xml:space="preserve">The name and address of each facility and plant, and each responsible person’s name, email address, and phone </w:t>
      </w:r>
      <w:r w:rsidRPr="00471B10">
        <w:t>number;</w:t>
      </w:r>
    </w:p>
    <w:p w:rsidR="003202E5" w:rsidRPr="00471B10" w:rsidP="003202E5" w14:paraId="27F6EB9A" w14:textId="77777777">
      <w:pPr>
        <w:widowControl w:val="0"/>
        <w:numPr>
          <w:ilvl w:val="0"/>
          <w:numId w:val="28"/>
        </w:numPr>
        <w:autoSpaceDE w:val="0"/>
        <w:autoSpaceDN w:val="0"/>
        <w:spacing w:after="0" w:line="240" w:lineRule="auto"/>
      </w:pPr>
      <w:r w:rsidRPr="00471B10">
        <w:t xml:space="preserve">The name, purpose, and final product manufactured of each process agent application that uses a controlled </w:t>
      </w:r>
      <w:r w:rsidRPr="00471B10">
        <w:t>substance;</w:t>
      </w:r>
      <w:r w:rsidRPr="00471B10">
        <w:t xml:space="preserve"> </w:t>
      </w:r>
    </w:p>
    <w:p w:rsidR="003202E5" w:rsidRPr="00471B10" w:rsidP="003202E5" w14:paraId="46B938EE" w14:textId="77777777">
      <w:pPr>
        <w:widowControl w:val="0"/>
        <w:numPr>
          <w:ilvl w:val="0"/>
          <w:numId w:val="28"/>
        </w:numPr>
        <w:autoSpaceDE w:val="0"/>
        <w:autoSpaceDN w:val="0"/>
        <w:spacing w:after="0" w:line="240" w:lineRule="auto"/>
      </w:pPr>
      <w:r w:rsidRPr="00471B10">
        <w:t xml:space="preserve">The start-up date of each facility and plant that uses a controlled substance as a process </w:t>
      </w:r>
      <w:r w:rsidRPr="00471B10">
        <w:t>agent;</w:t>
      </w:r>
    </w:p>
    <w:p w:rsidR="003202E5" w:rsidRPr="00471B10" w:rsidP="003202E5" w14:paraId="4AC9CEF6" w14:textId="77777777">
      <w:pPr>
        <w:widowControl w:val="0"/>
        <w:numPr>
          <w:ilvl w:val="0"/>
          <w:numId w:val="28"/>
        </w:numPr>
        <w:autoSpaceDE w:val="0"/>
        <w:autoSpaceDN w:val="0"/>
        <w:spacing w:after="0" w:line="240" w:lineRule="auto"/>
      </w:pPr>
      <w:r w:rsidRPr="00471B10">
        <w:t xml:space="preserve">For each facility, the names and amounts of each product and byproduct manufactured in the process agent application during the previous control period, including amounts destroyed or used as a </w:t>
      </w:r>
      <w:r w:rsidRPr="00471B10">
        <w:t>feedstock;</w:t>
      </w:r>
      <w:r w:rsidRPr="00471B10">
        <w:t xml:space="preserve"> </w:t>
      </w:r>
    </w:p>
    <w:p w:rsidR="003202E5" w:rsidRPr="00471B10" w:rsidP="003202E5" w14:paraId="3B159EAA" w14:textId="77777777">
      <w:pPr>
        <w:widowControl w:val="0"/>
        <w:numPr>
          <w:ilvl w:val="0"/>
          <w:numId w:val="28"/>
        </w:numPr>
        <w:autoSpaceDE w:val="0"/>
        <w:autoSpaceDN w:val="0"/>
        <w:spacing w:after="0" w:line="240" w:lineRule="auto"/>
      </w:pPr>
      <w:r w:rsidRPr="00471B10">
        <w:t xml:space="preserve">For each facility, the total air, fugitive air, and stack point air emissions of controlled substances used as a process agent during the previous control </w:t>
      </w:r>
      <w:r w:rsidRPr="00471B10">
        <w:t>period;</w:t>
      </w:r>
    </w:p>
    <w:p w:rsidR="003202E5" w:rsidRPr="00471B10" w:rsidP="003202E5" w14:paraId="4774BDCB" w14:textId="77777777">
      <w:pPr>
        <w:widowControl w:val="0"/>
        <w:numPr>
          <w:ilvl w:val="0"/>
          <w:numId w:val="28"/>
        </w:numPr>
        <w:autoSpaceDE w:val="0"/>
        <w:autoSpaceDN w:val="0"/>
        <w:spacing w:after="0" w:line="240" w:lineRule="auto"/>
      </w:pPr>
      <w:r w:rsidRPr="00471B10">
        <w:t>For each facility, a description of technologies currently being used and actions taken or currently under evaluation to minimize use or emissions of controlled substances used as process agents (including estimated emissions reductions associated with each); and</w:t>
      </w:r>
    </w:p>
    <w:p w:rsidR="003202E5" w:rsidP="003202E5" w14:paraId="64A1ED02" w14:textId="77777777">
      <w:pPr>
        <w:widowControl w:val="0"/>
        <w:numPr>
          <w:ilvl w:val="0"/>
          <w:numId w:val="28"/>
        </w:numPr>
        <w:autoSpaceDE w:val="0"/>
        <w:autoSpaceDN w:val="0"/>
        <w:spacing w:after="0" w:line="240" w:lineRule="auto"/>
      </w:pPr>
      <w:r w:rsidRPr="00471B10">
        <w:t>For each facility, a description that includes details of the percentages of controlled substances used as a process agent and retained within the process agent application, recovered after the process agent application, and emitted or entrained in the final product.</w:t>
      </w:r>
    </w:p>
    <w:p w:rsidR="003202E5" w:rsidP="003202E5" w14:paraId="330E64E2" w14:textId="77777777">
      <w:pPr>
        <w:widowControl w:val="0"/>
        <w:numPr>
          <w:ilvl w:val="0"/>
          <w:numId w:val="28"/>
        </w:numPr>
        <w:autoSpaceDE w:val="0"/>
        <w:autoSpaceDN w:val="0"/>
        <w:spacing w:after="0" w:line="240" w:lineRule="auto"/>
      </w:pPr>
      <w:r>
        <w:t xml:space="preserve">For each process listed in </w:t>
      </w:r>
      <w:bookmarkStart w:id="19" w:name="_Hlk146263005"/>
      <w:r w:rsidRPr="0060453F">
        <w:t>§</w:t>
      </w:r>
      <w:r>
        <w:t xml:space="preserve"> 82.25</w:t>
      </w:r>
      <w:bookmarkEnd w:id="19"/>
      <w:r>
        <w:t xml:space="preserve">(b)(2): </w:t>
      </w:r>
    </w:p>
    <w:p w:rsidR="003202E5" w:rsidP="003202E5" w14:paraId="4A40EEF1" w14:textId="77777777">
      <w:pPr>
        <w:widowControl w:val="0"/>
        <w:numPr>
          <w:ilvl w:val="1"/>
          <w:numId w:val="28"/>
        </w:numPr>
        <w:autoSpaceDE w:val="0"/>
        <w:autoSpaceDN w:val="0"/>
        <w:spacing w:after="0" w:line="240" w:lineRule="auto"/>
      </w:pPr>
      <w:r>
        <w:t xml:space="preserve">A description and identification of the process listed in </w:t>
      </w:r>
      <w:r w:rsidRPr="0060453F">
        <w:t>§</w:t>
      </w:r>
      <w:r>
        <w:t xml:space="preserve"> 82.25(b)(2). </w:t>
      </w:r>
    </w:p>
    <w:p w:rsidR="003202E5" w:rsidP="003202E5" w14:paraId="381B8046" w14:textId="77777777">
      <w:pPr>
        <w:widowControl w:val="0"/>
        <w:numPr>
          <w:ilvl w:val="1"/>
          <w:numId w:val="28"/>
        </w:numPr>
        <w:autoSpaceDE w:val="0"/>
        <w:autoSpaceDN w:val="0"/>
        <w:spacing w:after="0" w:line="240" w:lineRule="auto"/>
      </w:pPr>
      <w:r>
        <w:t>A description and number, letter, or other identifier for each process vent associated with the process. This identifier must be a consistent name reported from year to year.</w:t>
      </w:r>
    </w:p>
    <w:p w:rsidR="003202E5" w:rsidP="003202E5" w14:paraId="1214C66A" w14:textId="77777777">
      <w:pPr>
        <w:widowControl w:val="0"/>
        <w:numPr>
          <w:ilvl w:val="1"/>
          <w:numId w:val="28"/>
        </w:numPr>
        <w:autoSpaceDE w:val="0"/>
        <w:autoSpaceDN w:val="0"/>
        <w:spacing w:after="0" w:line="240" w:lineRule="auto"/>
      </w:pPr>
      <w:r>
        <w:t xml:space="preserve">The method(s) used to determine the mass emissions from each process vent associated with the process (i.e., process-vent-specific emission factor or process-vent-specific emission calculation factor). </w:t>
      </w:r>
    </w:p>
    <w:p w:rsidR="003202E5" w:rsidP="003202E5" w14:paraId="420C80D6" w14:textId="77777777">
      <w:pPr>
        <w:widowControl w:val="0"/>
        <w:numPr>
          <w:ilvl w:val="1"/>
          <w:numId w:val="28"/>
        </w:numPr>
        <w:autoSpaceDE w:val="0"/>
        <w:autoSpaceDN w:val="0"/>
        <w:spacing w:after="0" w:line="240" w:lineRule="auto"/>
      </w:pPr>
      <w:r>
        <w:t>The method(s) used to determine the mass emissions from equipment leaks associated with the process.</w:t>
      </w:r>
    </w:p>
    <w:p w:rsidR="003202E5" w:rsidP="003202E5" w14:paraId="74B771A6" w14:textId="77777777">
      <w:pPr>
        <w:widowControl w:val="0"/>
        <w:numPr>
          <w:ilvl w:val="1"/>
          <w:numId w:val="28"/>
        </w:numPr>
        <w:autoSpaceDE w:val="0"/>
        <w:autoSpaceDN w:val="0"/>
        <w:spacing w:after="0" w:line="240" w:lineRule="auto"/>
      </w:pPr>
      <w:r>
        <w:t xml:space="preserve">For each controlled substance, each entity must report the total mass in kilograms of the controlled substance emitted from the processes listed in </w:t>
      </w:r>
      <w:r w:rsidRPr="0060453F">
        <w:t>§</w:t>
      </w:r>
      <w:r>
        <w:t xml:space="preserve"> 82.25 (b)(2).</w:t>
      </w:r>
    </w:p>
    <w:p w:rsidR="003202E5" w:rsidP="003202E5" w14:paraId="3C8FDA53" w14:textId="77777777">
      <w:pPr>
        <w:widowControl w:val="0"/>
        <w:numPr>
          <w:ilvl w:val="0"/>
          <w:numId w:val="28"/>
        </w:numPr>
        <w:autoSpaceDE w:val="0"/>
        <w:autoSpaceDN w:val="0"/>
        <w:spacing w:after="0" w:line="240" w:lineRule="auto"/>
      </w:pPr>
      <w:r w:rsidRPr="002C642F">
        <w:t>For each controlled substance, the total mass in kilograms of the controlled substance emitted from the processes listed in § 82.25</w:t>
      </w:r>
      <w:r>
        <w:t>(b)(2)</w:t>
      </w:r>
      <w:r w:rsidRPr="002C642F">
        <w:t>.</w:t>
      </w:r>
    </w:p>
    <w:p w:rsidR="003202E5" w:rsidP="003202E5" w14:paraId="75B78714" w14:textId="77777777">
      <w:pPr>
        <w:widowControl w:val="0"/>
        <w:numPr>
          <w:ilvl w:val="0"/>
          <w:numId w:val="28"/>
        </w:numPr>
        <w:autoSpaceDE w:val="0"/>
        <w:autoSpaceDN w:val="0"/>
        <w:spacing w:after="0" w:line="240" w:lineRule="auto"/>
      </w:pPr>
      <w:r>
        <w:t xml:space="preserve">For each process and controlled substance, the effective destruction efficiency, </w:t>
      </w:r>
      <w:r>
        <w:t>DE</w:t>
      </w:r>
      <w:r w:rsidRPr="002C642F">
        <w:rPr>
          <w:vertAlign w:val="subscript"/>
        </w:rPr>
        <w:t>effective</w:t>
      </w:r>
      <w:r>
        <w:t xml:space="preserve">, calculated for that process using equation 13 of </w:t>
      </w:r>
      <w:r w:rsidRPr="002C642F">
        <w:t>§ 82.25</w:t>
      </w:r>
      <w:r>
        <w:t>.</w:t>
      </w:r>
    </w:p>
    <w:p w:rsidR="003202E5" w:rsidP="003202E5" w14:paraId="1CC5FDCF" w14:textId="77777777">
      <w:pPr>
        <w:widowControl w:val="0"/>
        <w:numPr>
          <w:ilvl w:val="0"/>
          <w:numId w:val="28"/>
        </w:numPr>
        <w:autoSpaceDE w:val="0"/>
        <w:autoSpaceDN w:val="0"/>
        <w:spacing w:after="0" w:line="240" w:lineRule="auto"/>
      </w:pPr>
      <w:r>
        <w:t xml:space="preserve">The monitoring plan, as specified in </w:t>
      </w:r>
      <w:r w:rsidRPr="002C642F">
        <w:t>§ 82.25</w:t>
      </w:r>
      <w:r>
        <w:t xml:space="preserve">(f)(6), including any revisions since the prior year’s submission, as applicable.  </w:t>
      </w:r>
    </w:p>
    <w:p w:rsidR="003202E5" w:rsidP="003202E5" w14:paraId="72A6A545" w14:textId="77777777">
      <w:pPr>
        <w:widowControl w:val="0"/>
        <w:numPr>
          <w:ilvl w:val="0"/>
          <w:numId w:val="28"/>
        </w:numPr>
        <w:autoSpaceDE w:val="0"/>
        <w:autoSpaceDN w:val="0"/>
        <w:spacing w:after="0" w:line="240" w:lineRule="auto"/>
      </w:pPr>
      <w:r w:rsidRPr="002C642F">
        <w:t>For processes whose emissions are determined using the emission factor approach under § 82.25(c)(1)(iii) or the emission calculation factor under § 82.25(c)(1)(iv), the following for each process</w:t>
      </w:r>
      <w:r>
        <w:t>:</w:t>
      </w:r>
    </w:p>
    <w:p w:rsidR="003202E5" w:rsidP="003202E5" w14:paraId="7E1F354F" w14:textId="28E10E36">
      <w:pPr>
        <w:widowControl w:val="0"/>
        <w:numPr>
          <w:ilvl w:val="1"/>
          <w:numId w:val="28"/>
        </w:numPr>
        <w:autoSpaceDE w:val="0"/>
        <w:autoSpaceDN w:val="0"/>
        <w:spacing w:after="0" w:line="240" w:lineRule="auto"/>
      </w:pPr>
      <w:r>
        <w:t xml:space="preserve">The identity and quantity of the process activity used to estimate emissions (e.g., tons of product </w:t>
      </w:r>
      <w:r w:rsidR="00EC266D">
        <w:t>produced,</w:t>
      </w:r>
      <w:r>
        <w:t xml:space="preserve"> or tons of reactant consumed) for each process vent associated with the process.</w:t>
      </w:r>
    </w:p>
    <w:p w:rsidR="003202E5" w:rsidP="003202E5" w14:paraId="0E4D119C" w14:textId="77777777">
      <w:pPr>
        <w:widowControl w:val="0"/>
        <w:numPr>
          <w:ilvl w:val="1"/>
          <w:numId w:val="28"/>
        </w:numPr>
        <w:autoSpaceDE w:val="0"/>
        <w:autoSpaceDN w:val="0"/>
        <w:spacing w:after="0" w:line="240" w:lineRule="auto"/>
      </w:pPr>
      <w:r>
        <w:t>The site-specific, process-vent- specific emission factor(s) or emission calculation factor for each process vent associated with the process.</w:t>
      </w:r>
    </w:p>
    <w:p w:rsidR="003202E5" w:rsidP="003202E5" w14:paraId="3DA95587" w14:textId="77777777">
      <w:pPr>
        <w:widowControl w:val="0"/>
        <w:numPr>
          <w:ilvl w:val="1"/>
          <w:numId w:val="28"/>
        </w:numPr>
        <w:autoSpaceDE w:val="0"/>
        <w:autoSpaceDN w:val="0"/>
        <w:spacing w:after="0" w:line="240" w:lineRule="auto"/>
      </w:pPr>
      <w:r>
        <w:t xml:space="preserve">For each controlled substance, the mass emitted from each process vent associated with the process, in kilograms. </w:t>
      </w:r>
    </w:p>
    <w:p w:rsidR="003202E5" w:rsidP="003202E5" w14:paraId="2442FD4D" w14:textId="77777777">
      <w:pPr>
        <w:widowControl w:val="0"/>
        <w:numPr>
          <w:ilvl w:val="1"/>
          <w:numId w:val="28"/>
        </w:numPr>
        <w:autoSpaceDE w:val="0"/>
        <w:autoSpaceDN w:val="0"/>
        <w:spacing w:after="0" w:line="240" w:lineRule="auto"/>
      </w:pPr>
      <w:r>
        <w:t>For each controlled substance, the total mass emitted from equipment leaks, in kilograms.</w:t>
      </w:r>
    </w:p>
    <w:p w:rsidR="003202E5" w:rsidP="003202E5" w14:paraId="38FC43F9" w14:textId="77777777">
      <w:pPr>
        <w:widowControl w:val="0"/>
        <w:numPr>
          <w:ilvl w:val="0"/>
          <w:numId w:val="28"/>
        </w:numPr>
        <w:autoSpaceDE w:val="0"/>
        <w:autoSpaceDN w:val="0"/>
        <w:spacing w:after="0" w:line="240" w:lineRule="auto"/>
      </w:pPr>
      <w:r>
        <w:t>For e</w:t>
      </w:r>
      <w:r w:rsidRPr="002C642F">
        <w:t>ach facility that destroys a controlled substance</w:t>
      </w:r>
      <w:r>
        <w:t>,</w:t>
      </w:r>
      <w:r w:rsidRPr="002C642F">
        <w:t xml:space="preserve"> the excess emissions that result from malfunctions of the destruction unit, and these excess emissions must be reflected in the controlled substance estimates in § 82.25(c)(1). </w:t>
      </w:r>
    </w:p>
    <w:p w:rsidR="003202E5" w:rsidP="003202E5" w14:paraId="40C8687F" w14:textId="77777777">
      <w:pPr>
        <w:widowControl w:val="0"/>
        <w:numPr>
          <w:ilvl w:val="0"/>
          <w:numId w:val="28"/>
        </w:numPr>
        <w:autoSpaceDE w:val="0"/>
        <w:autoSpaceDN w:val="0"/>
        <w:spacing w:after="0" w:line="240" w:lineRule="auto"/>
      </w:pPr>
      <w:r>
        <w:t xml:space="preserve">For each facility that destroys controlled substances, a report containing the information in </w:t>
      </w:r>
      <w:r w:rsidRPr="004364FF">
        <w:t>§ 82.25(e)</w:t>
      </w:r>
      <w:r>
        <w:t>(4)(</w:t>
      </w:r>
      <w:r>
        <w:t>i</w:t>
      </w:r>
      <w:r>
        <w:t>) through (4)(iii). This report is one-time unless a change is made to the destruction unit that would be expected to affect its destruction efficiencies.</w:t>
      </w:r>
    </w:p>
    <w:p w:rsidR="003202E5" w:rsidP="003202E5" w14:paraId="635D9D16" w14:textId="77777777">
      <w:pPr>
        <w:widowControl w:val="0"/>
        <w:numPr>
          <w:ilvl w:val="1"/>
          <w:numId w:val="28"/>
        </w:numPr>
        <w:autoSpaceDE w:val="0"/>
        <w:autoSpaceDN w:val="0"/>
        <w:spacing w:after="0" w:line="240" w:lineRule="auto"/>
      </w:pPr>
      <w:r>
        <w:t>Chemical identity of the controlled substance(s) used in the performance test conducted to determine destruction efficiency, including surrogates, and information on why the surrogate is sufficient to demonstrate the destruction efficiency for each controlled substance, consistent with requirements in § 82.25(d)(6)(</w:t>
      </w:r>
      <w:r>
        <w:t>i</w:t>
      </w:r>
      <w:r>
        <w:t xml:space="preserve">), vented to the destruction unit. </w:t>
      </w:r>
    </w:p>
    <w:p w:rsidR="003202E5" w:rsidP="003202E5" w14:paraId="196043BD" w14:textId="77777777">
      <w:pPr>
        <w:widowControl w:val="0"/>
        <w:numPr>
          <w:ilvl w:val="1"/>
          <w:numId w:val="28"/>
        </w:numPr>
        <w:autoSpaceDE w:val="0"/>
        <w:autoSpaceDN w:val="0"/>
        <w:spacing w:after="0" w:line="240" w:lineRule="auto"/>
      </w:pPr>
      <w:r>
        <w:t xml:space="preserve">Date of the most recent destruction unit test. </w:t>
      </w:r>
    </w:p>
    <w:p w:rsidR="003202E5" w:rsidP="003202E5" w14:paraId="1D136EF9" w14:textId="77777777">
      <w:pPr>
        <w:widowControl w:val="0"/>
        <w:numPr>
          <w:ilvl w:val="1"/>
          <w:numId w:val="28"/>
        </w:numPr>
        <w:autoSpaceDE w:val="0"/>
        <w:autoSpaceDN w:val="0"/>
        <w:spacing w:after="0" w:line="240" w:lineRule="auto"/>
      </w:pPr>
      <w:r>
        <w:t>Name of all applicable Federal or State regulations that may apply to the destruction process.</w:t>
      </w:r>
    </w:p>
    <w:p w:rsidR="003202E5" w:rsidP="003202E5" w14:paraId="0D94FA9C" w14:textId="77777777">
      <w:pPr>
        <w:widowControl w:val="0"/>
        <w:numPr>
          <w:ilvl w:val="0"/>
          <w:numId w:val="28"/>
        </w:numPr>
        <w:autoSpaceDE w:val="0"/>
        <w:autoSpaceDN w:val="0"/>
        <w:spacing w:after="0" w:line="240" w:lineRule="auto"/>
      </w:pPr>
      <w:r>
        <w:t xml:space="preserve">For each facility that destroys controlled substances, separately from the controlled substance emissions reported under </w:t>
      </w:r>
      <w:r w:rsidRPr="002C642F">
        <w:t>§ 82.25</w:t>
      </w:r>
      <w:r>
        <w:t>(e)(2), the following for each previously produced controlled substance destroyed:</w:t>
      </w:r>
    </w:p>
    <w:p w:rsidR="003202E5" w:rsidP="003202E5" w14:paraId="275EF655" w14:textId="77777777">
      <w:pPr>
        <w:widowControl w:val="0"/>
        <w:numPr>
          <w:ilvl w:val="1"/>
          <w:numId w:val="28"/>
        </w:numPr>
        <w:autoSpaceDE w:val="0"/>
        <w:autoSpaceDN w:val="0"/>
        <w:spacing w:after="0" w:line="240" w:lineRule="auto"/>
      </w:pPr>
      <w:r>
        <w:t>The mass of the controlled substance emitted from the destruction unit (kilograms).</w:t>
      </w:r>
    </w:p>
    <w:p w:rsidR="003202E5" w:rsidRPr="00471B10" w:rsidP="003202E5" w14:paraId="011CF58C" w14:textId="77777777">
      <w:pPr>
        <w:widowControl w:val="0"/>
        <w:numPr>
          <w:ilvl w:val="0"/>
          <w:numId w:val="28"/>
        </w:numPr>
        <w:autoSpaceDE w:val="0"/>
        <w:autoSpaceDN w:val="0"/>
        <w:spacing w:after="0" w:line="240" w:lineRule="auto"/>
      </w:pPr>
      <w:r>
        <w:t>For e</w:t>
      </w:r>
      <w:r w:rsidRPr="00C725A3">
        <w:t>ach facility that destroys controlled substance(s) used as a process agent</w:t>
      </w:r>
      <w:r>
        <w:t xml:space="preserve"> </w:t>
      </w:r>
      <w:r w:rsidRPr="00C725A3">
        <w:t>a one-time report, that describes any measurements, research, or analysis that it has performed or obtained that relate to the formation of products of incomplete combustion that are controlled substances during the destruction of controlled substances. The report must include the methods and results of any measurement or modeling studies, including the products of incomplete combustion for which the exhaust stream was analyzed, as well as copies of relevant scientific papers, if available, or citations of the papers, if they are not. No new testing is required to fulfill this requirement.</w:t>
      </w:r>
    </w:p>
    <w:p w:rsidR="003202E5" w:rsidRPr="00471B10" w:rsidP="003202E5" w14:paraId="4F04A718" w14:textId="77777777">
      <w:pPr>
        <w:widowControl w:val="0"/>
        <w:autoSpaceDE w:val="0"/>
        <w:autoSpaceDN w:val="0"/>
        <w:spacing w:after="0"/>
      </w:pPr>
    </w:p>
    <w:p w:rsidR="003202E5" w:rsidRPr="00471B10" w:rsidP="003202E5" w14:paraId="008B1625" w14:textId="77777777">
      <w:pPr>
        <w:widowControl w:val="0"/>
        <w:autoSpaceDE w:val="0"/>
        <w:autoSpaceDN w:val="0"/>
        <w:spacing w:after="0"/>
      </w:pPr>
      <w:r w:rsidRPr="00471B10">
        <w:rPr>
          <w:u w:val="single"/>
        </w:rPr>
        <w:t>Process Agent Use Annual Report (class I and class II)</w:t>
      </w:r>
      <w:r w:rsidRPr="00471B10">
        <w:t>:</w:t>
      </w:r>
    </w:p>
    <w:p w:rsidR="003202E5" w:rsidRPr="00471B10" w:rsidP="003202E5" w14:paraId="72DD40E3" w14:textId="77777777">
      <w:pPr>
        <w:widowControl w:val="0"/>
        <w:autoSpaceDE w:val="0"/>
        <w:autoSpaceDN w:val="0"/>
        <w:spacing w:after="0"/>
      </w:pPr>
    </w:p>
    <w:p w:rsidR="003202E5" w:rsidRPr="00471B10" w:rsidP="003202E5" w14:paraId="2D0F2E31" w14:textId="77777777">
      <w:pPr>
        <w:widowControl w:val="0"/>
        <w:numPr>
          <w:ilvl w:val="0"/>
          <w:numId w:val="29"/>
        </w:numPr>
        <w:autoSpaceDE w:val="0"/>
        <w:autoSpaceDN w:val="0"/>
        <w:spacing w:after="0" w:line="240" w:lineRule="auto"/>
      </w:pPr>
      <w:r w:rsidRPr="00471B10">
        <w:t xml:space="preserve">For each facility, contact information including email address and phone number for a primary and alternate contact </w:t>
      </w:r>
      <w:r w:rsidRPr="00471B10">
        <w:t>person;</w:t>
      </w:r>
    </w:p>
    <w:p w:rsidR="003202E5" w:rsidRPr="00471B10" w:rsidP="003202E5" w14:paraId="3A6BD835" w14:textId="77777777">
      <w:pPr>
        <w:widowControl w:val="0"/>
        <w:numPr>
          <w:ilvl w:val="0"/>
          <w:numId w:val="29"/>
        </w:numPr>
        <w:autoSpaceDE w:val="0"/>
        <w:autoSpaceDN w:val="0"/>
        <w:spacing w:after="0" w:line="240" w:lineRule="auto"/>
      </w:pPr>
      <w:r w:rsidRPr="00471B10">
        <w:t xml:space="preserve">For each facility, the name and amount of each controlled substance initially introduced into the process agent application for use as a process agent, specified independently whether the controlled substance was: </w:t>
      </w:r>
    </w:p>
    <w:p w:rsidR="003202E5" w:rsidRPr="00471B10" w:rsidP="003202E5" w14:paraId="56522AE4" w14:textId="77777777">
      <w:pPr>
        <w:widowControl w:val="0"/>
        <w:numPr>
          <w:ilvl w:val="1"/>
          <w:numId w:val="29"/>
        </w:numPr>
        <w:autoSpaceDE w:val="0"/>
        <w:autoSpaceDN w:val="0"/>
        <w:spacing w:after="0" w:line="240" w:lineRule="auto"/>
      </w:pPr>
      <w:r w:rsidRPr="00471B10">
        <w:t xml:space="preserve">Obtained as </w:t>
      </w:r>
      <w:r w:rsidRPr="00471B10">
        <w:t>virgin;</w:t>
      </w:r>
    </w:p>
    <w:p w:rsidR="003202E5" w:rsidRPr="00471B10" w:rsidP="003202E5" w14:paraId="29444B2A" w14:textId="77777777">
      <w:pPr>
        <w:widowControl w:val="0"/>
        <w:numPr>
          <w:ilvl w:val="1"/>
          <w:numId w:val="29"/>
        </w:numPr>
        <w:autoSpaceDE w:val="0"/>
        <w:autoSpaceDN w:val="0"/>
        <w:spacing w:after="0" w:line="240" w:lineRule="auto"/>
      </w:pPr>
      <w:r w:rsidRPr="00471B10">
        <w:t xml:space="preserve">Obtained as </w:t>
      </w:r>
      <w:r w:rsidRPr="00471B10">
        <w:t>used;</w:t>
      </w:r>
    </w:p>
    <w:p w:rsidR="003202E5" w:rsidRPr="00471B10" w:rsidP="003202E5" w14:paraId="3C045809" w14:textId="77777777">
      <w:pPr>
        <w:widowControl w:val="0"/>
        <w:numPr>
          <w:ilvl w:val="1"/>
          <w:numId w:val="29"/>
        </w:numPr>
        <w:autoSpaceDE w:val="0"/>
        <w:autoSpaceDN w:val="0"/>
        <w:spacing w:after="0" w:line="240" w:lineRule="auto"/>
      </w:pPr>
      <w:r w:rsidRPr="00471B10">
        <w:t xml:space="preserve">Produced by the </w:t>
      </w:r>
      <w:r w:rsidRPr="00471B10">
        <w:t>entity;</w:t>
      </w:r>
      <w:r w:rsidRPr="00471B10">
        <w:t xml:space="preserve"> </w:t>
      </w:r>
    </w:p>
    <w:p w:rsidR="003202E5" w:rsidRPr="00471B10" w:rsidP="003202E5" w14:paraId="0DB21994" w14:textId="77777777">
      <w:pPr>
        <w:widowControl w:val="0"/>
        <w:numPr>
          <w:ilvl w:val="1"/>
          <w:numId w:val="29"/>
        </w:numPr>
        <w:autoSpaceDE w:val="0"/>
        <w:autoSpaceDN w:val="0"/>
        <w:spacing w:after="0" w:line="240" w:lineRule="auto"/>
      </w:pPr>
      <w:r w:rsidRPr="00471B10">
        <w:t xml:space="preserve">Purchased from a U.S. </w:t>
      </w:r>
      <w:r w:rsidRPr="00471B10">
        <w:t>producer;</w:t>
      </w:r>
    </w:p>
    <w:p w:rsidR="003202E5" w:rsidRPr="00471B10" w:rsidP="003202E5" w14:paraId="048C011C" w14:textId="77777777">
      <w:pPr>
        <w:widowControl w:val="0"/>
        <w:numPr>
          <w:ilvl w:val="1"/>
          <w:numId w:val="29"/>
        </w:numPr>
        <w:autoSpaceDE w:val="0"/>
        <w:autoSpaceDN w:val="0"/>
        <w:spacing w:after="0" w:line="240" w:lineRule="auto"/>
      </w:pPr>
      <w:r w:rsidRPr="00471B10">
        <w:t>Imported;</w:t>
      </w:r>
    </w:p>
    <w:p w:rsidR="003202E5" w:rsidRPr="00471B10" w:rsidP="003202E5" w14:paraId="0A134772" w14:textId="77777777">
      <w:pPr>
        <w:widowControl w:val="0"/>
        <w:numPr>
          <w:ilvl w:val="1"/>
          <w:numId w:val="29"/>
        </w:numPr>
        <w:autoSpaceDE w:val="0"/>
        <w:autoSpaceDN w:val="0"/>
        <w:spacing w:after="0" w:line="240" w:lineRule="auto"/>
      </w:pPr>
      <w:r w:rsidRPr="00471B10">
        <w:t>Reclaimed by the entity from a different use; and</w:t>
      </w:r>
    </w:p>
    <w:p w:rsidR="003202E5" w:rsidRPr="00471B10" w:rsidP="003202E5" w14:paraId="20A8A3B4" w14:textId="77777777">
      <w:pPr>
        <w:widowControl w:val="0"/>
        <w:numPr>
          <w:ilvl w:val="1"/>
          <w:numId w:val="29"/>
        </w:numPr>
        <w:autoSpaceDE w:val="0"/>
        <w:autoSpaceDN w:val="0"/>
        <w:spacing w:after="0" w:line="240" w:lineRule="auto"/>
      </w:pPr>
      <w:r w:rsidRPr="00471B10">
        <w:t>Reclaimed by another entity.</w:t>
      </w:r>
    </w:p>
    <w:p w:rsidR="003202E5" w:rsidRPr="00471B10" w:rsidP="003202E5" w14:paraId="009CE837" w14:textId="77777777">
      <w:pPr>
        <w:widowControl w:val="0"/>
        <w:numPr>
          <w:ilvl w:val="0"/>
          <w:numId w:val="29"/>
        </w:numPr>
        <w:autoSpaceDE w:val="0"/>
        <w:autoSpaceDN w:val="0"/>
        <w:spacing w:after="0" w:line="240" w:lineRule="auto"/>
      </w:pPr>
      <w:r w:rsidRPr="00471B10">
        <w:t xml:space="preserve">For each facility, the name and amount of each controlled substance used as a process agent and reused or recycled by the entity for continued use in the same process agent application at the same </w:t>
      </w:r>
      <w:r w:rsidRPr="00471B10">
        <w:t>facility;</w:t>
      </w:r>
      <w:r w:rsidRPr="00471B10">
        <w:t xml:space="preserve"> </w:t>
      </w:r>
    </w:p>
    <w:p w:rsidR="003202E5" w:rsidRPr="00471B10" w:rsidP="003202E5" w14:paraId="1E8545D2" w14:textId="77777777">
      <w:pPr>
        <w:widowControl w:val="0"/>
        <w:numPr>
          <w:ilvl w:val="0"/>
          <w:numId w:val="29"/>
        </w:numPr>
        <w:autoSpaceDE w:val="0"/>
        <w:autoSpaceDN w:val="0"/>
        <w:spacing w:after="0" w:line="240" w:lineRule="auto"/>
      </w:pPr>
      <w:r w:rsidRPr="00471B10">
        <w:t>For each facility, the name and amount of each controlled substance used as a process agent that was ultimately:</w:t>
      </w:r>
    </w:p>
    <w:p w:rsidR="003202E5" w:rsidRPr="00471B10" w:rsidP="003202E5" w14:paraId="79D459D6" w14:textId="77777777">
      <w:pPr>
        <w:widowControl w:val="0"/>
        <w:numPr>
          <w:ilvl w:val="1"/>
          <w:numId w:val="29"/>
        </w:numPr>
        <w:autoSpaceDE w:val="0"/>
        <w:autoSpaceDN w:val="0"/>
        <w:spacing w:after="0" w:line="240" w:lineRule="auto"/>
      </w:pPr>
      <w:r w:rsidRPr="00471B10">
        <w:t>Transformed;</w:t>
      </w:r>
    </w:p>
    <w:p w:rsidR="003202E5" w:rsidRPr="00471B10" w:rsidP="003202E5" w14:paraId="62875632" w14:textId="77777777">
      <w:pPr>
        <w:widowControl w:val="0"/>
        <w:numPr>
          <w:ilvl w:val="1"/>
          <w:numId w:val="29"/>
        </w:numPr>
        <w:autoSpaceDE w:val="0"/>
        <w:autoSpaceDN w:val="0"/>
        <w:spacing w:after="0" w:line="240" w:lineRule="auto"/>
      </w:pPr>
      <w:r w:rsidRPr="00471B10">
        <w:t>Reused or recycled for use in a different process agent application; or</w:t>
      </w:r>
    </w:p>
    <w:p w:rsidR="003202E5" w:rsidRPr="00471B10" w:rsidP="003202E5" w14:paraId="7D02B086" w14:textId="77777777">
      <w:pPr>
        <w:widowControl w:val="0"/>
        <w:numPr>
          <w:ilvl w:val="1"/>
          <w:numId w:val="29"/>
        </w:numPr>
        <w:autoSpaceDE w:val="0"/>
        <w:autoSpaceDN w:val="0"/>
        <w:spacing w:after="0" w:line="240" w:lineRule="auto"/>
      </w:pPr>
      <w:r w:rsidRPr="00471B10">
        <w:t>Destroyed by approved destruction technologies.</w:t>
      </w:r>
    </w:p>
    <w:p w:rsidR="003202E5" w:rsidP="003202E5" w14:paraId="6B3B0840" w14:textId="77777777">
      <w:pPr>
        <w:widowControl w:val="0"/>
        <w:numPr>
          <w:ilvl w:val="0"/>
          <w:numId w:val="29"/>
        </w:numPr>
        <w:autoSpaceDE w:val="0"/>
        <w:autoSpaceDN w:val="0"/>
        <w:spacing w:after="0" w:line="240" w:lineRule="auto"/>
      </w:pPr>
      <w:r w:rsidRPr="00471B10">
        <w:t xml:space="preserve">For each facility, the total air, fugitive air, and stack point air emissions of each controlled substance used as a process </w:t>
      </w:r>
      <w:r w:rsidRPr="00471B10">
        <w:t>agent;</w:t>
      </w:r>
    </w:p>
    <w:p w:rsidR="003202E5" w:rsidRPr="00471B10" w:rsidP="003202E5" w14:paraId="52B87DF4" w14:textId="77777777">
      <w:pPr>
        <w:widowControl w:val="0"/>
        <w:numPr>
          <w:ilvl w:val="0"/>
          <w:numId w:val="29"/>
        </w:numPr>
        <w:autoSpaceDE w:val="0"/>
        <w:autoSpaceDN w:val="0"/>
        <w:spacing w:after="0" w:line="240" w:lineRule="auto"/>
      </w:pPr>
      <w:r w:rsidRPr="00471B10">
        <w:t xml:space="preserve">For each facility, the names and amounts of each product and byproduct manufactured in the process agent application during the previous control period, including amounts destroyed or used as a </w:t>
      </w:r>
      <w:r w:rsidRPr="00471B10">
        <w:t>feedstock;</w:t>
      </w:r>
    </w:p>
    <w:p w:rsidR="003202E5" w:rsidP="003202E5" w14:paraId="0AC4D97A" w14:textId="77777777">
      <w:pPr>
        <w:widowControl w:val="0"/>
        <w:numPr>
          <w:ilvl w:val="0"/>
          <w:numId w:val="29"/>
        </w:numPr>
        <w:autoSpaceDE w:val="0"/>
        <w:autoSpaceDN w:val="0"/>
        <w:spacing w:after="0" w:line="240" w:lineRule="auto"/>
      </w:pPr>
      <w:r w:rsidRPr="00471B10">
        <w:t xml:space="preserve">For each facility, a description of emission reduction actions for controlled substances used as a process agent taken since the last one-time or annual report, planned, or currently under </w:t>
      </w:r>
      <w:r w:rsidRPr="00471B10">
        <w:t>evaluation;</w:t>
      </w:r>
      <w:r w:rsidRPr="00471B10">
        <w:t xml:space="preserve"> </w:t>
      </w:r>
    </w:p>
    <w:p w:rsidR="003202E5" w:rsidP="003202E5" w14:paraId="3CD7DD03" w14:textId="77777777">
      <w:pPr>
        <w:widowControl w:val="0"/>
        <w:numPr>
          <w:ilvl w:val="0"/>
          <w:numId w:val="29"/>
        </w:numPr>
        <w:autoSpaceDE w:val="0"/>
        <w:autoSpaceDN w:val="0"/>
        <w:spacing w:after="0" w:line="240" w:lineRule="auto"/>
      </w:pPr>
      <w:r>
        <w:t xml:space="preserve">For each process listed in § 82.25(b)(2): </w:t>
      </w:r>
    </w:p>
    <w:p w:rsidR="003202E5" w:rsidP="003202E5" w14:paraId="40467EB4" w14:textId="77777777">
      <w:pPr>
        <w:widowControl w:val="0"/>
        <w:numPr>
          <w:ilvl w:val="1"/>
          <w:numId w:val="29"/>
        </w:numPr>
        <w:autoSpaceDE w:val="0"/>
        <w:autoSpaceDN w:val="0"/>
        <w:spacing w:after="0" w:line="240" w:lineRule="auto"/>
      </w:pPr>
      <w:r>
        <w:t xml:space="preserve">A description and identification of the process listed in § 82.25(b)(2). </w:t>
      </w:r>
    </w:p>
    <w:p w:rsidR="003202E5" w:rsidP="003202E5" w14:paraId="6B778539" w14:textId="77777777">
      <w:pPr>
        <w:widowControl w:val="0"/>
        <w:numPr>
          <w:ilvl w:val="1"/>
          <w:numId w:val="29"/>
        </w:numPr>
        <w:autoSpaceDE w:val="0"/>
        <w:autoSpaceDN w:val="0"/>
        <w:spacing w:after="0" w:line="240" w:lineRule="auto"/>
      </w:pPr>
      <w:r>
        <w:t>A description and number, letter, or other identifier for each process vent associated with the process. This identifier must be a consistent name reported from year to year.</w:t>
      </w:r>
    </w:p>
    <w:p w:rsidR="003202E5" w:rsidP="003202E5" w14:paraId="633EC0A2" w14:textId="77777777">
      <w:pPr>
        <w:widowControl w:val="0"/>
        <w:numPr>
          <w:ilvl w:val="1"/>
          <w:numId w:val="29"/>
        </w:numPr>
        <w:autoSpaceDE w:val="0"/>
        <w:autoSpaceDN w:val="0"/>
        <w:spacing w:after="0" w:line="240" w:lineRule="auto"/>
      </w:pPr>
      <w:r>
        <w:t xml:space="preserve">The method(s) used to determine the mass emissions from each process vent associated with the process (i.e., process-vent-specific emission factor or process-vent-specific emission calculation factor). </w:t>
      </w:r>
    </w:p>
    <w:p w:rsidR="003202E5" w:rsidP="003202E5" w14:paraId="7970FA76" w14:textId="77777777">
      <w:pPr>
        <w:widowControl w:val="0"/>
        <w:numPr>
          <w:ilvl w:val="1"/>
          <w:numId w:val="29"/>
        </w:numPr>
        <w:autoSpaceDE w:val="0"/>
        <w:autoSpaceDN w:val="0"/>
        <w:spacing w:after="0" w:line="240" w:lineRule="auto"/>
      </w:pPr>
      <w:r>
        <w:t>The method(s) used to determine the mass emissions from equipment leaks associated with the process.</w:t>
      </w:r>
    </w:p>
    <w:p w:rsidR="003202E5" w:rsidP="003202E5" w14:paraId="7E458B7B" w14:textId="77777777">
      <w:pPr>
        <w:widowControl w:val="0"/>
        <w:numPr>
          <w:ilvl w:val="0"/>
          <w:numId w:val="29"/>
        </w:numPr>
        <w:autoSpaceDE w:val="0"/>
        <w:autoSpaceDN w:val="0"/>
        <w:spacing w:after="0" w:line="240" w:lineRule="auto"/>
      </w:pPr>
      <w:r>
        <w:t>For each controlled substance, the total mass in kilograms of the controlled substance emitted from the processes listed in § 82.25(b)(2).</w:t>
      </w:r>
    </w:p>
    <w:p w:rsidR="003202E5" w:rsidP="003202E5" w14:paraId="4D04EF62" w14:textId="77777777">
      <w:pPr>
        <w:widowControl w:val="0"/>
        <w:numPr>
          <w:ilvl w:val="0"/>
          <w:numId w:val="29"/>
        </w:numPr>
        <w:autoSpaceDE w:val="0"/>
        <w:autoSpaceDN w:val="0"/>
        <w:spacing w:after="0" w:line="240" w:lineRule="auto"/>
      </w:pPr>
      <w:r>
        <w:t>For each controlled substance, the total mass in kilograms of the controlled substance emitted from the processes listed in § 82.25(b)(2).</w:t>
      </w:r>
    </w:p>
    <w:p w:rsidR="003202E5" w:rsidP="003202E5" w14:paraId="51606CA0" w14:textId="77777777">
      <w:pPr>
        <w:widowControl w:val="0"/>
        <w:numPr>
          <w:ilvl w:val="0"/>
          <w:numId w:val="29"/>
        </w:numPr>
        <w:autoSpaceDE w:val="0"/>
        <w:autoSpaceDN w:val="0"/>
        <w:spacing w:after="0" w:line="240" w:lineRule="auto"/>
      </w:pPr>
      <w:r>
        <w:t xml:space="preserve">For each process and controlled substance, the effective destruction efficiency, </w:t>
      </w:r>
      <w:r>
        <w:t>DEeffective</w:t>
      </w:r>
      <w:r>
        <w:t>, calculated for that process using Equation 13 of § 82.25.</w:t>
      </w:r>
    </w:p>
    <w:p w:rsidR="003202E5" w:rsidP="003202E5" w14:paraId="7B3410C9" w14:textId="77777777">
      <w:pPr>
        <w:widowControl w:val="0"/>
        <w:numPr>
          <w:ilvl w:val="0"/>
          <w:numId w:val="29"/>
        </w:numPr>
        <w:autoSpaceDE w:val="0"/>
        <w:autoSpaceDN w:val="0"/>
        <w:spacing w:after="0" w:line="240" w:lineRule="auto"/>
      </w:pPr>
      <w:r>
        <w:t xml:space="preserve">The monitoring plan, as specified in § 82.25(f)(6), including any revisions since the prior year’s submission, as applicable.  </w:t>
      </w:r>
    </w:p>
    <w:p w:rsidR="003202E5" w:rsidP="003202E5" w14:paraId="1774E6FC" w14:textId="77777777">
      <w:pPr>
        <w:widowControl w:val="0"/>
        <w:numPr>
          <w:ilvl w:val="0"/>
          <w:numId w:val="29"/>
        </w:numPr>
        <w:autoSpaceDE w:val="0"/>
        <w:autoSpaceDN w:val="0"/>
        <w:spacing w:after="0" w:line="240" w:lineRule="auto"/>
      </w:pPr>
      <w:r>
        <w:t>For processes whose emissions are determined using the emission factor approach under § 82.25(c)(1)(iii) or the emission calculation factor under § 82.25(c)(1)(iv), the following for each process:</w:t>
      </w:r>
    </w:p>
    <w:p w:rsidR="003202E5" w:rsidP="003202E5" w14:paraId="7ACDFDAD" w14:textId="77777777">
      <w:pPr>
        <w:widowControl w:val="0"/>
        <w:numPr>
          <w:ilvl w:val="0"/>
          <w:numId w:val="29"/>
        </w:numPr>
        <w:autoSpaceDE w:val="0"/>
        <w:autoSpaceDN w:val="0"/>
        <w:spacing w:after="0" w:line="240" w:lineRule="auto"/>
      </w:pPr>
      <w:r>
        <w:t xml:space="preserve">The identity and quantity of the process activity used to estimate emissions (e.g., tons of product </w:t>
      </w:r>
      <w:r>
        <w:t>produced</w:t>
      </w:r>
      <w:r>
        <w:t xml:space="preserve"> or tons of reactant consumed) for each process vent associated with the process.</w:t>
      </w:r>
    </w:p>
    <w:p w:rsidR="003202E5" w:rsidP="003202E5" w14:paraId="4B89D586" w14:textId="77777777">
      <w:pPr>
        <w:widowControl w:val="0"/>
        <w:numPr>
          <w:ilvl w:val="0"/>
          <w:numId w:val="29"/>
        </w:numPr>
        <w:autoSpaceDE w:val="0"/>
        <w:autoSpaceDN w:val="0"/>
        <w:spacing w:after="0" w:line="240" w:lineRule="auto"/>
      </w:pPr>
      <w:r>
        <w:t>The site-specific, process-vent- specific emission factor(s) or emission calculation factor for each process vent associated with the process.</w:t>
      </w:r>
    </w:p>
    <w:p w:rsidR="003202E5" w:rsidP="003202E5" w14:paraId="01D1634E" w14:textId="77777777">
      <w:pPr>
        <w:widowControl w:val="0"/>
        <w:numPr>
          <w:ilvl w:val="0"/>
          <w:numId w:val="29"/>
        </w:numPr>
        <w:autoSpaceDE w:val="0"/>
        <w:autoSpaceDN w:val="0"/>
        <w:spacing w:after="0" w:line="240" w:lineRule="auto"/>
      </w:pPr>
      <w:r>
        <w:t xml:space="preserve">For each controlled substance, the mass emitted from each process vent associated with the process, in kilograms. </w:t>
      </w:r>
    </w:p>
    <w:p w:rsidR="003202E5" w:rsidP="003202E5" w14:paraId="58DB50D8" w14:textId="77777777">
      <w:pPr>
        <w:widowControl w:val="0"/>
        <w:numPr>
          <w:ilvl w:val="0"/>
          <w:numId w:val="29"/>
        </w:numPr>
        <w:autoSpaceDE w:val="0"/>
        <w:autoSpaceDN w:val="0"/>
        <w:spacing w:after="0" w:line="240" w:lineRule="auto"/>
      </w:pPr>
      <w:r>
        <w:t>For each controlled substance, the total mass emitted from equipment leaks, in kilograms.</w:t>
      </w:r>
    </w:p>
    <w:p w:rsidR="003202E5" w:rsidP="003202E5" w14:paraId="70B9606F" w14:textId="77777777">
      <w:pPr>
        <w:widowControl w:val="0"/>
        <w:numPr>
          <w:ilvl w:val="0"/>
          <w:numId w:val="29"/>
        </w:numPr>
        <w:autoSpaceDE w:val="0"/>
        <w:autoSpaceDN w:val="0"/>
        <w:spacing w:after="0" w:line="240" w:lineRule="auto"/>
      </w:pPr>
      <w:r>
        <w:t xml:space="preserve">For each facility that destroys a controlled substance, the excess emissions that result from malfunctions of the destruction unit, and these excess emissions must be reflected in the controlled substance estimates in § 82.25(c)(1). </w:t>
      </w:r>
    </w:p>
    <w:p w:rsidR="003202E5" w:rsidP="003202E5" w14:paraId="12B57DBC" w14:textId="77777777">
      <w:pPr>
        <w:widowControl w:val="0"/>
        <w:numPr>
          <w:ilvl w:val="0"/>
          <w:numId w:val="29"/>
        </w:numPr>
        <w:autoSpaceDE w:val="0"/>
        <w:autoSpaceDN w:val="0"/>
        <w:spacing w:after="0" w:line="240" w:lineRule="auto"/>
      </w:pPr>
      <w:r>
        <w:t>For each facility that destroys controlled substances, a report containing the information in § 82.25(e)(4)(</w:t>
      </w:r>
      <w:r>
        <w:t>i</w:t>
      </w:r>
      <w:r>
        <w:t>) through (4)(iii). This report is one-time unless a change is made to the destruction unit that would be expected to affect its destruction efficiencies.</w:t>
      </w:r>
    </w:p>
    <w:p w:rsidR="003202E5" w:rsidP="003202E5" w14:paraId="57A54F11" w14:textId="77777777">
      <w:pPr>
        <w:widowControl w:val="0"/>
        <w:numPr>
          <w:ilvl w:val="0"/>
          <w:numId w:val="29"/>
        </w:numPr>
        <w:autoSpaceDE w:val="0"/>
        <w:autoSpaceDN w:val="0"/>
        <w:spacing w:after="0" w:line="240" w:lineRule="auto"/>
      </w:pPr>
      <w:r>
        <w:t>Chemical identity of the controlled substance(s) used in the performance test conducted to determine destruction efficiency, including surrogates, and information on why the surrogate is sufficient to demonstrate the destruction efficiency for each controlled substance, consistent with requirements in § 82.25(d)(6)(</w:t>
      </w:r>
      <w:r>
        <w:t>i</w:t>
      </w:r>
      <w:r>
        <w:t xml:space="preserve">), vented to the destruction unit. </w:t>
      </w:r>
    </w:p>
    <w:p w:rsidR="003202E5" w:rsidP="003202E5" w14:paraId="7BD71ABC" w14:textId="77777777">
      <w:pPr>
        <w:widowControl w:val="0"/>
        <w:numPr>
          <w:ilvl w:val="0"/>
          <w:numId w:val="29"/>
        </w:numPr>
        <w:autoSpaceDE w:val="0"/>
        <w:autoSpaceDN w:val="0"/>
        <w:spacing w:after="0" w:line="240" w:lineRule="auto"/>
      </w:pPr>
      <w:r>
        <w:t xml:space="preserve">Date of the most recent destruction unit test. </w:t>
      </w:r>
    </w:p>
    <w:p w:rsidR="003202E5" w:rsidP="003202E5" w14:paraId="06299D28" w14:textId="77777777">
      <w:pPr>
        <w:widowControl w:val="0"/>
        <w:numPr>
          <w:ilvl w:val="0"/>
          <w:numId w:val="29"/>
        </w:numPr>
        <w:autoSpaceDE w:val="0"/>
        <w:autoSpaceDN w:val="0"/>
        <w:spacing w:after="0" w:line="240" w:lineRule="auto"/>
      </w:pPr>
      <w:r>
        <w:t>Name of all applicable Federal or State regulations that may apply to the destruction process.</w:t>
      </w:r>
    </w:p>
    <w:p w:rsidR="003202E5" w:rsidP="003202E5" w14:paraId="057EA894" w14:textId="77777777">
      <w:pPr>
        <w:widowControl w:val="0"/>
        <w:numPr>
          <w:ilvl w:val="0"/>
          <w:numId w:val="29"/>
        </w:numPr>
        <w:autoSpaceDE w:val="0"/>
        <w:autoSpaceDN w:val="0"/>
        <w:spacing w:after="0" w:line="240" w:lineRule="auto"/>
      </w:pPr>
      <w:r>
        <w:t>For each facility that destroys controlled substances, separately from the controlled substance emissions reported under § 82.25(e)(2), the following for each previously produced controlled substance destroyed:</w:t>
      </w:r>
    </w:p>
    <w:p w:rsidR="003202E5" w:rsidP="003202E5" w14:paraId="6715ED36" w14:textId="77777777">
      <w:pPr>
        <w:widowControl w:val="0"/>
        <w:numPr>
          <w:ilvl w:val="1"/>
          <w:numId w:val="29"/>
        </w:numPr>
        <w:autoSpaceDE w:val="0"/>
        <w:autoSpaceDN w:val="0"/>
        <w:spacing w:after="0" w:line="240" w:lineRule="auto"/>
      </w:pPr>
      <w:r>
        <w:t>The mass of the controlled substance emitted from the destruction unit (kilograms).</w:t>
      </w:r>
    </w:p>
    <w:p w:rsidR="003202E5" w:rsidRPr="00471B10" w:rsidP="003202E5" w14:paraId="4F3A1A57" w14:textId="77777777">
      <w:pPr>
        <w:widowControl w:val="0"/>
        <w:numPr>
          <w:ilvl w:val="0"/>
          <w:numId w:val="29"/>
        </w:numPr>
        <w:autoSpaceDE w:val="0"/>
        <w:autoSpaceDN w:val="0"/>
        <w:spacing w:after="0" w:line="240" w:lineRule="auto"/>
      </w:pPr>
      <w:r>
        <w:t>For each facility that destroys controlled substance(s) used as a process agent a one-time report, that describes any measurements, research, or analysis that it has performed or obtained that relate to the formation of products of incomplete combustion that are controlled substances during the destruction of controlled substances. The report must include the methods and results of any measurement or modeling studies, including the products of incomplete combustion for which the exhaust stream was analyzed, as well as copies of relevant scientific papers, if available, or citations of the papers, if they are not. No new testing is required to fulfill this requirement.</w:t>
      </w:r>
    </w:p>
    <w:p w:rsidR="003202E5" w:rsidRPr="00471B10" w:rsidP="003202E5" w14:paraId="031160C3" w14:textId="77777777">
      <w:pPr>
        <w:widowControl w:val="0"/>
        <w:autoSpaceDE w:val="0"/>
        <w:autoSpaceDN w:val="0"/>
        <w:spacing w:after="0"/>
      </w:pPr>
    </w:p>
    <w:p w:rsidR="003202E5" w:rsidRPr="00471B10" w:rsidP="003202E5" w14:paraId="4CB9D48F" w14:textId="77777777">
      <w:pPr>
        <w:widowControl w:val="0"/>
        <w:autoSpaceDE w:val="0"/>
        <w:autoSpaceDN w:val="0"/>
        <w:spacing w:after="0"/>
        <w:rPr>
          <w:u w:val="single"/>
        </w:rPr>
      </w:pPr>
      <w:r w:rsidRPr="00471B10">
        <w:rPr>
          <w:u w:val="single"/>
        </w:rPr>
        <w:t>Significant Process Changes Report, as needed (Class I and Class II):</w:t>
      </w:r>
    </w:p>
    <w:p w:rsidR="003202E5" w:rsidRPr="00471B10" w:rsidP="003202E5" w14:paraId="101C42E1" w14:textId="77777777">
      <w:pPr>
        <w:widowControl w:val="0"/>
        <w:autoSpaceDE w:val="0"/>
        <w:autoSpaceDN w:val="0"/>
        <w:spacing w:after="0"/>
      </w:pPr>
    </w:p>
    <w:p w:rsidR="003202E5" w:rsidRPr="00471B10" w:rsidP="003202E5" w14:paraId="273E5C73" w14:textId="77777777">
      <w:pPr>
        <w:widowControl w:val="0"/>
        <w:numPr>
          <w:ilvl w:val="0"/>
          <w:numId w:val="29"/>
        </w:numPr>
        <w:autoSpaceDE w:val="0"/>
        <w:autoSpaceDN w:val="0"/>
        <w:spacing w:after="0" w:line="240" w:lineRule="auto"/>
      </w:pPr>
      <w:r w:rsidRPr="00471B10">
        <w:t>For each facility, any significant process agent application changes anticipated to result in increases for the next annual report of greater than 20 percent of the amount of controlled substance initially introduced for or emitted during use as a process agent by an entity, as compared to the previous control period, must be specified in a report submitted to EPA at least 180 days prior to implementing the change.</w:t>
      </w:r>
    </w:p>
    <w:p w:rsidR="003202E5" w:rsidRPr="00471B10" w:rsidP="003202E5" w14:paraId="1E6D6FC9" w14:textId="77777777">
      <w:pPr>
        <w:widowControl w:val="0"/>
        <w:autoSpaceDE w:val="0"/>
        <w:autoSpaceDN w:val="0"/>
        <w:spacing w:after="0"/>
      </w:pPr>
    </w:p>
    <w:p w:rsidR="003202E5" w:rsidRPr="00471B10" w:rsidP="003202E5" w14:paraId="67663AD9" w14:textId="77777777">
      <w:pPr>
        <w:widowControl w:val="0"/>
        <w:autoSpaceDE w:val="0"/>
        <w:autoSpaceDN w:val="0"/>
        <w:spacing w:after="0"/>
        <w:rPr>
          <w:u w:val="single"/>
        </w:rPr>
      </w:pPr>
      <w:r w:rsidRPr="00471B10">
        <w:rPr>
          <w:u w:val="single"/>
        </w:rPr>
        <w:t>Recordkeeping Requirements (class I and class II):</w:t>
      </w:r>
    </w:p>
    <w:p w:rsidR="003202E5" w:rsidRPr="00471B10" w:rsidP="003202E5" w14:paraId="57EC85F3" w14:textId="77777777">
      <w:pPr>
        <w:widowControl w:val="0"/>
        <w:autoSpaceDE w:val="0"/>
        <w:autoSpaceDN w:val="0"/>
        <w:spacing w:after="0"/>
      </w:pPr>
    </w:p>
    <w:p w:rsidR="003202E5" w:rsidRPr="00471B10" w:rsidP="003202E5" w14:paraId="27DBA36E" w14:textId="77777777">
      <w:pPr>
        <w:widowControl w:val="0"/>
        <w:numPr>
          <w:ilvl w:val="0"/>
          <w:numId w:val="29"/>
        </w:numPr>
        <w:autoSpaceDE w:val="0"/>
        <w:autoSpaceDN w:val="0"/>
        <w:spacing w:after="0" w:line="240" w:lineRule="auto"/>
      </w:pPr>
      <w:r w:rsidRPr="00471B10">
        <w:t xml:space="preserve">Dated records of the quantity of each controlled substance produced at each facility for use as a process </w:t>
      </w:r>
      <w:r w:rsidRPr="00471B10">
        <w:t>agent;</w:t>
      </w:r>
      <w:r w:rsidRPr="00471B10">
        <w:t xml:space="preserve"> </w:t>
      </w:r>
    </w:p>
    <w:p w:rsidR="003202E5" w:rsidRPr="00471B10" w:rsidP="003202E5" w14:paraId="301978DF" w14:textId="77777777">
      <w:pPr>
        <w:widowControl w:val="0"/>
        <w:numPr>
          <w:ilvl w:val="0"/>
          <w:numId w:val="29"/>
        </w:numPr>
        <w:autoSpaceDE w:val="0"/>
        <w:autoSpaceDN w:val="0"/>
        <w:spacing w:after="0" w:line="240" w:lineRule="auto"/>
      </w:pPr>
      <w:r w:rsidRPr="00471B10">
        <w:t xml:space="preserve">Records identifying the producer or importer of the controlled substance received at each facility for use as a process agent by the </w:t>
      </w:r>
      <w:r w:rsidRPr="00471B10">
        <w:t>person;</w:t>
      </w:r>
    </w:p>
    <w:p w:rsidR="003202E5" w:rsidRPr="00471B10" w:rsidP="003202E5" w14:paraId="5C3EC88B" w14:textId="77777777">
      <w:pPr>
        <w:widowControl w:val="0"/>
        <w:numPr>
          <w:ilvl w:val="0"/>
          <w:numId w:val="29"/>
        </w:numPr>
        <w:autoSpaceDE w:val="0"/>
        <w:autoSpaceDN w:val="0"/>
        <w:spacing w:after="0" w:line="240" w:lineRule="auto"/>
      </w:pPr>
      <w:r w:rsidRPr="00471B10">
        <w:t xml:space="preserve">For each facility, copies of the invoices or receipts documenting the sale or other transfer of </w:t>
      </w:r>
      <w:r w:rsidRPr="00471B10">
        <w:t xml:space="preserve">ownership of each controlled substance for use as a process agent to the </w:t>
      </w:r>
      <w:r w:rsidRPr="00471B10">
        <w:t>person;</w:t>
      </w:r>
    </w:p>
    <w:p w:rsidR="003202E5" w:rsidRPr="00471B10" w:rsidP="003202E5" w14:paraId="6FA06BE9" w14:textId="77777777">
      <w:pPr>
        <w:widowControl w:val="0"/>
        <w:numPr>
          <w:ilvl w:val="0"/>
          <w:numId w:val="29"/>
        </w:numPr>
        <w:autoSpaceDE w:val="0"/>
        <w:autoSpaceDN w:val="0"/>
        <w:spacing w:after="0" w:line="240" w:lineRule="auto"/>
      </w:pPr>
      <w:r w:rsidRPr="00471B10">
        <w:t xml:space="preserve">Dated records identifying the quantity of each product manufactured within each facility by using a controlled substance as a process </w:t>
      </w:r>
      <w:r w:rsidRPr="00471B10">
        <w:t>agent;</w:t>
      </w:r>
      <w:r w:rsidRPr="00471B10">
        <w:t xml:space="preserve"> </w:t>
      </w:r>
    </w:p>
    <w:p w:rsidR="003202E5" w:rsidRPr="00471B10" w:rsidP="003202E5" w14:paraId="7858CDAA" w14:textId="77777777">
      <w:pPr>
        <w:widowControl w:val="0"/>
        <w:numPr>
          <w:ilvl w:val="0"/>
          <w:numId w:val="29"/>
        </w:numPr>
        <w:autoSpaceDE w:val="0"/>
        <w:autoSpaceDN w:val="0"/>
        <w:spacing w:after="0" w:line="240" w:lineRule="auto"/>
      </w:pPr>
      <w:r w:rsidRPr="00471B10">
        <w:t xml:space="preserve">For each facility, records of the date and the estimated quantity of any spill or release of each controlled substance used as a process agent that equals or exceeds 100 </w:t>
      </w:r>
      <w:r w:rsidRPr="00471B10">
        <w:t>pounds;</w:t>
      </w:r>
      <w:r w:rsidRPr="00471B10">
        <w:t xml:space="preserve"> </w:t>
      </w:r>
    </w:p>
    <w:p w:rsidR="003202E5" w:rsidRPr="00471B10" w:rsidP="003202E5" w14:paraId="01D6F510" w14:textId="77777777">
      <w:pPr>
        <w:widowControl w:val="0"/>
        <w:numPr>
          <w:ilvl w:val="0"/>
          <w:numId w:val="29"/>
        </w:numPr>
        <w:autoSpaceDE w:val="0"/>
        <w:autoSpaceDN w:val="0"/>
        <w:spacing w:after="0" w:line="240" w:lineRule="auto"/>
      </w:pPr>
      <w:r w:rsidRPr="00471B10">
        <w:t xml:space="preserve">For each facility, a description of the methodology used to measure and calculate emissions, and dated records of equipment parameters, measured data, supporting calculations, and other rationale used to validate reported emission </w:t>
      </w:r>
      <w:r w:rsidRPr="00471B10">
        <w:t>quantities;</w:t>
      </w:r>
    </w:p>
    <w:p w:rsidR="003202E5" w:rsidRPr="00471B10" w:rsidP="003202E5" w14:paraId="2E84157F" w14:textId="77777777">
      <w:pPr>
        <w:widowControl w:val="0"/>
        <w:numPr>
          <w:ilvl w:val="0"/>
          <w:numId w:val="29"/>
        </w:numPr>
        <w:autoSpaceDE w:val="0"/>
        <w:autoSpaceDN w:val="0"/>
        <w:spacing w:after="0" w:line="240" w:lineRule="auto"/>
      </w:pPr>
      <w:r w:rsidRPr="00471B10">
        <w:t xml:space="preserve">For each facility, dated records of the quantity of each controlled substance used as a process agent which is subsequently transformed or </w:t>
      </w:r>
      <w:r w:rsidRPr="00471B10">
        <w:t>destroyed;</w:t>
      </w:r>
    </w:p>
    <w:p w:rsidR="003202E5" w:rsidRPr="00471B10" w:rsidP="003202E5" w14:paraId="1C3962D6" w14:textId="77777777">
      <w:pPr>
        <w:widowControl w:val="0"/>
        <w:numPr>
          <w:ilvl w:val="0"/>
          <w:numId w:val="29"/>
        </w:numPr>
        <w:autoSpaceDE w:val="0"/>
        <w:autoSpaceDN w:val="0"/>
        <w:spacing w:after="0" w:line="240" w:lineRule="auto"/>
      </w:pPr>
      <w:r w:rsidRPr="00471B10">
        <w:t>In the case where class I controlled substances used as a process agent were ultimately transformed by an entity other the entity which last used the class I controlled substances as a process agent, a copy of the Internal Revenue Service Certificate showing that the purchaser or recipient of the controlled substance, in the United States or in another country that is a Party, certifies the intent to transform the controlled substance, or sell the controlled substance for transformation;</w:t>
      </w:r>
    </w:p>
    <w:p w:rsidR="003202E5" w:rsidP="003202E5" w14:paraId="609170F9" w14:textId="77777777">
      <w:pPr>
        <w:widowControl w:val="0"/>
        <w:numPr>
          <w:ilvl w:val="0"/>
          <w:numId w:val="29"/>
        </w:numPr>
        <w:autoSpaceDE w:val="0"/>
        <w:autoSpaceDN w:val="0"/>
        <w:spacing w:after="0" w:line="240" w:lineRule="auto"/>
      </w:pPr>
      <w:r w:rsidRPr="00471B10">
        <w:t>In the case where class I controlled substances used as a process agent were ultimately destroyed by an entity other the entity which last used the class I controlled substances as a process agent, a copy of the destruction verification (as in § 82.13(k)), showing that the purchaser or recipient of a controlled substance, in the United States or in another country that is a Party, certifies the intent to destroy the controlled substance, or sell the controlled substance for destruction</w:t>
      </w:r>
      <w:r>
        <w:t>;</w:t>
      </w:r>
    </w:p>
    <w:p w:rsidR="003202E5" w:rsidP="003202E5" w14:paraId="46A7FA5E" w14:textId="77777777">
      <w:pPr>
        <w:widowControl w:val="0"/>
        <w:numPr>
          <w:ilvl w:val="0"/>
          <w:numId w:val="29"/>
        </w:numPr>
        <w:autoSpaceDE w:val="0"/>
        <w:autoSpaceDN w:val="0"/>
        <w:spacing w:after="0" w:line="240" w:lineRule="auto"/>
      </w:pPr>
      <w:r>
        <w:t xml:space="preserve">In the case where </w:t>
      </w:r>
      <w:r>
        <w:t>class II controlled</w:t>
      </w:r>
      <w:r>
        <w:t xml:space="preserve"> substances used as a process agent were ultimately transformed by an entity other the entity which last used the class II controlled substances as a process agent, a copy of the person's transformation verification as provided under </w:t>
      </w:r>
      <w:r w:rsidRPr="00471B10">
        <w:t>§</w:t>
      </w:r>
      <w:r>
        <w:t xml:space="preserve"> 82.24(e)(3); and </w:t>
      </w:r>
    </w:p>
    <w:p w:rsidR="003202E5" w:rsidP="003202E5" w14:paraId="353CAFEE" w14:textId="77777777">
      <w:pPr>
        <w:widowControl w:val="0"/>
        <w:numPr>
          <w:ilvl w:val="0"/>
          <w:numId w:val="29"/>
        </w:numPr>
        <w:autoSpaceDE w:val="0"/>
        <w:autoSpaceDN w:val="0"/>
        <w:spacing w:after="0" w:line="240" w:lineRule="auto"/>
      </w:pPr>
      <w:r>
        <w:t xml:space="preserve">In the case where </w:t>
      </w:r>
      <w:r>
        <w:t>class II controlled</w:t>
      </w:r>
      <w:r>
        <w:t xml:space="preserve"> substances used as a process agent were ultimately destroyed by an entity other the entity which last used the class II controlled substances as a process agent, a copy of the person's destruction verification, as provided under </w:t>
      </w:r>
      <w:r w:rsidRPr="00471B10">
        <w:t>§</w:t>
      </w:r>
      <w:r>
        <w:t xml:space="preserve"> 82.24 (e)(5).</w:t>
      </w:r>
    </w:p>
    <w:p w:rsidR="003202E5" w:rsidP="003202E5" w14:paraId="743617BF" w14:textId="77777777">
      <w:pPr>
        <w:widowControl w:val="0"/>
        <w:numPr>
          <w:ilvl w:val="0"/>
          <w:numId w:val="29"/>
        </w:numPr>
        <w:autoSpaceDE w:val="0"/>
        <w:autoSpaceDN w:val="0"/>
        <w:spacing w:after="0" w:line="240" w:lineRule="auto"/>
      </w:pPr>
      <w:r>
        <w:t xml:space="preserve">Identification of all processes subject to § 82.25, including the unit identification as appropriate, the process identification reported for the process under § 82.25(e)(1)(ii)(A) through (B), and the product with which the process is associated. </w:t>
      </w:r>
    </w:p>
    <w:p w:rsidR="003202E5" w:rsidP="003202E5" w14:paraId="5A39F5DE" w14:textId="77777777">
      <w:pPr>
        <w:widowControl w:val="0"/>
        <w:numPr>
          <w:ilvl w:val="0"/>
          <w:numId w:val="29"/>
        </w:numPr>
        <w:autoSpaceDE w:val="0"/>
        <w:autoSpaceDN w:val="0"/>
        <w:spacing w:after="0" w:line="240" w:lineRule="auto"/>
      </w:pPr>
      <w:r>
        <w:t xml:space="preserve">Monthly and annual records, as applicable, of all analyses and calculations conducted as required under § 82.25(c), including the data monitored under § 82.25(d), and all information reported as required under § 82.25(e). </w:t>
      </w:r>
    </w:p>
    <w:p w:rsidR="003202E5" w:rsidP="003202E5" w14:paraId="7C9A2CAC" w14:textId="77777777">
      <w:pPr>
        <w:widowControl w:val="0"/>
        <w:numPr>
          <w:ilvl w:val="0"/>
          <w:numId w:val="29"/>
        </w:numPr>
        <w:autoSpaceDE w:val="0"/>
        <w:autoSpaceDN w:val="0"/>
        <w:spacing w:after="0" w:line="240" w:lineRule="auto"/>
      </w:pPr>
      <w:r>
        <w:t xml:space="preserve">Documentation of the information collected under § 82.25(d)(1). </w:t>
      </w:r>
    </w:p>
    <w:p w:rsidR="003202E5" w:rsidP="003202E5" w14:paraId="41B0B952" w14:textId="77777777">
      <w:pPr>
        <w:widowControl w:val="0"/>
        <w:numPr>
          <w:ilvl w:val="1"/>
          <w:numId w:val="29"/>
        </w:numPr>
        <w:autoSpaceDE w:val="0"/>
        <w:autoSpaceDN w:val="0"/>
        <w:spacing w:after="0" w:line="240" w:lineRule="auto"/>
      </w:pPr>
      <w:r>
        <w:t>Identification of all continuous process vents with emissions of controlled substances that are included in the top 25 percent of continuous process vents, and all continuous process vents in the remaining group (i.e., 75 percent of continuous process vents with lower emissions of controlled substances). Include the data and calculation used to develop the preliminary estimate of emissions for each process vent.</w:t>
      </w:r>
    </w:p>
    <w:p w:rsidR="003202E5" w:rsidP="003202E5" w14:paraId="33C25BED" w14:textId="77777777">
      <w:pPr>
        <w:widowControl w:val="0"/>
        <w:numPr>
          <w:ilvl w:val="1"/>
          <w:numId w:val="29"/>
        </w:numPr>
        <w:autoSpaceDE w:val="0"/>
        <w:autoSpaceDN w:val="0"/>
        <w:spacing w:after="0" w:line="240" w:lineRule="auto"/>
      </w:pPr>
      <w:r>
        <w:t xml:space="preserve">Identification of all batch process vents. </w:t>
      </w:r>
    </w:p>
    <w:p w:rsidR="003202E5" w:rsidP="003202E5" w14:paraId="424D6478" w14:textId="77777777">
      <w:pPr>
        <w:widowControl w:val="0"/>
        <w:numPr>
          <w:ilvl w:val="1"/>
          <w:numId w:val="29"/>
        </w:numPr>
        <w:autoSpaceDE w:val="0"/>
        <w:autoSpaceDN w:val="0"/>
        <w:spacing w:after="0" w:line="240" w:lineRule="auto"/>
      </w:pPr>
      <w:r>
        <w:t xml:space="preserve">For each vent, identification of the method used to develop the factor (i.e., emission factor by emissions test or emission calculation factor). </w:t>
      </w:r>
    </w:p>
    <w:p w:rsidR="003202E5" w:rsidP="003202E5" w14:paraId="2E143379" w14:textId="77777777">
      <w:pPr>
        <w:widowControl w:val="0"/>
        <w:numPr>
          <w:ilvl w:val="1"/>
          <w:numId w:val="29"/>
        </w:numPr>
        <w:autoSpaceDE w:val="0"/>
        <w:autoSpaceDN w:val="0"/>
        <w:spacing w:after="0" w:line="240" w:lineRule="auto"/>
      </w:pPr>
      <w:r>
        <w:t>The emissions test data and reports (see § 82.25(d)(2)(v)) and the calculations used to determine the process-vent-specific emission factor, including the actual process-vent-</w:t>
      </w:r>
      <w:r>
        <w:t xml:space="preserve">specific emission factor, the average hourly emission rate of each controlled substance from the process vent during the test and the process feed rate, process production rate, or other process activity rate during the test. </w:t>
      </w:r>
    </w:p>
    <w:p w:rsidR="003202E5" w:rsidP="003202E5" w14:paraId="580787AA" w14:textId="77777777">
      <w:pPr>
        <w:widowControl w:val="0"/>
        <w:numPr>
          <w:ilvl w:val="1"/>
          <w:numId w:val="29"/>
        </w:numPr>
        <w:autoSpaceDE w:val="0"/>
        <w:autoSpaceDN w:val="0"/>
        <w:spacing w:after="0" w:line="240" w:lineRule="auto"/>
      </w:pPr>
      <w:r>
        <w:t xml:space="preserve">The process-vent-specific emission calculation factor and the calculations used to determine the process-vent-specific emission calculation factor. </w:t>
      </w:r>
    </w:p>
    <w:p w:rsidR="003202E5" w:rsidP="003202E5" w14:paraId="33EC7560" w14:textId="77777777">
      <w:pPr>
        <w:widowControl w:val="0"/>
        <w:numPr>
          <w:ilvl w:val="1"/>
          <w:numId w:val="29"/>
        </w:numPr>
        <w:autoSpaceDE w:val="0"/>
        <w:autoSpaceDN w:val="0"/>
        <w:spacing w:after="0" w:line="240" w:lineRule="auto"/>
      </w:pPr>
      <w:r>
        <w:t xml:space="preserve">The annual process production quantity or other process activity information in the appropriate units, along with the dates and </w:t>
      </w:r>
      <w:r>
        <w:t>time period</w:t>
      </w:r>
      <w:r>
        <w:t xml:space="preserve"> during which the process was operating and dates and time periods the process vents are vented to the destruction unit. As an alternative to date and time periods when process vents are vented to the destruction unit, a facility may track dates and time periods that process vents by-pass the destruction unit. </w:t>
      </w:r>
    </w:p>
    <w:p w:rsidR="003202E5" w:rsidP="003202E5" w14:paraId="115FBDF1" w14:textId="77777777">
      <w:pPr>
        <w:widowControl w:val="0"/>
        <w:numPr>
          <w:ilvl w:val="1"/>
          <w:numId w:val="29"/>
        </w:numPr>
        <w:autoSpaceDE w:val="0"/>
        <w:autoSpaceDN w:val="0"/>
        <w:spacing w:after="0" w:line="240" w:lineRule="auto"/>
      </w:pPr>
      <w:r>
        <w:t>Calculations used to determine annual emissions of each controlled substance for each process and the total controlled substance emissions for all processes, i.e., total for facility.</w:t>
      </w:r>
    </w:p>
    <w:p w:rsidR="003202E5" w:rsidP="003202E5" w14:paraId="210686C4" w14:textId="77777777">
      <w:pPr>
        <w:widowControl w:val="0"/>
        <w:numPr>
          <w:ilvl w:val="0"/>
          <w:numId w:val="29"/>
        </w:numPr>
        <w:autoSpaceDE w:val="0"/>
        <w:autoSpaceDN w:val="0"/>
        <w:spacing w:after="0" w:line="240" w:lineRule="auto"/>
      </w:pPr>
      <w:r>
        <w:t xml:space="preserve">For each facility that destroys controlled substances and reflects this destruction in § 82.25(c), the emissions performance testing reports (including revised reports) for each destruction unit. The emissions performance testing report must contain all information and data used to derive the destruction efficiency for each controlled substance whose destruction the facility reflects in § 82.25(c), as well as the key process and device conditions during the test. This information includes the following: </w:t>
      </w:r>
    </w:p>
    <w:p w:rsidR="003202E5" w:rsidP="003202E5" w14:paraId="126CDA3C" w14:textId="77777777">
      <w:pPr>
        <w:widowControl w:val="0"/>
        <w:numPr>
          <w:ilvl w:val="1"/>
          <w:numId w:val="29"/>
        </w:numPr>
        <w:autoSpaceDE w:val="0"/>
        <w:autoSpaceDN w:val="0"/>
        <w:spacing w:after="0" w:line="240" w:lineRule="auto"/>
      </w:pPr>
      <w:r>
        <w:t>Destruction efficiency (DE) determined for each controlled substance whose destruction the facility reflects in § 82.25(c), in accordance with § 82.25(d)(6)(</w:t>
      </w:r>
      <w:r>
        <w:t>i</w:t>
      </w:r>
      <w:r>
        <w:t xml:space="preserve">)(A). </w:t>
      </w:r>
    </w:p>
    <w:p w:rsidR="003202E5" w:rsidP="003202E5" w14:paraId="74FCD8C8" w14:textId="77777777">
      <w:pPr>
        <w:widowControl w:val="0"/>
        <w:numPr>
          <w:ilvl w:val="1"/>
          <w:numId w:val="29"/>
        </w:numPr>
        <w:autoSpaceDE w:val="0"/>
        <w:autoSpaceDN w:val="0"/>
        <w:spacing w:after="0" w:line="240" w:lineRule="auto"/>
      </w:pPr>
      <w:r>
        <w:t>Chemical identity of the controlled substance(s) used in the performance test conducted to determine destruction efficiency, including surrogates, and information on why the surrogate is sufficient to demonstrate destruction efficiency for each controlled substance, consistent with requirements in § 82.25(d)(6)(</w:t>
      </w:r>
      <w:r>
        <w:t>i</w:t>
      </w:r>
      <w:r>
        <w:t xml:space="preserve">)(A), vented to the destruction unit. </w:t>
      </w:r>
    </w:p>
    <w:p w:rsidR="003202E5" w:rsidP="003202E5" w14:paraId="23155836" w14:textId="77777777">
      <w:pPr>
        <w:widowControl w:val="0"/>
        <w:numPr>
          <w:ilvl w:val="1"/>
          <w:numId w:val="29"/>
        </w:numPr>
        <w:autoSpaceDE w:val="0"/>
        <w:autoSpaceDN w:val="0"/>
        <w:spacing w:after="0" w:line="240" w:lineRule="auto"/>
      </w:pPr>
      <w:r>
        <w:t xml:space="preserve">Mass flow rate of the stream containing the controlled substance or surrogate into the device during the test. </w:t>
      </w:r>
    </w:p>
    <w:p w:rsidR="003202E5" w:rsidP="003202E5" w14:paraId="04E5C44C" w14:textId="77777777">
      <w:pPr>
        <w:widowControl w:val="0"/>
        <w:numPr>
          <w:ilvl w:val="1"/>
          <w:numId w:val="29"/>
        </w:numPr>
        <w:autoSpaceDE w:val="0"/>
        <w:autoSpaceDN w:val="0"/>
        <w:spacing w:after="0" w:line="240" w:lineRule="auto"/>
      </w:pPr>
      <w:r>
        <w:t xml:space="preserve">Concentration (mass fraction) of each controlled substance or surrogate in the stream flowing into the device during the test. </w:t>
      </w:r>
    </w:p>
    <w:p w:rsidR="003202E5" w:rsidP="003202E5" w14:paraId="7DA83F51" w14:textId="77777777">
      <w:pPr>
        <w:widowControl w:val="0"/>
        <w:numPr>
          <w:ilvl w:val="1"/>
          <w:numId w:val="29"/>
        </w:numPr>
        <w:autoSpaceDE w:val="0"/>
        <w:autoSpaceDN w:val="0"/>
        <w:spacing w:after="0" w:line="240" w:lineRule="auto"/>
      </w:pPr>
      <w:r>
        <w:t xml:space="preserve">Concentration (mass fraction) of each controlled substance or surrogate at the outlet of the destruction unit during the test. </w:t>
      </w:r>
    </w:p>
    <w:p w:rsidR="003202E5" w:rsidP="003202E5" w14:paraId="3A9210F8" w14:textId="77777777">
      <w:pPr>
        <w:widowControl w:val="0"/>
        <w:numPr>
          <w:ilvl w:val="1"/>
          <w:numId w:val="29"/>
        </w:numPr>
        <w:autoSpaceDE w:val="0"/>
        <w:autoSpaceDN w:val="0"/>
        <w:spacing w:after="0" w:line="240" w:lineRule="auto"/>
      </w:pPr>
      <w:r>
        <w:t xml:space="preserve">Mass flow rate at the outlet of the destruction unit during the test. </w:t>
      </w:r>
    </w:p>
    <w:p w:rsidR="003202E5" w:rsidP="003202E5" w14:paraId="10A1CE64" w14:textId="77777777">
      <w:pPr>
        <w:widowControl w:val="0"/>
        <w:numPr>
          <w:ilvl w:val="1"/>
          <w:numId w:val="29"/>
        </w:numPr>
        <w:autoSpaceDE w:val="0"/>
        <w:autoSpaceDN w:val="0"/>
        <w:spacing w:after="0" w:line="240" w:lineRule="auto"/>
      </w:pPr>
      <w:r>
        <w:t xml:space="preserve">Test methods and analytical methods used to determine the mass flow rates and controlled substance (or surrogate) concentrations of the streams flowing into and out of the destruction unit during the test. </w:t>
      </w:r>
    </w:p>
    <w:p w:rsidR="003202E5" w:rsidP="003202E5" w14:paraId="2A779311" w14:textId="77777777">
      <w:pPr>
        <w:widowControl w:val="0"/>
        <w:numPr>
          <w:ilvl w:val="1"/>
          <w:numId w:val="29"/>
        </w:numPr>
        <w:autoSpaceDE w:val="0"/>
        <w:autoSpaceDN w:val="0"/>
        <w:spacing w:after="0" w:line="240" w:lineRule="auto"/>
      </w:pPr>
      <w:r>
        <w:t xml:space="preserve">Destruction unit conditions that are normally monitored for device control, such as temperature, total mass flow rates into the device, and CO or O2 levels. </w:t>
      </w:r>
    </w:p>
    <w:p w:rsidR="003202E5" w:rsidP="003202E5" w14:paraId="4851CA9E" w14:textId="77777777">
      <w:pPr>
        <w:widowControl w:val="0"/>
        <w:numPr>
          <w:ilvl w:val="1"/>
          <w:numId w:val="29"/>
        </w:numPr>
        <w:autoSpaceDE w:val="0"/>
        <w:autoSpaceDN w:val="0"/>
        <w:spacing w:after="0" w:line="240" w:lineRule="auto"/>
      </w:pPr>
      <w:r>
        <w:t xml:space="preserve">Name of all applicable Federal or State regulations that may apply to the destruction process. </w:t>
      </w:r>
    </w:p>
    <w:p w:rsidR="003202E5" w:rsidP="003202E5" w14:paraId="04D6E844" w14:textId="77777777">
      <w:pPr>
        <w:widowControl w:val="0"/>
        <w:numPr>
          <w:ilvl w:val="0"/>
          <w:numId w:val="29"/>
        </w:numPr>
        <w:autoSpaceDE w:val="0"/>
        <w:autoSpaceDN w:val="0"/>
        <w:spacing w:after="0" w:line="240" w:lineRule="auto"/>
      </w:pPr>
      <w:r>
        <w:t xml:space="preserve">For equipment subject to § 82.25(c)(2), information on the number of each type of equipment, the service of each piece of equipment (gas, light liquid, heavy liquid); the concentration of each controlled substance in the stream; each piece of equipment excluded from monitoring requirement; the time period each piece of equipment was in service, and the emission calculations for each controlled substance for all processes. Depending on the equipment leak </w:t>
      </w:r>
      <w:r>
        <w:t xml:space="preserve">monitoring approach followed, each entity must maintain information for equipment on the associated screening data concentrations for greater than or equal to 10,000 </w:t>
      </w:r>
      <w:r>
        <w:t>ppmv</w:t>
      </w:r>
      <w:r>
        <w:t xml:space="preserve"> and associated screening data concentrations for less than 10,000 </w:t>
      </w:r>
      <w:r>
        <w:t>ppmv</w:t>
      </w:r>
      <w:r>
        <w:t>; associated actual screening data concentrations; and associated screening data and leak rate data (i.e., bagging) used to develop a unit-specific correlation. If a site-specific leak detection approach was developed and followed, provide the records for monitoring events and the emissions estimation calculations, as appropriate, consistent with the approach for equipment leak emission estimation in the monitoring plan.</w:t>
      </w:r>
    </w:p>
    <w:p w:rsidR="003202E5" w:rsidP="003202E5" w14:paraId="43993C83" w14:textId="77777777">
      <w:pPr>
        <w:widowControl w:val="0"/>
        <w:numPr>
          <w:ilvl w:val="0"/>
          <w:numId w:val="29"/>
        </w:numPr>
        <w:autoSpaceDE w:val="0"/>
        <w:autoSpaceDN w:val="0"/>
        <w:spacing w:after="0" w:line="240" w:lineRule="auto"/>
      </w:pPr>
      <w:r>
        <w:t xml:space="preserve">Dated records documenting the initial and periodic calibration of all analytical equipment used to determine the concentration of controlled substances, including but not limited to gas chromatographs, gas chromatography-mass spectrometry (GC/MS), gas chromatograph-electron capture detector (GC/ECD), fourier transform infrared (FTIR), and nuclear magnetic resonance (NMR) devices, and all mass measurement equipment such as weigh scales, flowmeters, and volumetric and density measures used to measure the quantities reported under </w:t>
      </w:r>
      <w:r w:rsidRPr="0060453F">
        <w:t>§</w:t>
      </w:r>
      <w:r>
        <w:t xml:space="preserve"> 82.25, including the industry standards or manufacturer directions used for calibration pursuant to § 82.25(d)(4), (5), (11), and (12). </w:t>
      </w:r>
    </w:p>
    <w:p w:rsidR="003202E5" w:rsidP="003202E5" w14:paraId="68B35630" w14:textId="77777777">
      <w:pPr>
        <w:widowControl w:val="0"/>
        <w:numPr>
          <w:ilvl w:val="0"/>
          <w:numId w:val="29"/>
        </w:numPr>
        <w:autoSpaceDE w:val="0"/>
        <w:autoSpaceDN w:val="0"/>
        <w:spacing w:after="0" w:line="240" w:lineRule="auto"/>
      </w:pPr>
      <w:r>
        <w:t xml:space="preserve">A written monitoring plan must be completed by April 1, 2025, or within 120 days of the date that an entity first meets the criteria in </w:t>
      </w:r>
      <w:r w:rsidRPr="0060453F">
        <w:t>§</w:t>
      </w:r>
      <w:r>
        <w:t xml:space="preserve"> 82.25(a).</w:t>
      </w:r>
    </w:p>
    <w:p w:rsidR="003202E5" w:rsidP="003202E5" w14:paraId="42FE5F28" w14:textId="77777777">
      <w:pPr>
        <w:widowControl w:val="0"/>
        <w:numPr>
          <w:ilvl w:val="1"/>
          <w:numId w:val="29"/>
        </w:numPr>
        <w:autoSpaceDE w:val="0"/>
        <w:autoSpaceDN w:val="0"/>
        <w:spacing w:after="0" w:line="240" w:lineRule="auto"/>
      </w:pPr>
      <w:r>
        <w:t>At a minimum, the GHG Monitoring Plan shall include the elements listed in § 82.25(f)(6)(</w:t>
      </w:r>
      <w:r>
        <w:t>i</w:t>
      </w:r>
      <w:r>
        <w:t xml:space="preserve">). </w:t>
      </w:r>
    </w:p>
    <w:p w:rsidR="003202E5" w:rsidP="003202E5" w14:paraId="339554B4" w14:textId="77777777">
      <w:pPr>
        <w:widowControl w:val="0"/>
        <w:numPr>
          <w:ilvl w:val="2"/>
          <w:numId w:val="29"/>
        </w:numPr>
        <w:autoSpaceDE w:val="0"/>
        <w:autoSpaceDN w:val="0"/>
        <w:spacing w:after="0" w:line="240" w:lineRule="auto"/>
      </w:pPr>
      <w:r>
        <w:t xml:space="preserve">Identification of positions of responsibility (i.e., job titles) for collection of the emissions data. </w:t>
      </w:r>
    </w:p>
    <w:p w:rsidR="003202E5" w:rsidP="003202E5" w14:paraId="02DF48B3" w14:textId="77777777">
      <w:pPr>
        <w:widowControl w:val="0"/>
        <w:numPr>
          <w:ilvl w:val="2"/>
          <w:numId w:val="29"/>
        </w:numPr>
        <w:autoSpaceDE w:val="0"/>
        <w:autoSpaceDN w:val="0"/>
        <w:spacing w:after="0" w:line="240" w:lineRule="auto"/>
      </w:pPr>
      <w:r>
        <w:t xml:space="preserve">Explanation of the processes and methods used to collect the necessary data for calculations under </w:t>
      </w:r>
      <w:r w:rsidRPr="0060453F">
        <w:t>§</w:t>
      </w:r>
      <w:r>
        <w:t xml:space="preserve"> 82.25. </w:t>
      </w:r>
    </w:p>
    <w:p w:rsidR="003202E5" w:rsidP="003202E5" w14:paraId="4AF49D32" w14:textId="77777777">
      <w:pPr>
        <w:widowControl w:val="0"/>
        <w:numPr>
          <w:ilvl w:val="2"/>
          <w:numId w:val="29"/>
        </w:numPr>
        <w:autoSpaceDE w:val="0"/>
        <w:autoSpaceDN w:val="0"/>
        <w:spacing w:after="0" w:line="240" w:lineRule="auto"/>
      </w:pPr>
      <w:r>
        <w:t xml:space="preserve">Description of the procedures and methods that are used for quality assurance, maintenance, and repair of all continuous monitoring systems, flow meters, and other instrumentation used to provide data for the GHGs reported under this part. </w:t>
      </w:r>
    </w:p>
    <w:p w:rsidR="003202E5" w:rsidP="003202E5" w14:paraId="253F5A6A" w14:textId="77777777">
      <w:pPr>
        <w:widowControl w:val="0"/>
        <w:numPr>
          <w:ilvl w:val="1"/>
          <w:numId w:val="29"/>
        </w:numPr>
        <w:autoSpaceDE w:val="0"/>
        <w:autoSpaceDN w:val="0"/>
        <w:spacing w:after="0" w:line="240" w:lineRule="auto"/>
      </w:pPr>
      <w:r>
        <w:t>The monitoring plan may rely on references to existing corporate documents (e.g., standard operating procedures, quality assurance programs under appendix F to 40 CFR part 60 or appendix B to 40 CFR part 75, and other documents) provided that the elements required by § 82.25(f)(6)(</w:t>
      </w:r>
      <w:r>
        <w:t>i</w:t>
      </w:r>
      <w:r>
        <w:t xml:space="preserve">) are easily recognizable. </w:t>
      </w:r>
    </w:p>
    <w:p w:rsidR="003202E5" w:rsidRPr="00471B10" w:rsidP="003202E5" w14:paraId="0A7C576C" w14:textId="77777777">
      <w:pPr>
        <w:widowControl w:val="0"/>
        <w:numPr>
          <w:ilvl w:val="1"/>
          <w:numId w:val="29"/>
        </w:numPr>
        <w:autoSpaceDE w:val="0"/>
        <w:autoSpaceDN w:val="0"/>
        <w:spacing w:after="0" w:line="240" w:lineRule="auto"/>
      </w:pPr>
      <w:r>
        <w:t>The owner or operator shall revise the monitoring as needed to reflect changes in production processes, monitoring instrumentation, and quality assurance procedures; or to improve procedures for the maintenance and repair of monitoring systems to reduce the frequency of monitoring equipment downtime.</w:t>
      </w:r>
    </w:p>
    <w:p w:rsidR="003202E5" w:rsidP="003202E5" w14:paraId="5AC4EAF9" w14:textId="77777777">
      <w:pPr>
        <w:pStyle w:val="ListParagraph"/>
        <w:spacing w:after="120" w:line="240" w:lineRule="auto"/>
        <w:rPr>
          <w:rFonts w:cstheme="minorHAnsi"/>
          <w:color w:val="000000"/>
        </w:rPr>
      </w:pPr>
    </w:p>
    <w:p w:rsidR="004B4DD2" w:rsidRPr="004B4DD2" w:rsidP="00C52F62" w14:paraId="2ED1F8F5" w14:textId="77777777">
      <w:pPr>
        <w:spacing w:after="120" w:line="240" w:lineRule="auto"/>
        <w:ind w:firstLine="720"/>
        <w:rPr>
          <w:rFonts w:cstheme="minorHAnsi"/>
          <w:color w:val="000000"/>
          <w:u w:val="single"/>
        </w:rPr>
      </w:pPr>
      <w:r w:rsidRPr="004B4DD2">
        <w:rPr>
          <w:rFonts w:cstheme="minorHAnsi"/>
          <w:color w:val="000000"/>
          <w:u w:val="single"/>
        </w:rPr>
        <w:t>Collection Schedule</w:t>
      </w:r>
    </w:p>
    <w:p w:rsidR="003202E5" w:rsidP="004B4DD2" w14:paraId="06B3E727" w14:textId="55AAB73A">
      <w:pPr>
        <w:pStyle w:val="ListParagraph"/>
        <w:numPr>
          <w:ilvl w:val="0"/>
          <w:numId w:val="31"/>
        </w:numPr>
        <w:spacing w:after="120" w:line="240" w:lineRule="auto"/>
      </w:pPr>
      <w:r>
        <w:t xml:space="preserve">Entities that use a controlled substance as a process agent must submit a one-time </w:t>
      </w:r>
      <w:r>
        <w:t>report;</w:t>
      </w:r>
    </w:p>
    <w:p w:rsidR="003202E5" w:rsidP="003202E5" w14:paraId="3EB77838" w14:textId="77777777">
      <w:pPr>
        <w:pStyle w:val="ListParagraph"/>
        <w:numPr>
          <w:ilvl w:val="0"/>
          <w:numId w:val="30"/>
        </w:numPr>
        <w:spacing w:after="120" w:line="240" w:lineRule="auto"/>
      </w:pPr>
      <w:r>
        <w:t>Entities that use a controlled substance as a process agent must report to EPA annually (45 days after the end of each year</w:t>
      </w:r>
      <w:r>
        <w:t>);</w:t>
      </w:r>
    </w:p>
    <w:p w:rsidR="003202E5" w:rsidP="003202E5" w14:paraId="1F8BC6E6" w14:textId="77777777">
      <w:pPr>
        <w:pStyle w:val="ListParagraph"/>
        <w:numPr>
          <w:ilvl w:val="0"/>
          <w:numId w:val="30"/>
        </w:numPr>
        <w:spacing w:after="120" w:line="240" w:lineRule="auto"/>
      </w:pPr>
      <w:r>
        <w:t xml:space="preserve">Entities that use a controlled substance as a process agent and that have a significant process change must report to EPA as needed (at least 180 days prior to implementing the change). </w:t>
      </w:r>
    </w:p>
    <w:p w:rsidR="00BB3410" w:rsidRPr="00BB3410" w:rsidP="00854AAE" w14:paraId="42074A5E" w14:textId="505A3521">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1172FE" w:rsidRPr="00163C69" w:rsidP="00854AAE" w14:paraId="7B8A0ACD" w14:textId="27119692">
      <w:pPr>
        <w:spacing w:before="120" w:after="0"/>
        <w:rPr>
          <w:rFonts w:cstheme="minorHAnsi"/>
          <w:b/>
          <w:bCs/>
        </w:rPr>
      </w:pPr>
      <w:r w:rsidRPr="00163C69">
        <w:rPr>
          <w:rFonts w:cstheme="minorHAnsi"/>
          <w:b/>
          <w:bCs/>
        </w:rPr>
        <w:t xml:space="preserve">12c. </w:t>
      </w:r>
      <w:r w:rsidRPr="00163C69" w:rsidR="00DD718B">
        <w:rPr>
          <w:rFonts w:cstheme="minorHAnsi"/>
          <w:b/>
          <w:bCs/>
        </w:rPr>
        <w:t>Respondent Activities</w:t>
      </w:r>
      <w:bookmarkStart w:id="20" w:name="_Toc156593385"/>
      <w:bookmarkEnd w:id="18"/>
    </w:p>
    <w:p w:rsidR="003202E5" w:rsidRPr="00471B10" w:rsidP="003202E5" w14:paraId="688FE2CD" w14:textId="77777777">
      <w:pPr>
        <w:widowControl w:val="0"/>
        <w:autoSpaceDE w:val="0"/>
        <w:autoSpaceDN w:val="0"/>
        <w:spacing w:after="0"/>
        <w:ind w:left="120"/>
      </w:pPr>
      <w:r w:rsidRPr="00471B10">
        <w:t>A</w:t>
      </w:r>
      <w:r w:rsidRPr="00471B10">
        <w:rPr>
          <w:spacing w:val="-1"/>
        </w:rPr>
        <w:t xml:space="preserve"> </w:t>
      </w:r>
      <w:r w:rsidRPr="00471B10">
        <w:t>summary</w:t>
      </w:r>
      <w:r w:rsidRPr="00471B10">
        <w:rPr>
          <w:spacing w:val="-1"/>
        </w:rPr>
        <w:t xml:space="preserve"> </w:t>
      </w:r>
      <w:r w:rsidRPr="00471B10">
        <w:t>of</w:t>
      </w:r>
      <w:r w:rsidRPr="00471B10">
        <w:rPr>
          <w:spacing w:val="-2"/>
        </w:rPr>
        <w:t xml:space="preserve"> </w:t>
      </w:r>
      <w:r w:rsidRPr="00471B10">
        <w:t>respondent</w:t>
      </w:r>
      <w:r w:rsidRPr="00471B10">
        <w:rPr>
          <w:spacing w:val="-1"/>
        </w:rPr>
        <w:t xml:space="preserve"> </w:t>
      </w:r>
      <w:r w:rsidRPr="00471B10">
        <w:t>activities is</w:t>
      </w:r>
      <w:r w:rsidRPr="00471B10">
        <w:rPr>
          <w:spacing w:val="-1"/>
        </w:rPr>
        <w:t xml:space="preserve"> </w:t>
      </w:r>
      <w:r w:rsidRPr="00471B10">
        <w:t>provided</w:t>
      </w:r>
      <w:r w:rsidRPr="00471B10">
        <w:rPr>
          <w:spacing w:val="-1"/>
        </w:rPr>
        <w:t xml:space="preserve"> </w:t>
      </w:r>
      <w:r w:rsidRPr="00471B10">
        <w:t>in</w:t>
      </w:r>
      <w:r w:rsidRPr="00471B10">
        <w:rPr>
          <w:spacing w:val="2"/>
        </w:rPr>
        <w:t xml:space="preserve"> </w:t>
      </w:r>
      <w:hyperlink w:anchor="_bookmark1" w:history="1">
        <w:r w:rsidRPr="00471B10">
          <w:t>Table</w:t>
        </w:r>
        <w:r w:rsidRPr="00471B10">
          <w:rPr>
            <w:spacing w:val="1"/>
          </w:rPr>
          <w:t xml:space="preserve"> </w:t>
        </w:r>
        <w:r w:rsidRPr="00471B10">
          <w:t>II</w:t>
        </w:r>
      </w:hyperlink>
      <w:r w:rsidRPr="00471B10">
        <w:rPr>
          <w:spacing w:val="-4"/>
        </w:rPr>
        <w:t xml:space="preserve"> </w:t>
      </w:r>
      <w:r w:rsidRPr="00471B10">
        <w:rPr>
          <w:spacing w:val="-2"/>
        </w:rPr>
        <w:t>below.</w:t>
      </w:r>
    </w:p>
    <w:p w:rsidR="003202E5" w:rsidRPr="00471B10" w:rsidP="003202E5" w14:paraId="72FCB00E" w14:textId="77777777">
      <w:pPr>
        <w:widowControl w:val="0"/>
        <w:autoSpaceDE w:val="0"/>
        <w:autoSpaceDN w:val="0"/>
        <w:spacing w:before="122" w:after="0"/>
        <w:ind w:left="120"/>
        <w:rPr>
          <w:b/>
        </w:rPr>
      </w:pPr>
      <w:bookmarkStart w:id="21" w:name="_bookmark1"/>
      <w:bookmarkEnd w:id="21"/>
      <w:r w:rsidRPr="00471B10">
        <w:rPr>
          <w:b/>
        </w:rPr>
        <w:t>Table</w:t>
      </w:r>
      <w:r w:rsidRPr="00471B10">
        <w:rPr>
          <w:b/>
          <w:spacing w:val="-5"/>
        </w:rPr>
        <w:t xml:space="preserve"> </w:t>
      </w:r>
      <w:r w:rsidRPr="00471B10">
        <w:rPr>
          <w:b/>
        </w:rPr>
        <w:t>II.</w:t>
      </w:r>
      <w:r w:rsidRPr="00471B10">
        <w:rPr>
          <w:b/>
          <w:spacing w:val="-3"/>
        </w:rPr>
        <w:t xml:space="preserve"> </w:t>
      </w:r>
      <w:r w:rsidRPr="00471B10">
        <w:rPr>
          <w:b/>
        </w:rPr>
        <w:t>Respondent</w:t>
      </w:r>
      <w:r w:rsidRPr="00471B10">
        <w:rPr>
          <w:b/>
          <w:spacing w:val="-2"/>
        </w:rPr>
        <w:t xml:space="preserve"> Activities</w:t>
      </w:r>
    </w:p>
    <w:p w:rsidR="003202E5" w:rsidRPr="00471B10" w:rsidP="003202E5" w14:paraId="62FB0444" w14:textId="77777777">
      <w:pPr>
        <w:widowControl w:val="0"/>
        <w:autoSpaceDE w:val="0"/>
        <w:autoSpaceDN w:val="0"/>
        <w:spacing w:before="3" w:after="0"/>
        <w:rPr>
          <w:b/>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76"/>
        <w:gridCol w:w="2744"/>
      </w:tblGrid>
      <w:tr w14:paraId="275B3C76" w14:textId="77777777" w:rsidTr="007B260E">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6476" w:type="dxa"/>
            <w:shd w:val="clear" w:color="auto" w:fill="D9D9D9"/>
          </w:tcPr>
          <w:p w:rsidR="003202E5" w:rsidRPr="00471B10" w:rsidP="007B260E" w14:paraId="52DF9638" w14:textId="77777777">
            <w:pPr>
              <w:widowControl w:val="0"/>
              <w:autoSpaceDE w:val="0"/>
              <w:autoSpaceDN w:val="0"/>
              <w:spacing w:after="0" w:line="256" w:lineRule="exact"/>
              <w:ind w:left="2816" w:right="2811"/>
              <w:rPr>
                <w:b/>
              </w:rPr>
            </w:pPr>
            <w:r w:rsidRPr="00471B10">
              <w:rPr>
                <w:b/>
                <w:spacing w:val="-2"/>
              </w:rPr>
              <w:t>Activity</w:t>
            </w:r>
          </w:p>
        </w:tc>
        <w:tc>
          <w:tcPr>
            <w:tcW w:w="2744" w:type="dxa"/>
            <w:shd w:val="clear" w:color="auto" w:fill="D9D9D9"/>
          </w:tcPr>
          <w:p w:rsidR="003202E5" w:rsidRPr="00471B10" w:rsidP="007B260E" w14:paraId="6692C34D" w14:textId="77777777">
            <w:pPr>
              <w:widowControl w:val="0"/>
              <w:autoSpaceDE w:val="0"/>
              <w:autoSpaceDN w:val="0"/>
              <w:spacing w:after="0" w:line="256" w:lineRule="exact"/>
              <w:ind w:left="261" w:right="259"/>
              <w:rPr>
                <w:b/>
              </w:rPr>
            </w:pPr>
            <w:r w:rsidRPr="00471B10">
              <w:rPr>
                <w:b/>
              </w:rPr>
              <w:t>Reporting</w:t>
            </w:r>
            <w:r w:rsidRPr="00471B10">
              <w:rPr>
                <w:b/>
                <w:spacing w:val="-3"/>
              </w:rPr>
              <w:t xml:space="preserve"> </w:t>
            </w:r>
            <w:r w:rsidRPr="00471B10">
              <w:rPr>
                <w:b/>
                <w:spacing w:val="-2"/>
              </w:rPr>
              <w:t>Frequency</w:t>
            </w:r>
          </w:p>
        </w:tc>
      </w:tr>
      <w:tr w14:paraId="62E6C632" w14:textId="77777777" w:rsidTr="007B260E">
        <w:tblPrEx>
          <w:tblW w:w="0" w:type="auto"/>
          <w:tblInd w:w="130" w:type="dxa"/>
          <w:tblLayout w:type="fixed"/>
          <w:tblCellMar>
            <w:left w:w="0" w:type="dxa"/>
            <w:right w:w="0" w:type="dxa"/>
          </w:tblCellMar>
          <w:tblLook w:val="01E0"/>
        </w:tblPrEx>
        <w:trPr>
          <w:trHeight w:val="275"/>
        </w:trPr>
        <w:tc>
          <w:tcPr>
            <w:tcW w:w="6476" w:type="dxa"/>
          </w:tcPr>
          <w:p w:rsidR="003202E5" w:rsidRPr="00471B10" w:rsidP="007B260E" w14:paraId="722B4C63" w14:textId="77777777">
            <w:pPr>
              <w:widowControl w:val="0"/>
              <w:autoSpaceDE w:val="0"/>
              <w:autoSpaceDN w:val="0"/>
              <w:spacing w:after="0" w:line="256" w:lineRule="exact"/>
              <w:ind w:left="107"/>
            </w:pPr>
            <w:r w:rsidRPr="00471B10">
              <w:t>Submit</w:t>
            </w:r>
            <w:r w:rsidRPr="00471B10">
              <w:rPr>
                <w:spacing w:val="-2"/>
              </w:rPr>
              <w:t xml:space="preserve"> </w:t>
            </w:r>
            <w:r w:rsidRPr="00471B10">
              <w:t>one-time</w:t>
            </w:r>
            <w:r w:rsidRPr="00471B10">
              <w:rPr>
                <w:spacing w:val="-1"/>
              </w:rPr>
              <w:t xml:space="preserve"> </w:t>
            </w:r>
            <w:r w:rsidRPr="00471B10">
              <w:rPr>
                <w:spacing w:val="-2"/>
              </w:rPr>
              <w:t>report</w:t>
            </w:r>
          </w:p>
        </w:tc>
        <w:tc>
          <w:tcPr>
            <w:tcW w:w="2744" w:type="dxa"/>
          </w:tcPr>
          <w:p w:rsidR="003202E5" w:rsidRPr="00471B10" w:rsidP="007B260E" w14:paraId="021E63C9" w14:textId="77777777">
            <w:pPr>
              <w:widowControl w:val="0"/>
              <w:autoSpaceDE w:val="0"/>
              <w:autoSpaceDN w:val="0"/>
              <w:spacing w:after="0" w:line="256" w:lineRule="exact"/>
              <w:ind w:left="261" w:right="254"/>
            </w:pPr>
            <w:r w:rsidRPr="00471B10">
              <w:rPr>
                <w:spacing w:val="-2"/>
              </w:rPr>
              <w:t>One-</w:t>
            </w:r>
            <w:r w:rsidRPr="00471B10">
              <w:rPr>
                <w:spacing w:val="-4"/>
              </w:rPr>
              <w:t>Time</w:t>
            </w:r>
          </w:p>
        </w:tc>
      </w:tr>
      <w:tr w14:paraId="0C1C1276" w14:textId="77777777" w:rsidTr="007B260E">
        <w:tblPrEx>
          <w:tblW w:w="0" w:type="auto"/>
          <w:tblInd w:w="130" w:type="dxa"/>
          <w:tblLayout w:type="fixed"/>
          <w:tblCellMar>
            <w:left w:w="0" w:type="dxa"/>
            <w:right w:w="0" w:type="dxa"/>
          </w:tblCellMar>
          <w:tblLook w:val="01E0"/>
        </w:tblPrEx>
        <w:trPr>
          <w:trHeight w:val="276"/>
        </w:trPr>
        <w:tc>
          <w:tcPr>
            <w:tcW w:w="6476" w:type="dxa"/>
          </w:tcPr>
          <w:p w:rsidR="003202E5" w:rsidRPr="00471B10" w:rsidP="007B260E" w14:paraId="4A4E6480" w14:textId="77777777">
            <w:pPr>
              <w:widowControl w:val="0"/>
              <w:autoSpaceDE w:val="0"/>
              <w:autoSpaceDN w:val="0"/>
              <w:spacing w:after="0" w:line="256" w:lineRule="exact"/>
              <w:ind w:left="107"/>
            </w:pPr>
            <w:r w:rsidRPr="00471B10">
              <w:t>Submit</w:t>
            </w:r>
            <w:r w:rsidRPr="00471B10">
              <w:rPr>
                <w:spacing w:val="-2"/>
              </w:rPr>
              <w:t xml:space="preserve"> </w:t>
            </w:r>
            <w:r w:rsidRPr="00471B10">
              <w:t>annual</w:t>
            </w:r>
            <w:r w:rsidRPr="00471B10">
              <w:rPr>
                <w:spacing w:val="-1"/>
              </w:rPr>
              <w:t xml:space="preserve"> </w:t>
            </w:r>
            <w:r w:rsidRPr="00471B10">
              <w:rPr>
                <w:spacing w:val="-2"/>
              </w:rPr>
              <w:t>report</w:t>
            </w:r>
          </w:p>
        </w:tc>
        <w:tc>
          <w:tcPr>
            <w:tcW w:w="2744" w:type="dxa"/>
          </w:tcPr>
          <w:p w:rsidR="003202E5" w:rsidRPr="00471B10" w:rsidP="007B260E" w14:paraId="3C726867" w14:textId="77777777">
            <w:pPr>
              <w:widowControl w:val="0"/>
              <w:autoSpaceDE w:val="0"/>
              <w:autoSpaceDN w:val="0"/>
              <w:spacing w:after="0" w:line="256" w:lineRule="exact"/>
              <w:ind w:left="261" w:right="255"/>
            </w:pPr>
            <w:r w:rsidRPr="00471B10">
              <w:rPr>
                <w:spacing w:val="-2"/>
              </w:rPr>
              <w:t>Annually</w:t>
            </w:r>
          </w:p>
        </w:tc>
      </w:tr>
      <w:tr w14:paraId="06602523" w14:textId="77777777" w:rsidTr="007B260E">
        <w:tblPrEx>
          <w:tblW w:w="0" w:type="auto"/>
          <w:tblInd w:w="130" w:type="dxa"/>
          <w:tblLayout w:type="fixed"/>
          <w:tblCellMar>
            <w:left w:w="0" w:type="dxa"/>
            <w:right w:w="0" w:type="dxa"/>
          </w:tblCellMar>
          <w:tblLook w:val="01E0"/>
        </w:tblPrEx>
        <w:trPr>
          <w:trHeight w:val="278"/>
        </w:trPr>
        <w:tc>
          <w:tcPr>
            <w:tcW w:w="6476" w:type="dxa"/>
          </w:tcPr>
          <w:p w:rsidR="003202E5" w:rsidRPr="00471B10" w:rsidP="007B260E" w14:paraId="2BFCE095" w14:textId="77777777">
            <w:pPr>
              <w:widowControl w:val="0"/>
              <w:autoSpaceDE w:val="0"/>
              <w:autoSpaceDN w:val="0"/>
              <w:spacing w:after="0" w:line="258" w:lineRule="exact"/>
              <w:ind w:left="107"/>
            </w:pPr>
            <w:r w:rsidRPr="00471B10">
              <w:t>Submit</w:t>
            </w:r>
            <w:r w:rsidRPr="00471B10">
              <w:rPr>
                <w:spacing w:val="-1"/>
              </w:rPr>
              <w:t xml:space="preserve"> </w:t>
            </w:r>
            <w:r w:rsidRPr="00471B10">
              <w:t>significant process changes report</w:t>
            </w:r>
          </w:p>
        </w:tc>
        <w:tc>
          <w:tcPr>
            <w:tcW w:w="2744" w:type="dxa"/>
          </w:tcPr>
          <w:p w:rsidR="003202E5" w:rsidRPr="00471B10" w:rsidP="007B260E" w14:paraId="1F4071F2" w14:textId="77777777">
            <w:pPr>
              <w:widowControl w:val="0"/>
              <w:autoSpaceDE w:val="0"/>
              <w:autoSpaceDN w:val="0"/>
              <w:spacing w:after="0" w:line="258" w:lineRule="exact"/>
              <w:ind w:left="261" w:right="257"/>
            </w:pPr>
            <w:r w:rsidRPr="00471B10">
              <w:t xml:space="preserve">As </w:t>
            </w:r>
            <w:r w:rsidRPr="00471B10">
              <w:rPr>
                <w:spacing w:val="-2"/>
              </w:rPr>
              <w:t>Needed</w:t>
            </w:r>
          </w:p>
        </w:tc>
      </w:tr>
      <w:tr w14:paraId="692C5A29" w14:textId="77777777" w:rsidTr="007B260E">
        <w:tblPrEx>
          <w:tblW w:w="0" w:type="auto"/>
          <w:tblInd w:w="130" w:type="dxa"/>
          <w:tblLayout w:type="fixed"/>
          <w:tblCellMar>
            <w:left w:w="0" w:type="dxa"/>
            <w:right w:w="0" w:type="dxa"/>
          </w:tblCellMar>
          <w:tblLook w:val="01E0"/>
        </w:tblPrEx>
        <w:trPr>
          <w:trHeight w:val="278"/>
        </w:trPr>
        <w:tc>
          <w:tcPr>
            <w:tcW w:w="6476" w:type="dxa"/>
          </w:tcPr>
          <w:p w:rsidR="003202E5" w:rsidRPr="00471B10" w:rsidP="007B260E" w14:paraId="317D697C" w14:textId="77777777">
            <w:pPr>
              <w:widowControl w:val="0"/>
              <w:autoSpaceDE w:val="0"/>
              <w:autoSpaceDN w:val="0"/>
              <w:spacing w:after="0" w:line="258" w:lineRule="exact"/>
              <w:ind w:left="107"/>
            </w:pPr>
            <w:r>
              <w:t>Maintain records</w:t>
            </w:r>
          </w:p>
        </w:tc>
        <w:tc>
          <w:tcPr>
            <w:tcW w:w="2744" w:type="dxa"/>
          </w:tcPr>
          <w:p w:rsidR="003202E5" w:rsidRPr="00471B10" w:rsidP="007B260E" w14:paraId="3344959C" w14:textId="77777777">
            <w:pPr>
              <w:widowControl w:val="0"/>
              <w:autoSpaceDE w:val="0"/>
              <w:autoSpaceDN w:val="0"/>
              <w:spacing w:after="0" w:line="258" w:lineRule="exact"/>
              <w:ind w:left="261" w:right="257"/>
            </w:pPr>
            <w:r>
              <w:t>N/A</w:t>
            </w:r>
          </w:p>
        </w:tc>
      </w:tr>
    </w:tbl>
    <w:p w:rsidR="00D92ED6" w:rsidP="00854AAE" w14:paraId="0B6BE1C2" w14:textId="3F49A8F0">
      <w:pPr>
        <w:spacing w:before="120" w:after="0"/>
        <w:rPr>
          <w:rFonts w:cstheme="minorHAnsi"/>
          <w:b/>
          <w:bCs/>
        </w:rPr>
      </w:pPr>
      <w:r w:rsidRPr="00163C69">
        <w:rPr>
          <w:rFonts w:cstheme="minorHAnsi"/>
          <w:b/>
          <w:bCs/>
        </w:rPr>
        <w:t xml:space="preserve">12d. </w:t>
      </w:r>
      <w:r w:rsidRPr="00163C69">
        <w:rPr>
          <w:rFonts w:cstheme="minorHAnsi"/>
          <w:b/>
          <w:bCs/>
        </w:rPr>
        <w:t xml:space="preserve">Respondent </w:t>
      </w:r>
      <w:r w:rsidRPr="00163C69" w:rsidR="00BB2B15">
        <w:rPr>
          <w:rFonts w:cstheme="minorHAnsi"/>
          <w:b/>
          <w:bCs/>
        </w:rPr>
        <w:t xml:space="preserve">Burden </w:t>
      </w:r>
      <w:r w:rsidRPr="00163C69" w:rsidR="00B666CD">
        <w:rPr>
          <w:rFonts w:cstheme="minorHAnsi"/>
          <w:b/>
          <w:bCs/>
        </w:rPr>
        <w:t>Hour</w:t>
      </w:r>
      <w:r w:rsidRPr="00163C69" w:rsidR="00BB2B15">
        <w:rPr>
          <w:rFonts w:cstheme="minorHAnsi"/>
          <w:b/>
          <w:bCs/>
        </w:rPr>
        <w:t>s</w:t>
      </w:r>
      <w:r w:rsidRPr="00163C69" w:rsidR="00B666CD">
        <w:rPr>
          <w:rFonts w:cstheme="minorHAnsi"/>
          <w:b/>
          <w:bCs/>
        </w:rPr>
        <w:t xml:space="preserve"> and Labor </w:t>
      </w:r>
      <w:bookmarkEnd w:id="20"/>
      <w:r w:rsidRPr="00163C69" w:rsidR="00BB2B15">
        <w:rPr>
          <w:rFonts w:cstheme="minorHAnsi"/>
          <w:b/>
          <w:bCs/>
        </w:rPr>
        <w:t>Costs</w:t>
      </w:r>
    </w:p>
    <w:p w:rsidR="00015010" w:rsidRPr="00015010" w:rsidP="00854AAE" w14:paraId="17B31D1F" w14:textId="40893912">
      <w:pPr>
        <w:spacing w:before="120" w:after="0"/>
        <w:rPr>
          <w:rFonts w:cstheme="minorHAnsi"/>
          <w:u w:val="single"/>
        </w:rPr>
      </w:pPr>
      <w:r w:rsidRPr="00015010">
        <w:rPr>
          <w:rFonts w:cstheme="minorHAnsi"/>
          <w:u w:val="single"/>
        </w:rPr>
        <w:t>Estimating Respondent Burden</w:t>
      </w:r>
    </w:p>
    <w:p w:rsidR="00ED57A4" w:rsidP="00854AAE" w14:paraId="68F435BE" w14:textId="6B5F4113">
      <w:pPr>
        <w:spacing w:before="60"/>
      </w:pPr>
      <w:r w:rsidRPr="0054767C">
        <w:t xml:space="preserve">EPA identified </w:t>
      </w:r>
      <w:r>
        <w:t>4</w:t>
      </w:r>
      <w:r w:rsidRPr="0054767C">
        <w:t xml:space="preserve"> information collection activities that are mandated by EPA’s proposed rulemaking. EPA estimated the amount of time associated with each activity based on EPA’s experience collecting similar activity data on ozone-depleting substances (ODS)</w:t>
      </w:r>
      <w:r>
        <w:t xml:space="preserve"> and </w:t>
      </w:r>
      <w:r w:rsidRPr="0054767C">
        <w:t>fluorinated greenhouse gases under 40 CFR part 82</w:t>
      </w:r>
      <w:r>
        <w:t xml:space="preserve"> and </w:t>
      </w:r>
      <w:r w:rsidRPr="0054767C">
        <w:t>GHGRP (74 FR 56260; October 30, 2009), respectively.</w:t>
      </w:r>
      <w:r>
        <w:t xml:space="preserve"> Emissions recordkeeping and reporting are included in each applicable activity.</w:t>
      </w:r>
      <w:r w:rsidRPr="0054767C">
        <w:t xml:space="preserve"> This analysis assumes that respondent burden hours are incurred by technical </w:t>
      </w:r>
      <w:r>
        <w:t xml:space="preserve">and clerical </w:t>
      </w:r>
      <w:r w:rsidRPr="0054767C">
        <w:t>staff at companies that submit reports. Table III below summarizes the number of burden hours incurred by each respondent for each information collection activity</w:t>
      </w:r>
      <w:r>
        <w:t>.</w:t>
      </w:r>
    </w:p>
    <w:p w:rsidR="00015010" w:rsidRPr="00015010" w:rsidP="00854AAE" w14:paraId="112FE2D4" w14:textId="0AF94A95">
      <w:pPr>
        <w:spacing w:before="60"/>
        <w:rPr>
          <w:u w:val="single"/>
        </w:rPr>
      </w:pPr>
      <w:r w:rsidRPr="00015010">
        <w:rPr>
          <w:u w:val="single"/>
        </w:rPr>
        <w:t>Estimating Respondent Costs</w:t>
      </w:r>
    </w:p>
    <w:p w:rsidR="00015010" w:rsidP="00015010" w14:paraId="55374F72" w14:textId="77777777">
      <w:pPr>
        <w:rPr>
          <w:color w:val="000000"/>
        </w:rPr>
      </w:pPr>
      <w:r w:rsidRPr="003A2D73">
        <w:rPr>
          <w:color w:val="000000"/>
        </w:rPr>
        <w:t>To determine respondent costs, an average hourly wage rate of $</w:t>
      </w:r>
      <w:r w:rsidRPr="000D1176">
        <w:rPr>
          <w:color w:val="000000"/>
        </w:rPr>
        <w:t>60.54</w:t>
      </w:r>
      <w:r>
        <w:rPr>
          <w:color w:val="000000"/>
        </w:rPr>
        <w:t xml:space="preserve"> </w:t>
      </w:r>
      <w:r w:rsidRPr="003A2D73">
        <w:rPr>
          <w:color w:val="000000"/>
        </w:rPr>
        <w:t xml:space="preserve">per hour for technical staff, the hourly wage rate for professional and related persons, was derived from the Bureau of Labor Statistics Employer Cost and Employee Compensation, Table 2. (“civilian workers, by occupational and industry group”), </w:t>
      </w:r>
      <w:r w:rsidRPr="000D1176">
        <w:rPr>
          <w:color w:val="000000"/>
        </w:rPr>
        <w:t>June 2022</w:t>
      </w:r>
      <w:r w:rsidRPr="003A2D73">
        <w:rPr>
          <w:color w:val="000000"/>
        </w:rPr>
        <w:t xml:space="preserve">. </w:t>
      </w:r>
      <w:r w:rsidRPr="000D1176">
        <w:rPr>
          <w:color w:val="000000"/>
        </w:rPr>
        <w:t>An average hourly wage rate of $47.73 for clerical staff, the hourly wage rate for administrative services and facilities managers, was derived from the BLS Occupational Outlook Handbook, April 2022.</w:t>
      </w:r>
      <w:r>
        <w:rPr>
          <w:color w:val="000000"/>
        </w:rPr>
        <w:t xml:space="preserve"> </w:t>
      </w:r>
      <w:r w:rsidRPr="003A2D73">
        <w:rPr>
          <w:color w:val="000000"/>
        </w:rPr>
        <w:t xml:space="preserve">A 110 percent increase was added to reflect the estimated additional costs for overhead and fringe, </w:t>
      </w:r>
      <w:r w:rsidRPr="000D1176">
        <w:rPr>
          <w:color w:val="000000"/>
        </w:rPr>
        <w:t>which increased the wage rates to $127.13 and $100.23 per hour for technical staff and clerical staff, respectively</w:t>
      </w:r>
      <w:r w:rsidRPr="003A2D73">
        <w:rPr>
          <w:color w:val="000000"/>
        </w:rPr>
        <w:t>. Burden hours were multiplied by the labor rate to determine respondent costs.</w:t>
      </w:r>
      <w:r>
        <w:rPr>
          <w:color w:val="000000"/>
        </w:rPr>
        <w:t xml:space="preserve"> Given the reporting and recordkeeping requirements, an average of </w:t>
      </w:r>
      <w:r w:rsidRPr="00AC7C7A">
        <w:rPr>
          <w:color w:val="000000"/>
        </w:rPr>
        <w:t>$28,245</w:t>
      </w:r>
      <w:r>
        <w:rPr>
          <w:color w:val="000000"/>
        </w:rPr>
        <w:t xml:space="preserve"> annual</w:t>
      </w:r>
      <w:r>
        <w:t xml:space="preserve"> operation and maintenance (O&amp;M) costs or capital/startup costs are assumed to be associated with this information collection request due to the emissions reporting requirements.</w:t>
      </w:r>
    </w:p>
    <w:p w:rsidR="00015010" w:rsidP="00015010" w14:paraId="45EFA21A" w14:textId="77777777">
      <w:r>
        <w:fldChar w:fldCharType="begin"/>
      </w:r>
      <w:r>
        <w:instrText xml:space="preserve"> REF _Ref69842426 \h </w:instrText>
      </w:r>
      <w:r>
        <w:fldChar w:fldCharType="separate"/>
      </w:r>
      <w:r>
        <w:t xml:space="preserve">Table </w:t>
      </w:r>
      <w:r>
        <w:rPr>
          <w:noProof/>
        </w:rPr>
        <w:t>III</w:t>
      </w:r>
      <w:r>
        <w:fldChar w:fldCharType="end"/>
      </w:r>
      <w:r>
        <w:t xml:space="preserve"> below summarizes labor costs for each respondent by information collection activity. Costs are calculated by multiplying technical burden hours per response by the number of responses per year and the assumed hourly wage rate of technical staff. </w:t>
      </w:r>
    </w:p>
    <w:p w:rsidR="00015010" w:rsidP="00015010" w14:paraId="152AA98C" w14:textId="77777777">
      <w:pPr>
        <w:pStyle w:val="Caption"/>
        <w:keepNext/>
      </w:pPr>
      <w:bookmarkStart w:id="22" w:name="_Ref69842426"/>
      <w:r>
        <w:t xml:space="preserve">Table </w:t>
      </w:r>
      <w:r>
        <w:fldChar w:fldCharType="begin"/>
      </w:r>
      <w:r>
        <w:instrText xml:space="preserve"> SEQ Table \* ROMAN </w:instrText>
      </w:r>
      <w:r>
        <w:fldChar w:fldCharType="separate"/>
      </w:r>
      <w:r>
        <w:rPr>
          <w:noProof/>
        </w:rPr>
        <w:t>III</w:t>
      </w:r>
      <w:r>
        <w:rPr>
          <w:noProof/>
        </w:rPr>
        <w:fldChar w:fldCharType="end"/>
      </w:r>
      <w:bookmarkEnd w:id="22"/>
      <w:r>
        <w:t>. Hours and Costs per Respondent Activity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14"/>
        <w:gridCol w:w="1217"/>
        <w:gridCol w:w="1219"/>
        <w:gridCol w:w="1302"/>
        <w:gridCol w:w="1302"/>
        <w:gridCol w:w="1296"/>
      </w:tblGrid>
      <w:tr w14:paraId="3185DBB5" w14:textId="77777777" w:rsidTr="007B260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35"/>
          <w:tblHeader/>
        </w:trPr>
        <w:tc>
          <w:tcPr>
            <w:tcW w:w="1612" w:type="pct"/>
            <w:shd w:val="clear" w:color="000000" w:fill="F2F2F2"/>
            <w:vAlign w:val="center"/>
            <w:hideMark/>
          </w:tcPr>
          <w:p w:rsidR="00015010" w:rsidRPr="007869C2" w:rsidP="007B260E" w14:paraId="20B71B21" w14:textId="77777777">
            <w:pPr>
              <w:spacing w:after="0"/>
              <w:jc w:val="center"/>
              <w:rPr>
                <w:b/>
                <w:bCs/>
                <w:color w:val="000000"/>
                <w:sz w:val="18"/>
                <w:szCs w:val="18"/>
              </w:rPr>
            </w:pPr>
            <w:r w:rsidRPr="007869C2">
              <w:rPr>
                <w:b/>
                <w:bCs/>
                <w:color w:val="000000"/>
                <w:sz w:val="18"/>
                <w:szCs w:val="18"/>
              </w:rPr>
              <w:t xml:space="preserve">Activity </w:t>
            </w:r>
          </w:p>
        </w:tc>
        <w:tc>
          <w:tcPr>
            <w:tcW w:w="651" w:type="pct"/>
            <w:shd w:val="clear" w:color="000000" w:fill="F2F2F2"/>
            <w:vAlign w:val="center"/>
            <w:hideMark/>
          </w:tcPr>
          <w:p w:rsidR="00015010" w:rsidRPr="007869C2" w:rsidP="007B260E" w14:paraId="2B988E77" w14:textId="77777777">
            <w:pPr>
              <w:spacing w:after="0"/>
              <w:jc w:val="center"/>
              <w:rPr>
                <w:b/>
                <w:bCs/>
                <w:color w:val="000000"/>
                <w:sz w:val="18"/>
                <w:szCs w:val="18"/>
              </w:rPr>
            </w:pPr>
            <w:r w:rsidRPr="007869C2">
              <w:rPr>
                <w:b/>
                <w:bCs/>
                <w:color w:val="000000"/>
                <w:sz w:val="18"/>
                <w:szCs w:val="18"/>
              </w:rPr>
              <w:t>Responses per Respondent per Year</w:t>
            </w:r>
          </w:p>
        </w:tc>
        <w:tc>
          <w:tcPr>
            <w:tcW w:w="652" w:type="pct"/>
            <w:shd w:val="clear" w:color="000000" w:fill="F2F2F2"/>
            <w:vAlign w:val="center"/>
            <w:hideMark/>
          </w:tcPr>
          <w:p w:rsidR="00015010" w:rsidRPr="007869C2" w:rsidP="007B260E" w14:paraId="169E3E07" w14:textId="77777777">
            <w:pPr>
              <w:spacing w:after="0"/>
              <w:jc w:val="center"/>
              <w:rPr>
                <w:b/>
                <w:bCs/>
                <w:color w:val="000000"/>
                <w:sz w:val="18"/>
                <w:szCs w:val="18"/>
              </w:rPr>
            </w:pPr>
            <w:r w:rsidRPr="007869C2">
              <w:rPr>
                <w:b/>
                <w:bCs/>
                <w:color w:val="000000"/>
                <w:sz w:val="18"/>
                <w:szCs w:val="18"/>
              </w:rPr>
              <w:t xml:space="preserve">Technical </w:t>
            </w:r>
            <w:r>
              <w:rPr>
                <w:b/>
                <w:bCs/>
                <w:color w:val="000000"/>
                <w:sz w:val="18"/>
                <w:szCs w:val="18"/>
              </w:rPr>
              <w:t xml:space="preserve">Burden </w:t>
            </w:r>
            <w:r w:rsidRPr="007869C2">
              <w:rPr>
                <w:b/>
                <w:bCs/>
                <w:color w:val="000000"/>
                <w:sz w:val="18"/>
                <w:szCs w:val="18"/>
              </w:rPr>
              <w:t>Hours per Response</w:t>
            </w:r>
          </w:p>
        </w:tc>
        <w:tc>
          <w:tcPr>
            <w:tcW w:w="696" w:type="pct"/>
            <w:shd w:val="clear" w:color="000000" w:fill="F2F2F2"/>
          </w:tcPr>
          <w:p w:rsidR="00015010" w:rsidRPr="007869C2" w:rsidP="007B260E" w14:paraId="4FBE615E" w14:textId="77777777">
            <w:pPr>
              <w:spacing w:after="0"/>
              <w:jc w:val="center"/>
              <w:rPr>
                <w:b/>
                <w:bCs/>
                <w:color w:val="000000"/>
                <w:sz w:val="18"/>
                <w:szCs w:val="18"/>
              </w:rPr>
            </w:pPr>
            <w:r>
              <w:rPr>
                <w:b/>
                <w:bCs/>
                <w:color w:val="000000"/>
                <w:sz w:val="18"/>
                <w:szCs w:val="18"/>
              </w:rPr>
              <w:t>C</w:t>
            </w:r>
            <w:r>
              <w:rPr>
                <w:b/>
                <w:color w:val="000000"/>
                <w:sz w:val="18"/>
                <w:szCs w:val="18"/>
              </w:rPr>
              <w:t>lerical</w:t>
            </w:r>
            <w:r w:rsidRPr="007869C2">
              <w:rPr>
                <w:b/>
                <w:bCs/>
                <w:color w:val="000000"/>
                <w:sz w:val="18"/>
                <w:szCs w:val="18"/>
              </w:rPr>
              <w:t xml:space="preserve"> </w:t>
            </w:r>
            <w:r>
              <w:rPr>
                <w:b/>
                <w:bCs/>
                <w:color w:val="000000"/>
                <w:sz w:val="18"/>
                <w:szCs w:val="18"/>
              </w:rPr>
              <w:t xml:space="preserve">Burden </w:t>
            </w:r>
            <w:r w:rsidRPr="007869C2">
              <w:rPr>
                <w:b/>
                <w:bCs/>
                <w:color w:val="000000"/>
                <w:sz w:val="18"/>
                <w:szCs w:val="18"/>
              </w:rPr>
              <w:t>Hours per Response</w:t>
            </w:r>
          </w:p>
        </w:tc>
        <w:tc>
          <w:tcPr>
            <w:tcW w:w="696" w:type="pct"/>
            <w:shd w:val="clear" w:color="000000" w:fill="F2F2F2"/>
            <w:vAlign w:val="center"/>
            <w:hideMark/>
          </w:tcPr>
          <w:p w:rsidR="00015010" w:rsidRPr="007869C2" w:rsidP="007B260E" w14:paraId="55AA3049" w14:textId="77777777">
            <w:pPr>
              <w:spacing w:after="0"/>
              <w:jc w:val="center"/>
              <w:rPr>
                <w:b/>
                <w:bCs/>
                <w:color w:val="000000"/>
                <w:sz w:val="18"/>
                <w:szCs w:val="18"/>
              </w:rPr>
            </w:pPr>
            <w:r w:rsidRPr="007869C2">
              <w:rPr>
                <w:b/>
                <w:bCs/>
                <w:color w:val="000000"/>
                <w:sz w:val="18"/>
                <w:szCs w:val="18"/>
              </w:rPr>
              <w:t>Total Hours per Respondent per Year</w:t>
            </w:r>
          </w:p>
        </w:tc>
        <w:tc>
          <w:tcPr>
            <w:tcW w:w="693" w:type="pct"/>
            <w:shd w:val="clear" w:color="000000" w:fill="F2F2F2"/>
            <w:vAlign w:val="center"/>
            <w:hideMark/>
          </w:tcPr>
          <w:p w:rsidR="00015010" w:rsidRPr="007869C2" w:rsidP="007B260E" w14:paraId="7D0B31E3" w14:textId="77777777">
            <w:pPr>
              <w:spacing w:after="0"/>
              <w:jc w:val="center"/>
              <w:rPr>
                <w:b/>
                <w:bCs/>
                <w:color w:val="000000"/>
                <w:sz w:val="18"/>
                <w:szCs w:val="18"/>
              </w:rPr>
            </w:pPr>
            <w:r w:rsidRPr="007869C2">
              <w:rPr>
                <w:b/>
                <w:bCs/>
                <w:color w:val="000000"/>
                <w:sz w:val="18"/>
                <w:szCs w:val="18"/>
              </w:rPr>
              <w:t>Technical Labor Cost per Respondent per Year</w:t>
            </w:r>
          </w:p>
        </w:tc>
      </w:tr>
      <w:tr w14:paraId="71D865B7" w14:textId="77777777" w:rsidTr="007B260E">
        <w:tblPrEx>
          <w:tblW w:w="5000" w:type="pct"/>
          <w:tblLayout w:type="fixed"/>
          <w:tblLook w:val="04A0"/>
        </w:tblPrEx>
        <w:trPr>
          <w:trHeight w:val="288"/>
        </w:trPr>
        <w:tc>
          <w:tcPr>
            <w:tcW w:w="1612" w:type="pct"/>
            <w:shd w:val="clear" w:color="auto" w:fill="auto"/>
            <w:vAlign w:val="center"/>
            <w:hideMark/>
          </w:tcPr>
          <w:p w:rsidR="00015010" w:rsidRPr="007869C2" w:rsidP="007B260E" w14:paraId="774A8D89" w14:textId="77777777">
            <w:pPr>
              <w:spacing w:after="0"/>
              <w:rPr>
                <w:sz w:val="18"/>
                <w:szCs w:val="18"/>
              </w:rPr>
            </w:pPr>
            <w:r w:rsidRPr="007869C2">
              <w:rPr>
                <w:sz w:val="18"/>
                <w:szCs w:val="18"/>
              </w:rPr>
              <w:t>Submit one-time report</w:t>
            </w:r>
          </w:p>
        </w:tc>
        <w:tc>
          <w:tcPr>
            <w:tcW w:w="651" w:type="pct"/>
            <w:shd w:val="clear" w:color="auto" w:fill="auto"/>
            <w:vAlign w:val="center"/>
            <w:hideMark/>
          </w:tcPr>
          <w:p w:rsidR="00015010" w:rsidRPr="00B9417E" w:rsidP="007B260E" w14:paraId="0224B85C" w14:textId="77777777">
            <w:pPr>
              <w:spacing w:after="0"/>
              <w:jc w:val="right"/>
              <w:rPr>
                <w:sz w:val="18"/>
                <w:szCs w:val="18"/>
              </w:rPr>
            </w:pPr>
            <w:r w:rsidRPr="00B9417E">
              <w:rPr>
                <w:sz w:val="18"/>
                <w:szCs w:val="18"/>
              </w:rPr>
              <w:t>1</w:t>
            </w:r>
          </w:p>
        </w:tc>
        <w:tc>
          <w:tcPr>
            <w:tcW w:w="652" w:type="pct"/>
            <w:shd w:val="clear" w:color="auto" w:fill="auto"/>
            <w:vAlign w:val="center"/>
            <w:hideMark/>
          </w:tcPr>
          <w:p w:rsidR="00015010" w:rsidRPr="00B9417E" w:rsidP="007B260E" w14:paraId="55C15100" w14:textId="77777777">
            <w:pPr>
              <w:spacing w:after="0"/>
              <w:jc w:val="right"/>
              <w:rPr>
                <w:sz w:val="18"/>
                <w:szCs w:val="18"/>
              </w:rPr>
            </w:pPr>
            <w:r>
              <w:rPr>
                <w:sz w:val="18"/>
                <w:szCs w:val="18"/>
              </w:rPr>
              <w:t>1390</w:t>
            </w:r>
            <w:r w:rsidRPr="00B9417E">
              <w:rPr>
                <w:sz w:val="18"/>
                <w:szCs w:val="18"/>
              </w:rPr>
              <w:t>.00</w:t>
            </w:r>
          </w:p>
        </w:tc>
        <w:tc>
          <w:tcPr>
            <w:tcW w:w="696" w:type="pct"/>
          </w:tcPr>
          <w:p w:rsidR="00015010" w:rsidRPr="00B9417E" w:rsidP="007B260E" w14:paraId="744D53F3" w14:textId="77777777">
            <w:pPr>
              <w:spacing w:after="0"/>
              <w:jc w:val="right"/>
              <w:rPr>
                <w:sz w:val="18"/>
                <w:szCs w:val="18"/>
              </w:rPr>
            </w:pPr>
            <w:r>
              <w:rPr>
                <w:sz w:val="18"/>
                <w:szCs w:val="18"/>
              </w:rPr>
              <w:t>197.00</w:t>
            </w:r>
          </w:p>
        </w:tc>
        <w:tc>
          <w:tcPr>
            <w:tcW w:w="696" w:type="pct"/>
            <w:shd w:val="clear" w:color="auto" w:fill="auto"/>
            <w:vAlign w:val="center"/>
            <w:hideMark/>
          </w:tcPr>
          <w:p w:rsidR="00015010" w:rsidRPr="00B9417E" w:rsidP="007B260E" w14:paraId="559A9826" w14:textId="77777777">
            <w:pPr>
              <w:spacing w:after="0"/>
              <w:jc w:val="right"/>
              <w:rPr>
                <w:sz w:val="18"/>
                <w:szCs w:val="18"/>
              </w:rPr>
            </w:pPr>
            <w:r>
              <w:rPr>
                <w:sz w:val="18"/>
                <w:szCs w:val="18"/>
              </w:rPr>
              <w:t>1587</w:t>
            </w:r>
            <w:r w:rsidRPr="00B9417E">
              <w:rPr>
                <w:sz w:val="18"/>
                <w:szCs w:val="18"/>
              </w:rPr>
              <w:t>.0</w:t>
            </w:r>
          </w:p>
        </w:tc>
        <w:tc>
          <w:tcPr>
            <w:tcW w:w="693" w:type="pct"/>
            <w:shd w:val="clear" w:color="auto" w:fill="auto"/>
            <w:vAlign w:val="center"/>
            <w:hideMark/>
          </w:tcPr>
          <w:p w:rsidR="00015010" w:rsidRPr="00B9417E" w:rsidP="007B260E" w14:paraId="26CBC1D9" w14:textId="77777777">
            <w:pPr>
              <w:spacing w:after="0"/>
              <w:jc w:val="right"/>
              <w:rPr>
                <w:sz w:val="18"/>
                <w:szCs w:val="18"/>
              </w:rPr>
            </w:pPr>
            <w:r w:rsidRPr="00B9417E">
              <w:rPr>
                <w:sz w:val="18"/>
                <w:szCs w:val="18"/>
              </w:rPr>
              <w:t>$</w:t>
            </w:r>
            <w:r>
              <w:rPr>
                <w:sz w:val="18"/>
                <w:szCs w:val="18"/>
              </w:rPr>
              <w:t>196,456</w:t>
            </w:r>
          </w:p>
        </w:tc>
      </w:tr>
      <w:tr w14:paraId="40577EB2" w14:textId="77777777" w:rsidTr="007B260E">
        <w:tblPrEx>
          <w:tblW w:w="5000" w:type="pct"/>
          <w:tblLayout w:type="fixed"/>
          <w:tblLook w:val="04A0"/>
        </w:tblPrEx>
        <w:trPr>
          <w:trHeight w:val="288"/>
        </w:trPr>
        <w:tc>
          <w:tcPr>
            <w:tcW w:w="1612" w:type="pct"/>
            <w:shd w:val="clear" w:color="auto" w:fill="auto"/>
            <w:vAlign w:val="center"/>
            <w:hideMark/>
          </w:tcPr>
          <w:p w:rsidR="00015010" w:rsidRPr="007869C2" w:rsidP="007B260E" w14:paraId="15C30D0D" w14:textId="77777777">
            <w:pPr>
              <w:spacing w:after="0"/>
              <w:rPr>
                <w:sz w:val="18"/>
                <w:szCs w:val="18"/>
              </w:rPr>
            </w:pPr>
            <w:r w:rsidRPr="007869C2">
              <w:rPr>
                <w:sz w:val="18"/>
                <w:szCs w:val="18"/>
              </w:rPr>
              <w:t xml:space="preserve">Submit </w:t>
            </w:r>
            <w:r>
              <w:rPr>
                <w:sz w:val="18"/>
                <w:szCs w:val="18"/>
              </w:rPr>
              <w:t>annual</w:t>
            </w:r>
            <w:r w:rsidRPr="007869C2">
              <w:rPr>
                <w:sz w:val="18"/>
                <w:szCs w:val="18"/>
              </w:rPr>
              <w:t xml:space="preserve"> report</w:t>
            </w:r>
          </w:p>
        </w:tc>
        <w:tc>
          <w:tcPr>
            <w:tcW w:w="651" w:type="pct"/>
            <w:shd w:val="clear" w:color="auto" w:fill="auto"/>
            <w:vAlign w:val="center"/>
            <w:hideMark/>
          </w:tcPr>
          <w:p w:rsidR="00015010" w:rsidRPr="00B9417E" w:rsidP="007B260E" w14:paraId="76D87107" w14:textId="77777777">
            <w:pPr>
              <w:spacing w:after="0"/>
              <w:jc w:val="right"/>
              <w:rPr>
                <w:sz w:val="18"/>
                <w:szCs w:val="18"/>
              </w:rPr>
            </w:pPr>
            <w:r>
              <w:rPr>
                <w:sz w:val="18"/>
                <w:szCs w:val="18"/>
              </w:rPr>
              <w:t>1</w:t>
            </w:r>
          </w:p>
        </w:tc>
        <w:tc>
          <w:tcPr>
            <w:tcW w:w="652" w:type="pct"/>
            <w:shd w:val="clear" w:color="auto" w:fill="auto"/>
            <w:vAlign w:val="center"/>
            <w:hideMark/>
          </w:tcPr>
          <w:p w:rsidR="00015010" w:rsidRPr="00B9417E" w:rsidP="007B260E" w14:paraId="68751A6B" w14:textId="77777777">
            <w:pPr>
              <w:spacing w:after="0"/>
              <w:jc w:val="right"/>
              <w:rPr>
                <w:sz w:val="18"/>
                <w:szCs w:val="18"/>
              </w:rPr>
            </w:pPr>
            <w:r>
              <w:rPr>
                <w:sz w:val="18"/>
                <w:szCs w:val="18"/>
              </w:rPr>
              <w:t>72.7</w:t>
            </w:r>
            <w:r w:rsidRPr="00B9417E">
              <w:rPr>
                <w:sz w:val="18"/>
                <w:szCs w:val="18"/>
              </w:rPr>
              <w:t>0</w:t>
            </w:r>
          </w:p>
        </w:tc>
        <w:tc>
          <w:tcPr>
            <w:tcW w:w="696" w:type="pct"/>
          </w:tcPr>
          <w:p w:rsidR="00015010" w:rsidP="007B260E" w14:paraId="6F8364E4" w14:textId="77777777">
            <w:pPr>
              <w:spacing w:after="0"/>
              <w:jc w:val="right"/>
              <w:rPr>
                <w:sz w:val="18"/>
                <w:szCs w:val="18"/>
              </w:rPr>
            </w:pPr>
            <w:r>
              <w:rPr>
                <w:sz w:val="18"/>
                <w:szCs w:val="18"/>
              </w:rPr>
              <w:t>9.00</w:t>
            </w:r>
          </w:p>
        </w:tc>
        <w:tc>
          <w:tcPr>
            <w:tcW w:w="696" w:type="pct"/>
            <w:shd w:val="clear" w:color="auto" w:fill="auto"/>
            <w:vAlign w:val="center"/>
            <w:hideMark/>
          </w:tcPr>
          <w:p w:rsidR="00015010" w:rsidRPr="00B9417E" w:rsidP="007B260E" w14:paraId="1EC27FDB" w14:textId="77777777">
            <w:pPr>
              <w:spacing w:after="0"/>
              <w:jc w:val="right"/>
              <w:rPr>
                <w:sz w:val="18"/>
                <w:szCs w:val="18"/>
              </w:rPr>
            </w:pPr>
            <w:r>
              <w:rPr>
                <w:sz w:val="18"/>
                <w:szCs w:val="18"/>
              </w:rPr>
              <w:t>82.0</w:t>
            </w:r>
          </w:p>
        </w:tc>
        <w:tc>
          <w:tcPr>
            <w:tcW w:w="693" w:type="pct"/>
            <w:shd w:val="clear" w:color="auto" w:fill="auto"/>
            <w:vAlign w:val="center"/>
            <w:hideMark/>
          </w:tcPr>
          <w:p w:rsidR="00015010" w:rsidRPr="00B9417E" w:rsidP="007B260E" w14:paraId="26AFC64F" w14:textId="77777777">
            <w:pPr>
              <w:spacing w:after="0"/>
              <w:jc w:val="right"/>
              <w:rPr>
                <w:sz w:val="18"/>
                <w:szCs w:val="18"/>
              </w:rPr>
            </w:pPr>
            <w:r w:rsidRPr="00B9417E">
              <w:rPr>
                <w:sz w:val="18"/>
                <w:szCs w:val="18"/>
              </w:rPr>
              <w:t>$</w:t>
            </w:r>
            <w:r>
              <w:rPr>
                <w:sz w:val="18"/>
                <w:szCs w:val="18"/>
              </w:rPr>
              <w:t>10,174</w:t>
            </w:r>
          </w:p>
        </w:tc>
      </w:tr>
      <w:tr w14:paraId="7058C059" w14:textId="77777777" w:rsidTr="007B260E">
        <w:tblPrEx>
          <w:tblW w:w="5000" w:type="pct"/>
          <w:tblLayout w:type="fixed"/>
          <w:tblLook w:val="04A0"/>
        </w:tblPrEx>
        <w:trPr>
          <w:trHeight w:val="288"/>
        </w:trPr>
        <w:tc>
          <w:tcPr>
            <w:tcW w:w="1612" w:type="pct"/>
            <w:shd w:val="clear" w:color="auto" w:fill="auto"/>
            <w:vAlign w:val="center"/>
            <w:hideMark/>
          </w:tcPr>
          <w:p w:rsidR="00015010" w:rsidRPr="007869C2" w:rsidP="007B260E" w14:paraId="77A43CC4" w14:textId="77777777">
            <w:pPr>
              <w:spacing w:after="0"/>
              <w:rPr>
                <w:sz w:val="18"/>
                <w:szCs w:val="18"/>
              </w:rPr>
            </w:pPr>
            <w:r w:rsidRPr="00AF48A1">
              <w:rPr>
                <w:sz w:val="18"/>
                <w:szCs w:val="18"/>
              </w:rPr>
              <w:t>Submit significant process changes report</w:t>
            </w:r>
          </w:p>
        </w:tc>
        <w:tc>
          <w:tcPr>
            <w:tcW w:w="651" w:type="pct"/>
            <w:shd w:val="clear" w:color="auto" w:fill="auto"/>
            <w:vAlign w:val="center"/>
            <w:hideMark/>
          </w:tcPr>
          <w:p w:rsidR="00015010" w:rsidRPr="00B9417E" w:rsidP="007B260E" w14:paraId="72BC1DB1" w14:textId="77777777">
            <w:pPr>
              <w:spacing w:after="0"/>
              <w:jc w:val="right"/>
              <w:rPr>
                <w:sz w:val="18"/>
                <w:szCs w:val="18"/>
              </w:rPr>
            </w:pPr>
            <w:r>
              <w:rPr>
                <w:sz w:val="18"/>
                <w:szCs w:val="18"/>
              </w:rPr>
              <w:t>0.1</w:t>
            </w:r>
          </w:p>
        </w:tc>
        <w:tc>
          <w:tcPr>
            <w:tcW w:w="652" w:type="pct"/>
            <w:shd w:val="clear" w:color="auto" w:fill="auto"/>
            <w:vAlign w:val="center"/>
            <w:hideMark/>
          </w:tcPr>
          <w:p w:rsidR="00015010" w:rsidRPr="00B9417E" w:rsidP="007B260E" w14:paraId="35CBFE1F" w14:textId="77777777">
            <w:pPr>
              <w:spacing w:after="0"/>
              <w:jc w:val="right"/>
              <w:rPr>
                <w:sz w:val="18"/>
                <w:szCs w:val="18"/>
              </w:rPr>
            </w:pPr>
            <w:r>
              <w:rPr>
                <w:sz w:val="18"/>
                <w:szCs w:val="18"/>
              </w:rPr>
              <w:t>6.00</w:t>
            </w:r>
          </w:p>
        </w:tc>
        <w:tc>
          <w:tcPr>
            <w:tcW w:w="696" w:type="pct"/>
          </w:tcPr>
          <w:p w:rsidR="00015010" w:rsidRPr="00B9417E" w:rsidP="007B260E" w14:paraId="6DE0B79C" w14:textId="77777777">
            <w:pPr>
              <w:spacing w:after="0"/>
              <w:jc w:val="right"/>
              <w:rPr>
                <w:sz w:val="18"/>
                <w:szCs w:val="18"/>
              </w:rPr>
            </w:pPr>
            <w:r>
              <w:rPr>
                <w:sz w:val="18"/>
                <w:szCs w:val="18"/>
              </w:rPr>
              <w:t>0.00</w:t>
            </w:r>
          </w:p>
        </w:tc>
        <w:tc>
          <w:tcPr>
            <w:tcW w:w="696" w:type="pct"/>
            <w:shd w:val="clear" w:color="auto" w:fill="auto"/>
            <w:vAlign w:val="center"/>
            <w:hideMark/>
          </w:tcPr>
          <w:p w:rsidR="00015010" w:rsidRPr="00B9417E" w:rsidP="007B260E" w14:paraId="60F0DF65" w14:textId="77777777">
            <w:pPr>
              <w:spacing w:after="0"/>
              <w:jc w:val="right"/>
              <w:rPr>
                <w:sz w:val="18"/>
                <w:szCs w:val="18"/>
              </w:rPr>
            </w:pPr>
            <w:r>
              <w:rPr>
                <w:sz w:val="18"/>
                <w:szCs w:val="18"/>
              </w:rPr>
              <w:t>0.7</w:t>
            </w:r>
          </w:p>
        </w:tc>
        <w:tc>
          <w:tcPr>
            <w:tcW w:w="693" w:type="pct"/>
            <w:shd w:val="clear" w:color="auto" w:fill="auto"/>
            <w:vAlign w:val="center"/>
            <w:hideMark/>
          </w:tcPr>
          <w:p w:rsidR="00015010" w:rsidRPr="00B9417E" w:rsidP="007B260E" w14:paraId="13B70C1F" w14:textId="77777777">
            <w:pPr>
              <w:spacing w:after="0"/>
              <w:jc w:val="right"/>
              <w:rPr>
                <w:sz w:val="18"/>
                <w:szCs w:val="18"/>
              </w:rPr>
            </w:pPr>
            <w:r w:rsidRPr="00B9417E">
              <w:rPr>
                <w:sz w:val="18"/>
                <w:szCs w:val="18"/>
              </w:rPr>
              <w:t>$</w:t>
            </w:r>
            <w:r>
              <w:rPr>
                <w:sz w:val="18"/>
                <w:szCs w:val="18"/>
              </w:rPr>
              <w:t>85</w:t>
            </w:r>
          </w:p>
        </w:tc>
      </w:tr>
      <w:tr w14:paraId="4F6149E6" w14:textId="77777777" w:rsidTr="007B260E">
        <w:tblPrEx>
          <w:tblW w:w="5000" w:type="pct"/>
          <w:tblLayout w:type="fixed"/>
          <w:tblLook w:val="04A0"/>
        </w:tblPrEx>
        <w:trPr>
          <w:trHeight w:val="288"/>
        </w:trPr>
        <w:tc>
          <w:tcPr>
            <w:tcW w:w="1612" w:type="pct"/>
            <w:shd w:val="clear" w:color="auto" w:fill="auto"/>
            <w:vAlign w:val="center"/>
          </w:tcPr>
          <w:p w:rsidR="00015010" w:rsidRPr="00AF48A1" w:rsidP="007B260E" w14:paraId="17D8144A" w14:textId="77777777">
            <w:pPr>
              <w:spacing w:after="0"/>
              <w:rPr>
                <w:sz w:val="18"/>
                <w:szCs w:val="18"/>
              </w:rPr>
            </w:pPr>
            <w:r w:rsidRPr="00E41B99">
              <w:rPr>
                <w:sz w:val="18"/>
                <w:szCs w:val="18"/>
              </w:rPr>
              <w:t>Maintain records</w:t>
            </w:r>
          </w:p>
        </w:tc>
        <w:tc>
          <w:tcPr>
            <w:tcW w:w="651" w:type="pct"/>
            <w:shd w:val="clear" w:color="auto" w:fill="auto"/>
            <w:vAlign w:val="center"/>
          </w:tcPr>
          <w:p w:rsidR="00015010" w:rsidP="007B260E" w14:paraId="578F1B65" w14:textId="77777777">
            <w:pPr>
              <w:spacing w:after="0"/>
              <w:jc w:val="right"/>
              <w:rPr>
                <w:sz w:val="18"/>
                <w:szCs w:val="18"/>
              </w:rPr>
            </w:pPr>
            <w:r>
              <w:rPr>
                <w:sz w:val="18"/>
                <w:szCs w:val="18"/>
              </w:rPr>
              <w:t>1</w:t>
            </w:r>
          </w:p>
        </w:tc>
        <w:tc>
          <w:tcPr>
            <w:tcW w:w="652" w:type="pct"/>
            <w:shd w:val="clear" w:color="auto" w:fill="auto"/>
            <w:vAlign w:val="center"/>
          </w:tcPr>
          <w:p w:rsidR="00015010" w:rsidP="007B260E" w14:paraId="281ADA98" w14:textId="77777777">
            <w:pPr>
              <w:spacing w:after="0"/>
              <w:jc w:val="right"/>
              <w:rPr>
                <w:sz w:val="18"/>
                <w:szCs w:val="18"/>
              </w:rPr>
            </w:pPr>
            <w:r>
              <w:rPr>
                <w:sz w:val="18"/>
                <w:szCs w:val="18"/>
              </w:rPr>
              <w:t>0.00</w:t>
            </w:r>
          </w:p>
        </w:tc>
        <w:tc>
          <w:tcPr>
            <w:tcW w:w="696" w:type="pct"/>
          </w:tcPr>
          <w:p w:rsidR="00015010" w:rsidP="007B260E" w14:paraId="2940B816" w14:textId="77777777">
            <w:pPr>
              <w:spacing w:after="0"/>
              <w:jc w:val="right"/>
              <w:rPr>
                <w:sz w:val="18"/>
                <w:szCs w:val="18"/>
              </w:rPr>
            </w:pPr>
            <w:r>
              <w:rPr>
                <w:sz w:val="18"/>
                <w:szCs w:val="18"/>
              </w:rPr>
              <w:t>42.00</w:t>
            </w:r>
          </w:p>
        </w:tc>
        <w:tc>
          <w:tcPr>
            <w:tcW w:w="696" w:type="pct"/>
            <w:shd w:val="clear" w:color="auto" w:fill="auto"/>
            <w:vAlign w:val="center"/>
          </w:tcPr>
          <w:p w:rsidR="00015010" w:rsidP="007B260E" w14:paraId="32E2E6AE" w14:textId="77777777">
            <w:pPr>
              <w:spacing w:after="0"/>
              <w:jc w:val="right"/>
              <w:rPr>
                <w:sz w:val="18"/>
                <w:szCs w:val="18"/>
              </w:rPr>
            </w:pPr>
            <w:r>
              <w:rPr>
                <w:sz w:val="18"/>
                <w:szCs w:val="18"/>
              </w:rPr>
              <w:t>42.0</w:t>
            </w:r>
          </w:p>
        </w:tc>
        <w:tc>
          <w:tcPr>
            <w:tcW w:w="693" w:type="pct"/>
            <w:shd w:val="clear" w:color="auto" w:fill="auto"/>
            <w:vAlign w:val="center"/>
          </w:tcPr>
          <w:p w:rsidR="00015010" w:rsidRPr="00B9417E" w:rsidP="007B260E" w14:paraId="45B86E03" w14:textId="77777777">
            <w:pPr>
              <w:spacing w:after="0"/>
              <w:jc w:val="right"/>
              <w:rPr>
                <w:sz w:val="18"/>
                <w:szCs w:val="18"/>
              </w:rPr>
            </w:pPr>
            <w:r w:rsidRPr="00E41B99">
              <w:rPr>
                <w:sz w:val="18"/>
                <w:szCs w:val="18"/>
              </w:rPr>
              <w:t>$</w:t>
            </w:r>
            <w:r>
              <w:rPr>
                <w:sz w:val="18"/>
                <w:szCs w:val="18"/>
              </w:rPr>
              <w:t>4,210</w:t>
            </w:r>
          </w:p>
        </w:tc>
      </w:tr>
    </w:tbl>
    <w:p w:rsidR="00015010" w:rsidP="00015010" w14:paraId="20B2B908" w14:textId="77777777"/>
    <w:p w:rsidR="00015010" w:rsidRPr="00015010" w:rsidP="00015010" w14:paraId="262E6506" w14:textId="016F4D5B">
      <w:pPr>
        <w:rPr>
          <w:u w:val="single"/>
        </w:rPr>
      </w:pPr>
      <w:r w:rsidRPr="00015010">
        <w:rPr>
          <w:u w:val="single"/>
        </w:rPr>
        <w:t>Estimating the Respondent Universe and Total Burden Costs</w:t>
      </w:r>
    </w:p>
    <w:p w:rsidR="00015010" w:rsidP="00015010" w14:paraId="2DFC2117" w14:textId="037121E8">
      <w:r w:rsidRPr="00AC0B0E">
        <w:t xml:space="preserve">The respondent universe for this ICR is based on a review of data available </w:t>
      </w:r>
      <w:r>
        <w:t xml:space="preserve">from past reporting to EPA under the Clean Air Act, including </w:t>
      </w:r>
      <w:r w:rsidRPr="00AC0B0E">
        <w:t>in the ODSTS</w:t>
      </w:r>
      <w:r>
        <w:t xml:space="preserve">. </w:t>
      </w:r>
      <w:r w:rsidRPr="00AC0B0E">
        <w:t xml:space="preserve">In total, EPA </w:t>
      </w:r>
      <w:r>
        <w:t>expects there are no</w:t>
      </w:r>
      <w:r w:rsidRPr="00AC0B0E">
        <w:t xml:space="preserve"> unique respondents subject to the information collection requirements outlined in this </w:t>
      </w:r>
      <w:r>
        <w:t>ICR due to the proposed incremental changes</w:t>
      </w:r>
      <w:r w:rsidRPr="00AC0B0E">
        <w:t xml:space="preserve">. This estimate </w:t>
      </w:r>
      <w:r w:rsidRPr="00AC0B0E">
        <w:t>takes into account</w:t>
      </w:r>
      <w:r w:rsidRPr="00AC0B0E">
        <w:t xml:space="preserve"> the fact that the respondent types are not mutually exclusive, meaning a given respondent may be subject to more than one information collection activity. </w:t>
      </w:r>
    </w:p>
    <w:p w:rsidR="00015010" w:rsidP="00015010" w14:paraId="3C8E333E" w14:textId="5FC3D7B9">
      <w:r>
        <w:fldChar w:fldCharType="begin"/>
      </w:r>
      <w:r>
        <w:instrText xml:space="preserve"> REF _Ref69842391 \h </w:instrText>
      </w:r>
      <w:r>
        <w:fldChar w:fldCharType="separate"/>
      </w:r>
      <w:r>
        <w:t xml:space="preserve">Table </w:t>
      </w:r>
      <w:r w:rsidR="008533CD">
        <w:t>I</w:t>
      </w:r>
      <w:r>
        <w:rPr>
          <w:noProof/>
        </w:rPr>
        <w:t>V</w:t>
      </w:r>
      <w:r>
        <w:fldChar w:fldCharType="end"/>
      </w:r>
      <w:r w:rsidRPr="00672C85">
        <w:t xml:space="preserve"> summarizes </w:t>
      </w:r>
      <w:r>
        <w:t xml:space="preserve">the </w:t>
      </w:r>
      <w:r w:rsidRPr="00672C85">
        <w:t xml:space="preserve">total </w:t>
      </w:r>
      <w:r>
        <w:t xml:space="preserve">number of respondents per activity per year as well as total burden hours and costs per year. The number of respondents per activity per year varies across the three years covered by this ICR due to the one-time reporting requirement and anticipated requests for extension. Total </w:t>
      </w:r>
      <w:r w:rsidRPr="00672C85">
        <w:t xml:space="preserve">respondent burden hours and costs are derived by multiplying the number of respondents per activity by total hours and total costs </w:t>
      </w:r>
      <w:r>
        <w:t xml:space="preserve">per respondent per year (see </w:t>
      </w:r>
      <w:r>
        <w:fldChar w:fldCharType="begin"/>
      </w:r>
      <w:r>
        <w:instrText xml:space="preserve"> REF _Ref68181412 \h  \* MERGEFORMAT </w:instrText>
      </w:r>
      <w:r>
        <w:fldChar w:fldCharType="separate"/>
      </w:r>
      <w:r w:rsidRPr="00261E41">
        <w:t>Table III</w:t>
      </w:r>
      <w:r>
        <w:fldChar w:fldCharType="end"/>
      </w:r>
      <w:r>
        <w:t xml:space="preserve">).  EPA has not deducted any respondent burden that may already be covered under the GHGRP’s ICR (2060-0629). </w:t>
      </w:r>
    </w:p>
    <w:p w:rsidR="00015010" w:rsidP="00015010" w14:paraId="36509ABB" w14:textId="1A4761ED">
      <w:pPr>
        <w:pStyle w:val="Caption"/>
        <w:keepNext/>
      </w:pPr>
      <w:bookmarkStart w:id="23" w:name="_Ref69842391"/>
      <w:r>
        <w:t xml:space="preserve">Table </w:t>
      </w:r>
      <w:r w:rsidR="008533CD">
        <w:t>I</w:t>
      </w:r>
      <w:r>
        <w:fldChar w:fldCharType="begin"/>
      </w:r>
      <w:r>
        <w:instrText xml:space="preserve"> SEQ Table \* ROMAN </w:instrText>
      </w:r>
      <w:r>
        <w:fldChar w:fldCharType="separate"/>
      </w:r>
      <w:r>
        <w:rPr>
          <w:noProof/>
        </w:rPr>
        <w:t>V</w:t>
      </w:r>
      <w:r>
        <w:rPr>
          <w:noProof/>
        </w:rPr>
        <w:fldChar w:fldCharType="end"/>
      </w:r>
      <w:bookmarkEnd w:id="23"/>
      <w:r>
        <w:t>. Respondent Burden and Cost Table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58" w:type="dxa"/>
        </w:tblCellMar>
        <w:tblLook w:val="04A0"/>
      </w:tblPr>
      <w:tblGrid>
        <w:gridCol w:w="3330"/>
        <w:gridCol w:w="540"/>
        <w:gridCol w:w="540"/>
        <w:gridCol w:w="535"/>
        <w:gridCol w:w="590"/>
        <w:gridCol w:w="630"/>
        <w:gridCol w:w="598"/>
        <w:gridCol w:w="972"/>
        <w:gridCol w:w="810"/>
        <w:gridCol w:w="810"/>
      </w:tblGrid>
      <w:tr w14:paraId="316AE0E0" w14:textId="77777777" w:rsidTr="007B260E">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58" w:type="dxa"/>
          </w:tblCellMar>
          <w:tblLook w:val="04A0"/>
        </w:tblPrEx>
        <w:trPr>
          <w:trHeight w:val="557"/>
          <w:tblHeader/>
        </w:trPr>
        <w:tc>
          <w:tcPr>
            <w:tcW w:w="3330" w:type="dxa"/>
            <w:vMerge w:val="restart"/>
            <w:shd w:val="clear" w:color="000000" w:fill="F2F2F2"/>
            <w:vAlign w:val="center"/>
            <w:hideMark/>
          </w:tcPr>
          <w:p w:rsidR="00015010" w:rsidRPr="007869C2" w:rsidP="007B260E" w14:paraId="4D4CBD2B" w14:textId="77777777">
            <w:pPr>
              <w:spacing w:after="0"/>
              <w:jc w:val="center"/>
              <w:rPr>
                <w:b/>
                <w:bCs/>
                <w:color w:val="000000"/>
                <w:sz w:val="18"/>
                <w:szCs w:val="18"/>
              </w:rPr>
            </w:pPr>
            <w:r w:rsidRPr="007869C2">
              <w:rPr>
                <w:b/>
                <w:bCs/>
                <w:color w:val="000000"/>
                <w:sz w:val="18"/>
                <w:szCs w:val="18"/>
              </w:rPr>
              <w:t xml:space="preserve"> Activity </w:t>
            </w:r>
          </w:p>
        </w:tc>
        <w:tc>
          <w:tcPr>
            <w:tcW w:w="1615" w:type="dxa"/>
            <w:gridSpan w:val="3"/>
            <w:shd w:val="clear" w:color="000000" w:fill="F2F2F2"/>
            <w:vAlign w:val="center"/>
          </w:tcPr>
          <w:p w:rsidR="00015010" w:rsidRPr="007869C2" w:rsidP="007B260E" w14:paraId="1401EE2B" w14:textId="77777777">
            <w:pPr>
              <w:spacing w:after="0"/>
              <w:jc w:val="center"/>
              <w:rPr>
                <w:b/>
                <w:bCs/>
                <w:color w:val="000000"/>
                <w:sz w:val="18"/>
                <w:szCs w:val="18"/>
              </w:rPr>
            </w:pPr>
            <w:r w:rsidRPr="00C21403">
              <w:rPr>
                <w:b/>
                <w:bCs/>
                <w:color w:val="000000"/>
                <w:sz w:val="18"/>
                <w:szCs w:val="18"/>
              </w:rPr>
              <w:t>Respondents per Activity per Year</w:t>
            </w:r>
          </w:p>
        </w:tc>
        <w:tc>
          <w:tcPr>
            <w:tcW w:w="1818" w:type="dxa"/>
            <w:gridSpan w:val="3"/>
            <w:shd w:val="clear" w:color="000000" w:fill="F2F2F2"/>
            <w:vAlign w:val="center"/>
          </w:tcPr>
          <w:p w:rsidR="00015010" w:rsidRPr="007869C2" w:rsidP="007B260E" w14:paraId="291AAF67" w14:textId="77777777">
            <w:pPr>
              <w:spacing w:after="0"/>
              <w:jc w:val="center"/>
              <w:rPr>
                <w:b/>
                <w:bCs/>
                <w:color w:val="000000"/>
                <w:sz w:val="18"/>
                <w:szCs w:val="18"/>
              </w:rPr>
            </w:pPr>
            <w:r w:rsidRPr="00C21403">
              <w:rPr>
                <w:b/>
                <w:bCs/>
                <w:color w:val="000000"/>
                <w:sz w:val="18"/>
                <w:szCs w:val="18"/>
              </w:rPr>
              <w:t>Total Hours per Year</w:t>
            </w:r>
          </w:p>
        </w:tc>
        <w:tc>
          <w:tcPr>
            <w:tcW w:w="2592" w:type="dxa"/>
            <w:gridSpan w:val="3"/>
            <w:shd w:val="clear" w:color="000000" w:fill="F2F2F2"/>
            <w:vAlign w:val="center"/>
          </w:tcPr>
          <w:p w:rsidR="00015010" w:rsidRPr="007869C2" w:rsidP="007B260E" w14:paraId="7FC7DCB4" w14:textId="77777777">
            <w:pPr>
              <w:spacing w:after="0"/>
              <w:jc w:val="center"/>
              <w:rPr>
                <w:b/>
                <w:bCs/>
                <w:color w:val="000000"/>
                <w:sz w:val="18"/>
                <w:szCs w:val="18"/>
              </w:rPr>
            </w:pPr>
            <w:r w:rsidRPr="00C21403">
              <w:rPr>
                <w:b/>
                <w:bCs/>
                <w:color w:val="000000"/>
                <w:sz w:val="18"/>
                <w:szCs w:val="18"/>
              </w:rPr>
              <w:t>Total Cost per Year</w:t>
            </w:r>
          </w:p>
        </w:tc>
      </w:tr>
      <w:tr w14:paraId="71D3E2DE" w14:textId="77777777" w:rsidTr="007B260E">
        <w:tblPrEx>
          <w:tblW w:w="9355" w:type="dxa"/>
          <w:tblLayout w:type="fixed"/>
          <w:tblCellMar>
            <w:left w:w="29" w:type="dxa"/>
            <w:right w:w="58" w:type="dxa"/>
          </w:tblCellMar>
          <w:tblLook w:val="04A0"/>
        </w:tblPrEx>
        <w:trPr>
          <w:trHeight w:val="323"/>
          <w:tblHeader/>
        </w:trPr>
        <w:tc>
          <w:tcPr>
            <w:tcW w:w="3330" w:type="dxa"/>
            <w:vMerge/>
            <w:vAlign w:val="center"/>
            <w:hideMark/>
          </w:tcPr>
          <w:p w:rsidR="00015010" w:rsidRPr="007869C2" w:rsidP="007B260E" w14:paraId="6C41B209" w14:textId="77777777">
            <w:pPr>
              <w:spacing w:after="0"/>
              <w:rPr>
                <w:b/>
                <w:bCs/>
                <w:color w:val="000000"/>
                <w:sz w:val="18"/>
                <w:szCs w:val="18"/>
              </w:rPr>
            </w:pPr>
          </w:p>
        </w:tc>
        <w:tc>
          <w:tcPr>
            <w:tcW w:w="540" w:type="dxa"/>
            <w:shd w:val="clear" w:color="auto" w:fill="F2F2F2" w:themeFill="background1" w:themeFillShade="F2"/>
            <w:vAlign w:val="center"/>
          </w:tcPr>
          <w:p w:rsidR="00015010" w:rsidRPr="00C55072" w:rsidP="007B260E" w14:paraId="2F57FA1B" w14:textId="77777777">
            <w:pPr>
              <w:spacing w:after="0"/>
              <w:jc w:val="center"/>
              <w:rPr>
                <w:b/>
                <w:bCs/>
                <w:sz w:val="18"/>
                <w:szCs w:val="18"/>
              </w:rPr>
            </w:pPr>
            <w:r w:rsidRPr="00C55072">
              <w:rPr>
                <w:b/>
                <w:bCs/>
                <w:sz w:val="18"/>
                <w:szCs w:val="18"/>
              </w:rPr>
              <w:t>Y1</w:t>
            </w:r>
          </w:p>
        </w:tc>
        <w:tc>
          <w:tcPr>
            <w:tcW w:w="540" w:type="dxa"/>
            <w:shd w:val="clear" w:color="auto" w:fill="F2F2F2" w:themeFill="background1" w:themeFillShade="F2"/>
            <w:vAlign w:val="center"/>
          </w:tcPr>
          <w:p w:rsidR="00015010" w:rsidRPr="00C55072" w:rsidP="007B260E" w14:paraId="5D22BAF1" w14:textId="77777777">
            <w:pPr>
              <w:spacing w:after="0"/>
              <w:jc w:val="center"/>
              <w:rPr>
                <w:b/>
                <w:bCs/>
                <w:sz w:val="18"/>
                <w:szCs w:val="18"/>
              </w:rPr>
            </w:pPr>
            <w:r w:rsidRPr="00C55072">
              <w:rPr>
                <w:b/>
                <w:bCs/>
                <w:sz w:val="18"/>
                <w:szCs w:val="18"/>
              </w:rPr>
              <w:t>Y2</w:t>
            </w:r>
          </w:p>
        </w:tc>
        <w:tc>
          <w:tcPr>
            <w:tcW w:w="535" w:type="dxa"/>
            <w:shd w:val="clear" w:color="auto" w:fill="F2F2F2" w:themeFill="background1" w:themeFillShade="F2"/>
            <w:vAlign w:val="center"/>
          </w:tcPr>
          <w:p w:rsidR="00015010" w:rsidRPr="00C55072" w:rsidP="007B260E" w14:paraId="186AA74A" w14:textId="77777777">
            <w:pPr>
              <w:spacing w:after="0"/>
              <w:jc w:val="center"/>
              <w:rPr>
                <w:b/>
                <w:bCs/>
                <w:sz w:val="18"/>
                <w:szCs w:val="18"/>
              </w:rPr>
            </w:pPr>
            <w:r w:rsidRPr="00C55072">
              <w:rPr>
                <w:b/>
                <w:bCs/>
                <w:sz w:val="18"/>
                <w:szCs w:val="18"/>
              </w:rPr>
              <w:t>Y3</w:t>
            </w:r>
          </w:p>
        </w:tc>
        <w:tc>
          <w:tcPr>
            <w:tcW w:w="590" w:type="dxa"/>
            <w:shd w:val="clear" w:color="auto" w:fill="F2F2F2" w:themeFill="background1" w:themeFillShade="F2"/>
            <w:vAlign w:val="center"/>
          </w:tcPr>
          <w:p w:rsidR="00015010" w:rsidRPr="00C55072" w:rsidP="007B260E" w14:paraId="4EA07F66" w14:textId="77777777">
            <w:pPr>
              <w:spacing w:after="0"/>
              <w:jc w:val="center"/>
              <w:rPr>
                <w:b/>
                <w:bCs/>
                <w:sz w:val="18"/>
                <w:szCs w:val="18"/>
              </w:rPr>
            </w:pPr>
            <w:r w:rsidRPr="00C55072">
              <w:rPr>
                <w:b/>
                <w:bCs/>
                <w:sz w:val="18"/>
                <w:szCs w:val="18"/>
              </w:rPr>
              <w:t>Y1</w:t>
            </w:r>
          </w:p>
        </w:tc>
        <w:tc>
          <w:tcPr>
            <w:tcW w:w="630" w:type="dxa"/>
            <w:shd w:val="clear" w:color="auto" w:fill="F2F2F2" w:themeFill="background1" w:themeFillShade="F2"/>
            <w:vAlign w:val="center"/>
          </w:tcPr>
          <w:p w:rsidR="00015010" w:rsidRPr="00C55072" w:rsidP="007B260E" w14:paraId="7E444AC3" w14:textId="77777777">
            <w:pPr>
              <w:spacing w:after="0"/>
              <w:jc w:val="center"/>
              <w:rPr>
                <w:b/>
                <w:bCs/>
                <w:sz w:val="18"/>
                <w:szCs w:val="18"/>
              </w:rPr>
            </w:pPr>
            <w:r w:rsidRPr="00C55072">
              <w:rPr>
                <w:b/>
                <w:bCs/>
                <w:sz w:val="18"/>
                <w:szCs w:val="18"/>
              </w:rPr>
              <w:t>Y2</w:t>
            </w:r>
          </w:p>
        </w:tc>
        <w:tc>
          <w:tcPr>
            <w:tcW w:w="598" w:type="dxa"/>
            <w:shd w:val="clear" w:color="auto" w:fill="F2F2F2" w:themeFill="background1" w:themeFillShade="F2"/>
            <w:vAlign w:val="center"/>
          </w:tcPr>
          <w:p w:rsidR="00015010" w:rsidRPr="00C55072" w:rsidP="007B260E" w14:paraId="1CF50B76" w14:textId="77777777">
            <w:pPr>
              <w:spacing w:after="0"/>
              <w:jc w:val="center"/>
              <w:rPr>
                <w:b/>
                <w:bCs/>
                <w:sz w:val="18"/>
                <w:szCs w:val="18"/>
              </w:rPr>
            </w:pPr>
            <w:r w:rsidRPr="00C55072">
              <w:rPr>
                <w:b/>
                <w:bCs/>
                <w:sz w:val="18"/>
                <w:szCs w:val="18"/>
              </w:rPr>
              <w:t>Y3</w:t>
            </w:r>
          </w:p>
        </w:tc>
        <w:tc>
          <w:tcPr>
            <w:tcW w:w="972" w:type="dxa"/>
            <w:shd w:val="clear" w:color="auto" w:fill="F2F2F2" w:themeFill="background1" w:themeFillShade="F2"/>
            <w:vAlign w:val="center"/>
          </w:tcPr>
          <w:p w:rsidR="00015010" w:rsidRPr="00C55072" w:rsidP="007B260E" w14:paraId="7FC561A4" w14:textId="77777777">
            <w:pPr>
              <w:spacing w:after="0"/>
              <w:jc w:val="center"/>
              <w:rPr>
                <w:b/>
                <w:bCs/>
                <w:sz w:val="18"/>
                <w:szCs w:val="18"/>
              </w:rPr>
            </w:pPr>
            <w:r w:rsidRPr="00C55072">
              <w:rPr>
                <w:b/>
                <w:bCs/>
                <w:sz w:val="18"/>
                <w:szCs w:val="18"/>
              </w:rPr>
              <w:t>Y1</w:t>
            </w:r>
          </w:p>
        </w:tc>
        <w:tc>
          <w:tcPr>
            <w:tcW w:w="810" w:type="dxa"/>
            <w:shd w:val="clear" w:color="auto" w:fill="F2F2F2" w:themeFill="background1" w:themeFillShade="F2"/>
            <w:vAlign w:val="center"/>
          </w:tcPr>
          <w:p w:rsidR="00015010" w:rsidRPr="00C55072" w:rsidP="007B260E" w14:paraId="523FBE1F" w14:textId="77777777">
            <w:pPr>
              <w:spacing w:after="0"/>
              <w:jc w:val="center"/>
              <w:rPr>
                <w:b/>
                <w:bCs/>
                <w:sz w:val="18"/>
                <w:szCs w:val="18"/>
              </w:rPr>
            </w:pPr>
            <w:r w:rsidRPr="00C55072">
              <w:rPr>
                <w:b/>
                <w:bCs/>
                <w:sz w:val="18"/>
                <w:szCs w:val="18"/>
              </w:rPr>
              <w:t>Y2</w:t>
            </w:r>
          </w:p>
        </w:tc>
        <w:tc>
          <w:tcPr>
            <w:tcW w:w="810" w:type="dxa"/>
            <w:shd w:val="clear" w:color="auto" w:fill="F2F2F2" w:themeFill="background1" w:themeFillShade="F2"/>
            <w:vAlign w:val="center"/>
          </w:tcPr>
          <w:p w:rsidR="00015010" w:rsidRPr="00C55072" w:rsidP="007B260E" w14:paraId="726D9AAD" w14:textId="77777777">
            <w:pPr>
              <w:spacing w:after="0"/>
              <w:jc w:val="center"/>
              <w:rPr>
                <w:b/>
                <w:bCs/>
                <w:sz w:val="18"/>
                <w:szCs w:val="18"/>
              </w:rPr>
            </w:pPr>
            <w:r w:rsidRPr="00C55072">
              <w:rPr>
                <w:b/>
                <w:bCs/>
                <w:sz w:val="18"/>
                <w:szCs w:val="18"/>
              </w:rPr>
              <w:t>Y3</w:t>
            </w:r>
          </w:p>
        </w:tc>
      </w:tr>
      <w:tr w14:paraId="2627A8FA" w14:textId="77777777" w:rsidTr="007B260E">
        <w:tblPrEx>
          <w:tblW w:w="9355" w:type="dxa"/>
          <w:tblLayout w:type="fixed"/>
          <w:tblCellMar>
            <w:left w:w="29" w:type="dxa"/>
            <w:right w:w="58" w:type="dxa"/>
          </w:tblCellMar>
          <w:tblLook w:val="04A0"/>
        </w:tblPrEx>
        <w:trPr>
          <w:trHeight w:val="288"/>
        </w:trPr>
        <w:tc>
          <w:tcPr>
            <w:tcW w:w="3330" w:type="dxa"/>
            <w:shd w:val="clear" w:color="auto" w:fill="auto"/>
            <w:vAlign w:val="center"/>
            <w:hideMark/>
          </w:tcPr>
          <w:p w:rsidR="00015010" w:rsidRPr="007869C2" w:rsidP="007B260E" w14:paraId="68B360F2" w14:textId="77777777">
            <w:pPr>
              <w:spacing w:after="0"/>
              <w:rPr>
                <w:sz w:val="18"/>
                <w:szCs w:val="18"/>
              </w:rPr>
            </w:pPr>
            <w:r w:rsidRPr="007869C2">
              <w:rPr>
                <w:sz w:val="18"/>
                <w:szCs w:val="18"/>
              </w:rPr>
              <w:t>Submit one-time report</w:t>
            </w:r>
          </w:p>
        </w:tc>
        <w:tc>
          <w:tcPr>
            <w:tcW w:w="540" w:type="dxa"/>
            <w:vAlign w:val="center"/>
          </w:tcPr>
          <w:p w:rsidR="00015010" w:rsidRPr="00C969D2" w:rsidP="007B260E" w14:paraId="449B1F52" w14:textId="77777777">
            <w:pPr>
              <w:spacing w:after="0"/>
              <w:jc w:val="right"/>
              <w:rPr>
                <w:sz w:val="18"/>
                <w:szCs w:val="18"/>
              </w:rPr>
            </w:pPr>
            <w:r>
              <w:rPr>
                <w:sz w:val="18"/>
                <w:szCs w:val="18"/>
              </w:rPr>
              <w:t>9</w:t>
            </w:r>
          </w:p>
        </w:tc>
        <w:tc>
          <w:tcPr>
            <w:tcW w:w="540" w:type="dxa"/>
            <w:vAlign w:val="center"/>
          </w:tcPr>
          <w:p w:rsidR="00015010" w:rsidRPr="00C969D2" w:rsidP="007B260E" w14:paraId="0E0D6CDA" w14:textId="77777777">
            <w:pPr>
              <w:spacing w:after="0"/>
              <w:jc w:val="right"/>
              <w:rPr>
                <w:sz w:val="18"/>
                <w:szCs w:val="18"/>
              </w:rPr>
            </w:pPr>
            <w:r>
              <w:rPr>
                <w:sz w:val="18"/>
                <w:szCs w:val="18"/>
              </w:rPr>
              <w:t>0</w:t>
            </w:r>
          </w:p>
        </w:tc>
        <w:tc>
          <w:tcPr>
            <w:tcW w:w="535" w:type="dxa"/>
            <w:vAlign w:val="center"/>
          </w:tcPr>
          <w:p w:rsidR="00015010" w:rsidRPr="00C969D2" w:rsidP="007B260E" w14:paraId="3415956D" w14:textId="77777777">
            <w:pPr>
              <w:spacing w:after="0"/>
              <w:jc w:val="right"/>
              <w:rPr>
                <w:sz w:val="18"/>
                <w:szCs w:val="18"/>
              </w:rPr>
            </w:pPr>
            <w:r>
              <w:rPr>
                <w:sz w:val="18"/>
                <w:szCs w:val="18"/>
              </w:rPr>
              <w:t>0</w:t>
            </w:r>
          </w:p>
        </w:tc>
        <w:tc>
          <w:tcPr>
            <w:tcW w:w="590" w:type="dxa"/>
            <w:vAlign w:val="center"/>
          </w:tcPr>
          <w:p w:rsidR="00015010" w:rsidRPr="00C969D2" w:rsidP="007B260E" w14:paraId="3B125336" w14:textId="77777777">
            <w:pPr>
              <w:spacing w:after="0"/>
              <w:jc w:val="right"/>
              <w:rPr>
                <w:sz w:val="18"/>
                <w:szCs w:val="18"/>
              </w:rPr>
            </w:pPr>
            <w:r w:rsidRPr="0007610A">
              <w:rPr>
                <w:sz w:val="18"/>
                <w:szCs w:val="18"/>
              </w:rPr>
              <w:t>14,283</w:t>
            </w:r>
          </w:p>
        </w:tc>
        <w:tc>
          <w:tcPr>
            <w:tcW w:w="630" w:type="dxa"/>
            <w:vAlign w:val="center"/>
          </w:tcPr>
          <w:p w:rsidR="00015010" w:rsidRPr="00C969D2" w:rsidP="007B260E" w14:paraId="490F0593" w14:textId="77777777">
            <w:pPr>
              <w:spacing w:after="0"/>
              <w:jc w:val="right"/>
              <w:rPr>
                <w:sz w:val="18"/>
                <w:szCs w:val="18"/>
              </w:rPr>
            </w:pPr>
            <w:r w:rsidRPr="00C969D2">
              <w:rPr>
                <w:sz w:val="18"/>
                <w:szCs w:val="18"/>
              </w:rPr>
              <w:t>0</w:t>
            </w:r>
          </w:p>
        </w:tc>
        <w:tc>
          <w:tcPr>
            <w:tcW w:w="598" w:type="dxa"/>
            <w:vAlign w:val="center"/>
          </w:tcPr>
          <w:p w:rsidR="00015010" w:rsidRPr="00C969D2" w:rsidP="007B260E" w14:paraId="6055B2C4" w14:textId="77777777">
            <w:pPr>
              <w:spacing w:after="0"/>
              <w:jc w:val="right"/>
              <w:rPr>
                <w:sz w:val="18"/>
                <w:szCs w:val="18"/>
              </w:rPr>
            </w:pPr>
            <w:r w:rsidRPr="00C969D2">
              <w:rPr>
                <w:sz w:val="18"/>
                <w:szCs w:val="18"/>
              </w:rPr>
              <w:t>0</w:t>
            </w:r>
          </w:p>
        </w:tc>
        <w:tc>
          <w:tcPr>
            <w:tcW w:w="972" w:type="dxa"/>
            <w:vAlign w:val="center"/>
          </w:tcPr>
          <w:p w:rsidR="00015010" w:rsidRPr="00C969D2" w:rsidP="007B260E" w14:paraId="52B7E54A" w14:textId="77777777">
            <w:pPr>
              <w:spacing w:after="0"/>
              <w:jc w:val="right"/>
              <w:rPr>
                <w:sz w:val="18"/>
                <w:szCs w:val="18"/>
              </w:rPr>
            </w:pPr>
            <w:r w:rsidRPr="0007610A">
              <w:rPr>
                <w:sz w:val="18"/>
                <w:szCs w:val="18"/>
              </w:rPr>
              <w:t>$1,768,</w:t>
            </w:r>
            <w:r>
              <w:rPr>
                <w:sz w:val="18"/>
                <w:szCs w:val="18"/>
              </w:rPr>
              <w:t>763</w:t>
            </w:r>
          </w:p>
        </w:tc>
        <w:tc>
          <w:tcPr>
            <w:tcW w:w="810" w:type="dxa"/>
            <w:vAlign w:val="center"/>
          </w:tcPr>
          <w:p w:rsidR="00015010" w:rsidRPr="00C969D2" w:rsidP="007B260E" w14:paraId="73E42AC9" w14:textId="77777777">
            <w:pPr>
              <w:spacing w:after="0"/>
              <w:jc w:val="right"/>
              <w:rPr>
                <w:sz w:val="18"/>
                <w:szCs w:val="18"/>
              </w:rPr>
            </w:pPr>
            <w:r w:rsidRPr="00C969D2">
              <w:rPr>
                <w:sz w:val="18"/>
                <w:szCs w:val="18"/>
              </w:rPr>
              <w:t>$0</w:t>
            </w:r>
          </w:p>
        </w:tc>
        <w:tc>
          <w:tcPr>
            <w:tcW w:w="810" w:type="dxa"/>
            <w:vAlign w:val="center"/>
          </w:tcPr>
          <w:p w:rsidR="00015010" w:rsidRPr="00C969D2" w:rsidP="007B260E" w14:paraId="134A583C" w14:textId="77777777">
            <w:pPr>
              <w:spacing w:after="0"/>
              <w:jc w:val="right"/>
              <w:rPr>
                <w:sz w:val="18"/>
                <w:szCs w:val="18"/>
              </w:rPr>
            </w:pPr>
            <w:r w:rsidRPr="00C969D2">
              <w:rPr>
                <w:sz w:val="18"/>
                <w:szCs w:val="18"/>
              </w:rPr>
              <w:t>$0</w:t>
            </w:r>
          </w:p>
        </w:tc>
      </w:tr>
      <w:tr w14:paraId="778107F9" w14:textId="77777777" w:rsidTr="007B260E">
        <w:tblPrEx>
          <w:tblW w:w="9355" w:type="dxa"/>
          <w:tblLayout w:type="fixed"/>
          <w:tblCellMar>
            <w:left w:w="29" w:type="dxa"/>
            <w:right w:w="58" w:type="dxa"/>
          </w:tblCellMar>
          <w:tblLook w:val="04A0"/>
        </w:tblPrEx>
        <w:trPr>
          <w:trHeight w:val="288"/>
        </w:trPr>
        <w:tc>
          <w:tcPr>
            <w:tcW w:w="3330" w:type="dxa"/>
            <w:shd w:val="clear" w:color="auto" w:fill="auto"/>
            <w:vAlign w:val="center"/>
            <w:hideMark/>
          </w:tcPr>
          <w:p w:rsidR="00015010" w:rsidRPr="007869C2" w:rsidP="007B260E" w14:paraId="5A8A349E" w14:textId="77777777">
            <w:pPr>
              <w:spacing w:after="0"/>
              <w:rPr>
                <w:sz w:val="18"/>
                <w:szCs w:val="18"/>
              </w:rPr>
            </w:pPr>
            <w:r w:rsidRPr="007869C2">
              <w:rPr>
                <w:sz w:val="18"/>
                <w:szCs w:val="18"/>
              </w:rPr>
              <w:t xml:space="preserve">Submit </w:t>
            </w:r>
            <w:r>
              <w:rPr>
                <w:sz w:val="18"/>
                <w:szCs w:val="18"/>
              </w:rPr>
              <w:t>annual</w:t>
            </w:r>
            <w:r w:rsidRPr="007869C2">
              <w:rPr>
                <w:sz w:val="18"/>
                <w:szCs w:val="18"/>
              </w:rPr>
              <w:t xml:space="preserve"> report</w:t>
            </w:r>
          </w:p>
        </w:tc>
        <w:tc>
          <w:tcPr>
            <w:tcW w:w="540" w:type="dxa"/>
            <w:vAlign w:val="center"/>
          </w:tcPr>
          <w:p w:rsidR="00015010" w:rsidRPr="00C969D2" w:rsidP="007B260E" w14:paraId="03117B47" w14:textId="77777777">
            <w:pPr>
              <w:spacing w:after="0"/>
              <w:jc w:val="right"/>
              <w:rPr>
                <w:sz w:val="18"/>
                <w:szCs w:val="18"/>
              </w:rPr>
            </w:pPr>
            <w:r>
              <w:rPr>
                <w:sz w:val="18"/>
                <w:szCs w:val="18"/>
              </w:rPr>
              <w:t>9</w:t>
            </w:r>
          </w:p>
        </w:tc>
        <w:tc>
          <w:tcPr>
            <w:tcW w:w="540" w:type="dxa"/>
            <w:vAlign w:val="center"/>
          </w:tcPr>
          <w:p w:rsidR="00015010" w:rsidRPr="00C969D2" w:rsidP="007B260E" w14:paraId="50B2F928" w14:textId="77777777">
            <w:pPr>
              <w:spacing w:after="0"/>
              <w:jc w:val="right"/>
              <w:rPr>
                <w:sz w:val="18"/>
                <w:szCs w:val="18"/>
              </w:rPr>
            </w:pPr>
            <w:r>
              <w:rPr>
                <w:sz w:val="18"/>
                <w:szCs w:val="18"/>
              </w:rPr>
              <w:t>9</w:t>
            </w:r>
          </w:p>
        </w:tc>
        <w:tc>
          <w:tcPr>
            <w:tcW w:w="535" w:type="dxa"/>
            <w:vAlign w:val="center"/>
          </w:tcPr>
          <w:p w:rsidR="00015010" w:rsidRPr="00C969D2" w:rsidP="007B260E" w14:paraId="7D0D4D5F" w14:textId="77777777">
            <w:pPr>
              <w:spacing w:after="0"/>
              <w:jc w:val="right"/>
              <w:rPr>
                <w:sz w:val="18"/>
                <w:szCs w:val="18"/>
              </w:rPr>
            </w:pPr>
            <w:r>
              <w:rPr>
                <w:sz w:val="18"/>
                <w:szCs w:val="18"/>
              </w:rPr>
              <w:t>9</w:t>
            </w:r>
          </w:p>
        </w:tc>
        <w:tc>
          <w:tcPr>
            <w:tcW w:w="590" w:type="dxa"/>
            <w:vAlign w:val="center"/>
          </w:tcPr>
          <w:p w:rsidR="00015010" w:rsidRPr="00C969D2" w:rsidP="007B260E" w14:paraId="025E1E31" w14:textId="77777777">
            <w:pPr>
              <w:spacing w:after="0"/>
              <w:jc w:val="right"/>
              <w:rPr>
                <w:sz w:val="18"/>
                <w:szCs w:val="18"/>
              </w:rPr>
            </w:pPr>
            <w:r w:rsidRPr="0007610A">
              <w:rPr>
                <w:sz w:val="18"/>
                <w:szCs w:val="18"/>
              </w:rPr>
              <w:t>54</w:t>
            </w:r>
          </w:p>
        </w:tc>
        <w:tc>
          <w:tcPr>
            <w:tcW w:w="630" w:type="dxa"/>
            <w:vAlign w:val="center"/>
          </w:tcPr>
          <w:p w:rsidR="00015010" w:rsidRPr="00C969D2" w:rsidP="007B260E" w14:paraId="6FB8E7D5" w14:textId="77777777">
            <w:pPr>
              <w:spacing w:after="0"/>
              <w:jc w:val="right"/>
              <w:rPr>
                <w:sz w:val="18"/>
                <w:szCs w:val="18"/>
              </w:rPr>
            </w:pPr>
            <w:r w:rsidRPr="0007610A">
              <w:rPr>
                <w:sz w:val="18"/>
                <w:szCs w:val="18"/>
              </w:rPr>
              <w:t>1,080</w:t>
            </w:r>
          </w:p>
        </w:tc>
        <w:tc>
          <w:tcPr>
            <w:tcW w:w="598" w:type="dxa"/>
            <w:vAlign w:val="center"/>
          </w:tcPr>
          <w:p w:rsidR="00015010" w:rsidRPr="00C969D2" w:rsidP="007B260E" w14:paraId="23A2D2C4" w14:textId="77777777">
            <w:pPr>
              <w:spacing w:after="0"/>
              <w:jc w:val="right"/>
              <w:rPr>
                <w:sz w:val="18"/>
                <w:szCs w:val="18"/>
              </w:rPr>
            </w:pPr>
            <w:r w:rsidRPr="0007610A">
              <w:rPr>
                <w:sz w:val="18"/>
                <w:szCs w:val="18"/>
              </w:rPr>
              <w:t>1,080</w:t>
            </w:r>
          </w:p>
        </w:tc>
        <w:tc>
          <w:tcPr>
            <w:tcW w:w="972" w:type="dxa"/>
            <w:vAlign w:val="center"/>
          </w:tcPr>
          <w:p w:rsidR="00015010" w:rsidRPr="00C969D2" w:rsidP="007B260E" w14:paraId="387C617A" w14:textId="77777777">
            <w:pPr>
              <w:spacing w:after="0"/>
              <w:jc w:val="right"/>
              <w:rPr>
                <w:sz w:val="18"/>
                <w:szCs w:val="18"/>
              </w:rPr>
            </w:pPr>
            <w:r w:rsidRPr="00B33D01">
              <w:rPr>
                <w:sz w:val="18"/>
                <w:szCs w:val="18"/>
              </w:rPr>
              <w:t>$6,865</w:t>
            </w:r>
          </w:p>
        </w:tc>
        <w:tc>
          <w:tcPr>
            <w:tcW w:w="810" w:type="dxa"/>
            <w:vAlign w:val="center"/>
          </w:tcPr>
          <w:p w:rsidR="00015010" w:rsidRPr="00C969D2" w:rsidP="007B260E" w14:paraId="16B4489C" w14:textId="77777777">
            <w:pPr>
              <w:spacing w:after="0"/>
              <w:jc w:val="right"/>
              <w:rPr>
                <w:sz w:val="18"/>
                <w:szCs w:val="18"/>
              </w:rPr>
            </w:pPr>
            <w:r w:rsidRPr="0007610A">
              <w:rPr>
                <w:sz w:val="18"/>
                <w:szCs w:val="18"/>
              </w:rPr>
              <w:t>$</w:t>
            </w:r>
            <w:r>
              <w:rPr>
                <w:sz w:val="18"/>
                <w:szCs w:val="18"/>
              </w:rPr>
              <w:t>125,600</w:t>
            </w:r>
          </w:p>
        </w:tc>
        <w:tc>
          <w:tcPr>
            <w:tcW w:w="810" w:type="dxa"/>
            <w:vAlign w:val="center"/>
          </w:tcPr>
          <w:p w:rsidR="00015010" w:rsidRPr="00C969D2" w:rsidP="007B260E" w14:paraId="1D52407F" w14:textId="77777777">
            <w:pPr>
              <w:spacing w:after="0"/>
              <w:jc w:val="right"/>
              <w:rPr>
                <w:sz w:val="18"/>
                <w:szCs w:val="18"/>
              </w:rPr>
            </w:pPr>
            <w:r w:rsidRPr="0007610A">
              <w:rPr>
                <w:sz w:val="18"/>
                <w:szCs w:val="18"/>
              </w:rPr>
              <w:t>$</w:t>
            </w:r>
            <w:r>
              <w:rPr>
                <w:sz w:val="18"/>
                <w:szCs w:val="18"/>
              </w:rPr>
              <w:t>125,600</w:t>
            </w:r>
          </w:p>
        </w:tc>
      </w:tr>
      <w:tr w14:paraId="47E67DF1" w14:textId="77777777" w:rsidTr="007B260E">
        <w:tblPrEx>
          <w:tblW w:w="9355" w:type="dxa"/>
          <w:tblLayout w:type="fixed"/>
          <w:tblCellMar>
            <w:left w:w="29" w:type="dxa"/>
            <w:right w:w="58" w:type="dxa"/>
          </w:tblCellMar>
          <w:tblLook w:val="04A0"/>
        </w:tblPrEx>
        <w:trPr>
          <w:trHeight w:val="288"/>
        </w:trPr>
        <w:tc>
          <w:tcPr>
            <w:tcW w:w="3330" w:type="dxa"/>
            <w:shd w:val="clear" w:color="auto" w:fill="auto"/>
            <w:vAlign w:val="center"/>
            <w:hideMark/>
          </w:tcPr>
          <w:p w:rsidR="00015010" w:rsidRPr="007869C2" w:rsidP="007B260E" w14:paraId="2C1BD25F" w14:textId="77777777">
            <w:pPr>
              <w:spacing w:after="0"/>
              <w:rPr>
                <w:sz w:val="18"/>
                <w:szCs w:val="18"/>
              </w:rPr>
            </w:pPr>
            <w:r w:rsidRPr="007B62FF">
              <w:rPr>
                <w:sz w:val="18"/>
                <w:szCs w:val="18"/>
              </w:rPr>
              <w:t>Submit significant process changes report</w:t>
            </w:r>
          </w:p>
        </w:tc>
        <w:tc>
          <w:tcPr>
            <w:tcW w:w="540" w:type="dxa"/>
            <w:vAlign w:val="center"/>
          </w:tcPr>
          <w:p w:rsidR="00015010" w:rsidRPr="00C969D2" w:rsidP="007B260E" w14:paraId="4262442E" w14:textId="77777777">
            <w:pPr>
              <w:spacing w:after="0"/>
              <w:jc w:val="right"/>
              <w:rPr>
                <w:sz w:val="18"/>
                <w:szCs w:val="18"/>
              </w:rPr>
            </w:pPr>
            <w:r>
              <w:rPr>
                <w:sz w:val="18"/>
                <w:szCs w:val="18"/>
              </w:rPr>
              <w:t>9</w:t>
            </w:r>
          </w:p>
        </w:tc>
        <w:tc>
          <w:tcPr>
            <w:tcW w:w="540" w:type="dxa"/>
            <w:vAlign w:val="center"/>
          </w:tcPr>
          <w:p w:rsidR="00015010" w:rsidRPr="00C969D2" w:rsidP="007B260E" w14:paraId="4EDE5EFE" w14:textId="77777777">
            <w:pPr>
              <w:spacing w:after="0"/>
              <w:jc w:val="right"/>
              <w:rPr>
                <w:sz w:val="18"/>
                <w:szCs w:val="18"/>
              </w:rPr>
            </w:pPr>
            <w:r>
              <w:rPr>
                <w:sz w:val="18"/>
                <w:szCs w:val="18"/>
              </w:rPr>
              <w:t>9</w:t>
            </w:r>
          </w:p>
        </w:tc>
        <w:tc>
          <w:tcPr>
            <w:tcW w:w="535" w:type="dxa"/>
            <w:vAlign w:val="center"/>
          </w:tcPr>
          <w:p w:rsidR="00015010" w:rsidRPr="00C969D2" w:rsidP="007B260E" w14:paraId="43EF1EA6" w14:textId="77777777">
            <w:pPr>
              <w:spacing w:after="0"/>
              <w:jc w:val="right"/>
              <w:rPr>
                <w:sz w:val="18"/>
                <w:szCs w:val="18"/>
              </w:rPr>
            </w:pPr>
            <w:r>
              <w:rPr>
                <w:sz w:val="18"/>
                <w:szCs w:val="18"/>
              </w:rPr>
              <w:t>9</w:t>
            </w:r>
          </w:p>
        </w:tc>
        <w:tc>
          <w:tcPr>
            <w:tcW w:w="590" w:type="dxa"/>
            <w:vAlign w:val="center"/>
          </w:tcPr>
          <w:p w:rsidR="00015010" w:rsidRPr="00C969D2" w:rsidP="007B260E" w14:paraId="4777A11E" w14:textId="77777777">
            <w:pPr>
              <w:spacing w:after="0"/>
              <w:jc w:val="right"/>
              <w:rPr>
                <w:sz w:val="18"/>
                <w:szCs w:val="18"/>
              </w:rPr>
            </w:pPr>
            <w:r>
              <w:rPr>
                <w:sz w:val="18"/>
                <w:szCs w:val="18"/>
              </w:rPr>
              <w:t>6</w:t>
            </w:r>
          </w:p>
        </w:tc>
        <w:tc>
          <w:tcPr>
            <w:tcW w:w="630" w:type="dxa"/>
            <w:vAlign w:val="center"/>
          </w:tcPr>
          <w:p w:rsidR="00015010" w:rsidRPr="00C969D2" w:rsidP="007B260E" w14:paraId="536CDB6E" w14:textId="77777777">
            <w:pPr>
              <w:spacing w:after="0"/>
              <w:jc w:val="right"/>
              <w:rPr>
                <w:sz w:val="18"/>
                <w:szCs w:val="18"/>
              </w:rPr>
            </w:pPr>
            <w:r>
              <w:rPr>
                <w:sz w:val="18"/>
                <w:szCs w:val="18"/>
              </w:rPr>
              <w:t>6</w:t>
            </w:r>
          </w:p>
        </w:tc>
        <w:tc>
          <w:tcPr>
            <w:tcW w:w="598" w:type="dxa"/>
            <w:vAlign w:val="center"/>
          </w:tcPr>
          <w:p w:rsidR="00015010" w:rsidRPr="00C969D2" w:rsidP="007B260E" w14:paraId="122AFB82" w14:textId="77777777">
            <w:pPr>
              <w:spacing w:after="0"/>
              <w:jc w:val="right"/>
              <w:rPr>
                <w:sz w:val="18"/>
                <w:szCs w:val="18"/>
              </w:rPr>
            </w:pPr>
            <w:r>
              <w:rPr>
                <w:sz w:val="18"/>
                <w:szCs w:val="18"/>
              </w:rPr>
              <w:t>6</w:t>
            </w:r>
          </w:p>
        </w:tc>
        <w:tc>
          <w:tcPr>
            <w:tcW w:w="972" w:type="dxa"/>
            <w:vAlign w:val="center"/>
          </w:tcPr>
          <w:p w:rsidR="00015010" w:rsidRPr="00C969D2" w:rsidP="007B260E" w14:paraId="15FF56F6" w14:textId="77777777">
            <w:pPr>
              <w:spacing w:after="0"/>
              <w:jc w:val="right"/>
              <w:rPr>
                <w:sz w:val="18"/>
                <w:szCs w:val="18"/>
              </w:rPr>
            </w:pPr>
            <w:r w:rsidRPr="0007610A">
              <w:rPr>
                <w:sz w:val="18"/>
                <w:szCs w:val="18"/>
              </w:rPr>
              <w:t>$763</w:t>
            </w:r>
          </w:p>
        </w:tc>
        <w:tc>
          <w:tcPr>
            <w:tcW w:w="810" w:type="dxa"/>
            <w:vAlign w:val="center"/>
          </w:tcPr>
          <w:p w:rsidR="00015010" w:rsidRPr="00C969D2" w:rsidP="007B260E" w14:paraId="7FB7DFB3" w14:textId="77777777">
            <w:pPr>
              <w:spacing w:after="0"/>
              <w:jc w:val="right"/>
              <w:rPr>
                <w:sz w:val="18"/>
                <w:szCs w:val="18"/>
              </w:rPr>
            </w:pPr>
            <w:r w:rsidRPr="0007610A">
              <w:rPr>
                <w:sz w:val="18"/>
                <w:szCs w:val="18"/>
              </w:rPr>
              <w:t>$763</w:t>
            </w:r>
          </w:p>
        </w:tc>
        <w:tc>
          <w:tcPr>
            <w:tcW w:w="810" w:type="dxa"/>
            <w:vAlign w:val="center"/>
          </w:tcPr>
          <w:p w:rsidR="00015010" w:rsidRPr="00C969D2" w:rsidP="007B260E" w14:paraId="4C0DC90B" w14:textId="77777777">
            <w:pPr>
              <w:spacing w:after="0"/>
              <w:jc w:val="right"/>
              <w:rPr>
                <w:sz w:val="18"/>
                <w:szCs w:val="18"/>
              </w:rPr>
            </w:pPr>
            <w:r w:rsidRPr="0007610A">
              <w:rPr>
                <w:sz w:val="18"/>
                <w:szCs w:val="18"/>
              </w:rPr>
              <w:t>$763</w:t>
            </w:r>
          </w:p>
        </w:tc>
      </w:tr>
      <w:tr w14:paraId="70E334E3" w14:textId="77777777" w:rsidTr="007B260E">
        <w:tblPrEx>
          <w:tblW w:w="9355" w:type="dxa"/>
          <w:tblLayout w:type="fixed"/>
          <w:tblCellMar>
            <w:left w:w="29" w:type="dxa"/>
            <w:right w:w="58" w:type="dxa"/>
          </w:tblCellMar>
          <w:tblLook w:val="04A0"/>
        </w:tblPrEx>
        <w:trPr>
          <w:trHeight w:val="288"/>
        </w:trPr>
        <w:tc>
          <w:tcPr>
            <w:tcW w:w="3330" w:type="dxa"/>
            <w:shd w:val="clear" w:color="auto" w:fill="auto"/>
            <w:vAlign w:val="center"/>
          </w:tcPr>
          <w:p w:rsidR="00015010" w:rsidRPr="007B62FF" w:rsidP="007B260E" w14:paraId="707A634F" w14:textId="77777777">
            <w:pPr>
              <w:spacing w:after="0"/>
              <w:rPr>
                <w:sz w:val="18"/>
                <w:szCs w:val="18"/>
              </w:rPr>
            </w:pPr>
            <w:r w:rsidRPr="006070DC">
              <w:rPr>
                <w:sz w:val="18"/>
                <w:szCs w:val="18"/>
              </w:rPr>
              <w:t>Maintain records</w:t>
            </w:r>
          </w:p>
        </w:tc>
        <w:tc>
          <w:tcPr>
            <w:tcW w:w="540" w:type="dxa"/>
            <w:vAlign w:val="center"/>
          </w:tcPr>
          <w:p w:rsidR="00015010" w:rsidP="007B260E" w14:paraId="2240C8F5" w14:textId="77777777">
            <w:pPr>
              <w:spacing w:after="0"/>
              <w:jc w:val="right"/>
              <w:rPr>
                <w:sz w:val="18"/>
                <w:szCs w:val="18"/>
              </w:rPr>
            </w:pPr>
            <w:r>
              <w:rPr>
                <w:sz w:val="18"/>
                <w:szCs w:val="18"/>
              </w:rPr>
              <w:t>9</w:t>
            </w:r>
          </w:p>
        </w:tc>
        <w:tc>
          <w:tcPr>
            <w:tcW w:w="540" w:type="dxa"/>
            <w:vAlign w:val="center"/>
          </w:tcPr>
          <w:p w:rsidR="00015010" w:rsidP="007B260E" w14:paraId="2A6A3134" w14:textId="77777777">
            <w:pPr>
              <w:spacing w:after="0"/>
              <w:jc w:val="right"/>
              <w:rPr>
                <w:sz w:val="18"/>
                <w:szCs w:val="18"/>
              </w:rPr>
            </w:pPr>
            <w:r>
              <w:rPr>
                <w:sz w:val="18"/>
                <w:szCs w:val="18"/>
              </w:rPr>
              <w:t>9</w:t>
            </w:r>
          </w:p>
        </w:tc>
        <w:tc>
          <w:tcPr>
            <w:tcW w:w="535" w:type="dxa"/>
            <w:vAlign w:val="center"/>
          </w:tcPr>
          <w:p w:rsidR="00015010" w:rsidP="007B260E" w14:paraId="46EE5555" w14:textId="77777777">
            <w:pPr>
              <w:spacing w:after="0"/>
              <w:jc w:val="right"/>
              <w:rPr>
                <w:sz w:val="18"/>
                <w:szCs w:val="18"/>
              </w:rPr>
            </w:pPr>
            <w:r>
              <w:rPr>
                <w:sz w:val="18"/>
                <w:szCs w:val="18"/>
              </w:rPr>
              <w:t>9</w:t>
            </w:r>
          </w:p>
        </w:tc>
        <w:tc>
          <w:tcPr>
            <w:tcW w:w="590" w:type="dxa"/>
            <w:vAlign w:val="center"/>
          </w:tcPr>
          <w:p w:rsidR="00015010" w:rsidP="007B260E" w14:paraId="404C759F" w14:textId="77777777">
            <w:pPr>
              <w:spacing w:after="0"/>
              <w:jc w:val="right"/>
              <w:rPr>
                <w:sz w:val="18"/>
                <w:szCs w:val="18"/>
              </w:rPr>
            </w:pPr>
            <w:r w:rsidRPr="0007610A">
              <w:rPr>
                <w:sz w:val="18"/>
                <w:szCs w:val="18"/>
              </w:rPr>
              <w:t>450</w:t>
            </w:r>
          </w:p>
        </w:tc>
        <w:tc>
          <w:tcPr>
            <w:tcW w:w="630" w:type="dxa"/>
            <w:vAlign w:val="center"/>
          </w:tcPr>
          <w:p w:rsidR="00015010" w:rsidP="007B260E" w14:paraId="50492323" w14:textId="77777777">
            <w:pPr>
              <w:spacing w:after="0"/>
              <w:jc w:val="right"/>
              <w:rPr>
                <w:sz w:val="18"/>
                <w:szCs w:val="18"/>
              </w:rPr>
            </w:pPr>
            <w:r w:rsidRPr="0007610A">
              <w:rPr>
                <w:sz w:val="18"/>
                <w:szCs w:val="18"/>
              </w:rPr>
              <w:t>450</w:t>
            </w:r>
          </w:p>
        </w:tc>
        <w:tc>
          <w:tcPr>
            <w:tcW w:w="598" w:type="dxa"/>
            <w:vAlign w:val="center"/>
          </w:tcPr>
          <w:p w:rsidR="00015010" w:rsidP="007B260E" w14:paraId="20D5CF68" w14:textId="77777777">
            <w:pPr>
              <w:spacing w:after="0"/>
              <w:jc w:val="right"/>
              <w:rPr>
                <w:sz w:val="18"/>
                <w:szCs w:val="18"/>
              </w:rPr>
            </w:pPr>
            <w:r w:rsidRPr="0007610A">
              <w:rPr>
                <w:sz w:val="18"/>
                <w:szCs w:val="18"/>
              </w:rPr>
              <w:t>450</w:t>
            </w:r>
          </w:p>
        </w:tc>
        <w:tc>
          <w:tcPr>
            <w:tcW w:w="972" w:type="dxa"/>
            <w:vAlign w:val="center"/>
          </w:tcPr>
          <w:p w:rsidR="00015010" w:rsidRPr="00C969D2" w:rsidP="007B260E" w14:paraId="45828C84" w14:textId="77777777">
            <w:pPr>
              <w:spacing w:after="0"/>
              <w:jc w:val="right"/>
              <w:rPr>
                <w:sz w:val="18"/>
                <w:szCs w:val="18"/>
              </w:rPr>
            </w:pPr>
            <w:r w:rsidRPr="00BF4B71">
              <w:rPr>
                <w:sz w:val="18"/>
                <w:szCs w:val="18"/>
              </w:rPr>
              <w:t>$37,887</w:t>
            </w:r>
          </w:p>
        </w:tc>
        <w:tc>
          <w:tcPr>
            <w:tcW w:w="810" w:type="dxa"/>
            <w:vAlign w:val="center"/>
          </w:tcPr>
          <w:p w:rsidR="00015010" w:rsidP="007B260E" w14:paraId="3C558596" w14:textId="77777777">
            <w:pPr>
              <w:spacing w:after="0"/>
              <w:jc w:val="right"/>
              <w:rPr>
                <w:sz w:val="18"/>
                <w:szCs w:val="18"/>
              </w:rPr>
            </w:pPr>
            <w:r w:rsidRPr="00BF4B71">
              <w:rPr>
                <w:sz w:val="18"/>
                <w:szCs w:val="18"/>
              </w:rPr>
              <w:t>$37,887</w:t>
            </w:r>
          </w:p>
        </w:tc>
        <w:tc>
          <w:tcPr>
            <w:tcW w:w="810" w:type="dxa"/>
            <w:vAlign w:val="center"/>
          </w:tcPr>
          <w:p w:rsidR="00015010" w:rsidP="007B260E" w14:paraId="37F298F8" w14:textId="77777777">
            <w:pPr>
              <w:spacing w:after="0"/>
              <w:jc w:val="right"/>
              <w:rPr>
                <w:sz w:val="18"/>
                <w:szCs w:val="18"/>
              </w:rPr>
            </w:pPr>
            <w:r w:rsidRPr="00BF4B71">
              <w:rPr>
                <w:sz w:val="18"/>
                <w:szCs w:val="18"/>
              </w:rPr>
              <w:t>$37,887</w:t>
            </w:r>
          </w:p>
        </w:tc>
      </w:tr>
    </w:tbl>
    <w:p w:rsidR="00015010" w:rsidP="00854AAE" w14:paraId="6A28D79E" w14:textId="77777777">
      <w:pPr>
        <w:spacing w:before="60"/>
        <w:rPr>
          <w:rFonts w:cstheme="minorHAnsi"/>
        </w:rPr>
      </w:pPr>
    </w:p>
    <w:p w:rsidR="008B6B80" w:rsidRPr="008B6B80" w:rsidP="00854AAE" w14:paraId="390B00C4" w14:textId="23956F6F">
      <w:pPr>
        <w:spacing w:before="60"/>
        <w:rPr>
          <w:rFonts w:cstheme="minorHAnsi"/>
          <w:u w:val="single"/>
        </w:rPr>
      </w:pPr>
      <w:r w:rsidRPr="008B6B80">
        <w:rPr>
          <w:rFonts w:cstheme="minorHAnsi"/>
          <w:u w:val="single"/>
        </w:rPr>
        <w:t>Respondent Tally</w:t>
      </w:r>
    </w:p>
    <w:p w:rsidR="008B6B80" w:rsidP="008B6B80" w14:paraId="305011A8" w14:textId="7737B948">
      <w:pPr>
        <w:keepNext/>
      </w:pPr>
      <w:r>
        <w:t xml:space="preserve">As shown in </w:t>
      </w:r>
      <w:r>
        <w:fldChar w:fldCharType="begin"/>
      </w:r>
      <w:r>
        <w:instrText xml:space="preserve"> REF _Ref69842375 \h </w:instrText>
      </w:r>
      <w:r>
        <w:fldChar w:fldCharType="separate"/>
      </w:r>
      <w:r>
        <w:t xml:space="preserve">Table </w:t>
      </w:r>
      <w:r>
        <w:rPr>
          <w:noProof/>
        </w:rPr>
        <w:t>V</w:t>
      </w:r>
      <w:r>
        <w:t xml:space="preserve">. </w:t>
      </w:r>
      <w:r w:rsidRPr="005E17D7">
        <w:t>Respondent Burden Summary Table</w:t>
      </w:r>
      <w:r>
        <w:fldChar w:fldCharType="end"/>
      </w:r>
      <w:r>
        <w:t xml:space="preserve">, EPA estimates the total annual hour and cost burden to all respondents to average 5,883 hours and </w:t>
      </w:r>
      <w:r w:rsidRPr="00BF4B71">
        <w:t>$719,593</w:t>
      </w:r>
      <w:r>
        <w:t>.</w:t>
      </w:r>
    </w:p>
    <w:p w:rsidR="008B6B80" w:rsidP="008B6B80" w14:paraId="0AC2348C" w14:textId="58BAEE97">
      <w:pPr>
        <w:pStyle w:val="Caption"/>
      </w:pPr>
      <w:bookmarkStart w:id="24" w:name="_Ref69842375"/>
      <w:r>
        <w:t xml:space="preserve">Table </w:t>
      </w:r>
      <w:r w:rsidR="008533CD">
        <w:t>V</w:t>
      </w:r>
      <w:r>
        <w:t xml:space="preserve">. </w:t>
      </w:r>
      <w:r w:rsidRPr="005E17D7">
        <w:t>Respondent Burden Summary Table</w:t>
      </w:r>
      <w:bookmarkEnd w:id="24"/>
    </w:p>
    <w:tbl>
      <w:tblPr>
        <w:tblW w:w="38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4"/>
        <w:gridCol w:w="1802"/>
        <w:gridCol w:w="1710"/>
        <w:gridCol w:w="1710"/>
      </w:tblGrid>
      <w:tr w14:paraId="5D68189C" w14:textId="77777777" w:rsidTr="007B260E">
        <w:tblPrEx>
          <w:tblW w:w="38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77"/>
        </w:trPr>
        <w:tc>
          <w:tcPr>
            <w:tcW w:w="1372" w:type="pct"/>
            <w:shd w:val="clear" w:color="000000" w:fill="D9D9D9"/>
            <w:vAlign w:val="center"/>
            <w:hideMark/>
          </w:tcPr>
          <w:p w:rsidR="008B6B80" w:rsidRPr="00CD2903" w:rsidP="007B260E" w14:paraId="5766A285" w14:textId="77777777">
            <w:pPr>
              <w:spacing w:after="0"/>
              <w:jc w:val="center"/>
              <w:rPr>
                <w:b/>
                <w:bCs/>
                <w:color w:val="000000"/>
                <w:sz w:val="20"/>
                <w:szCs w:val="20"/>
              </w:rPr>
            </w:pPr>
            <w:r>
              <w:rPr>
                <w:b/>
                <w:bCs/>
                <w:color w:val="000000"/>
                <w:sz w:val="20"/>
                <w:szCs w:val="20"/>
              </w:rPr>
              <w:t>Year</w:t>
            </w:r>
          </w:p>
        </w:tc>
        <w:tc>
          <w:tcPr>
            <w:tcW w:w="1252" w:type="pct"/>
            <w:shd w:val="clear" w:color="000000" w:fill="D9D9D9"/>
            <w:vAlign w:val="center"/>
          </w:tcPr>
          <w:p w:rsidR="008B6B80" w:rsidRPr="00CD2903" w:rsidP="007B260E" w14:paraId="1775A2FC" w14:textId="77777777">
            <w:pPr>
              <w:spacing w:after="0"/>
              <w:jc w:val="center"/>
              <w:rPr>
                <w:b/>
                <w:bCs/>
                <w:color w:val="000000"/>
                <w:sz w:val="20"/>
                <w:szCs w:val="20"/>
              </w:rPr>
            </w:pPr>
            <w:r>
              <w:rPr>
                <w:b/>
                <w:bCs/>
                <w:color w:val="000000"/>
                <w:sz w:val="20"/>
                <w:szCs w:val="20"/>
              </w:rPr>
              <w:t>Total Responses</w:t>
            </w:r>
          </w:p>
        </w:tc>
        <w:tc>
          <w:tcPr>
            <w:tcW w:w="1188" w:type="pct"/>
            <w:shd w:val="clear" w:color="000000" w:fill="D9D9D9"/>
            <w:vAlign w:val="center"/>
          </w:tcPr>
          <w:p w:rsidR="008B6B80" w:rsidRPr="00CD2903" w:rsidP="007B260E" w14:paraId="16FA48C9" w14:textId="77777777">
            <w:pPr>
              <w:spacing w:after="0"/>
              <w:jc w:val="center"/>
              <w:rPr>
                <w:b/>
                <w:bCs/>
                <w:color w:val="000000"/>
                <w:sz w:val="20"/>
                <w:szCs w:val="20"/>
              </w:rPr>
            </w:pPr>
            <w:r w:rsidRPr="00CD2903">
              <w:rPr>
                <w:b/>
                <w:bCs/>
                <w:color w:val="000000"/>
                <w:sz w:val="20"/>
                <w:szCs w:val="20"/>
              </w:rPr>
              <w:t>Total Hours</w:t>
            </w:r>
          </w:p>
        </w:tc>
        <w:tc>
          <w:tcPr>
            <w:tcW w:w="1189" w:type="pct"/>
            <w:shd w:val="clear" w:color="000000" w:fill="D9D9D9"/>
            <w:vAlign w:val="center"/>
            <w:hideMark/>
          </w:tcPr>
          <w:p w:rsidR="008B6B80" w:rsidRPr="00CD2903" w:rsidP="007B260E" w14:paraId="1AC6F314" w14:textId="77777777">
            <w:pPr>
              <w:spacing w:after="0"/>
              <w:jc w:val="center"/>
              <w:rPr>
                <w:b/>
                <w:bCs/>
                <w:color w:val="000000"/>
                <w:sz w:val="20"/>
                <w:szCs w:val="20"/>
              </w:rPr>
            </w:pPr>
            <w:r w:rsidRPr="00CD2903">
              <w:rPr>
                <w:b/>
                <w:bCs/>
                <w:color w:val="000000"/>
                <w:sz w:val="20"/>
                <w:szCs w:val="20"/>
              </w:rPr>
              <w:t>Total Costs</w:t>
            </w:r>
          </w:p>
        </w:tc>
      </w:tr>
      <w:tr w14:paraId="2206A932" w14:textId="77777777" w:rsidTr="007B260E">
        <w:tblPrEx>
          <w:tblW w:w="3848" w:type="pct"/>
          <w:tblLook w:val="04A0"/>
        </w:tblPrEx>
        <w:trPr>
          <w:trHeight w:val="288"/>
        </w:trPr>
        <w:tc>
          <w:tcPr>
            <w:tcW w:w="1372" w:type="pct"/>
            <w:shd w:val="clear" w:color="auto" w:fill="auto"/>
            <w:noWrap/>
            <w:vAlign w:val="center"/>
          </w:tcPr>
          <w:p w:rsidR="008B6B80" w:rsidRPr="00CD2903" w:rsidP="007B260E" w14:paraId="7D850A69" w14:textId="77777777">
            <w:pPr>
              <w:spacing w:after="0"/>
              <w:rPr>
                <w:color w:val="000000"/>
                <w:sz w:val="20"/>
                <w:szCs w:val="20"/>
              </w:rPr>
            </w:pPr>
            <w:r>
              <w:rPr>
                <w:color w:val="000000"/>
                <w:sz w:val="20"/>
                <w:szCs w:val="20"/>
              </w:rPr>
              <w:t>Year 1</w:t>
            </w:r>
          </w:p>
        </w:tc>
        <w:tc>
          <w:tcPr>
            <w:tcW w:w="1252" w:type="pct"/>
            <w:vAlign w:val="center"/>
          </w:tcPr>
          <w:p w:rsidR="008B6B80" w:rsidRPr="00714C7F" w:rsidP="007B260E" w14:paraId="73ED5401" w14:textId="77777777">
            <w:pPr>
              <w:spacing w:after="0"/>
              <w:jc w:val="center"/>
              <w:rPr>
                <w:color w:val="000000"/>
                <w:sz w:val="18"/>
                <w:szCs w:val="18"/>
              </w:rPr>
            </w:pPr>
            <w:r>
              <w:rPr>
                <w:color w:val="000000"/>
                <w:sz w:val="18"/>
                <w:szCs w:val="18"/>
              </w:rPr>
              <w:t>28</w:t>
            </w:r>
          </w:p>
        </w:tc>
        <w:tc>
          <w:tcPr>
            <w:tcW w:w="1188" w:type="pct"/>
            <w:tcBorders>
              <w:top w:val="single" w:sz="4" w:space="0" w:color="auto"/>
              <w:left w:val="single" w:sz="4" w:space="0" w:color="auto"/>
              <w:bottom w:val="single" w:sz="4" w:space="0" w:color="auto"/>
              <w:right w:val="single" w:sz="4" w:space="0" w:color="auto"/>
            </w:tcBorders>
            <w:shd w:val="clear" w:color="auto" w:fill="auto"/>
            <w:vAlign w:val="center"/>
          </w:tcPr>
          <w:p w:rsidR="008B6B80" w:rsidRPr="00533C9A" w:rsidP="007B260E" w14:paraId="72BC9FEC" w14:textId="77777777">
            <w:pPr>
              <w:spacing w:after="0"/>
              <w:jc w:val="center"/>
              <w:rPr>
                <w:color w:val="000000"/>
                <w:sz w:val="18"/>
                <w:szCs w:val="18"/>
              </w:rPr>
            </w:pPr>
            <w:r w:rsidRPr="0007610A">
              <w:rPr>
                <w:color w:val="000000"/>
                <w:sz w:val="20"/>
                <w:szCs w:val="20"/>
              </w:rPr>
              <w:t>14,7</w:t>
            </w:r>
            <w:r>
              <w:rPr>
                <w:color w:val="000000"/>
                <w:sz w:val="20"/>
                <w:szCs w:val="20"/>
              </w:rPr>
              <w:t>21</w:t>
            </w:r>
          </w:p>
        </w:tc>
        <w:tc>
          <w:tcPr>
            <w:tcW w:w="1189" w:type="pct"/>
            <w:tcBorders>
              <w:top w:val="single" w:sz="4" w:space="0" w:color="auto"/>
              <w:left w:val="nil"/>
              <w:bottom w:val="single" w:sz="4" w:space="0" w:color="auto"/>
              <w:right w:val="single" w:sz="4" w:space="0" w:color="auto"/>
            </w:tcBorders>
            <w:shd w:val="clear" w:color="auto" w:fill="auto"/>
            <w:noWrap/>
            <w:vAlign w:val="center"/>
          </w:tcPr>
          <w:p w:rsidR="008B6B80" w:rsidRPr="00533C9A" w:rsidP="007B260E" w14:paraId="495020C9" w14:textId="77777777">
            <w:pPr>
              <w:spacing w:after="0"/>
              <w:jc w:val="center"/>
              <w:rPr>
                <w:color w:val="000000"/>
                <w:sz w:val="18"/>
                <w:szCs w:val="18"/>
              </w:rPr>
            </w:pPr>
            <w:r>
              <w:rPr>
                <w:color w:val="000000"/>
                <w:sz w:val="20"/>
                <w:szCs w:val="20"/>
              </w:rPr>
              <w:t>$</w:t>
            </w:r>
            <w:r w:rsidRPr="0007610A">
              <w:rPr>
                <w:color w:val="000000"/>
                <w:sz w:val="20"/>
                <w:szCs w:val="20"/>
              </w:rPr>
              <w:t>1,</w:t>
            </w:r>
            <w:r>
              <w:rPr>
                <w:color w:val="000000"/>
                <w:sz w:val="20"/>
                <w:szCs w:val="20"/>
              </w:rPr>
              <w:t>830,278</w:t>
            </w:r>
          </w:p>
        </w:tc>
      </w:tr>
      <w:tr w14:paraId="0C9C6C2D" w14:textId="77777777" w:rsidTr="007B260E">
        <w:tblPrEx>
          <w:tblW w:w="3848" w:type="pct"/>
          <w:tblLook w:val="04A0"/>
        </w:tblPrEx>
        <w:trPr>
          <w:trHeight w:val="288"/>
        </w:trPr>
        <w:tc>
          <w:tcPr>
            <w:tcW w:w="1372" w:type="pct"/>
            <w:tcBorders>
              <w:bottom w:val="single" w:sz="4" w:space="0" w:color="auto"/>
            </w:tcBorders>
            <w:shd w:val="clear" w:color="auto" w:fill="auto"/>
            <w:noWrap/>
            <w:vAlign w:val="center"/>
          </w:tcPr>
          <w:p w:rsidR="008B6B80" w:rsidRPr="00CD2903" w:rsidP="007B260E" w14:paraId="7495A566" w14:textId="77777777">
            <w:pPr>
              <w:spacing w:after="0"/>
              <w:rPr>
                <w:color w:val="000000"/>
                <w:sz w:val="20"/>
                <w:szCs w:val="20"/>
              </w:rPr>
            </w:pPr>
            <w:r>
              <w:rPr>
                <w:color w:val="000000"/>
                <w:sz w:val="20"/>
                <w:szCs w:val="20"/>
              </w:rPr>
              <w:t>Year 2</w:t>
            </w:r>
          </w:p>
        </w:tc>
        <w:tc>
          <w:tcPr>
            <w:tcW w:w="1252" w:type="pct"/>
            <w:tcBorders>
              <w:bottom w:val="single" w:sz="4" w:space="0" w:color="auto"/>
            </w:tcBorders>
            <w:vAlign w:val="center"/>
          </w:tcPr>
          <w:p w:rsidR="008B6B80" w:rsidRPr="00714C7F" w:rsidP="007B260E" w14:paraId="2BF729C6" w14:textId="77777777">
            <w:pPr>
              <w:spacing w:after="0"/>
              <w:jc w:val="center"/>
              <w:rPr>
                <w:color w:val="000000"/>
                <w:sz w:val="18"/>
                <w:szCs w:val="18"/>
              </w:rPr>
            </w:pPr>
            <w:r>
              <w:rPr>
                <w:color w:val="000000"/>
                <w:sz w:val="18"/>
                <w:szCs w:val="18"/>
              </w:rPr>
              <w:t>19</w:t>
            </w:r>
          </w:p>
        </w:tc>
        <w:tc>
          <w:tcPr>
            <w:tcW w:w="1188" w:type="pct"/>
            <w:tcBorders>
              <w:top w:val="nil"/>
              <w:left w:val="single" w:sz="4" w:space="0" w:color="auto"/>
              <w:bottom w:val="single" w:sz="4" w:space="0" w:color="auto"/>
              <w:right w:val="single" w:sz="4" w:space="0" w:color="auto"/>
            </w:tcBorders>
            <w:shd w:val="clear" w:color="auto" w:fill="auto"/>
            <w:vAlign w:val="center"/>
          </w:tcPr>
          <w:p w:rsidR="008B6B80" w:rsidRPr="00533C9A" w:rsidP="007B260E" w14:paraId="440A642D" w14:textId="77777777">
            <w:pPr>
              <w:spacing w:after="0"/>
              <w:jc w:val="center"/>
              <w:rPr>
                <w:color w:val="000000"/>
                <w:sz w:val="18"/>
                <w:szCs w:val="18"/>
              </w:rPr>
            </w:pPr>
            <w:r w:rsidRPr="00BF4B71">
              <w:rPr>
                <w:color w:val="000000"/>
                <w:sz w:val="20"/>
                <w:szCs w:val="20"/>
              </w:rPr>
              <w:t>1,464</w:t>
            </w:r>
          </w:p>
        </w:tc>
        <w:tc>
          <w:tcPr>
            <w:tcW w:w="1189" w:type="pct"/>
            <w:tcBorders>
              <w:top w:val="nil"/>
              <w:left w:val="nil"/>
              <w:bottom w:val="single" w:sz="4" w:space="0" w:color="auto"/>
              <w:right w:val="single" w:sz="4" w:space="0" w:color="auto"/>
            </w:tcBorders>
            <w:shd w:val="clear" w:color="auto" w:fill="auto"/>
            <w:noWrap/>
            <w:vAlign w:val="center"/>
          </w:tcPr>
          <w:p w:rsidR="008B6B80" w:rsidRPr="00533C9A" w:rsidP="007B260E" w14:paraId="5DB1E49E" w14:textId="77777777">
            <w:pPr>
              <w:spacing w:after="0"/>
              <w:jc w:val="center"/>
              <w:rPr>
                <w:color w:val="000000"/>
                <w:sz w:val="18"/>
                <w:szCs w:val="18"/>
              </w:rPr>
            </w:pPr>
            <w:r w:rsidRPr="00084327">
              <w:rPr>
                <w:color w:val="000000"/>
                <w:sz w:val="20"/>
                <w:szCs w:val="20"/>
              </w:rPr>
              <w:t>$16</w:t>
            </w:r>
            <w:r>
              <w:rPr>
                <w:color w:val="000000"/>
                <w:sz w:val="20"/>
                <w:szCs w:val="20"/>
              </w:rPr>
              <w:t>4,250</w:t>
            </w:r>
          </w:p>
        </w:tc>
      </w:tr>
      <w:tr w14:paraId="47DA4955" w14:textId="77777777" w:rsidTr="007B260E">
        <w:tblPrEx>
          <w:tblW w:w="3848" w:type="pct"/>
          <w:tblLook w:val="04A0"/>
        </w:tblPrEx>
        <w:trPr>
          <w:trHeight w:val="288"/>
        </w:trPr>
        <w:tc>
          <w:tcPr>
            <w:tcW w:w="1372" w:type="pct"/>
            <w:shd w:val="clear" w:color="auto" w:fill="auto"/>
            <w:noWrap/>
            <w:vAlign w:val="center"/>
          </w:tcPr>
          <w:p w:rsidR="008B6B80" w:rsidP="007B260E" w14:paraId="67EEA79A" w14:textId="77777777">
            <w:pPr>
              <w:spacing w:after="0"/>
              <w:rPr>
                <w:color w:val="000000"/>
                <w:sz w:val="20"/>
                <w:szCs w:val="20"/>
              </w:rPr>
            </w:pPr>
            <w:r>
              <w:rPr>
                <w:color w:val="000000"/>
                <w:sz w:val="20"/>
                <w:szCs w:val="20"/>
              </w:rPr>
              <w:t>Year 3</w:t>
            </w:r>
          </w:p>
        </w:tc>
        <w:tc>
          <w:tcPr>
            <w:tcW w:w="1252" w:type="pct"/>
            <w:vAlign w:val="center"/>
          </w:tcPr>
          <w:p w:rsidR="008B6B80" w:rsidRPr="00714C7F" w:rsidP="007B260E" w14:paraId="49A0B40F" w14:textId="77777777">
            <w:pPr>
              <w:spacing w:after="0"/>
              <w:jc w:val="center"/>
              <w:rPr>
                <w:color w:val="000000"/>
                <w:sz w:val="18"/>
                <w:szCs w:val="18"/>
              </w:rPr>
            </w:pPr>
            <w:r>
              <w:rPr>
                <w:color w:val="000000"/>
                <w:sz w:val="18"/>
                <w:szCs w:val="18"/>
              </w:rPr>
              <w:t>19</w:t>
            </w:r>
          </w:p>
        </w:tc>
        <w:tc>
          <w:tcPr>
            <w:tcW w:w="1188" w:type="pct"/>
            <w:tcBorders>
              <w:top w:val="nil"/>
              <w:left w:val="single" w:sz="4" w:space="0" w:color="auto"/>
              <w:bottom w:val="single" w:sz="4" w:space="0" w:color="auto"/>
              <w:right w:val="single" w:sz="4" w:space="0" w:color="auto"/>
            </w:tcBorders>
            <w:shd w:val="clear" w:color="auto" w:fill="auto"/>
            <w:vAlign w:val="center"/>
          </w:tcPr>
          <w:p w:rsidR="008B6B80" w:rsidRPr="00533C9A" w:rsidP="007B260E" w14:paraId="3528799E" w14:textId="77777777">
            <w:pPr>
              <w:spacing w:after="0"/>
              <w:jc w:val="center"/>
              <w:rPr>
                <w:color w:val="000000"/>
                <w:sz w:val="18"/>
                <w:szCs w:val="18"/>
              </w:rPr>
            </w:pPr>
            <w:r w:rsidRPr="00BF4B71">
              <w:rPr>
                <w:color w:val="000000"/>
                <w:sz w:val="20"/>
                <w:szCs w:val="20"/>
              </w:rPr>
              <w:t>1,464</w:t>
            </w:r>
          </w:p>
        </w:tc>
        <w:tc>
          <w:tcPr>
            <w:tcW w:w="1189" w:type="pct"/>
            <w:tcBorders>
              <w:top w:val="nil"/>
              <w:left w:val="nil"/>
              <w:bottom w:val="single" w:sz="4" w:space="0" w:color="auto"/>
              <w:right w:val="single" w:sz="4" w:space="0" w:color="auto"/>
            </w:tcBorders>
            <w:shd w:val="clear" w:color="auto" w:fill="auto"/>
            <w:noWrap/>
            <w:vAlign w:val="center"/>
          </w:tcPr>
          <w:p w:rsidR="008B6B80" w:rsidRPr="00533C9A" w:rsidP="007B260E" w14:paraId="6CCE77E4" w14:textId="77777777">
            <w:pPr>
              <w:spacing w:after="0"/>
              <w:jc w:val="center"/>
              <w:rPr>
                <w:color w:val="000000"/>
                <w:sz w:val="18"/>
                <w:szCs w:val="18"/>
              </w:rPr>
            </w:pPr>
            <w:r w:rsidRPr="00084327">
              <w:rPr>
                <w:color w:val="000000"/>
                <w:sz w:val="20"/>
                <w:szCs w:val="20"/>
              </w:rPr>
              <w:t>$16</w:t>
            </w:r>
            <w:r>
              <w:rPr>
                <w:color w:val="000000"/>
                <w:sz w:val="20"/>
                <w:szCs w:val="20"/>
              </w:rPr>
              <w:t>4,250</w:t>
            </w:r>
          </w:p>
        </w:tc>
      </w:tr>
      <w:tr w14:paraId="55EC313E" w14:textId="77777777" w:rsidTr="007B260E">
        <w:tblPrEx>
          <w:tblW w:w="3848" w:type="pct"/>
          <w:tblLook w:val="04A0"/>
        </w:tblPrEx>
        <w:trPr>
          <w:trHeight w:val="288"/>
        </w:trPr>
        <w:tc>
          <w:tcPr>
            <w:tcW w:w="1372" w:type="pct"/>
            <w:tcBorders>
              <w:bottom w:val="single" w:sz="4" w:space="0" w:color="auto"/>
            </w:tcBorders>
            <w:shd w:val="clear" w:color="auto" w:fill="auto"/>
            <w:noWrap/>
            <w:vAlign w:val="center"/>
          </w:tcPr>
          <w:p w:rsidR="008B6B80" w:rsidRPr="00261E41" w:rsidP="007B260E" w14:paraId="1C3C241D" w14:textId="77777777">
            <w:pPr>
              <w:spacing w:after="0"/>
              <w:rPr>
                <w:b/>
                <w:bCs/>
                <w:color w:val="000000"/>
                <w:sz w:val="20"/>
                <w:szCs w:val="20"/>
              </w:rPr>
            </w:pPr>
            <w:r w:rsidRPr="00261E41">
              <w:rPr>
                <w:b/>
                <w:bCs/>
                <w:color w:val="000000"/>
                <w:sz w:val="20"/>
                <w:szCs w:val="20"/>
              </w:rPr>
              <w:t>Annual Average</w:t>
            </w:r>
          </w:p>
        </w:tc>
        <w:tc>
          <w:tcPr>
            <w:tcW w:w="1252" w:type="pct"/>
            <w:tcBorders>
              <w:bottom w:val="single" w:sz="4" w:space="0" w:color="auto"/>
            </w:tcBorders>
            <w:vAlign w:val="center"/>
          </w:tcPr>
          <w:p w:rsidR="008B6B80" w:rsidRPr="00714C7F" w:rsidP="007B260E" w14:paraId="4A422508" w14:textId="77777777">
            <w:pPr>
              <w:spacing w:after="0"/>
              <w:jc w:val="center"/>
              <w:rPr>
                <w:b/>
                <w:bCs/>
                <w:color w:val="000000"/>
                <w:sz w:val="18"/>
                <w:szCs w:val="18"/>
              </w:rPr>
            </w:pPr>
            <w:r>
              <w:rPr>
                <w:b/>
                <w:bCs/>
                <w:color w:val="000000"/>
                <w:sz w:val="18"/>
                <w:szCs w:val="18"/>
              </w:rPr>
              <w:t>22</w:t>
            </w:r>
          </w:p>
        </w:tc>
        <w:tc>
          <w:tcPr>
            <w:tcW w:w="1188" w:type="pct"/>
            <w:tcBorders>
              <w:top w:val="nil"/>
              <w:left w:val="single" w:sz="4" w:space="0" w:color="auto"/>
              <w:bottom w:val="single" w:sz="4" w:space="0" w:color="auto"/>
              <w:right w:val="single" w:sz="4" w:space="0" w:color="auto"/>
            </w:tcBorders>
            <w:shd w:val="clear" w:color="auto" w:fill="auto"/>
            <w:vAlign w:val="center"/>
          </w:tcPr>
          <w:p w:rsidR="008B6B80" w:rsidRPr="00533C9A" w:rsidP="007B260E" w14:paraId="66937C18" w14:textId="77777777">
            <w:pPr>
              <w:spacing w:after="0"/>
              <w:jc w:val="center"/>
              <w:rPr>
                <w:b/>
                <w:bCs/>
                <w:color w:val="000000"/>
                <w:sz w:val="18"/>
                <w:szCs w:val="18"/>
              </w:rPr>
            </w:pPr>
            <w:r w:rsidRPr="0007610A">
              <w:rPr>
                <w:b/>
                <w:bCs/>
                <w:color w:val="000000"/>
                <w:sz w:val="20"/>
                <w:szCs w:val="20"/>
              </w:rPr>
              <w:t>5,</w:t>
            </w:r>
            <w:r>
              <w:rPr>
                <w:b/>
                <w:bCs/>
                <w:color w:val="000000"/>
                <w:sz w:val="20"/>
                <w:szCs w:val="20"/>
              </w:rPr>
              <w:t>883</w:t>
            </w:r>
          </w:p>
        </w:tc>
        <w:tc>
          <w:tcPr>
            <w:tcW w:w="1189" w:type="pct"/>
            <w:tcBorders>
              <w:top w:val="nil"/>
              <w:left w:val="nil"/>
              <w:bottom w:val="single" w:sz="4" w:space="0" w:color="auto"/>
              <w:right w:val="single" w:sz="4" w:space="0" w:color="auto"/>
            </w:tcBorders>
            <w:shd w:val="clear" w:color="auto" w:fill="auto"/>
            <w:noWrap/>
            <w:vAlign w:val="center"/>
          </w:tcPr>
          <w:p w:rsidR="008B6B80" w:rsidRPr="00533C9A" w:rsidP="007B260E" w14:paraId="430C9CE7" w14:textId="77777777">
            <w:pPr>
              <w:spacing w:after="0"/>
              <w:jc w:val="center"/>
              <w:rPr>
                <w:b/>
                <w:bCs/>
                <w:color w:val="000000"/>
                <w:sz w:val="18"/>
                <w:szCs w:val="18"/>
              </w:rPr>
            </w:pPr>
            <w:r w:rsidRPr="00BF4B71">
              <w:rPr>
                <w:b/>
                <w:bCs/>
                <w:color w:val="000000"/>
                <w:sz w:val="20"/>
                <w:szCs w:val="20"/>
              </w:rPr>
              <w:t>$719,593</w:t>
            </w:r>
          </w:p>
        </w:tc>
      </w:tr>
    </w:tbl>
    <w:p w:rsidR="008B6B80" w:rsidRPr="00BB3410" w:rsidP="00854AAE" w14:paraId="6789E62C" w14:textId="77777777">
      <w:pPr>
        <w:spacing w:before="60"/>
        <w:rPr>
          <w:rFonts w:cstheme="minorHAnsi"/>
        </w:rPr>
      </w:pPr>
    </w:p>
    <w:p w:rsidR="00BB2B15" w:rsidRPr="00163C69" w:rsidP="00854AAE" w14:paraId="5D1B71A2" w14:textId="2ADBBFA0">
      <w:pPr>
        <w:pStyle w:val="ListParagraph"/>
        <w:numPr>
          <w:ilvl w:val="0"/>
          <w:numId w:val="25"/>
        </w:numPr>
        <w:spacing w:before="240" w:after="0"/>
        <w:rPr>
          <w:rFonts w:cstheme="minorHAnsi"/>
          <w:b/>
          <w:bCs/>
          <w:caps/>
        </w:rPr>
      </w:pPr>
      <w:bookmarkStart w:id="25" w:name="_Toc156593386"/>
      <w:r w:rsidRPr="4BDBF0A0">
        <w:rPr>
          <w:b/>
          <w:bCs/>
          <w:caps/>
        </w:rPr>
        <w:t>Respondent</w:t>
      </w:r>
      <w:r w:rsidRPr="4BDBF0A0" w:rsidR="009A09EC">
        <w:rPr>
          <w:b/>
          <w:bCs/>
          <w:caps/>
        </w:rPr>
        <w:t xml:space="preserve"> </w:t>
      </w:r>
      <w:r w:rsidRPr="4BDBF0A0" w:rsidR="00D17BB9">
        <w:rPr>
          <w:b/>
          <w:bCs/>
          <w:caps/>
        </w:rPr>
        <w:t xml:space="preserve">CAPITAL AND O&amp;m </w:t>
      </w:r>
      <w:r w:rsidRPr="4BDBF0A0" w:rsidR="004E3CB0">
        <w:rPr>
          <w:b/>
          <w:bCs/>
          <w:caps/>
        </w:rPr>
        <w:t>Cost</w:t>
      </w:r>
      <w:r w:rsidRPr="4BDBF0A0" w:rsidR="00D17BB9">
        <w:rPr>
          <w:b/>
          <w:bCs/>
          <w:caps/>
        </w:rPr>
        <w:t>S</w:t>
      </w:r>
      <w:bookmarkEnd w:id="25"/>
      <w:r w:rsidRPr="4BDBF0A0" w:rsidR="004E3CB0">
        <w:rPr>
          <w:b/>
          <w:bCs/>
          <w:caps/>
        </w:rPr>
        <w:t xml:space="preserve"> </w:t>
      </w:r>
    </w:p>
    <w:p w:rsidR="00F92596" w:rsidRPr="00F92596" w:rsidP="00F92596" w14:paraId="0925DF34" w14:textId="77777777">
      <w:pPr>
        <w:spacing w:after="0" w:line="240" w:lineRule="auto"/>
        <w:rPr>
          <w:rFonts w:cstheme="minorHAnsi"/>
          <w:i/>
          <w:iCs/>
        </w:rPr>
      </w:pPr>
      <w:r w:rsidRPr="00F92596">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F92596" w:rsidP="00163C69" w14:paraId="026BDBA4" w14:textId="77777777">
      <w:pPr>
        <w:spacing w:before="120" w:after="0" w:line="240" w:lineRule="auto"/>
        <w:rPr>
          <w:rFonts w:cstheme="minorHAnsi"/>
          <w:i/>
          <w:iCs/>
        </w:rPr>
      </w:pPr>
      <w:r w:rsidRPr="00F92596">
        <w:rPr>
          <w:rFonts w:cstheme="minorHAnsi"/>
          <w:i/>
          <w:iCs/>
        </w:rPr>
        <w:t>The cost estimate should be split into two components: (a) a total capital and start-up cost</w:t>
      </w:r>
    </w:p>
    <w:p w:rsidR="00F92596" w:rsidRPr="00F92596" w:rsidP="00F92596" w14:paraId="7ED5E3E9" w14:textId="77777777">
      <w:pPr>
        <w:spacing w:after="0" w:line="240" w:lineRule="auto"/>
        <w:rPr>
          <w:rFonts w:cstheme="minorHAnsi"/>
          <w:i/>
          <w:iCs/>
        </w:rPr>
      </w:pPr>
      <w:r w:rsidRPr="00F92596">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F92596" w:rsidP="00163C69" w14:paraId="761690A4" w14:textId="77777777">
      <w:pPr>
        <w:spacing w:line="240" w:lineRule="auto"/>
        <w:rPr>
          <w:rFonts w:cstheme="minorHAnsi"/>
          <w:i/>
          <w:iCs/>
        </w:rPr>
      </w:pPr>
      <w:r w:rsidRPr="00F92596">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F92596" w:rsidP="00163C69" w14:paraId="577731C5" w14:textId="77777777">
      <w:pPr>
        <w:pBdr>
          <w:bottom w:val="single" w:sz="4" w:space="1" w:color="auto"/>
        </w:pBdr>
        <w:spacing w:line="240" w:lineRule="auto"/>
        <w:rPr>
          <w:rFonts w:cstheme="minorHAnsi"/>
          <w:i/>
          <w:iCs/>
        </w:rPr>
      </w:pPr>
      <w:r w:rsidRPr="00F92596">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8B6B80" w:rsidP="008B6B80" w14:paraId="3A4C9008" w14:textId="77777777"/>
    <w:p w:rsidR="00BB3410" w:rsidRPr="00BB3410" w:rsidP="00854AAE" w14:paraId="678BA42F" w14:textId="46A91843">
      <w:pPr>
        <w:pBdr>
          <w:top w:val="single" w:sz="6" w:space="0" w:color="FFFFFF"/>
          <w:left w:val="single" w:sz="6" w:space="0" w:color="FFFFFF"/>
          <w:bottom w:val="single" w:sz="6" w:space="0" w:color="FFFFFF"/>
          <w:right w:val="single" w:sz="6" w:space="0" w:color="FFFFFF"/>
        </w:pBdr>
        <w:rPr>
          <w:rFonts w:cstheme="minorHAnsi"/>
          <w:color w:val="000000"/>
        </w:rPr>
      </w:pPr>
      <w:r w:rsidRPr="00411A1A">
        <w:drawing>
          <wp:inline distT="0" distB="0" distL="0" distR="0">
            <wp:extent cx="5943600" cy="1472565"/>
            <wp:effectExtent l="0" t="0" r="0" b="0"/>
            <wp:docPr id="1490317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317104" name="Picture 1"/>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472565"/>
                    </a:xfrm>
                    <a:prstGeom prst="rect">
                      <a:avLst/>
                    </a:prstGeom>
                    <a:noFill/>
                    <a:ln>
                      <a:noFill/>
                    </a:ln>
                  </pic:spPr>
                </pic:pic>
              </a:graphicData>
            </a:graphic>
          </wp:inline>
        </w:drawing>
      </w:r>
    </w:p>
    <w:p w:rsidR="00023EFE" w:rsidRPr="00163C69" w:rsidP="00854AAE" w14:paraId="7D2BF7DE" w14:textId="77777777">
      <w:pPr>
        <w:pStyle w:val="ListParagraph"/>
        <w:numPr>
          <w:ilvl w:val="0"/>
          <w:numId w:val="25"/>
        </w:numPr>
        <w:pBdr>
          <w:bottom w:val="single" w:sz="4" w:space="1" w:color="auto"/>
        </w:pBdr>
        <w:spacing w:before="240" w:after="0"/>
        <w:rPr>
          <w:rFonts w:cstheme="minorHAnsi"/>
          <w:b/>
          <w:bCs/>
        </w:rPr>
      </w:pPr>
      <w:bookmarkStart w:id="26" w:name="_Toc156593387"/>
      <w:r w:rsidRPr="4BDBF0A0">
        <w:rPr>
          <w:b/>
          <w:bCs/>
        </w:rPr>
        <w:t xml:space="preserve">AGENCY </w:t>
      </w:r>
      <w:bookmarkStart w:id="27" w:name="_Toc156593388"/>
      <w:bookmarkEnd w:id="26"/>
      <w:r w:rsidRPr="4BDBF0A0" w:rsidR="00BB2B15">
        <w:rPr>
          <w:b/>
          <w:bCs/>
        </w:rPr>
        <w:t>COSTS</w:t>
      </w:r>
    </w:p>
    <w:p w:rsidR="001F0834" w:rsidRPr="001F0834" w:rsidP="00854AAE" w14:paraId="3D696CEA" w14:textId="77777777">
      <w:pPr>
        <w:pBdr>
          <w:bottom w:val="single" w:sz="4" w:space="1" w:color="auto"/>
        </w:pBdr>
        <w:rPr>
          <w:rFonts w:cstheme="minorHAnsi"/>
          <w:bCs/>
          <w:i/>
          <w:iCs/>
        </w:rPr>
      </w:pPr>
      <w:r w:rsidRPr="001F0834">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163C69" w:rsidP="00854AAE" w14:paraId="1D8BBDEC" w14:textId="7D3333D9">
      <w:pPr>
        <w:spacing w:before="120" w:after="0"/>
        <w:rPr>
          <w:rFonts w:cstheme="minorHAnsi"/>
          <w:b/>
          <w:bCs/>
        </w:rPr>
      </w:pPr>
      <w:r w:rsidRPr="00163C69">
        <w:rPr>
          <w:rFonts w:eastAsiaTheme="majorEastAsia" w:cstheme="minorHAnsi"/>
          <w:b/>
          <w:bCs/>
        </w:rPr>
        <w:t xml:space="preserve">14a. </w:t>
      </w:r>
      <w:r w:rsidRPr="00163C69" w:rsidR="00BB2B15">
        <w:rPr>
          <w:rFonts w:eastAsiaTheme="majorEastAsia" w:cstheme="minorHAnsi"/>
          <w:b/>
          <w:bCs/>
        </w:rPr>
        <w:t>Agency Activities</w:t>
      </w:r>
    </w:p>
    <w:p w:rsidR="00EC266D" w:rsidP="00EC266D" w14:paraId="455025AB" w14:textId="0537672B">
      <w:r>
        <w:t xml:space="preserve">EPA identified one activity incurred by the federal government </w:t>
      </w:r>
      <w:r w:rsidRPr="00AC0B0E">
        <w:t xml:space="preserve">associated with this data collection request. Burden associated with each activity is based on EPA’s </w:t>
      </w:r>
      <w:r w:rsidRPr="00AC0B0E">
        <w:t>past experience</w:t>
      </w:r>
      <w:r w:rsidRPr="00AC0B0E">
        <w:t xml:space="preserve"> with reporting and data collection of HFCs and ODS. </w:t>
      </w:r>
      <w:r w:rsidRPr="005D3708">
        <w:t>The number of occurrences of each activity is based</w:t>
      </w:r>
      <w:r>
        <w:t xml:space="preserve"> on</w:t>
      </w:r>
      <w:r w:rsidRPr="005D3708">
        <w:t xml:space="preserve"> </w:t>
      </w:r>
      <w:r w:rsidRPr="00672C85">
        <w:t>the estimated number of responses</w:t>
      </w:r>
      <w:r>
        <w:t xml:space="preserve"> per year</w:t>
      </w:r>
      <w:r w:rsidRPr="00672C85">
        <w:t xml:space="preserve"> </w:t>
      </w:r>
      <w:r>
        <w:t xml:space="preserve">for each year of this ICR </w:t>
      </w:r>
      <w:r w:rsidRPr="00672C85">
        <w:t xml:space="preserve">(discussed </w:t>
      </w:r>
      <w:r>
        <w:t xml:space="preserve">further </w:t>
      </w:r>
      <w:r w:rsidRPr="00672C85">
        <w:t xml:space="preserve">in </w:t>
      </w:r>
      <w:r>
        <w:t>question 12)</w:t>
      </w:r>
      <w:r w:rsidRPr="00672C85">
        <w:t>.</w:t>
      </w:r>
    </w:p>
    <w:p w:rsidR="00023EFE" w:rsidRPr="00163C69" w:rsidP="00854AAE" w14:paraId="30F74537" w14:textId="3975E491">
      <w:pPr>
        <w:spacing w:before="120" w:after="0"/>
        <w:rPr>
          <w:rFonts w:cstheme="minorHAnsi"/>
          <w:b/>
          <w:bCs/>
        </w:rPr>
      </w:pPr>
      <w:r w:rsidRPr="00163C69">
        <w:rPr>
          <w:rFonts w:eastAsiaTheme="majorEastAsia" w:cstheme="minorHAnsi"/>
          <w:b/>
          <w:bCs/>
        </w:rPr>
        <w:t xml:space="preserve">14b. </w:t>
      </w:r>
      <w:r w:rsidRPr="00163C69" w:rsidR="00BB2B15">
        <w:rPr>
          <w:rFonts w:eastAsiaTheme="majorEastAsia" w:cstheme="minorHAnsi"/>
          <w:b/>
          <w:bCs/>
        </w:rPr>
        <w:t>Agency Labor Cost</w:t>
      </w:r>
    </w:p>
    <w:p w:rsidR="008B6B80" w:rsidRPr="00AC0B0E" w:rsidP="008B6B80" w14:paraId="71A5FF55" w14:textId="77777777">
      <w:r w:rsidRPr="00AC0B0E">
        <w:t>Costs are subdivided into Agency and contractor costs. The average hourly rates for the EPA technical and managerial staff of $</w:t>
      </w:r>
      <w:r w:rsidRPr="00362621">
        <w:t>51.18</w:t>
      </w:r>
      <w:r w:rsidRPr="00AC0B0E">
        <w:t xml:space="preserve"> and $</w:t>
      </w:r>
      <w:r w:rsidRPr="00362621">
        <w:t>71.15</w:t>
      </w:r>
      <w:r w:rsidRPr="00AC0B0E">
        <w:t>, respectively, are derived from the 202</w:t>
      </w:r>
      <w:r>
        <w:t>2</w:t>
      </w:r>
      <w:r w:rsidRPr="00AC0B0E">
        <w:t xml:space="preserve"> annual base pay table, which was retrieved from the Office of Personnel Management website. The rate for technical staff is based on a GS-13 step 1 salary and the rate for managerial staff is based on a GS-15 step 1 salary. These rates were then multiplied by the standard government benefits multiplication factor of 1.6 to get hour</w:t>
      </w:r>
      <w:r>
        <w:t>ly</w:t>
      </w:r>
      <w:r w:rsidRPr="00AC0B0E">
        <w:t xml:space="preserve"> rates of $</w:t>
      </w:r>
      <w:r>
        <w:t>81.89</w:t>
      </w:r>
      <w:r w:rsidRPr="00AC0B0E">
        <w:t xml:space="preserve"> for technical staff and $</w:t>
      </w:r>
      <w:r>
        <w:t>113.84</w:t>
      </w:r>
      <w:r w:rsidRPr="00AC0B0E">
        <w:t xml:space="preserve"> for managerial staff. The cost of contractor time is valued at $</w:t>
      </w:r>
      <w:r>
        <w:t>130.52</w:t>
      </w:r>
      <w:r w:rsidRPr="00AC0B0E">
        <w:t xml:space="preserve"> per hour on average, including overhead and fringe. This rate </w:t>
      </w:r>
      <w:r w:rsidRPr="00AC0B0E">
        <w:t>takes into account</w:t>
      </w:r>
      <w:r w:rsidRPr="00AC0B0E">
        <w:t xml:space="preserve"> a weighted average of managerial and technical staff hours, based on rates for Consultant III and Researcher II under GSA Schedule 899‐1 Environmental Consulting Services. </w:t>
      </w:r>
    </w:p>
    <w:p w:rsidR="008B6B80" w:rsidP="008B6B80" w14:paraId="08415692" w14:textId="258E6BD9">
      <w:r>
        <w:fldChar w:fldCharType="begin"/>
      </w:r>
      <w:r>
        <w:instrText xml:space="preserve"> REF _Ref69842410 \h </w:instrText>
      </w:r>
      <w:r>
        <w:fldChar w:fldCharType="separate"/>
      </w:r>
      <w:r>
        <w:t xml:space="preserve">Table </w:t>
      </w:r>
      <w:r>
        <w:rPr>
          <w:noProof/>
        </w:rPr>
        <w:t>V</w:t>
      </w:r>
      <w:r>
        <w:fldChar w:fldCharType="end"/>
      </w:r>
      <w:r w:rsidR="008533CD">
        <w:t>II</w:t>
      </w:r>
      <w:r w:rsidRPr="00AC0B0E">
        <w:t xml:space="preserve"> summarizes total agency burden and costs by activity.</w:t>
      </w:r>
    </w:p>
    <w:p w:rsidR="008533CD" w:rsidP="008B6B80" w14:paraId="28115E96" w14:textId="77777777"/>
    <w:p w:rsidR="008B6B80" w:rsidP="008B6B80" w14:paraId="4DA2C7BA" w14:textId="395DD512">
      <w:pPr>
        <w:pStyle w:val="Caption"/>
        <w:keepNext/>
      </w:pPr>
      <w:bookmarkStart w:id="28" w:name="_Ref69842410"/>
      <w:r>
        <w:t xml:space="preserve">Table </w:t>
      </w:r>
      <w:r>
        <w:fldChar w:fldCharType="begin"/>
      </w:r>
      <w:r>
        <w:instrText xml:space="preserve"> SEQ Table \* ROMAN </w:instrText>
      </w:r>
      <w:r>
        <w:fldChar w:fldCharType="separate"/>
      </w:r>
      <w:r>
        <w:rPr>
          <w:noProof/>
        </w:rPr>
        <w:t>V</w:t>
      </w:r>
      <w:r>
        <w:rPr>
          <w:noProof/>
        </w:rPr>
        <w:fldChar w:fldCharType="end"/>
      </w:r>
      <w:bookmarkEnd w:id="28"/>
      <w:r w:rsidR="008533CD">
        <w:rPr>
          <w:noProof/>
        </w:rPr>
        <w:t>II</w:t>
      </w:r>
      <w:r>
        <w:t>. Agency Burden and Cost Table</w:t>
      </w:r>
    </w:p>
    <w:tbl>
      <w:tblPr>
        <w:tblW w:w="9370" w:type="dxa"/>
        <w:tblLayout w:type="fixed"/>
        <w:tblCellMar>
          <w:left w:w="58" w:type="dxa"/>
          <w:right w:w="58" w:type="dxa"/>
        </w:tblCellMar>
        <w:tblLook w:val="04A0"/>
      </w:tblPr>
      <w:tblGrid>
        <w:gridCol w:w="2424"/>
        <w:gridCol w:w="631"/>
        <w:gridCol w:w="630"/>
        <w:gridCol w:w="630"/>
        <w:gridCol w:w="516"/>
        <w:gridCol w:w="516"/>
        <w:gridCol w:w="513"/>
        <w:gridCol w:w="540"/>
        <w:gridCol w:w="540"/>
        <w:gridCol w:w="540"/>
        <w:gridCol w:w="630"/>
        <w:gridCol w:w="630"/>
        <w:gridCol w:w="630"/>
      </w:tblGrid>
      <w:tr w14:paraId="2B11C0AD" w14:textId="77777777" w:rsidTr="007B260E">
        <w:tblPrEx>
          <w:tblW w:w="9370" w:type="dxa"/>
          <w:tblLayout w:type="fixed"/>
          <w:tblCellMar>
            <w:left w:w="58" w:type="dxa"/>
            <w:right w:w="58" w:type="dxa"/>
          </w:tblCellMar>
          <w:tblLook w:val="04A0"/>
        </w:tblPrEx>
        <w:trPr>
          <w:trHeight w:val="233"/>
        </w:trPr>
        <w:tc>
          <w:tcPr>
            <w:tcW w:w="242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8B6B80" w:rsidRPr="005F5BCF" w:rsidP="007B260E" w14:paraId="78D4F63F" w14:textId="77777777">
            <w:pPr>
              <w:spacing w:after="0"/>
              <w:jc w:val="center"/>
              <w:rPr>
                <w:b/>
                <w:bCs/>
                <w:color w:val="000000"/>
                <w:sz w:val="18"/>
                <w:szCs w:val="18"/>
              </w:rPr>
            </w:pPr>
            <w:r w:rsidRPr="005F5BCF">
              <w:rPr>
                <w:b/>
                <w:bCs/>
                <w:color w:val="000000"/>
                <w:sz w:val="18"/>
                <w:szCs w:val="18"/>
              </w:rPr>
              <w:t>Activity</w:t>
            </w:r>
          </w:p>
        </w:tc>
        <w:tc>
          <w:tcPr>
            <w:tcW w:w="1891"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8B6B80" w:rsidRPr="005F5BCF" w:rsidP="007B260E" w14:paraId="1CF7BA43" w14:textId="77777777">
            <w:pPr>
              <w:spacing w:after="0"/>
              <w:jc w:val="center"/>
              <w:rPr>
                <w:b/>
                <w:bCs/>
                <w:color w:val="000000"/>
                <w:sz w:val="18"/>
                <w:szCs w:val="18"/>
              </w:rPr>
            </w:pPr>
            <w:r w:rsidRPr="005F5BCF">
              <w:rPr>
                <w:b/>
                <w:bCs/>
                <w:color w:val="000000"/>
                <w:sz w:val="18"/>
                <w:szCs w:val="18"/>
              </w:rPr>
              <w:t xml:space="preserve">Hours per </w:t>
            </w:r>
            <w:r>
              <w:rPr>
                <w:b/>
                <w:bCs/>
                <w:color w:val="000000"/>
                <w:sz w:val="18"/>
                <w:szCs w:val="18"/>
              </w:rPr>
              <w:t>Response</w:t>
            </w:r>
          </w:p>
          <w:p w:rsidR="008B6B80" w:rsidRPr="005F5BCF" w:rsidP="007B260E" w14:paraId="66B15B0E" w14:textId="77777777">
            <w:pPr>
              <w:spacing w:after="0"/>
              <w:jc w:val="center"/>
              <w:rPr>
                <w:b/>
                <w:bCs/>
                <w:color w:val="000000"/>
                <w:sz w:val="18"/>
                <w:szCs w:val="18"/>
              </w:rPr>
            </w:pPr>
          </w:p>
        </w:tc>
        <w:tc>
          <w:tcPr>
            <w:tcW w:w="1545" w:type="dxa"/>
            <w:gridSpan w:val="3"/>
            <w:tcBorders>
              <w:top w:val="single" w:sz="4" w:space="0" w:color="auto"/>
              <w:left w:val="nil"/>
              <w:bottom w:val="nil"/>
              <w:right w:val="single" w:sz="4" w:space="0" w:color="000000"/>
            </w:tcBorders>
            <w:shd w:val="clear" w:color="000000" w:fill="F2F2F2"/>
            <w:vAlign w:val="center"/>
            <w:hideMark/>
          </w:tcPr>
          <w:p w:rsidR="008B6B80" w:rsidRPr="005F5BCF" w:rsidP="007B260E" w14:paraId="3CFF0333" w14:textId="77777777">
            <w:pPr>
              <w:spacing w:after="0"/>
              <w:jc w:val="center"/>
              <w:rPr>
                <w:b/>
                <w:bCs/>
                <w:color w:val="000000"/>
                <w:sz w:val="18"/>
                <w:szCs w:val="18"/>
              </w:rPr>
            </w:pPr>
            <w:r w:rsidRPr="005F5BCF">
              <w:rPr>
                <w:b/>
                <w:bCs/>
                <w:color w:val="000000"/>
                <w:sz w:val="18"/>
                <w:szCs w:val="18"/>
              </w:rPr>
              <w:t xml:space="preserve"> Number of </w:t>
            </w:r>
            <w:r>
              <w:rPr>
                <w:b/>
                <w:bCs/>
                <w:color w:val="000000"/>
                <w:sz w:val="18"/>
                <w:szCs w:val="18"/>
              </w:rPr>
              <w:t>Activities</w:t>
            </w:r>
            <w:r w:rsidRPr="005F5BCF">
              <w:rPr>
                <w:b/>
                <w:bCs/>
                <w:color w:val="000000"/>
                <w:sz w:val="18"/>
                <w:szCs w:val="18"/>
              </w:rPr>
              <w:t xml:space="preserve"> </w:t>
            </w:r>
          </w:p>
        </w:tc>
        <w:tc>
          <w:tcPr>
            <w:tcW w:w="1620" w:type="dxa"/>
            <w:gridSpan w:val="3"/>
            <w:tcBorders>
              <w:top w:val="single" w:sz="4" w:space="0" w:color="auto"/>
              <w:left w:val="nil"/>
              <w:bottom w:val="single" w:sz="4" w:space="0" w:color="auto"/>
              <w:right w:val="single" w:sz="4" w:space="0" w:color="000000"/>
            </w:tcBorders>
            <w:shd w:val="clear" w:color="000000" w:fill="F2F2F2"/>
            <w:vAlign w:val="center"/>
            <w:hideMark/>
          </w:tcPr>
          <w:p w:rsidR="008B6B80" w:rsidRPr="005F5BCF" w:rsidP="007B260E" w14:paraId="1E2A9093" w14:textId="77777777">
            <w:pPr>
              <w:spacing w:after="0"/>
              <w:jc w:val="center"/>
              <w:rPr>
                <w:b/>
                <w:bCs/>
                <w:color w:val="000000"/>
                <w:sz w:val="18"/>
                <w:szCs w:val="18"/>
              </w:rPr>
            </w:pPr>
            <w:r w:rsidRPr="005F5BCF">
              <w:rPr>
                <w:b/>
                <w:bCs/>
                <w:color w:val="000000"/>
                <w:sz w:val="18"/>
                <w:szCs w:val="18"/>
              </w:rPr>
              <w:t xml:space="preserve"> Total Hours  </w:t>
            </w:r>
          </w:p>
        </w:tc>
        <w:tc>
          <w:tcPr>
            <w:tcW w:w="1890" w:type="dxa"/>
            <w:gridSpan w:val="3"/>
            <w:tcBorders>
              <w:top w:val="single" w:sz="4" w:space="0" w:color="auto"/>
              <w:left w:val="nil"/>
              <w:bottom w:val="single" w:sz="4" w:space="0" w:color="auto"/>
              <w:right w:val="single" w:sz="4" w:space="0" w:color="000000"/>
            </w:tcBorders>
            <w:shd w:val="clear" w:color="000000" w:fill="F2F2F2"/>
            <w:vAlign w:val="center"/>
          </w:tcPr>
          <w:p w:rsidR="008B6B80" w:rsidRPr="005F5BCF" w:rsidP="007B260E" w14:paraId="61F91118" w14:textId="77777777">
            <w:pPr>
              <w:spacing w:after="0"/>
              <w:jc w:val="center"/>
              <w:rPr>
                <w:b/>
                <w:bCs/>
                <w:color w:val="000000"/>
                <w:sz w:val="18"/>
                <w:szCs w:val="18"/>
              </w:rPr>
            </w:pPr>
            <w:r w:rsidRPr="005F5BCF">
              <w:rPr>
                <w:b/>
                <w:bCs/>
                <w:color w:val="000000"/>
                <w:sz w:val="18"/>
                <w:szCs w:val="18"/>
              </w:rPr>
              <w:t>Total Costs</w:t>
            </w:r>
          </w:p>
        </w:tc>
      </w:tr>
      <w:tr w14:paraId="5964F7B4" w14:textId="77777777" w:rsidTr="007B260E">
        <w:tblPrEx>
          <w:tblW w:w="9370" w:type="dxa"/>
          <w:tblLayout w:type="fixed"/>
          <w:tblCellMar>
            <w:left w:w="58" w:type="dxa"/>
            <w:right w:w="58" w:type="dxa"/>
          </w:tblCellMar>
          <w:tblLook w:val="04A0"/>
        </w:tblPrEx>
        <w:trPr>
          <w:trHeight w:val="242"/>
        </w:trPr>
        <w:tc>
          <w:tcPr>
            <w:tcW w:w="2424" w:type="dxa"/>
            <w:vMerge/>
            <w:tcBorders>
              <w:top w:val="single" w:sz="4" w:space="0" w:color="auto"/>
              <w:left w:val="single" w:sz="4" w:space="0" w:color="auto"/>
              <w:bottom w:val="single" w:sz="4" w:space="0" w:color="auto"/>
              <w:right w:val="single" w:sz="4" w:space="0" w:color="auto"/>
            </w:tcBorders>
            <w:vAlign w:val="center"/>
            <w:hideMark/>
          </w:tcPr>
          <w:p w:rsidR="008B6B80" w:rsidRPr="005F5BCF" w:rsidP="007B260E" w14:paraId="63198975" w14:textId="77777777">
            <w:pPr>
              <w:spacing w:after="0"/>
              <w:rPr>
                <w:b/>
                <w:bCs/>
                <w:color w:val="000000"/>
                <w:sz w:val="18"/>
                <w:szCs w:val="18"/>
              </w:rPr>
            </w:pPr>
          </w:p>
        </w:tc>
        <w:tc>
          <w:tcPr>
            <w:tcW w:w="631" w:type="dxa"/>
            <w:tcBorders>
              <w:left w:val="single" w:sz="4" w:space="0" w:color="auto"/>
              <w:bottom w:val="single" w:sz="4" w:space="0" w:color="auto"/>
              <w:right w:val="single" w:sz="4" w:space="0" w:color="auto"/>
            </w:tcBorders>
            <w:shd w:val="clear" w:color="000000" w:fill="F2F2F2"/>
            <w:vAlign w:val="center"/>
            <w:hideMark/>
          </w:tcPr>
          <w:p w:rsidR="008B6B80" w:rsidRPr="005F5BCF" w:rsidP="007B260E" w14:paraId="65BB3AD3" w14:textId="77777777">
            <w:pPr>
              <w:spacing w:after="0"/>
              <w:jc w:val="center"/>
              <w:rPr>
                <w:b/>
                <w:bCs/>
                <w:color w:val="000000"/>
                <w:sz w:val="18"/>
                <w:szCs w:val="18"/>
              </w:rPr>
            </w:pPr>
            <w:r w:rsidRPr="005F5BCF">
              <w:rPr>
                <w:b/>
                <w:bCs/>
                <w:color w:val="000000"/>
                <w:sz w:val="18"/>
                <w:szCs w:val="18"/>
              </w:rPr>
              <w:t>Man</w:t>
            </w:r>
            <w:r>
              <w:rPr>
                <w:b/>
                <w:bCs/>
                <w:color w:val="000000"/>
                <w:sz w:val="18"/>
                <w:szCs w:val="18"/>
              </w:rPr>
              <w:t>.</w:t>
            </w:r>
          </w:p>
        </w:tc>
        <w:tc>
          <w:tcPr>
            <w:tcW w:w="630" w:type="dxa"/>
            <w:tcBorders>
              <w:left w:val="single" w:sz="4" w:space="0" w:color="auto"/>
              <w:bottom w:val="single" w:sz="4" w:space="0" w:color="auto"/>
              <w:right w:val="single" w:sz="4" w:space="0" w:color="auto"/>
            </w:tcBorders>
            <w:shd w:val="clear" w:color="000000" w:fill="F2F2F2"/>
            <w:vAlign w:val="center"/>
          </w:tcPr>
          <w:p w:rsidR="008B6B80" w:rsidRPr="005F5BCF" w:rsidP="007B260E" w14:paraId="5ACC8B04" w14:textId="77777777">
            <w:pPr>
              <w:spacing w:after="0"/>
              <w:jc w:val="center"/>
              <w:rPr>
                <w:b/>
                <w:bCs/>
                <w:color w:val="000000"/>
                <w:sz w:val="18"/>
                <w:szCs w:val="18"/>
              </w:rPr>
            </w:pPr>
            <w:r w:rsidRPr="005F5BCF">
              <w:rPr>
                <w:b/>
                <w:bCs/>
                <w:color w:val="000000"/>
                <w:sz w:val="18"/>
                <w:szCs w:val="18"/>
              </w:rPr>
              <w:t>Tech</w:t>
            </w:r>
            <w:r>
              <w:rPr>
                <w:b/>
                <w:bCs/>
                <w:color w:val="000000"/>
                <w:sz w:val="18"/>
                <w:szCs w:val="18"/>
              </w:rPr>
              <w:t>.</w:t>
            </w:r>
          </w:p>
        </w:tc>
        <w:tc>
          <w:tcPr>
            <w:tcW w:w="630" w:type="dxa"/>
            <w:tcBorders>
              <w:top w:val="single" w:sz="4" w:space="0" w:color="auto"/>
              <w:left w:val="single" w:sz="4" w:space="0" w:color="auto"/>
              <w:bottom w:val="single" w:sz="4" w:space="0" w:color="auto"/>
              <w:right w:val="single" w:sz="4" w:space="0" w:color="auto"/>
            </w:tcBorders>
            <w:shd w:val="clear" w:color="000000" w:fill="F2F2F2"/>
            <w:vAlign w:val="center"/>
          </w:tcPr>
          <w:p w:rsidR="008B6B80" w:rsidRPr="005F5BCF" w:rsidP="007B260E" w14:paraId="73FDF48A" w14:textId="77777777">
            <w:pPr>
              <w:spacing w:after="0"/>
              <w:jc w:val="center"/>
              <w:rPr>
                <w:b/>
                <w:bCs/>
                <w:color w:val="000000"/>
                <w:sz w:val="18"/>
                <w:szCs w:val="18"/>
              </w:rPr>
            </w:pPr>
            <w:r w:rsidRPr="005F5BCF">
              <w:rPr>
                <w:b/>
                <w:bCs/>
                <w:color w:val="000000"/>
                <w:sz w:val="18"/>
                <w:szCs w:val="18"/>
              </w:rPr>
              <w:t>Cont</w:t>
            </w:r>
            <w:r>
              <w:rPr>
                <w:b/>
                <w:bCs/>
                <w:color w:val="000000"/>
                <w:sz w:val="18"/>
                <w:szCs w:val="18"/>
              </w:rPr>
              <w:t>.</w:t>
            </w:r>
          </w:p>
        </w:tc>
        <w:tc>
          <w:tcPr>
            <w:tcW w:w="516" w:type="dxa"/>
            <w:tcBorders>
              <w:top w:val="single" w:sz="4" w:space="0" w:color="auto"/>
              <w:left w:val="nil"/>
              <w:bottom w:val="single" w:sz="4" w:space="0" w:color="auto"/>
              <w:right w:val="single" w:sz="4" w:space="0" w:color="auto"/>
            </w:tcBorders>
            <w:shd w:val="clear" w:color="000000" w:fill="F2F2F2"/>
            <w:vAlign w:val="center"/>
            <w:hideMark/>
          </w:tcPr>
          <w:p w:rsidR="008B6B80" w:rsidRPr="005F5BCF" w:rsidP="007B260E" w14:paraId="709B3509" w14:textId="77777777">
            <w:pPr>
              <w:spacing w:after="0"/>
              <w:jc w:val="center"/>
              <w:rPr>
                <w:b/>
                <w:bCs/>
                <w:color w:val="000000"/>
                <w:sz w:val="18"/>
                <w:szCs w:val="18"/>
              </w:rPr>
            </w:pPr>
            <w:r w:rsidRPr="005F5BCF">
              <w:rPr>
                <w:b/>
                <w:bCs/>
                <w:color w:val="000000"/>
                <w:sz w:val="18"/>
                <w:szCs w:val="18"/>
              </w:rPr>
              <w:t xml:space="preserve"> Y1 </w:t>
            </w:r>
          </w:p>
        </w:tc>
        <w:tc>
          <w:tcPr>
            <w:tcW w:w="516" w:type="dxa"/>
            <w:tcBorders>
              <w:top w:val="single" w:sz="4" w:space="0" w:color="auto"/>
              <w:left w:val="nil"/>
              <w:bottom w:val="single" w:sz="4" w:space="0" w:color="auto"/>
              <w:right w:val="single" w:sz="4" w:space="0" w:color="auto"/>
            </w:tcBorders>
            <w:shd w:val="clear" w:color="000000" w:fill="F2F2F2"/>
            <w:vAlign w:val="center"/>
            <w:hideMark/>
          </w:tcPr>
          <w:p w:rsidR="008B6B80" w:rsidRPr="005F5BCF" w:rsidP="007B260E" w14:paraId="0D4E917C" w14:textId="77777777">
            <w:pPr>
              <w:spacing w:after="0"/>
              <w:jc w:val="center"/>
              <w:rPr>
                <w:b/>
                <w:bCs/>
                <w:color w:val="000000"/>
                <w:sz w:val="18"/>
                <w:szCs w:val="18"/>
              </w:rPr>
            </w:pPr>
            <w:r w:rsidRPr="005F5BCF">
              <w:rPr>
                <w:b/>
                <w:bCs/>
                <w:color w:val="000000"/>
                <w:sz w:val="18"/>
                <w:szCs w:val="18"/>
              </w:rPr>
              <w:t xml:space="preserve"> Y2 </w:t>
            </w:r>
          </w:p>
        </w:tc>
        <w:tc>
          <w:tcPr>
            <w:tcW w:w="513" w:type="dxa"/>
            <w:tcBorders>
              <w:top w:val="single" w:sz="4" w:space="0" w:color="auto"/>
              <w:left w:val="nil"/>
              <w:bottom w:val="single" w:sz="4" w:space="0" w:color="auto"/>
              <w:right w:val="single" w:sz="4" w:space="0" w:color="auto"/>
            </w:tcBorders>
            <w:shd w:val="clear" w:color="000000" w:fill="F2F2F2"/>
            <w:vAlign w:val="center"/>
            <w:hideMark/>
          </w:tcPr>
          <w:p w:rsidR="008B6B80" w:rsidRPr="005F5BCF" w:rsidP="007B260E" w14:paraId="1A2FF53A" w14:textId="77777777">
            <w:pPr>
              <w:spacing w:after="0"/>
              <w:jc w:val="center"/>
              <w:rPr>
                <w:b/>
                <w:bCs/>
                <w:color w:val="000000"/>
                <w:sz w:val="18"/>
                <w:szCs w:val="18"/>
              </w:rPr>
            </w:pPr>
            <w:r w:rsidRPr="005F5BCF">
              <w:rPr>
                <w:b/>
                <w:bCs/>
                <w:color w:val="000000"/>
                <w:sz w:val="18"/>
                <w:szCs w:val="18"/>
              </w:rPr>
              <w:t xml:space="preserve"> Y3 </w:t>
            </w:r>
          </w:p>
        </w:tc>
        <w:tc>
          <w:tcPr>
            <w:tcW w:w="540" w:type="dxa"/>
            <w:tcBorders>
              <w:top w:val="nil"/>
              <w:left w:val="nil"/>
              <w:bottom w:val="single" w:sz="4" w:space="0" w:color="auto"/>
              <w:right w:val="single" w:sz="4" w:space="0" w:color="auto"/>
            </w:tcBorders>
            <w:shd w:val="clear" w:color="000000" w:fill="F2F2F2"/>
            <w:vAlign w:val="center"/>
            <w:hideMark/>
          </w:tcPr>
          <w:p w:rsidR="008B6B80" w:rsidRPr="005F5BCF" w:rsidP="007B260E" w14:paraId="3CDF67DF" w14:textId="77777777">
            <w:pPr>
              <w:spacing w:after="0"/>
              <w:jc w:val="center"/>
              <w:rPr>
                <w:b/>
                <w:bCs/>
                <w:color w:val="000000"/>
                <w:sz w:val="18"/>
                <w:szCs w:val="18"/>
              </w:rPr>
            </w:pPr>
            <w:r w:rsidRPr="005F5BCF">
              <w:rPr>
                <w:b/>
                <w:bCs/>
                <w:color w:val="000000"/>
                <w:sz w:val="18"/>
                <w:szCs w:val="18"/>
              </w:rPr>
              <w:t xml:space="preserve"> Y1 </w:t>
            </w:r>
          </w:p>
        </w:tc>
        <w:tc>
          <w:tcPr>
            <w:tcW w:w="540" w:type="dxa"/>
            <w:tcBorders>
              <w:top w:val="nil"/>
              <w:left w:val="nil"/>
              <w:bottom w:val="single" w:sz="4" w:space="0" w:color="auto"/>
              <w:right w:val="single" w:sz="4" w:space="0" w:color="auto"/>
            </w:tcBorders>
            <w:shd w:val="clear" w:color="000000" w:fill="F2F2F2"/>
            <w:vAlign w:val="center"/>
            <w:hideMark/>
          </w:tcPr>
          <w:p w:rsidR="008B6B80" w:rsidRPr="005F5BCF" w:rsidP="007B260E" w14:paraId="61A09985" w14:textId="77777777">
            <w:pPr>
              <w:spacing w:after="0"/>
              <w:jc w:val="center"/>
              <w:rPr>
                <w:b/>
                <w:bCs/>
                <w:color w:val="000000"/>
                <w:sz w:val="18"/>
                <w:szCs w:val="18"/>
              </w:rPr>
            </w:pPr>
            <w:r w:rsidRPr="005F5BCF">
              <w:rPr>
                <w:b/>
                <w:bCs/>
                <w:color w:val="000000"/>
                <w:sz w:val="18"/>
                <w:szCs w:val="18"/>
              </w:rPr>
              <w:t xml:space="preserve"> Y2 </w:t>
            </w:r>
          </w:p>
        </w:tc>
        <w:tc>
          <w:tcPr>
            <w:tcW w:w="540" w:type="dxa"/>
            <w:tcBorders>
              <w:top w:val="nil"/>
              <w:left w:val="nil"/>
              <w:bottom w:val="single" w:sz="4" w:space="0" w:color="auto"/>
              <w:right w:val="single" w:sz="4" w:space="0" w:color="auto"/>
            </w:tcBorders>
            <w:shd w:val="clear" w:color="000000" w:fill="F2F2F2"/>
            <w:vAlign w:val="center"/>
            <w:hideMark/>
          </w:tcPr>
          <w:p w:rsidR="008B6B80" w:rsidRPr="005F5BCF" w:rsidP="007B260E" w14:paraId="692E7667" w14:textId="77777777">
            <w:pPr>
              <w:spacing w:after="0"/>
              <w:jc w:val="center"/>
              <w:rPr>
                <w:b/>
                <w:bCs/>
                <w:color w:val="000000"/>
                <w:sz w:val="18"/>
                <w:szCs w:val="18"/>
              </w:rPr>
            </w:pPr>
            <w:r w:rsidRPr="005F5BCF">
              <w:rPr>
                <w:b/>
                <w:bCs/>
                <w:color w:val="000000"/>
                <w:sz w:val="18"/>
                <w:szCs w:val="18"/>
              </w:rPr>
              <w:t xml:space="preserve"> Y3 </w:t>
            </w:r>
          </w:p>
        </w:tc>
        <w:tc>
          <w:tcPr>
            <w:tcW w:w="630" w:type="dxa"/>
            <w:tcBorders>
              <w:top w:val="nil"/>
              <w:left w:val="nil"/>
              <w:bottom w:val="single" w:sz="4" w:space="0" w:color="auto"/>
              <w:right w:val="single" w:sz="4" w:space="0" w:color="auto"/>
            </w:tcBorders>
            <w:shd w:val="clear" w:color="000000" w:fill="F2F2F2"/>
            <w:vAlign w:val="center"/>
          </w:tcPr>
          <w:p w:rsidR="008B6B80" w:rsidRPr="005F5BCF" w:rsidP="007B260E" w14:paraId="36814D9F" w14:textId="77777777">
            <w:pPr>
              <w:spacing w:after="0"/>
              <w:jc w:val="center"/>
              <w:rPr>
                <w:b/>
                <w:bCs/>
                <w:color w:val="000000"/>
                <w:sz w:val="18"/>
                <w:szCs w:val="18"/>
              </w:rPr>
            </w:pPr>
            <w:r w:rsidRPr="00A44074">
              <w:rPr>
                <w:b/>
                <w:bCs/>
                <w:color w:val="000000"/>
                <w:sz w:val="18"/>
                <w:szCs w:val="18"/>
              </w:rPr>
              <w:t xml:space="preserve"> Y1 </w:t>
            </w:r>
          </w:p>
        </w:tc>
        <w:tc>
          <w:tcPr>
            <w:tcW w:w="630" w:type="dxa"/>
            <w:tcBorders>
              <w:top w:val="nil"/>
              <w:left w:val="nil"/>
              <w:bottom w:val="single" w:sz="4" w:space="0" w:color="auto"/>
              <w:right w:val="single" w:sz="4" w:space="0" w:color="auto"/>
            </w:tcBorders>
            <w:shd w:val="clear" w:color="000000" w:fill="F2F2F2"/>
            <w:vAlign w:val="center"/>
          </w:tcPr>
          <w:p w:rsidR="008B6B80" w:rsidRPr="005F5BCF" w:rsidP="007B260E" w14:paraId="198B9E70" w14:textId="77777777">
            <w:pPr>
              <w:spacing w:after="0"/>
              <w:jc w:val="center"/>
              <w:rPr>
                <w:b/>
                <w:bCs/>
                <w:color w:val="000000"/>
                <w:sz w:val="18"/>
                <w:szCs w:val="18"/>
              </w:rPr>
            </w:pPr>
            <w:r w:rsidRPr="00A44074">
              <w:rPr>
                <w:b/>
                <w:bCs/>
                <w:color w:val="000000"/>
                <w:sz w:val="18"/>
                <w:szCs w:val="18"/>
              </w:rPr>
              <w:t xml:space="preserve"> Y2 </w:t>
            </w:r>
          </w:p>
        </w:tc>
        <w:tc>
          <w:tcPr>
            <w:tcW w:w="630" w:type="dxa"/>
            <w:tcBorders>
              <w:top w:val="nil"/>
              <w:left w:val="nil"/>
              <w:bottom w:val="single" w:sz="4" w:space="0" w:color="auto"/>
              <w:right w:val="single" w:sz="4" w:space="0" w:color="auto"/>
            </w:tcBorders>
            <w:shd w:val="clear" w:color="000000" w:fill="F2F2F2"/>
            <w:vAlign w:val="center"/>
          </w:tcPr>
          <w:p w:rsidR="008B6B80" w:rsidRPr="005F5BCF" w:rsidP="007B260E" w14:paraId="1C49E1B7" w14:textId="77777777">
            <w:pPr>
              <w:spacing w:after="0"/>
              <w:jc w:val="center"/>
              <w:rPr>
                <w:b/>
                <w:bCs/>
                <w:color w:val="000000"/>
                <w:sz w:val="18"/>
                <w:szCs w:val="18"/>
              </w:rPr>
            </w:pPr>
            <w:r w:rsidRPr="00A44074">
              <w:rPr>
                <w:b/>
                <w:bCs/>
                <w:color w:val="000000"/>
                <w:sz w:val="18"/>
                <w:szCs w:val="18"/>
              </w:rPr>
              <w:t xml:space="preserve"> Y3 </w:t>
            </w:r>
          </w:p>
        </w:tc>
      </w:tr>
      <w:tr w14:paraId="1F6E2A47" w14:textId="77777777" w:rsidTr="007B260E">
        <w:tblPrEx>
          <w:tblW w:w="9370" w:type="dxa"/>
          <w:tblLayout w:type="fixed"/>
          <w:tblCellMar>
            <w:left w:w="58" w:type="dxa"/>
            <w:right w:w="58" w:type="dxa"/>
          </w:tblCellMar>
          <w:tblLook w:val="04A0"/>
        </w:tblPrEx>
        <w:trPr>
          <w:trHeight w:val="504"/>
        </w:trPr>
        <w:tc>
          <w:tcPr>
            <w:tcW w:w="2424" w:type="dxa"/>
            <w:tcBorders>
              <w:top w:val="nil"/>
              <w:left w:val="single" w:sz="4" w:space="0" w:color="auto"/>
              <w:bottom w:val="single" w:sz="4" w:space="0" w:color="auto"/>
              <w:right w:val="single" w:sz="4" w:space="0" w:color="auto"/>
            </w:tcBorders>
            <w:shd w:val="clear" w:color="auto" w:fill="auto"/>
            <w:vAlign w:val="center"/>
            <w:hideMark/>
          </w:tcPr>
          <w:p w:rsidR="008B6B80" w:rsidRPr="005F5BCF" w:rsidP="007B260E" w14:paraId="117FA682" w14:textId="77777777">
            <w:pPr>
              <w:spacing w:after="0"/>
              <w:rPr>
                <w:color w:val="000000"/>
                <w:sz w:val="18"/>
                <w:szCs w:val="18"/>
              </w:rPr>
            </w:pPr>
            <w:r>
              <w:rPr>
                <w:color w:val="000000"/>
                <w:sz w:val="18"/>
                <w:szCs w:val="18"/>
              </w:rPr>
              <w:t>Review Data for Reporting Completeness and Compliance</w:t>
            </w:r>
          </w:p>
        </w:tc>
        <w:tc>
          <w:tcPr>
            <w:tcW w:w="631" w:type="dxa"/>
            <w:tcBorders>
              <w:top w:val="nil"/>
              <w:left w:val="nil"/>
              <w:bottom w:val="single" w:sz="4" w:space="0" w:color="auto"/>
              <w:right w:val="single" w:sz="4" w:space="0" w:color="auto"/>
            </w:tcBorders>
            <w:shd w:val="clear" w:color="auto" w:fill="auto"/>
            <w:vAlign w:val="center"/>
            <w:hideMark/>
          </w:tcPr>
          <w:p w:rsidR="008B6B80" w:rsidRPr="00DE4AB0" w:rsidP="007B260E" w14:paraId="69239534" w14:textId="77777777">
            <w:pPr>
              <w:spacing w:after="0"/>
              <w:jc w:val="right"/>
              <w:rPr>
                <w:sz w:val="18"/>
                <w:szCs w:val="18"/>
              </w:rPr>
            </w:pPr>
            <w:r>
              <w:rPr>
                <w:sz w:val="18"/>
                <w:szCs w:val="18"/>
              </w:rPr>
              <w:t>0.0</w:t>
            </w:r>
          </w:p>
        </w:tc>
        <w:tc>
          <w:tcPr>
            <w:tcW w:w="630" w:type="dxa"/>
            <w:tcBorders>
              <w:top w:val="nil"/>
              <w:left w:val="nil"/>
              <w:bottom w:val="single" w:sz="4" w:space="0" w:color="auto"/>
              <w:right w:val="single" w:sz="4" w:space="0" w:color="auto"/>
            </w:tcBorders>
            <w:shd w:val="clear" w:color="auto" w:fill="auto"/>
            <w:vAlign w:val="center"/>
            <w:hideMark/>
          </w:tcPr>
          <w:p w:rsidR="008B6B80" w:rsidRPr="00DE4AB0" w:rsidP="007B260E" w14:paraId="151FCCC7" w14:textId="77777777">
            <w:pPr>
              <w:spacing w:after="0"/>
              <w:jc w:val="right"/>
              <w:rPr>
                <w:sz w:val="18"/>
                <w:szCs w:val="18"/>
              </w:rPr>
            </w:pPr>
            <w:r>
              <w:rPr>
                <w:sz w:val="18"/>
                <w:szCs w:val="18"/>
              </w:rPr>
              <w:t>0.3</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8B6B80" w:rsidRPr="00DE4AB0" w:rsidP="007B260E" w14:paraId="7FFF9C72" w14:textId="77777777">
            <w:pPr>
              <w:spacing w:after="0"/>
              <w:jc w:val="right"/>
              <w:rPr>
                <w:sz w:val="18"/>
                <w:szCs w:val="18"/>
              </w:rPr>
            </w:pPr>
            <w:r>
              <w:rPr>
                <w:sz w:val="18"/>
                <w:szCs w:val="18"/>
              </w:rPr>
              <w:t>0.5</w:t>
            </w:r>
          </w:p>
        </w:tc>
        <w:tc>
          <w:tcPr>
            <w:tcW w:w="516" w:type="dxa"/>
            <w:tcBorders>
              <w:top w:val="nil"/>
              <w:left w:val="nil"/>
              <w:bottom w:val="single" w:sz="4" w:space="0" w:color="auto"/>
              <w:right w:val="single" w:sz="4" w:space="0" w:color="auto"/>
            </w:tcBorders>
            <w:shd w:val="clear" w:color="auto" w:fill="auto"/>
            <w:vAlign w:val="center"/>
            <w:hideMark/>
          </w:tcPr>
          <w:p w:rsidR="008B6B80" w:rsidRPr="00DE4AB0" w:rsidP="007B260E" w14:paraId="0C21BD6D" w14:textId="77777777">
            <w:pPr>
              <w:spacing w:after="0"/>
              <w:jc w:val="right"/>
              <w:rPr>
                <w:sz w:val="18"/>
                <w:szCs w:val="18"/>
              </w:rPr>
            </w:pPr>
            <w:r>
              <w:rPr>
                <w:sz w:val="18"/>
                <w:szCs w:val="18"/>
              </w:rPr>
              <w:t>19</w:t>
            </w:r>
          </w:p>
        </w:tc>
        <w:tc>
          <w:tcPr>
            <w:tcW w:w="516" w:type="dxa"/>
            <w:tcBorders>
              <w:top w:val="nil"/>
              <w:left w:val="nil"/>
              <w:bottom w:val="single" w:sz="4" w:space="0" w:color="auto"/>
              <w:right w:val="single" w:sz="4" w:space="0" w:color="auto"/>
            </w:tcBorders>
            <w:shd w:val="clear" w:color="auto" w:fill="auto"/>
            <w:vAlign w:val="center"/>
            <w:hideMark/>
          </w:tcPr>
          <w:p w:rsidR="008B6B80" w:rsidRPr="00DE4AB0" w:rsidP="007B260E" w14:paraId="056CA364" w14:textId="77777777">
            <w:pPr>
              <w:spacing w:after="0"/>
              <w:jc w:val="right"/>
              <w:rPr>
                <w:sz w:val="18"/>
                <w:szCs w:val="18"/>
              </w:rPr>
            </w:pPr>
            <w:r>
              <w:rPr>
                <w:sz w:val="18"/>
                <w:szCs w:val="18"/>
              </w:rPr>
              <w:t>10</w:t>
            </w:r>
          </w:p>
        </w:tc>
        <w:tc>
          <w:tcPr>
            <w:tcW w:w="513" w:type="dxa"/>
            <w:tcBorders>
              <w:top w:val="nil"/>
              <w:left w:val="nil"/>
              <w:bottom w:val="single" w:sz="4" w:space="0" w:color="auto"/>
              <w:right w:val="single" w:sz="4" w:space="0" w:color="auto"/>
            </w:tcBorders>
            <w:shd w:val="clear" w:color="auto" w:fill="auto"/>
            <w:vAlign w:val="center"/>
            <w:hideMark/>
          </w:tcPr>
          <w:p w:rsidR="008B6B80" w:rsidRPr="00DE4AB0" w:rsidP="007B260E" w14:paraId="33C4EDEC" w14:textId="77777777">
            <w:pPr>
              <w:spacing w:after="0"/>
              <w:jc w:val="right"/>
              <w:rPr>
                <w:sz w:val="18"/>
                <w:szCs w:val="18"/>
              </w:rPr>
            </w:pPr>
            <w:r>
              <w:rPr>
                <w:sz w:val="18"/>
                <w:szCs w:val="18"/>
              </w:rPr>
              <w:t>10</w:t>
            </w:r>
          </w:p>
        </w:tc>
        <w:tc>
          <w:tcPr>
            <w:tcW w:w="540" w:type="dxa"/>
            <w:tcBorders>
              <w:top w:val="nil"/>
              <w:left w:val="nil"/>
              <w:bottom w:val="single" w:sz="4" w:space="0" w:color="auto"/>
              <w:right w:val="single" w:sz="4" w:space="0" w:color="auto"/>
            </w:tcBorders>
            <w:shd w:val="clear" w:color="auto" w:fill="auto"/>
            <w:vAlign w:val="center"/>
            <w:hideMark/>
          </w:tcPr>
          <w:p w:rsidR="008B6B80" w:rsidRPr="00DE4AB0" w:rsidP="007B260E" w14:paraId="24E85239" w14:textId="77777777">
            <w:pPr>
              <w:spacing w:after="0"/>
              <w:jc w:val="right"/>
              <w:rPr>
                <w:sz w:val="18"/>
                <w:szCs w:val="18"/>
              </w:rPr>
            </w:pPr>
            <w:r>
              <w:rPr>
                <w:sz w:val="18"/>
                <w:szCs w:val="18"/>
              </w:rPr>
              <w:t>16.0</w:t>
            </w:r>
          </w:p>
        </w:tc>
        <w:tc>
          <w:tcPr>
            <w:tcW w:w="540" w:type="dxa"/>
            <w:tcBorders>
              <w:top w:val="nil"/>
              <w:left w:val="nil"/>
              <w:bottom w:val="single" w:sz="4" w:space="0" w:color="auto"/>
              <w:right w:val="single" w:sz="4" w:space="0" w:color="auto"/>
            </w:tcBorders>
            <w:shd w:val="clear" w:color="auto" w:fill="auto"/>
            <w:vAlign w:val="center"/>
            <w:hideMark/>
          </w:tcPr>
          <w:p w:rsidR="008B6B80" w:rsidRPr="00DE4AB0" w:rsidP="007B260E" w14:paraId="7FA7263A" w14:textId="77777777">
            <w:pPr>
              <w:spacing w:after="0"/>
              <w:jc w:val="right"/>
              <w:rPr>
                <w:sz w:val="18"/>
                <w:szCs w:val="18"/>
              </w:rPr>
            </w:pPr>
            <w:r>
              <w:rPr>
                <w:sz w:val="18"/>
                <w:szCs w:val="18"/>
              </w:rPr>
              <w:t>8.0</w:t>
            </w:r>
          </w:p>
        </w:tc>
        <w:tc>
          <w:tcPr>
            <w:tcW w:w="540" w:type="dxa"/>
            <w:tcBorders>
              <w:top w:val="nil"/>
              <w:left w:val="nil"/>
              <w:bottom w:val="single" w:sz="4" w:space="0" w:color="auto"/>
              <w:right w:val="single" w:sz="4" w:space="0" w:color="auto"/>
            </w:tcBorders>
            <w:shd w:val="clear" w:color="auto" w:fill="auto"/>
            <w:vAlign w:val="center"/>
            <w:hideMark/>
          </w:tcPr>
          <w:p w:rsidR="008B6B80" w:rsidRPr="00DE4AB0" w:rsidP="007B260E" w14:paraId="4A7270E3" w14:textId="77777777">
            <w:pPr>
              <w:spacing w:after="0"/>
              <w:jc w:val="right"/>
              <w:rPr>
                <w:sz w:val="18"/>
                <w:szCs w:val="18"/>
              </w:rPr>
            </w:pPr>
            <w:r>
              <w:rPr>
                <w:sz w:val="18"/>
                <w:szCs w:val="18"/>
              </w:rPr>
              <w:t>8.0</w:t>
            </w:r>
          </w:p>
        </w:tc>
        <w:tc>
          <w:tcPr>
            <w:tcW w:w="630" w:type="dxa"/>
            <w:tcBorders>
              <w:top w:val="nil"/>
              <w:left w:val="nil"/>
              <w:bottom w:val="single" w:sz="4" w:space="0" w:color="auto"/>
              <w:right w:val="single" w:sz="4" w:space="0" w:color="auto"/>
            </w:tcBorders>
            <w:vAlign w:val="center"/>
          </w:tcPr>
          <w:p w:rsidR="008B6B80" w:rsidRPr="00DE4AB0" w:rsidP="007B260E" w14:paraId="23618B02" w14:textId="77777777">
            <w:pPr>
              <w:spacing w:after="0"/>
              <w:jc w:val="right"/>
              <w:rPr>
                <w:sz w:val="18"/>
                <w:szCs w:val="18"/>
              </w:rPr>
            </w:pPr>
            <w:r>
              <w:rPr>
                <w:sz w:val="18"/>
                <w:szCs w:val="18"/>
              </w:rPr>
              <w:t>$1,753</w:t>
            </w:r>
          </w:p>
        </w:tc>
        <w:tc>
          <w:tcPr>
            <w:tcW w:w="630" w:type="dxa"/>
            <w:tcBorders>
              <w:top w:val="nil"/>
              <w:left w:val="nil"/>
              <w:bottom w:val="single" w:sz="4" w:space="0" w:color="auto"/>
              <w:right w:val="single" w:sz="4" w:space="0" w:color="auto"/>
            </w:tcBorders>
            <w:vAlign w:val="center"/>
          </w:tcPr>
          <w:p w:rsidR="008B6B80" w:rsidRPr="00DE4AB0" w:rsidP="007B260E" w14:paraId="701E9DB2" w14:textId="77777777">
            <w:pPr>
              <w:spacing w:after="0"/>
              <w:jc w:val="right"/>
              <w:rPr>
                <w:sz w:val="18"/>
                <w:szCs w:val="18"/>
              </w:rPr>
            </w:pPr>
            <w:r w:rsidRPr="00B33D01">
              <w:rPr>
                <w:sz w:val="18"/>
                <w:szCs w:val="18"/>
              </w:rPr>
              <w:t>$923</w:t>
            </w:r>
          </w:p>
        </w:tc>
        <w:tc>
          <w:tcPr>
            <w:tcW w:w="630" w:type="dxa"/>
            <w:tcBorders>
              <w:top w:val="nil"/>
              <w:left w:val="nil"/>
              <w:bottom w:val="single" w:sz="4" w:space="0" w:color="auto"/>
              <w:right w:val="single" w:sz="4" w:space="0" w:color="auto"/>
            </w:tcBorders>
            <w:vAlign w:val="center"/>
          </w:tcPr>
          <w:p w:rsidR="008B6B80" w:rsidRPr="00DE4AB0" w:rsidP="007B260E" w14:paraId="6194AAED" w14:textId="77777777">
            <w:pPr>
              <w:spacing w:after="0"/>
              <w:jc w:val="right"/>
              <w:rPr>
                <w:sz w:val="18"/>
                <w:szCs w:val="18"/>
              </w:rPr>
            </w:pPr>
            <w:r w:rsidRPr="00B33D01">
              <w:rPr>
                <w:sz w:val="18"/>
                <w:szCs w:val="18"/>
              </w:rPr>
              <w:t>$923</w:t>
            </w:r>
          </w:p>
        </w:tc>
      </w:tr>
    </w:tbl>
    <w:p w:rsidR="00D17BB9" w:rsidRPr="00163C69" w:rsidP="00854AAE" w14:paraId="164B7E2B" w14:textId="2BCAACF4">
      <w:pPr>
        <w:spacing w:before="120" w:after="0"/>
        <w:rPr>
          <w:rFonts w:cstheme="minorHAnsi"/>
          <w:b/>
          <w:bCs/>
        </w:rPr>
      </w:pPr>
      <w:r w:rsidRPr="00163C69">
        <w:rPr>
          <w:rFonts w:eastAsiaTheme="majorEastAsia" w:cstheme="minorHAnsi"/>
          <w:b/>
          <w:bCs/>
        </w:rPr>
        <w:t xml:space="preserve">14c. </w:t>
      </w:r>
      <w:r w:rsidRPr="00163C69">
        <w:rPr>
          <w:rFonts w:eastAsiaTheme="majorEastAsia" w:cstheme="minorHAnsi"/>
          <w:b/>
          <w:bCs/>
        </w:rPr>
        <w:t>Agency Non-Labor Costs</w:t>
      </w:r>
    </w:p>
    <w:p w:rsidR="00BB3410" w:rsidRPr="00BB3410" w:rsidP="00854AAE" w14:paraId="7FCA1ABF" w14:textId="07B02817">
      <w:pPr>
        <w:spacing w:before="60"/>
        <w:rPr>
          <w:rFonts w:cstheme="minorHAnsi"/>
        </w:rPr>
      </w:pPr>
      <w:r>
        <w:rPr>
          <w:rFonts w:cstheme="minorHAnsi"/>
        </w:rPr>
        <w:t>N/A</w:t>
      </w:r>
    </w:p>
    <w:p w:rsidR="004620CA" w:rsidRPr="00163C69" w:rsidP="4BDBF0A0" w14:paraId="3144CC9D" w14:textId="72F4E703">
      <w:pPr>
        <w:pStyle w:val="ListParagraph"/>
        <w:numPr>
          <w:ilvl w:val="0"/>
          <w:numId w:val="27"/>
        </w:numPr>
        <w:spacing w:before="240" w:after="0"/>
        <w:rPr>
          <w:b/>
          <w:bCs/>
        </w:rPr>
      </w:pPr>
      <w:r w:rsidRPr="4BDBF0A0">
        <w:rPr>
          <w:b/>
          <w:bCs/>
        </w:rPr>
        <w:t xml:space="preserve">REASONS FOR </w:t>
      </w:r>
      <w:r w:rsidRPr="4BDBF0A0" w:rsidR="00AD46F7">
        <w:rPr>
          <w:b/>
          <w:bCs/>
        </w:rPr>
        <w:t>CHANGE IN BURDEN</w:t>
      </w:r>
      <w:bookmarkEnd w:id="27"/>
    </w:p>
    <w:p w:rsidR="001F0834" w:rsidRPr="001F0834" w:rsidP="00854AAE" w14:paraId="567B01FE" w14:textId="77777777">
      <w:pPr>
        <w:pBdr>
          <w:bottom w:val="single" w:sz="12" w:space="1" w:color="auto"/>
        </w:pBdr>
        <w:spacing w:before="60"/>
        <w:rPr>
          <w:rFonts w:cstheme="minorHAnsi"/>
          <w:bCs/>
          <w:i/>
          <w:iCs/>
        </w:rPr>
      </w:pPr>
      <w:r w:rsidRPr="001F0834">
        <w:rPr>
          <w:rFonts w:cstheme="minorHAnsi"/>
          <w:bCs/>
          <w:i/>
          <w:iCs/>
        </w:rPr>
        <w:t>Explain the reasons for any program changes or adjustments reported in the burden or capital/O&amp;M cost estimates.</w:t>
      </w:r>
    </w:p>
    <w:p w:rsidR="00EC266D" w:rsidP="00EC266D" w14:paraId="16568514" w14:textId="19747B46">
      <w:pPr>
        <w:pStyle w:val="ListParagraph"/>
        <w:ind w:left="360"/>
      </w:pPr>
      <w:bookmarkStart w:id="29" w:name="_Toc156593389"/>
      <w:r w:rsidRPr="00956077">
        <w:t>This information collection request is a continuation of an existing</w:t>
      </w:r>
      <w:r w:rsidRPr="00C222B8">
        <w:t xml:space="preserve"> information collect</w:t>
      </w:r>
      <w:r w:rsidRPr="00CC7741">
        <w:t>ion re</w:t>
      </w:r>
      <w:r w:rsidRPr="008575CF">
        <w:t xml:space="preserve">quest approved by OMB, </w:t>
      </w:r>
      <w:r w:rsidRPr="00CA7BB2">
        <w:t>“</w:t>
      </w:r>
      <w:r w:rsidRPr="00EC266D">
        <w:rPr>
          <w:color w:val="2E2E2E"/>
        </w:rPr>
        <w:t xml:space="preserve">Production, Import, Export, Recycling, Destruction, Transshipment, and Feedstock Use of Ozone-Depleting Substances (Final Rule),” </w:t>
      </w:r>
      <w:r w:rsidRPr="00132A1F">
        <w:t>ICR number 1432.3</w:t>
      </w:r>
      <w:r>
        <w:t>8</w:t>
      </w:r>
      <w:r w:rsidRPr="00132A1F">
        <w:t>, OMB Control Number 2060-0170. The proposed requirements, if finalized, would increase the burden (hours and cost) by the quantities included in this draft ICR.</w:t>
      </w:r>
      <w:r w:rsidRPr="008575CF">
        <w:t xml:space="preserve"> </w:t>
      </w:r>
    </w:p>
    <w:p w:rsidR="00EC266D" w:rsidRPr="008575CF" w:rsidP="00EC266D" w14:paraId="100714F4" w14:textId="77777777">
      <w:pPr>
        <w:pStyle w:val="ListParagraph"/>
        <w:ind w:left="360"/>
      </w:pPr>
    </w:p>
    <w:p w:rsidR="005D140B" w:rsidRPr="00163C69" w:rsidP="4BDBF0A0" w14:paraId="3604F417" w14:textId="5D0F3160">
      <w:pPr>
        <w:pStyle w:val="ListParagraph"/>
        <w:numPr>
          <w:ilvl w:val="0"/>
          <w:numId w:val="27"/>
        </w:numPr>
        <w:spacing w:before="240" w:after="0"/>
        <w:rPr>
          <w:b/>
          <w:bCs/>
        </w:rPr>
      </w:pPr>
      <w:r w:rsidRPr="4BDBF0A0">
        <w:rPr>
          <w:b/>
          <w:bCs/>
        </w:rPr>
        <w:t xml:space="preserve">PUBLICATION OF </w:t>
      </w:r>
      <w:bookmarkStart w:id="30" w:name="_Toc156593390"/>
      <w:bookmarkEnd w:id="29"/>
      <w:r w:rsidR="00E73E81">
        <w:rPr>
          <w:b/>
          <w:bCs/>
        </w:rPr>
        <w:t>DATA</w:t>
      </w:r>
    </w:p>
    <w:p w:rsidR="001F0834" w:rsidRPr="001F0834" w:rsidP="00854AAE" w14:paraId="21A4F990" w14:textId="77777777">
      <w:pPr>
        <w:pBdr>
          <w:bottom w:val="single" w:sz="12" w:space="1" w:color="auto"/>
        </w:pBdr>
        <w:spacing w:before="60"/>
        <w:rPr>
          <w:rFonts w:cstheme="minorHAnsi"/>
          <w:bCs/>
          <w:i/>
          <w:iCs/>
        </w:rPr>
      </w:pPr>
      <w:r w:rsidRPr="001F0834">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3767D" w:rsidRPr="0073767D" w:rsidP="00854AAE" w14:paraId="5CBE5491" w14:textId="0F285B68">
      <w:pPr>
        <w:pBdr>
          <w:top w:val="single" w:sz="6" w:space="0" w:color="FFFFFF"/>
          <w:left w:val="single" w:sz="6" w:space="0" w:color="FFFFFF"/>
          <w:bottom w:val="single" w:sz="6" w:space="0" w:color="FFFFFF"/>
          <w:right w:val="single" w:sz="6" w:space="0" w:color="FFFFFF"/>
        </w:pBdr>
      </w:pPr>
      <w:r>
        <w:t>N/A</w:t>
      </w:r>
    </w:p>
    <w:p w:rsidR="00627768" w:rsidRPr="00163C69" w:rsidP="4BDBF0A0" w14:paraId="54E9D2D0" w14:textId="67124984">
      <w:pPr>
        <w:pStyle w:val="ListParagraph"/>
        <w:numPr>
          <w:ilvl w:val="0"/>
          <w:numId w:val="27"/>
        </w:numPr>
        <w:spacing w:before="240" w:after="0"/>
        <w:rPr>
          <w:b/>
          <w:bCs/>
        </w:rPr>
      </w:pPr>
      <w:r w:rsidRPr="4BDBF0A0">
        <w:rPr>
          <w:b/>
          <w:bCs/>
        </w:rPr>
        <w:t xml:space="preserve">DISPLAY </w:t>
      </w:r>
      <w:r w:rsidRPr="4BDBF0A0" w:rsidR="00644EBE">
        <w:rPr>
          <w:b/>
          <w:bCs/>
        </w:rPr>
        <w:t xml:space="preserve">OF </w:t>
      </w:r>
      <w:r w:rsidRPr="4BDBF0A0" w:rsidR="000D5863">
        <w:rPr>
          <w:b/>
          <w:bCs/>
        </w:rPr>
        <w:t>EXPIRATION DATE</w:t>
      </w:r>
      <w:bookmarkEnd w:id="30"/>
      <w:r w:rsidRPr="4BDBF0A0" w:rsidR="00644EBE">
        <w:rPr>
          <w:b/>
          <w:bCs/>
        </w:rPr>
        <w:t xml:space="preserve"> </w:t>
      </w:r>
    </w:p>
    <w:p w:rsidR="001F0834" w:rsidRPr="00F532D6" w:rsidP="00854AAE" w14:paraId="23256265" w14:textId="77777777">
      <w:pPr>
        <w:pBdr>
          <w:bottom w:val="single" w:sz="12" w:space="1" w:color="auto"/>
        </w:pBdr>
        <w:spacing w:before="60"/>
        <w:rPr>
          <w:rFonts w:cstheme="minorHAnsi"/>
          <w:i/>
          <w:iCs/>
        </w:rPr>
      </w:pPr>
      <w:r w:rsidRPr="00F532D6">
        <w:rPr>
          <w:rFonts w:cstheme="minorHAnsi"/>
          <w:i/>
          <w:iCs/>
        </w:rPr>
        <w:t>If seeking approval to not display the expiration date for OMB approval of the information collection, explain the reasons that display would be inappropriate.</w:t>
      </w:r>
    </w:p>
    <w:p w:rsidR="00ED57A4" w:rsidRPr="0073767D" w:rsidP="00854AAE" w14:paraId="38543EA2" w14:textId="2968C9BE">
      <w:pPr>
        <w:pBdr>
          <w:top w:val="single" w:sz="6" w:space="0" w:color="FFFFFF"/>
          <w:left w:val="single" w:sz="6" w:space="0" w:color="FFFFFF"/>
          <w:bottom w:val="single" w:sz="6" w:space="0" w:color="FFFFFF"/>
          <w:right w:val="single" w:sz="6" w:space="0" w:color="FFFFFF"/>
        </w:pBdr>
      </w:pPr>
      <w:r>
        <w:t>N/A</w:t>
      </w:r>
    </w:p>
    <w:p w:rsidR="00691828" w:rsidRPr="00163C69" w:rsidP="00854AAE" w14:paraId="7CCB26DD" w14:textId="4CB12282">
      <w:pPr>
        <w:pStyle w:val="ListParagraph"/>
        <w:numPr>
          <w:ilvl w:val="0"/>
          <w:numId w:val="27"/>
        </w:numPr>
        <w:spacing w:before="240" w:after="0"/>
        <w:rPr>
          <w:rFonts w:cstheme="minorHAnsi"/>
          <w:b/>
          <w:bCs/>
        </w:rPr>
      </w:pPr>
      <w:bookmarkStart w:id="31" w:name="_Toc156593391"/>
      <w:r w:rsidRPr="00163C69">
        <w:rPr>
          <w:rFonts w:cstheme="minorHAnsi"/>
          <w:b/>
          <w:bCs/>
        </w:rPr>
        <w:t>CERTIFICATION STATEMENT</w:t>
      </w:r>
      <w:bookmarkEnd w:id="31"/>
    </w:p>
    <w:p w:rsidR="001F0834" w:rsidRPr="001F0834" w:rsidP="00854AAE" w14:paraId="59893047" w14:textId="77777777">
      <w:pPr>
        <w:pBdr>
          <w:bottom w:val="single" w:sz="12" w:space="1" w:color="auto"/>
        </w:pBdr>
        <w:spacing w:before="60"/>
        <w:rPr>
          <w:rFonts w:cstheme="minorHAnsi"/>
          <w:i/>
          <w:iCs/>
        </w:rPr>
      </w:pPr>
      <w:r w:rsidRPr="001F0834">
        <w:rPr>
          <w:rFonts w:cstheme="minorHAnsi"/>
          <w:i/>
          <w:iCs/>
        </w:rPr>
        <w:t>Explain each exception to the topics of the certification statement identified in “Certification for Paperwork Reduction Act Submissions.”</w:t>
      </w:r>
    </w:p>
    <w:p w:rsidR="00ED57A4" w:rsidRPr="0073767D" w:rsidP="00854AAE" w14:paraId="2765D073" w14:textId="360BFF40">
      <w:pPr>
        <w:pBdr>
          <w:top w:val="single" w:sz="6" w:space="0" w:color="FFFFFF"/>
          <w:left w:val="single" w:sz="6" w:space="0" w:color="FFFFFF"/>
          <w:bottom w:val="single" w:sz="6" w:space="0" w:color="FFFFFF"/>
          <w:right w:val="single" w:sz="6" w:space="0" w:color="FFFFFF"/>
        </w:pBdr>
      </w:pPr>
      <w:r>
        <w:t>N/A</w:t>
      </w:r>
    </w:p>
    <w:p w:rsidR="00BB3410" w:rsidRPr="00BB3410" w:rsidP="00BB3410" w14:paraId="0F10E677" w14:textId="43CACB1D">
      <w:pPr>
        <w:rPr>
          <w:rFonts w:cstheme="minorHAnsi"/>
          <w:color w:val="000000"/>
          <w:shd w:val="clear" w:color="auto" w:fill="FFFFFF"/>
        </w:rPr>
        <w:sectPr>
          <w:footerReference w:type="default" r:id="rId11"/>
          <w:pgSz w:w="12240" w:h="15840"/>
          <w:pgMar w:top="1440" w:right="1440" w:bottom="1440" w:left="1440" w:header="720" w:footer="720" w:gutter="0"/>
          <w:cols w:space="720"/>
          <w:docGrid w:linePitch="360"/>
        </w:sectPr>
      </w:pPr>
      <w:r w:rsidRPr="00BB3410">
        <w:rPr>
          <w:rStyle w:val="normaltextrun"/>
          <w:rFonts w:cstheme="minorHAnsi"/>
          <w:color w:val="000000"/>
          <w:shd w:val="clear" w:color="auto" w:fill="FFFFFF"/>
        </w:rPr>
        <w:br w:type="page"/>
      </w:r>
    </w:p>
    <w:p w:rsidR="00BB3410" w:rsidRPr="00BB3410" w:rsidP="00BB3410" w14:paraId="02BFB1B4" w14:textId="77777777">
      <w:pPr>
        <w:pStyle w:val="ListParagraph"/>
        <w:spacing w:before="240"/>
        <w:ind w:left="0"/>
        <w:rPr>
          <w:rFonts w:cstheme="minorHAnsi"/>
          <w:sz w:val="24"/>
          <w:szCs w:val="24"/>
        </w:rPr>
      </w:pPr>
    </w:p>
    <w:sectPr w:rsidSect="00BB341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303E" w14:paraId="090A38F2" w14:textId="066554E0">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3810635</wp:posOffset>
              </wp:positionH>
              <wp:positionV relativeFrom="page">
                <wp:posOffset>9344025</wp:posOffset>
              </wp:positionV>
              <wp:extent cx="165100" cy="194310"/>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65100" cy="194310"/>
                      </a:xfrm>
                      <a:prstGeom prst="rect">
                        <a:avLst/>
                      </a:prstGeom>
                    </wps:spPr>
                    <wps:txbx>
                      <w:txbxContent>
                        <w:p w:rsidR="005C303E" w14:textId="77777777">
                          <w:pPr>
                            <w:pStyle w:val="BodyText"/>
                            <w:spacing w:before="10"/>
                            <w:ind w:left="60"/>
                          </w:pPr>
                          <w:r>
                            <w:fldChar w:fldCharType="begin"/>
                          </w:r>
                          <w:r>
                            <w:instrText xml:space="preserve"> PAGE </w:instrText>
                          </w:r>
                          <w:r>
                            <w:fldChar w:fldCharType="separate"/>
                          </w:r>
                          <w:r>
                            <w:t>1</w:t>
                          </w:r>
                          <w:r>
                            <w:fldChar w:fldCharType="end"/>
                          </w:r>
                        </w:p>
                      </w:txbxContent>
                    </wps:txbx>
                    <wps:bodyPr wrap="square" lIns="0" tIns="0" rIns="0" bIns="0" rtlCol="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3pt;height:15.3pt;margin-top:735.75pt;margin-left:300.05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57216" filled="f" stroked="f">
              <v:textbox inset="0,0,0,0">
                <w:txbxContent>
                  <w:p w:rsidR="005C303E" w14:paraId="0C4583F6" w14:textId="77777777">
                    <w:pPr>
                      <w:pStyle w:val="BodyText"/>
                      <w:spacing w:before="10"/>
                      <w:ind w:left="60"/>
                    </w:pPr>
                    <w:r>
                      <w:fldChar w:fldCharType="begin"/>
                    </w:r>
                    <w:r>
                      <w:instrText xml:space="preserve"> PAGE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197E032B"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124C49E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40F63DB"/>
    <w:multiLevelType w:val="hybridMultilevel"/>
    <w:tmpl w:val="1994912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54A5073"/>
    <w:multiLevelType w:val="hybridMultilevel"/>
    <w:tmpl w:val="0B04E25C"/>
    <w:lvl w:ilvl="0">
      <w:start w:val="1"/>
      <w:numFmt w:val="bullet"/>
      <w:lvlText w:val=""/>
      <w:lvlJc w:val="left"/>
      <w:pPr>
        <w:ind w:left="840" w:hanging="360"/>
      </w:pPr>
      <w:rPr>
        <w:rFonts w:ascii="Symbol" w:hAnsi="Symbol" w:hint="default"/>
      </w:rPr>
    </w:lvl>
    <w:lvl w:ilvl="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18">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47D5105"/>
    <w:multiLevelType w:val="hybridMultilevel"/>
    <w:tmpl w:val="8208FD9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6E10437"/>
    <w:multiLevelType w:val="hybridMultilevel"/>
    <w:tmpl w:val="28107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5">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8">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2"/>
  </w:num>
  <w:num w:numId="2" w16cid:durableId="1032609060">
    <w:abstractNumId w:val="4"/>
  </w:num>
  <w:num w:numId="3" w16cid:durableId="1158494831">
    <w:abstractNumId w:val="2"/>
  </w:num>
  <w:num w:numId="4" w16cid:durableId="493573829">
    <w:abstractNumId w:val="29"/>
  </w:num>
  <w:num w:numId="5" w16cid:durableId="2055687918">
    <w:abstractNumId w:val="18"/>
  </w:num>
  <w:num w:numId="6" w16cid:durableId="1603025219">
    <w:abstractNumId w:val="27"/>
  </w:num>
  <w:num w:numId="7" w16cid:durableId="423957196">
    <w:abstractNumId w:val="15"/>
  </w:num>
  <w:num w:numId="8" w16cid:durableId="2031829208">
    <w:abstractNumId w:val="23"/>
  </w:num>
  <w:num w:numId="9" w16cid:durableId="218439549">
    <w:abstractNumId w:val="8"/>
  </w:num>
  <w:num w:numId="10" w16cid:durableId="1285231924">
    <w:abstractNumId w:val="3"/>
  </w:num>
  <w:num w:numId="11" w16cid:durableId="327370686">
    <w:abstractNumId w:val="7"/>
  </w:num>
  <w:num w:numId="12" w16cid:durableId="1802993385">
    <w:abstractNumId w:val="10"/>
  </w:num>
  <w:num w:numId="13" w16cid:durableId="1792938267">
    <w:abstractNumId w:val="30"/>
  </w:num>
  <w:num w:numId="14" w16cid:durableId="239490726">
    <w:abstractNumId w:val="5"/>
  </w:num>
  <w:num w:numId="15" w16cid:durableId="1395350314">
    <w:abstractNumId w:val="9"/>
  </w:num>
  <w:num w:numId="16" w16cid:durableId="441535906">
    <w:abstractNumId w:val="13"/>
  </w:num>
  <w:num w:numId="17" w16cid:durableId="2008243381">
    <w:abstractNumId w:val="24"/>
  </w:num>
  <w:num w:numId="18" w16cid:durableId="840463183">
    <w:abstractNumId w:val="21"/>
  </w:num>
  <w:num w:numId="19" w16cid:durableId="469980091">
    <w:abstractNumId w:val="26"/>
  </w:num>
  <w:num w:numId="20" w16cid:durableId="2126730031">
    <w:abstractNumId w:val="11"/>
  </w:num>
  <w:num w:numId="21" w16cid:durableId="106124704">
    <w:abstractNumId w:val="1"/>
  </w:num>
  <w:num w:numId="22" w16cid:durableId="1552418013">
    <w:abstractNumId w:val="14"/>
  </w:num>
  <w:num w:numId="23" w16cid:durableId="1598828334">
    <w:abstractNumId w:val="28"/>
  </w:num>
  <w:num w:numId="24" w16cid:durableId="2051031068">
    <w:abstractNumId w:val="0"/>
  </w:num>
  <w:num w:numId="25" w16cid:durableId="258569098">
    <w:abstractNumId w:val="16"/>
  </w:num>
  <w:num w:numId="26" w16cid:durableId="331181582">
    <w:abstractNumId w:val="19"/>
  </w:num>
  <w:num w:numId="27" w16cid:durableId="1015961391">
    <w:abstractNumId w:val="25"/>
  </w:num>
  <w:num w:numId="28" w16cid:durableId="330061630">
    <w:abstractNumId w:val="17"/>
  </w:num>
  <w:num w:numId="29" w16cid:durableId="1066298679">
    <w:abstractNumId w:val="22"/>
  </w:num>
  <w:num w:numId="30" w16cid:durableId="336688889">
    <w:abstractNumId w:val="20"/>
  </w:num>
  <w:num w:numId="31" w16cid:durableId="291525765">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D64"/>
    <w:rsid w:val="00004678"/>
    <w:rsid w:val="000060CD"/>
    <w:rsid w:val="000069C3"/>
    <w:rsid w:val="00006C95"/>
    <w:rsid w:val="00007FB5"/>
    <w:rsid w:val="00010EEE"/>
    <w:rsid w:val="000129E1"/>
    <w:rsid w:val="00013852"/>
    <w:rsid w:val="00013CE8"/>
    <w:rsid w:val="00014B10"/>
    <w:rsid w:val="00015010"/>
    <w:rsid w:val="00015FF6"/>
    <w:rsid w:val="0001637F"/>
    <w:rsid w:val="00017B90"/>
    <w:rsid w:val="00020791"/>
    <w:rsid w:val="00023EFE"/>
    <w:rsid w:val="000267E1"/>
    <w:rsid w:val="00030670"/>
    <w:rsid w:val="0003166C"/>
    <w:rsid w:val="00032552"/>
    <w:rsid w:val="00032BFD"/>
    <w:rsid w:val="00033219"/>
    <w:rsid w:val="00036CF2"/>
    <w:rsid w:val="00037107"/>
    <w:rsid w:val="00042F77"/>
    <w:rsid w:val="0004467E"/>
    <w:rsid w:val="000452DC"/>
    <w:rsid w:val="000461BA"/>
    <w:rsid w:val="00047160"/>
    <w:rsid w:val="00050BB4"/>
    <w:rsid w:val="00051045"/>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28E0"/>
    <w:rsid w:val="00073C3D"/>
    <w:rsid w:val="00074917"/>
    <w:rsid w:val="00074E51"/>
    <w:rsid w:val="00075C7A"/>
    <w:rsid w:val="0007610A"/>
    <w:rsid w:val="000762A8"/>
    <w:rsid w:val="00076439"/>
    <w:rsid w:val="00076F0F"/>
    <w:rsid w:val="00077D8A"/>
    <w:rsid w:val="00082A72"/>
    <w:rsid w:val="00083D4A"/>
    <w:rsid w:val="00084327"/>
    <w:rsid w:val="00084BF3"/>
    <w:rsid w:val="00084FB5"/>
    <w:rsid w:val="00090627"/>
    <w:rsid w:val="00090750"/>
    <w:rsid w:val="000911D6"/>
    <w:rsid w:val="00091CE3"/>
    <w:rsid w:val="00091EB4"/>
    <w:rsid w:val="0009219E"/>
    <w:rsid w:val="000925BD"/>
    <w:rsid w:val="00093C6D"/>
    <w:rsid w:val="00093DC2"/>
    <w:rsid w:val="00094023"/>
    <w:rsid w:val="0009492C"/>
    <w:rsid w:val="00095F01"/>
    <w:rsid w:val="000978FD"/>
    <w:rsid w:val="000A1198"/>
    <w:rsid w:val="000A11F1"/>
    <w:rsid w:val="000A170A"/>
    <w:rsid w:val="000A397C"/>
    <w:rsid w:val="000A4527"/>
    <w:rsid w:val="000B3576"/>
    <w:rsid w:val="000B461B"/>
    <w:rsid w:val="000B7BBA"/>
    <w:rsid w:val="000C41A7"/>
    <w:rsid w:val="000C43C8"/>
    <w:rsid w:val="000C608D"/>
    <w:rsid w:val="000D1176"/>
    <w:rsid w:val="000D1952"/>
    <w:rsid w:val="000D224E"/>
    <w:rsid w:val="000D251E"/>
    <w:rsid w:val="000D2D5D"/>
    <w:rsid w:val="000D3C22"/>
    <w:rsid w:val="000D45B2"/>
    <w:rsid w:val="000D516A"/>
    <w:rsid w:val="000D5863"/>
    <w:rsid w:val="000D6FA4"/>
    <w:rsid w:val="000E1158"/>
    <w:rsid w:val="000E184B"/>
    <w:rsid w:val="000E19CB"/>
    <w:rsid w:val="000E1FE8"/>
    <w:rsid w:val="000E3298"/>
    <w:rsid w:val="000E348B"/>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EE5"/>
    <w:rsid w:val="00103DD8"/>
    <w:rsid w:val="00105F52"/>
    <w:rsid w:val="00106C2C"/>
    <w:rsid w:val="00107505"/>
    <w:rsid w:val="00111663"/>
    <w:rsid w:val="00112360"/>
    <w:rsid w:val="00112675"/>
    <w:rsid w:val="001141DA"/>
    <w:rsid w:val="00116064"/>
    <w:rsid w:val="001172FE"/>
    <w:rsid w:val="00117FE1"/>
    <w:rsid w:val="0013006A"/>
    <w:rsid w:val="00130CF9"/>
    <w:rsid w:val="001310E0"/>
    <w:rsid w:val="00132921"/>
    <w:rsid w:val="001329B3"/>
    <w:rsid w:val="00132A1F"/>
    <w:rsid w:val="00135EAD"/>
    <w:rsid w:val="00136237"/>
    <w:rsid w:val="00137EB8"/>
    <w:rsid w:val="00145DAE"/>
    <w:rsid w:val="00147B68"/>
    <w:rsid w:val="0015084F"/>
    <w:rsid w:val="00152A80"/>
    <w:rsid w:val="00156C9A"/>
    <w:rsid w:val="00160461"/>
    <w:rsid w:val="00161846"/>
    <w:rsid w:val="001636DA"/>
    <w:rsid w:val="00163C69"/>
    <w:rsid w:val="00164169"/>
    <w:rsid w:val="00166B27"/>
    <w:rsid w:val="00170329"/>
    <w:rsid w:val="00170689"/>
    <w:rsid w:val="00170EB8"/>
    <w:rsid w:val="00171DC0"/>
    <w:rsid w:val="00173422"/>
    <w:rsid w:val="00173E50"/>
    <w:rsid w:val="00176BA8"/>
    <w:rsid w:val="001775F3"/>
    <w:rsid w:val="00180511"/>
    <w:rsid w:val="00184011"/>
    <w:rsid w:val="00185251"/>
    <w:rsid w:val="0019149E"/>
    <w:rsid w:val="0019182F"/>
    <w:rsid w:val="00191C72"/>
    <w:rsid w:val="001925B3"/>
    <w:rsid w:val="0019580A"/>
    <w:rsid w:val="00195BEB"/>
    <w:rsid w:val="00197A23"/>
    <w:rsid w:val="001A20B0"/>
    <w:rsid w:val="001A21A7"/>
    <w:rsid w:val="001A3351"/>
    <w:rsid w:val="001A53A7"/>
    <w:rsid w:val="001A76B3"/>
    <w:rsid w:val="001A7DEF"/>
    <w:rsid w:val="001B1773"/>
    <w:rsid w:val="001B1962"/>
    <w:rsid w:val="001B2D25"/>
    <w:rsid w:val="001B4565"/>
    <w:rsid w:val="001B46D7"/>
    <w:rsid w:val="001B4BEC"/>
    <w:rsid w:val="001B7B47"/>
    <w:rsid w:val="001C0151"/>
    <w:rsid w:val="001C260A"/>
    <w:rsid w:val="001C2D48"/>
    <w:rsid w:val="001C3106"/>
    <w:rsid w:val="001C3D5A"/>
    <w:rsid w:val="001C4634"/>
    <w:rsid w:val="001C5F64"/>
    <w:rsid w:val="001C6741"/>
    <w:rsid w:val="001C7470"/>
    <w:rsid w:val="001C7D52"/>
    <w:rsid w:val="001D01BB"/>
    <w:rsid w:val="001D294E"/>
    <w:rsid w:val="001D47F8"/>
    <w:rsid w:val="001D4CDC"/>
    <w:rsid w:val="001D4D40"/>
    <w:rsid w:val="001D4F2F"/>
    <w:rsid w:val="001D51D8"/>
    <w:rsid w:val="001D5CED"/>
    <w:rsid w:val="001E0924"/>
    <w:rsid w:val="001E211E"/>
    <w:rsid w:val="001E3A31"/>
    <w:rsid w:val="001E43D7"/>
    <w:rsid w:val="001E534A"/>
    <w:rsid w:val="001E548A"/>
    <w:rsid w:val="001E601A"/>
    <w:rsid w:val="001E6E50"/>
    <w:rsid w:val="001E7480"/>
    <w:rsid w:val="001E74E1"/>
    <w:rsid w:val="001F0834"/>
    <w:rsid w:val="001F0D3B"/>
    <w:rsid w:val="001F1A52"/>
    <w:rsid w:val="001F1F14"/>
    <w:rsid w:val="001F34A5"/>
    <w:rsid w:val="001F370A"/>
    <w:rsid w:val="001F5541"/>
    <w:rsid w:val="001F75D9"/>
    <w:rsid w:val="001F7B1A"/>
    <w:rsid w:val="001F7DF2"/>
    <w:rsid w:val="0020142E"/>
    <w:rsid w:val="00201886"/>
    <w:rsid w:val="002064A4"/>
    <w:rsid w:val="00210F2E"/>
    <w:rsid w:val="00211627"/>
    <w:rsid w:val="0021345A"/>
    <w:rsid w:val="00213AE6"/>
    <w:rsid w:val="00216C6A"/>
    <w:rsid w:val="00217BB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B8D"/>
    <w:rsid w:val="00235E79"/>
    <w:rsid w:val="002360BC"/>
    <w:rsid w:val="00240F23"/>
    <w:rsid w:val="0024175E"/>
    <w:rsid w:val="002420F2"/>
    <w:rsid w:val="002455F0"/>
    <w:rsid w:val="0024599B"/>
    <w:rsid w:val="00246A7E"/>
    <w:rsid w:val="00247198"/>
    <w:rsid w:val="0025051F"/>
    <w:rsid w:val="00251151"/>
    <w:rsid w:val="00252A4E"/>
    <w:rsid w:val="0025319A"/>
    <w:rsid w:val="0025617C"/>
    <w:rsid w:val="0026050F"/>
    <w:rsid w:val="00260FB7"/>
    <w:rsid w:val="00261E41"/>
    <w:rsid w:val="002648CF"/>
    <w:rsid w:val="00265FE7"/>
    <w:rsid w:val="00270940"/>
    <w:rsid w:val="00277A03"/>
    <w:rsid w:val="0028340E"/>
    <w:rsid w:val="00283764"/>
    <w:rsid w:val="00283AE9"/>
    <w:rsid w:val="00283C66"/>
    <w:rsid w:val="002847BB"/>
    <w:rsid w:val="00285782"/>
    <w:rsid w:val="00285A68"/>
    <w:rsid w:val="00286FA0"/>
    <w:rsid w:val="00287F94"/>
    <w:rsid w:val="00290BEB"/>
    <w:rsid w:val="00291493"/>
    <w:rsid w:val="00291589"/>
    <w:rsid w:val="0029755D"/>
    <w:rsid w:val="002A43D0"/>
    <w:rsid w:val="002A6075"/>
    <w:rsid w:val="002A676B"/>
    <w:rsid w:val="002A6E4E"/>
    <w:rsid w:val="002A774D"/>
    <w:rsid w:val="002A7860"/>
    <w:rsid w:val="002A78D3"/>
    <w:rsid w:val="002B0036"/>
    <w:rsid w:val="002B4615"/>
    <w:rsid w:val="002B7383"/>
    <w:rsid w:val="002B77A2"/>
    <w:rsid w:val="002C0623"/>
    <w:rsid w:val="002C1434"/>
    <w:rsid w:val="002C1646"/>
    <w:rsid w:val="002C4713"/>
    <w:rsid w:val="002C642F"/>
    <w:rsid w:val="002C7DDE"/>
    <w:rsid w:val="002D3E1A"/>
    <w:rsid w:val="002E0316"/>
    <w:rsid w:val="002E0999"/>
    <w:rsid w:val="002E2569"/>
    <w:rsid w:val="002E5BAD"/>
    <w:rsid w:val="002E6047"/>
    <w:rsid w:val="002E6D1D"/>
    <w:rsid w:val="002F0614"/>
    <w:rsid w:val="002F077A"/>
    <w:rsid w:val="002F10BE"/>
    <w:rsid w:val="002F13DA"/>
    <w:rsid w:val="002F15EB"/>
    <w:rsid w:val="002F3CE0"/>
    <w:rsid w:val="002F6A76"/>
    <w:rsid w:val="003005BB"/>
    <w:rsid w:val="00303DE5"/>
    <w:rsid w:val="00304842"/>
    <w:rsid w:val="00307411"/>
    <w:rsid w:val="00310FDB"/>
    <w:rsid w:val="00312370"/>
    <w:rsid w:val="00312F28"/>
    <w:rsid w:val="003132A5"/>
    <w:rsid w:val="00313941"/>
    <w:rsid w:val="00316194"/>
    <w:rsid w:val="003169B4"/>
    <w:rsid w:val="00316BE6"/>
    <w:rsid w:val="00317844"/>
    <w:rsid w:val="00317A6C"/>
    <w:rsid w:val="00317D89"/>
    <w:rsid w:val="003202E5"/>
    <w:rsid w:val="003224B7"/>
    <w:rsid w:val="00322A16"/>
    <w:rsid w:val="0032350D"/>
    <w:rsid w:val="00323E74"/>
    <w:rsid w:val="00324F21"/>
    <w:rsid w:val="003256A4"/>
    <w:rsid w:val="00330B87"/>
    <w:rsid w:val="00331168"/>
    <w:rsid w:val="0033211D"/>
    <w:rsid w:val="00333489"/>
    <w:rsid w:val="00342DB5"/>
    <w:rsid w:val="00343CEF"/>
    <w:rsid w:val="00344CB0"/>
    <w:rsid w:val="003467C8"/>
    <w:rsid w:val="00347C3C"/>
    <w:rsid w:val="0035079F"/>
    <w:rsid w:val="003527C1"/>
    <w:rsid w:val="00352C25"/>
    <w:rsid w:val="003565B6"/>
    <w:rsid w:val="00356A66"/>
    <w:rsid w:val="00357418"/>
    <w:rsid w:val="00360B75"/>
    <w:rsid w:val="00361737"/>
    <w:rsid w:val="00362621"/>
    <w:rsid w:val="00363F41"/>
    <w:rsid w:val="00366D56"/>
    <w:rsid w:val="00367871"/>
    <w:rsid w:val="00367DAD"/>
    <w:rsid w:val="0037342A"/>
    <w:rsid w:val="00373CC8"/>
    <w:rsid w:val="00374E24"/>
    <w:rsid w:val="00375E2A"/>
    <w:rsid w:val="00376609"/>
    <w:rsid w:val="0038330C"/>
    <w:rsid w:val="003856DC"/>
    <w:rsid w:val="003901B8"/>
    <w:rsid w:val="003A1D0D"/>
    <w:rsid w:val="003A2D73"/>
    <w:rsid w:val="003A38FB"/>
    <w:rsid w:val="003A41A0"/>
    <w:rsid w:val="003A6BEF"/>
    <w:rsid w:val="003B04B9"/>
    <w:rsid w:val="003B0A8F"/>
    <w:rsid w:val="003B153D"/>
    <w:rsid w:val="003B4D4F"/>
    <w:rsid w:val="003C0DBC"/>
    <w:rsid w:val="003C2B04"/>
    <w:rsid w:val="003C321D"/>
    <w:rsid w:val="003C5631"/>
    <w:rsid w:val="003C68C2"/>
    <w:rsid w:val="003C6CE9"/>
    <w:rsid w:val="003D06CD"/>
    <w:rsid w:val="003D0C03"/>
    <w:rsid w:val="003D1457"/>
    <w:rsid w:val="003D23D5"/>
    <w:rsid w:val="003D29E8"/>
    <w:rsid w:val="003D2F77"/>
    <w:rsid w:val="003D3498"/>
    <w:rsid w:val="003D598C"/>
    <w:rsid w:val="003D7167"/>
    <w:rsid w:val="003D7919"/>
    <w:rsid w:val="003D7B2A"/>
    <w:rsid w:val="003E133B"/>
    <w:rsid w:val="003E4B7A"/>
    <w:rsid w:val="003E5AAE"/>
    <w:rsid w:val="003E5D61"/>
    <w:rsid w:val="003E7E56"/>
    <w:rsid w:val="003F0A11"/>
    <w:rsid w:val="003F36DC"/>
    <w:rsid w:val="003F5429"/>
    <w:rsid w:val="003F639F"/>
    <w:rsid w:val="003F6664"/>
    <w:rsid w:val="003F72BB"/>
    <w:rsid w:val="00401C79"/>
    <w:rsid w:val="00402C51"/>
    <w:rsid w:val="00403FAB"/>
    <w:rsid w:val="00404886"/>
    <w:rsid w:val="0040643E"/>
    <w:rsid w:val="004064AA"/>
    <w:rsid w:val="004113CD"/>
    <w:rsid w:val="00411A1A"/>
    <w:rsid w:val="00412B2A"/>
    <w:rsid w:val="00414BB8"/>
    <w:rsid w:val="00415248"/>
    <w:rsid w:val="00415988"/>
    <w:rsid w:val="00417612"/>
    <w:rsid w:val="0042383B"/>
    <w:rsid w:val="0042409F"/>
    <w:rsid w:val="00424DDE"/>
    <w:rsid w:val="00424F93"/>
    <w:rsid w:val="004252C1"/>
    <w:rsid w:val="0042541E"/>
    <w:rsid w:val="00427079"/>
    <w:rsid w:val="004306A8"/>
    <w:rsid w:val="00430EDC"/>
    <w:rsid w:val="00431D3F"/>
    <w:rsid w:val="00432AC2"/>
    <w:rsid w:val="0043515D"/>
    <w:rsid w:val="004364FF"/>
    <w:rsid w:val="00436FD0"/>
    <w:rsid w:val="00441783"/>
    <w:rsid w:val="004420DA"/>
    <w:rsid w:val="0044360A"/>
    <w:rsid w:val="00444707"/>
    <w:rsid w:val="004455F6"/>
    <w:rsid w:val="00445751"/>
    <w:rsid w:val="004468C2"/>
    <w:rsid w:val="00446B8D"/>
    <w:rsid w:val="00450C44"/>
    <w:rsid w:val="00456E33"/>
    <w:rsid w:val="004600ED"/>
    <w:rsid w:val="004620CA"/>
    <w:rsid w:val="00463285"/>
    <w:rsid w:val="00465846"/>
    <w:rsid w:val="00466349"/>
    <w:rsid w:val="00466B43"/>
    <w:rsid w:val="00470E22"/>
    <w:rsid w:val="00471B10"/>
    <w:rsid w:val="00472D33"/>
    <w:rsid w:val="00475BA6"/>
    <w:rsid w:val="00477D70"/>
    <w:rsid w:val="004831CC"/>
    <w:rsid w:val="00485567"/>
    <w:rsid w:val="004855BE"/>
    <w:rsid w:val="00486860"/>
    <w:rsid w:val="00491CC3"/>
    <w:rsid w:val="00491ED9"/>
    <w:rsid w:val="00495623"/>
    <w:rsid w:val="00496F19"/>
    <w:rsid w:val="0049718B"/>
    <w:rsid w:val="004A0C7A"/>
    <w:rsid w:val="004A2646"/>
    <w:rsid w:val="004A284B"/>
    <w:rsid w:val="004A2961"/>
    <w:rsid w:val="004A2CDE"/>
    <w:rsid w:val="004A3ABF"/>
    <w:rsid w:val="004A4B8D"/>
    <w:rsid w:val="004A5B46"/>
    <w:rsid w:val="004A6B13"/>
    <w:rsid w:val="004B0167"/>
    <w:rsid w:val="004B4DD2"/>
    <w:rsid w:val="004B710E"/>
    <w:rsid w:val="004C17A6"/>
    <w:rsid w:val="004C43EA"/>
    <w:rsid w:val="004C4445"/>
    <w:rsid w:val="004C53AD"/>
    <w:rsid w:val="004C6291"/>
    <w:rsid w:val="004C65F0"/>
    <w:rsid w:val="004C680C"/>
    <w:rsid w:val="004C6EC4"/>
    <w:rsid w:val="004C7205"/>
    <w:rsid w:val="004D0275"/>
    <w:rsid w:val="004D59E6"/>
    <w:rsid w:val="004D5E8D"/>
    <w:rsid w:val="004D6404"/>
    <w:rsid w:val="004D7520"/>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949"/>
    <w:rsid w:val="00506171"/>
    <w:rsid w:val="005062F5"/>
    <w:rsid w:val="00510C48"/>
    <w:rsid w:val="005119F4"/>
    <w:rsid w:val="00511DDD"/>
    <w:rsid w:val="00512F2D"/>
    <w:rsid w:val="00513479"/>
    <w:rsid w:val="00515993"/>
    <w:rsid w:val="00517F46"/>
    <w:rsid w:val="00520209"/>
    <w:rsid w:val="0052076B"/>
    <w:rsid w:val="00524059"/>
    <w:rsid w:val="005263EC"/>
    <w:rsid w:val="00526DFC"/>
    <w:rsid w:val="00527EB0"/>
    <w:rsid w:val="005303CA"/>
    <w:rsid w:val="00530DF8"/>
    <w:rsid w:val="00531CA7"/>
    <w:rsid w:val="005324A6"/>
    <w:rsid w:val="00533C9A"/>
    <w:rsid w:val="005346D7"/>
    <w:rsid w:val="00535D3D"/>
    <w:rsid w:val="00536768"/>
    <w:rsid w:val="005372F7"/>
    <w:rsid w:val="00537322"/>
    <w:rsid w:val="00542227"/>
    <w:rsid w:val="005424B5"/>
    <w:rsid w:val="00542CEE"/>
    <w:rsid w:val="00546097"/>
    <w:rsid w:val="00546B65"/>
    <w:rsid w:val="00546FB4"/>
    <w:rsid w:val="0054767C"/>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F71"/>
    <w:rsid w:val="00571C92"/>
    <w:rsid w:val="00571D24"/>
    <w:rsid w:val="005723B9"/>
    <w:rsid w:val="005726BA"/>
    <w:rsid w:val="0057299B"/>
    <w:rsid w:val="00574C83"/>
    <w:rsid w:val="005810DF"/>
    <w:rsid w:val="00583101"/>
    <w:rsid w:val="005836B3"/>
    <w:rsid w:val="00584D72"/>
    <w:rsid w:val="0058662D"/>
    <w:rsid w:val="005900C3"/>
    <w:rsid w:val="00590A21"/>
    <w:rsid w:val="005932EC"/>
    <w:rsid w:val="005966D8"/>
    <w:rsid w:val="0059769C"/>
    <w:rsid w:val="005A0F75"/>
    <w:rsid w:val="005A129A"/>
    <w:rsid w:val="005A35B4"/>
    <w:rsid w:val="005A422E"/>
    <w:rsid w:val="005A7235"/>
    <w:rsid w:val="005A7BA6"/>
    <w:rsid w:val="005B499E"/>
    <w:rsid w:val="005B6A8D"/>
    <w:rsid w:val="005C195D"/>
    <w:rsid w:val="005C2031"/>
    <w:rsid w:val="005C303E"/>
    <w:rsid w:val="005D0ACB"/>
    <w:rsid w:val="005D140B"/>
    <w:rsid w:val="005D1C36"/>
    <w:rsid w:val="005D1F2E"/>
    <w:rsid w:val="005D2654"/>
    <w:rsid w:val="005D2E6F"/>
    <w:rsid w:val="005D3708"/>
    <w:rsid w:val="005D5624"/>
    <w:rsid w:val="005D5865"/>
    <w:rsid w:val="005D5F1D"/>
    <w:rsid w:val="005E03A2"/>
    <w:rsid w:val="005E17D7"/>
    <w:rsid w:val="005E35C4"/>
    <w:rsid w:val="005E4A7B"/>
    <w:rsid w:val="005E588F"/>
    <w:rsid w:val="005E5BEC"/>
    <w:rsid w:val="005E5D2D"/>
    <w:rsid w:val="005E6FAB"/>
    <w:rsid w:val="005F1234"/>
    <w:rsid w:val="005F13AA"/>
    <w:rsid w:val="005F484B"/>
    <w:rsid w:val="005F5BCF"/>
    <w:rsid w:val="005F6D2D"/>
    <w:rsid w:val="005F6DD5"/>
    <w:rsid w:val="00601B3B"/>
    <w:rsid w:val="00602636"/>
    <w:rsid w:val="006036CD"/>
    <w:rsid w:val="00603CAA"/>
    <w:rsid w:val="00603CC1"/>
    <w:rsid w:val="0060451D"/>
    <w:rsid w:val="0060453F"/>
    <w:rsid w:val="00604681"/>
    <w:rsid w:val="00604D35"/>
    <w:rsid w:val="0060549C"/>
    <w:rsid w:val="006070DC"/>
    <w:rsid w:val="006071E2"/>
    <w:rsid w:val="0060750F"/>
    <w:rsid w:val="006079C2"/>
    <w:rsid w:val="00611426"/>
    <w:rsid w:val="00613362"/>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35E63"/>
    <w:rsid w:val="006364B9"/>
    <w:rsid w:val="00637244"/>
    <w:rsid w:val="00640646"/>
    <w:rsid w:val="006406C5"/>
    <w:rsid w:val="00640DB6"/>
    <w:rsid w:val="00642467"/>
    <w:rsid w:val="00642D76"/>
    <w:rsid w:val="00643FF8"/>
    <w:rsid w:val="00644EBE"/>
    <w:rsid w:val="00645B0D"/>
    <w:rsid w:val="00651606"/>
    <w:rsid w:val="0065161C"/>
    <w:rsid w:val="00652B35"/>
    <w:rsid w:val="00652EE5"/>
    <w:rsid w:val="0065454C"/>
    <w:rsid w:val="00660027"/>
    <w:rsid w:val="00660B98"/>
    <w:rsid w:val="00665EAF"/>
    <w:rsid w:val="00666566"/>
    <w:rsid w:val="00666D5A"/>
    <w:rsid w:val="00670897"/>
    <w:rsid w:val="00672A20"/>
    <w:rsid w:val="00672C85"/>
    <w:rsid w:val="006737EC"/>
    <w:rsid w:val="006739CE"/>
    <w:rsid w:val="0068304A"/>
    <w:rsid w:val="00683207"/>
    <w:rsid w:val="00686D59"/>
    <w:rsid w:val="00687254"/>
    <w:rsid w:val="00687583"/>
    <w:rsid w:val="00691828"/>
    <w:rsid w:val="00691A07"/>
    <w:rsid w:val="00692B88"/>
    <w:rsid w:val="00693D40"/>
    <w:rsid w:val="006971C6"/>
    <w:rsid w:val="00697598"/>
    <w:rsid w:val="006A01ED"/>
    <w:rsid w:val="006A173F"/>
    <w:rsid w:val="006A1AC5"/>
    <w:rsid w:val="006A231D"/>
    <w:rsid w:val="006A29EB"/>
    <w:rsid w:val="006A6EDB"/>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68A7"/>
    <w:rsid w:val="006C780F"/>
    <w:rsid w:val="006C79DB"/>
    <w:rsid w:val="006D09D6"/>
    <w:rsid w:val="006D1400"/>
    <w:rsid w:val="006D419B"/>
    <w:rsid w:val="006D7A1A"/>
    <w:rsid w:val="006E009D"/>
    <w:rsid w:val="006E0122"/>
    <w:rsid w:val="006E0960"/>
    <w:rsid w:val="006E116F"/>
    <w:rsid w:val="006E13FF"/>
    <w:rsid w:val="006E197A"/>
    <w:rsid w:val="006E1DC0"/>
    <w:rsid w:val="006E4817"/>
    <w:rsid w:val="006E6819"/>
    <w:rsid w:val="006E6A2C"/>
    <w:rsid w:val="006E6C7E"/>
    <w:rsid w:val="006E7D37"/>
    <w:rsid w:val="006F1F1D"/>
    <w:rsid w:val="006F4946"/>
    <w:rsid w:val="00700983"/>
    <w:rsid w:val="007020F8"/>
    <w:rsid w:val="007029CB"/>
    <w:rsid w:val="00702E91"/>
    <w:rsid w:val="00702F36"/>
    <w:rsid w:val="00703FEF"/>
    <w:rsid w:val="00704459"/>
    <w:rsid w:val="007045C4"/>
    <w:rsid w:val="00704CBA"/>
    <w:rsid w:val="00706B15"/>
    <w:rsid w:val="00706F41"/>
    <w:rsid w:val="00710A21"/>
    <w:rsid w:val="00712749"/>
    <w:rsid w:val="007128E1"/>
    <w:rsid w:val="007139DB"/>
    <w:rsid w:val="00714C7F"/>
    <w:rsid w:val="00714D14"/>
    <w:rsid w:val="00714E66"/>
    <w:rsid w:val="007167A3"/>
    <w:rsid w:val="00716971"/>
    <w:rsid w:val="00716CE1"/>
    <w:rsid w:val="00716D1D"/>
    <w:rsid w:val="00724442"/>
    <w:rsid w:val="00724815"/>
    <w:rsid w:val="00726EFA"/>
    <w:rsid w:val="007279D9"/>
    <w:rsid w:val="00732759"/>
    <w:rsid w:val="00732A40"/>
    <w:rsid w:val="00735197"/>
    <w:rsid w:val="00735C37"/>
    <w:rsid w:val="0073767D"/>
    <w:rsid w:val="0074077E"/>
    <w:rsid w:val="00741CD7"/>
    <w:rsid w:val="00742631"/>
    <w:rsid w:val="00742DE0"/>
    <w:rsid w:val="00743A10"/>
    <w:rsid w:val="00743BAD"/>
    <w:rsid w:val="00745A5F"/>
    <w:rsid w:val="00746F8F"/>
    <w:rsid w:val="00747678"/>
    <w:rsid w:val="00750796"/>
    <w:rsid w:val="007534F8"/>
    <w:rsid w:val="0075404F"/>
    <w:rsid w:val="007558ED"/>
    <w:rsid w:val="007560F1"/>
    <w:rsid w:val="00762228"/>
    <w:rsid w:val="00763E34"/>
    <w:rsid w:val="00764EF9"/>
    <w:rsid w:val="00770A34"/>
    <w:rsid w:val="00770FC4"/>
    <w:rsid w:val="007711BC"/>
    <w:rsid w:val="007713C7"/>
    <w:rsid w:val="00772C87"/>
    <w:rsid w:val="00772D61"/>
    <w:rsid w:val="00775025"/>
    <w:rsid w:val="00776C0D"/>
    <w:rsid w:val="0077747C"/>
    <w:rsid w:val="00780787"/>
    <w:rsid w:val="007837C6"/>
    <w:rsid w:val="007838DA"/>
    <w:rsid w:val="0078463B"/>
    <w:rsid w:val="007853D4"/>
    <w:rsid w:val="007860F8"/>
    <w:rsid w:val="00786880"/>
    <w:rsid w:val="007869C2"/>
    <w:rsid w:val="00791DFE"/>
    <w:rsid w:val="007927B8"/>
    <w:rsid w:val="007937AD"/>
    <w:rsid w:val="00794978"/>
    <w:rsid w:val="00796ED4"/>
    <w:rsid w:val="007975D8"/>
    <w:rsid w:val="007A0115"/>
    <w:rsid w:val="007A2883"/>
    <w:rsid w:val="007A3403"/>
    <w:rsid w:val="007A3539"/>
    <w:rsid w:val="007A3C78"/>
    <w:rsid w:val="007A4ADE"/>
    <w:rsid w:val="007A5180"/>
    <w:rsid w:val="007A5A6C"/>
    <w:rsid w:val="007A5EE5"/>
    <w:rsid w:val="007B00E3"/>
    <w:rsid w:val="007B14AA"/>
    <w:rsid w:val="007B22C1"/>
    <w:rsid w:val="007B260E"/>
    <w:rsid w:val="007B2A30"/>
    <w:rsid w:val="007B41DD"/>
    <w:rsid w:val="007B5199"/>
    <w:rsid w:val="007B62FF"/>
    <w:rsid w:val="007B74AA"/>
    <w:rsid w:val="007C285F"/>
    <w:rsid w:val="007C3A41"/>
    <w:rsid w:val="007C7191"/>
    <w:rsid w:val="007C7392"/>
    <w:rsid w:val="007D1451"/>
    <w:rsid w:val="007D1B8B"/>
    <w:rsid w:val="007D2824"/>
    <w:rsid w:val="007D3C4B"/>
    <w:rsid w:val="007D4381"/>
    <w:rsid w:val="007D47D8"/>
    <w:rsid w:val="007D58A8"/>
    <w:rsid w:val="007D7CD7"/>
    <w:rsid w:val="007E0597"/>
    <w:rsid w:val="007E0985"/>
    <w:rsid w:val="007E1BD7"/>
    <w:rsid w:val="007E1DEB"/>
    <w:rsid w:val="007E2E4D"/>
    <w:rsid w:val="007E403E"/>
    <w:rsid w:val="007E4B86"/>
    <w:rsid w:val="007E6E0D"/>
    <w:rsid w:val="007F1FD4"/>
    <w:rsid w:val="007F246C"/>
    <w:rsid w:val="007F2A90"/>
    <w:rsid w:val="007F5265"/>
    <w:rsid w:val="007F60B7"/>
    <w:rsid w:val="007F7757"/>
    <w:rsid w:val="0080187D"/>
    <w:rsid w:val="00802495"/>
    <w:rsid w:val="0080293D"/>
    <w:rsid w:val="00803457"/>
    <w:rsid w:val="008042DB"/>
    <w:rsid w:val="00806D50"/>
    <w:rsid w:val="00807B4F"/>
    <w:rsid w:val="00811D22"/>
    <w:rsid w:val="00811FC2"/>
    <w:rsid w:val="008144DD"/>
    <w:rsid w:val="0081485B"/>
    <w:rsid w:val="00815A4C"/>
    <w:rsid w:val="00816010"/>
    <w:rsid w:val="008201BE"/>
    <w:rsid w:val="008202C9"/>
    <w:rsid w:val="008208CD"/>
    <w:rsid w:val="008219AA"/>
    <w:rsid w:val="008240C4"/>
    <w:rsid w:val="008240E3"/>
    <w:rsid w:val="00824837"/>
    <w:rsid w:val="00827596"/>
    <w:rsid w:val="0082798D"/>
    <w:rsid w:val="00830F44"/>
    <w:rsid w:val="008310D5"/>
    <w:rsid w:val="008316D7"/>
    <w:rsid w:val="00831944"/>
    <w:rsid w:val="00831B47"/>
    <w:rsid w:val="008343F1"/>
    <w:rsid w:val="008366EC"/>
    <w:rsid w:val="00840AE4"/>
    <w:rsid w:val="008416DF"/>
    <w:rsid w:val="008443B3"/>
    <w:rsid w:val="00846433"/>
    <w:rsid w:val="0084668A"/>
    <w:rsid w:val="00850DF4"/>
    <w:rsid w:val="008510C7"/>
    <w:rsid w:val="0085150A"/>
    <w:rsid w:val="0085160F"/>
    <w:rsid w:val="0085327B"/>
    <w:rsid w:val="008533CD"/>
    <w:rsid w:val="00853B1E"/>
    <w:rsid w:val="00854AAE"/>
    <w:rsid w:val="00856CDB"/>
    <w:rsid w:val="008575CF"/>
    <w:rsid w:val="00860243"/>
    <w:rsid w:val="00862ACA"/>
    <w:rsid w:val="00863B5C"/>
    <w:rsid w:val="00863E35"/>
    <w:rsid w:val="0086480C"/>
    <w:rsid w:val="0086680C"/>
    <w:rsid w:val="00866A4F"/>
    <w:rsid w:val="00866F44"/>
    <w:rsid w:val="00870F86"/>
    <w:rsid w:val="00873EFF"/>
    <w:rsid w:val="008749E8"/>
    <w:rsid w:val="00876774"/>
    <w:rsid w:val="00876C6F"/>
    <w:rsid w:val="008803DA"/>
    <w:rsid w:val="00881794"/>
    <w:rsid w:val="00881CAD"/>
    <w:rsid w:val="00883A58"/>
    <w:rsid w:val="0089326A"/>
    <w:rsid w:val="0089358E"/>
    <w:rsid w:val="00893F67"/>
    <w:rsid w:val="00895E6F"/>
    <w:rsid w:val="008A0297"/>
    <w:rsid w:val="008A034D"/>
    <w:rsid w:val="008A1004"/>
    <w:rsid w:val="008A15C2"/>
    <w:rsid w:val="008A2F96"/>
    <w:rsid w:val="008A34CB"/>
    <w:rsid w:val="008A474D"/>
    <w:rsid w:val="008A6835"/>
    <w:rsid w:val="008B0300"/>
    <w:rsid w:val="008B170E"/>
    <w:rsid w:val="008B37A1"/>
    <w:rsid w:val="008B4625"/>
    <w:rsid w:val="008B467F"/>
    <w:rsid w:val="008B57B0"/>
    <w:rsid w:val="008B6B80"/>
    <w:rsid w:val="008C06CB"/>
    <w:rsid w:val="008C0C83"/>
    <w:rsid w:val="008C582D"/>
    <w:rsid w:val="008C6A5F"/>
    <w:rsid w:val="008C7F35"/>
    <w:rsid w:val="008D2A1E"/>
    <w:rsid w:val="008D2CA0"/>
    <w:rsid w:val="008D3B33"/>
    <w:rsid w:val="008D4703"/>
    <w:rsid w:val="008D659E"/>
    <w:rsid w:val="008D6656"/>
    <w:rsid w:val="008E2B3A"/>
    <w:rsid w:val="008E3EF5"/>
    <w:rsid w:val="008E4DC6"/>
    <w:rsid w:val="008E5DFF"/>
    <w:rsid w:val="008E6B14"/>
    <w:rsid w:val="008E6FC3"/>
    <w:rsid w:val="008F0A00"/>
    <w:rsid w:val="008F0EEB"/>
    <w:rsid w:val="008F1F04"/>
    <w:rsid w:val="008F2C24"/>
    <w:rsid w:val="008F48A5"/>
    <w:rsid w:val="008F4B28"/>
    <w:rsid w:val="008F5FAF"/>
    <w:rsid w:val="008F74C2"/>
    <w:rsid w:val="008F7CEE"/>
    <w:rsid w:val="00900E6F"/>
    <w:rsid w:val="00901C53"/>
    <w:rsid w:val="00902767"/>
    <w:rsid w:val="00902BB7"/>
    <w:rsid w:val="009048BF"/>
    <w:rsid w:val="00911E06"/>
    <w:rsid w:val="009124E7"/>
    <w:rsid w:val="00912F15"/>
    <w:rsid w:val="00916658"/>
    <w:rsid w:val="00916674"/>
    <w:rsid w:val="00916D23"/>
    <w:rsid w:val="00916E48"/>
    <w:rsid w:val="0091768B"/>
    <w:rsid w:val="00922AA7"/>
    <w:rsid w:val="00922C6F"/>
    <w:rsid w:val="00922D6B"/>
    <w:rsid w:val="00923155"/>
    <w:rsid w:val="00925391"/>
    <w:rsid w:val="009254E0"/>
    <w:rsid w:val="00925CEA"/>
    <w:rsid w:val="00927A0F"/>
    <w:rsid w:val="00927A30"/>
    <w:rsid w:val="00927DC6"/>
    <w:rsid w:val="00931E9D"/>
    <w:rsid w:val="009328B3"/>
    <w:rsid w:val="00936A54"/>
    <w:rsid w:val="00937543"/>
    <w:rsid w:val="00937AC9"/>
    <w:rsid w:val="00940B0E"/>
    <w:rsid w:val="00940F81"/>
    <w:rsid w:val="00941552"/>
    <w:rsid w:val="00942B82"/>
    <w:rsid w:val="00943C5A"/>
    <w:rsid w:val="00944273"/>
    <w:rsid w:val="00944C1D"/>
    <w:rsid w:val="00945D12"/>
    <w:rsid w:val="0095227C"/>
    <w:rsid w:val="009523A7"/>
    <w:rsid w:val="009523F2"/>
    <w:rsid w:val="00953FB7"/>
    <w:rsid w:val="00954449"/>
    <w:rsid w:val="009551C5"/>
    <w:rsid w:val="00956077"/>
    <w:rsid w:val="00956636"/>
    <w:rsid w:val="00961FE9"/>
    <w:rsid w:val="009620C0"/>
    <w:rsid w:val="009628DB"/>
    <w:rsid w:val="00963312"/>
    <w:rsid w:val="0096386A"/>
    <w:rsid w:val="0096508A"/>
    <w:rsid w:val="00965ABF"/>
    <w:rsid w:val="00971A41"/>
    <w:rsid w:val="00975BE8"/>
    <w:rsid w:val="00976A58"/>
    <w:rsid w:val="00977AA1"/>
    <w:rsid w:val="00980058"/>
    <w:rsid w:val="00982445"/>
    <w:rsid w:val="00982777"/>
    <w:rsid w:val="00982C40"/>
    <w:rsid w:val="0098375D"/>
    <w:rsid w:val="00986137"/>
    <w:rsid w:val="00986389"/>
    <w:rsid w:val="009872CD"/>
    <w:rsid w:val="00987A8B"/>
    <w:rsid w:val="00990A46"/>
    <w:rsid w:val="00990AB9"/>
    <w:rsid w:val="009912BB"/>
    <w:rsid w:val="009920E2"/>
    <w:rsid w:val="00994217"/>
    <w:rsid w:val="00994618"/>
    <w:rsid w:val="00996CD5"/>
    <w:rsid w:val="00997E71"/>
    <w:rsid w:val="009A09EC"/>
    <w:rsid w:val="009A0E02"/>
    <w:rsid w:val="009A151F"/>
    <w:rsid w:val="009A24BC"/>
    <w:rsid w:val="009A442C"/>
    <w:rsid w:val="009A5C07"/>
    <w:rsid w:val="009A6AF8"/>
    <w:rsid w:val="009A7EF0"/>
    <w:rsid w:val="009B2A92"/>
    <w:rsid w:val="009B3C05"/>
    <w:rsid w:val="009B46F6"/>
    <w:rsid w:val="009B5CB4"/>
    <w:rsid w:val="009B5E96"/>
    <w:rsid w:val="009B76F3"/>
    <w:rsid w:val="009B7753"/>
    <w:rsid w:val="009C2087"/>
    <w:rsid w:val="009C24FF"/>
    <w:rsid w:val="009C2DE1"/>
    <w:rsid w:val="009C3712"/>
    <w:rsid w:val="009C3901"/>
    <w:rsid w:val="009C3BA8"/>
    <w:rsid w:val="009C3C64"/>
    <w:rsid w:val="009C66BD"/>
    <w:rsid w:val="009D040F"/>
    <w:rsid w:val="009D043F"/>
    <w:rsid w:val="009D1603"/>
    <w:rsid w:val="009D23AF"/>
    <w:rsid w:val="009D2F92"/>
    <w:rsid w:val="009D4058"/>
    <w:rsid w:val="009D4B0D"/>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A02D1A"/>
    <w:rsid w:val="00A03078"/>
    <w:rsid w:val="00A0627A"/>
    <w:rsid w:val="00A10781"/>
    <w:rsid w:val="00A10C30"/>
    <w:rsid w:val="00A12BD8"/>
    <w:rsid w:val="00A15F64"/>
    <w:rsid w:val="00A233E0"/>
    <w:rsid w:val="00A24F5B"/>
    <w:rsid w:val="00A26353"/>
    <w:rsid w:val="00A26E89"/>
    <w:rsid w:val="00A274B4"/>
    <w:rsid w:val="00A27E5C"/>
    <w:rsid w:val="00A306EB"/>
    <w:rsid w:val="00A31484"/>
    <w:rsid w:val="00A352DB"/>
    <w:rsid w:val="00A358CC"/>
    <w:rsid w:val="00A35BC3"/>
    <w:rsid w:val="00A35F5B"/>
    <w:rsid w:val="00A361CE"/>
    <w:rsid w:val="00A44074"/>
    <w:rsid w:val="00A45770"/>
    <w:rsid w:val="00A45865"/>
    <w:rsid w:val="00A5226D"/>
    <w:rsid w:val="00A53BD4"/>
    <w:rsid w:val="00A53C9A"/>
    <w:rsid w:val="00A55764"/>
    <w:rsid w:val="00A56C84"/>
    <w:rsid w:val="00A60384"/>
    <w:rsid w:val="00A6282F"/>
    <w:rsid w:val="00A62AFA"/>
    <w:rsid w:val="00A64B54"/>
    <w:rsid w:val="00A67FC6"/>
    <w:rsid w:val="00A68791"/>
    <w:rsid w:val="00A71397"/>
    <w:rsid w:val="00A71F84"/>
    <w:rsid w:val="00A72623"/>
    <w:rsid w:val="00A768D2"/>
    <w:rsid w:val="00A80A27"/>
    <w:rsid w:val="00A816BC"/>
    <w:rsid w:val="00A82647"/>
    <w:rsid w:val="00A8542E"/>
    <w:rsid w:val="00A8593A"/>
    <w:rsid w:val="00A9188B"/>
    <w:rsid w:val="00A91EFC"/>
    <w:rsid w:val="00A955EC"/>
    <w:rsid w:val="00A9734E"/>
    <w:rsid w:val="00A975AC"/>
    <w:rsid w:val="00A97EE9"/>
    <w:rsid w:val="00AA26C8"/>
    <w:rsid w:val="00AA2AE3"/>
    <w:rsid w:val="00AA3857"/>
    <w:rsid w:val="00AA4A5E"/>
    <w:rsid w:val="00AA4F24"/>
    <w:rsid w:val="00AA5BD7"/>
    <w:rsid w:val="00AA67A0"/>
    <w:rsid w:val="00AA74E9"/>
    <w:rsid w:val="00AB58D2"/>
    <w:rsid w:val="00AC0B0E"/>
    <w:rsid w:val="00AC105E"/>
    <w:rsid w:val="00AC1131"/>
    <w:rsid w:val="00AC1AC4"/>
    <w:rsid w:val="00AC5472"/>
    <w:rsid w:val="00AC7C7A"/>
    <w:rsid w:val="00AD15AC"/>
    <w:rsid w:val="00AD1B66"/>
    <w:rsid w:val="00AD1CFF"/>
    <w:rsid w:val="00AD2447"/>
    <w:rsid w:val="00AD3F78"/>
    <w:rsid w:val="00AD46F7"/>
    <w:rsid w:val="00AE026A"/>
    <w:rsid w:val="00AE1346"/>
    <w:rsid w:val="00AE2594"/>
    <w:rsid w:val="00AE274D"/>
    <w:rsid w:val="00AE3624"/>
    <w:rsid w:val="00AE3760"/>
    <w:rsid w:val="00AE3F7E"/>
    <w:rsid w:val="00AE63B1"/>
    <w:rsid w:val="00AE7BE7"/>
    <w:rsid w:val="00AE7FC5"/>
    <w:rsid w:val="00AF2486"/>
    <w:rsid w:val="00AF3D20"/>
    <w:rsid w:val="00AF4218"/>
    <w:rsid w:val="00AF48A1"/>
    <w:rsid w:val="00AF6F5C"/>
    <w:rsid w:val="00B027C5"/>
    <w:rsid w:val="00B02874"/>
    <w:rsid w:val="00B04655"/>
    <w:rsid w:val="00B06750"/>
    <w:rsid w:val="00B07337"/>
    <w:rsid w:val="00B11B2A"/>
    <w:rsid w:val="00B13545"/>
    <w:rsid w:val="00B13DEC"/>
    <w:rsid w:val="00B15AEE"/>
    <w:rsid w:val="00B15B9E"/>
    <w:rsid w:val="00B222EC"/>
    <w:rsid w:val="00B22810"/>
    <w:rsid w:val="00B22F84"/>
    <w:rsid w:val="00B2326A"/>
    <w:rsid w:val="00B23E0D"/>
    <w:rsid w:val="00B24852"/>
    <w:rsid w:val="00B26757"/>
    <w:rsid w:val="00B31C31"/>
    <w:rsid w:val="00B33D01"/>
    <w:rsid w:val="00B37C28"/>
    <w:rsid w:val="00B400AE"/>
    <w:rsid w:val="00B434D7"/>
    <w:rsid w:val="00B45BEF"/>
    <w:rsid w:val="00B47058"/>
    <w:rsid w:val="00B5068E"/>
    <w:rsid w:val="00B51024"/>
    <w:rsid w:val="00B524A9"/>
    <w:rsid w:val="00B603E4"/>
    <w:rsid w:val="00B62988"/>
    <w:rsid w:val="00B63B97"/>
    <w:rsid w:val="00B65237"/>
    <w:rsid w:val="00B666CD"/>
    <w:rsid w:val="00B67894"/>
    <w:rsid w:val="00B72371"/>
    <w:rsid w:val="00B737EF"/>
    <w:rsid w:val="00B74D25"/>
    <w:rsid w:val="00B7519D"/>
    <w:rsid w:val="00B77C81"/>
    <w:rsid w:val="00B80F76"/>
    <w:rsid w:val="00B818B8"/>
    <w:rsid w:val="00B81A2E"/>
    <w:rsid w:val="00B83587"/>
    <w:rsid w:val="00B8407F"/>
    <w:rsid w:val="00B8491D"/>
    <w:rsid w:val="00B85B34"/>
    <w:rsid w:val="00B8742C"/>
    <w:rsid w:val="00B90437"/>
    <w:rsid w:val="00B92284"/>
    <w:rsid w:val="00B9379D"/>
    <w:rsid w:val="00B93F50"/>
    <w:rsid w:val="00B9417E"/>
    <w:rsid w:val="00B9424F"/>
    <w:rsid w:val="00B9504D"/>
    <w:rsid w:val="00B957FA"/>
    <w:rsid w:val="00B95BD0"/>
    <w:rsid w:val="00B9602F"/>
    <w:rsid w:val="00BA1A18"/>
    <w:rsid w:val="00BA45E6"/>
    <w:rsid w:val="00BA5E6F"/>
    <w:rsid w:val="00BB0D04"/>
    <w:rsid w:val="00BB29FA"/>
    <w:rsid w:val="00BB2B15"/>
    <w:rsid w:val="00BB3410"/>
    <w:rsid w:val="00BB432F"/>
    <w:rsid w:val="00BB49A7"/>
    <w:rsid w:val="00BB49C0"/>
    <w:rsid w:val="00BB6F4C"/>
    <w:rsid w:val="00BB6FB5"/>
    <w:rsid w:val="00BB753F"/>
    <w:rsid w:val="00BB7DA0"/>
    <w:rsid w:val="00BB7FF2"/>
    <w:rsid w:val="00BC0B1A"/>
    <w:rsid w:val="00BC1522"/>
    <w:rsid w:val="00BC1BF0"/>
    <w:rsid w:val="00BC3541"/>
    <w:rsid w:val="00BC3DD2"/>
    <w:rsid w:val="00BD12E4"/>
    <w:rsid w:val="00BD6B16"/>
    <w:rsid w:val="00BE12E1"/>
    <w:rsid w:val="00BE1B26"/>
    <w:rsid w:val="00BE1F44"/>
    <w:rsid w:val="00BE3D6F"/>
    <w:rsid w:val="00BE4548"/>
    <w:rsid w:val="00BE53BF"/>
    <w:rsid w:val="00BE63D7"/>
    <w:rsid w:val="00BF0CAD"/>
    <w:rsid w:val="00BF2700"/>
    <w:rsid w:val="00BF2A34"/>
    <w:rsid w:val="00BF2DF6"/>
    <w:rsid w:val="00BF4B71"/>
    <w:rsid w:val="00BF5699"/>
    <w:rsid w:val="00BF6721"/>
    <w:rsid w:val="00C02D9A"/>
    <w:rsid w:val="00C033E9"/>
    <w:rsid w:val="00C0389F"/>
    <w:rsid w:val="00C04326"/>
    <w:rsid w:val="00C046AD"/>
    <w:rsid w:val="00C054E3"/>
    <w:rsid w:val="00C066B7"/>
    <w:rsid w:val="00C07AAE"/>
    <w:rsid w:val="00C07D74"/>
    <w:rsid w:val="00C11ED5"/>
    <w:rsid w:val="00C13B84"/>
    <w:rsid w:val="00C14B7B"/>
    <w:rsid w:val="00C14D9D"/>
    <w:rsid w:val="00C1628D"/>
    <w:rsid w:val="00C20372"/>
    <w:rsid w:val="00C21403"/>
    <w:rsid w:val="00C222B8"/>
    <w:rsid w:val="00C2356F"/>
    <w:rsid w:val="00C24C6C"/>
    <w:rsid w:val="00C25A7A"/>
    <w:rsid w:val="00C27150"/>
    <w:rsid w:val="00C27CAD"/>
    <w:rsid w:val="00C30469"/>
    <w:rsid w:val="00C3183C"/>
    <w:rsid w:val="00C32359"/>
    <w:rsid w:val="00C32D5B"/>
    <w:rsid w:val="00C33E98"/>
    <w:rsid w:val="00C347F1"/>
    <w:rsid w:val="00C34842"/>
    <w:rsid w:val="00C36AEE"/>
    <w:rsid w:val="00C36E61"/>
    <w:rsid w:val="00C375CA"/>
    <w:rsid w:val="00C4298A"/>
    <w:rsid w:val="00C42F7B"/>
    <w:rsid w:val="00C441E0"/>
    <w:rsid w:val="00C44A9E"/>
    <w:rsid w:val="00C457F1"/>
    <w:rsid w:val="00C45979"/>
    <w:rsid w:val="00C51D4B"/>
    <w:rsid w:val="00C52F62"/>
    <w:rsid w:val="00C538F7"/>
    <w:rsid w:val="00C541C4"/>
    <w:rsid w:val="00C54E17"/>
    <w:rsid w:val="00C54FDB"/>
    <w:rsid w:val="00C55072"/>
    <w:rsid w:val="00C573BC"/>
    <w:rsid w:val="00C60DDA"/>
    <w:rsid w:val="00C6228D"/>
    <w:rsid w:val="00C63846"/>
    <w:rsid w:val="00C67D9C"/>
    <w:rsid w:val="00C706D7"/>
    <w:rsid w:val="00C72590"/>
    <w:rsid w:val="00C725A3"/>
    <w:rsid w:val="00C72CCD"/>
    <w:rsid w:val="00C733F7"/>
    <w:rsid w:val="00C754FD"/>
    <w:rsid w:val="00C76FDB"/>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6032"/>
    <w:rsid w:val="00C969D2"/>
    <w:rsid w:val="00C96BDE"/>
    <w:rsid w:val="00CA27B9"/>
    <w:rsid w:val="00CA32FE"/>
    <w:rsid w:val="00CA4137"/>
    <w:rsid w:val="00CA5AE4"/>
    <w:rsid w:val="00CA6D14"/>
    <w:rsid w:val="00CA7BB2"/>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C7741"/>
    <w:rsid w:val="00CD1614"/>
    <w:rsid w:val="00CD1836"/>
    <w:rsid w:val="00CD275E"/>
    <w:rsid w:val="00CD2903"/>
    <w:rsid w:val="00CD2EF7"/>
    <w:rsid w:val="00CD38AB"/>
    <w:rsid w:val="00CD4100"/>
    <w:rsid w:val="00CD4338"/>
    <w:rsid w:val="00CD4809"/>
    <w:rsid w:val="00CD5A92"/>
    <w:rsid w:val="00CE0942"/>
    <w:rsid w:val="00CE1EF9"/>
    <w:rsid w:val="00CE2CB1"/>
    <w:rsid w:val="00CE3ACF"/>
    <w:rsid w:val="00CE4292"/>
    <w:rsid w:val="00CE4DEB"/>
    <w:rsid w:val="00CE4F47"/>
    <w:rsid w:val="00CE5752"/>
    <w:rsid w:val="00CE6F2D"/>
    <w:rsid w:val="00CF23B4"/>
    <w:rsid w:val="00CF242E"/>
    <w:rsid w:val="00CF413A"/>
    <w:rsid w:val="00CF4631"/>
    <w:rsid w:val="00CF5A3C"/>
    <w:rsid w:val="00CF5EFF"/>
    <w:rsid w:val="00D00106"/>
    <w:rsid w:val="00D00D33"/>
    <w:rsid w:val="00D01A8F"/>
    <w:rsid w:val="00D0357B"/>
    <w:rsid w:val="00D04072"/>
    <w:rsid w:val="00D043F3"/>
    <w:rsid w:val="00D10B82"/>
    <w:rsid w:val="00D12D20"/>
    <w:rsid w:val="00D14A68"/>
    <w:rsid w:val="00D163B0"/>
    <w:rsid w:val="00D17BB9"/>
    <w:rsid w:val="00D210DB"/>
    <w:rsid w:val="00D225E2"/>
    <w:rsid w:val="00D22D2C"/>
    <w:rsid w:val="00D234AD"/>
    <w:rsid w:val="00D24AC0"/>
    <w:rsid w:val="00D26124"/>
    <w:rsid w:val="00D31DCE"/>
    <w:rsid w:val="00D33817"/>
    <w:rsid w:val="00D36464"/>
    <w:rsid w:val="00D37D03"/>
    <w:rsid w:val="00D37D3F"/>
    <w:rsid w:val="00D414EB"/>
    <w:rsid w:val="00D4260C"/>
    <w:rsid w:val="00D43278"/>
    <w:rsid w:val="00D432B7"/>
    <w:rsid w:val="00D437E5"/>
    <w:rsid w:val="00D4483E"/>
    <w:rsid w:val="00D4591C"/>
    <w:rsid w:val="00D45C8A"/>
    <w:rsid w:val="00D47C16"/>
    <w:rsid w:val="00D47C2B"/>
    <w:rsid w:val="00D47CB3"/>
    <w:rsid w:val="00D50C3C"/>
    <w:rsid w:val="00D51356"/>
    <w:rsid w:val="00D517F0"/>
    <w:rsid w:val="00D5260D"/>
    <w:rsid w:val="00D52FDD"/>
    <w:rsid w:val="00D54334"/>
    <w:rsid w:val="00D544EC"/>
    <w:rsid w:val="00D55926"/>
    <w:rsid w:val="00D55EB1"/>
    <w:rsid w:val="00D57716"/>
    <w:rsid w:val="00D61EDC"/>
    <w:rsid w:val="00D64254"/>
    <w:rsid w:val="00D73509"/>
    <w:rsid w:val="00D73DBE"/>
    <w:rsid w:val="00D73E09"/>
    <w:rsid w:val="00D74290"/>
    <w:rsid w:val="00D76DB3"/>
    <w:rsid w:val="00D77C8D"/>
    <w:rsid w:val="00D87764"/>
    <w:rsid w:val="00D90653"/>
    <w:rsid w:val="00D92ED6"/>
    <w:rsid w:val="00D9599C"/>
    <w:rsid w:val="00DA4019"/>
    <w:rsid w:val="00DA4E0C"/>
    <w:rsid w:val="00DA53F8"/>
    <w:rsid w:val="00DA7843"/>
    <w:rsid w:val="00DA7E80"/>
    <w:rsid w:val="00DB0E66"/>
    <w:rsid w:val="00DB13CB"/>
    <w:rsid w:val="00DB523F"/>
    <w:rsid w:val="00DB52E0"/>
    <w:rsid w:val="00DB5E95"/>
    <w:rsid w:val="00DB6062"/>
    <w:rsid w:val="00DB7775"/>
    <w:rsid w:val="00DB799B"/>
    <w:rsid w:val="00DC1889"/>
    <w:rsid w:val="00DC1EEC"/>
    <w:rsid w:val="00DC2D99"/>
    <w:rsid w:val="00DC57CD"/>
    <w:rsid w:val="00DC6593"/>
    <w:rsid w:val="00DD2682"/>
    <w:rsid w:val="00DD35B0"/>
    <w:rsid w:val="00DD3CD9"/>
    <w:rsid w:val="00DD4E7A"/>
    <w:rsid w:val="00DD6533"/>
    <w:rsid w:val="00DD6F29"/>
    <w:rsid w:val="00DD718B"/>
    <w:rsid w:val="00DE15D8"/>
    <w:rsid w:val="00DE26D9"/>
    <w:rsid w:val="00DE3DF8"/>
    <w:rsid w:val="00DE4AB0"/>
    <w:rsid w:val="00DE4E0C"/>
    <w:rsid w:val="00DE50FF"/>
    <w:rsid w:val="00DE60DC"/>
    <w:rsid w:val="00DE68CB"/>
    <w:rsid w:val="00DF0955"/>
    <w:rsid w:val="00DF3AA1"/>
    <w:rsid w:val="00DF4973"/>
    <w:rsid w:val="00DF6030"/>
    <w:rsid w:val="00DF7E5D"/>
    <w:rsid w:val="00E00589"/>
    <w:rsid w:val="00E0220E"/>
    <w:rsid w:val="00E034D9"/>
    <w:rsid w:val="00E03FC8"/>
    <w:rsid w:val="00E04947"/>
    <w:rsid w:val="00E076DF"/>
    <w:rsid w:val="00E10927"/>
    <w:rsid w:val="00E128B1"/>
    <w:rsid w:val="00E14467"/>
    <w:rsid w:val="00E14BF3"/>
    <w:rsid w:val="00E16410"/>
    <w:rsid w:val="00E205A3"/>
    <w:rsid w:val="00E2389F"/>
    <w:rsid w:val="00E25157"/>
    <w:rsid w:val="00E27F78"/>
    <w:rsid w:val="00E30F8E"/>
    <w:rsid w:val="00E3122D"/>
    <w:rsid w:val="00E33FC1"/>
    <w:rsid w:val="00E3518D"/>
    <w:rsid w:val="00E35BF8"/>
    <w:rsid w:val="00E37A2B"/>
    <w:rsid w:val="00E40D81"/>
    <w:rsid w:val="00E41238"/>
    <w:rsid w:val="00E41B99"/>
    <w:rsid w:val="00E42EA6"/>
    <w:rsid w:val="00E439D8"/>
    <w:rsid w:val="00E463E4"/>
    <w:rsid w:val="00E47562"/>
    <w:rsid w:val="00E50CD6"/>
    <w:rsid w:val="00E5311D"/>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3E81"/>
    <w:rsid w:val="00E74511"/>
    <w:rsid w:val="00E75438"/>
    <w:rsid w:val="00E75DBD"/>
    <w:rsid w:val="00E777B0"/>
    <w:rsid w:val="00E77E40"/>
    <w:rsid w:val="00E815E1"/>
    <w:rsid w:val="00E833F8"/>
    <w:rsid w:val="00E83D5C"/>
    <w:rsid w:val="00E85622"/>
    <w:rsid w:val="00E87F99"/>
    <w:rsid w:val="00E87FCD"/>
    <w:rsid w:val="00E91C6A"/>
    <w:rsid w:val="00E94E34"/>
    <w:rsid w:val="00E957A4"/>
    <w:rsid w:val="00E97093"/>
    <w:rsid w:val="00EA0CF2"/>
    <w:rsid w:val="00EA0D20"/>
    <w:rsid w:val="00EA3AE4"/>
    <w:rsid w:val="00EA4A33"/>
    <w:rsid w:val="00EA58E6"/>
    <w:rsid w:val="00EA5D83"/>
    <w:rsid w:val="00EA6184"/>
    <w:rsid w:val="00EA6BDC"/>
    <w:rsid w:val="00EB0C83"/>
    <w:rsid w:val="00EB1912"/>
    <w:rsid w:val="00EB1C08"/>
    <w:rsid w:val="00EB2A3A"/>
    <w:rsid w:val="00EB34A6"/>
    <w:rsid w:val="00EB4C2F"/>
    <w:rsid w:val="00EC04E3"/>
    <w:rsid w:val="00EC0D68"/>
    <w:rsid w:val="00EC1141"/>
    <w:rsid w:val="00EC11F9"/>
    <w:rsid w:val="00EC122D"/>
    <w:rsid w:val="00EC1979"/>
    <w:rsid w:val="00EC230D"/>
    <w:rsid w:val="00EC266D"/>
    <w:rsid w:val="00EC6B27"/>
    <w:rsid w:val="00EC700B"/>
    <w:rsid w:val="00EC7AEE"/>
    <w:rsid w:val="00ED0082"/>
    <w:rsid w:val="00ED1842"/>
    <w:rsid w:val="00ED1C59"/>
    <w:rsid w:val="00ED2C2E"/>
    <w:rsid w:val="00ED31BD"/>
    <w:rsid w:val="00ED3C90"/>
    <w:rsid w:val="00ED4385"/>
    <w:rsid w:val="00ED44A3"/>
    <w:rsid w:val="00ED57A4"/>
    <w:rsid w:val="00ED6496"/>
    <w:rsid w:val="00EE038B"/>
    <w:rsid w:val="00EE2072"/>
    <w:rsid w:val="00EE2403"/>
    <w:rsid w:val="00EE2B2F"/>
    <w:rsid w:val="00EE5AC9"/>
    <w:rsid w:val="00EE68B7"/>
    <w:rsid w:val="00EE7609"/>
    <w:rsid w:val="00EE782C"/>
    <w:rsid w:val="00EF2E9D"/>
    <w:rsid w:val="00EF3B34"/>
    <w:rsid w:val="00EF71E8"/>
    <w:rsid w:val="00EF7A31"/>
    <w:rsid w:val="00EF7B2E"/>
    <w:rsid w:val="00F0015C"/>
    <w:rsid w:val="00F02003"/>
    <w:rsid w:val="00F0705E"/>
    <w:rsid w:val="00F071BE"/>
    <w:rsid w:val="00F10CF0"/>
    <w:rsid w:val="00F13918"/>
    <w:rsid w:val="00F15CFE"/>
    <w:rsid w:val="00F171C6"/>
    <w:rsid w:val="00F1773A"/>
    <w:rsid w:val="00F17E88"/>
    <w:rsid w:val="00F17F8C"/>
    <w:rsid w:val="00F229AC"/>
    <w:rsid w:val="00F23D35"/>
    <w:rsid w:val="00F252CD"/>
    <w:rsid w:val="00F2554C"/>
    <w:rsid w:val="00F27BD2"/>
    <w:rsid w:val="00F27FE4"/>
    <w:rsid w:val="00F3030A"/>
    <w:rsid w:val="00F31DEE"/>
    <w:rsid w:val="00F32BF6"/>
    <w:rsid w:val="00F33388"/>
    <w:rsid w:val="00F33E4D"/>
    <w:rsid w:val="00F34178"/>
    <w:rsid w:val="00F34BCA"/>
    <w:rsid w:val="00F36723"/>
    <w:rsid w:val="00F37D13"/>
    <w:rsid w:val="00F405E9"/>
    <w:rsid w:val="00F43533"/>
    <w:rsid w:val="00F440BC"/>
    <w:rsid w:val="00F462DB"/>
    <w:rsid w:val="00F47EAC"/>
    <w:rsid w:val="00F5019F"/>
    <w:rsid w:val="00F50C29"/>
    <w:rsid w:val="00F51F05"/>
    <w:rsid w:val="00F532D6"/>
    <w:rsid w:val="00F56114"/>
    <w:rsid w:val="00F573CC"/>
    <w:rsid w:val="00F57EAD"/>
    <w:rsid w:val="00F601B4"/>
    <w:rsid w:val="00F62C65"/>
    <w:rsid w:val="00F63290"/>
    <w:rsid w:val="00F652A6"/>
    <w:rsid w:val="00F66728"/>
    <w:rsid w:val="00F67649"/>
    <w:rsid w:val="00F67C9A"/>
    <w:rsid w:val="00F7072E"/>
    <w:rsid w:val="00F71C27"/>
    <w:rsid w:val="00F7283C"/>
    <w:rsid w:val="00F741CB"/>
    <w:rsid w:val="00F74FF8"/>
    <w:rsid w:val="00F7776D"/>
    <w:rsid w:val="00F823FF"/>
    <w:rsid w:val="00F84AF9"/>
    <w:rsid w:val="00F85BB1"/>
    <w:rsid w:val="00F8697C"/>
    <w:rsid w:val="00F904F9"/>
    <w:rsid w:val="00F90ACE"/>
    <w:rsid w:val="00F9157A"/>
    <w:rsid w:val="00F916E8"/>
    <w:rsid w:val="00F91707"/>
    <w:rsid w:val="00F919C9"/>
    <w:rsid w:val="00F91EF0"/>
    <w:rsid w:val="00F92596"/>
    <w:rsid w:val="00F95973"/>
    <w:rsid w:val="00FA0F0D"/>
    <w:rsid w:val="00FA243A"/>
    <w:rsid w:val="00FA4C93"/>
    <w:rsid w:val="00FA5FC1"/>
    <w:rsid w:val="00FA7931"/>
    <w:rsid w:val="00FB012C"/>
    <w:rsid w:val="00FB2200"/>
    <w:rsid w:val="00FB37E2"/>
    <w:rsid w:val="00FB38ED"/>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3EF8"/>
    <w:rsid w:val="00FD54EB"/>
    <w:rsid w:val="00FD7196"/>
    <w:rsid w:val="00FE0BEA"/>
    <w:rsid w:val="00FE0D6A"/>
    <w:rsid w:val="00FE2C1F"/>
    <w:rsid w:val="00FE4665"/>
    <w:rsid w:val="00FE539F"/>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6D906B7"/>
  <w15:docId w15:val="{622DB592-1561-402F-A8C0-A7EEF08DF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paragraph" w:styleId="BodyText">
    <w:name w:val="Body Text"/>
    <w:basedOn w:val="Normal"/>
    <w:link w:val="BodyTextChar"/>
    <w:semiHidden/>
    <w:unhideWhenUsed/>
    <w:rsid w:val="005C303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5C303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emf"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2021-04-13T04:00:00+00:00</Document_x0020_Creation_x0020_Date>
    <EPA_x0020_Office xmlns="4ffa91fb-a0ff-4ac5-b2db-65c790d184a4">OMS-OEIP-RSD</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McGrath, Daniel (he/him)</DisplayName>
        <AccountId>23</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2.xml><?xml version="1.0" encoding="utf-8"?>
<ds:datastoreItem xmlns:ds="http://schemas.openxmlformats.org/officeDocument/2006/customXml" ds:itemID="{E5033098-BF7F-4D78-8529-0AFBF5D8899C}">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3.xml><?xml version="1.0" encoding="utf-8"?>
<ds:datastoreItem xmlns:ds="http://schemas.openxmlformats.org/officeDocument/2006/customXml" ds:itemID="{493D8C8B-B810-46D9-85D4-43C505A3034E}">
  <ds:schemaRefs>
    <ds:schemaRef ds:uri="Microsoft.SharePoint.Taxonomy.ContentTypeSync"/>
  </ds:schemaRefs>
</ds:datastoreItem>
</file>

<file path=customXml/itemProps4.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5.xml><?xml version="1.0" encoding="utf-8"?>
<ds:datastoreItem xmlns:ds="http://schemas.openxmlformats.org/officeDocument/2006/customXml" ds:itemID="{ABFE85B8-FE95-4816-9B05-25E65235F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17</Pages>
  <Words>5916</Words>
  <Characters>37274</Characters>
  <Application>Microsoft Office Word</Application>
  <DocSecurity>0</DocSecurity>
  <Lines>1007</Lines>
  <Paragraphs>369</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42821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Kerwin, Courtney</cp:lastModifiedBy>
  <cp:revision>3</cp:revision>
  <dcterms:created xsi:type="dcterms:W3CDTF">2024-07-15T21:24:00Z</dcterms:created>
  <dcterms:modified xsi:type="dcterms:W3CDTF">2025-07-11T21:21:00Z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GrammarlyDocumentId">
    <vt:lpwstr>a86e2fc53bbd1bcb0284f45b3c0d02852a05458551506f0bb17e01f1c2acf9c3</vt:lpwstr>
  </property>
  <property fmtid="{D5CDD505-2E9C-101B-9397-08002B2CF9AE}" pid="7" name="TaxKeyword">
    <vt:lpwstr/>
  </property>
  <property fmtid="{D5CDD505-2E9C-101B-9397-08002B2CF9AE}" pid="8" name="_ExtendedDescription">
    <vt:lpwstr/>
  </property>
</Properties>
</file>