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916E48" w:rsidP="00BB432F" w14:paraId="7B82FD92" w14:textId="7CCD052F">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bookmarkStart w:id="1" w:name="skip_nav"/>
      <w:r w:rsidRPr="00916E48" w:rsidR="00916E48">
        <w:rPr>
          <w:rFonts w:cstheme="minorHAnsi"/>
        </w:rPr>
        <w:t>Production, Import, Export, Recycling, Destruction, Transhipment, and Feedstock Use of Ozone-Depleting Substances (Proposed Rule</w:t>
      </w:r>
      <w:bookmarkEnd w:id="1"/>
      <w:r w:rsidRPr="00916E48" w:rsidR="00916E48">
        <w:rPr>
          <w:rFonts w:cstheme="minorHAnsi"/>
        </w:rPr>
        <w:t xml:space="preserve"> for </w:t>
      </w:r>
      <w:r w:rsidR="00916E48">
        <w:rPr>
          <w:rFonts w:cstheme="minorHAnsi"/>
        </w:rPr>
        <w:t xml:space="preserve">Updates Related to </w:t>
      </w:r>
      <w:r w:rsidRPr="00916E48" w:rsidR="005C303E">
        <w:t>Use of Ozone-Depleting Substances as Process Agents</w:t>
      </w:r>
      <w:r w:rsidRPr="00916E48" w:rsidR="00916E48">
        <w:t>)</w:t>
      </w:r>
    </w:p>
    <w:p w:rsidR="00EE2403" w:rsidRPr="00BB3410" w:rsidP="00BB432F" w14:paraId="71D5121E" w14:textId="242CBBAC">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5C303E">
        <w:rPr>
          <w:rFonts w:cstheme="minorHAnsi"/>
        </w:rPr>
        <w:t>2060-0170</w:t>
      </w:r>
    </w:p>
    <w:p w:rsidR="00EE2403" w:rsidRPr="00BB3410" w:rsidP="00ED57A4" w14:paraId="4FB77BCA" w14:textId="2094A074">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5C303E">
        <w:rPr>
          <w:rFonts w:cstheme="minorHAnsi"/>
        </w:rPr>
        <w:t>1432.39</w:t>
      </w:r>
    </w:p>
    <w:p w:rsidR="00BB432F" w:rsidRPr="005C303E" w:rsidP="005C303E" w14:paraId="6A3E928D" w14:textId="658CB73F">
      <w:r w:rsidRPr="4BDBF0A0">
        <w:rPr>
          <w:b/>
          <w:bCs/>
        </w:rPr>
        <w:t>Abstract:</w:t>
      </w:r>
      <w:r w:rsidRPr="4BDBF0A0">
        <w:t xml:space="preserve"> </w:t>
      </w:r>
      <w:r w:rsidRPr="00471B10" w:rsidR="005C303E">
        <w:t>This rule-related information collection request (ICR) is being proposed in accordance with the proposed rulemaking, “Updates Related to the Use of Ozone-Depleting Substances as Process Agents.” In the proposed rule, EPA is proposing to establish recordkeeping and reporting requirements for uses of ozone-depleting substances (ODS) as process agents and to update definitions to reflect current practice. Reporters subject to the proposed rule, if finalized, would be required to report information concerning these process agent uses, including consumption and emissions data, using the Ozone-Depleting Substances Tracking System (ODSTS)</w:t>
      </w:r>
      <w:r w:rsidR="005C303E">
        <w:t>, or another format specified by EPA</w:t>
      </w:r>
      <w:r w:rsidRPr="00471B10" w:rsidR="005C303E">
        <w: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5C303E" w:rsidP="005C303E" w14:paraId="4D2FF0C8" w14:textId="77777777">
      <w:pPr>
        <w:pStyle w:val="ListParagraph"/>
        <w:ind w:left="360"/>
      </w:pPr>
      <w:bookmarkStart w:id="3" w:name="_Toc156593369"/>
      <w:r>
        <w:t xml:space="preserve">This </w:t>
      </w:r>
      <w:r w:rsidRPr="00C27CAD">
        <w:t>information</w:t>
      </w:r>
      <w:r>
        <w:t xml:space="preserve"> collection is authorized under the CAA </w:t>
      </w:r>
      <w:r w:rsidRPr="00DD6F29">
        <w:t>(42 U.S.C. 7414, 7601, 7671-7671q)</w:t>
      </w:r>
      <w:r w:rsidRPr="008240C4">
        <w:t>.</w:t>
      </w:r>
      <w:r>
        <w:t xml:space="preserve"> </w:t>
      </w:r>
    </w:p>
    <w:p w:rsidR="005C303E" w:rsidP="005C303E" w14:paraId="43350EC9" w14:textId="1E15A614">
      <w:pPr>
        <w:pStyle w:val="ListParagraph"/>
        <w:ind w:left="360"/>
      </w:pPr>
      <w:r w:rsidRPr="004D7520">
        <w:t xml:space="preserve">For electronic reporting, the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 </w:t>
      </w:r>
      <w:r>
        <w:t>]</w:t>
      </w:r>
    </w:p>
    <w:p w:rsidR="005C303E" w:rsidRPr="004D7520" w:rsidP="005C303E" w14:paraId="3BE9E743" w14:textId="77777777">
      <w:pPr>
        <w:pStyle w:val="ListParagraph"/>
        <w:ind w:left="360"/>
      </w:pP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5C303E" w:rsidRPr="005F6DD5" w:rsidP="005C303E" w14:paraId="53194A55" w14:textId="77777777">
      <w:pPr>
        <w:pStyle w:val="ListParagraph"/>
        <w:ind w:left="360"/>
        <w:sectPr w:rsidSect="001C5F64">
          <w:footerReference w:type="default" r:id="rId9"/>
          <w:pgSz w:w="12240" w:h="15840"/>
          <w:pgMar w:top="1360" w:right="1300" w:bottom="1100" w:left="1320" w:header="0" w:footer="905" w:gutter="0"/>
          <w:pgNumType w:start="1"/>
          <w:cols w:space="720"/>
        </w:sectPr>
      </w:pPr>
      <w:bookmarkStart w:id="4" w:name="_Toc156593370"/>
      <w:r w:rsidRPr="005F6DD5">
        <w:t>The reporting and recordkeeping requirements for uses of ODS would provide clear and consistent notice each year of information EPA collects, aggregates, and reports as a party to the Montreal Protocol on Substances that Deplete the Ozone Layer; effectively monitor these narrow uses in a more routine and consistent manner under the Clean Air Act; and enhance understanding of emissions of substances harmful to the ozone layer.</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BB3410" w:rsidP="00854AAE" w14:paraId="7B30150C" w14:textId="3FA171DF">
      <w:pPr>
        <w:pBdr>
          <w:top w:val="single" w:sz="6" w:space="0" w:color="FFFFFF"/>
          <w:left w:val="single" w:sz="6" w:space="0" w:color="FFFFFF"/>
          <w:bottom w:val="single" w:sz="6" w:space="0" w:color="FFFFFF"/>
          <w:right w:val="single" w:sz="6" w:space="0" w:color="FFFFFF"/>
        </w:pBdr>
        <w:rPr>
          <w:rFonts w:cstheme="minorHAnsi"/>
        </w:rPr>
      </w:pPr>
      <w:r w:rsidRPr="0054767C">
        <w:t xml:space="preserve">Information required under this ICR will be reported electronically to EPA through the Central Data Exchange (CDX). One-time and annual data will be reported using reporting forms for class I and class I controlled substances. EPA will use the ozone-depleting substance tracking system (ODSTS) </w:t>
      </w:r>
      <w:r>
        <w:t xml:space="preserve">or a designated successor system </w:t>
      </w:r>
      <w:r w:rsidRPr="0054767C">
        <w:t>to collect and track data submitted through CDX. The ODSTS is used by EPA to collect and track data on ozone-depleting substances that are reported in accordance with 40 CFR part 82. The system is designed to collect and store CBI</w:t>
      </w:r>
      <w:r w:rsidRPr="00BB3410">
        <w:rPr>
          <w:rFonts w:cstheme="minorHAnsi"/>
          <w:bdr w:val="none" w:sz="0" w:space="0" w:color="auto" w:frame="1"/>
          <w:shd w:val="clear" w:color="auto" w:fill="FFFFFF"/>
        </w:rPr>
        <w:t xml:space="preserve">. </w:t>
      </w:r>
    </w:p>
    <w:p w:rsidR="005263EC" w:rsidRPr="00E3122D" w:rsidP="00854AAE" w14:paraId="2CB3B868" w14:textId="42333FC8">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F23D35" w:rsidRPr="00471B10" w:rsidP="00916E48" w14:paraId="25923C84" w14:textId="746AC89B">
      <w:bookmarkStart w:id="6" w:name="_Toc156593372"/>
      <w:r w:rsidRPr="00471B10">
        <w:t xml:space="preserve">While subject entities may report some related information, such as for existing importer and producer reporting requirements in 40 CFR 82.13 for class I controlled substances and 40 CFR 82.24 for </w:t>
      </w:r>
      <w:r w:rsidRPr="00471B10">
        <w:t>class II controlled</w:t>
      </w:r>
      <w:r w:rsidRPr="00471B10">
        <w:t xml:space="preserve"> substances, EPA is requesting </w:t>
      </w:r>
      <w:r>
        <w:t xml:space="preserve">specific </w:t>
      </w:r>
      <w:r w:rsidRPr="00471B10">
        <w:t>information not required to be submitted under existing 40 CFR part 82 requirements. The Greenhouse Gas Reporting Program (GHGRP) was established in 2009 and requires various facilities and suppliers to annually report data to EPA (see 40 CFR part 98). A subpart that relates to reporting on emissions from similar entities is subpart L, “Fluorinated Gas Production.” Subpart L of the GHGRP requires reporting and recordkeeping of emissions from owners or operators of facilities that produce a fluorinated gas from any raw material or feedstock chemical, except for processes that generate HFC–23 during the production of HCFC–22. However, generation or emissions of ODS are not included in the reporting threshold, and ODS emissions are not included in the reporting requirements. While there is potential for some overlap in GHGRP reporting with this ICR, EPA</w:t>
      </w:r>
      <w:r>
        <w:t>’s understanding is that these</w:t>
      </w:r>
      <w:r w:rsidRPr="00471B10">
        <w:t xml:space="preserve"> entities </w:t>
      </w:r>
      <w:r>
        <w:t xml:space="preserve">are </w:t>
      </w:r>
      <w:r w:rsidRPr="00471B10">
        <w:t xml:space="preserve">not </w:t>
      </w:r>
      <w:r>
        <w:t xml:space="preserve">generally </w:t>
      </w:r>
      <w:r w:rsidRPr="00471B10">
        <w:t xml:space="preserve">subject to related GHGRP requirements </w:t>
      </w:r>
      <w:r>
        <w:t xml:space="preserve">and would not generally </w:t>
      </w:r>
      <w:r w:rsidRPr="00471B10">
        <w:t xml:space="preserve">submit information </w:t>
      </w:r>
      <w:r>
        <w:t>under these requirements that are a</w:t>
      </w:r>
      <w:r w:rsidRPr="00471B10">
        <w:t xml:space="preserve">lready required to be submitted by the GHGRP. Therefore, duplication in reporting requirements is not anticipated. </w:t>
      </w:r>
    </w:p>
    <w:p w:rsidR="00251151" w:rsidRPr="00E3122D" w:rsidP="4BDBF0A0" w14:paraId="79D36B3F" w14:textId="440DD77F">
      <w:pPr>
        <w:pStyle w:val="ListParagraph"/>
        <w:numPr>
          <w:ilvl w:val="0"/>
          <w:numId w:val="25"/>
        </w:numPr>
        <w:pBdr>
          <w:bottom w:val="single" w:sz="4" w:space="1" w:color="auto"/>
        </w:pBdr>
        <w:spacing w:before="240" w:after="0"/>
        <w:rPr>
          <w:b/>
          <w:bCs/>
        </w:rPr>
      </w:pPr>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156C9A" w:rsidP="00916E48" w14:paraId="50BDA300" w14:textId="77777777">
      <w:bookmarkStart w:id="7" w:name="_Toc156593373"/>
      <w:r>
        <w:t>Small entities are not expected to be affected by the proposed rule and this ICR.</w:t>
      </w:r>
    </w:p>
    <w:p w:rsidR="00156C9A" w:rsidRPr="00217BBA" w:rsidP="00156C9A" w14:paraId="2E8462FD" w14:textId="77777777">
      <w:pPr>
        <w:pStyle w:val="ListParagraph"/>
        <w:ind w:left="360"/>
      </w:pPr>
    </w:p>
    <w:p w:rsidR="004252C1" w:rsidRPr="00E3122D" w:rsidP="4BDBF0A0" w14:paraId="1FF5A778" w14:textId="02F91DFF">
      <w:pPr>
        <w:pStyle w:val="ListParagraph"/>
        <w:numPr>
          <w:ilvl w:val="0"/>
          <w:numId w:val="25"/>
        </w:numPr>
        <w:pBdr>
          <w:bottom w:val="single" w:sz="4" w:space="1" w:color="auto"/>
        </w:pBdr>
        <w:spacing w:before="240" w:after="0"/>
        <w:rPr>
          <w:b/>
          <w:bCs/>
        </w:rPr>
      </w:pPr>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156C9A" w:rsidP="00916E48" w14:paraId="54F8A95D" w14:textId="77777777">
      <w:bookmarkStart w:id="8" w:name="_Toc156593374"/>
      <w:r w:rsidRPr="00471B10">
        <w:t xml:space="preserve">Less frequent than annual collection of data would hinder EPA’s ability to support international agreements concerning the use of controlled substances as process agents and to provide relevant information to EPA concerning implications of these uses and emissions. The annual reporting requirement, as well as an as-needed report of significant process changes, provides EPA the ability to resolve, in a timely manner, discrepancies in the data reported to us. </w:t>
      </w:r>
    </w:p>
    <w:p w:rsidR="00D0357B" w:rsidRPr="00471B10" w:rsidP="00156C9A" w14:paraId="59E3600C" w14:textId="77777777">
      <w:pPr>
        <w:pStyle w:val="ListParagraph"/>
        <w:ind w:left="360"/>
      </w:pP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D0357B" w:rsidP="00916E48" w14:paraId="30FFE1B0" w14:textId="77777777">
      <w:bookmarkStart w:id="9" w:name="_Toc156593375"/>
      <w:r w:rsidRPr="00954449">
        <w:t xml:space="preserve">The reporting and recordkeeping requirements do not exceed any of the OMB guidelines found at 5 CFR 1320.5(d)(2). </w:t>
      </w:r>
    </w:p>
    <w:p w:rsidR="00D0357B" w:rsidRPr="00954449" w:rsidP="00D0357B" w14:paraId="68DE7E6A" w14:textId="77777777">
      <w:pPr>
        <w:pStyle w:val="ListParagraph"/>
        <w:ind w:left="360"/>
      </w:pP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D1952" w:rsidRPr="00471B10" w:rsidP="000D1952" w14:paraId="34C7C65E" w14:textId="15CCD5A5">
      <w:r w:rsidRPr="00471B10">
        <w:t>The proposed rulemaking “Protection of Stratospheric Ozone: Updates Related to the Use of Ozone-Depleting Substances as Process Agents” will serve as the public notice for this ICR. EPA is requesting comment on this ICR in th</w:t>
      </w:r>
      <w:r>
        <w:t>e</w:t>
      </w:r>
      <w:r w:rsidRPr="00471B10">
        <w:t xml:space="preserve"> proposed rulemaking</w:t>
      </w:r>
      <w:r>
        <w:t xml:space="preserve"> published on 10/19/23 (88 FR 72027)</w:t>
      </w:r>
      <w:r w:rsidRPr="00471B10">
        <w:t xml:space="preserve">.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4360A" w:rsidRPr="00471B10" w:rsidP="0044360A" w14:paraId="3A7F80B7" w14:textId="00A885D0">
      <w:bookmarkStart w:id="12" w:name="_Toc156593378"/>
      <w:r w:rsidRPr="00471B10">
        <w:t>The burden calculations were developed based on EPA’s experience collecting data on ODS under 40 CFR part 82 and similar information under the GHGRP. EPA collect</w:t>
      </w:r>
      <w:r>
        <w:t>ed</w:t>
      </w:r>
      <w:r w:rsidRPr="00471B10">
        <w:t xml:space="preserve"> comments on the proposed rulemaking “Protection of Stratospheric Ozone: Updates Related to the Use of Ozone-Depleting Substances as Process Agents” and will adjust this ICR as needed. </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30B469E9">
      <w:pPr>
        <w:rPr>
          <w:rFonts w:cstheme="minorHAnsi"/>
        </w:rPr>
      </w:pPr>
      <w:r>
        <w:rPr>
          <w:rStyle w:val="normaltextrun"/>
          <w:color w:val="000000"/>
          <w:bdr w:val="none" w:sz="0" w:space="0" w:color="auto" w:frame="1"/>
        </w:rPr>
        <w:t>N/A</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44360A" w:rsidRPr="00471B10" w:rsidP="0044360A" w14:paraId="13260CF6" w14:textId="77777777">
      <w:bookmarkStart w:id="13" w:name="_Toc156593380"/>
      <w:r w:rsidRPr="00471B10">
        <w:t xml:space="preserve">EPA has proposed determinations concerning whether information that would be reported under this rule would be considered confidential. These determinations can be found in the </w:t>
      </w:r>
      <w:r>
        <w:t>proposal’s preamble</w:t>
      </w:r>
      <w:r w:rsidRPr="00471B10">
        <w:t>. Unless otherwise noted, remaining data elements reported to the Agency can be claimed as CBI by reporting entities, and EPA will treat them as confidential pending possible future CBI determinations pursuant to EPA’s CBI regulations at 40 CFR 2.203. For all data elements that EPA has determined to be confidential or for which EPA will provide provisional confidential treatment if claimed by reporters as CBI, EPA may release aggregated data if there are three or more reporting entities.</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32BFD" w:rsidP="00916E48" w14:paraId="484CC21F" w14:textId="77777777">
      <w:bookmarkStart w:id="14" w:name="_Toc156593381"/>
      <w:r>
        <w:t>This section is not applicable because this ICR does not involve matters of sensitive nature.</w:t>
      </w:r>
    </w:p>
    <w:p w:rsidR="00032BFD" w:rsidP="00032BFD" w14:paraId="1D0BD0DC" w14:textId="77777777">
      <w:pPr>
        <w:pStyle w:val="ListParagraph"/>
        <w:ind w:left="360"/>
      </w:pPr>
    </w:p>
    <w:p w:rsidR="001172FE" w:rsidRPr="00E3122D" w:rsidP="00854AAE" w14:paraId="637A8E82" w14:textId="77777777">
      <w:pPr>
        <w:pStyle w:val="ListParagraph"/>
        <w:numPr>
          <w:ilvl w:val="0"/>
          <w:numId w:val="25"/>
        </w:numPr>
        <w:spacing w:before="240" w:after="0"/>
        <w:rPr>
          <w:rFonts w:cstheme="minorHAnsi"/>
          <w:b/>
          <w:bCs/>
        </w:rPr>
      </w:pPr>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3202E5" w:rsidRPr="00471B10" w:rsidP="003202E5" w14:paraId="4D3DED75" w14:textId="77777777">
      <w:r w:rsidRPr="00471B10">
        <w:t>The appropriate North American Industry Classification System (NAICS) for potentially affected entities are listed below in Table I.</w:t>
      </w:r>
    </w:p>
    <w:p w:rsidR="003202E5" w:rsidRPr="00471B10" w:rsidP="003202E5" w14:paraId="5BCB7E0A" w14:textId="77777777">
      <w:bookmarkStart w:id="17" w:name="_bookmark0"/>
      <w:bookmarkEnd w:id="17"/>
      <w:r w:rsidRPr="00471B10">
        <w:t>Table I. NAICS Classification of Potentially Affected Entities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0"/>
        <w:gridCol w:w="1440"/>
      </w:tblGrid>
      <w:tr w14:paraId="59C6AB9E" w14:textId="77777777" w:rsidTr="007B260E">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5"/>
        </w:trPr>
        <w:tc>
          <w:tcPr>
            <w:tcW w:w="5100" w:type="dxa"/>
            <w:shd w:val="clear" w:color="auto" w:fill="D9D9D9"/>
          </w:tcPr>
          <w:p w:rsidR="003202E5" w:rsidRPr="00471B10" w:rsidP="007B260E" w14:paraId="28AF2BFD" w14:textId="77777777">
            <w:r w:rsidRPr="00471B10">
              <w:t>Category</w:t>
            </w:r>
          </w:p>
        </w:tc>
        <w:tc>
          <w:tcPr>
            <w:tcW w:w="1440" w:type="dxa"/>
            <w:shd w:val="clear" w:color="auto" w:fill="D9D9D9"/>
          </w:tcPr>
          <w:p w:rsidR="003202E5" w:rsidRPr="00471B10" w:rsidP="007B260E" w14:paraId="63374108" w14:textId="77777777">
            <w:r w:rsidRPr="00471B10">
              <w:t>NAICS code</w:t>
            </w:r>
          </w:p>
        </w:tc>
      </w:tr>
      <w:tr w14:paraId="7A8C9966" w14:textId="77777777" w:rsidTr="007B260E">
        <w:tblPrEx>
          <w:tblW w:w="0" w:type="auto"/>
          <w:tblInd w:w="125" w:type="dxa"/>
          <w:tblLayout w:type="fixed"/>
          <w:tblCellMar>
            <w:left w:w="0" w:type="dxa"/>
            <w:right w:w="0" w:type="dxa"/>
          </w:tblCellMar>
          <w:tblLook w:val="01E0"/>
        </w:tblPrEx>
        <w:trPr>
          <w:trHeight w:val="386"/>
        </w:trPr>
        <w:tc>
          <w:tcPr>
            <w:tcW w:w="5100" w:type="dxa"/>
          </w:tcPr>
          <w:p w:rsidR="003202E5" w:rsidRPr="00471B10" w:rsidP="007B260E" w14:paraId="35B2B2D4" w14:textId="77777777">
            <w:r w:rsidRPr="00471B10">
              <w:t>Industrial Gas Manufacturing</w:t>
            </w:r>
          </w:p>
        </w:tc>
        <w:tc>
          <w:tcPr>
            <w:tcW w:w="1440" w:type="dxa"/>
          </w:tcPr>
          <w:p w:rsidR="003202E5" w:rsidRPr="00471B10" w:rsidP="007B260E" w14:paraId="23832E1B" w14:textId="77777777">
            <w:r w:rsidRPr="00471B10">
              <w:t>325120</w:t>
            </w:r>
          </w:p>
        </w:tc>
      </w:tr>
      <w:tr w14:paraId="43668FD6" w14:textId="77777777" w:rsidTr="007B260E">
        <w:tblPrEx>
          <w:tblW w:w="0" w:type="auto"/>
          <w:tblInd w:w="125" w:type="dxa"/>
          <w:tblLayout w:type="fixed"/>
          <w:tblCellMar>
            <w:left w:w="0" w:type="dxa"/>
            <w:right w:w="0" w:type="dxa"/>
          </w:tblCellMar>
          <w:tblLook w:val="01E0"/>
        </w:tblPrEx>
        <w:trPr>
          <w:trHeight w:val="386"/>
        </w:trPr>
        <w:tc>
          <w:tcPr>
            <w:tcW w:w="5100" w:type="dxa"/>
          </w:tcPr>
          <w:p w:rsidR="003202E5" w:rsidRPr="00471B10" w:rsidP="007B260E" w14:paraId="7EE5C4DA" w14:textId="77777777">
            <w:r w:rsidRPr="00471B10">
              <w:t>Other Basic Inorganic Chemical Manufacturing</w:t>
            </w:r>
          </w:p>
        </w:tc>
        <w:tc>
          <w:tcPr>
            <w:tcW w:w="1440" w:type="dxa"/>
          </w:tcPr>
          <w:p w:rsidR="003202E5" w:rsidRPr="00471B10" w:rsidP="007B260E" w14:paraId="4FBDE77D" w14:textId="77777777">
            <w:r w:rsidRPr="00471B10">
              <w:t>325180</w:t>
            </w:r>
          </w:p>
        </w:tc>
      </w:tr>
      <w:tr w14:paraId="1E20E707" w14:textId="77777777" w:rsidTr="007B260E">
        <w:tblPrEx>
          <w:tblW w:w="0" w:type="auto"/>
          <w:tblInd w:w="125" w:type="dxa"/>
          <w:tblLayout w:type="fixed"/>
          <w:tblCellMar>
            <w:left w:w="0" w:type="dxa"/>
            <w:right w:w="0" w:type="dxa"/>
          </w:tblCellMar>
          <w:tblLook w:val="01E0"/>
        </w:tblPrEx>
        <w:trPr>
          <w:trHeight w:val="386"/>
        </w:trPr>
        <w:tc>
          <w:tcPr>
            <w:tcW w:w="5100" w:type="dxa"/>
          </w:tcPr>
          <w:p w:rsidR="003202E5" w:rsidRPr="00471B10" w:rsidP="007B260E" w14:paraId="50A8CE05" w14:textId="77777777">
            <w:r w:rsidRPr="00471B10">
              <w:t>All Other Basic Organic Chemical Manufacturing</w:t>
            </w:r>
          </w:p>
        </w:tc>
        <w:tc>
          <w:tcPr>
            <w:tcW w:w="1440" w:type="dxa"/>
          </w:tcPr>
          <w:p w:rsidR="003202E5" w:rsidRPr="00471B10" w:rsidP="007B260E" w14:paraId="76F48861" w14:textId="77777777">
            <w:r w:rsidRPr="00471B10">
              <w:t>325199</w:t>
            </w:r>
          </w:p>
        </w:tc>
      </w:tr>
    </w:tbl>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3202E5" w:rsidRPr="00471B10" w:rsidP="003202E5" w14:paraId="1DE1DE7F" w14:textId="77777777">
      <w:pPr>
        <w:widowControl w:val="0"/>
        <w:autoSpaceDE w:val="0"/>
        <w:autoSpaceDN w:val="0"/>
        <w:spacing w:after="0"/>
        <w:ind w:left="120"/>
      </w:pPr>
      <w:r w:rsidRPr="00471B10">
        <w:t>All</w:t>
      </w:r>
      <w:r w:rsidRPr="00471B10">
        <w:rPr>
          <w:spacing w:val="-3"/>
        </w:rPr>
        <w:t xml:space="preserve"> </w:t>
      </w:r>
      <w:r w:rsidRPr="00471B10">
        <w:t>entities which use controlled substances as process agents</w:t>
      </w:r>
      <w:r w:rsidRPr="00471B10">
        <w:rPr>
          <w:spacing w:val="-4"/>
        </w:rPr>
        <w:t xml:space="preserve"> </w:t>
      </w:r>
      <w:r w:rsidRPr="00471B10">
        <w:t>must</w:t>
      </w:r>
      <w:r w:rsidRPr="00471B10">
        <w:rPr>
          <w:spacing w:val="-2"/>
        </w:rPr>
        <w:t xml:space="preserve"> </w:t>
      </w:r>
      <w:r w:rsidRPr="00471B10">
        <w:t>record</w:t>
      </w:r>
      <w:r w:rsidRPr="00471B10">
        <w:rPr>
          <w:spacing w:val="-3"/>
        </w:rPr>
        <w:t xml:space="preserve"> </w:t>
      </w:r>
      <w:r w:rsidRPr="00471B10">
        <w:t>and/or</w:t>
      </w:r>
      <w:r w:rsidRPr="00471B10">
        <w:rPr>
          <w:spacing w:val="-3"/>
        </w:rPr>
        <w:t xml:space="preserve"> </w:t>
      </w:r>
      <w:r w:rsidRPr="00471B10">
        <w:t>report</w:t>
      </w:r>
      <w:r w:rsidRPr="00471B10">
        <w:rPr>
          <w:spacing w:val="-3"/>
        </w:rPr>
        <w:t xml:space="preserve"> </w:t>
      </w:r>
      <w:r w:rsidRPr="00471B10">
        <w:t>the</w:t>
      </w:r>
      <w:r w:rsidRPr="00471B10">
        <w:rPr>
          <w:spacing w:val="-3"/>
        </w:rPr>
        <w:t xml:space="preserve"> </w:t>
      </w:r>
      <w:r w:rsidRPr="00471B10">
        <w:t>following</w:t>
      </w:r>
      <w:r w:rsidRPr="00471B10">
        <w:rPr>
          <w:spacing w:val="-2"/>
        </w:rPr>
        <w:t xml:space="preserve"> </w:t>
      </w:r>
      <w:r>
        <w:rPr>
          <w:spacing w:val="-2"/>
        </w:rPr>
        <w:t xml:space="preserve">on a </w:t>
      </w:r>
      <w:r w:rsidRPr="00471B10">
        <w:t>one time, annual and/or as needed</w:t>
      </w:r>
      <w:r>
        <w:t xml:space="preserve"> basis</w:t>
      </w:r>
      <w:r w:rsidRPr="00471B10">
        <w:t>.</w:t>
      </w:r>
    </w:p>
    <w:p w:rsidR="003202E5" w:rsidRPr="00471B10" w:rsidP="003202E5" w14:paraId="7D2176E4" w14:textId="77777777">
      <w:pPr>
        <w:widowControl w:val="0"/>
        <w:autoSpaceDE w:val="0"/>
        <w:autoSpaceDN w:val="0"/>
        <w:spacing w:after="0"/>
        <w:ind w:left="120"/>
      </w:pPr>
    </w:p>
    <w:p w:rsidR="003202E5" w:rsidRPr="00471B10" w:rsidP="003202E5" w14:paraId="07DAF0FB" w14:textId="77777777">
      <w:pPr>
        <w:widowControl w:val="0"/>
        <w:autoSpaceDE w:val="0"/>
        <w:autoSpaceDN w:val="0"/>
        <w:spacing w:after="0"/>
        <w:ind w:left="120"/>
      </w:pPr>
      <w:r w:rsidRPr="00471B10">
        <w:rPr>
          <w:u w:val="single"/>
        </w:rPr>
        <w:t>Process Agent Use One-time Report (class I and class II):</w:t>
      </w:r>
    </w:p>
    <w:p w:rsidR="003202E5" w:rsidRPr="00471B10" w:rsidP="003202E5" w14:paraId="755B933D" w14:textId="77777777">
      <w:pPr>
        <w:widowControl w:val="0"/>
        <w:autoSpaceDE w:val="0"/>
        <w:autoSpaceDN w:val="0"/>
        <w:spacing w:after="0"/>
        <w:ind w:left="120"/>
      </w:pPr>
    </w:p>
    <w:p w:rsidR="003202E5" w:rsidRPr="00471B10" w:rsidP="003202E5" w14:paraId="552C84FE" w14:textId="77777777">
      <w:pPr>
        <w:widowControl w:val="0"/>
        <w:numPr>
          <w:ilvl w:val="0"/>
          <w:numId w:val="28"/>
        </w:numPr>
        <w:autoSpaceDE w:val="0"/>
        <w:autoSpaceDN w:val="0"/>
        <w:spacing w:after="0" w:line="240" w:lineRule="auto"/>
      </w:pPr>
      <w:r w:rsidRPr="00471B10">
        <w:t xml:space="preserve">The name and address of each facility and plant, and each responsible person’s name, email address, and phone </w:t>
      </w:r>
      <w:r w:rsidRPr="00471B10">
        <w:t>number;</w:t>
      </w:r>
    </w:p>
    <w:p w:rsidR="003202E5" w:rsidRPr="00471B10" w:rsidP="003202E5" w14:paraId="27F6EB9A" w14:textId="77777777">
      <w:pPr>
        <w:widowControl w:val="0"/>
        <w:numPr>
          <w:ilvl w:val="0"/>
          <w:numId w:val="28"/>
        </w:numPr>
        <w:autoSpaceDE w:val="0"/>
        <w:autoSpaceDN w:val="0"/>
        <w:spacing w:after="0" w:line="240" w:lineRule="auto"/>
      </w:pPr>
      <w:r w:rsidRPr="00471B10">
        <w:t xml:space="preserve">The name, purpose, and final product manufactured of each process agent application that uses a controlled </w:t>
      </w:r>
      <w:r w:rsidRPr="00471B10">
        <w:t>substance;</w:t>
      </w:r>
      <w:r w:rsidRPr="00471B10">
        <w:t xml:space="preserve"> </w:t>
      </w:r>
    </w:p>
    <w:p w:rsidR="003202E5" w:rsidRPr="00471B10" w:rsidP="003202E5" w14:paraId="46B938EE" w14:textId="77777777">
      <w:pPr>
        <w:widowControl w:val="0"/>
        <w:numPr>
          <w:ilvl w:val="0"/>
          <w:numId w:val="28"/>
        </w:numPr>
        <w:autoSpaceDE w:val="0"/>
        <w:autoSpaceDN w:val="0"/>
        <w:spacing w:after="0" w:line="240" w:lineRule="auto"/>
      </w:pPr>
      <w:r w:rsidRPr="00471B10">
        <w:t xml:space="preserve">The start-up date of each facility and plant that uses a controlled substance as a process </w:t>
      </w:r>
      <w:r w:rsidRPr="00471B10">
        <w:t>agent;</w:t>
      </w:r>
    </w:p>
    <w:p w:rsidR="003202E5" w:rsidRPr="00471B10" w:rsidP="003202E5" w14:paraId="4AC9CEF6" w14:textId="77777777">
      <w:pPr>
        <w:widowControl w:val="0"/>
        <w:numPr>
          <w:ilvl w:val="0"/>
          <w:numId w:val="28"/>
        </w:numPr>
        <w:autoSpaceDE w:val="0"/>
        <w:autoSpaceDN w:val="0"/>
        <w:spacing w:after="0" w:line="240" w:lineRule="auto"/>
      </w:pPr>
      <w:r w:rsidRPr="00471B10">
        <w:t xml:space="preserve">For each facility, the names and amounts of each product and byproduct manufactured in the process agent application during the previous control period, including amounts destroyed or used as a </w:t>
      </w:r>
      <w:r w:rsidRPr="00471B10">
        <w:t>feedstock;</w:t>
      </w:r>
      <w:r w:rsidRPr="00471B10">
        <w:t xml:space="preserve"> </w:t>
      </w:r>
    </w:p>
    <w:p w:rsidR="003202E5" w:rsidRPr="00471B10" w:rsidP="003202E5" w14:paraId="3B159EAA" w14:textId="77777777">
      <w:pPr>
        <w:widowControl w:val="0"/>
        <w:numPr>
          <w:ilvl w:val="0"/>
          <w:numId w:val="28"/>
        </w:numPr>
        <w:autoSpaceDE w:val="0"/>
        <w:autoSpaceDN w:val="0"/>
        <w:spacing w:after="0" w:line="240" w:lineRule="auto"/>
      </w:pPr>
      <w:r w:rsidRPr="00471B10">
        <w:t xml:space="preserve">For each facility, the total air, fugitive air, and stack point air emissions of controlled substances used as a process agent during the previous control </w:t>
      </w:r>
      <w:r w:rsidRPr="00471B10">
        <w:t>period;</w:t>
      </w:r>
    </w:p>
    <w:p w:rsidR="003202E5" w:rsidRPr="00471B10" w:rsidP="003202E5" w14:paraId="4774BDCB" w14:textId="77777777">
      <w:pPr>
        <w:widowControl w:val="0"/>
        <w:numPr>
          <w:ilvl w:val="0"/>
          <w:numId w:val="28"/>
        </w:numPr>
        <w:autoSpaceDE w:val="0"/>
        <w:autoSpaceDN w:val="0"/>
        <w:spacing w:after="0" w:line="240" w:lineRule="auto"/>
      </w:pPr>
      <w:r w:rsidRPr="00471B10">
        <w:t>For each facility, a description of technologies currently being used and actions taken or currently under evaluation to minimize use or emissions of controlled substances used as process agents (including estimated emissions reductions associated with each); and</w:t>
      </w:r>
    </w:p>
    <w:p w:rsidR="003202E5" w:rsidP="003202E5" w14:paraId="64A1ED02" w14:textId="77777777">
      <w:pPr>
        <w:widowControl w:val="0"/>
        <w:numPr>
          <w:ilvl w:val="0"/>
          <w:numId w:val="28"/>
        </w:numPr>
        <w:autoSpaceDE w:val="0"/>
        <w:autoSpaceDN w:val="0"/>
        <w:spacing w:after="0" w:line="240" w:lineRule="auto"/>
      </w:pPr>
      <w:r w:rsidRPr="00471B10">
        <w:t>For each facility, a description that includes details of the percentages of controlled substances used as a process agent and retained within the process agent application, recovered after the process agent application, and emitted or entrained in the final product.</w:t>
      </w:r>
    </w:p>
    <w:p w:rsidR="003202E5" w:rsidP="003202E5" w14:paraId="330E64E2" w14:textId="77777777">
      <w:pPr>
        <w:widowControl w:val="0"/>
        <w:numPr>
          <w:ilvl w:val="0"/>
          <w:numId w:val="28"/>
        </w:numPr>
        <w:autoSpaceDE w:val="0"/>
        <w:autoSpaceDN w:val="0"/>
        <w:spacing w:after="0" w:line="240" w:lineRule="auto"/>
      </w:pPr>
      <w:r>
        <w:t xml:space="preserve">For each process listed in </w:t>
      </w:r>
      <w:bookmarkStart w:id="19" w:name="_Hlk146263005"/>
      <w:r w:rsidRPr="0060453F">
        <w:t>§</w:t>
      </w:r>
      <w:r>
        <w:t xml:space="preserve"> 82.25</w:t>
      </w:r>
      <w:bookmarkEnd w:id="19"/>
      <w:r>
        <w:t xml:space="preserve">(b)(2): </w:t>
      </w:r>
    </w:p>
    <w:p w:rsidR="003202E5" w:rsidP="003202E5" w14:paraId="4A40EEF1" w14:textId="77777777">
      <w:pPr>
        <w:widowControl w:val="0"/>
        <w:numPr>
          <w:ilvl w:val="1"/>
          <w:numId w:val="28"/>
        </w:numPr>
        <w:autoSpaceDE w:val="0"/>
        <w:autoSpaceDN w:val="0"/>
        <w:spacing w:after="0" w:line="240" w:lineRule="auto"/>
      </w:pPr>
      <w:r>
        <w:t xml:space="preserve">A description and identification of the process listed in </w:t>
      </w:r>
      <w:r w:rsidRPr="0060453F">
        <w:t>§</w:t>
      </w:r>
      <w:r>
        <w:t xml:space="preserve"> 82.25(b)(2). </w:t>
      </w:r>
    </w:p>
    <w:p w:rsidR="003202E5" w:rsidP="003202E5" w14:paraId="381B8046" w14:textId="77777777">
      <w:pPr>
        <w:widowControl w:val="0"/>
        <w:numPr>
          <w:ilvl w:val="1"/>
          <w:numId w:val="28"/>
        </w:numPr>
        <w:autoSpaceDE w:val="0"/>
        <w:autoSpaceDN w:val="0"/>
        <w:spacing w:after="0" w:line="240" w:lineRule="auto"/>
      </w:pPr>
      <w:r>
        <w:t>A description and number, letter, or other identifier for each process vent associated with the process. This identifier must be a consistent name reported from year to year.</w:t>
      </w:r>
    </w:p>
    <w:p w:rsidR="003202E5" w:rsidP="003202E5" w14:paraId="1214C66A" w14:textId="77777777">
      <w:pPr>
        <w:widowControl w:val="0"/>
        <w:numPr>
          <w:ilvl w:val="1"/>
          <w:numId w:val="28"/>
        </w:numPr>
        <w:autoSpaceDE w:val="0"/>
        <w:autoSpaceDN w:val="0"/>
        <w:spacing w:after="0" w:line="240" w:lineRule="auto"/>
      </w:pPr>
      <w:r>
        <w:t xml:space="preserve">The method(s) used to determine the mass emissions from each process vent associated with the process (i.e., process-vent-specific emission factor or process-vent-specific emission calculation factor). </w:t>
      </w:r>
    </w:p>
    <w:p w:rsidR="003202E5" w:rsidP="003202E5" w14:paraId="420C80D6" w14:textId="77777777">
      <w:pPr>
        <w:widowControl w:val="0"/>
        <w:numPr>
          <w:ilvl w:val="1"/>
          <w:numId w:val="28"/>
        </w:numPr>
        <w:autoSpaceDE w:val="0"/>
        <w:autoSpaceDN w:val="0"/>
        <w:spacing w:after="0" w:line="240" w:lineRule="auto"/>
      </w:pPr>
      <w:r>
        <w:t>The method(s) used to determine the mass emissions from equipment leaks associated with the process.</w:t>
      </w:r>
    </w:p>
    <w:p w:rsidR="003202E5" w:rsidP="003202E5" w14:paraId="74B771A6" w14:textId="77777777">
      <w:pPr>
        <w:widowControl w:val="0"/>
        <w:numPr>
          <w:ilvl w:val="1"/>
          <w:numId w:val="28"/>
        </w:numPr>
        <w:autoSpaceDE w:val="0"/>
        <w:autoSpaceDN w:val="0"/>
        <w:spacing w:after="0" w:line="240" w:lineRule="auto"/>
      </w:pPr>
      <w:r>
        <w:t xml:space="preserve">For each controlled substance, each entity must report the total mass in kilograms of the controlled substance emitted from the processes listed in </w:t>
      </w:r>
      <w:r w:rsidRPr="0060453F">
        <w:t>§</w:t>
      </w:r>
      <w:r>
        <w:t xml:space="preserve"> 82.25 (b)(2).</w:t>
      </w:r>
    </w:p>
    <w:p w:rsidR="003202E5" w:rsidP="003202E5" w14:paraId="3C8FDA53" w14:textId="77777777">
      <w:pPr>
        <w:widowControl w:val="0"/>
        <w:numPr>
          <w:ilvl w:val="0"/>
          <w:numId w:val="28"/>
        </w:numPr>
        <w:autoSpaceDE w:val="0"/>
        <w:autoSpaceDN w:val="0"/>
        <w:spacing w:after="0" w:line="240" w:lineRule="auto"/>
      </w:pPr>
      <w:r w:rsidRPr="002C642F">
        <w:t>For each controlled substance, the total mass in kilograms of the controlled substance emitted from the processes listed in § 82.25</w:t>
      </w:r>
      <w:r>
        <w:t>(b)(2)</w:t>
      </w:r>
      <w:r w:rsidRPr="002C642F">
        <w:t>.</w:t>
      </w:r>
    </w:p>
    <w:p w:rsidR="003202E5" w:rsidP="003202E5" w14:paraId="75B78714" w14:textId="77777777">
      <w:pPr>
        <w:widowControl w:val="0"/>
        <w:numPr>
          <w:ilvl w:val="0"/>
          <w:numId w:val="28"/>
        </w:numPr>
        <w:autoSpaceDE w:val="0"/>
        <w:autoSpaceDN w:val="0"/>
        <w:spacing w:after="0" w:line="240" w:lineRule="auto"/>
      </w:pPr>
      <w:r>
        <w:t xml:space="preserve">For each process and controlled substance, the effective destruction efficiency, </w:t>
      </w:r>
      <w:r>
        <w:t>DE</w:t>
      </w:r>
      <w:r w:rsidRPr="002C642F">
        <w:rPr>
          <w:vertAlign w:val="subscript"/>
        </w:rPr>
        <w:t>effective</w:t>
      </w:r>
      <w:r>
        <w:t xml:space="preserve">, calculated for that process using equation 13 of </w:t>
      </w:r>
      <w:r w:rsidRPr="002C642F">
        <w:t>§ 82.25</w:t>
      </w:r>
      <w:r>
        <w:t>.</w:t>
      </w:r>
    </w:p>
    <w:p w:rsidR="003202E5" w:rsidP="003202E5" w14:paraId="1CC5FDCF" w14:textId="77777777">
      <w:pPr>
        <w:widowControl w:val="0"/>
        <w:numPr>
          <w:ilvl w:val="0"/>
          <w:numId w:val="28"/>
        </w:numPr>
        <w:autoSpaceDE w:val="0"/>
        <w:autoSpaceDN w:val="0"/>
        <w:spacing w:after="0" w:line="240" w:lineRule="auto"/>
      </w:pPr>
      <w:r>
        <w:t xml:space="preserve">The monitoring plan, as specified in </w:t>
      </w:r>
      <w:r w:rsidRPr="002C642F">
        <w:t>§ 82.25</w:t>
      </w:r>
      <w:r>
        <w:t xml:space="preserve">(f)(6), including any revisions since the prior year’s submission, as applicable.  </w:t>
      </w:r>
    </w:p>
    <w:p w:rsidR="003202E5" w:rsidP="003202E5" w14:paraId="72A6A545" w14:textId="77777777">
      <w:pPr>
        <w:widowControl w:val="0"/>
        <w:numPr>
          <w:ilvl w:val="0"/>
          <w:numId w:val="28"/>
        </w:numPr>
        <w:autoSpaceDE w:val="0"/>
        <w:autoSpaceDN w:val="0"/>
        <w:spacing w:after="0" w:line="240" w:lineRule="auto"/>
      </w:pPr>
      <w:r w:rsidRPr="002C642F">
        <w:t>For processes whose emissions are determined using the emission factor approach under § 82.25(c)(1)(iii) or the emission calculation factor under § 82.25(c)(1)(iv), the following for each process</w:t>
      </w:r>
      <w:r>
        <w:t>:</w:t>
      </w:r>
    </w:p>
    <w:p w:rsidR="003202E5" w:rsidP="003202E5" w14:paraId="7E1F354F" w14:textId="28E10E36">
      <w:pPr>
        <w:widowControl w:val="0"/>
        <w:numPr>
          <w:ilvl w:val="1"/>
          <w:numId w:val="28"/>
        </w:numPr>
        <w:autoSpaceDE w:val="0"/>
        <w:autoSpaceDN w:val="0"/>
        <w:spacing w:after="0" w:line="240" w:lineRule="auto"/>
      </w:pPr>
      <w:r>
        <w:t xml:space="preserve">The identity and quantity of the process activity used to estimate emissions (e.g., tons of product </w:t>
      </w:r>
      <w:r w:rsidR="00EC266D">
        <w:t>produced,</w:t>
      </w:r>
      <w:r>
        <w:t xml:space="preserve"> or tons of reactant consumed) for each process vent associated with the process.</w:t>
      </w:r>
    </w:p>
    <w:p w:rsidR="003202E5" w:rsidP="003202E5" w14:paraId="0E4D119C" w14:textId="77777777">
      <w:pPr>
        <w:widowControl w:val="0"/>
        <w:numPr>
          <w:ilvl w:val="1"/>
          <w:numId w:val="28"/>
        </w:numPr>
        <w:autoSpaceDE w:val="0"/>
        <w:autoSpaceDN w:val="0"/>
        <w:spacing w:after="0" w:line="240" w:lineRule="auto"/>
      </w:pPr>
      <w:r>
        <w:t>The site-specific, process-vent- specific emission factor(s) or emission calculation factor for each process vent associated with the process.</w:t>
      </w:r>
    </w:p>
    <w:p w:rsidR="003202E5" w:rsidP="003202E5" w14:paraId="3DA95587" w14:textId="77777777">
      <w:pPr>
        <w:widowControl w:val="0"/>
        <w:numPr>
          <w:ilvl w:val="1"/>
          <w:numId w:val="28"/>
        </w:numPr>
        <w:autoSpaceDE w:val="0"/>
        <w:autoSpaceDN w:val="0"/>
        <w:spacing w:after="0" w:line="240" w:lineRule="auto"/>
      </w:pPr>
      <w:r>
        <w:t xml:space="preserve">For each controlled substance, the mass emitted from each process vent associated with the process, in kilograms. </w:t>
      </w:r>
    </w:p>
    <w:p w:rsidR="003202E5" w:rsidP="003202E5" w14:paraId="2442FD4D" w14:textId="77777777">
      <w:pPr>
        <w:widowControl w:val="0"/>
        <w:numPr>
          <w:ilvl w:val="1"/>
          <w:numId w:val="28"/>
        </w:numPr>
        <w:autoSpaceDE w:val="0"/>
        <w:autoSpaceDN w:val="0"/>
        <w:spacing w:after="0" w:line="240" w:lineRule="auto"/>
      </w:pPr>
      <w:r>
        <w:t>For each controlled substance, the total mass emitted from equipment leaks, in kilograms.</w:t>
      </w:r>
    </w:p>
    <w:p w:rsidR="003202E5" w:rsidP="003202E5" w14:paraId="38FC43F9" w14:textId="77777777">
      <w:pPr>
        <w:widowControl w:val="0"/>
        <w:numPr>
          <w:ilvl w:val="0"/>
          <w:numId w:val="28"/>
        </w:numPr>
        <w:autoSpaceDE w:val="0"/>
        <w:autoSpaceDN w:val="0"/>
        <w:spacing w:after="0" w:line="240" w:lineRule="auto"/>
      </w:pPr>
      <w:r>
        <w:t>For e</w:t>
      </w:r>
      <w:r w:rsidRPr="002C642F">
        <w:t>ach facility that destroys a controlled substance</w:t>
      </w:r>
      <w:r>
        <w:t>,</w:t>
      </w:r>
      <w:r w:rsidRPr="002C642F">
        <w:t xml:space="preserve"> the excess emissions that result from malfunctions of the destruction unit, and these excess emissions must be reflected in the controlled substance estimates in § 82.25(c)(1). </w:t>
      </w:r>
    </w:p>
    <w:p w:rsidR="003202E5" w:rsidP="003202E5" w14:paraId="40C8687F" w14:textId="77777777">
      <w:pPr>
        <w:widowControl w:val="0"/>
        <w:numPr>
          <w:ilvl w:val="0"/>
          <w:numId w:val="28"/>
        </w:numPr>
        <w:autoSpaceDE w:val="0"/>
        <w:autoSpaceDN w:val="0"/>
        <w:spacing w:after="0" w:line="240" w:lineRule="auto"/>
      </w:pPr>
      <w:r>
        <w:t xml:space="preserve">For each facility that destroys controlled substances, a report containing the information in </w:t>
      </w:r>
      <w:r w:rsidRPr="004364FF">
        <w:t>§ 82.25(e)</w:t>
      </w:r>
      <w:r>
        <w:t>(4)(</w:t>
      </w:r>
      <w:r>
        <w:t>i</w:t>
      </w:r>
      <w:r>
        <w:t>) through (4)(iii). This report is one-time unless a change is made to the destruction unit that would be expected to affect its destruction efficiencies.</w:t>
      </w:r>
    </w:p>
    <w:p w:rsidR="003202E5" w:rsidP="003202E5" w14:paraId="635D9D16" w14:textId="77777777">
      <w:pPr>
        <w:widowControl w:val="0"/>
        <w:numPr>
          <w:ilvl w:val="1"/>
          <w:numId w:val="28"/>
        </w:numPr>
        <w:autoSpaceDE w:val="0"/>
        <w:autoSpaceDN w:val="0"/>
        <w:spacing w:after="0" w:line="240" w:lineRule="auto"/>
      </w:pPr>
      <w:r>
        <w:t>Chemical identity of the controlled substance(s) used in the performance test conducted to determine destruction efficiency, including surrogates, and information on why the surrogate is sufficient to demonstrate the destruction efficiency for each controlled substance, consistent with requirements in § 82.25(d)(6)(</w:t>
      </w:r>
      <w:r>
        <w:t>i</w:t>
      </w:r>
      <w:r>
        <w:t xml:space="preserve">), vented to the destruction unit. </w:t>
      </w:r>
    </w:p>
    <w:p w:rsidR="003202E5" w:rsidP="003202E5" w14:paraId="196043BD" w14:textId="77777777">
      <w:pPr>
        <w:widowControl w:val="0"/>
        <w:numPr>
          <w:ilvl w:val="1"/>
          <w:numId w:val="28"/>
        </w:numPr>
        <w:autoSpaceDE w:val="0"/>
        <w:autoSpaceDN w:val="0"/>
        <w:spacing w:after="0" w:line="240" w:lineRule="auto"/>
      </w:pPr>
      <w:r>
        <w:t xml:space="preserve">Date of the most recent destruction unit test. </w:t>
      </w:r>
    </w:p>
    <w:p w:rsidR="003202E5" w:rsidP="003202E5" w14:paraId="1D136EF9" w14:textId="77777777">
      <w:pPr>
        <w:widowControl w:val="0"/>
        <w:numPr>
          <w:ilvl w:val="1"/>
          <w:numId w:val="28"/>
        </w:numPr>
        <w:autoSpaceDE w:val="0"/>
        <w:autoSpaceDN w:val="0"/>
        <w:spacing w:after="0" w:line="240" w:lineRule="auto"/>
      </w:pPr>
      <w:r>
        <w:t>Name of all applicable Federal or State regulations that may apply to the destruction process.</w:t>
      </w:r>
    </w:p>
    <w:p w:rsidR="003202E5" w:rsidP="003202E5" w14:paraId="0D94FA9C" w14:textId="77777777">
      <w:pPr>
        <w:widowControl w:val="0"/>
        <w:numPr>
          <w:ilvl w:val="0"/>
          <w:numId w:val="28"/>
        </w:numPr>
        <w:autoSpaceDE w:val="0"/>
        <w:autoSpaceDN w:val="0"/>
        <w:spacing w:after="0" w:line="240" w:lineRule="auto"/>
      </w:pPr>
      <w:r>
        <w:t xml:space="preserve">For each facility that destroys controlled substances, separately from the controlled substance emissions reported under </w:t>
      </w:r>
      <w:r w:rsidRPr="002C642F">
        <w:t>§ 82.25</w:t>
      </w:r>
      <w:r>
        <w:t>(e)(2), the following for each previously produced controlled substance destroyed:</w:t>
      </w:r>
    </w:p>
    <w:p w:rsidR="003202E5" w:rsidP="003202E5" w14:paraId="275EF655" w14:textId="77777777">
      <w:pPr>
        <w:widowControl w:val="0"/>
        <w:numPr>
          <w:ilvl w:val="1"/>
          <w:numId w:val="28"/>
        </w:numPr>
        <w:autoSpaceDE w:val="0"/>
        <w:autoSpaceDN w:val="0"/>
        <w:spacing w:after="0" w:line="240" w:lineRule="auto"/>
      </w:pPr>
      <w:r>
        <w:t>The mass of the controlled substance emitted from the destruction unit (kilograms).</w:t>
      </w:r>
    </w:p>
    <w:p w:rsidR="003202E5" w:rsidRPr="00471B10" w:rsidP="003202E5" w14:paraId="011CF58C" w14:textId="77777777">
      <w:pPr>
        <w:widowControl w:val="0"/>
        <w:numPr>
          <w:ilvl w:val="0"/>
          <w:numId w:val="28"/>
        </w:numPr>
        <w:autoSpaceDE w:val="0"/>
        <w:autoSpaceDN w:val="0"/>
        <w:spacing w:after="0" w:line="240" w:lineRule="auto"/>
      </w:pPr>
      <w:r>
        <w:t>For e</w:t>
      </w:r>
      <w:r w:rsidRPr="00C725A3">
        <w:t>ach facility that destroys controlled substance(s) used as a process agent</w:t>
      </w:r>
      <w:r>
        <w:t xml:space="preserve"> </w:t>
      </w:r>
      <w:r w:rsidRPr="00C725A3">
        <w:t>a one-time report, that describes any measurements, research, or analysis that it has performed or obtained that relate to the formation of products of incomplete combustion that are controlled substances during the destruction of controlled substances. The report must include the methods and results of any measurement or modeling studies, including the products of incomplete combustion for which the exhaust stream was analyzed, as well as copies of relevant scientific papers, if available, or citations of the papers, if they are not. No new testing is required to fulfill this requirement.</w:t>
      </w:r>
    </w:p>
    <w:p w:rsidR="003202E5" w:rsidRPr="00471B10" w:rsidP="003202E5" w14:paraId="4F04A718" w14:textId="77777777">
      <w:pPr>
        <w:widowControl w:val="0"/>
        <w:autoSpaceDE w:val="0"/>
        <w:autoSpaceDN w:val="0"/>
        <w:spacing w:after="0"/>
      </w:pPr>
    </w:p>
    <w:p w:rsidR="003202E5" w:rsidRPr="00471B10" w:rsidP="003202E5" w14:paraId="008B1625" w14:textId="77777777">
      <w:pPr>
        <w:widowControl w:val="0"/>
        <w:autoSpaceDE w:val="0"/>
        <w:autoSpaceDN w:val="0"/>
        <w:spacing w:after="0"/>
      </w:pPr>
      <w:r w:rsidRPr="00471B10">
        <w:rPr>
          <w:u w:val="single"/>
        </w:rPr>
        <w:t>Process Agent Use Annual Report (class I and class II)</w:t>
      </w:r>
      <w:r w:rsidRPr="00471B10">
        <w:t>:</w:t>
      </w:r>
    </w:p>
    <w:p w:rsidR="003202E5" w:rsidRPr="00471B10" w:rsidP="003202E5" w14:paraId="72DD40E3" w14:textId="77777777">
      <w:pPr>
        <w:widowControl w:val="0"/>
        <w:autoSpaceDE w:val="0"/>
        <w:autoSpaceDN w:val="0"/>
        <w:spacing w:after="0"/>
      </w:pPr>
    </w:p>
    <w:p w:rsidR="003202E5" w:rsidRPr="00471B10" w:rsidP="003202E5" w14:paraId="2D0F2E31" w14:textId="77777777">
      <w:pPr>
        <w:widowControl w:val="0"/>
        <w:numPr>
          <w:ilvl w:val="0"/>
          <w:numId w:val="29"/>
        </w:numPr>
        <w:autoSpaceDE w:val="0"/>
        <w:autoSpaceDN w:val="0"/>
        <w:spacing w:after="0" w:line="240" w:lineRule="auto"/>
      </w:pPr>
      <w:r w:rsidRPr="00471B10">
        <w:t xml:space="preserve">For each facility, contact information including email address and phone number for a primary and alternate contact </w:t>
      </w:r>
      <w:r w:rsidRPr="00471B10">
        <w:t>person;</w:t>
      </w:r>
    </w:p>
    <w:p w:rsidR="003202E5" w:rsidRPr="00471B10" w:rsidP="003202E5" w14:paraId="3A6BD835" w14:textId="77777777">
      <w:pPr>
        <w:widowControl w:val="0"/>
        <w:numPr>
          <w:ilvl w:val="0"/>
          <w:numId w:val="29"/>
        </w:numPr>
        <w:autoSpaceDE w:val="0"/>
        <w:autoSpaceDN w:val="0"/>
        <w:spacing w:after="0" w:line="240" w:lineRule="auto"/>
      </w:pPr>
      <w:r w:rsidRPr="00471B10">
        <w:t xml:space="preserve">For each facility, the name and amount of each controlled substance initially introduced into the process agent application for use as a process agent, specified independently whether the controlled substance was: </w:t>
      </w:r>
    </w:p>
    <w:p w:rsidR="003202E5" w:rsidRPr="00471B10" w:rsidP="003202E5" w14:paraId="56522AE4" w14:textId="77777777">
      <w:pPr>
        <w:widowControl w:val="0"/>
        <w:numPr>
          <w:ilvl w:val="1"/>
          <w:numId w:val="29"/>
        </w:numPr>
        <w:autoSpaceDE w:val="0"/>
        <w:autoSpaceDN w:val="0"/>
        <w:spacing w:after="0" w:line="240" w:lineRule="auto"/>
      </w:pPr>
      <w:r w:rsidRPr="00471B10">
        <w:t xml:space="preserve">Obtained as </w:t>
      </w:r>
      <w:r w:rsidRPr="00471B10">
        <w:t>virgin;</w:t>
      </w:r>
    </w:p>
    <w:p w:rsidR="003202E5" w:rsidRPr="00471B10" w:rsidP="003202E5" w14:paraId="29444B2A" w14:textId="77777777">
      <w:pPr>
        <w:widowControl w:val="0"/>
        <w:numPr>
          <w:ilvl w:val="1"/>
          <w:numId w:val="29"/>
        </w:numPr>
        <w:autoSpaceDE w:val="0"/>
        <w:autoSpaceDN w:val="0"/>
        <w:spacing w:after="0" w:line="240" w:lineRule="auto"/>
      </w:pPr>
      <w:r w:rsidRPr="00471B10">
        <w:t xml:space="preserve">Obtained as </w:t>
      </w:r>
      <w:r w:rsidRPr="00471B10">
        <w:t>used;</w:t>
      </w:r>
    </w:p>
    <w:p w:rsidR="003202E5" w:rsidRPr="00471B10" w:rsidP="003202E5" w14:paraId="3C045809" w14:textId="77777777">
      <w:pPr>
        <w:widowControl w:val="0"/>
        <w:numPr>
          <w:ilvl w:val="1"/>
          <w:numId w:val="29"/>
        </w:numPr>
        <w:autoSpaceDE w:val="0"/>
        <w:autoSpaceDN w:val="0"/>
        <w:spacing w:after="0" w:line="240" w:lineRule="auto"/>
      </w:pPr>
      <w:r w:rsidRPr="00471B10">
        <w:t xml:space="preserve">Produced by the </w:t>
      </w:r>
      <w:r w:rsidRPr="00471B10">
        <w:t>entity;</w:t>
      </w:r>
      <w:r w:rsidRPr="00471B10">
        <w:t xml:space="preserve"> </w:t>
      </w:r>
    </w:p>
    <w:p w:rsidR="003202E5" w:rsidRPr="00471B10" w:rsidP="003202E5" w14:paraId="0DB21994" w14:textId="77777777">
      <w:pPr>
        <w:widowControl w:val="0"/>
        <w:numPr>
          <w:ilvl w:val="1"/>
          <w:numId w:val="29"/>
        </w:numPr>
        <w:autoSpaceDE w:val="0"/>
        <w:autoSpaceDN w:val="0"/>
        <w:spacing w:after="0" w:line="240" w:lineRule="auto"/>
      </w:pPr>
      <w:r w:rsidRPr="00471B10">
        <w:t xml:space="preserve">Purchased from a U.S. </w:t>
      </w:r>
      <w:r w:rsidRPr="00471B10">
        <w:t>producer;</w:t>
      </w:r>
    </w:p>
    <w:p w:rsidR="003202E5" w:rsidRPr="00471B10" w:rsidP="003202E5" w14:paraId="048C011C" w14:textId="77777777">
      <w:pPr>
        <w:widowControl w:val="0"/>
        <w:numPr>
          <w:ilvl w:val="1"/>
          <w:numId w:val="29"/>
        </w:numPr>
        <w:autoSpaceDE w:val="0"/>
        <w:autoSpaceDN w:val="0"/>
        <w:spacing w:after="0" w:line="240" w:lineRule="auto"/>
      </w:pPr>
      <w:r w:rsidRPr="00471B10">
        <w:t>Imported;</w:t>
      </w:r>
    </w:p>
    <w:p w:rsidR="003202E5" w:rsidRPr="00471B10" w:rsidP="003202E5" w14:paraId="0A134772" w14:textId="77777777">
      <w:pPr>
        <w:widowControl w:val="0"/>
        <w:numPr>
          <w:ilvl w:val="1"/>
          <w:numId w:val="29"/>
        </w:numPr>
        <w:autoSpaceDE w:val="0"/>
        <w:autoSpaceDN w:val="0"/>
        <w:spacing w:after="0" w:line="240" w:lineRule="auto"/>
      </w:pPr>
      <w:r w:rsidRPr="00471B10">
        <w:t>Reclaimed by the entity from a different use; and</w:t>
      </w:r>
    </w:p>
    <w:p w:rsidR="003202E5" w:rsidRPr="00471B10" w:rsidP="003202E5" w14:paraId="20A8A3B4" w14:textId="77777777">
      <w:pPr>
        <w:widowControl w:val="0"/>
        <w:numPr>
          <w:ilvl w:val="1"/>
          <w:numId w:val="29"/>
        </w:numPr>
        <w:autoSpaceDE w:val="0"/>
        <w:autoSpaceDN w:val="0"/>
        <w:spacing w:after="0" w:line="240" w:lineRule="auto"/>
      </w:pPr>
      <w:r w:rsidRPr="00471B10">
        <w:t>Reclaimed by another entity.</w:t>
      </w:r>
    </w:p>
    <w:p w:rsidR="003202E5" w:rsidRPr="00471B10" w:rsidP="003202E5" w14:paraId="009CE837" w14:textId="77777777">
      <w:pPr>
        <w:widowControl w:val="0"/>
        <w:numPr>
          <w:ilvl w:val="0"/>
          <w:numId w:val="29"/>
        </w:numPr>
        <w:autoSpaceDE w:val="0"/>
        <w:autoSpaceDN w:val="0"/>
        <w:spacing w:after="0" w:line="240" w:lineRule="auto"/>
      </w:pPr>
      <w:r w:rsidRPr="00471B10">
        <w:t xml:space="preserve">For each facility, the name and amount of each controlled substance used as a process agent and reused or recycled by the entity for continued use in the same process agent application at the same </w:t>
      </w:r>
      <w:r w:rsidRPr="00471B10">
        <w:t>facility;</w:t>
      </w:r>
      <w:r w:rsidRPr="00471B10">
        <w:t xml:space="preserve"> </w:t>
      </w:r>
    </w:p>
    <w:p w:rsidR="003202E5" w:rsidRPr="00471B10" w:rsidP="003202E5" w14:paraId="1E8545D2" w14:textId="77777777">
      <w:pPr>
        <w:widowControl w:val="0"/>
        <w:numPr>
          <w:ilvl w:val="0"/>
          <w:numId w:val="29"/>
        </w:numPr>
        <w:autoSpaceDE w:val="0"/>
        <w:autoSpaceDN w:val="0"/>
        <w:spacing w:after="0" w:line="240" w:lineRule="auto"/>
      </w:pPr>
      <w:r w:rsidRPr="00471B10">
        <w:t>For each facility, the name and amount of each controlled substance used as a process agent that was ultimately:</w:t>
      </w:r>
    </w:p>
    <w:p w:rsidR="003202E5" w:rsidRPr="00471B10" w:rsidP="003202E5" w14:paraId="79D459D6" w14:textId="77777777">
      <w:pPr>
        <w:widowControl w:val="0"/>
        <w:numPr>
          <w:ilvl w:val="1"/>
          <w:numId w:val="29"/>
        </w:numPr>
        <w:autoSpaceDE w:val="0"/>
        <w:autoSpaceDN w:val="0"/>
        <w:spacing w:after="0" w:line="240" w:lineRule="auto"/>
      </w:pPr>
      <w:r w:rsidRPr="00471B10">
        <w:t>Transformed;</w:t>
      </w:r>
    </w:p>
    <w:p w:rsidR="003202E5" w:rsidRPr="00471B10" w:rsidP="003202E5" w14:paraId="62875632" w14:textId="77777777">
      <w:pPr>
        <w:widowControl w:val="0"/>
        <w:numPr>
          <w:ilvl w:val="1"/>
          <w:numId w:val="29"/>
        </w:numPr>
        <w:autoSpaceDE w:val="0"/>
        <w:autoSpaceDN w:val="0"/>
        <w:spacing w:after="0" w:line="240" w:lineRule="auto"/>
      </w:pPr>
      <w:r w:rsidRPr="00471B10">
        <w:t>Reused or recycled for use in a different process agent application; or</w:t>
      </w:r>
    </w:p>
    <w:p w:rsidR="003202E5" w:rsidRPr="00471B10" w:rsidP="003202E5" w14:paraId="7D02B086" w14:textId="77777777">
      <w:pPr>
        <w:widowControl w:val="0"/>
        <w:numPr>
          <w:ilvl w:val="1"/>
          <w:numId w:val="29"/>
        </w:numPr>
        <w:autoSpaceDE w:val="0"/>
        <w:autoSpaceDN w:val="0"/>
        <w:spacing w:after="0" w:line="240" w:lineRule="auto"/>
      </w:pPr>
      <w:r w:rsidRPr="00471B10">
        <w:t>Destroyed by approved destruction technologies.</w:t>
      </w:r>
    </w:p>
    <w:p w:rsidR="003202E5" w:rsidP="003202E5" w14:paraId="6B3B0840" w14:textId="77777777">
      <w:pPr>
        <w:widowControl w:val="0"/>
        <w:numPr>
          <w:ilvl w:val="0"/>
          <w:numId w:val="29"/>
        </w:numPr>
        <w:autoSpaceDE w:val="0"/>
        <w:autoSpaceDN w:val="0"/>
        <w:spacing w:after="0" w:line="240" w:lineRule="auto"/>
      </w:pPr>
      <w:r w:rsidRPr="00471B10">
        <w:t xml:space="preserve">For each facility, the total air, fugitive air, and stack point air emissions of each controlled substance used as a process </w:t>
      </w:r>
      <w:r w:rsidRPr="00471B10">
        <w:t>agent;</w:t>
      </w:r>
    </w:p>
    <w:p w:rsidR="003202E5" w:rsidRPr="00471B10" w:rsidP="003202E5" w14:paraId="52B87DF4" w14:textId="77777777">
      <w:pPr>
        <w:widowControl w:val="0"/>
        <w:numPr>
          <w:ilvl w:val="0"/>
          <w:numId w:val="29"/>
        </w:numPr>
        <w:autoSpaceDE w:val="0"/>
        <w:autoSpaceDN w:val="0"/>
        <w:spacing w:after="0" w:line="240" w:lineRule="auto"/>
      </w:pPr>
      <w:r w:rsidRPr="00471B10">
        <w:t xml:space="preserve">For each facility, the names and amounts of each product and byproduct manufactured in the process agent application during the previous control period, including amounts destroyed or used as a </w:t>
      </w:r>
      <w:r w:rsidRPr="00471B10">
        <w:t>feedstock;</w:t>
      </w:r>
    </w:p>
    <w:p w:rsidR="003202E5" w:rsidP="003202E5" w14:paraId="0AC4D97A" w14:textId="77777777">
      <w:pPr>
        <w:widowControl w:val="0"/>
        <w:numPr>
          <w:ilvl w:val="0"/>
          <w:numId w:val="29"/>
        </w:numPr>
        <w:autoSpaceDE w:val="0"/>
        <w:autoSpaceDN w:val="0"/>
        <w:spacing w:after="0" w:line="240" w:lineRule="auto"/>
      </w:pPr>
      <w:r w:rsidRPr="00471B10">
        <w:t xml:space="preserve">For each facility, a description of emission reduction actions for controlled substances used as a process agent taken since the last one-time or annual report, planned, or currently under </w:t>
      </w:r>
      <w:r w:rsidRPr="00471B10">
        <w:t>evaluation;</w:t>
      </w:r>
      <w:r w:rsidRPr="00471B10">
        <w:t xml:space="preserve"> </w:t>
      </w:r>
    </w:p>
    <w:p w:rsidR="003202E5" w:rsidP="003202E5" w14:paraId="3CD7DD03" w14:textId="77777777">
      <w:pPr>
        <w:widowControl w:val="0"/>
        <w:numPr>
          <w:ilvl w:val="0"/>
          <w:numId w:val="29"/>
        </w:numPr>
        <w:autoSpaceDE w:val="0"/>
        <w:autoSpaceDN w:val="0"/>
        <w:spacing w:after="0" w:line="240" w:lineRule="auto"/>
      </w:pPr>
      <w:r>
        <w:t xml:space="preserve">For each process listed in § 82.25(b)(2): </w:t>
      </w:r>
    </w:p>
    <w:p w:rsidR="003202E5" w:rsidP="003202E5" w14:paraId="40467EB4" w14:textId="77777777">
      <w:pPr>
        <w:widowControl w:val="0"/>
        <w:numPr>
          <w:ilvl w:val="1"/>
          <w:numId w:val="29"/>
        </w:numPr>
        <w:autoSpaceDE w:val="0"/>
        <w:autoSpaceDN w:val="0"/>
        <w:spacing w:after="0" w:line="240" w:lineRule="auto"/>
      </w:pPr>
      <w:r>
        <w:t xml:space="preserve">A description and identification of the process listed in § 82.25(b)(2). </w:t>
      </w:r>
    </w:p>
    <w:p w:rsidR="003202E5" w:rsidP="003202E5" w14:paraId="6B778539" w14:textId="77777777">
      <w:pPr>
        <w:widowControl w:val="0"/>
        <w:numPr>
          <w:ilvl w:val="1"/>
          <w:numId w:val="29"/>
        </w:numPr>
        <w:autoSpaceDE w:val="0"/>
        <w:autoSpaceDN w:val="0"/>
        <w:spacing w:after="0" w:line="240" w:lineRule="auto"/>
      </w:pPr>
      <w:r>
        <w:t>A description and number, letter, or other identifier for each process vent associated with the process. This identifier must be a consistent name reported from year to year.</w:t>
      </w:r>
    </w:p>
    <w:p w:rsidR="003202E5" w:rsidP="003202E5" w14:paraId="633EC0A2" w14:textId="77777777">
      <w:pPr>
        <w:widowControl w:val="0"/>
        <w:numPr>
          <w:ilvl w:val="1"/>
          <w:numId w:val="29"/>
        </w:numPr>
        <w:autoSpaceDE w:val="0"/>
        <w:autoSpaceDN w:val="0"/>
        <w:spacing w:after="0" w:line="240" w:lineRule="auto"/>
      </w:pPr>
      <w:r>
        <w:t xml:space="preserve">The method(s) used to determine the mass emissions from each process vent associated with the process (i.e., process-vent-specific emission factor or process-vent-specific emission calculation factor). </w:t>
      </w:r>
    </w:p>
    <w:p w:rsidR="003202E5" w:rsidP="003202E5" w14:paraId="7970FA76" w14:textId="77777777">
      <w:pPr>
        <w:widowControl w:val="0"/>
        <w:numPr>
          <w:ilvl w:val="1"/>
          <w:numId w:val="29"/>
        </w:numPr>
        <w:autoSpaceDE w:val="0"/>
        <w:autoSpaceDN w:val="0"/>
        <w:spacing w:after="0" w:line="240" w:lineRule="auto"/>
      </w:pPr>
      <w:r>
        <w:t>The method(s) used to determine the mass emissions from equipment leaks associated with the process.</w:t>
      </w:r>
    </w:p>
    <w:p w:rsidR="003202E5" w:rsidP="003202E5" w14:paraId="7E458B7B" w14:textId="77777777">
      <w:pPr>
        <w:widowControl w:val="0"/>
        <w:numPr>
          <w:ilvl w:val="0"/>
          <w:numId w:val="29"/>
        </w:numPr>
        <w:autoSpaceDE w:val="0"/>
        <w:autoSpaceDN w:val="0"/>
        <w:spacing w:after="0" w:line="240" w:lineRule="auto"/>
      </w:pPr>
      <w:r>
        <w:t>For each controlled substance, the total mass in kilograms of the controlled substance emitted from the processes listed in § 82.25(b)(2).</w:t>
      </w:r>
    </w:p>
    <w:p w:rsidR="003202E5" w:rsidP="003202E5" w14:paraId="4D04EF62" w14:textId="77777777">
      <w:pPr>
        <w:widowControl w:val="0"/>
        <w:numPr>
          <w:ilvl w:val="0"/>
          <w:numId w:val="29"/>
        </w:numPr>
        <w:autoSpaceDE w:val="0"/>
        <w:autoSpaceDN w:val="0"/>
        <w:spacing w:after="0" w:line="240" w:lineRule="auto"/>
      </w:pPr>
      <w:r>
        <w:t>For each controlled substance, the total mass in kilograms of the controlled substance emitted from the processes listed in § 82.25(b)(2).</w:t>
      </w:r>
    </w:p>
    <w:p w:rsidR="003202E5" w:rsidP="003202E5" w14:paraId="51606CA0" w14:textId="77777777">
      <w:pPr>
        <w:widowControl w:val="0"/>
        <w:numPr>
          <w:ilvl w:val="0"/>
          <w:numId w:val="29"/>
        </w:numPr>
        <w:autoSpaceDE w:val="0"/>
        <w:autoSpaceDN w:val="0"/>
        <w:spacing w:after="0" w:line="240" w:lineRule="auto"/>
      </w:pPr>
      <w:r>
        <w:t xml:space="preserve">For each process and controlled substance, the effective destruction efficiency, </w:t>
      </w:r>
      <w:r>
        <w:t>DEeffective</w:t>
      </w:r>
      <w:r>
        <w:t>, calculated for that process using Equation 13 of § 82.25.</w:t>
      </w:r>
    </w:p>
    <w:p w:rsidR="003202E5" w:rsidP="003202E5" w14:paraId="7B3410C9" w14:textId="77777777">
      <w:pPr>
        <w:widowControl w:val="0"/>
        <w:numPr>
          <w:ilvl w:val="0"/>
          <w:numId w:val="29"/>
        </w:numPr>
        <w:autoSpaceDE w:val="0"/>
        <w:autoSpaceDN w:val="0"/>
        <w:spacing w:after="0" w:line="240" w:lineRule="auto"/>
      </w:pPr>
      <w:r>
        <w:t xml:space="preserve">The monitoring plan, as specified in § 82.25(f)(6), including any revisions since the prior year’s submission, as applicable.  </w:t>
      </w:r>
    </w:p>
    <w:p w:rsidR="003202E5" w:rsidP="003202E5" w14:paraId="1774E6FC" w14:textId="77777777">
      <w:pPr>
        <w:widowControl w:val="0"/>
        <w:numPr>
          <w:ilvl w:val="0"/>
          <w:numId w:val="29"/>
        </w:numPr>
        <w:autoSpaceDE w:val="0"/>
        <w:autoSpaceDN w:val="0"/>
        <w:spacing w:after="0" w:line="240" w:lineRule="auto"/>
      </w:pPr>
      <w:r>
        <w:t>For processes whose emissions are determined using the emission factor approach under § 82.25(c)(1)(iii) or the emission calculation factor under § 82.25(c)(1)(iv), the following for each process:</w:t>
      </w:r>
    </w:p>
    <w:p w:rsidR="003202E5" w:rsidP="003202E5" w14:paraId="7ACDFDAD" w14:textId="77777777">
      <w:pPr>
        <w:widowControl w:val="0"/>
        <w:numPr>
          <w:ilvl w:val="0"/>
          <w:numId w:val="29"/>
        </w:numPr>
        <w:autoSpaceDE w:val="0"/>
        <w:autoSpaceDN w:val="0"/>
        <w:spacing w:after="0" w:line="240" w:lineRule="auto"/>
      </w:pPr>
      <w:r>
        <w:t xml:space="preserve">The identity and quantity of the process activity used to estimate emissions (e.g., tons of product </w:t>
      </w:r>
      <w:r>
        <w:t>produced</w:t>
      </w:r>
      <w:r>
        <w:t xml:space="preserve"> or tons of reactant consumed) for each process vent associated with the process.</w:t>
      </w:r>
    </w:p>
    <w:p w:rsidR="003202E5" w:rsidP="003202E5" w14:paraId="4B89D586" w14:textId="77777777">
      <w:pPr>
        <w:widowControl w:val="0"/>
        <w:numPr>
          <w:ilvl w:val="0"/>
          <w:numId w:val="29"/>
        </w:numPr>
        <w:autoSpaceDE w:val="0"/>
        <w:autoSpaceDN w:val="0"/>
        <w:spacing w:after="0" w:line="240" w:lineRule="auto"/>
      </w:pPr>
      <w:r>
        <w:t>The site-specific, process-vent- specific emission factor(s) or emission calculation factor for each process vent associated with the process.</w:t>
      </w:r>
    </w:p>
    <w:p w:rsidR="003202E5" w:rsidP="003202E5" w14:paraId="01D1634E" w14:textId="77777777">
      <w:pPr>
        <w:widowControl w:val="0"/>
        <w:numPr>
          <w:ilvl w:val="0"/>
          <w:numId w:val="29"/>
        </w:numPr>
        <w:autoSpaceDE w:val="0"/>
        <w:autoSpaceDN w:val="0"/>
        <w:spacing w:after="0" w:line="240" w:lineRule="auto"/>
      </w:pPr>
      <w:r>
        <w:t xml:space="preserve">For each controlled substance, the mass emitted from each process vent associated with the process, in kilograms. </w:t>
      </w:r>
    </w:p>
    <w:p w:rsidR="003202E5" w:rsidP="003202E5" w14:paraId="58DB50D8" w14:textId="77777777">
      <w:pPr>
        <w:widowControl w:val="0"/>
        <w:numPr>
          <w:ilvl w:val="0"/>
          <w:numId w:val="29"/>
        </w:numPr>
        <w:autoSpaceDE w:val="0"/>
        <w:autoSpaceDN w:val="0"/>
        <w:spacing w:after="0" w:line="240" w:lineRule="auto"/>
      </w:pPr>
      <w:r>
        <w:t>For each controlled substance, the total mass emitted from equipment leaks, in kilograms.</w:t>
      </w:r>
    </w:p>
    <w:p w:rsidR="003202E5" w:rsidP="003202E5" w14:paraId="70B9606F" w14:textId="77777777">
      <w:pPr>
        <w:widowControl w:val="0"/>
        <w:numPr>
          <w:ilvl w:val="0"/>
          <w:numId w:val="29"/>
        </w:numPr>
        <w:autoSpaceDE w:val="0"/>
        <w:autoSpaceDN w:val="0"/>
        <w:spacing w:after="0" w:line="240" w:lineRule="auto"/>
      </w:pPr>
      <w:r>
        <w:t xml:space="preserve">For each facility that destroys a controlled substance, the excess emissions that result from malfunctions of the destruction unit, and these excess emissions must be reflected in the controlled substance estimates in § 82.25(c)(1). </w:t>
      </w:r>
    </w:p>
    <w:p w:rsidR="003202E5" w:rsidP="003202E5" w14:paraId="12B57DBC" w14:textId="77777777">
      <w:pPr>
        <w:widowControl w:val="0"/>
        <w:numPr>
          <w:ilvl w:val="0"/>
          <w:numId w:val="29"/>
        </w:numPr>
        <w:autoSpaceDE w:val="0"/>
        <w:autoSpaceDN w:val="0"/>
        <w:spacing w:after="0" w:line="240" w:lineRule="auto"/>
      </w:pPr>
      <w:r>
        <w:t>For each facility that destroys controlled substances, a report containing the information in § 82.25(e)(4)(</w:t>
      </w:r>
      <w:r>
        <w:t>i</w:t>
      </w:r>
      <w:r>
        <w:t>) through (4)(iii). This report is one-time unless a change is made to the destruction unit that would be expected to affect its destruction efficiencies.</w:t>
      </w:r>
    </w:p>
    <w:p w:rsidR="003202E5" w:rsidP="003202E5" w14:paraId="57A54F11" w14:textId="77777777">
      <w:pPr>
        <w:widowControl w:val="0"/>
        <w:numPr>
          <w:ilvl w:val="0"/>
          <w:numId w:val="29"/>
        </w:numPr>
        <w:autoSpaceDE w:val="0"/>
        <w:autoSpaceDN w:val="0"/>
        <w:spacing w:after="0" w:line="240" w:lineRule="auto"/>
      </w:pPr>
      <w:r>
        <w:t>Chemical identity of the controlled substance(s) used in the performance test conducted to determine destruction efficiency, including surrogates, and information on why the surrogate is sufficient to demonstrate the destruction efficiency for each controlled substance, consistent with requirements in § 82.25(d)(6)(</w:t>
      </w:r>
      <w:r>
        <w:t>i</w:t>
      </w:r>
      <w:r>
        <w:t xml:space="preserve">), vented to the destruction unit. </w:t>
      </w:r>
    </w:p>
    <w:p w:rsidR="003202E5" w:rsidP="003202E5" w14:paraId="7BD71ABC" w14:textId="77777777">
      <w:pPr>
        <w:widowControl w:val="0"/>
        <w:numPr>
          <w:ilvl w:val="0"/>
          <w:numId w:val="29"/>
        </w:numPr>
        <w:autoSpaceDE w:val="0"/>
        <w:autoSpaceDN w:val="0"/>
        <w:spacing w:after="0" w:line="240" w:lineRule="auto"/>
      </w:pPr>
      <w:r>
        <w:t xml:space="preserve">Date of the most recent destruction unit test. </w:t>
      </w:r>
    </w:p>
    <w:p w:rsidR="003202E5" w:rsidP="003202E5" w14:paraId="06299D28" w14:textId="77777777">
      <w:pPr>
        <w:widowControl w:val="0"/>
        <w:numPr>
          <w:ilvl w:val="0"/>
          <w:numId w:val="29"/>
        </w:numPr>
        <w:autoSpaceDE w:val="0"/>
        <w:autoSpaceDN w:val="0"/>
        <w:spacing w:after="0" w:line="240" w:lineRule="auto"/>
      </w:pPr>
      <w:r>
        <w:t>Name of all applicable Federal or State regulations that may apply to the destruction process.</w:t>
      </w:r>
    </w:p>
    <w:p w:rsidR="003202E5" w:rsidP="003202E5" w14:paraId="057EA894" w14:textId="77777777">
      <w:pPr>
        <w:widowControl w:val="0"/>
        <w:numPr>
          <w:ilvl w:val="0"/>
          <w:numId w:val="29"/>
        </w:numPr>
        <w:autoSpaceDE w:val="0"/>
        <w:autoSpaceDN w:val="0"/>
        <w:spacing w:after="0" w:line="240" w:lineRule="auto"/>
      </w:pPr>
      <w:r>
        <w:t>For each facility that destroys controlled substances, separately from the controlled substance emissions reported under § 82.25(e)(2), the following for each previously produced controlled substance destroyed:</w:t>
      </w:r>
    </w:p>
    <w:p w:rsidR="003202E5" w:rsidP="003202E5" w14:paraId="6715ED36" w14:textId="77777777">
      <w:pPr>
        <w:widowControl w:val="0"/>
        <w:numPr>
          <w:ilvl w:val="1"/>
          <w:numId w:val="29"/>
        </w:numPr>
        <w:autoSpaceDE w:val="0"/>
        <w:autoSpaceDN w:val="0"/>
        <w:spacing w:after="0" w:line="240" w:lineRule="auto"/>
      </w:pPr>
      <w:r>
        <w:t>The mass of the controlled substance emitted from the destruction unit (kilograms).</w:t>
      </w:r>
    </w:p>
    <w:p w:rsidR="003202E5" w:rsidRPr="00471B10" w:rsidP="003202E5" w14:paraId="4F3A1A57" w14:textId="77777777">
      <w:pPr>
        <w:widowControl w:val="0"/>
        <w:numPr>
          <w:ilvl w:val="0"/>
          <w:numId w:val="29"/>
        </w:numPr>
        <w:autoSpaceDE w:val="0"/>
        <w:autoSpaceDN w:val="0"/>
        <w:spacing w:after="0" w:line="240" w:lineRule="auto"/>
      </w:pPr>
      <w:r>
        <w:t>For each facility that destroys controlled substance(s) used as a process agent a one-time report, that describes any measurements, research, or analysis that it has performed or obtained that relate to the formation of products of incomplete combustion that are controlled substances during the destruction of controlled substances. The report must include the methods and results of any measurement or modeling studies, including the products of incomplete combustion for which the exhaust stream was analyzed, as well as copies of relevant scientific papers, if available, or citations of the papers, if they are not. No new testing is required to fulfill this requirement.</w:t>
      </w:r>
    </w:p>
    <w:p w:rsidR="003202E5" w:rsidRPr="00471B10" w:rsidP="003202E5" w14:paraId="031160C3" w14:textId="77777777">
      <w:pPr>
        <w:widowControl w:val="0"/>
        <w:autoSpaceDE w:val="0"/>
        <w:autoSpaceDN w:val="0"/>
        <w:spacing w:after="0"/>
      </w:pPr>
    </w:p>
    <w:p w:rsidR="003202E5" w:rsidRPr="00471B10" w:rsidP="003202E5" w14:paraId="4CB9D48F" w14:textId="77777777">
      <w:pPr>
        <w:widowControl w:val="0"/>
        <w:autoSpaceDE w:val="0"/>
        <w:autoSpaceDN w:val="0"/>
        <w:spacing w:after="0"/>
        <w:rPr>
          <w:u w:val="single"/>
        </w:rPr>
      </w:pPr>
      <w:r w:rsidRPr="00471B10">
        <w:rPr>
          <w:u w:val="single"/>
        </w:rPr>
        <w:t>Significant Process Changes Report, as needed (Class I and Class II):</w:t>
      </w:r>
    </w:p>
    <w:p w:rsidR="003202E5" w:rsidRPr="00471B10" w:rsidP="003202E5" w14:paraId="101C42E1" w14:textId="77777777">
      <w:pPr>
        <w:widowControl w:val="0"/>
        <w:autoSpaceDE w:val="0"/>
        <w:autoSpaceDN w:val="0"/>
        <w:spacing w:after="0"/>
      </w:pPr>
    </w:p>
    <w:p w:rsidR="003202E5" w:rsidRPr="00471B10" w:rsidP="003202E5" w14:paraId="273E5C73" w14:textId="77777777">
      <w:pPr>
        <w:widowControl w:val="0"/>
        <w:numPr>
          <w:ilvl w:val="0"/>
          <w:numId w:val="29"/>
        </w:numPr>
        <w:autoSpaceDE w:val="0"/>
        <w:autoSpaceDN w:val="0"/>
        <w:spacing w:after="0" w:line="240" w:lineRule="auto"/>
      </w:pPr>
      <w:r w:rsidRPr="00471B10">
        <w:t>For each facility, any significant process agent application changes anticipated to result in increases for the next annual report of greater than 20 percent of the amount of controlled substance initially introduced for or emitted during use as a process agent by an entity, as compared to the previous control period, must be specified in a report submitted to EPA at least 180 days prior to implementing the change.</w:t>
      </w:r>
    </w:p>
    <w:p w:rsidR="003202E5" w:rsidRPr="00471B10" w:rsidP="003202E5" w14:paraId="1E6D6FC9" w14:textId="77777777">
      <w:pPr>
        <w:widowControl w:val="0"/>
        <w:autoSpaceDE w:val="0"/>
        <w:autoSpaceDN w:val="0"/>
        <w:spacing w:after="0"/>
      </w:pPr>
    </w:p>
    <w:p w:rsidR="003202E5" w:rsidRPr="00471B10" w:rsidP="003202E5" w14:paraId="67663AD9" w14:textId="77777777">
      <w:pPr>
        <w:widowControl w:val="0"/>
        <w:autoSpaceDE w:val="0"/>
        <w:autoSpaceDN w:val="0"/>
        <w:spacing w:after="0"/>
        <w:rPr>
          <w:u w:val="single"/>
        </w:rPr>
      </w:pPr>
      <w:r w:rsidRPr="00471B10">
        <w:rPr>
          <w:u w:val="single"/>
        </w:rPr>
        <w:t>Recordkeeping Requirements (class I and class II):</w:t>
      </w:r>
    </w:p>
    <w:p w:rsidR="003202E5" w:rsidRPr="00471B10" w:rsidP="003202E5" w14:paraId="57EC85F3" w14:textId="77777777">
      <w:pPr>
        <w:widowControl w:val="0"/>
        <w:autoSpaceDE w:val="0"/>
        <w:autoSpaceDN w:val="0"/>
        <w:spacing w:after="0"/>
      </w:pPr>
    </w:p>
    <w:p w:rsidR="003202E5" w:rsidRPr="00471B10" w:rsidP="003202E5" w14:paraId="27DBA36E" w14:textId="77777777">
      <w:pPr>
        <w:widowControl w:val="0"/>
        <w:numPr>
          <w:ilvl w:val="0"/>
          <w:numId w:val="29"/>
        </w:numPr>
        <w:autoSpaceDE w:val="0"/>
        <w:autoSpaceDN w:val="0"/>
        <w:spacing w:after="0" w:line="240" w:lineRule="auto"/>
      </w:pPr>
      <w:r w:rsidRPr="00471B10">
        <w:t xml:space="preserve">Dated records of the quantity of each controlled substance produced at each facility for use as a process </w:t>
      </w:r>
      <w:r w:rsidRPr="00471B10">
        <w:t>agent;</w:t>
      </w:r>
      <w:r w:rsidRPr="00471B10">
        <w:t xml:space="preserve"> </w:t>
      </w:r>
    </w:p>
    <w:p w:rsidR="003202E5" w:rsidRPr="00471B10" w:rsidP="003202E5" w14:paraId="301978DF" w14:textId="77777777">
      <w:pPr>
        <w:widowControl w:val="0"/>
        <w:numPr>
          <w:ilvl w:val="0"/>
          <w:numId w:val="29"/>
        </w:numPr>
        <w:autoSpaceDE w:val="0"/>
        <w:autoSpaceDN w:val="0"/>
        <w:spacing w:after="0" w:line="240" w:lineRule="auto"/>
      </w:pPr>
      <w:r w:rsidRPr="00471B10">
        <w:t xml:space="preserve">Records identifying the producer or importer of the controlled substance received at each facility for use as a process agent by the </w:t>
      </w:r>
      <w:r w:rsidRPr="00471B10">
        <w:t>person;</w:t>
      </w:r>
    </w:p>
    <w:p w:rsidR="003202E5" w:rsidRPr="00471B10" w:rsidP="003202E5" w14:paraId="5C3EC88B" w14:textId="77777777">
      <w:pPr>
        <w:widowControl w:val="0"/>
        <w:numPr>
          <w:ilvl w:val="0"/>
          <w:numId w:val="29"/>
        </w:numPr>
        <w:autoSpaceDE w:val="0"/>
        <w:autoSpaceDN w:val="0"/>
        <w:spacing w:after="0" w:line="240" w:lineRule="auto"/>
      </w:pPr>
      <w:r w:rsidRPr="00471B10">
        <w:t xml:space="preserve">For each facility, copies of the invoices or receipts documenting the sale or other transfer of </w:t>
      </w:r>
      <w:r w:rsidRPr="00471B10">
        <w:t xml:space="preserve">ownership of each controlled substance for use as a process agent to the </w:t>
      </w:r>
      <w:r w:rsidRPr="00471B10">
        <w:t>person;</w:t>
      </w:r>
    </w:p>
    <w:p w:rsidR="003202E5" w:rsidRPr="00471B10" w:rsidP="003202E5" w14:paraId="6FA06BE9" w14:textId="77777777">
      <w:pPr>
        <w:widowControl w:val="0"/>
        <w:numPr>
          <w:ilvl w:val="0"/>
          <w:numId w:val="29"/>
        </w:numPr>
        <w:autoSpaceDE w:val="0"/>
        <w:autoSpaceDN w:val="0"/>
        <w:spacing w:after="0" w:line="240" w:lineRule="auto"/>
      </w:pPr>
      <w:r w:rsidRPr="00471B10">
        <w:t xml:space="preserve">Dated records identifying the quantity of each product manufactured within each facility by using a controlled substance as a process </w:t>
      </w:r>
      <w:r w:rsidRPr="00471B10">
        <w:t>agent;</w:t>
      </w:r>
      <w:r w:rsidRPr="00471B10">
        <w:t xml:space="preserve"> </w:t>
      </w:r>
    </w:p>
    <w:p w:rsidR="003202E5" w:rsidRPr="00471B10" w:rsidP="003202E5" w14:paraId="7858CDAA" w14:textId="77777777">
      <w:pPr>
        <w:widowControl w:val="0"/>
        <w:numPr>
          <w:ilvl w:val="0"/>
          <w:numId w:val="29"/>
        </w:numPr>
        <w:autoSpaceDE w:val="0"/>
        <w:autoSpaceDN w:val="0"/>
        <w:spacing w:after="0" w:line="240" w:lineRule="auto"/>
      </w:pPr>
      <w:r w:rsidRPr="00471B10">
        <w:t xml:space="preserve">For each facility, records of the date and the estimated quantity of any spill or release of each controlled substance used as a process agent that equals or exceeds 100 </w:t>
      </w:r>
      <w:r w:rsidRPr="00471B10">
        <w:t>pounds;</w:t>
      </w:r>
      <w:r w:rsidRPr="00471B10">
        <w:t xml:space="preserve"> </w:t>
      </w:r>
    </w:p>
    <w:p w:rsidR="003202E5" w:rsidRPr="00471B10" w:rsidP="003202E5" w14:paraId="01D6F510" w14:textId="77777777">
      <w:pPr>
        <w:widowControl w:val="0"/>
        <w:numPr>
          <w:ilvl w:val="0"/>
          <w:numId w:val="29"/>
        </w:numPr>
        <w:autoSpaceDE w:val="0"/>
        <w:autoSpaceDN w:val="0"/>
        <w:spacing w:after="0" w:line="240" w:lineRule="auto"/>
      </w:pPr>
      <w:r w:rsidRPr="00471B10">
        <w:t xml:space="preserve">For each facility, a description of the methodology used to measure and calculate emissions, and dated records of equipment parameters, measured data, supporting calculations, and other rationale used to validate reported emission </w:t>
      </w:r>
      <w:r w:rsidRPr="00471B10">
        <w:t>quantities;</w:t>
      </w:r>
    </w:p>
    <w:p w:rsidR="003202E5" w:rsidRPr="00471B10" w:rsidP="003202E5" w14:paraId="2E84157F" w14:textId="77777777">
      <w:pPr>
        <w:widowControl w:val="0"/>
        <w:numPr>
          <w:ilvl w:val="0"/>
          <w:numId w:val="29"/>
        </w:numPr>
        <w:autoSpaceDE w:val="0"/>
        <w:autoSpaceDN w:val="0"/>
        <w:spacing w:after="0" w:line="240" w:lineRule="auto"/>
      </w:pPr>
      <w:r w:rsidRPr="00471B10">
        <w:t xml:space="preserve">For each facility, dated records of the quantity of each controlled substance used as a process agent which is subsequently transformed or </w:t>
      </w:r>
      <w:r w:rsidRPr="00471B10">
        <w:t>destroyed;</w:t>
      </w:r>
    </w:p>
    <w:p w:rsidR="003202E5" w:rsidRPr="00471B10" w:rsidP="003202E5" w14:paraId="1C3962D6" w14:textId="77777777">
      <w:pPr>
        <w:widowControl w:val="0"/>
        <w:numPr>
          <w:ilvl w:val="0"/>
          <w:numId w:val="29"/>
        </w:numPr>
        <w:autoSpaceDE w:val="0"/>
        <w:autoSpaceDN w:val="0"/>
        <w:spacing w:after="0" w:line="240" w:lineRule="auto"/>
      </w:pPr>
      <w:r w:rsidRPr="00471B10">
        <w:t>In the case where class I controlled substances used as a process agent were ultimately transformed by an entity other the entity which last used the class I controlled substances as a process agent, a copy of the Internal Revenue Service Certificate showing that the purchaser or recipient of the controlled substance, in the United States or in another country that is a Party, certifies the intent to transform the controlled substance, or sell the controlled substance for transformation;</w:t>
      </w:r>
    </w:p>
    <w:p w:rsidR="003202E5" w:rsidP="003202E5" w14:paraId="609170F9" w14:textId="77777777">
      <w:pPr>
        <w:widowControl w:val="0"/>
        <w:numPr>
          <w:ilvl w:val="0"/>
          <w:numId w:val="29"/>
        </w:numPr>
        <w:autoSpaceDE w:val="0"/>
        <w:autoSpaceDN w:val="0"/>
        <w:spacing w:after="0" w:line="240" w:lineRule="auto"/>
      </w:pPr>
      <w:r w:rsidRPr="00471B10">
        <w:t>In the case where class I controlled substances used as a process agent were ultimately destroyed by an entity other the entity which last used the class I controlled substances as a process agent, a copy of the destruction verification (as in § 82.13(k)), showing that the purchaser or recipient of a controlled substance, in the United States or in another country that is a Party, certifies the intent to destroy the controlled substance, or sell the controlled substance for destruction</w:t>
      </w:r>
      <w:r>
        <w:t>;</w:t>
      </w:r>
    </w:p>
    <w:p w:rsidR="003202E5" w:rsidP="003202E5" w14:paraId="46A7FA5E" w14:textId="77777777">
      <w:pPr>
        <w:widowControl w:val="0"/>
        <w:numPr>
          <w:ilvl w:val="0"/>
          <w:numId w:val="29"/>
        </w:numPr>
        <w:autoSpaceDE w:val="0"/>
        <w:autoSpaceDN w:val="0"/>
        <w:spacing w:after="0" w:line="240" w:lineRule="auto"/>
      </w:pPr>
      <w:r>
        <w:t xml:space="preserve">In the case where </w:t>
      </w:r>
      <w:r>
        <w:t>class II controlled</w:t>
      </w:r>
      <w:r>
        <w:t xml:space="preserve"> substances used as a process agent were ultimately transformed by an entity other the entity which last used the class II controlled substances as a process agent, a copy of the person's transformation verification as provided under </w:t>
      </w:r>
      <w:r w:rsidRPr="00471B10">
        <w:t>§</w:t>
      </w:r>
      <w:r>
        <w:t xml:space="preserve"> 82.24(e)(3); and </w:t>
      </w:r>
    </w:p>
    <w:p w:rsidR="003202E5" w:rsidP="003202E5" w14:paraId="353CAFEE" w14:textId="77777777">
      <w:pPr>
        <w:widowControl w:val="0"/>
        <w:numPr>
          <w:ilvl w:val="0"/>
          <w:numId w:val="29"/>
        </w:numPr>
        <w:autoSpaceDE w:val="0"/>
        <w:autoSpaceDN w:val="0"/>
        <w:spacing w:after="0" w:line="240" w:lineRule="auto"/>
      </w:pPr>
      <w:r>
        <w:t xml:space="preserve">In the case where </w:t>
      </w:r>
      <w:r>
        <w:t>class II controlled</w:t>
      </w:r>
      <w:r>
        <w:t xml:space="preserve"> substances used as a process agent were ultimately destroyed by an entity other the entity which last used the class II controlled substances as a process agent, a copy of the person's destruction verification, as provided under </w:t>
      </w:r>
      <w:r w:rsidRPr="00471B10">
        <w:t>§</w:t>
      </w:r>
      <w:r>
        <w:t xml:space="preserve"> 82.24 (e)(5).</w:t>
      </w:r>
    </w:p>
    <w:p w:rsidR="003202E5" w:rsidP="003202E5" w14:paraId="743617BF" w14:textId="77777777">
      <w:pPr>
        <w:widowControl w:val="0"/>
        <w:numPr>
          <w:ilvl w:val="0"/>
          <w:numId w:val="29"/>
        </w:numPr>
        <w:autoSpaceDE w:val="0"/>
        <w:autoSpaceDN w:val="0"/>
        <w:spacing w:after="0" w:line="240" w:lineRule="auto"/>
      </w:pPr>
      <w:r>
        <w:t xml:space="preserve">Identification of all processes subject to § 82.25, including the unit identification as appropriate, the process identification reported for the process under § 82.25(e)(1)(ii)(A) through (B), and the product with which the process is associated. </w:t>
      </w:r>
    </w:p>
    <w:p w:rsidR="003202E5" w:rsidP="003202E5" w14:paraId="5A39F5DE" w14:textId="77777777">
      <w:pPr>
        <w:widowControl w:val="0"/>
        <w:numPr>
          <w:ilvl w:val="0"/>
          <w:numId w:val="29"/>
        </w:numPr>
        <w:autoSpaceDE w:val="0"/>
        <w:autoSpaceDN w:val="0"/>
        <w:spacing w:after="0" w:line="240" w:lineRule="auto"/>
      </w:pPr>
      <w:r>
        <w:t xml:space="preserve">Monthly and annual records, as applicable, of all analyses and calculations conducted as required under § 82.25(c), including the data monitored under § 82.25(d), and all information reported as required under § 82.25(e). </w:t>
      </w:r>
    </w:p>
    <w:p w:rsidR="003202E5" w:rsidP="003202E5" w14:paraId="7C9A2CAC" w14:textId="77777777">
      <w:pPr>
        <w:widowControl w:val="0"/>
        <w:numPr>
          <w:ilvl w:val="0"/>
          <w:numId w:val="29"/>
        </w:numPr>
        <w:autoSpaceDE w:val="0"/>
        <w:autoSpaceDN w:val="0"/>
        <w:spacing w:after="0" w:line="240" w:lineRule="auto"/>
      </w:pPr>
      <w:r>
        <w:t xml:space="preserve">Documentation of the information collected under § 82.25(d)(1). </w:t>
      </w:r>
    </w:p>
    <w:p w:rsidR="003202E5" w:rsidP="003202E5" w14:paraId="41B0B952" w14:textId="77777777">
      <w:pPr>
        <w:widowControl w:val="0"/>
        <w:numPr>
          <w:ilvl w:val="1"/>
          <w:numId w:val="29"/>
        </w:numPr>
        <w:autoSpaceDE w:val="0"/>
        <w:autoSpaceDN w:val="0"/>
        <w:spacing w:after="0" w:line="240" w:lineRule="auto"/>
      </w:pPr>
      <w:r>
        <w:t>Identification of all continuous process vents with emissions of controlled substances that are included in the top 25 percent of continuous process vents, and all continuous process vents in the remaining group (i.e., 75 percent of continuous process vents with lower emissions of controlled substances). Include the data and calculation used to develop the preliminary estimate of emissions for each process vent.</w:t>
      </w:r>
    </w:p>
    <w:p w:rsidR="003202E5" w:rsidP="003202E5" w14:paraId="33C25BED" w14:textId="77777777">
      <w:pPr>
        <w:widowControl w:val="0"/>
        <w:numPr>
          <w:ilvl w:val="1"/>
          <w:numId w:val="29"/>
        </w:numPr>
        <w:autoSpaceDE w:val="0"/>
        <w:autoSpaceDN w:val="0"/>
        <w:spacing w:after="0" w:line="240" w:lineRule="auto"/>
      </w:pPr>
      <w:r>
        <w:t xml:space="preserve">Identification of all batch process vents. </w:t>
      </w:r>
    </w:p>
    <w:p w:rsidR="003202E5" w:rsidP="003202E5" w14:paraId="424D6478" w14:textId="77777777">
      <w:pPr>
        <w:widowControl w:val="0"/>
        <w:numPr>
          <w:ilvl w:val="1"/>
          <w:numId w:val="29"/>
        </w:numPr>
        <w:autoSpaceDE w:val="0"/>
        <w:autoSpaceDN w:val="0"/>
        <w:spacing w:after="0" w:line="240" w:lineRule="auto"/>
      </w:pPr>
      <w:r>
        <w:t xml:space="preserve">For each vent, identification of the method used to develop the factor (i.e., emission factor by emissions test or emission calculation factor). </w:t>
      </w:r>
    </w:p>
    <w:p w:rsidR="003202E5" w:rsidP="003202E5" w14:paraId="2E143379" w14:textId="77777777">
      <w:pPr>
        <w:widowControl w:val="0"/>
        <w:numPr>
          <w:ilvl w:val="1"/>
          <w:numId w:val="29"/>
        </w:numPr>
        <w:autoSpaceDE w:val="0"/>
        <w:autoSpaceDN w:val="0"/>
        <w:spacing w:after="0" w:line="240" w:lineRule="auto"/>
      </w:pPr>
      <w:r>
        <w:t>The emissions test data and reports (see § 82.25(d)(2)(v)) and the calculations used to determine the process-vent-specific emission factor, including the actual process-vent-</w:t>
      </w:r>
      <w:r>
        <w:t xml:space="preserve">specific emission factor, the average hourly emission rate of each controlled substance from the process vent during the test and the process feed rate, process production rate, or other process activity rate during the test. </w:t>
      </w:r>
    </w:p>
    <w:p w:rsidR="003202E5" w:rsidP="003202E5" w14:paraId="580787AA" w14:textId="77777777">
      <w:pPr>
        <w:widowControl w:val="0"/>
        <w:numPr>
          <w:ilvl w:val="1"/>
          <w:numId w:val="29"/>
        </w:numPr>
        <w:autoSpaceDE w:val="0"/>
        <w:autoSpaceDN w:val="0"/>
        <w:spacing w:after="0" w:line="240" w:lineRule="auto"/>
      </w:pPr>
      <w:r>
        <w:t xml:space="preserve">The process-vent-specific emission calculation factor and the calculations used to determine the process-vent-specific emission calculation factor. </w:t>
      </w:r>
    </w:p>
    <w:p w:rsidR="003202E5" w:rsidP="003202E5" w14:paraId="33EC7560" w14:textId="77777777">
      <w:pPr>
        <w:widowControl w:val="0"/>
        <w:numPr>
          <w:ilvl w:val="1"/>
          <w:numId w:val="29"/>
        </w:numPr>
        <w:autoSpaceDE w:val="0"/>
        <w:autoSpaceDN w:val="0"/>
        <w:spacing w:after="0" w:line="240" w:lineRule="auto"/>
      </w:pPr>
      <w:r>
        <w:t xml:space="preserve">The annual process production quantity or other process activity information in the appropriate units, along with the dates and </w:t>
      </w:r>
      <w:r>
        <w:t>time period</w:t>
      </w:r>
      <w:r>
        <w:t xml:space="preserve"> during which the process was operating and dates and time periods the process vents are vented to the destruction unit. As an alternative to date and time periods when process vents are vented to the destruction unit, a facility may track dates and time periods that process vents by-pass the destruction unit. </w:t>
      </w:r>
    </w:p>
    <w:p w:rsidR="003202E5" w:rsidP="003202E5" w14:paraId="115FBDF1" w14:textId="77777777">
      <w:pPr>
        <w:widowControl w:val="0"/>
        <w:numPr>
          <w:ilvl w:val="1"/>
          <w:numId w:val="29"/>
        </w:numPr>
        <w:autoSpaceDE w:val="0"/>
        <w:autoSpaceDN w:val="0"/>
        <w:spacing w:after="0" w:line="240" w:lineRule="auto"/>
      </w:pPr>
      <w:r>
        <w:t>Calculations used to determine annual emissions of each controlled substance for each process and the total controlled substance emissions for all processes, i.e., total for facility.</w:t>
      </w:r>
    </w:p>
    <w:p w:rsidR="003202E5" w:rsidP="003202E5" w14:paraId="210686C4" w14:textId="77777777">
      <w:pPr>
        <w:widowControl w:val="0"/>
        <w:numPr>
          <w:ilvl w:val="0"/>
          <w:numId w:val="29"/>
        </w:numPr>
        <w:autoSpaceDE w:val="0"/>
        <w:autoSpaceDN w:val="0"/>
        <w:spacing w:after="0" w:line="240" w:lineRule="auto"/>
      </w:pPr>
      <w:r>
        <w:t xml:space="preserve">For each facility that destroys controlled substances and reflects this destruction in § 82.25(c), the emissions performance testing reports (including revised reports) for each destruction unit. The emissions performance testing report must contain all information and data used to derive the destruction efficiency for each controlled substance whose destruction the facility reflects in § 82.25(c), as well as the key process and device conditions during the test. This information includes the following: </w:t>
      </w:r>
    </w:p>
    <w:p w:rsidR="003202E5" w:rsidP="003202E5" w14:paraId="126CDA3C" w14:textId="77777777">
      <w:pPr>
        <w:widowControl w:val="0"/>
        <w:numPr>
          <w:ilvl w:val="1"/>
          <w:numId w:val="29"/>
        </w:numPr>
        <w:autoSpaceDE w:val="0"/>
        <w:autoSpaceDN w:val="0"/>
        <w:spacing w:after="0" w:line="240" w:lineRule="auto"/>
      </w:pPr>
      <w:r>
        <w:t>Destruction efficiency (DE) determined for each controlled substance whose destruction the facility reflects in § 82.25(c), in accordance with § 82.25(d)(6)(</w:t>
      </w:r>
      <w:r>
        <w:t>i</w:t>
      </w:r>
      <w:r>
        <w:t xml:space="preserve">)(A). </w:t>
      </w:r>
    </w:p>
    <w:p w:rsidR="003202E5" w:rsidP="003202E5" w14:paraId="74FCD8C8" w14:textId="77777777">
      <w:pPr>
        <w:widowControl w:val="0"/>
        <w:numPr>
          <w:ilvl w:val="1"/>
          <w:numId w:val="29"/>
        </w:numPr>
        <w:autoSpaceDE w:val="0"/>
        <w:autoSpaceDN w:val="0"/>
        <w:spacing w:after="0" w:line="240" w:lineRule="auto"/>
      </w:pPr>
      <w:r>
        <w:t>Chemical identity of the controlled substance(s) used in the performance test conducted to determine destruction efficiency, including surrogates, and information on why the surrogate is sufficient to demonstrate destruction efficiency for each controlled substance, consistent with requirements in § 82.25(d)(6)(</w:t>
      </w:r>
      <w:r>
        <w:t>i</w:t>
      </w:r>
      <w:r>
        <w:t xml:space="preserve">)(A), vented to the destruction unit. </w:t>
      </w:r>
    </w:p>
    <w:p w:rsidR="003202E5" w:rsidP="003202E5" w14:paraId="23155836" w14:textId="77777777">
      <w:pPr>
        <w:widowControl w:val="0"/>
        <w:numPr>
          <w:ilvl w:val="1"/>
          <w:numId w:val="29"/>
        </w:numPr>
        <w:autoSpaceDE w:val="0"/>
        <w:autoSpaceDN w:val="0"/>
        <w:spacing w:after="0" w:line="240" w:lineRule="auto"/>
      </w:pPr>
      <w:r>
        <w:t xml:space="preserve">Mass flow rate of the stream containing the controlled substance or surrogate into the device during the test. </w:t>
      </w:r>
    </w:p>
    <w:p w:rsidR="003202E5" w:rsidP="003202E5" w14:paraId="04E5C44C" w14:textId="77777777">
      <w:pPr>
        <w:widowControl w:val="0"/>
        <w:numPr>
          <w:ilvl w:val="1"/>
          <w:numId w:val="29"/>
        </w:numPr>
        <w:autoSpaceDE w:val="0"/>
        <w:autoSpaceDN w:val="0"/>
        <w:spacing w:after="0" w:line="240" w:lineRule="auto"/>
      </w:pPr>
      <w:r>
        <w:t xml:space="preserve">Concentration (mass fraction) of each controlled substance or surrogate in the stream flowing into the device during the test. </w:t>
      </w:r>
    </w:p>
    <w:p w:rsidR="003202E5" w:rsidP="003202E5" w14:paraId="7DA83F51" w14:textId="77777777">
      <w:pPr>
        <w:widowControl w:val="0"/>
        <w:numPr>
          <w:ilvl w:val="1"/>
          <w:numId w:val="29"/>
        </w:numPr>
        <w:autoSpaceDE w:val="0"/>
        <w:autoSpaceDN w:val="0"/>
        <w:spacing w:after="0" w:line="240" w:lineRule="auto"/>
      </w:pPr>
      <w:r>
        <w:t xml:space="preserve">Concentration (mass fraction) of each controlled substance or surrogate at the outlet of the destruction unit during the test. </w:t>
      </w:r>
    </w:p>
    <w:p w:rsidR="003202E5" w:rsidP="003202E5" w14:paraId="3A9210F8" w14:textId="77777777">
      <w:pPr>
        <w:widowControl w:val="0"/>
        <w:numPr>
          <w:ilvl w:val="1"/>
          <w:numId w:val="29"/>
        </w:numPr>
        <w:autoSpaceDE w:val="0"/>
        <w:autoSpaceDN w:val="0"/>
        <w:spacing w:after="0" w:line="240" w:lineRule="auto"/>
      </w:pPr>
      <w:r>
        <w:t xml:space="preserve">Mass flow rate at the outlet of the destruction unit during the test. </w:t>
      </w:r>
    </w:p>
    <w:p w:rsidR="003202E5" w:rsidP="003202E5" w14:paraId="10A1CE64" w14:textId="77777777">
      <w:pPr>
        <w:widowControl w:val="0"/>
        <w:numPr>
          <w:ilvl w:val="1"/>
          <w:numId w:val="29"/>
        </w:numPr>
        <w:autoSpaceDE w:val="0"/>
        <w:autoSpaceDN w:val="0"/>
        <w:spacing w:after="0" w:line="240" w:lineRule="auto"/>
      </w:pPr>
      <w:r>
        <w:t xml:space="preserve">Test methods and analytical methods used to determine the mass flow rates and controlled substance (or surrogate) concentrations of the streams flowing into and out of the destruction unit during the test. </w:t>
      </w:r>
    </w:p>
    <w:p w:rsidR="003202E5" w:rsidP="003202E5" w14:paraId="2A779311" w14:textId="77777777">
      <w:pPr>
        <w:widowControl w:val="0"/>
        <w:numPr>
          <w:ilvl w:val="1"/>
          <w:numId w:val="29"/>
        </w:numPr>
        <w:autoSpaceDE w:val="0"/>
        <w:autoSpaceDN w:val="0"/>
        <w:spacing w:after="0" w:line="240" w:lineRule="auto"/>
      </w:pPr>
      <w:r>
        <w:t xml:space="preserve">Destruction unit conditions that are normally monitored for device control, such as temperature, total mass flow rates into the device, and CO or O2 levels. </w:t>
      </w:r>
    </w:p>
    <w:p w:rsidR="003202E5" w:rsidP="003202E5" w14:paraId="4851CA9E" w14:textId="77777777">
      <w:pPr>
        <w:widowControl w:val="0"/>
        <w:numPr>
          <w:ilvl w:val="1"/>
          <w:numId w:val="29"/>
        </w:numPr>
        <w:autoSpaceDE w:val="0"/>
        <w:autoSpaceDN w:val="0"/>
        <w:spacing w:after="0" w:line="240" w:lineRule="auto"/>
      </w:pPr>
      <w:r>
        <w:t xml:space="preserve">Name of all applicable Federal or State regulations that may apply to the destruction process. </w:t>
      </w:r>
    </w:p>
    <w:p w:rsidR="003202E5" w:rsidP="003202E5" w14:paraId="04D6E844" w14:textId="77777777">
      <w:pPr>
        <w:widowControl w:val="0"/>
        <w:numPr>
          <w:ilvl w:val="0"/>
          <w:numId w:val="29"/>
        </w:numPr>
        <w:autoSpaceDE w:val="0"/>
        <w:autoSpaceDN w:val="0"/>
        <w:spacing w:after="0" w:line="240" w:lineRule="auto"/>
      </w:pPr>
      <w:r>
        <w:t xml:space="preserve">For equipment subject to § 82.25(c)(2), information on the number of each type of equipment, the service of each piece of equipment (gas, light liquid, heavy liquid); the concentration of each controlled substance in the stream; each piece of equipment excluded from monitoring requirement; the time period each piece of equipment was in service, and the emission calculations for each controlled substance for all processes. Depending on the equipment leak </w:t>
      </w:r>
      <w:r>
        <w:t xml:space="preserve">monitoring approach followed, each entity must maintain information for equipment on the associated screening data concentrations for greater than or equal to 10,000 </w:t>
      </w:r>
      <w:r>
        <w:t>ppmv</w:t>
      </w:r>
      <w:r>
        <w:t xml:space="preserve"> and associated screening data concentrations for less than 10,000 </w:t>
      </w:r>
      <w:r>
        <w:t>ppmv</w:t>
      </w:r>
      <w:r>
        <w:t>; associated actual screening data concentrations; and associated screening data and leak rate data (i.e., bagging) used to develop a unit-specific correlation. If a site-specific leak detection approach was developed and followed, provide the records for monitoring events and the emissions estimation calculations, as appropriate, consistent with the approach for equipment leak emission estimation in the monitoring plan.</w:t>
      </w:r>
    </w:p>
    <w:p w:rsidR="003202E5" w:rsidP="003202E5" w14:paraId="43993C83" w14:textId="77777777">
      <w:pPr>
        <w:widowControl w:val="0"/>
        <w:numPr>
          <w:ilvl w:val="0"/>
          <w:numId w:val="29"/>
        </w:numPr>
        <w:autoSpaceDE w:val="0"/>
        <w:autoSpaceDN w:val="0"/>
        <w:spacing w:after="0" w:line="240" w:lineRule="auto"/>
      </w:pPr>
      <w:r>
        <w:t xml:space="preserve">Dated records documenting the initial and periodic calibration of all analytical equipment used to determine the concentration of controlled substances, including but not limited to gas chromatographs, gas chromatography-mass spectrometry (GC/MS), gas chromatograph-electron capture detector (GC/ECD), fourier transform infrared (FTIR), and nuclear magnetic resonance (NMR) devices, and all mass measurement equipment such as weigh scales, flowmeters, and volumetric and density measures used to measure the quantities reported under </w:t>
      </w:r>
      <w:r w:rsidRPr="0060453F">
        <w:t>§</w:t>
      </w:r>
      <w:r>
        <w:t xml:space="preserve"> 82.25, including the industry standards or manufacturer directions used for calibration pursuant to § 82.25(d)(4), (5), (11), and (12). </w:t>
      </w:r>
    </w:p>
    <w:p w:rsidR="003202E5" w:rsidP="003202E5" w14:paraId="68B35630" w14:textId="77777777">
      <w:pPr>
        <w:widowControl w:val="0"/>
        <w:numPr>
          <w:ilvl w:val="0"/>
          <w:numId w:val="29"/>
        </w:numPr>
        <w:autoSpaceDE w:val="0"/>
        <w:autoSpaceDN w:val="0"/>
        <w:spacing w:after="0" w:line="240" w:lineRule="auto"/>
      </w:pPr>
      <w:r>
        <w:t xml:space="preserve">A written monitoring plan must be completed by April 1, 2025, or within 120 days of the date that an entity first meets the criteria in </w:t>
      </w:r>
      <w:r w:rsidRPr="0060453F">
        <w:t>§</w:t>
      </w:r>
      <w:r>
        <w:t xml:space="preserve"> 82.25(a).</w:t>
      </w:r>
    </w:p>
    <w:p w:rsidR="003202E5" w:rsidP="003202E5" w14:paraId="42FE5F28" w14:textId="77777777">
      <w:pPr>
        <w:widowControl w:val="0"/>
        <w:numPr>
          <w:ilvl w:val="1"/>
          <w:numId w:val="29"/>
        </w:numPr>
        <w:autoSpaceDE w:val="0"/>
        <w:autoSpaceDN w:val="0"/>
        <w:spacing w:after="0" w:line="240" w:lineRule="auto"/>
      </w:pPr>
      <w:r>
        <w:t>At a minimum, the GHG Monitoring Plan shall include the elements listed in § 82.25(f)(6)(</w:t>
      </w:r>
      <w:r>
        <w:t>i</w:t>
      </w:r>
      <w:r>
        <w:t xml:space="preserve">). </w:t>
      </w:r>
    </w:p>
    <w:p w:rsidR="003202E5" w:rsidP="003202E5" w14:paraId="339554B4" w14:textId="77777777">
      <w:pPr>
        <w:widowControl w:val="0"/>
        <w:numPr>
          <w:ilvl w:val="2"/>
          <w:numId w:val="29"/>
        </w:numPr>
        <w:autoSpaceDE w:val="0"/>
        <w:autoSpaceDN w:val="0"/>
        <w:spacing w:after="0" w:line="240" w:lineRule="auto"/>
      </w:pPr>
      <w:r>
        <w:t xml:space="preserve">Identification of positions of responsibility (i.e., job titles) for collection of the emissions data. </w:t>
      </w:r>
    </w:p>
    <w:p w:rsidR="003202E5" w:rsidP="003202E5" w14:paraId="02DF48B3" w14:textId="77777777">
      <w:pPr>
        <w:widowControl w:val="0"/>
        <w:numPr>
          <w:ilvl w:val="2"/>
          <w:numId w:val="29"/>
        </w:numPr>
        <w:autoSpaceDE w:val="0"/>
        <w:autoSpaceDN w:val="0"/>
        <w:spacing w:after="0" w:line="240" w:lineRule="auto"/>
      </w:pPr>
      <w:r>
        <w:t xml:space="preserve">Explanation of the processes and methods used to collect the necessary data for calculations under </w:t>
      </w:r>
      <w:r w:rsidRPr="0060453F">
        <w:t>§</w:t>
      </w:r>
      <w:r>
        <w:t xml:space="preserve"> 82.25. </w:t>
      </w:r>
    </w:p>
    <w:p w:rsidR="003202E5" w:rsidP="003202E5" w14:paraId="4AF49D32" w14:textId="77777777">
      <w:pPr>
        <w:widowControl w:val="0"/>
        <w:numPr>
          <w:ilvl w:val="2"/>
          <w:numId w:val="29"/>
        </w:numPr>
        <w:autoSpaceDE w:val="0"/>
        <w:autoSpaceDN w:val="0"/>
        <w:spacing w:after="0" w:line="240" w:lineRule="auto"/>
      </w:pPr>
      <w:r>
        <w:t xml:space="preserve">Description of the procedures and methods that are used for quality assurance, maintenance, and repair of all continuous monitoring systems, flow meters, and other instrumentation used to provide data for the GHGs reported under this part. </w:t>
      </w:r>
    </w:p>
    <w:p w:rsidR="003202E5" w:rsidP="003202E5" w14:paraId="253F5A6A" w14:textId="77777777">
      <w:pPr>
        <w:widowControl w:val="0"/>
        <w:numPr>
          <w:ilvl w:val="1"/>
          <w:numId w:val="29"/>
        </w:numPr>
        <w:autoSpaceDE w:val="0"/>
        <w:autoSpaceDN w:val="0"/>
        <w:spacing w:after="0" w:line="240" w:lineRule="auto"/>
      </w:pPr>
      <w:r>
        <w:t>The monitoring plan may rely on references to existing corporate documents (e.g., standard operating procedures, quality assurance programs under appendix F to 40 CFR part 60 or appendix B to 40 CFR part 75, and other documents) provided that the elements required by § 82.25(f)(6)(</w:t>
      </w:r>
      <w:r>
        <w:t>i</w:t>
      </w:r>
      <w:r>
        <w:t xml:space="preserve">) are easily recognizable. </w:t>
      </w:r>
    </w:p>
    <w:p w:rsidR="003202E5" w:rsidRPr="00471B10" w:rsidP="003202E5" w14:paraId="0A7C576C" w14:textId="77777777">
      <w:pPr>
        <w:widowControl w:val="0"/>
        <w:numPr>
          <w:ilvl w:val="1"/>
          <w:numId w:val="29"/>
        </w:numPr>
        <w:autoSpaceDE w:val="0"/>
        <w:autoSpaceDN w:val="0"/>
        <w:spacing w:after="0" w:line="240" w:lineRule="auto"/>
      </w:pPr>
      <w:r>
        <w:t>The owner or operator shall revise the monitoring as needed to reflect changes in production processes, monitoring instrumentation, and quality assurance procedures; or to improve procedures for the maintenance and repair of monitoring systems to reduce the frequency of monitoring equipment downtime.</w:t>
      </w:r>
    </w:p>
    <w:p w:rsidR="003202E5" w:rsidP="003202E5" w14:paraId="5AC4EAF9" w14:textId="77777777">
      <w:pPr>
        <w:pStyle w:val="ListParagraph"/>
        <w:spacing w:after="120" w:line="240" w:lineRule="auto"/>
        <w:rPr>
          <w:rFonts w:cstheme="minorHAnsi"/>
          <w:color w:val="000000"/>
        </w:rPr>
      </w:pPr>
    </w:p>
    <w:p w:rsidR="004B4DD2" w:rsidRPr="004B4DD2" w:rsidP="00C52F62" w14:paraId="2ED1F8F5" w14:textId="77777777">
      <w:pPr>
        <w:spacing w:after="120" w:line="240" w:lineRule="auto"/>
        <w:ind w:firstLine="720"/>
        <w:rPr>
          <w:rFonts w:cstheme="minorHAnsi"/>
          <w:color w:val="000000"/>
          <w:u w:val="single"/>
        </w:rPr>
      </w:pPr>
      <w:r w:rsidRPr="004B4DD2">
        <w:rPr>
          <w:rFonts w:cstheme="minorHAnsi"/>
          <w:color w:val="000000"/>
          <w:u w:val="single"/>
        </w:rPr>
        <w:t>Collection Schedule</w:t>
      </w:r>
    </w:p>
    <w:p w:rsidR="003202E5" w:rsidP="004B4DD2" w14:paraId="06B3E727" w14:textId="55AAB73A">
      <w:pPr>
        <w:pStyle w:val="ListParagraph"/>
        <w:numPr>
          <w:ilvl w:val="0"/>
          <w:numId w:val="31"/>
        </w:numPr>
        <w:spacing w:after="120" w:line="240" w:lineRule="auto"/>
      </w:pPr>
      <w:r>
        <w:t xml:space="preserve">Entities that use a controlled substance as a process agent must submit a one-time </w:t>
      </w:r>
      <w:r>
        <w:t>report;</w:t>
      </w:r>
    </w:p>
    <w:p w:rsidR="003202E5" w:rsidP="003202E5" w14:paraId="3EB77838" w14:textId="77777777">
      <w:pPr>
        <w:pStyle w:val="ListParagraph"/>
        <w:numPr>
          <w:ilvl w:val="0"/>
          <w:numId w:val="30"/>
        </w:numPr>
        <w:spacing w:after="120" w:line="240" w:lineRule="auto"/>
      </w:pPr>
      <w:r>
        <w:t>Entities that use a controlled substance as a process agent must report to EPA annually (45 days after the end of each year</w:t>
      </w:r>
      <w:r>
        <w:t>);</w:t>
      </w:r>
    </w:p>
    <w:p w:rsidR="003202E5" w:rsidP="003202E5" w14:paraId="1F8BC6E6" w14:textId="77777777">
      <w:pPr>
        <w:pStyle w:val="ListParagraph"/>
        <w:numPr>
          <w:ilvl w:val="0"/>
          <w:numId w:val="30"/>
        </w:numPr>
        <w:spacing w:after="120" w:line="240" w:lineRule="auto"/>
      </w:pPr>
      <w:r>
        <w:t xml:space="preserve">Entities that use a controlled substance as a process agent and that have a significant process change must report to EPA as needed (at least 180 days prior to implementing the change). </w:t>
      </w:r>
    </w:p>
    <w:p w:rsidR="00BB3410" w:rsidRPr="00BB3410" w:rsidP="00854AAE" w14:paraId="42074A5E" w14:textId="505A3521">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0" w:name="_Toc156593385"/>
      <w:bookmarkEnd w:id="18"/>
    </w:p>
    <w:p w:rsidR="003202E5" w:rsidRPr="00471B10" w:rsidP="003202E5" w14:paraId="688FE2CD" w14:textId="77777777">
      <w:pPr>
        <w:widowControl w:val="0"/>
        <w:autoSpaceDE w:val="0"/>
        <w:autoSpaceDN w:val="0"/>
        <w:spacing w:after="0"/>
        <w:ind w:left="120"/>
      </w:pPr>
      <w:r w:rsidRPr="00471B10">
        <w:t>A</w:t>
      </w:r>
      <w:r w:rsidRPr="00471B10">
        <w:rPr>
          <w:spacing w:val="-1"/>
        </w:rPr>
        <w:t xml:space="preserve"> </w:t>
      </w:r>
      <w:r w:rsidRPr="00471B10">
        <w:t>summary</w:t>
      </w:r>
      <w:r w:rsidRPr="00471B10">
        <w:rPr>
          <w:spacing w:val="-1"/>
        </w:rPr>
        <w:t xml:space="preserve"> </w:t>
      </w:r>
      <w:r w:rsidRPr="00471B10">
        <w:t>of</w:t>
      </w:r>
      <w:r w:rsidRPr="00471B10">
        <w:rPr>
          <w:spacing w:val="-2"/>
        </w:rPr>
        <w:t xml:space="preserve"> </w:t>
      </w:r>
      <w:r w:rsidRPr="00471B10">
        <w:t>respondent</w:t>
      </w:r>
      <w:r w:rsidRPr="00471B10">
        <w:rPr>
          <w:spacing w:val="-1"/>
        </w:rPr>
        <w:t xml:space="preserve"> </w:t>
      </w:r>
      <w:r w:rsidRPr="00471B10">
        <w:t>activities is</w:t>
      </w:r>
      <w:r w:rsidRPr="00471B10">
        <w:rPr>
          <w:spacing w:val="-1"/>
        </w:rPr>
        <w:t xml:space="preserve"> </w:t>
      </w:r>
      <w:r w:rsidRPr="00471B10">
        <w:t>provided</w:t>
      </w:r>
      <w:r w:rsidRPr="00471B10">
        <w:rPr>
          <w:spacing w:val="-1"/>
        </w:rPr>
        <w:t xml:space="preserve"> </w:t>
      </w:r>
      <w:r w:rsidRPr="00471B10">
        <w:t>in</w:t>
      </w:r>
      <w:r w:rsidRPr="00471B10">
        <w:rPr>
          <w:spacing w:val="2"/>
        </w:rPr>
        <w:t xml:space="preserve"> </w:t>
      </w:r>
      <w:hyperlink w:anchor="_bookmark1" w:history="1">
        <w:r w:rsidRPr="00471B10">
          <w:t>Table</w:t>
        </w:r>
        <w:r w:rsidRPr="00471B10">
          <w:rPr>
            <w:spacing w:val="1"/>
          </w:rPr>
          <w:t xml:space="preserve"> </w:t>
        </w:r>
        <w:r w:rsidRPr="00471B10">
          <w:t>II</w:t>
        </w:r>
      </w:hyperlink>
      <w:r w:rsidRPr="00471B10">
        <w:rPr>
          <w:spacing w:val="-4"/>
        </w:rPr>
        <w:t xml:space="preserve"> </w:t>
      </w:r>
      <w:r w:rsidRPr="00471B10">
        <w:rPr>
          <w:spacing w:val="-2"/>
        </w:rPr>
        <w:t>below.</w:t>
      </w:r>
    </w:p>
    <w:p w:rsidR="003202E5" w:rsidRPr="00471B10" w:rsidP="003202E5" w14:paraId="72FCB00E" w14:textId="77777777">
      <w:pPr>
        <w:widowControl w:val="0"/>
        <w:autoSpaceDE w:val="0"/>
        <w:autoSpaceDN w:val="0"/>
        <w:spacing w:before="122" w:after="0"/>
        <w:ind w:left="120"/>
        <w:rPr>
          <w:b/>
        </w:rPr>
      </w:pPr>
      <w:bookmarkStart w:id="21" w:name="_bookmark1"/>
      <w:bookmarkEnd w:id="21"/>
      <w:r w:rsidRPr="00471B10">
        <w:rPr>
          <w:b/>
        </w:rPr>
        <w:t>Table</w:t>
      </w:r>
      <w:r w:rsidRPr="00471B10">
        <w:rPr>
          <w:b/>
          <w:spacing w:val="-5"/>
        </w:rPr>
        <w:t xml:space="preserve"> </w:t>
      </w:r>
      <w:r w:rsidRPr="00471B10">
        <w:rPr>
          <w:b/>
        </w:rPr>
        <w:t>II.</w:t>
      </w:r>
      <w:r w:rsidRPr="00471B10">
        <w:rPr>
          <w:b/>
          <w:spacing w:val="-3"/>
        </w:rPr>
        <w:t xml:space="preserve"> </w:t>
      </w:r>
      <w:r w:rsidRPr="00471B10">
        <w:rPr>
          <w:b/>
        </w:rPr>
        <w:t>Respondent</w:t>
      </w:r>
      <w:r w:rsidRPr="00471B10">
        <w:rPr>
          <w:b/>
          <w:spacing w:val="-2"/>
        </w:rPr>
        <w:t xml:space="preserve"> Activities</w:t>
      </w:r>
    </w:p>
    <w:p w:rsidR="003202E5" w:rsidRPr="00471B10" w:rsidP="003202E5" w14:paraId="62FB0444" w14:textId="77777777">
      <w:pPr>
        <w:widowControl w:val="0"/>
        <w:autoSpaceDE w:val="0"/>
        <w:autoSpaceDN w:val="0"/>
        <w:spacing w:before="3" w:after="0"/>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76"/>
        <w:gridCol w:w="2744"/>
      </w:tblGrid>
      <w:tr w14:paraId="275B3C76" w14:textId="77777777" w:rsidTr="007B260E">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476" w:type="dxa"/>
            <w:shd w:val="clear" w:color="auto" w:fill="D9D9D9"/>
          </w:tcPr>
          <w:p w:rsidR="003202E5" w:rsidRPr="00471B10" w:rsidP="007B260E" w14:paraId="52DF9638" w14:textId="77777777">
            <w:pPr>
              <w:widowControl w:val="0"/>
              <w:autoSpaceDE w:val="0"/>
              <w:autoSpaceDN w:val="0"/>
              <w:spacing w:after="0" w:line="256" w:lineRule="exact"/>
              <w:ind w:left="2816" w:right="2811"/>
              <w:rPr>
                <w:b/>
              </w:rPr>
            </w:pPr>
            <w:r w:rsidRPr="00471B10">
              <w:rPr>
                <w:b/>
                <w:spacing w:val="-2"/>
              </w:rPr>
              <w:t>Activity</w:t>
            </w:r>
          </w:p>
        </w:tc>
        <w:tc>
          <w:tcPr>
            <w:tcW w:w="2744" w:type="dxa"/>
            <w:shd w:val="clear" w:color="auto" w:fill="D9D9D9"/>
          </w:tcPr>
          <w:p w:rsidR="003202E5" w:rsidRPr="00471B10" w:rsidP="007B260E" w14:paraId="6692C34D" w14:textId="77777777">
            <w:pPr>
              <w:widowControl w:val="0"/>
              <w:autoSpaceDE w:val="0"/>
              <w:autoSpaceDN w:val="0"/>
              <w:spacing w:after="0" w:line="256" w:lineRule="exact"/>
              <w:ind w:left="261" w:right="259"/>
              <w:rPr>
                <w:b/>
              </w:rPr>
            </w:pPr>
            <w:r w:rsidRPr="00471B10">
              <w:rPr>
                <w:b/>
              </w:rPr>
              <w:t>Reporting</w:t>
            </w:r>
            <w:r w:rsidRPr="00471B10">
              <w:rPr>
                <w:b/>
                <w:spacing w:val="-3"/>
              </w:rPr>
              <w:t xml:space="preserve"> </w:t>
            </w:r>
            <w:r w:rsidRPr="00471B10">
              <w:rPr>
                <w:b/>
                <w:spacing w:val="-2"/>
              </w:rPr>
              <w:t>Frequency</w:t>
            </w:r>
          </w:p>
        </w:tc>
      </w:tr>
      <w:tr w14:paraId="62E6C632" w14:textId="77777777" w:rsidTr="007B260E">
        <w:tblPrEx>
          <w:tblW w:w="0" w:type="auto"/>
          <w:tblInd w:w="130" w:type="dxa"/>
          <w:tblLayout w:type="fixed"/>
          <w:tblCellMar>
            <w:left w:w="0" w:type="dxa"/>
            <w:right w:w="0" w:type="dxa"/>
          </w:tblCellMar>
          <w:tblLook w:val="01E0"/>
        </w:tblPrEx>
        <w:trPr>
          <w:trHeight w:val="275"/>
        </w:trPr>
        <w:tc>
          <w:tcPr>
            <w:tcW w:w="6476" w:type="dxa"/>
          </w:tcPr>
          <w:p w:rsidR="003202E5" w:rsidRPr="00471B10" w:rsidP="007B260E" w14:paraId="722B4C63" w14:textId="77777777">
            <w:pPr>
              <w:widowControl w:val="0"/>
              <w:autoSpaceDE w:val="0"/>
              <w:autoSpaceDN w:val="0"/>
              <w:spacing w:after="0" w:line="256" w:lineRule="exact"/>
              <w:ind w:left="107"/>
            </w:pPr>
            <w:r w:rsidRPr="00471B10">
              <w:t>Submit</w:t>
            </w:r>
            <w:r w:rsidRPr="00471B10">
              <w:rPr>
                <w:spacing w:val="-2"/>
              </w:rPr>
              <w:t xml:space="preserve"> </w:t>
            </w:r>
            <w:r w:rsidRPr="00471B10">
              <w:t>one-time</w:t>
            </w:r>
            <w:r w:rsidRPr="00471B10">
              <w:rPr>
                <w:spacing w:val="-1"/>
              </w:rPr>
              <w:t xml:space="preserve"> </w:t>
            </w:r>
            <w:r w:rsidRPr="00471B10">
              <w:rPr>
                <w:spacing w:val="-2"/>
              </w:rPr>
              <w:t>report</w:t>
            </w:r>
          </w:p>
        </w:tc>
        <w:tc>
          <w:tcPr>
            <w:tcW w:w="2744" w:type="dxa"/>
          </w:tcPr>
          <w:p w:rsidR="003202E5" w:rsidRPr="00471B10" w:rsidP="007B260E" w14:paraId="021E63C9" w14:textId="77777777">
            <w:pPr>
              <w:widowControl w:val="0"/>
              <w:autoSpaceDE w:val="0"/>
              <w:autoSpaceDN w:val="0"/>
              <w:spacing w:after="0" w:line="256" w:lineRule="exact"/>
              <w:ind w:left="261" w:right="254"/>
            </w:pPr>
            <w:r w:rsidRPr="00471B10">
              <w:rPr>
                <w:spacing w:val="-2"/>
              </w:rPr>
              <w:t>One-</w:t>
            </w:r>
            <w:r w:rsidRPr="00471B10">
              <w:rPr>
                <w:spacing w:val="-4"/>
              </w:rPr>
              <w:t>Time</w:t>
            </w:r>
          </w:p>
        </w:tc>
      </w:tr>
      <w:tr w14:paraId="0C1C1276" w14:textId="77777777" w:rsidTr="007B260E">
        <w:tblPrEx>
          <w:tblW w:w="0" w:type="auto"/>
          <w:tblInd w:w="130" w:type="dxa"/>
          <w:tblLayout w:type="fixed"/>
          <w:tblCellMar>
            <w:left w:w="0" w:type="dxa"/>
            <w:right w:w="0" w:type="dxa"/>
          </w:tblCellMar>
          <w:tblLook w:val="01E0"/>
        </w:tblPrEx>
        <w:trPr>
          <w:trHeight w:val="276"/>
        </w:trPr>
        <w:tc>
          <w:tcPr>
            <w:tcW w:w="6476" w:type="dxa"/>
          </w:tcPr>
          <w:p w:rsidR="003202E5" w:rsidRPr="00471B10" w:rsidP="007B260E" w14:paraId="4A4E6480" w14:textId="77777777">
            <w:pPr>
              <w:widowControl w:val="0"/>
              <w:autoSpaceDE w:val="0"/>
              <w:autoSpaceDN w:val="0"/>
              <w:spacing w:after="0" w:line="256" w:lineRule="exact"/>
              <w:ind w:left="107"/>
            </w:pPr>
            <w:r w:rsidRPr="00471B10">
              <w:t>Submit</w:t>
            </w:r>
            <w:r w:rsidRPr="00471B10">
              <w:rPr>
                <w:spacing w:val="-2"/>
              </w:rPr>
              <w:t xml:space="preserve"> </w:t>
            </w:r>
            <w:r w:rsidRPr="00471B10">
              <w:t>annual</w:t>
            </w:r>
            <w:r w:rsidRPr="00471B10">
              <w:rPr>
                <w:spacing w:val="-1"/>
              </w:rPr>
              <w:t xml:space="preserve"> </w:t>
            </w:r>
            <w:r w:rsidRPr="00471B10">
              <w:rPr>
                <w:spacing w:val="-2"/>
              </w:rPr>
              <w:t>report</w:t>
            </w:r>
          </w:p>
        </w:tc>
        <w:tc>
          <w:tcPr>
            <w:tcW w:w="2744" w:type="dxa"/>
          </w:tcPr>
          <w:p w:rsidR="003202E5" w:rsidRPr="00471B10" w:rsidP="007B260E" w14:paraId="3C726867" w14:textId="77777777">
            <w:pPr>
              <w:widowControl w:val="0"/>
              <w:autoSpaceDE w:val="0"/>
              <w:autoSpaceDN w:val="0"/>
              <w:spacing w:after="0" w:line="256" w:lineRule="exact"/>
              <w:ind w:left="261" w:right="255"/>
            </w:pPr>
            <w:r w:rsidRPr="00471B10">
              <w:rPr>
                <w:spacing w:val="-2"/>
              </w:rPr>
              <w:t>Annually</w:t>
            </w:r>
          </w:p>
        </w:tc>
      </w:tr>
      <w:tr w14:paraId="06602523" w14:textId="77777777" w:rsidTr="007B260E">
        <w:tblPrEx>
          <w:tblW w:w="0" w:type="auto"/>
          <w:tblInd w:w="130" w:type="dxa"/>
          <w:tblLayout w:type="fixed"/>
          <w:tblCellMar>
            <w:left w:w="0" w:type="dxa"/>
            <w:right w:w="0" w:type="dxa"/>
          </w:tblCellMar>
          <w:tblLook w:val="01E0"/>
        </w:tblPrEx>
        <w:trPr>
          <w:trHeight w:val="278"/>
        </w:trPr>
        <w:tc>
          <w:tcPr>
            <w:tcW w:w="6476" w:type="dxa"/>
          </w:tcPr>
          <w:p w:rsidR="003202E5" w:rsidRPr="00471B10" w:rsidP="007B260E" w14:paraId="2BFCE095" w14:textId="77777777">
            <w:pPr>
              <w:widowControl w:val="0"/>
              <w:autoSpaceDE w:val="0"/>
              <w:autoSpaceDN w:val="0"/>
              <w:spacing w:after="0" w:line="258" w:lineRule="exact"/>
              <w:ind w:left="107"/>
            </w:pPr>
            <w:r w:rsidRPr="00471B10">
              <w:t>Submit</w:t>
            </w:r>
            <w:r w:rsidRPr="00471B10">
              <w:rPr>
                <w:spacing w:val="-1"/>
              </w:rPr>
              <w:t xml:space="preserve"> </w:t>
            </w:r>
            <w:r w:rsidRPr="00471B10">
              <w:t>significant process changes report</w:t>
            </w:r>
          </w:p>
        </w:tc>
        <w:tc>
          <w:tcPr>
            <w:tcW w:w="2744" w:type="dxa"/>
          </w:tcPr>
          <w:p w:rsidR="003202E5" w:rsidRPr="00471B10" w:rsidP="007B260E" w14:paraId="1F4071F2" w14:textId="77777777">
            <w:pPr>
              <w:widowControl w:val="0"/>
              <w:autoSpaceDE w:val="0"/>
              <w:autoSpaceDN w:val="0"/>
              <w:spacing w:after="0" w:line="258" w:lineRule="exact"/>
              <w:ind w:left="261" w:right="257"/>
            </w:pPr>
            <w:r w:rsidRPr="00471B10">
              <w:t xml:space="preserve">As </w:t>
            </w:r>
            <w:r w:rsidRPr="00471B10">
              <w:rPr>
                <w:spacing w:val="-2"/>
              </w:rPr>
              <w:t>Needed</w:t>
            </w:r>
          </w:p>
        </w:tc>
      </w:tr>
      <w:tr w14:paraId="692C5A29" w14:textId="77777777" w:rsidTr="007B260E">
        <w:tblPrEx>
          <w:tblW w:w="0" w:type="auto"/>
          <w:tblInd w:w="130" w:type="dxa"/>
          <w:tblLayout w:type="fixed"/>
          <w:tblCellMar>
            <w:left w:w="0" w:type="dxa"/>
            <w:right w:w="0" w:type="dxa"/>
          </w:tblCellMar>
          <w:tblLook w:val="01E0"/>
        </w:tblPrEx>
        <w:trPr>
          <w:trHeight w:val="278"/>
        </w:trPr>
        <w:tc>
          <w:tcPr>
            <w:tcW w:w="6476" w:type="dxa"/>
          </w:tcPr>
          <w:p w:rsidR="003202E5" w:rsidRPr="00471B10" w:rsidP="007B260E" w14:paraId="317D697C" w14:textId="77777777">
            <w:pPr>
              <w:widowControl w:val="0"/>
              <w:autoSpaceDE w:val="0"/>
              <w:autoSpaceDN w:val="0"/>
              <w:spacing w:after="0" w:line="258" w:lineRule="exact"/>
              <w:ind w:left="107"/>
            </w:pPr>
            <w:r>
              <w:t>Maintain records</w:t>
            </w:r>
          </w:p>
        </w:tc>
        <w:tc>
          <w:tcPr>
            <w:tcW w:w="2744" w:type="dxa"/>
          </w:tcPr>
          <w:p w:rsidR="003202E5" w:rsidRPr="00471B10" w:rsidP="007B260E" w14:paraId="3344959C" w14:textId="77777777">
            <w:pPr>
              <w:widowControl w:val="0"/>
              <w:autoSpaceDE w:val="0"/>
              <w:autoSpaceDN w:val="0"/>
              <w:spacing w:after="0" w:line="258" w:lineRule="exact"/>
              <w:ind w:left="261" w:right="257"/>
            </w:pPr>
            <w:r>
              <w:t>N/A</w:t>
            </w:r>
          </w:p>
        </w:tc>
      </w:tr>
    </w:tbl>
    <w:p w:rsidR="00D92ED6"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0"/>
      <w:r w:rsidRPr="00163C69" w:rsidR="00BB2B15">
        <w:rPr>
          <w:rFonts w:cstheme="minorHAnsi"/>
          <w:b/>
          <w:bCs/>
        </w:rPr>
        <w:t>Costs</w:t>
      </w:r>
    </w:p>
    <w:p w:rsidR="00015010" w:rsidRPr="00015010" w:rsidP="00854AAE" w14:paraId="17B31D1F" w14:textId="40893912">
      <w:pPr>
        <w:spacing w:before="120" w:after="0"/>
        <w:rPr>
          <w:rFonts w:cstheme="minorHAnsi"/>
          <w:u w:val="single"/>
        </w:rPr>
      </w:pPr>
      <w:r w:rsidRPr="00015010">
        <w:rPr>
          <w:rFonts w:cstheme="minorHAnsi"/>
          <w:u w:val="single"/>
        </w:rPr>
        <w:t>Estimating Respondent Burden</w:t>
      </w:r>
    </w:p>
    <w:p w:rsidR="00ED57A4" w:rsidP="00854AAE" w14:paraId="68F435BE" w14:textId="6B5F4113">
      <w:pPr>
        <w:spacing w:before="60"/>
      </w:pPr>
      <w:r w:rsidRPr="0054767C">
        <w:t xml:space="preserve">EPA identified </w:t>
      </w:r>
      <w:r>
        <w:t>4</w:t>
      </w:r>
      <w:r w:rsidRPr="0054767C">
        <w:t xml:space="preserve"> information collection activities that are mandated by EPA’s proposed rulemaking. EPA estimated the amount of time associated with each activity based on EPA’s experience collecting similar activity data on ozone-depleting substances (ODS)</w:t>
      </w:r>
      <w:r>
        <w:t xml:space="preserve"> and </w:t>
      </w:r>
      <w:r w:rsidRPr="0054767C">
        <w:t>fluorinated greenhouse gases under 40 CFR part 82</w:t>
      </w:r>
      <w:r>
        <w:t xml:space="preserve"> and </w:t>
      </w:r>
      <w:r w:rsidRPr="0054767C">
        <w:t>GHGRP (74 FR 56260; October 30, 2009), respectively.</w:t>
      </w:r>
      <w:r>
        <w:t xml:space="preserve"> Emissions recordkeeping and reporting are included in each applicable activity.</w:t>
      </w:r>
      <w:r w:rsidRPr="0054767C">
        <w:t xml:space="preserve"> This analysis assumes that respondent burden hours are incurred by technical </w:t>
      </w:r>
      <w:r>
        <w:t xml:space="preserve">and clerical </w:t>
      </w:r>
      <w:r w:rsidRPr="0054767C">
        <w:t>staff at companies that submit reports. Table III below summarizes the number of burden hours incurred by each respondent for each information collection activity</w:t>
      </w:r>
      <w:r>
        <w:t>.</w:t>
      </w:r>
    </w:p>
    <w:p w:rsidR="00015010" w:rsidRPr="00015010" w:rsidP="00854AAE" w14:paraId="112FE2D4" w14:textId="0AF94A95">
      <w:pPr>
        <w:spacing w:before="60"/>
        <w:rPr>
          <w:u w:val="single"/>
        </w:rPr>
      </w:pPr>
      <w:r w:rsidRPr="00015010">
        <w:rPr>
          <w:u w:val="single"/>
        </w:rPr>
        <w:t>Estimating Respondent Costs</w:t>
      </w:r>
    </w:p>
    <w:p w:rsidR="00015010" w:rsidP="00015010" w14:paraId="55374F72" w14:textId="77777777">
      <w:pPr>
        <w:rPr>
          <w:color w:val="000000"/>
        </w:rPr>
      </w:pPr>
      <w:r w:rsidRPr="003A2D73">
        <w:rPr>
          <w:color w:val="000000"/>
        </w:rPr>
        <w:t>To determine respondent costs, an average hourly wage rate of $</w:t>
      </w:r>
      <w:r w:rsidRPr="000D1176">
        <w:rPr>
          <w:color w:val="000000"/>
        </w:rPr>
        <w:t>60.54</w:t>
      </w:r>
      <w:r>
        <w:rPr>
          <w:color w:val="000000"/>
        </w:rPr>
        <w:t xml:space="preserve"> </w:t>
      </w:r>
      <w:r w:rsidRPr="003A2D73">
        <w:rPr>
          <w:color w:val="000000"/>
        </w:rPr>
        <w:t xml:space="preserve">per hour for technical staff, the hourly wage rate for professional and related persons, was derived from the Bureau of Labor Statistics Employer Cost and Employee Compensation, Table 2. (“civilian workers, by occupational and industry group”), </w:t>
      </w:r>
      <w:r w:rsidRPr="000D1176">
        <w:rPr>
          <w:color w:val="000000"/>
        </w:rPr>
        <w:t>June 2022</w:t>
      </w:r>
      <w:r w:rsidRPr="003A2D73">
        <w:rPr>
          <w:color w:val="000000"/>
        </w:rPr>
        <w:t xml:space="preserve">. </w:t>
      </w:r>
      <w:r w:rsidRPr="000D1176">
        <w:rPr>
          <w:color w:val="000000"/>
        </w:rPr>
        <w:t>An average hourly wage rate of $47.73 for clerical staff, the hourly wage rate for administrative services and facilities managers, was derived from the BLS Occupational Outlook Handbook, April 2022.</w:t>
      </w:r>
      <w:r>
        <w:rPr>
          <w:color w:val="000000"/>
        </w:rPr>
        <w:t xml:space="preserve"> </w:t>
      </w:r>
      <w:r w:rsidRPr="003A2D73">
        <w:rPr>
          <w:color w:val="000000"/>
        </w:rPr>
        <w:t xml:space="preserve">A 110 percent increase was added to reflect the estimated additional costs for overhead and fringe, </w:t>
      </w:r>
      <w:r w:rsidRPr="000D1176">
        <w:rPr>
          <w:color w:val="000000"/>
        </w:rPr>
        <w:t>which increased the wage rates to $127.13 and $100.23 per hour for technical staff and clerical staff, respectively</w:t>
      </w:r>
      <w:r w:rsidRPr="003A2D73">
        <w:rPr>
          <w:color w:val="000000"/>
        </w:rPr>
        <w:t>. Burden hours were multiplied by the labor rate to determine respondent costs.</w:t>
      </w:r>
      <w:r>
        <w:rPr>
          <w:color w:val="000000"/>
        </w:rPr>
        <w:t xml:space="preserve"> Given the reporting and recordkeeping requirements, an average of </w:t>
      </w:r>
      <w:r w:rsidRPr="00AC7C7A">
        <w:rPr>
          <w:color w:val="000000"/>
        </w:rPr>
        <w:t>$28,245</w:t>
      </w:r>
      <w:r>
        <w:rPr>
          <w:color w:val="000000"/>
        </w:rPr>
        <w:t xml:space="preserve"> annual</w:t>
      </w:r>
      <w:r>
        <w:t xml:space="preserve"> operation and maintenance (O&amp;M) costs or capital/startup costs are assumed to be associated with this information collection request due to the emissions reporting requirements.</w:t>
      </w:r>
    </w:p>
    <w:p w:rsidR="00015010" w:rsidP="00015010" w14:paraId="45EFA21A" w14:textId="77777777">
      <w:r>
        <w:fldChar w:fldCharType="begin"/>
      </w:r>
      <w:r>
        <w:instrText xml:space="preserve"> REF _Ref69842426 \h </w:instrText>
      </w:r>
      <w:r>
        <w:fldChar w:fldCharType="separate"/>
      </w:r>
      <w:r>
        <w:t xml:space="preserve">Table </w:t>
      </w:r>
      <w:r>
        <w:rPr>
          <w:noProof/>
        </w:rPr>
        <w:t>III</w:t>
      </w:r>
      <w:r>
        <w:fldChar w:fldCharType="end"/>
      </w:r>
      <w:r>
        <w:t xml:space="preserve"> below summarizes labor costs for each respondent by information collection activity. Costs are calculated by multiplying technical burden hours per response by the number of responses per year and the assumed hourly wage rate of technical staff. </w:t>
      </w:r>
    </w:p>
    <w:p w:rsidR="00015010" w:rsidP="00015010" w14:paraId="152AA98C" w14:textId="77777777">
      <w:pPr>
        <w:pStyle w:val="Caption"/>
        <w:keepNext/>
      </w:pPr>
      <w:bookmarkStart w:id="22" w:name="_Ref69842426"/>
      <w:r>
        <w:t xml:space="preserve">Table </w:t>
      </w:r>
      <w:r>
        <w:fldChar w:fldCharType="begin"/>
      </w:r>
      <w:r>
        <w:instrText xml:space="preserve"> SEQ Table \* ROMAN </w:instrText>
      </w:r>
      <w:r>
        <w:fldChar w:fldCharType="separate"/>
      </w:r>
      <w:r>
        <w:rPr>
          <w:noProof/>
        </w:rPr>
        <w:t>III</w:t>
      </w:r>
      <w:r>
        <w:rPr>
          <w:noProof/>
        </w:rPr>
        <w:fldChar w:fldCharType="end"/>
      </w:r>
      <w:bookmarkEnd w:id="22"/>
      <w:r>
        <w:t>. Hours and Costs per Respondent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4"/>
        <w:gridCol w:w="1217"/>
        <w:gridCol w:w="1219"/>
        <w:gridCol w:w="1302"/>
        <w:gridCol w:w="1302"/>
        <w:gridCol w:w="1296"/>
      </w:tblGrid>
      <w:tr w14:paraId="3185DBB5" w14:textId="77777777" w:rsidTr="007B26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35"/>
          <w:tblHeader/>
        </w:trPr>
        <w:tc>
          <w:tcPr>
            <w:tcW w:w="1612" w:type="pct"/>
            <w:shd w:val="clear" w:color="000000" w:fill="F2F2F2"/>
            <w:vAlign w:val="center"/>
            <w:hideMark/>
          </w:tcPr>
          <w:p w:rsidR="00015010" w:rsidRPr="007869C2" w:rsidP="007B260E" w14:paraId="20B71B21" w14:textId="77777777">
            <w:pPr>
              <w:spacing w:after="0"/>
              <w:jc w:val="center"/>
              <w:rPr>
                <w:b/>
                <w:bCs/>
                <w:color w:val="000000"/>
                <w:sz w:val="18"/>
                <w:szCs w:val="18"/>
              </w:rPr>
            </w:pPr>
            <w:r w:rsidRPr="007869C2">
              <w:rPr>
                <w:b/>
                <w:bCs/>
                <w:color w:val="000000"/>
                <w:sz w:val="18"/>
                <w:szCs w:val="18"/>
              </w:rPr>
              <w:t xml:space="preserve">Activity </w:t>
            </w:r>
          </w:p>
        </w:tc>
        <w:tc>
          <w:tcPr>
            <w:tcW w:w="651" w:type="pct"/>
            <w:shd w:val="clear" w:color="000000" w:fill="F2F2F2"/>
            <w:vAlign w:val="center"/>
            <w:hideMark/>
          </w:tcPr>
          <w:p w:rsidR="00015010" w:rsidRPr="007869C2" w:rsidP="007B260E" w14:paraId="2B988E77" w14:textId="77777777">
            <w:pPr>
              <w:spacing w:after="0"/>
              <w:jc w:val="center"/>
              <w:rPr>
                <w:b/>
                <w:bCs/>
                <w:color w:val="000000"/>
                <w:sz w:val="18"/>
                <w:szCs w:val="18"/>
              </w:rPr>
            </w:pPr>
            <w:r w:rsidRPr="007869C2">
              <w:rPr>
                <w:b/>
                <w:bCs/>
                <w:color w:val="000000"/>
                <w:sz w:val="18"/>
                <w:szCs w:val="18"/>
              </w:rPr>
              <w:t>Responses per Respondent per Year</w:t>
            </w:r>
          </w:p>
        </w:tc>
        <w:tc>
          <w:tcPr>
            <w:tcW w:w="652" w:type="pct"/>
            <w:shd w:val="clear" w:color="000000" w:fill="F2F2F2"/>
            <w:vAlign w:val="center"/>
            <w:hideMark/>
          </w:tcPr>
          <w:p w:rsidR="00015010" w:rsidRPr="007869C2" w:rsidP="007B260E" w14:paraId="169E3E07" w14:textId="77777777">
            <w:pPr>
              <w:spacing w:after="0"/>
              <w:jc w:val="center"/>
              <w:rPr>
                <w:b/>
                <w:bCs/>
                <w:color w:val="000000"/>
                <w:sz w:val="18"/>
                <w:szCs w:val="18"/>
              </w:rPr>
            </w:pPr>
            <w:r w:rsidRPr="007869C2">
              <w:rPr>
                <w:b/>
                <w:bCs/>
                <w:color w:val="000000"/>
                <w:sz w:val="18"/>
                <w:szCs w:val="18"/>
              </w:rPr>
              <w:t xml:space="preserve">Technical </w:t>
            </w:r>
            <w:r>
              <w:rPr>
                <w:b/>
                <w:bCs/>
                <w:color w:val="000000"/>
                <w:sz w:val="18"/>
                <w:szCs w:val="18"/>
              </w:rPr>
              <w:t xml:space="preserve">Burden </w:t>
            </w:r>
            <w:r w:rsidRPr="007869C2">
              <w:rPr>
                <w:b/>
                <w:bCs/>
                <w:color w:val="000000"/>
                <w:sz w:val="18"/>
                <w:szCs w:val="18"/>
              </w:rPr>
              <w:t>Hours per Response</w:t>
            </w:r>
          </w:p>
        </w:tc>
        <w:tc>
          <w:tcPr>
            <w:tcW w:w="696" w:type="pct"/>
            <w:shd w:val="clear" w:color="000000" w:fill="F2F2F2"/>
          </w:tcPr>
          <w:p w:rsidR="00015010" w:rsidRPr="007869C2" w:rsidP="007B260E" w14:paraId="4FBE615E" w14:textId="77777777">
            <w:pPr>
              <w:spacing w:after="0"/>
              <w:jc w:val="center"/>
              <w:rPr>
                <w:b/>
                <w:bCs/>
                <w:color w:val="000000"/>
                <w:sz w:val="18"/>
                <w:szCs w:val="18"/>
              </w:rPr>
            </w:pPr>
            <w:r>
              <w:rPr>
                <w:b/>
                <w:bCs/>
                <w:color w:val="000000"/>
                <w:sz w:val="18"/>
                <w:szCs w:val="18"/>
              </w:rPr>
              <w:t>C</w:t>
            </w:r>
            <w:r>
              <w:rPr>
                <w:b/>
                <w:color w:val="000000"/>
                <w:sz w:val="18"/>
                <w:szCs w:val="18"/>
              </w:rPr>
              <w:t>lerical</w:t>
            </w:r>
            <w:r w:rsidRPr="007869C2">
              <w:rPr>
                <w:b/>
                <w:bCs/>
                <w:color w:val="000000"/>
                <w:sz w:val="18"/>
                <w:szCs w:val="18"/>
              </w:rPr>
              <w:t xml:space="preserve"> </w:t>
            </w:r>
            <w:r>
              <w:rPr>
                <w:b/>
                <w:bCs/>
                <w:color w:val="000000"/>
                <w:sz w:val="18"/>
                <w:szCs w:val="18"/>
              </w:rPr>
              <w:t xml:space="preserve">Burden </w:t>
            </w:r>
            <w:r w:rsidRPr="007869C2">
              <w:rPr>
                <w:b/>
                <w:bCs/>
                <w:color w:val="000000"/>
                <w:sz w:val="18"/>
                <w:szCs w:val="18"/>
              </w:rPr>
              <w:t>Hours per Response</w:t>
            </w:r>
          </w:p>
        </w:tc>
        <w:tc>
          <w:tcPr>
            <w:tcW w:w="696" w:type="pct"/>
            <w:shd w:val="clear" w:color="000000" w:fill="F2F2F2"/>
            <w:vAlign w:val="center"/>
            <w:hideMark/>
          </w:tcPr>
          <w:p w:rsidR="00015010" w:rsidRPr="007869C2" w:rsidP="007B260E" w14:paraId="55AA3049" w14:textId="77777777">
            <w:pPr>
              <w:spacing w:after="0"/>
              <w:jc w:val="center"/>
              <w:rPr>
                <w:b/>
                <w:bCs/>
                <w:color w:val="000000"/>
                <w:sz w:val="18"/>
                <w:szCs w:val="18"/>
              </w:rPr>
            </w:pPr>
            <w:r w:rsidRPr="007869C2">
              <w:rPr>
                <w:b/>
                <w:bCs/>
                <w:color w:val="000000"/>
                <w:sz w:val="18"/>
                <w:szCs w:val="18"/>
              </w:rPr>
              <w:t>Total Hours per Respondent per Year</w:t>
            </w:r>
          </w:p>
        </w:tc>
        <w:tc>
          <w:tcPr>
            <w:tcW w:w="693" w:type="pct"/>
            <w:shd w:val="clear" w:color="000000" w:fill="F2F2F2"/>
            <w:vAlign w:val="center"/>
            <w:hideMark/>
          </w:tcPr>
          <w:p w:rsidR="00015010" w:rsidRPr="007869C2" w:rsidP="007B260E" w14:paraId="7D0B31E3" w14:textId="77777777">
            <w:pPr>
              <w:spacing w:after="0"/>
              <w:jc w:val="center"/>
              <w:rPr>
                <w:b/>
                <w:bCs/>
                <w:color w:val="000000"/>
                <w:sz w:val="18"/>
                <w:szCs w:val="18"/>
              </w:rPr>
            </w:pPr>
            <w:r w:rsidRPr="007869C2">
              <w:rPr>
                <w:b/>
                <w:bCs/>
                <w:color w:val="000000"/>
                <w:sz w:val="18"/>
                <w:szCs w:val="18"/>
              </w:rPr>
              <w:t>Technical Labor Cost per Respondent per Year</w:t>
            </w:r>
          </w:p>
        </w:tc>
      </w:tr>
      <w:tr w14:paraId="71D865B7" w14:textId="77777777" w:rsidTr="007B260E">
        <w:tblPrEx>
          <w:tblW w:w="5000" w:type="pct"/>
          <w:tblLayout w:type="fixed"/>
          <w:tblLook w:val="04A0"/>
        </w:tblPrEx>
        <w:trPr>
          <w:trHeight w:val="288"/>
        </w:trPr>
        <w:tc>
          <w:tcPr>
            <w:tcW w:w="1612" w:type="pct"/>
            <w:shd w:val="clear" w:color="auto" w:fill="auto"/>
            <w:vAlign w:val="center"/>
            <w:hideMark/>
          </w:tcPr>
          <w:p w:rsidR="00015010" w:rsidRPr="007869C2" w:rsidP="007B260E" w14:paraId="774A8D89" w14:textId="77777777">
            <w:pPr>
              <w:spacing w:after="0"/>
              <w:rPr>
                <w:sz w:val="18"/>
                <w:szCs w:val="18"/>
              </w:rPr>
            </w:pPr>
            <w:r w:rsidRPr="007869C2">
              <w:rPr>
                <w:sz w:val="18"/>
                <w:szCs w:val="18"/>
              </w:rPr>
              <w:t>Submit one-time report</w:t>
            </w:r>
          </w:p>
        </w:tc>
        <w:tc>
          <w:tcPr>
            <w:tcW w:w="651" w:type="pct"/>
            <w:shd w:val="clear" w:color="auto" w:fill="auto"/>
            <w:vAlign w:val="center"/>
            <w:hideMark/>
          </w:tcPr>
          <w:p w:rsidR="00015010" w:rsidRPr="00B9417E" w:rsidP="007B260E" w14:paraId="0224B85C" w14:textId="77777777">
            <w:pPr>
              <w:spacing w:after="0"/>
              <w:jc w:val="right"/>
              <w:rPr>
                <w:sz w:val="18"/>
                <w:szCs w:val="18"/>
              </w:rPr>
            </w:pPr>
            <w:r w:rsidRPr="00B9417E">
              <w:rPr>
                <w:sz w:val="18"/>
                <w:szCs w:val="18"/>
              </w:rPr>
              <w:t>1</w:t>
            </w:r>
          </w:p>
        </w:tc>
        <w:tc>
          <w:tcPr>
            <w:tcW w:w="652" w:type="pct"/>
            <w:shd w:val="clear" w:color="auto" w:fill="auto"/>
            <w:vAlign w:val="center"/>
            <w:hideMark/>
          </w:tcPr>
          <w:p w:rsidR="00015010" w:rsidRPr="00B9417E" w:rsidP="007B260E" w14:paraId="55C15100" w14:textId="77777777">
            <w:pPr>
              <w:spacing w:after="0"/>
              <w:jc w:val="right"/>
              <w:rPr>
                <w:sz w:val="18"/>
                <w:szCs w:val="18"/>
              </w:rPr>
            </w:pPr>
            <w:r>
              <w:rPr>
                <w:sz w:val="18"/>
                <w:szCs w:val="18"/>
              </w:rPr>
              <w:t>1390</w:t>
            </w:r>
            <w:r w:rsidRPr="00B9417E">
              <w:rPr>
                <w:sz w:val="18"/>
                <w:szCs w:val="18"/>
              </w:rPr>
              <w:t>.00</w:t>
            </w:r>
          </w:p>
        </w:tc>
        <w:tc>
          <w:tcPr>
            <w:tcW w:w="696" w:type="pct"/>
          </w:tcPr>
          <w:p w:rsidR="00015010" w:rsidRPr="00B9417E" w:rsidP="007B260E" w14:paraId="744D53F3" w14:textId="77777777">
            <w:pPr>
              <w:spacing w:after="0"/>
              <w:jc w:val="right"/>
              <w:rPr>
                <w:sz w:val="18"/>
                <w:szCs w:val="18"/>
              </w:rPr>
            </w:pPr>
            <w:r>
              <w:rPr>
                <w:sz w:val="18"/>
                <w:szCs w:val="18"/>
              </w:rPr>
              <w:t>197.00</w:t>
            </w:r>
          </w:p>
        </w:tc>
        <w:tc>
          <w:tcPr>
            <w:tcW w:w="696" w:type="pct"/>
            <w:shd w:val="clear" w:color="auto" w:fill="auto"/>
            <w:vAlign w:val="center"/>
            <w:hideMark/>
          </w:tcPr>
          <w:p w:rsidR="00015010" w:rsidRPr="00B9417E" w:rsidP="007B260E" w14:paraId="559A9826" w14:textId="77777777">
            <w:pPr>
              <w:spacing w:after="0"/>
              <w:jc w:val="right"/>
              <w:rPr>
                <w:sz w:val="18"/>
                <w:szCs w:val="18"/>
              </w:rPr>
            </w:pPr>
            <w:r>
              <w:rPr>
                <w:sz w:val="18"/>
                <w:szCs w:val="18"/>
              </w:rPr>
              <w:t>1587</w:t>
            </w:r>
            <w:r w:rsidRPr="00B9417E">
              <w:rPr>
                <w:sz w:val="18"/>
                <w:szCs w:val="18"/>
              </w:rPr>
              <w:t>.0</w:t>
            </w:r>
          </w:p>
        </w:tc>
        <w:tc>
          <w:tcPr>
            <w:tcW w:w="693" w:type="pct"/>
            <w:shd w:val="clear" w:color="auto" w:fill="auto"/>
            <w:vAlign w:val="center"/>
            <w:hideMark/>
          </w:tcPr>
          <w:p w:rsidR="00015010" w:rsidRPr="00B9417E" w:rsidP="007B260E" w14:paraId="26CBC1D9" w14:textId="77777777">
            <w:pPr>
              <w:spacing w:after="0"/>
              <w:jc w:val="right"/>
              <w:rPr>
                <w:sz w:val="18"/>
                <w:szCs w:val="18"/>
              </w:rPr>
            </w:pPr>
            <w:r w:rsidRPr="00B9417E">
              <w:rPr>
                <w:sz w:val="18"/>
                <w:szCs w:val="18"/>
              </w:rPr>
              <w:t>$</w:t>
            </w:r>
            <w:r>
              <w:rPr>
                <w:sz w:val="18"/>
                <w:szCs w:val="18"/>
              </w:rPr>
              <w:t>196,456</w:t>
            </w:r>
          </w:p>
        </w:tc>
      </w:tr>
      <w:tr w14:paraId="40577EB2" w14:textId="77777777" w:rsidTr="007B260E">
        <w:tblPrEx>
          <w:tblW w:w="5000" w:type="pct"/>
          <w:tblLayout w:type="fixed"/>
          <w:tblLook w:val="04A0"/>
        </w:tblPrEx>
        <w:trPr>
          <w:trHeight w:val="288"/>
        </w:trPr>
        <w:tc>
          <w:tcPr>
            <w:tcW w:w="1612" w:type="pct"/>
            <w:shd w:val="clear" w:color="auto" w:fill="auto"/>
            <w:vAlign w:val="center"/>
            <w:hideMark/>
          </w:tcPr>
          <w:p w:rsidR="00015010" w:rsidRPr="007869C2" w:rsidP="007B260E" w14:paraId="15C30D0D" w14:textId="77777777">
            <w:pPr>
              <w:spacing w:after="0"/>
              <w:rPr>
                <w:sz w:val="18"/>
                <w:szCs w:val="18"/>
              </w:rPr>
            </w:pPr>
            <w:r w:rsidRPr="007869C2">
              <w:rPr>
                <w:sz w:val="18"/>
                <w:szCs w:val="18"/>
              </w:rPr>
              <w:t xml:space="preserve">Submit </w:t>
            </w:r>
            <w:r>
              <w:rPr>
                <w:sz w:val="18"/>
                <w:szCs w:val="18"/>
              </w:rPr>
              <w:t>annual</w:t>
            </w:r>
            <w:r w:rsidRPr="007869C2">
              <w:rPr>
                <w:sz w:val="18"/>
                <w:szCs w:val="18"/>
              </w:rPr>
              <w:t xml:space="preserve"> report</w:t>
            </w:r>
          </w:p>
        </w:tc>
        <w:tc>
          <w:tcPr>
            <w:tcW w:w="651" w:type="pct"/>
            <w:shd w:val="clear" w:color="auto" w:fill="auto"/>
            <w:vAlign w:val="center"/>
            <w:hideMark/>
          </w:tcPr>
          <w:p w:rsidR="00015010" w:rsidRPr="00B9417E" w:rsidP="007B260E" w14:paraId="76D87107" w14:textId="77777777">
            <w:pPr>
              <w:spacing w:after="0"/>
              <w:jc w:val="right"/>
              <w:rPr>
                <w:sz w:val="18"/>
                <w:szCs w:val="18"/>
              </w:rPr>
            </w:pPr>
            <w:r>
              <w:rPr>
                <w:sz w:val="18"/>
                <w:szCs w:val="18"/>
              </w:rPr>
              <w:t>1</w:t>
            </w:r>
          </w:p>
        </w:tc>
        <w:tc>
          <w:tcPr>
            <w:tcW w:w="652" w:type="pct"/>
            <w:shd w:val="clear" w:color="auto" w:fill="auto"/>
            <w:vAlign w:val="center"/>
            <w:hideMark/>
          </w:tcPr>
          <w:p w:rsidR="00015010" w:rsidRPr="00B9417E" w:rsidP="007B260E" w14:paraId="68751A6B" w14:textId="77777777">
            <w:pPr>
              <w:spacing w:after="0"/>
              <w:jc w:val="right"/>
              <w:rPr>
                <w:sz w:val="18"/>
                <w:szCs w:val="18"/>
              </w:rPr>
            </w:pPr>
            <w:r>
              <w:rPr>
                <w:sz w:val="18"/>
                <w:szCs w:val="18"/>
              </w:rPr>
              <w:t>72.7</w:t>
            </w:r>
            <w:r w:rsidRPr="00B9417E">
              <w:rPr>
                <w:sz w:val="18"/>
                <w:szCs w:val="18"/>
              </w:rPr>
              <w:t>0</w:t>
            </w:r>
          </w:p>
        </w:tc>
        <w:tc>
          <w:tcPr>
            <w:tcW w:w="696" w:type="pct"/>
          </w:tcPr>
          <w:p w:rsidR="00015010" w:rsidP="007B260E" w14:paraId="6F8364E4" w14:textId="77777777">
            <w:pPr>
              <w:spacing w:after="0"/>
              <w:jc w:val="right"/>
              <w:rPr>
                <w:sz w:val="18"/>
                <w:szCs w:val="18"/>
              </w:rPr>
            </w:pPr>
            <w:r>
              <w:rPr>
                <w:sz w:val="18"/>
                <w:szCs w:val="18"/>
              </w:rPr>
              <w:t>9.00</w:t>
            </w:r>
          </w:p>
        </w:tc>
        <w:tc>
          <w:tcPr>
            <w:tcW w:w="696" w:type="pct"/>
            <w:shd w:val="clear" w:color="auto" w:fill="auto"/>
            <w:vAlign w:val="center"/>
            <w:hideMark/>
          </w:tcPr>
          <w:p w:rsidR="00015010" w:rsidRPr="00B9417E" w:rsidP="007B260E" w14:paraId="1EC27FDB" w14:textId="77777777">
            <w:pPr>
              <w:spacing w:after="0"/>
              <w:jc w:val="right"/>
              <w:rPr>
                <w:sz w:val="18"/>
                <w:szCs w:val="18"/>
              </w:rPr>
            </w:pPr>
            <w:r>
              <w:rPr>
                <w:sz w:val="18"/>
                <w:szCs w:val="18"/>
              </w:rPr>
              <w:t>82.0</w:t>
            </w:r>
          </w:p>
        </w:tc>
        <w:tc>
          <w:tcPr>
            <w:tcW w:w="693" w:type="pct"/>
            <w:shd w:val="clear" w:color="auto" w:fill="auto"/>
            <w:vAlign w:val="center"/>
            <w:hideMark/>
          </w:tcPr>
          <w:p w:rsidR="00015010" w:rsidRPr="00B9417E" w:rsidP="007B260E" w14:paraId="26AFC64F" w14:textId="77777777">
            <w:pPr>
              <w:spacing w:after="0"/>
              <w:jc w:val="right"/>
              <w:rPr>
                <w:sz w:val="18"/>
                <w:szCs w:val="18"/>
              </w:rPr>
            </w:pPr>
            <w:r w:rsidRPr="00B9417E">
              <w:rPr>
                <w:sz w:val="18"/>
                <w:szCs w:val="18"/>
              </w:rPr>
              <w:t>$</w:t>
            </w:r>
            <w:r>
              <w:rPr>
                <w:sz w:val="18"/>
                <w:szCs w:val="18"/>
              </w:rPr>
              <w:t>10,174</w:t>
            </w:r>
          </w:p>
        </w:tc>
      </w:tr>
      <w:tr w14:paraId="7058C059" w14:textId="77777777" w:rsidTr="007B260E">
        <w:tblPrEx>
          <w:tblW w:w="5000" w:type="pct"/>
          <w:tblLayout w:type="fixed"/>
          <w:tblLook w:val="04A0"/>
        </w:tblPrEx>
        <w:trPr>
          <w:trHeight w:val="288"/>
        </w:trPr>
        <w:tc>
          <w:tcPr>
            <w:tcW w:w="1612" w:type="pct"/>
            <w:shd w:val="clear" w:color="auto" w:fill="auto"/>
            <w:vAlign w:val="center"/>
            <w:hideMark/>
          </w:tcPr>
          <w:p w:rsidR="00015010" w:rsidRPr="007869C2" w:rsidP="007B260E" w14:paraId="77A43CC4" w14:textId="77777777">
            <w:pPr>
              <w:spacing w:after="0"/>
              <w:rPr>
                <w:sz w:val="18"/>
                <w:szCs w:val="18"/>
              </w:rPr>
            </w:pPr>
            <w:r w:rsidRPr="00AF48A1">
              <w:rPr>
                <w:sz w:val="18"/>
                <w:szCs w:val="18"/>
              </w:rPr>
              <w:t>Submit significant process changes report</w:t>
            </w:r>
          </w:p>
        </w:tc>
        <w:tc>
          <w:tcPr>
            <w:tcW w:w="651" w:type="pct"/>
            <w:shd w:val="clear" w:color="auto" w:fill="auto"/>
            <w:vAlign w:val="center"/>
            <w:hideMark/>
          </w:tcPr>
          <w:p w:rsidR="00015010" w:rsidRPr="00B9417E" w:rsidP="007B260E" w14:paraId="72BC1DB1" w14:textId="77777777">
            <w:pPr>
              <w:spacing w:after="0"/>
              <w:jc w:val="right"/>
              <w:rPr>
                <w:sz w:val="18"/>
                <w:szCs w:val="18"/>
              </w:rPr>
            </w:pPr>
            <w:r>
              <w:rPr>
                <w:sz w:val="18"/>
                <w:szCs w:val="18"/>
              </w:rPr>
              <w:t>0.1</w:t>
            </w:r>
          </w:p>
        </w:tc>
        <w:tc>
          <w:tcPr>
            <w:tcW w:w="652" w:type="pct"/>
            <w:shd w:val="clear" w:color="auto" w:fill="auto"/>
            <w:vAlign w:val="center"/>
            <w:hideMark/>
          </w:tcPr>
          <w:p w:rsidR="00015010" w:rsidRPr="00B9417E" w:rsidP="007B260E" w14:paraId="35CBFE1F" w14:textId="77777777">
            <w:pPr>
              <w:spacing w:after="0"/>
              <w:jc w:val="right"/>
              <w:rPr>
                <w:sz w:val="18"/>
                <w:szCs w:val="18"/>
              </w:rPr>
            </w:pPr>
            <w:r>
              <w:rPr>
                <w:sz w:val="18"/>
                <w:szCs w:val="18"/>
              </w:rPr>
              <w:t>6.00</w:t>
            </w:r>
          </w:p>
        </w:tc>
        <w:tc>
          <w:tcPr>
            <w:tcW w:w="696" w:type="pct"/>
          </w:tcPr>
          <w:p w:rsidR="00015010" w:rsidRPr="00B9417E" w:rsidP="007B260E" w14:paraId="6DE0B79C" w14:textId="77777777">
            <w:pPr>
              <w:spacing w:after="0"/>
              <w:jc w:val="right"/>
              <w:rPr>
                <w:sz w:val="18"/>
                <w:szCs w:val="18"/>
              </w:rPr>
            </w:pPr>
            <w:r>
              <w:rPr>
                <w:sz w:val="18"/>
                <w:szCs w:val="18"/>
              </w:rPr>
              <w:t>0.00</w:t>
            </w:r>
          </w:p>
        </w:tc>
        <w:tc>
          <w:tcPr>
            <w:tcW w:w="696" w:type="pct"/>
            <w:shd w:val="clear" w:color="auto" w:fill="auto"/>
            <w:vAlign w:val="center"/>
            <w:hideMark/>
          </w:tcPr>
          <w:p w:rsidR="00015010" w:rsidRPr="00B9417E" w:rsidP="007B260E" w14:paraId="60F0DF65" w14:textId="77777777">
            <w:pPr>
              <w:spacing w:after="0"/>
              <w:jc w:val="right"/>
              <w:rPr>
                <w:sz w:val="18"/>
                <w:szCs w:val="18"/>
              </w:rPr>
            </w:pPr>
            <w:r>
              <w:rPr>
                <w:sz w:val="18"/>
                <w:szCs w:val="18"/>
              </w:rPr>
              <w:t>0.7</w:t>
            </w:r>
          </w:p>
        </w:tc>
        <w:tc>
          <w:tcPr>
            <w:tcW w:w="693" w:type="pct"/>
            <w:shd w:val="clear" w:color="auto" w:fill="auto"/>
            <w:vAlign w:val="center"/>
            <w:hideMark/>
          </w:tcPr>
          <w:p w:rsidR="00015010" w:rsidRPr="00B9417E" w:rsidP="007B260E" w14:paraId="13B70C1F" w14:textId="77777777">
            <w:pPr>
              <w:spacing w:after="0"/>
              <w:jc w:val="right"/>
              <w:rPr>
                <w:sz w:val="18"/>
                <w:szCs w:val="18"/>
              </w:rPr>
            </w:pPr>
            <w:r w:rsidRPr="00B9417E">
              <w:rPr>
                <w:sz w:val="18"/>
                <w:szCs w:val="18"/>
              </w:rPr>
              <w:t>$</w:t>
            </w:r>
            <w:r>
              <w:rPr>
                <w:sz w:val="18"/>
                <w:szCs w:val="18"/>
              </w:rPr>
              <w:t>85</w:t>
            </w:r>
          </w:p>
        </w:tc>
      </w:tr>
      <w:tr w14:paraId="4F6149E6" w14:textId="77777777" w:rsidTr="007B260E">
        <w:tblPrEx>
          <w:tblW w:w="5000" w:type="pct"/>
          <w:tblLayout w:type="fixed"/>
          <w:tblLook w:val="04A0"/>
        </w:tblPrEx>
        <w:trPr>
          <w:trHeight w:val="288"/>
        </w:trPr>
        <w:tc>
          <w:tcPr>
            <w:tcW w:w="1612" w:type="pct"/>
            <w:shd w:val="clear" w:color="auto" w:fill="auto"/>
            <w:vAlign w:val="center"/>
          </w:tcPr>
          <w:p w:rsidR="00015010" w:rsidRPr="00AF48A1" w:rsidP="007B260E" w14:paraId="17D8144A" w14:textId="77777777">
            <w:pPr>
              <w:spacing w:after="0"/>
              <w:rPr>
                <w:sz w:val="18"/>
                <w:szCs w:val="18"/>
              </w:rPr>
            </w:pPr>
            <w:r w:rsidRPr="00E41B99">
              <w:rPr>
                <w:sz w:val="18"/>
                <w:szCs w:val="18"/>
              </w:rPr>
              <w:t>Maintain records</w:t>
            </w:r>
          </w:p>
        </w:tc>
        <w:tc>
          <w:tcPr>
            <w:tcW w:w="651" w:type="pct"/>
            <w:shd w:val="clear" w:color="auto" w:fill="auto"/>
            <w:vAlign w:val="center"/>
          </w:tcPr>
          <w:p w:rsidR="00015010" w:rsidP="007B260E" w14:paraId="578F1B65" w14:textId="77777777">
            <w:pPr>
              <w:spacing w:after="0"/>
              <w:jc w:val="right"/>
              <w:rPr>
                <w:sz w:val="18"/>
                <w:szCs w:val="18"/>
              </w:rPr>
            </w:pPr>
            <w:r>
              <w:rPr>
                <w:sz w:val="18"/>
                <w:szCs w:val="18"/>
              </w:rPr>
              <w:t>1</w:t>
            </w:r>
          </w:p>
        </w:tc>
        <w:tc>
          <w:tcPr>
            <w:tcW w:w="652" w:type="pct"/>
            <w:shd w:val="clear" w:color="auto" w:fill="auto"/>
            <w:vAlign w:val="center"/>
          </w:tcPr>
          <w:p w:rsidR="00015010" w:rsidP="007B260E" w14:paraId="281ADA98" w14:textId="77777777">
            <w:pPr>
              <w:spacing w:after="0"/>
              <w:jc w:val="right"/>
              <w:rPr>
                <w:sz w:val="18"/>
                <w:szCs w:val="18"/>
              </w:rPr>
            </w:pPr>
            <w:r>
              <w:rPr>
                <w:sz w:val="18"/>
                <w:szCs w:val="18"/>
              </w:rPr>
              <w:t>0.00</w:t>
            </w:r>
          </w:p>
        </w:tc>
        <w:tc>
          <w:tcPr>
            <w:tcW w:w="696" w:type="pct"/>
          </w:tcPr>
          <w:p w:rsidR="00015010" w:rsidP="007B260E" w14:paraId="2940B816" w14:textId="77777777">
            <w:pPr>
              <w:spacing w:after="0"/>
              <w:jc w:val="right"/>
              <w:rPr>
                <w:sz w:val="18"/>
                <w:szCs w:val="18"/>
              </w:rPr>
            </w:pPr>
            <w:r>
              <w:rPr>
                <w:sz w:val="18"/>
                <w:szCs w:val="18"/>
              </w:rPr>
              <w:t>42.00</w:t>
            </w:r>
          </w:p>
        </w:tc>
        <w:tc>
          <w:tcPr>
            <w:tcW w:w="696" w:type="pct"/>
            <w:shd w:val="clear" w:color="auto" w:fill="auto"/>
            <w:vAlign w:val="center"/>
          </w:tcPr>
          <w:p w:rsidR="00015010" w:rsidP="007B260E" w14:paraId="32E2E6AE" w14:textId="77777777">
            <w:pPr>
              <w:spacing w:after="0"/>
              <w:jc w:val="right"/>
              <w:rPr>
                <w:sz w:val="18"/>
                <w:szCs w:val="18"/>
              </w:rPr>
            </w:pPr>
            <w:r>
              <w:rPr>
                <w:sz w:val="18"/>
                <w:szCs w:val="18"/>
              </w:rPr>
              <w:t>42.0</w:t>
            </w:r>
          </w:p>
        </w:tc>
        <w:tc>
          <w:tcPr>
            <w:tcW w:w="693" w:type="pct"/>
            <w:shd w:val="clear" w:color="auto" w:fill="auto"/>
            <w:vAlign w:val="center"/>
          </w:tcPr>
          <w:p w:rsidR="00015010" w:rsidRPr="00B9417E" w:rsidP="007B260E" w14:paraId="45B86E03" w14:textId="77777777">
            <w:pPr>
              <w:spacing w:after="0"/>
              <w:jc w:val="right"/>
              <w:rPr>
                <w:sz w:val="18"/>
                <w:szCs w:val="18"/>
              </w:rPr>
            </w:pPr>
            <w:r w:rsidRPr="00E41B99">
              <w:rPr>
                <w:sz w:val="18"/>
                <w:szCs w:val="18"/>
              </w:rPr>
              <w:t>$</w:t>
            </w:r>
            <w:r>
              <w:rPr>
                <w:sz w:val="18"/>
                <w:szCs w:val="18"/>
              </w:rPr>
              <w:t>4,210</w:t>
            </w:r>
          </w:p>
        </w:tc>
      </w:tr>
    </w:tbl>
    <w:p w:rsidR="00015010" w:rsidP="00015010" w14:paraId="20B2B908" w14:textId="77777777"/>
    <w:p w:rsidR="00015010" w:rsidRPr="00015010" w:rsidP="00015010" w14:paraId="262E6506" w14:textId="016F4D5B">
      <w:pPr>
        <w:rPr>
          <w:u w:val="single"/>
        </w:rPr>
      </w:pPr>
      <w:r w:rsidRPr="00015010">
        <w:rPr>
          <w:u w:val="single"/>
        </w:rPr>
        <w:t>Estimating the Respondent Universe and Total Burden Costs</w:t>
      </w:r>
    </w:p>
    <w:p w:rsidR="00015010" w:rsidP="00015010" w14:paraId="2DFC2117" w14:textId="037121E8">
      <w:r w:rsidRPr="00AC0B0E">
        <w:t xml:space="preserve">The respondent universe for this ICR is based on a review of data available </w:t>
      </w:r>
      <w:r>
        <w:t xml:space="preserve">from past reporting to EPA under the Clean Air Act, including </w:t>
      </w:r>
      <w:r w:rsidRPr="00AC0B0E">
        <w:t>in the ODSTS</w:t>
      </w:r>
      <w:r>
        <w:t xml:space="preserve">. </w:t>
      </w:r>
      <w:r w:rsidRPr="00AC0B0E">
        <w:t xml:space="preserve">In total, EPA </w:t>
      </w:r>
      <w:r>
        <w:t>expects there are no</w:t>
      </w:r>
      <w:r w:rsidRPr="00AC0B0E">
        <w:t xml:space="preserve"> unique respondents subject to the information collection requirements outlined in this </w:t>
      </w:r>
      <w:r>
        <w:t>ICR due to the proposed incremental changes</w:t>
      </w:r>
      <w:r w:rsidRPr="00AC0B0E">
        <w:t xml:space="preserve">. This estimate </w:t>
      </w:r>
      <w:r w:rsidRPr="00AC0B0E">
        <w:t>takes into account</w:t>
      </w:r>
      <w:r w:rsidRPr="00AC0B0E">
        <w:t xml:space="preserve"> the fact that the respondent types are not mutually exclusive, meaning a given respondent may be subject to more than one information collection activity. </w:t>
      </w:r>
    </w:p>
    <w:p w:rsidR="00015010" w:rsidP="00015010" w14:paraId="3C8E333E" w14:textId="5FC3D7B9">
      <w:r>
        <w:fldChar w:fldCharType="begin"/>
      </w:r>
      <w:r>
        <w:instrText xml:space="preserve"> REF _Ref69842391 \h </w:instrText>
      </w:r>
      <w:r>
        <w:fldChar w:fldCharType="separate"/>
      </w:r>
      <w:r>
        <w:t xml:space="preserve">Table </w:t>
      </w:r>
      <w:r w:rsidR="008533CD">
        <w:t>I</w:t>
      </w:r>
      <w:r>
        <w:rPr>
          <w:noProof/>
        </w:rPr>
        <w:t>V</w:t>
      </w:r>
      <w:r>
        <w:fldChar w:fldCharType="end"/>
      </w:r>
      <w:r w:rsidRPr="00672C85">
        <w:t xml:space="preserve"> summarizes </w:t>
      </w:r>
      <w:r>
        <w:t xml:space="preserve">the </w:t>
      </w:r>
      <w:r w:rsidRPr="00672C85">
        <w:t xml:space="preserve">total </w:t>
      </w:r>
      <w:r>
        <w:t xml:space="preserve">number of respondents per activity per year as well as total burden hours and costs per year. The number of respondents per activity per year varies across the three years covered by this ICR due to the one-time reporting requirement and anticipated requests for extension. Total </w:t>
      </w:r>
      <w:r w:rsidRPr="00672C85">
        <w:t xml:space="preserve">respondent burden hours and costs are derived by multiplying the number of respondents per activity by total hours and total costs </w:t>
      </w:r>
      <w:r>
        <w:t xml:space="preserve">per respondent per year (see </w:t>
      </w:r>
      <w:r>
        <w:fldChar w:fldCharType="begin"/>
      </w:r>
      <w:r>
        <w:instrText xml:space="preserve"> REF _Ref68181412 \h  \* MERGEFORMAT </w:instrText>
      </w:r>
      <w:r>
        <w:fldChar w:fldCharType="separate"/>
      </w:r>
      <w:r w:rsidRPr="00261E41">
        <w:t>Table III</w:t>
      </w:r>
      <w:r>
        <w:fldChar w:fldCharType="end"/>
      </w:r>
      <w:r>
        <w:t xml:space="preserve">).  EPA has not deducted any respondent burden that may already be covered under the GHGRP’s ICR (2060-0629). </w:t>
      </w:r>
    </w:p>
    <w:p w:rsidR="00015010" w:rsidP="00015010" w14:paraId="36509ABB" w14:textId="1A4761ED">
      <w:pPr>
        <w:pStyle w:val="Caption"/>
        <w:keepNext/>
      </w:pPr>
      <w:bookmarkStart w:id="23" w:name="_Ref69842391"/>
      <w:r>
        <w:t xml:space="preserve">Table </w:t>
      </w:r>
      <w:r w:rsidR="008533CD">
        <w:t>I</w:t>
      </w:r>
      <w:r>
        <w:fldChar w:fldCharType="begin"/>
      </w:r>
      <w:r>
        <w:instrText xml:space="preserve"> SEQ Table \* ROMAN </w:instrText>
      </w:r>
      <w:r>
        <w:fldChar w:fldCharType="separate"/>
      </w:r>
      <w:r>
        <w:rPr>
          <w:noProof/>
        </w:rPr>
        <w:t>V</w:t>
      </w:r>
      <w:r>
        <w:rPr>
          <w:noProof/>
        </w:rPr>
        <w:fldChar w:fldCharType="end"/>
      </w:r>
      <w:bookmarkEnd w:id="23"/>
      <w:r>
        <w:t>. Respondent Burden and Cost Table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58" w:type="dxa"/>
        </w:tblCellMar>
        <w:tblLook w:val="04A0"/>
      </w:tblPr>
      <w:tblGrid>
        <w:gridCol w:w="3330"/>
        <w:gridCol w:w="540"/>
        <w:gridCol w:w="540"/>
        <w:gridCol w:w="535"/>
        <w:gridCol w:w="590"/>
        <w:gridCol w:w="630"/>
        <w:gridCol w:w="598"/>
        <w:gridCol w:w="972"/>
        <w:gridCol w:w="810"/>
        <w:gridCol w:w="810"/>
      </w:tblGrid>
      <w:tr w14:paraId="316AE0E0" w14:textId="77777777" w:rsidTr="007B260E">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58" w:type="dxa"/>
          </w:tblCellMar>
          <w:tblLook w:val="04A0"/>
        </w:tblPrEx>
        <w:trPr>
          <w:trHeight w:val="557"/>
          <w:tblHeader/>
        </w:trPr>
        <w:tc>
          <w:tcPr>
            <w:tcW w:w="3330" w:type="dxa"/>
            <w:vMerge w:val="restart"/>
            <w:shd w:val="clear" w:color="000000" w:fill="F2F2F2"/>
            <w:vAlign w:val="center"/>
            <w:hideMark/>
          </w:tcPr>
          <w:p w:rsidR="00015010" w:rsidRPr="007869C2" w:rsidP="007B260E" w14:paraId="4D4CBD2B" w14:textId="77777777">
            <w:pPr>
              <w:spacing w:after="0"/>
              <w:jc w:val="center"/>
              <w:rPr>
                <w:b/>
                <w:bCs/>
                <w:color w:val="000000"/>
                <w:sz w:val="18"/>
                <w:szCs w:val="18"/>
              </w:rPr>
            </w:pPr>
            <w:r w:rsidRPr="007869C2">
              <w:rPr>
                <w:b/>
                <w:bCs/>
                <w:color w:val="000000"/>
                <w:sz w:val="18"/>
                <w:szCs w:val="18"/>
              </w:rPr>
              <w:t xml:space="preserve"> Activity </w:t>
            </w:r>
          </w:p>
        </w:tc>
        <w:tc>
          <w:tcPr>
            <w:tcW w:w="1615" w:type="dxa"/>
            <w:gridSpan w:val="3"/>
            <w:shd w:val="clear" w:color="000000" w:fill="F2F2F2"/>
            <w:vAlign w:val="center"/>
          </w:tcPr>
          <w:p w:rsidR="00015010" w:rsidRPr="007869C2" w:rsidP="007B260E" w14:paraId="1401EE2B" w14:textId="77777777">
            <w:pPr>
              <w:spacing w:after="0"/>
              <w:jc w:val="center"/>
              <w:rPr>
                <w:b/>
                <w:bCs/>
                <w:color w:val="000000"/>
                <w:sz w:val="18"/>
                <w:szCs w:val="18"/>
              </w:rPr>
            </w:pPr>
            <w:r w:rsidRPr="00C21403">
              <w:rPr>
                <w:b/>
                <w:bCs/>
                <w:color w:val="000000"/>
                <w:sz w:val="18"/>
                <w:szCs w:val="18"/>
              </w:rPr>
              <w:t>Respondents per Activity per Year</w:t>
            </w:r>
          </w:p>
        </w:tc>
        <w:tc>
          <w:tcPr>
            <w:tcW w:w="1818" w:type="dxa"/>
            <w:gridSpan w:val="3"/>
            <w:shd w:val="clear" w:color="000000" w:fill="F2F2F2"/>
            <w:vAlign w:val="center"/>
          </w:tcPr>
          <w:p w:rsidR="00015010" w:rsidRPr="007869C2" w:rsidP="007B260E" w14:paraId="291AAF67" w14:textId="77777777">
            <w:pPr>
              <w:spacing w:after="0"/>
              <w:jc w:val="center"/>
              <w:rPr>
                <w:b/>
                <w:bCs/>
                <w:color w:val="000000"/>
                <w:sz w:val="18"/>
                <w:szCs w:val="18"/>
              </w:rPr>
            </w:pPr>
            <w:r w:rsidRPr="00C21403">
              <w:rPr>
                <w:b/>
                <w:bCs/>
                <w:color w:val="000000"/>
                <w:sz w:val="18"/>
                <w:szCs w:val="18"/>
              </w:rPr>
              <w:t>Total Hours per Year</w:t>
            </w:r>
          </w:p>
        </w:tc>
        <w:tc>
          <w:tcPr>
            <w:tcW w:w="2592" w:type="dxa"/>
            <w:gridSpan w:val="3"/>
            <w:shd w:val="clear" w:color="000000" w:fill="F2F2F2"/>
            <w:vAlign w:val="center"/>
          </w:tcPr>
          <w:p w:rsidR="00015010" w:rsidRPr="007869C2" w:rsidP="007B260E" w14:paraId="7FC7DCB4" w14:textId="77777777">
            <w:pPr>
              <w:spacing w:after="0"/>
              <w:jc w:val="center"/>
              <w:rPr>
                <w:b/>
                <w:bCs/>
                <w:color w:val="000000"/>
                <w:sz w:val="18"/>
                <w:szCs w:val="18"/>
              </w:rPr>
            </w:pPr>
            <w:r w:rsidRPr="00C21403">
              <w:rPr>
                <w:b/>
                <w:bCs/>
                <w:color w:val="000000"/>
                <w:sz w:val="18"/>
                <w:szCs w:val="18"/>
              </w:rPr>
              <w:t>Total Cost per Year</w:t>
            </w:r>
          </w:p>
        </w:tc>
      </w:tr>
      <w:tr w14:paraId="71D3E2DE" w14:textId="77777777" w:rsidTr="007B260E">
        <w:tblPrEx>
          <w:tblW w:w="9355" w:type="dxa"/>
          <w:tblLayout w:type="fixed"/>
          <w:tblCellMar>
            <w:left w:w="29" w:type="dxa"/>
            <w:right w:w="58" w:type="dxa"/>
          </w:tblCellMar>
          <w:tblLook w:val="04A0"/>
        </w:tblPrEx>
        <w:trPr>
          <w:trHeight w:val="323"/>
          <w:tblHeader/>
        </w:trPr>
        <w:tc>
          <w:tcPr>
            <w:tcW w:w="3330" w:type="dxa"/>
            <w:vMerge/>
            <w:vAlign w:val="center"/>
            <w:hideMark/>
          </w:tcPr>
          <w:p w:rsidR="00015010" w:rsidRPr="007869C2" w:rsidP="007B260E" w14:paraId="6C41B209" w14:textId="77777777">
            <w:pPr>
              <w:spacing w:after="0"/>
              <w:rPr>
                <w:b/>
                <w:bCs/>
                <w:color w:val="000000"/>
                <w:sz w:val="18"/>
                <w:szCs w:val="18"/>
              </w:rPr>
            </w:pPr>
          </w:p>
        </w:tc>
        <w:tc>
          <w:tcPr>
            <w:tcW w:w="540" w:type="dxa"/>
            <w:shd w:val="clear" w:color="auto" w:fill="F2F2F2" w:themeFill="background1" w:themeFillShade="F2"/>
            <w:vAlign w:val="center"/>
          </w:tcPr>
          <w:p w:rsidR="00015010" w:rsidRPr="00C55072" w:rsidP="007B260E" w14:paraId="2F57FA1B" w14:textId="77777777">
            <w:pPr>
              <w:spacing w:after="0"/>
              <w:jc w:val="center"/>
              <w:rPr>
                <w:b/>
                <w:bCs/>
                <w:sz w:val="18"/>
                <w:szCs w:val="18"/>
              </w:rPr>
            </w:pPr>
            <w:r w:rsidRPr="00C55072">
              <w:rPr>
                <w:b/>
                <w:bCs/>
                <w:sz w:val="18"/>
                <w:szCs w:val="18"/>
              </w:rPr>
              <w:t>Y1</w:t>
            </w:r>
          </w:p>
        </w:tc>
        <w:tc>
          <w:tcPr>
            <w:tcW w:w="540" w:type="dxa"/>
            <w:shd w:val="clear" w:color="auto" w:fill="F2F2F2" w:themeFill="background1" w:themeFillShade="F2"/>
            <w:vAlign w:val="center"/>
          </w:tcPr>
          <w:p w:rsidR="00015010" w:rsidRPr="00C55072" w:rsidP="007B260E" w14:paraId="5D22BAF1" w14:textId="77777777">
            <w:pPr>
              <w:spacing w:after="0"/>
              <w:jc w:val="center"/>
              <w:rPr>
                <w:b/>
                <w:bCs/>
                <w:sz w:val="18"/>
                <w:szCs w:val="18"/>
              </w:rPr>
            </w:pPr>
            <w:r w:rsidRPr="00C55072">
              <w:rPr>
                <w:b/>
                <w:bCs/>
                <w:sz w:val="18"/>
                <w:szCs w:val="18"/>
              </w:rPr>
              <w:t>Y2</w:t>
            </w:r>
          </w:p>
        </w:tc>
        <w:tc>
          <w:tcPr>
            <w:tcW w:w="535" w:type="dxa"/>
            <w:shd w:val="clear" w:color="auto" w:fill="F2F2F2" w:themeFill="background1" w:themeFillShade="F2"/>
            <w:vAlign w:val="center"/>
          </w:tcPr>
          <w:p w:rsidR="00015010" w:rsidRPr="00C55072" w:rsidP="007B260E" w14:paraId="186AA74A" w14:textId="77777777">
            <w:pPr>
              <w:spacing w:after="0"/>
              <w:jc w:val="center"/>
              <w:rPr>
                <w:b/>
                <w:bCs/>
                <w:sz w:val="18"/>
                <w:szCs w:val="18"/>
              </w:rPr>
            </w:pPr>
            <w:r w:rsidRPr="00C55072">
              <w:rPr>
                <w:b/>
                <w:bCs/>
                <w:sz w:val="18"/>
                <w:szCs w:val="18"/>
              </w:rPr>
              <w:t>Y3</w:t>
            </w:r>
          </w:p>
        </w:tc>
        <w:tc>
          <w:tcPr>
            <w:tcW w:w="590" w:type="dxa"/>
            <w:shd w:val="clear" w:color="auto" w:fill="F2F2F2" w:themeFill="background1" w:themeFillShade="F2"/>
            <w:vAlign w:val="center"/>
          </w:tcPr>
          <w:p w:rsidR="00015010" w:rsidRPr="00C55072" w:rsidP="007B260E" w14:paraId="4EA07F66" w14:textId="77777777">
            <w:pPr>
              <w:spacing w:after="0"/>
              <w:jc w:val="center"/>
              <w:rPr>
                <w:b/>
                <w:bCs/>
                <w:sz w:val="18"/>
                <w:szCs w:val="18"/>
              </w:rPr>
            </w:pPr>
            <w:r w:rsidRPr="00C55072">
              <w:rPr>
                <w:b/>
                <w:bCs/>
                <w:sz w:val="18"/>
                <w:szCs w:val="18"/>
              </w:rPr>
              <w:t>Y1</w:t>
            </w:r>
          </w:p>
        </w:tc>
        <w:tc>
          <w:tcPr>
            <w:tcW w:w="630" w:type="dxa"/>
            <w:shd w:val="clear" w:color="auto" w:fill="F2F2F2" w:themeFill="background1" w:themeFillShade="F2"/>
            <w:vAlign w:val="center"/>
          </w:tcPr>
          <w:p w:rsidR="00015010" w:rsidRPr="00C55072" w:rsidP="007B260E" w14:paraId="7E444AC3" w14:textId="77777777">
            <w:pPr>
              <w:spacing w:after="0"/>
              <w:jc w:val="center"/>
              <w:rPr>
                <w:b/>
                <w:bCs/>
                <w:sz w:val="18"/>
                <w:szCs w:val="18"/>
              </w:rPr>
            </w:pPr>
            <w:r w:rsidRPr="00C55072">
              <w:rPr>
                <w:b/>
                <w:bCs/>
                <w:sz w:val="18"/>
                <w:szCs w:val="18"/>
              </w:rPr>
              <w:t>Y2</w:t>
            </w:r>
          </w:p>
        </w:tc>
        <w:tc>
          <w:tcPr>
            <w:tcW w:w="598" w:type="dxa"/>
            <w:shd w:val="clear" w:color="auto" w:fill="F2F2F2" w:themeFill="background1" w:themeFillShade="F2"/>
            <w:vAlign w:val="center"/>
          </w:tcPr>
          <w:p w:rsidR="00015010" w:rsidRPr="00C55072" w:rsidP="007B260E" w14:paraId="1CF50B76" w14:textId="77777777">
            <w:pPr>
              <w:spacing w:after="0"/>
              <w:jc w:val="center"/>
              <w:rPr>
                <w:b/>
                <w:bCs/>
                <w:sz w:val="18"/>
                <w:szCs w:val="18"/>
              </w:rPr>
            </w:pPr>
            <w:r w:rsidRPr="00C55072">
              <w:rPr>
                <w:b/>
                <w:bCs/>
                <w:sz w:val="18"/>
                <w:szCs w:val="18"/>
              </w:rPr>
              <w:t>Y3</w:t>
            </w:r>
          </w:p>
        </w:tc>
        <w:tc>
          <w:tcPr>
            <w:tcW w:w="972" w:type="dxa"/>
            <w:shd w:val="clear" w:color="auto" w:fill="F2F2F2" w:themeFill="background1" w:themeFillShade="F2"/>
            <w:vAlign w:val="center"/>
          </w:tcPr>
          <w:p w:rsidR="00015010" w:rsidRPr="00C55072" w:rsidP="007B260E" w14:paraId="7FC561A4" w14:textId="77777777">
            <w:pPr>
              <w:spacing w:after="0"/>
              <w:jc w:val="center"/>
              <w:rPr>
                <w:b/>
                <w:bCs/>
                <w:sz w:val="18"/>
                <w:szCs w:val="18"/>
              </w:rPr>
            </w:pPr>
            <w:r w:rsidRPr="00C55072">
              <w:rPr>
                <w:b/>
                <w:bCs/>
                <w:sz w:val="18"/>
                <w:szCs w:val="18"/>
              </w:rPr>
              <w:t>Y1</w:t>
            </w:r>
          </w:p>
        </w:tc>
        <w:tc>
          <w:tcPr>
            <w:tcW w:w="810" w:type="dxa"/>
            <w:shd w:val="clear" w:color="auto" w:fill="F2F2F2" w:themeFill="background1" w:themeFillShade="F2"/>
            <w:vAlign w:val="center"/>
          </w:tcPr>
          <w:p w:rsidR="00015010" w:rsidRPr="00C55072" w:rsidP="007B260E" w14:paraId="523FBE1F" w14:textId="77777777">
            <w:pPr>
              <w:spacing w:after="0"/>
              <w:jc w:val="center"/>
              <w:rPr>
                <w:b/>
                <w:bCs/>
                <w:sz w:val="18"/>
                <w:szCs w:val="18"/>
              </w:rPr>
            </w:pPr>
            <w:r w:rsidRPr="00C55072">
              <w:rPr>
                <w:b/>
                <w:bCs/>
                <w:sz w:val="18"/>
                <w:szCs w:val="18"/>
              </w:rPr>
              <w:t>Y2</w:t>
            </w:r>
          </w:p>
        </w:tc>
        <w:tc>
          <w:tcPr>
            <w:tcW w:w="810" w:type="dxa"/>
            <w:shd w:val="clear" w:color="auto" w:fill="F2F2F2" w:themeFill="background1" w:themeFillShade="F2"/>
            <w:vAlign w:val="center"/>
          </w:tcPr>
          <w:p w:rsidR="00015010" w:rsidRPr="00C55072" w:rsidP="007B260E" w14:paraId="726D9AAD" w14:textId="77777777">
            <w:pPr>
              <w:spacing w:after="0"/>
              <w:jc w:val="center"/>
              <w:rPr>
                <w:b/>
                <w:bCs/>
                <w:sz w:val="18"/>
                <w:szCs w:val="18"/>
              </w:rPr>
            </w:pPr>
            <w:r w:rsidRPr="00C55072">
              <w:rPr>
                <w:b/>
                <w:bCs/>
                <w:sz w:val="18"/>
                <w:szCs w:val="18"/>
              </w:rPr>
              <w:t>Y3</w:t>
            </w:r>
          </w:p>
        </w:tc>
      </w:tr>
      <w:tr w14:paraId="2627A8FA" w14:textId="77777777" w:rsidTr="007B260E">
        <w:tblPrEx>
          <w:tblW w:w="9355" w:type="dxa"/>
          <w:tblLayout w:type="fixed"/>
          <w:tblCellMar>
            <w:left w:w="29" w:type="dxa"/>
            <w:right w:w="58" w:type="dxa"/>
          </w:tblCellMar>
          <w:tblLook w:val="04A0"/>
        </w:tblPrEx>
        <w:trPr>
          <w:trHeight w:val="288"/>
        </w:trPr>
        <w:tc>
          <w:tcPr>
            <w:tcW w:w="3330" w:type="dxa"/>
            <w:shd w:val="clear" w:color="auto" w:fill="auto"/>
            <w:vAlign w:val="center"/>
            <w:hideMark/>
          </w:tcPr>
          <w:p w:rsidR="00015010" w:rsidRPr="007869C2" w:rsidP="007B260E" w14:paraId="68B360F2" w14:textId="77777777">
            <w:pPr>
              <w:spacing w:after="0"/>
              <w:rPr>
                <w:sz w:val="18"/>
                <w:szCs w:val="18"/>
              </w:rPr>
            </w:pPr>
            <w:r w:rsidRPr="007869C2">
              <w:rPr>
                <w:sz w:val="18"/>
                <w:szCs w:val="18"/>
              </w:rPr>
              <w:t>Submit one-time report</w:t>
            </w:r>
          </w:p>
        </w:tc>
        <w:tc>
          <w:tcPr>
            <w:tcW w:w="540" w:type="dxa"/>
            <w:vAlign w:val="center"/>
          </w:tcPr>
          <w:p w:rsidR="00015010" w:rsidRPr="00C969D2" w:rsidP="007B260E" w14:paraId="449B1F52" w14:textId="77777777">
            <w:pPr>
              <w:spacing w:after="0"/>
              <w:jc w:val="right"/>
              <w:rPr>
                <w:sz w:val="18"/>
                <w:szCs w:val="18"/>
              </w:rPr>
            </w:pPr>
            <w:r>
              <w:rPr>
                <w:sz w:val="18"/>
                <w:szCs w:val="18"/>
              </w:rPr>
              <w:t>9</w:t>
            </w:r>
          </w:p>
        </w:tc>
        <w:tc>
          <w:tcPr>
            <w:tcW w:w="540" w:type="dxa"/>
            <w:vAlign w:val="center"/>
          </w:tcPr>
          <w:p w:rsidR="00015010" w:rsidRPr="00C969D2" w:rsidP="007B260E" w14:paraId="0E0D6CDA" w14:textId="77777777">
            <w:pPr>
              <w:spacing w:after="0"/>
              <w:jc w:val="right"/>
              <w:rPr>
                <w:sz w:val="18"/>
                <w:szCs w:val="18"/>
              </w:rPr>
            </w:pPr>
            <w:r>
              <w:rPr>
                <w:sz w:val="18"/>
                <w:szCs w:val="18"/>
              </w:rPr>
              <w:t>0</w:t>
            </w:r>
          </w:p>
        </w:tc>
        <w:tc>
          <w:tcPr>
            <w:tcW w:w="535" w:type="dxa"/>
            <w:vAlign w:val="center"/>
          </w:tcPr>
          <w:p w:rsidR="00015010" w:rsidRPr="00C969D2" w:rsidP="007B260E" w14:paraId="3415956D" w14:textId="77777777">
            <w:pPr>
              <w:spacing w:after="0"/>
              <w:jc w:val="right"/>
              <w:rPr>
                <w:sz w:val="18"/>
                <w:szCs w:val="18"/>
              </w:rPr>
            </w:pPr>
            <w:r>
              <w:rPr>
                <w:sz w:val="18"/>
                <w:szCs w:val="18"/>
              </w:rPr>
              <w:t>0</w:t>
            </w:r>
          </w:p>
        </w:tc>
        <w:tc>
          <w:tcPr>
            <w:tcW w:w="590" w:type="dxa"/>
            <w:vAlign w:val="center"/>
          </w:tcPr>
          <w:p w:rsidR="00015010" w:rsidRPr="00C969D2" w:rsidP="007B260E" w14:paraId="3B125336" w14:textId="77777777">
            <w:pPr>
              <w:spacing w:after="0"/>
              <w:jc w:val="right"/>
              <w:rPr>
                <w:sz w:val="18"/>
                <w:szCs w:val="18"/>
              </w:rPr>
            </w:pPr>
            <w:r w:rsidRPr="0007610A">
              <w:rPr>
                <w:sz w:val="18"/>
                <w:szCs w:val="18"/>
              </w:rPr>
              <w:t>14,283</w:t>
            </w:r>
          </w:p>
        </w:tc>
        <w:tc>
          <w:tcPr>
            <w:tcW w:w="630" w:type="dxa"/>
            <w:vAlign w:val="center"/>
          </w:tcPr>
          <w:p w:rsidR="00015010" w:rsidRPr="00C969D2" w:rsidP="007B260E" w14:paraId="490F0593" w14:textId="77777777">
            <w:pPr>
              <w:spacing w:after="0"/>
              <w:jc w:val="right"/>
              <w:rPr>
                <w:sz w:val="18"/>
                <w:szCs w:val="18"/>
              </w:rPr>
            </w:pPr>
            <w:r w:rsidRPr="00C969D2">
              <w:rPr>
                <w:sz w:val="18"/>
                <w:szCs w:val="18"/>
              </w:rPr>
              <w:t>0</w:t>
            </w:r>
          </w:p>
        </w:tc>
        <w:tc>
          <w:tcPr>
            <w:tcW w:w="598" w:type="dxa"/>
            <w:vAlign w:val="center"/>
          </w:tcPr>
          <w:p w:rsidR="00015010" w:rsidRPr="00C969D2" w:rsidP="007B260E" w14:paraId="6055B2C4" w14:textId="77777777">
            <w:pPr>
              <w:spacing w:after="0"/>
              <w:jc w:val="right"/>
              <w:rPr>
                <w:sz w:val="18"/>
                <w:szCs w:val="18"/>
              </w:rPr>
            </w:pPr>
            <w:r w:rsidRPr="00C969D2">
              <w:rPr>
                <w:sz w:val="18"/>
                <w:szCs w:val="18"/>
              </w:rPr>
              <w:t>0</w:t>
            </w:r>
          </w:p>
        </w:tc>
        <w:tc>
          <w:tcPr>
            <w:tcW w:w="972" w:type="dxa"/>
            <w:vAlign w:val="center"/>
          </w:tcPr>
          <w:p w:rsidR="00015010" w:rsidRPr="00C969D2" w:rsidP="007B260E" w14:paraId="52B7E54A" w14:textId="77777777">
            <w:pPr>
              <w:spacing w:after="0"/>
              <w:jc w:val="right"/>
              <w:rPr>
                <w:sz w:val="18"/>
                <w:szCs w:val="18"/>
              </w:rPr>
            </w:pPr>
            <w:r w:rsidRPr="0007610A">
              <w:rPr>
                <w:sz w:val="18"/>
                <w:szCs w:val="18"/>
              </w:rPr>
              <w:t>$1,768,</w:t>
            </w:r>
            <w:r>
              <w:rPr>
                <w:sz w:val="18"/>
                <w:szCs w:val="18"/>
              </w:rPr>
              <w:t>763</w:t>
            </w:r>
          </w:p>
        </w:tc>
        <w:tc>
          <w:tcPr>
            <w:tcW w:w="810" w:type="dxa"/>
            <w:vAlign w:val="center"/>
          </w:tcPr>
          <w:p w:rsidR="00015010" w:rsidRPr="00C969D2" w:rsidP="007B260E" w14:paraId="73E42AC9" w14:textId="77777777">
            <w:pPr>
              <w:spacing w:after="0"/>
              <w:jc w:val="right"/>
              <w:rPr>
                <w:sz w:val="18"/>
                <w:szCs w:val="18"/>
              </w:rPr>
            </w:pPr>
            <w:r w:rsidRPr="00C969D2">
              <w:rPr>
                <w:sz w:val="18"/>
                <w:szCs w:val="18"/>
              </w:rPr>
              <w:t>$0</w:t>
            </w:r>
          </w:p>
        </w:tc>
        <w:tc>
          <w:tcPr>
            <w:tcW w:w="810" w:type="dxa"/>
            <w:vAlign w:val="center"/>
          </w:tcPr>
          <w:p w:rsidR="00015010" w:rsidRPr="00C969D2" w:rsidP="007B260E" w14:paraId="134A583C" w14:textId="77777777">
            <w:pPr>
              <w:spacing w:after="0"/>
              <w:jc w:val="right"/>
              <w:rPr>
                <w:sz w:val="18"/>
                <w:szCs w:val="18"/>
              </w:rPr>
            </w:pPr>
            <w:r w:rsidRPr="00C969D2">
              <w:rPr>
                <w:sz w:val="18"/>
                <w:szCs w:val="18"/>
              </w:rPr>
              <w:t>$0</w:t>
            </w:r>
          </w:p>
        </w:tc>
      </w:tr>
      <w:tr w14:paraId="778107F9" w14:textId="77777777" w:rsidTr="007B260E">
        <w:tblPrEx>
          <w:tblW w:w="9355" w:type="dxa"/>
          <w:tblLayout w:type="fixed"/>
          <w:tblCellMar>
            <w:left w:w="29" w:type="dxa"/>
            <w:right w:w="58" w:type="dxa"/>
          </w:tblCellMar>
          <w:tblLook w:val="04A0"/>
        </w:tblPrEx>
        <w:trPr>
          <w:trHeight w:val="288"/>
        </w:trPr>
        <w:tc>
          <w:tcPr>
            <w:tcW w:w="3330" w:type="dxa"/>
            <w:shd w:val="clear" w:color="auto" w:fill="auto"/>
            <w:vAlign w:val="center"/>
            <w:hideMark/>
          </w:tcPr>
          <w:p w:rsidR="00015010" w:rsidRPr="007869C2" w:rsidP="007B260E" w14:paraId="5A8A349E" w14:textId="77777777">
            <w:pPr>
              <w:spacing w:after="0"/>
              <w:rPr>
                <w:sz w:val="18"/>
                <w:szCs w:val="18"/>
              </w:rPr>
            </w:pPr>
            <w:r w:rsidRPr="007869C2">
              <w:rPr>
                <w:sz w:val="18"/>
                <w:szCs w:val="18"/>
              </w:rPr>
              <w:t xml:space="preserve">Submit </w:t>
            </w:r>
            <w:r>
              <w:rPr>
                <w:sz w:val="18"/>
                <w:szCs w:val="18"/>
              </w:rPr>
              <w:t>annual</w:t>
            </w:r>
            <w:r w:rsidRPr="007869C2">
              <w:rPr>
                <w:sz w:val="18"/>
                <w:szCs w:val="18"/>
              </w:rPr>
              <w:t xml:space="preserve"> report</w:t>
            </w:r>
          </w:p>
        </w:tc>
        <w:tc>
          <w:tcPr>
            <w:tcW w:w="540" w:type="dxa"/>
            <w:vAlign w:val="center"/>
          </w:tcPr>
          <w:p w:rsidR="00015010" w:rsidRPr="00C969D2" w:rsidP="007B260E" w14:paraId="03117B47" w14:textId="77777777">
            <w:pPr>
              <w:spacing w:after="0"/>
              <w:jc w:val="right"/>
              <w:rPr>
                <w:sz w:val="18"/>
                <w:szCs w:val="18"/>
              </w:rPr>
            </w:pPr>
            <w:r>
              <w:rPr>
                <w:sz w:val="18"/>
                <w:szCs w:val="18"/>
              </w:rPr>
              <w:t>9</w:t>
            </w:r>
          </w:p>
        </w:tc>
        <w:tc>
          <w:tcPr>
            <w:tcW w:w="540" w:type="dxa"/>
            <w:vAlign w:val="center"/>
          </w:tcPr>
          <w:p w:rsidR="00015010" w:rsidRPr="00C969D2" w:rsidP="007B260E" w14:paraId="50B2F928" w14:textId="77777777">
            <w:pPr>
              <w:spacing w:after="0"/>
              <w:jc w:val="right"/>
              <w:rPr>
                <w:sz w:val="18"/>
                <w:szCs w:val="18"/>
              </w:rPr>
            </w:pPr>
            <w:r>
              <w:rPr>
                <w:sz w:val="18"/>
                <w:szCs w:val="18"/>
              </w:rPr>
              <w:t>9</w:t>
            </w:r>
          </w:p>
        </w:tc>
        <w:tc>
          <w:tcPr>
            <w:tcW w:w="535" w:type="dxa"/>
            <w:vAlign w:val="center"/>
          </w:tcPr>
          <w:p w:rsidR="00015010" w:rsidRPr="00C969D2" w:rsidP="007B260E" w14:paraId="7D0D4D5F" w14:textId="77777777">
            <w:pPr>
              <w:spacing w:after="0"/>
              <w:jc w:val="right"/>
              <w:rPr>
                <w:sz w:val="18"/>
                <w:szCs w:val="18"/>
              </w:rPr>
            </w:pPr>
            <w:r>
              <w:rPr>
                <w:sz w:val="18"/>
                <w:szCs w:val="18"/>
              </w:rPr>
              <w:t>9</w:t>
            </w:r>
          </w:p>
        </w:tc>
        <w:tc>
          <w:tcPr>
            <w:tcW w:w="590" w:type="dxa"/>
            <w:vAlign w:val="center"/>
          </w:tcPr>
          <w:p w:rsidR="00015010" w:rsidRPr="00C969D2" w:rsidP="007B260E" w14:paraId="025E1E31" w14:textId="77777777">
            <w:pPr>
              <w:spacing w:after="0"/>
              <w:jc w:val="right"/>
              <w:rPr>
                <w:sz w:val="18"/>
                <w:szCs w:val="18"/>
              </w:rPr>
            </w:pPr>
            <w:r w:rsidRPr="0007610A">
              <w:rPr>
                <w:sz w:val="18"/>
                <w:szCs w:val="18"/>
              </w:rPr>
              <w:t>54</w:t>
            </w:r>
          </w:p>
        </w:tc>
        <w:tc>
          <w:tcPr>
            <w:tcW w:w="630" w:type="dxa"/>
            <w:vAlign w:val="center"/>
          </w:tcPr>
          <w:p w:rsidR="00015010" w:rsidRPr="00C969D2" w:rsidP="007B260E" w14:paraId="6FB8E7D5" w14:textId="77777777">
            <w:pPr>
              <w:spacing w:after="0"/>
              <w:jc w:val="right"/>
              <w:rPr>
                <w:sz w:val="18"/>
                <w:szCs w:val="18"/>
              </w:rPr>
            </w:pPr>
            <w:r w:rsidRPr="0007610A">
              <w:rPr>
                <w:sz w:val="18"/>
                <w:szCs w:val="18"/>
              </w:rPr>
              <w:t>1,080</w:t>
            </w:r>
          </w:p>
        </w:tc>
        <w:tc>
          <w:tcPr>
            <w:tcW w:w="598" w:type="dxa"/>
            <w:vAlign w:val="center"/>
          </w:tcPr>
          <w:p w:rsidR="00015010" w:rsidRPr="00C969D2" w:rsidP="007B260E" w14:paraId="23A2D2C4" w14:textId="77777777">
            <w:pPr>
              <w:spacing w:after="0"/>
              <w:jc w:val="right"/>
              <w:rPr>
                <w:sz w:val="18"/>
                <w:szCs w:val="18"/>
              </w:rPr>
            </w:pPr>
            <w:r w:rsidRPr="0007610A">
              <w:rPr>
                <w:sz w:val="18"/>
                <w:szCs w:val="18"/>
              </w:rPr>
              <w:t>1,080</w:t>
            </w:r>
          </w:p>
        </w:tc>
        <w:tc>
          <w:tcPr>
            <w:tcW w:w="972" w:type="dxa"/>
            <w:vAlign w:val="center"/>
          </w:tcPr>
          <w:p w:rsidR="00015010" w:rsidRPr="00C969D2" w:rsidP="007B260E" w14:paraId="387C617A" w14:textId="77777777">
            <w:pPr>
              <w:spacing w:after="0"/>
              <w:jc w:val="right"/>
              <w:rPr>
                <w:sz w:val="18"/>
                <w:szCs w:val="18"/>
              </w:rPr>
            </w:pPr>
            <w:r w:rsidRPr="00B33D01">
              <w:rPr>
                <w:sz w:val="18"/>
                <w:szCs w:val="18"/>
              </w:rPr>
              <w:t>$6,865</w:t>
            </w:r>
          </w:p>
        </w:tc>
        <w:tc>
          <w:tcPr>
            <w:tcW w:w="810" w:type="dxa"/>
            <w:vAlign w:val="center"/>
          </w:tcPr>
          <w:p w:rsidR="00015010" w:rsidRPr="00C969D2" w:rsidP="007B260E" w14:paraId="16B4489C" w14:textId="77777777">
            <w:pPr>
              <w:spacing w:after="0"/>
              <w:jc w:val="right"/>
              <w:rPr>
                <w:sz w:val="18"/>
                <w:szCs w:val="18"/>
              </w:rPr>
            </w:pPr>
            <w:r w:rsidRPr="0007610A">
              <w:rPr>
                <w:sz w:val="18"/>
                <w:szCs w:val="18"/>
              </w:rPr>
              <w:t>$</w:t>
            </w:r>
            <w:r>
              <w:rPr>
                <w:sz w:val="18"/>
                <w:szCs w:val="18"/>
              </w:rPr>
              <w:t>125,600</w:t>
            </w:r>
          </w:p>
        </w:tc>
        <w:tc>
          <w:tcPr>
            <w:tcW w:w="810" w:type="dxa"/>
            <w:vAlign w:val="center"/>
          </w:tcPr>
          <w:p w:rsidR="00015010" w:rsidRPr="00C969D2" w:rsidP="007B260E" w14:paraId="1D52407F" w14:textId="77777777">
            <w:pPr>
              <w:spacing w:after="0"/>
              <w:jc w:val="right"/>
              <w:rPr>
                <w:sz w:val="18"/>
                <w:szCs w:val="18"/>
              </w:rPr>
            </w:pPr>
            <w:r w:rsidRPr="0007610A">
              <w:rPr>
                <w:sz w:val="18"/>
                <w:szCs w:val="18"/>
              </w:rPr>
              <w:t>$</w:t>
            </w:r>
            <w:r>
              <w:rPr>
                <w:sz w:val="18"/>
                <w:szCs w:val="18"/>
              </w:rPr>
              <w:t>125,600</w:t>
            </w:r>
          </w:p>
        </w:tc>
      </w:tr>
      <w:tr w14:paraId="47E67DF1" w14:textId="77777777" w:rsidTr="007B260E">
        <w:tblPrEx>
          <w:tblW w:w="9355" w:type="dxa"/>
          <w:tblLayout w:type="fixed"/>
          <w:tblCellMar>
            <w:left w:w="29" w:type="dxa"/>
            <w:right w:w="58" w:type="dxa"/>
          </w:tblCellMar>
          <w:tblLook w:val="04A0"/>
        </w:tblPrEx>
        <w:trPr>
          <w:trHeight w:val="288"/>
        </w:trPr>
        <w:tc>
          <w:tcPr>
            <w:tcW w:w="3330" w:type="dxa"/>
            <w:shd w:val="clear" w:color="auto" w:fill="auto"/>
            <w:vAlign w:val="center"/>
            <w:hideMark/>
          </w:tcPr>
          <w:p w:rsidR="00015010" w:rsidRPr="007869C2" w:rsidP="007B260E" w14:paraId="2C1BD25F" w14:textId="77777777">
            <w:pPr>
              <w:spacing w:after="0"/>
              <w:rPr>
                <w:sz w:val="18"/>
                <w:szCs w:val="18"/>
              </w:rPr>
            </w:pPr>
            <w:r w:rsidRPr="007B62FF">
              <w:rPr>
                <w:sz w:val="18"/>
                <w:szCs w:val="18"/>
              </w:rPr>
              <w:t>Submit significant process changes report</w:t>
            </w:r>
          </w:p>
        </w:tc>
        <w:tc>
          <w:tcPr>
            <w:tcW w:w="540" w:type="dxa"/>
            <w:vAlign w:val="center"/>
          </w:tcPr>
          <w:p w:rsidR="00015010" w:rsidRPr="00C969D2" w:rsidP="007B260E" w14:paraId="4262442E" w14:textId="77777777">
            <w:pPr>
              <w:spacing w:after="0"/>
              <w:jc w:val="right"/>
              <w:rPr>
                <w:sz w:val="18"/>
                <w:szCs w:val="18"/>
              </w:rPr>
            </w:pPr>
            <w:r>
              <w:rPr>
                <w:sz w:val="18"/>
                <w:szCs w:val="18"/>
              </w:rPr>
              <w:t>9</w:t>
            </w:r>
          </w:p>
        </w:tc>
        <w:tc>
          <w:tcPr>
            <w:tcW w:w="540" w:type="dxa"/>
            <w:vAlign w:val="center"/>
          </w:tcPr>
          <w:p w:rsidR="00015010" w:rsidRPr="00C969D2" w:rsidP="007B260E" w14:paraId="4EDE5EFE" w14:textId="77777777">
            <w:pPr>
              <w:spacing w:after="0"/>
              <w:jc w:val="right"/>
              <w:rPr>
                <w:sz w:val="18"/>
                <w:szCs w:val="18"/>
              </w:rPr>
            </w:pPr>
            <w:r>
              <w:rPr>
                <w:sz w:val="18"/>
                <w:szCs w:val="18"/>
              </w:rPr>
              <w:t>9</w:t>
            </w:r>
          </w:p>
        </w:tc>
        <w:tc>
          <w:tcPr>
            <w:tcW w:w="535" w:type="dxa"/>
            <w:vAlign w:val="center"/>
          </w:tcPr>
          <w:p w:rsidR="00015010" w:rsidRPr="00C969D2" w:rsidP="007B260E" w14:paraId="43EF1EA6" w14:textId="77777777">
            <w:pPr>
              <w:spacing w:after="0"/>
              <w:jc w:val="right"/>
              <w:rPr>
                <w:sz w:val="18"/>
                <w:szCs w:val="18"/>
              </w:rPr>
            </w:pPr>
            <w:r>
              <w:rPr>
                <w:sz w:val="18"/>
                <w:szCs w:val="18"/>
              </w:rPr>
              <w:t>9</w:t>
            </w:r>
          </w:p>
        </w:tc>
        <w:tc>
          <w:tcPr>
            <w:tcW w:w="590" w:type="dxa"/>
            <w:vAlign w:val="center"/>
          </w:tcPr>
          <w:p w:rsidR="00015010" w:rsidRPr="00C969D2" w:rsidP="007B260E" w14:paraId="4777A11E" w14:textId="77777777">
            <w:pPr>
              <w:spacing w:after="0"/>
              <w:jc w:val="right"/>
              <w:rPr>
                <w:sz w:val="18"/>
                <w:szCs w:val="18"/>
              </w:rPr>
            </w:pPr>
            <w:r>
              <w:rPr>
                <w:sz w:val="18"/>
                <w:szCs w:val="18"/>
              </w:rPr>
              <w:t>6</w:t>
            </w:r>
          </w:p>
        </w:tc>
        <w:tc>
          <w:tcPr>
            <w:tcW w:w="630" w:type="dxa"/>
            <w:vAlign w:val="center"/>
          </w:tcPr>
          <w:p w:rsidR="00015010" w:rsidRPr="00C969D2" w:rsidP="007B260E" w14:paraId="536CDB6E" w14:textId="77777777">
            <w:pPr>
              <w:spacing w:after="0"/>
              <w:jc w:val="right"/>
              <w:rPr>
                <w:sz w:val="18"/>
                <w:szCs w:val="18"/>
              </w:rPr>
            </w:pPr>
            <w:r>
              <w:rPr>
                <w:sz w:val="18"/>
                <w:szCs w:val="18"/>
              </w:rPr>
              <w:t>6</w:t>
            </w:r>
          </w:p>
        </w:tc>
        <w:tc>
          <w:tcPr>
            <w:tcW w:w="598" w:type="dxa"/>
            <w:vAlign w:val="center"/>
          </w:tcPr>
          <w:p w:rsidR="00015010" w:rsidRPr="00C969D2" w:rsidP="007B260E" w14:paraId="122AFB82" w14:textId="77777777">
            <w:pPr>
              <w:spacing w:after="0"/>
              <w:jc w:val="right"/>
              <w:rPr>
                <w:sz w:val="18"/>
                <w:szCs w:val="18"/>
              </w:rPr>
            </w:pPr>
            <w:r>
              <w:rPr>
                <w:sz w:val="18"/>
                <w:szCs w:val="18"/>
              </w:rPr>
              <w:t>6</w:t>
            </w:r>
          </w:p>
        </w:tc>
        <w:tc>
          <w:tcPr>
            <w:tcW w:w="972" w:type="dxa"/>
            <w:vAlign w:val="center"/>
          </w:tcPr>
          <w:p w:rsidR="00015010" w:rsidRPr="00C969D2" w:rsidP="007B260E" w14:paraId="15FF56F6" w14:textId="77777777">
            <w:pPr>
              <w:spacing w:after="0"/>
              <w:jc w:val="right"/>
              <w:rPr>
                <w:sz w:val="18"/>
                <w:szCs w:val="18"/>
              </w:rPr>
            </w:pPr>
            <w:r w:rsidRPr="0007610A">
              <w:rPr>
                <w:sz w:val="18"/>
                <w:szCs w:val="18"/>
              </w:rPr>
              <w:t>$763</w:t>
            </w:r>
          </w:p>
        </w:tc>
        <w:tc>
          <w:tcPr>
            <w:tcW w:w="810" w:type="dxa"/>
            <w:vAlign w:val="center"/>
          </w:tcPr>
          <w:p w:rsidR="00015010" w:rsidRPr="00C969D2" w:rsidP="007B260E" w14:paraId="7FB7DFB3" w14:textId="77777777">
            <w:pPr>
              <w:spacing w:after="0"/>
              <w:jc w:val="right"/>
              <w:rPr>
                <w:sz w:val="18"/>
                <w:szCs w:val="18"/>
              </w:rPr>
            </w:pPr>
            <w:r w:rsidRPr="0007610A">
              <w:rPr>
                <w:sz w:val="18"/>
                <w:szCs w:val="18"/>
              </w:rPr>
              <w:t>$763</w:t>
            </w:r>
          </w:p>
        </w:tc>
        <w:tc>
          <w:tcPr>
            <w:tcW w:w="810" w:type="dxa"/>
            <w:vAlign w:val="center"/>
          </w:tcPr>
          <w:p w:rsidR="00015010" w:rsidRPr="00C969D2" w:rsidP="007B260E" w14:paraId="4C0DC90B" w14:textId="77777777">
            <w:pPr>
              <w:spacing w:after="0"/>
              <w:jc w:val="right"/>
              <w:rPr>
                <w:sz w:val="18"/>
                <w:szCs w:val="18"/>
              </w:rPr>
            </w:pPr>
            <w:r w:rsidRPr="0007610A">
              <w:rPr>
                <w:sz w:val="18"/>
                <w:szCs w:val="18"/>
              </w:rPr>
              <w:t>$763</w:t>
            </w:r>
          </w:p>
        </w:tc>
      </w:tr>
      <w:tr w14:paraId="70E334E3" w14:textId="77777777" w:rsidTr="007B260E">
        <w:tblPrEx>
          <w:tblW w:w="9355" w:type="dxa"/>
          <w:tblLayout w:type="fixed"/>
          <w:tblCellMar>
            <w:left w:w="29" w:type="dxa"/>
            <w:right w:w="58" w:type="dxa"/>
          </w:tblCellMar>
          <w:tblLook w:val="04A0"/>
        </w:tblPrEx>
        <w:trPr>
          <w:trHeight w:val="288"/>
        </w:trPr>
        <w:tc>
          <w:tcPr>
            <w:tcW w:w="3330" w:type="dxa"/>
            <w:shd w:val="clear" w:color="auto" w:fill="auto"/>
            <w:vAlign w:val="center"/>
          </w:tcPr>
          <w:p w:rsidR="00015010" w:rsidRPr="007B62FF" w:rsidP="007B260E" w14:paraId="707A634F" w14:textId="77777777">
            <w:pPr>
              <w:spacing w:after="0"/>
              <w:rPr>
                <w:sz w:val="18"/>
                <w:szCs w:val="18"/>
              </w:rPr>
            </w:pPr>
            <w:r w:rsidRPr="006070DC">
              <w:rPr>
                <w:sz w:val="18"/>
                <w:szCs w:val="18"/>
              </w:rPr>
              <w:t>Maintain records</w:t>
            </w:r>
          </w:p>
        </w:tc>
        <w:tc>
          <w:tcPr>
            <w:tcW w:w="540" w:type="dxa"/>
            <w:vAlign w:val="center"/>
          </w:tcPr>
          <w:p w:rsidR="00015010" w:rsidP="007B260E" w14:paraId="2240C8F5" w14:textId="77777777">
            <w:pPr>
              <w:spacing w:after="0"/>
              <w:jc w:val="right"/>
              <w:rPr>
                <w:sz w:val="18"/>
                <w:szCs w:val="18"/>
              </w:rPr>
            </w:pPr>
            <w:r>
              <w:rPr>
                <w:sz w:val="18"/>
                <w:szCs w:val="18"/>
              </w:rPr>
              <w:t>9</w:t>
            </w:r>
          </w:p>
        </w:tc>
        <w:tc>
          <w:tcPr>
            <w:tcW w:w="540" w:type="dxa"/>
            <w:vAlign w:val="center"/>
          </w:tcPr>
          <w:p w:rsidR="00015010" w:rsidP="007B260E" w14:paraId="2A6A3134" w14:textId="77777777">
            <w:pPr>
              <w:spacing w:after="0"/>
              <w:jc w:val="right"/>
              <w:rPr>
                <w:sz w:val="18"/>
                <w:szCs w:val="18"/>
              </w:rPr>
            </w:pPr>
            <w:r>
              <w:rPr>
                <w:sz w:val="18"/>
                <w:szCs w:val="18"/>
              </w:rPr>
              <w:t>9</w:t>
            </w:r>
          </w:p>
        </w:tc>
        <w:tc>
          <w:tcPr>
            <w:tcW w:w="535" w:type="dxa"/>
            <w:vAlign w:val="center"/>
          </w:tcPr>
          <w:p w:rsidR="00015010" w:rsidP="007B260E" w14:paraId="46EE5555" w14:textId="77777777">
            <w:pPr>
              <w:spacing w:after="0"/>
              <w:jc w:val="right"/>
              <w:rPr>
                <w:sz w:val="18"/>
                <w:szCs w:val="18"/>
              </w:rPr>
            </w:pPr>
            <w:r>
              <w:rPr>
                <w:sz w:val="18"/>
                <w:szCs w:val="18"/>
              </w:rPr>
              <w:t>9</w:t>
            </w:r>
          </w:p>
        </w:tc>
        <w:tc>
          <w:tcPr>
            <w:tcW w:w="590" w:type="dxa"/>
            <w:vAlign w:val="center"/>
          </w:tcPr>
          <w:p w:rsidR="00015010" w:rsidP="007B260E" w14:paraId="404C759F" w14:textId="77777777">
            <w:pPr>
              <w:spacing w:after="0"/>
              <w:jc w:val="right"/>
              <w:rPr>
                <w:sz w:val="18"/>
                <w:szCs w:val="18"/>
              </w:rPr>
            </w:pPr>
            <w:r w:rsidRPr="0007610A">
              <w:rPr>
                <w:sz w:val="18"/>
                <w:szCs w:val="18"/>
              </w:rPr>
              <w:t>450</w:t>
            </w:r>
          </w:p>
        </w:tc>
        <w:tc>
          <w:tcPr>
            <w:tcW w:w="630" w:type="dxa"/>
            <w:vAlign w:val="center"/>
          </w:tcPr>
          <w:p w:rsidR="00015010" w:rsidP="007B260E" w14:paraId="50492323" w14:textId="77777777">
            <w:pPr>
              <w:spacing w:after="0"/>
              <w:jc w:val="right"/>
              <w:rPr>
                <w:sz w:val="18"/>
                <w:szCs w:val="18"/>
              </w:rPr>
            </w:pPr>
            <w:r w:rsidRPr="0007610A">
              <w:rPr>
                <w:sz w:val="18"/>
                <w:szCs w:val="18"/>
              </w:rPr>
              <w:t>450</w:t>
            </w:r>
          </w:p>
        </w:tc>
        <w:tc>
          <w:tcPr>
            <w:tcW w:w="598" w:type="dxa"/>
            <w:vAlign w:val="center"/>
          </w:tcPr>
          <w:p w:rsidR="00015010" w:rsidP="007B260E" w14:paraId="20D5CF68" w14:textId="77777777">
            <w:pPr>
              <w:spacing w:after="0"/>
              <w:jc w:val="right"/>
              <w:rPr>
                <w:sz w:val="18"/>
                <w:szCs w:val="18"/>
              </w:rPr>
            </w:pPr>
            <w:r w:rsidRPr="0007610A">
              <w:rPr>
                <w:sz w:val="18"/>
                <w:szCs w:val="18"/>
              </w:rPr>
              <w:t>450</w:t>
            </w:r>
          </w:p>
        </w:tc>
        <w:tc>
          <w:tcPr>
            <w:tcW w:w="972" w:type="dxa"/>
            <w:vAlign w:val="center"/>
          </w:tcPr>
          <w:p w:rsidR="00015010" w:rsidRPr="00C969D2" w:rsidP="007B260E" w14:paraId="45828C84" w14:textId="77777777">
            <w:pPr>
              <w:spacing w:after="0"/>
              <w:jc w:val="right"/>
              <w:rPr>
                <w:sz w:val="18"/>
                <w:szCs w:val="18"/>
              </w:rPr>
            </w:pPr>
            <w:r w:rsidRPr="00BF4B71">
              <w:rPr>
                <w:sz w:val="18"/>
                <w:szCs w:val="18"/>
              </w:rPr>
              <w:t>$37,887</w:t>
            </w:r>
          </w:p>
        </w:tc>
        <w:tc>
          <w:tcPr>
            <w:tcW w:w="810" w:type="dxa"/>
            <w:vAlign w:val="center"/>
          </w:tcPr>
          <w:p w:rsidR="00015010" w:rsidP="007B260E" w14:paraId="3C558596" w14:textId="77777777">
            <w:pPr>
              <w:spacing w:after="0"/>
              <w:jc w:val="right"/>
              <w:rPr>
                <w:sz w:val="18"/>
                <w:szCs w:val="18"/>
              </w:rPr>
            </w:pPr>
            <w:r w:rsidRPr="00BF4B71">
              <w:rPr>
                <w:sz w:val="18"/>
                <w:szCs w:val="18"/>
              </w:rPr>
              <w:t>$37,887</w:t>
            </w:r>
          </w:p>
        </w:tc>
        <w:tc>
          <w:tcPr>
            <w:tcW w:w="810" w:type="dxa"/>
            <w:vAlign w:val="center"/>
          </w:tcPr>
          <w:p w:rsidR="00015010" w:rsidP="007B260E" w14:paraId="37F298F8" w14:textId="77777777">
            <w:pPr>
              <w:spacing w:after="0"/>
              <w:jc w:val="right"/>
              <w:rPr>
                <w:sz w:val="18"/>
                <w:szCs w:val="18"/>
              </w:rPr>
            </w:pPr>
            <w:r w:rsidRPr="00BF4B71">
              <w:rPr>
                <w:sz w:val="18"/>
                <w:szCs w:val="18"/>
              </w:rPr>
              <w:t>$37,887</w:t>
            </w:r>
          </w:p>
        </w:tc>
      </w:tr>
    </w:tbl>
    <w:p w:rsidR="00015010" w:rsidP="00854AAE" w14:paraId="6A28D79E" w14:textId="77777777">
      <w:pPr>
        <w:spacing w:before="60"/>
        <w:rPr>
          <w:rFonts w:cstheme="minorHAnsi"/>
        </w:rPr>
      </w:pPr>
    </w:p>
    <w:p w:rsidR="008B6B80" w:rsidRPr="008B6B80" w:rsidP="00854AAE" w14:paraId="390B00C4" w14:textId="23956F6F">
      <w:pPr>
        <w:spacing w:before="60"/>
        <w:rPr>
          <w:rFonts w:cstheme="minorHAnsi"/>
          <w:u w:val="single"/>
        </w:rPr>
      </w:pPr>
      <w:r w:rsidRPr="008B6B80">
        <w:rPr>
          <w:rFonts w:cstheme="minorHAnsi"/>
          <w:u w:val="single"/>
        </w:rPr>
        <w:t>Respondent Tally</w:t>
      </w:r>
    </w:p>
    <w:p w:rsidR="008B6B80" w:rsidP="008B6B80" w14:paraId="305011A8" w14:textId="7737B948">
      <w:pPr>
        <w:keepNext/>
      </w:pPr>
      <w:r>
        <w:t xml:space="preserve">As shown in </w:t>
      </w:r>
      <w:r>
        <w:fldChar w:fldCharType="begin"/>
      </w:r>
      <w:r>
        <w:instrText xml:space="preserve"> REF _Ref69842375 \h </w:instrText>
      </w:r>
      <w:r>
        <w:fldChar w:fldCharType="separate"/>
      </w:r>
      <w:r>
        <w:t xml:space="preserve">Table </w:t>
      </w:r>
      <w:r>
        <w:rPr>
          <w:noProof/>
        </w:rPr>
        <w:t>V</w:t>
      </w:r>
      <w:r>
        <w:t xml:space="preserve">. </w:t>
      </w:r>
      <w:r w:rsidRPr="005E17D7">
        <w:t>Respondent Burden Summary Table</w:t>
      </w:r>
      <w:r>
        <w:fldChar w:fldCharType="end"/>
      </w:r>
      <w:r>
        <w:t xml:space="preserve">, EPA estimates the total annual hour and cost burden to all respondents to average 5,883 hours and </w:t>
      </w:r>
      <w:r w:rsidRPr="00BF4B71">
        <w:t>$719,593</w:t>
      </w:r>
      <w:r>
        <w:t>.</w:t>
      </w:r>
    </w:p>
    <w:p w:rsidR="008B6B80" w:rsidP="008B6B80" w14:paraId="0AC2348C" w14:textId="58BAEE97">
      <w:pPr>
        <w:pStyle w:val="Caption"/>
      </w:pPr>
      <w:bookmarkStart w:id="24" w:name="_Ref69842375"/>
      <w:r>
        <w:t xml:space="preserve">Table </w:t>
      </w:r>
      <w:r w:rsidR="008533CD">
        <w:t>V</w:t>
      </w:r>
      <w:r>
        <w:t xml:space="preserve">. </w:t>
      </w:r>
      <w:r w:rsidRPr="005E17D7">
        <w:t>Respondent Burden Summary Table</w:t>
      </w:r>
      <w:bookmarkEnd w:id="24"/>
    </w:p>
    <w:tbl>
      <w:tblPr>
        <w:tblW w:w="3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4"/>
        <w:gridCol w:w="1802"/>
        <w:gridCol w:w="1710"/>
        <w:gridCol w:w="1710"/>
      </w:tblGrid>
      <w:tr w14:paraId="5D68189C" w14:textId="77777777" w:rsidTr="007B260E">
        <w:tblPrEx>
          <w:tblW w:w="3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7"/>
        </w:trPr>
        <w:tc>
          <w:tcPr>
            <w:tcW w:w="1372" w:type="pct"/>
            <w:shd w:val="clear" w:color="000000" w:fill="D9D9D9"/>
            <w:vAlign w:val="center"/>
            <w:hideMark/>
          </w:tcPr>
          <w:p w:rsidR="008B6B80" w:rsidRPr="00CD2903" w:rsidP="007B260E" w14:paraId="5766A285" w14:textId="77777777">
            <w:pPr>
              <w:spacing w:after="0"/>
              <w:jc w:val="center"/>
              <w:rPr>
                <w:b/>
                <w:bCs/>
                <w:color w:val="000000"/>
                <w:sz w:val="20"/>
                <w:szCs w:val="20"/>
              </w:rPr>
            </w:pPr>
            <w:r>
              <w:rPr>
                <w:b/>
                <w:bCs/>
                <w:color w:val="000000"/>
                <w:sz w:val="20"/>
                <w:szCs w:val="20"/>
              </w:rPr>
              <w:t>Year</w:t>
            </w:r>
          </w:p>
        </w:tc>
        <w:tc>
          <w:tcPr>
            <w:tcW w:w="1252" w:type="pct"/>
            <w:shd w:val="clear" w:color="000000" w:fill="D9D9D9"/>
            <w:vAlign w:val="center"/>
          </w:tcPr>
          <w:p w:rsidR="008B6B80" w:rsidRPr="00CD2903" w:rsidP="007B260E" w14:paraId="1775A2FC" w14:textId="77777777">
            <w:pPr>
              <w:spacing w:after="0"/>
              <w:jc w:val="center"/>
              <w:rPr>
                <w:b/>
                <w:bCs/>
                <w:color w:val="000000"/>
                <w:sz w:val="20"/>
                <w:szCs w:val="20"/>
              </w:rPr>
            </w:pPr>
            <w:r>
              <w:rPr>
                <w:b/>
                <w:bCs/>
                <w:color w:val="000000"/>
                <w:sz w:val="20"/>
                <w:szCs w:val="20"/>
              </w:rPr>
              <w:t>Total Responses</w:t>
            </w:r>
          </w:p>
        </w:tc>
        <w:tc>
          <w:tcPr>
            <w:tcW w:w="1188" w:type="pct"/>
            <w:shd w:val="clear" w:color="000000" w:fill="D9D9D9"/>
            <w:vAlign w:val="center"/>
          </w:tcPr>
          <w:p w:rsidR="008B6B80" w:rsidRPr="00CD2903" w:rsidP="007B260E" w14:paraId="16FA48C9" w14:textId="77777777">
            <w:pPr>
              <w:spacing w:after="0"/>
              <w:jc w:val="center"/>
              <w:rPr>
                <w:b/>
                <w:bCs/>
                <w:color w:val="000000"/>
                <w:sz w:val="20"/>
                <w:szCs w:val="20"/>
              </w:rPr>
            </w:pPr>
            <w:r w:rsidRPr="00CD2903">
              <w:rPr>
                <w:b/>
                <w:bCs/>
                <w:color w:val="000000"/>
                <w:sz w:val="20"/>
                <w:szCs w:val="20"/>
              </w:rPr>
              <w:t>Total Hours</w:t>
            </w:r>
          </w:p>
        </w:tc>
        <w:tc>
          <w:tcPr>
            <w:tcW w:w="1189" w:type="pct"/>
            <w:shd w:val="clear" w:color="000000" w:fill="D9D9D9"/>
            <w:vAlign w:val="center"/>
            <w:hideMark/>
          </w:tcPr>
          <w:p w:rsidR="008B6B80" w:rsidRPr="00CD2903" w:rsidP="007B260E" w14:paraId="1AC6F314" w14:textId="77777777">
            <w:pPr>
              <w:spacing w:after="0"/>
              <w:jc w:val="center"/>
              <w:rPr>
                <w:b/>
                <w:bCs/>
                <w:color w:val="000000"/>
                <w:sz w:val="20"/>
                <w:szCs w:val="20"/>
              </w:rPr>
            </w:pPr>
            <w:r w:rsidRPr="00CD2903">
              <w:rPr>
                <w:b/>
                <w:bCs/>
                <w:color w:val="000000"/>
                <w:sz w:val="20"/>
                <w:szCs w:val="20"/>
              </w:rPr>
              <w:t>Total Costs</w:t>
            </w:r>
          </w:p>
        </w:tc>
      </w:tr>
      <w:tr w14:paraId="2206A932" w14:textId="77777777" w:rsidTr="007B260E">
        <w:tblPrEx>
          <w:tblW w:w="3848" w:type="pct"/>
          <w:tblLook w:val="04A0"/>
        </w:tblPrEx>
        <w:trPr>
          <w:trHeight w:val="288"/>
        </w:trPr>
        <w:tc>
          <w:tcPr>
            <w:tcW w:w="1372" w:type="pct"/>
            <w:shd w:val="clear" w:color="auto" w:fill="auto"/>
            <w:noWrap/>
            <w:vAlign w:val="center"/>
          </w:tcPr>
          <w:p w:rsidR="008B6B80" w:rsidRPr="00CD2903" w:rsidP="007B260E" w14:paraId="7D850A69" w14:textId="77777777">
            <w:pPr>
              <w:spacing w:after="0"/>
              <w:rPr>
                <w:color w:val="000000"/>
                <w:sz w:val="20"/>
                <w:szCs w:val="20"/>
              </w:rPr>
            </w:pPr>
            <w:r>
              <w:rPr>
                <w:color w:val="000000"/>
                <w:sz w:val="20"/>
                <w:szCs w:val="20"/>
              </w:rPr>
              <w:t>Year 1</w:t>
            </w:r>
          </w:p>
        </w:tc>
        <w:tc>
          <w:tcPr>
            <w:tcW w:w="1252" w:type="pct"/>
            <w:vAlign w:val="center"/>
          </w:tcPr>
          <w:p w:rsidR="008B6B80" w:rsidRPr="00714C7F" w:rsidP="007B260E" w14:paraId="73ED5401" w14:textId="77777777">
            <w:pPr>
              <w:spacing w:after="0"/>
              <w:jc w:val="center"/>
              <w:rPr>
                <w:color w:val="000000"/>
                <w:sz w:val="18"/>
                <w:szCs w:val="18"/>
              </w:rPr>
            </w:pPr>
            <w:r>
              <w:rPr>
                <w:color w:val="000000"/>
                <w:sz w:val="18"/>
                <w:szCs w:val="18"/>
              </w:rPr>
              <w:t>28</w:t>
            </w:r>
          </w:p>
        </w:tc>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8B6B80" w:rsidRPr="00533C9A" w:rsidP="007B260E" w14:paraId="72BC9FEC" w14:textId="77777777">
            <w:pPr>
              <w:spacing w:after="0"/>
              <w:jc w:val="center"/>
              <w:rPr>
                <w:color w:val="000000"/>
                <w:sz w:val="18"/>
                <w:szCs w:val="18"/>
              </w:rPr>
            </w:pPr>
            <w:r w:rsidRPr="0007610A">
              <w:rPr>
                <w:color w:val="000000"/>
                <w:sz w:val="20"/>
                <w:szCs w:val="20"/>
              </w:rPr>
              <w:t>14,7</w:t>
            </w:r>
            <w:r>
              <w:rPr>
                <w:color w:val="000000"/>
                <w:sz w:val="20"/>
                <w:szCs w:val="20"/>
              </w:rPr>
              <w:t>21</w:t>
            </w:r>
          </w:p>
        </w:tc>
        <w:tc>
          <w:tcPr>
            <w:tcW w:w="1189" w:type="pct"/>
            <w:tcBorders>
              <w:top w:val="single" w:sz="4" w:space="0" w:color="auto"/>
              <w:left w:val="nil"/>
              <w:bottom w:val="single" w:sz="4" w:space="0" w:color="auto"/>
              <w:right w:val="single" w:sz="4" w:space="0" w:color="auto"/>
            </w:tcBorders>
            <w:shd w:val="clear" w:color="auto" w:fill="auto"/>
            <w:noWrap/>
            <w:vAlign w:val="center"/>
          </w:tcPr>
          <w:p w:rsidR="008B6B80" w:rsidRPr="00533C9A" w:rsidP="007B260E" w14:paraId="495020C9" w14:textId="77777777">
            <w:pPr>
              <w:spacing w:after="0"/>
              <w:jc w:val="center"/>
              <w:rPr>
                <w:color w:val="000000"/>
                <w:sz w:val="18"/>
                <w:szCs w:val="18"/>
              </w:rPr>
            </w:pPr>
            <w:r>
              <w:rPr>
                <w:color w:val="000000"/>
                <w:sz w:val="20"/>
                <w:szCs w:val="20"/>
              </w:rPr>
              <w:t>$</w:t>
            </w:r>
            <w:r w:rsidRPr="0007610A">
              <w:rPr>
                <w:color w:val="000000"/>
                <w:sz w:val="20"/>
                <w:szCs w:val="20"/>
              </w:rPr>
              <w:t>1,</w:t>
            </w:r>
            <w:r>
              <w:rPr>
                <w:color w:val="000000"/>
                <w:sz w:val="20"/>
                <w:szCs w:val="20"/>
              </w:rPr>
              <w:t>830,278</w:t>
            </w:r>
          </w:p>
        </w:tc>
      </w:tr>
      <w:tr w14:paraId="0C9C6C2D" w14:textId="77777777" w:rsidTr="007B260E">
        <w:tblPrEx>
          <w:tblW w:w="3848" w:type="pct"/>
          <w:tblLook w:val="04A0"/>
        </w:tblPrEx>
        <w:trPr>
          <w:trHeight w:val="288"/>
        </w:trPr>
        <w:tc>
          <w:tcPr>
            <w:tcW w:w="1372" w:type="pct"/>
            <w:tcBorders>
              <w:bottom w:val="single" w:sz="4" w:space="0" w:color="auto"/>
            </w:tcBorders>
            <w:shd w:val="clear" w:color="auto" w:fill="auto"/>
            <w:noWrap/>
            <w:vAlign w:val="center"/>
          </w:tcPr>
          <w:p w:rsidR="008B6B80" w:rsidRPr="00CD2903" w:rsidP="007B260E" w14:paraId="7495A566" w14:textId="77777777">
            <w:pPr>
              <w:spacing w:after="0"/>
              <w:rPr>
                <w:color w:val="000000"/>
                <w:sz w:val="20"/>
                <w:szCs w:val="20"/>
              </w:rPr>
            </w:pPr>
            <w:r>
              <w:rPr>
                <w:color w:val="000000"/>
                <w:sz w:val="20"/>
                <w:szCs w:val="20"/>
              </w:rPr>
              <w:t>Year 2</w:t>
            </w:r>
          </w:p>
        </w:tc>
        <w:tc>
          <w:tcPr>
            <w:tcW w:w="1252" w:type="pct"/>
            <w:tcBorders>
              <w:bottom w:val="single" w:sz="4" w:space="0" w:color="auto"/>
            </w:tcBorders>
            <w:vAlign w:val="center"/>
          </w:tcPr>
          <w:p w:rsidR="008B6B80" w:rsidRPr="00714C7F" w:rsidP="007B260E" w14:paraId="2BF729C6" w14:textId="77777777">
            <w:pPr>
              <w:spacing w:after="0"/>
              <w:jc w:val="center"/>
              <w:rPr>
                <w:color w:val="000000"/>
                <w:sz w:val="18"/>
                <w:szCs w:val="18"/>
              </w:rPr>
            </w:pPr>
            <w:r>
              <w:rPr>
                <w:color w:val="000000"/>
                <w:sz w:val="18"/>
                <w:szCs w:val="18"/>
              </w:rPr>
              <w:t>19</w:t>
            </w:r>
          </w:p>
        </w:tc>
        <w:tc>
          <w:tcPr>
            <w:tcW w:w="1188" w:type="pct"/>
            <w:tcBorders>
              <w:top w:val="nil"/>
              <w:left w:val="single" w:sz="4" w:space="0" w:color="auto"/>
              <w:bottom w:val="single" w:sz="4" w:space="0" w:color="auto"/>
              <w:right w:val="single" w:sz="4" w:space="0" w:color="auto"/>
            </w:tcBorders>
            <w:shd w:val="clear" w:color="auto" w:fill="auto"/>
            <w:vAlign w:val="center"/>
          </w:tcPr>
          <w:p w:rsidR="008B6B80" w:rsidRPr="00533C9A" w:rsidP="007B260E" w14:paraId="440A642D" w14:textId="77777777">
            <w:pPr>
              <w:spacing w:after="0"/>
              <w:jc w:val="center"/>
              <w:rPr>
                <w:color w:val="000000"/>
                <w:sz w:val="18"/>
                <w:szCs w:val="18"/>
              </w:rPr>
            </w:pPr>
            <w:r w:rsidRPr="00BF4B71">
              <w:rPr>
                <w:color w:val="000000"/>
                <w:sz w:val="20"/>
                <w:szCs w:val="20"/>
              </w:rPr>
              <w:t>1,464</w:t>
            </w:r>
          </w:p>
        </w:tc>
        <w:tc>
          <w:tcPr>
            <w:tcW w:w="1189" w:type="pct"/>
            <w:tcBorders>
              <w:top w:val="nil"/>
              <w:left w:val="nil"/>
              <w:bottom w:val="single" w:sz="4" w:space="0" w:color="auto"/>
              <w:right w:val="single" w:sz="4" w:space="0" w:color="auto"/>
            </w:tcBorders>
            <w:shd w:val="clear" w:color="auto" w:fill="auto"/>
            <w:noWrap/>
            <w:vAlign w:val="center"/>
          </w:tcPr>
          <w:p w:rsidR="008B6B80" w:rsidRPr="00533C9A" w:rsidP="007B260E" w14:paraId="5DB1E49E" w14:textId="77777777">
            <w:pPr>
              <w:spacing w:after="0"/>
              <w:jc w:val="center"/>
              <w:rPr>
                <w:color w:val="000000"/>
                <w:sz w:val="18"/>
                <w:szCs w:val="18"/>
              </w:rPr>
            </w:pPr>
            <w:r w:rsidRPr="00084327">
              <w:rPr>
                <w:color w:val="000000"/>
                <w:sz w:val="20"/>
                <w:szCs w:val="20"/>
              </w:rPr>
              <w:t>$16</w:t>
            </w:r>
            <w:r>
              <w:rPr>
                <w:color w:val="000000"/>
                <w:sz w:val="20"/>
                <w:szCs w:val="20"/>
              </w:rPr>
              <w:t>4,250</w:t>
            </w:r>
          </w:p>
        </w:tc>
      </w:tr>
      <w:tr w14:paraId="47DA4955" w14:textId="77777777" w:rsidTr="007B260E">
        <w:tblPrEx>
          <w:tblW w:w="3848" w:type="pct"/>
          <w:tblLook w:val="04A0"/>
        </w:tblPrEx>
        <w:trPr>
          <w:trHeight w:val="288"/>
        </w:trPr>
        <w:tc>
          <w:tcPr>
            <w:tcW w:w="1372" w:type="pct"/>
            <w:shd w:val="clear" w:color="auto" w:fill="auto"/>
            <w:noWrap/>
            <w:vAlign w:val="center"/>
          </w:tcPr>
          <w:p w:rsidR="008B6B80" w:rsidP="007B260E" w14:paraId="67EEA79A" w14:textId="77777777">
            <w:pPr>
              <w:spacing w:after="0"/>
              <w:rPr>
                <w:color w:val="000000"/>
                <w:sz w:val="20"/>
                <w:szCs w:val="20"/>
              </w:rPr>
            </w:pPr>
            <w:r>
              <w:rPr>
                <w:color w:val="000000"/>
                <w:sz w:val="20"/>
                <w:szCs w:val="20"/>
              </w:rPr>
              <w:t>Year 3</w:t>
            </w:r>
          </w:p>
        </w:tc>
        <w:tc>
          <w:tcPr>
            <w:tcW w:w="1252" w:type="pct"/>
            <w:vAlign w:val="center"/>
          </w:tcPr>
          <w:p w:rsidR="008B6B80" w:rsidRPr="00714C7F" w:rsidP="007B260E" w14:paraId="49A0B40F" w14:textId="77777777">
            <w:pPr>
              <w:spacing w:after="0"/>
              <w:jc w:val="center"/>
              <w:rPr>
                <w:color w:val="000000"/>
                <w:sz w:val="18"/>
                <w:szCs w:val="18"/>
              </w:rPr>
            </w:pPr>
            <w:r>
              <w:rPr>
                <w:color w:val="000000"/>
                <w:sz w:val="18"/>
                <w:szCs w:val="18"/>
              </w:rPr>
              <w:t>19</w:t>
            </w:r>
          </w:p>
        </w:tc>
        <w:tc>
          <w:tcPr>
            <w:tcW w:w="1188" w:type="pct"/>
            <w:tcBorders>
              <w:top w:val="nil"/>
              <w:left w:val="single" w:sz="4" w:space="0" w:color="auto"/>
              <w:bottom w:val="single" w:sz="4" w:space="0" w:color="auto"/>
              <w:right w:val="single" w:sz="4" w:space="0" w:color="auto"/>
            </w:tcBorders>
            <w:shd w:val="clear" w:color="auto" w:fill="auto"/>
            <w:vAlign w:val="center"/>
          </w:tcPr>
          <w:p w:rsidR="008B6B80" w:rsidRPr="00533C9A" w:rsidP="007B260E" w14:paraId="3528799E" w14:textId="77777777">
            <w:pPr>
              <w:spacing w:after="0"/>
              <w:jc w:val="center"/>
              <w:rPr>
                <w:color w:val="000000"/>
                <w:sz w:val="18"/>
                <w:szCs w:val="18"/>
              </w:rPr>
            </w:pPr>
            <w:r w:rsidRPr="00BF4B71">
              <w:rPr>
                <w:color w:val="000000"/>
                <w:sz w:val="20"/>
                <w:szCs w:val="20"/>
              </w:rPr>
              <w:t>1,464</w:t>
            </w:r>
          </w:p>
        </w:tc>
        <w:tc>
          <w:tcPr>
            <w:tcW w:w="1189" w:type="pct"/>
            <w:tcBorders>
              <w:top w:val="nil"/>
              <w:left w:val="nil"/>
              <w:bottom w:val="single" w:sz="4" w:space="0" w:color="auto"/>
              <w:right w:val="single" w:sz="4" w:space="0" w:color="auto"/>
            </w:tcBorders>
            <w:shd w:val="clear" w:color="auto" w:fill="auto"/>
            <w:noWrap/>
            <w:vAlign w:val="center"/>
          </w:tcPr>
          <w:p w:rsidR="008B6B80" w:rsidRPr="00533C9A" w:rsidP="007B260E" w14:paraId="6CCE77E4" w14:textId="77777777">
            <w:pPr>
              <w:spacing w:after="0"/>
              <w:jc w:val="center"/>
              <w:rPr>
                <w:color w:val="000000"/>
                <w:sz w:val="18"/>
                <w:szCs w:val="18"/>
              </w:rPr>
            </w:pPr>
            <w:r w:rsidRPr="00084327">
              <w:rPr>
                <w:color w:val="000000"/>
                <w:sz w:val="20"/>
                <w:szCs w:val="20"/>
              </w:rPr>
              <w:t>$16</w:t>
            </w:r>
            <w:r>
              <w:rPr>
                <w:color w:val="000000"/>
                <w:sz w:val="20"/>
                <w:szCs w:val="20"/>
              </w:rPr>
              <w:t>4,250</w:t>
            </w:r>
          </w:p>
        </w:tc>
      </w:tr>
      <w:tr w14:paraId="55EC313E" w14:textId="77777777" w:rsidTr="007B260E">
        <w:tblPrEx>
          <w:tblW w:w="3848" w:type="pct"/>
          <w:tblLook w:val="04A0"/>
        </w:tblPrEx>
        <w:trPr>
          <w:trHeight w:val="288"/>
        </w:trPr>
        <w:tc>
          <w:tcPr>
            <w:tcW w:w="1372" w:type="pct"/>
            <w:tcBorders>
              <w:bottom w:val="single" w:sz="4" w:space="0" w:color="auto"/>
            </w:tcBorders>
            <w:shd w:val="clear" w:color="auto" w:fill="auto"/>
            <w:noWrap/>
            <w:vAlign w:val="center"/>
          </w:tcPr>
          <w:p w:rsidR="008B6B80" w:rsidRPr="00261E41" w:rsidP="007B260E" w14:paraId="1C3C241D" w14:textId="77777777">
            <w:pPr>
              <w:spacing w:after="0"/>
              <w:rPr>
                <w:b/>
                <w:bCs/>
                <w:color w:val="000000"/>
                <w:sz w:val="20"/>
                <w:szCs w:val="20"/>
              </w:rPr>
            </w:pPr>
            <w:r w:rsidRPr="00261E41">
              <w:rPr>
                <w:b/>
                <w:bCs/>
                <w:color w:val="000000"/>
                <w:sz w:val="20"/>
                <w:szCs w:val="20"/>
              </w:rPr>
              <w:t>Annual Average</w:t>
            </w:r>
          </w:p>
        </w:tc>
        <w:tc>
          <w:tcPr>
            <w:tcW w:w="1252" w:type="pct"/>
            <w:tcBorders>
              <w:bottom w:val="single" w:sz="4" w:space="0" w:color="auto"/>
            </w:tcBorders>
            <w:vAlign w:val="center"/>
          </w:tcPr>
          <w:p w:rsidR="008B6B80" w:rsidRPr="00714C7F" w:rsidP="007B260E" w14:paraId="4A422508" w14:textId="77777777">
            <w:pPr>
              <w:spacing w:after="0"/>
              <w:jc w:val="center"/>
              <w:rPr>
                <w:b/>
                <w:bCs/>
                <w:color w:val="000000"/>
                <w:sz w:val="18"/>
                <w:szCs w:val="18"/>
              </w:rPr>
            </w:pPr>
            <w:r>
              <w:rPr>
                <w:b/>
                <w:bCs/>
                <w:color w:val="000000"/>
                <w:sz w:val="18"/>
                <w:szCs w:val="18"/>
              </w:rPr>
              <w:t>22</w:t>
            </w:r>
          </w:p>
        </w:tc>
        <w:tc>
          <w:tcPr>
            <w:tcW w:w="1188" w:type="pct"/>
            <w:tcBorders>
              <w:top w:val="nil"/>
              <w:left w:val="single" w:sz="4" w:space="0" w:color="auto"/>
              <w:bottom w:val="single" w:sz="4" w:space="0" w:color="auto"/>
              <w:right w:val="single" w:sz="4" w:space="0" w:color="auto"/>
            </w:tcBorders>
            <w:shd w:val="clear" w:color="auto" w:fill="auto"/>
            <w:vAlign w:val="center"/>
          </w:tcPr>
          <w:p w:rsidR="008B6B80" w:rsidRPr="00533C9A" w:rsidP="007B260E" w14:paraId="66937C18" w14:textId="77777777">
            <w:pPr>
              <w:spacing w:after="0"/>
              <w:jc w:val="center"/>
              <w:rPr>
                <w:b/>
                <w:bCs/>
                <w:color w:val="000000"/>
                <w:sz w:val="18"/>
                <w:szCs w:val="18"/>
              </w:rPr>
            </w:pPr>
            <w:r w:rsidRPr="0007610A">
              <w:rPr>
                <w:b/>
                <w:bCs/>
                <w:color w:val="000000"/>
                <w:sz w:val="20"/>
                <w:szCs w:val="20"/>
              </w:rPr>
              <w:t>5,</w:t>
            </w:r>
            <w:r>
              <w:rPr>
                <w:b/>
                <w:bCs/>
                <w:color w:val="000000"/>
                <w:sz w:val="20"/>
                <w:szCs w:val="20"/>
              </w:rPr>
              <w:t>883</w:t>
            </w:r>
          </w:p>
        </w:tc>
        <w:tc>
          <w:tcPr>
            <w:tcW w:w="1189" w:type="pct"/>
            <w:tcBorders>
              <w:top w:val="nil"/>
              <w:left w:val="nil"/>
              <w:bottom w:val="single" w:sz="4" w:space="0" w:color="auto"/>
              <w:right w:val="single" w:sz="4" w:space="0" w:color="auto"/>
            </w:tcBorders>
            <w:shd w:val="clear" w:color="auto" w:fill="auto"/>
            <w:noWrap/>
            <w:vAlign w:val="center"/>
          </w:tcPr>
          <w:p w:rsidR="008B6B80" w:rsidRPr="00533C9A" w:rsidP="007B260E" w14:paraId="430C9CE7" w14:textId="77777777">
            <w:pPr>
              <w:spacing w:after="0"/>
              <w:jc w:val="center"/>
              <w:rPr>
                <w:b/>
                <w:bCs/>
                <w:color w:val="000000"/>
                <w:sz w:val="18"/>
                <w:szCs w:val="18"/>
              </w:rPr>
            </w:pPr>
            <w:r w:rsidRPr="00BF4B71">
              <w:rPr>
                <w:b/>
                <w:bCs/>
                <w:color w:val="000000"/>
                <w:sz w:val="20"/>
                <w:szCs w:val="20"/>
              </w:rPr>
              <w:t>$719,593</w:t>
            </w:r>
          </w:p>
        </w:tc>
      </w:tr>
    </w:tbl>
    <w:p w:rsidR="008B6B80" w:rsidRPr="00BB3410" w:rsidP="00854AAE" w14:paraId="6789E62C" w14:textId="77777777">
      <w:pPr>
        <w:spacing w:before="60"/>
        <w:rPr>
          <w:rFonts w:cstheme="minorHAnsi"/>
        </w:rPr>
      </w:pPr>
    </w:p>
    <w:p w:rsidR="00BB2B15" w:rsidRPr="00163C69" w:rsidP="00854AAE" w14:paraId="5D1B71A2" w14:textId="2ADBBFA0">
      <w:pPr>
        <w:pStyle w:val="ListParagraph"/>
        <w:numPr>
          <w:ilvl w:val="0"/>
          <w:numId w:val="25"/>
        </w:numPr>
        <w:spacing w:before="240" w:after="0"/>
        <w:rPr>
          <w:rFonts w:cstheme="minorHAnsi"/>
          <w:b/>
          <w:bCs/>
          <w:caps/>
        </w:rPr>
      </w:pPr>
      <w:bookmarkStart w:id="25"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5"/>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B6B80" w:rsidP="008B6B80" w14:paraId="3A4C9008" w14:textId="77777777"/>
    <w:p w:rsidR="00BB3410" w:rsidRPr="00BB3410" w:rsidP="00854AAE" w14:paraId="678BA42F" w14:textId="46A91843">
      <w:pPr>
        <w:pBdr>
          <w:top w:val="single" w:sz="6" w:space="0" w:color="FFFFFF"/>
          <w:left w:val="single" w:sz="6" w:space="0" w:color="FFFFFF"/>
          <w:bottom w:val="single" w:sz="6" w:space="0" w:color="FFFFFF"/>
          <w:right w:val="single" w:sz="6" w:space="0" w:color="FFFFFF"/>
        </w:pBdr>
        <w:rPr>
          <w:rFonts w:cstheme="minorHAnsi"/>
          <w:color w:val="000000"/>
        </w:rPr>
      </w:pPr>
      <w:r w:rsidRPr="00411A1A">
        <w:drawing>
          <wp:inline distT="0" distB="0" distL="0" distR="0">
            <wp:extent cx="5943600" cy="1472565"/>
            <wp:effectExtent l="0" t="0" r="0" b="0"/>
            <wp:docPr id="1490317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17104"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72565"/>
                    </a:xfrm>
                    <a:prstGeom prst="rect">
                      <a:avLst/>
                    </a:prstGeom>
                    <a:noFill/>
                    <a:ln>
                      <a:noFill/>
                    </a:ln>
                  </pic:spPr>
                </pic:pic>
              </a:graphicData>
            </a:graphic>
          </wp:inline>
        </w:drawing>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6" w:name="_Toc156593387"/>
      <w:r w:rsidRPr="4BDBF0A0">
        <w:rPr>
          <w:b/>
          <w:bCs/>
        </w:rPr>
        <w:t xml:space="preserve">AGENCY </w:t>
      </w:r>
      <w:bookmarkStart w:id="27" w:name="_Toc156593388"/>
      <w:bookmarkEnd w:id="26"/>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EC266D" w:rsidP="00EC266D" w14:paraId="455025AB" w14:textId="0537672B">
      <w:r>
        <w:t xml:space="preserve">EPA identified one activity incurred by the federal government </w:t>
      </w:r>
      <w:r w:rsidRPr="00AC0B0E">
        <w:t xml:space="preserve">associated with this data collection request. Burden associated with each activity is based on EPA’s </w:t>
      </w:r>
      <w:r w:rsidRPr="00AC0B0E">
        <w:t>past experience</w:t>
      </w:r>
      <w:r w:rsidRPr="00AC0B0E">
        <w:t xml:space="preserve"> with reporting and data collection of HFCs and ODS. </w:t>
      </w:r>
      <w:r w:rsidRPr="005D3708">
        <w:t>The number of occurrences of each activity is based</w:t>
      </w:r>
      <w:r>
        <w:t xml:space="preserve"> on</w:t>
      </w:r>
      <w:r w:rsidRPr="005D3708">
        <w:t xml:space="preserve"> </w:t>
      </w:r>
      <w:r w:rsidRPr="00672C85">
        <w:t>the estimated number of responses</w:t>
      </w:r>
      <w:r>
        <w:t xml:space="preserve"> per year</w:t>
      </w:r>
      <w:r w:rsidRPr="00672C85">
        <w:t xml:space="preserve"> </w:t>
      </w:r>
      <w:r>
        <w:t xml:space="preserve">for each year of this ICR </w:t>
      </w:r>
      <w:r w:rsidRPr="00672C85">
        <w:t xml:space="preserve">(discussed </w:t>
      </w:r>
      <w:r>
        <w:t xml:space="preserve">further </w:t>
      </w:r>
      <w:r w:rsidRPr="00672C85">
        <w:t xml:space="preserve">in </w:t>
      </w:r>
      <w:r>
        <w:t>question 12)</w:t>
      </w:r>
      <w:r w:rsidRPr="00672C85">
        <w:t>.</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8B6B80" w:rsidRPr="00AC0B0E" w:rsidP="008B6B80" w14:paraId="71A5FF55" w14:textId="77777777">
      <w:r w:rsidRPr="00AC0B0E">
        <w:t>Costs are subdivided into Agency and contractor costs. The average hourly rates for the EPA technical and managerial staff of $</w:t>
      </w:r>
      <w:r w:rsidRPr="00362621">
        <w:t>51.18</w:t>
      </w:r>
      <w:r w:rsidRPr="00AC0B0E">
        <w:t xml:space="preserve"> and $</w:t>
      </w:r>
      <w:r w:rsidRPr="00362621">
        <w:t>71.15</w:t>
      </w:r>
      <w:r w:rsidRPr="00AC0B0E">
        <w:t>, respectively, are derived from the 202</w:t>
      </w:r>
      <w:r>
        <w:t>2</w:t>
      </w:r>
      <w:r w:rsidRPr="00AC0B0E">
        <w:t xml:space="preserve"> annual base pay table, which was retrieved from the Office of Personnel Management website. The rate for technical staff is based on a GS-13 step 1 salary and the rate for managerial staff is based on a GS-15 step 1 salary. These rates were then multiplied by the standard government benefits multiplication factor of 1.6 to get hour</w:t>
      </w:r>
      <w:r>
        <w:t>ly</w:t>
      </w:r>
      <w:r w:rsidRPr="00AC0B0E">
        <w:t xml:space="preserve"> rates of $</w:t>
      </w:r>
      <w:r>
        <w:t>81.89</w:t>
      </w:r>
      <w:r w:rsidRPr="00AC0B0E">
        <w:t xml:space="preserve"> for technical staff and $</w:t>
      </w:r>
      <w:r>
        <w:t>113.84</w:t>
      </w:r>
      <w:r w:rsidRPr="00AC0B0E">
        <w:t xml:space="preserve"> for managerial staff. The cost of contractor time is valued at $</w:t>
      </w:r>
      <w:r>
        <w:t>130.52</w:t>
      </w:r>
      <w:r w:rsidRPr="00AC0B0E">
        <w:t xml:space="preserve"> per hour on average, including overhead and fringe. This rate </w:t>
      </w:r>
      <w:r w:rsidRPr="00AC0B0E">
        <w:t>takes into account</w:t>
      </w:r>
      <w:r w:rsidRPr="00AC0B0E">
        <w:t xml:space="preserve"> a weighted average of managerial and technical staff hours, based on rates for Consultant III and Researcher II under GSA Schedule 899‐1 Environmental Consulting Services. </w:t>
      </w:r>
    </w:p>
    <w:p w:rsidR="008B6B80" w:rsidP="008B6B80" w14:paraId="08415692" w14:textId="258E6BD9">
      <w:r>
        <w:fldChar w:fldCharType="begin"/>
      </w:r>
      <w:r>
        <w:instrText xml:space="preserve"> REF _Ref69842410 \h </w:instrText>
      </w:r>
      <w:r>
        <w:fldChar w:fldCharType="separate"/>
      </w:r>
      <w:r>
        <w:t xml:space="preserve">Table </w:t>
      </w:r>
      <w:r>
        <w:rPr>
          <w:noProof/>
        </w:rPr>
        <w:t>V</w:t>
      </w:r>
      <w:r>
        <w:fldChar w:fldCharType="end"/>
      </w:r>
      <w:r w:rsidR="008533CD">
        <w:t>II</w:t>
      </w:r>
      <w:r w:rsidRPr="00AC0B0E">
        <w:t xml:space="preserve"> summarizes total agency burden and costs by activity.</w:t>
      </w:r>
    </w:p>
    <w:p w:rsidR="008533CD" w:rsidP="008B6B80" w14:paraId="28115E96" w14:textId="77777777"/>
    <w:p w:rsidR="008B6B80" w:rsidP="008B6B80" w14:paraId="4DA2C7BA" w14:textId="395DD512">
      <w:pPr>
        <w:pStyle w:val="Caption"/>
        <w:keepNext/>
      </w:pPr>
      <w:bookmarkStart w:id="28" w:name="_Ref69842410"/>
      <w:r>
        <w:t xml:space="preserve">Table </w:t>
      </w:r>
      <w:r>
        <w:fldChar w:fldCharType="begin"/>
      </w:r>
      <w:r>
        <w:instrText xml:space="preserve"> SEQ Table \* ROMAN </w:instrText>
      </w:r>
      <w:r>
        <w:fldChar w:fldCharType="separate"/>
      </w:r>
      <w:r>
        <w:rPr>
          <w:noProof/>
        </w:rPr>
        <w:t>V</w:t>
      </w:r>
      <w:r>
        <w:rPr>
          <w:noProof/>
        </w:rPr>
        <w:fldChar w:fldCharType="end"/>
      </w:r>
      <w:bookmarkEnd w:id="28"/>
      <w:r w:rsidR="008533CD">
        <w:rPr>
          <w:noProof/>
        </w:rPr>
        <w:t>II</w:t>
      </w:r>
      <w:r>
        <w:t>. Agency Burden and Cost Table</w:t>
      </w:r>
    </w:p>
    <w:tbl>
      <w:tblPr>
        <w:tblW w:w="9370" w:type="dxa"/>
        <w:tblLayout w:type="fixed"/>
        <w:tblCellMar>
          <w:left w:w="58" w:type="dxa"/>
          <w:right w:w="58" w:type="dxa"/>
        </w:tblCellMar>
        <w:tblLook w:val="04A0"/>
      </w:tblPr>
      <w:tblGrid>
        <w:gridCol w:w="2424"/>
        <w:gridCol w:w="631"/>
        <w:gridCol w:w="630"/>
        <w:gridCol w:w="630"/>
        <w:gridCol w:w="516"/>
        <w:gridCol w:w="516"/>
        <w:gridCol w:w="513"/>
        <w:gridCol w:w="540"/>
        <w:gridCol w:w="540"/>
        <w:gridCol w:w="540"/>
        <w:gridCol w:w="630"/>
        <w:gridCol w:w="630"/>
        <w:gridCol w:w="630"/>
      </w:tblGrid>
      <w:tr w14:paraId="2B11C0AD" w14:textId="77777777" w:rsidTr="007B260E">
        <w:tblPrEx>
          <w:tblW w:w="9370" w:type="dxa"/>
          <w:tblLayout w:type="fixed"/>
          <w:tblCellMar>
            <w:left w:w="58" w:type="dxa"/>
            <w:right w:w="58" w:type="dxa"/>
          </w:tblCellMar>
          <w:tblLook w:val="04A0"/>
        </w:tblPrEx>
        <w:trPr>
          <w:trHeight w:val="233"/>
        </w:trPr>
        <w:tc>
          <w:tcPr>
            <w:tcW w:w="2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B6B80" w:rsidRPr="005F5BCF" w:rsidP="007B260E" w14:paraId="78D4F63F" w14:textId="77777777">
            <w:pPr>
              <w:spacing w:after="0"/>
              <w:jc w:val="center"/>
              <w:rPr>
                <w:b/>
                <w:bCs/>
                <w:color w:val="000000"/>
                <w:sz w:val="18"/>
                <w:szCs w:val="18"/>
              </w:rPr>
            </w:pPr>
            <w:r w:rsidRPr="005F5BCF">
              <w:rPr>
                <w:b/>
                <w:bCs/>
                <w:color w:val="000000"/>
                <w:sz w:val="18"/>
                <w:szCs w:val="18"/>
              </w:rPr>
              <w:t>Activity</w:t>
            </w:r>
          </w:p>
        </w:tc>
        <w:tc>
          <w:tcPr>
            <w:tcW w:w="189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8B6B80" w:rsidRPr="005F5BCF" w:rsidP="007B260E" w14:paraId="1CF7BA43" w14:textId="77777777">
            <w:pPr>
              <w:spacing w:after="0"/>
              <w:jc w:val="center"/>
              <w:rPr>
                <w:b/>
                <w:bCs/>
                <w:color w:val="000000"/>
                <w:sz w:val="18"/>
                <w:szCs w:val="18"/>
              </w:rPr>
            </w:pPr>
            <w:r w:rsidRPr="005F5BCF">
              <w:rPr>
                <w:b/>
                <w:bCs/>
                <w:color w:val="000000"/>
                <w:sz w:val="18"/>
                <w:szCs w:val="18"/>
              </w:rPr>
              <w:t xml:space="preserve">Hours per </w:t>
            </w:r>
            <w:r>
              <w:rPr>
                <w:b/>
                <w:bCs/>
                <w:color w:val="000000"/>
                <w:sz w:val="18"/>
                <w:szCs w:val="18"/>
              </w:rPr>
              <w:t>Response</w:t>
            </w:r>
          </w:p>
          <w:p w:rsidR="008B6B80" w:rsidRPr="005F5BCF" w:rsidP="007B260E" w14:paraId="66B15B0E" w14:textId="77777777">
            <w:pPr>
              <w:spacing w:after="0"/>
              <w:jc w:val="center"/>
              <w:rPr>
                <w:b/>
                <w:bCs/>
                <w:color w:val="000000"/>
                <w:sz w:val="18"/>
                <w:szCs w:val="18"/>
              </w:rPr>
            </w:pPr>
          </w:p>
        </w:tc>
        <w:tc>
          <w:tcPr>
            <w:tcW w:w="1545" w:type="dxa"/>
            <w:gridSpan w:val="3"/>
            <w:tcBorders>
              <w:top w:val="single" w:sz="4" w:space="0" w:color="auto"/>
              <w:left w:val="nil"/>
              <w:bottom w:val="nil"/>
              <w:right w:val="single" w:sz="4" w:space="0" w:color="000000"/>
            </w:tcBorders>
            <w:shd w:val="clear" w:color="000000" w:fill="F2F2F2"/>
            <w:vAlign w:val="center"/>
            <w:hideMark/>
          </w:tcPr>
          <w:p w:rsidR="008B6B80" w:rsidRPr="005F5BCF" w:rsidP="007B260E" w14:paraId="3CFF0333" w14:textId="77777777">
            <w:pPr>
              <w:spacing w:after="0"/>
              <w:jc w:val="center"/>
              <w:rPr>
                <w:b/>
                <w:bCs/>
                <w:color w:val="000000"/>
                <w:sz w:val="18"/>
                <w:szCs w:val="18"/>
              </w:rPr>
            </w:pPr>
            <w:r w:rsidRPr="005F5BCF">
              <w:rPr>
                <w:b/>
                <w:bCs/>
                <w:color w:val="000000"/>
                <w:sz w:val="18"/>
                <w:szCs w:val="18"/>
              </w:rPr>
              <w:t xml:space="preserve"> Number of </w:t>
            </w:r>
            <w:r>
              <w:rPr>
                <w:b/>
                <w:bCs/>
                <w:color w:val="000000"/>
                <w:sz w:val="18"/>
                <w:szCs w:val="18"/>
              </w:rPr>
              <w:t>Activities</w:t>
            </w:r>
            <w:r w:rsidRPr="005F5BCF">
              <w:rPr>
                <w:b/>
                <w:bCs/>
                <w:color w:val="000000"/>
                <w:sz w:val="18"/>
                <w:szCs w:val="18"/>
              </w:rPr>
              <w:t xml:space="preserve"> </w:t>
            </w:r>
          </w:p>
        </w:tc>
        <w:tc>
          <w:tcPr>
            <w:tcW w:w="1620" w:type="dxa"/>
            <w:gridSpan w:val="3"/>
            <w:tcBorders>
              <w:top w:val="single" w:sz="4" w:space="0" w:color="auto"/>
              <w:left w:val="nil"/>
              <w:bottom w:val="single" w:sz="4" w:space="0" w:color="auto"/>
              <w:right w:val="single" w:sz="4" w:space="0" w:color="000000"/>
            </w:tcBorders>
            <w:shd w:val="clear" w:color="000000" w:fill="F2F2F2"/>
            <w:vAlign w:val="center"/>
            <w:hideMark/>
          </w:tcPr>
          <w:p w:rsidR="008B6B80" w:rsidRPr="005F5BCF" w:rsidP="007B260E" w14:paraId="1E2A9093" w14:textId="77777777">
            <w:pPr>
              <w:spacing w:after="0"/>
              <w:jc w:val="center"/>
              <w:rPr>
                <w:b/>
                <w:bCs/>
                <w:color w:val="000000"/>
                <w:sz w:val="18"/>
                <w:szCs w:val="18"/>
              </w:rPr>
            </w:pPr>
            <w:r w:rsidRPr="005F5BCF">
              <w:rPr>
                <w:b/>
                <w:bCs/>
                <w:color w:val="000000"/>
                <w:sz w:val="18"/>
                <w:szCs w:val="18"/>
              </w:rPr>
              <w:t xml:space="preserve"> Total Hours  </w:t>
            </w:r>
          </w:p>
        </w:tc>
        <w:tc>
          <w:tcPr>
            <w:tcW w:w="1890" w:type="dxa"/>
            <w:gridSpan w:val="3"/>
            <w:tcBorders>
              <w:top w:val="single" w:sz="4" w:space="0" w:color="auto"/>
              <w:left w:val="nil"/>
              <w:bottom w:val="single" w:sz="4" w:space="0" w:color="auto"/>
              <w:right w:val="single" w:sz="4" w:space="0" w:color="000000"/>
            </w:tcBorders>
            <w:shd w:val="clear" w:color="000000" w:fill="F2F2F2"/>
            <w:vAlign w:val="center"/>
          </w:tcPr>
          <w:p w:rsidR="008B6B80" w:rsidRPr="005F5BCF" w:rsidP="007B260E" w14:paraId="61F91118" w14:textId="77777777">
            <w:pPr>
              <w:spacing w:after="0"/>
              <w:jc w:val="center"/>
              <w:rPr>
                <w:b/>
                <w:bCs/>
                <w:color w:val="000000"/>
                <w:sz w:val="18"/>
                <w:szCs w:val="18"/>
              </w:rPr>
            </w:pPr>
            <w:r w:rsidRPr="005F5BCF">
              <w:rPr>
                <w:b/>
                <w:bCs/>
                <w:color w:val="000000"/>
                <w:sz w:val="18"/>
                <w:szCs w:val="18"/>
              </w:rPr>
              <w:t>Total Costs</w:t>
            </w:r>
          </w:p>
        </w:tc>
      </w:tr>
      <w:tr w14:paraId="5964F7B4" w14:textId="77777777" w:rsidTr="007B260E">
        <w:tblPrEx>
          <w:tblW w:w="9370" w:type="dxa"/>
          <w:tblLayout w:type="fixed"/>
          <w:tblCellMar>
            <w:left w:w="58" w:type="dxa"/>
            <w:right w:w="58" w:type="dxa"/>
          </w:tblCellMar>
          <w:tblLook w:val="04A0"/>
        </w:tblPrEx>
        <w:trPr>
          <w:trHeight w:val="242"/>
        </w:trPr>
        <w:tc>
          <w:tcPr>
            <w:tcW w:w="2424" w:type="dxa"/>
            <w:vMerge/>
            <w:tcBorders>
              <w:top w:val="single" w:sz="4" w:space="0" w:color="auto"/>
              <w:left w:val="single" w:sz="4" w:space="0" w:color="auto"/>
              <w:bottom w:val="single" w:sz="4" w:space="0" w:color="auto"/>
              <w:right w:val="single" w:sz="4" w:space="0" w:color="auto"/>
            </w:tcBorders>
            <w:vAlign w:val="center"/>
            <w:hideMark/>
          </w:tcPr>
          <w:p w:rsidR="008B6B80" w:rsidRPr="005F5BCF" w:rsidP="007B260E" w14:paraId="63198975" w14:textId="77777777">
            <w:pPr>
              <w:spacing w:after="0"/>
              <w:rPr>
                <w:b/>
                <w:bCs/>
                <w:color w:val="000000"/>
                <w:sz w:val="18"/>
                <w:szCs w:val="18"/>
              </w:rPr>
            </w:pPr>
          </w:p>
        </w:tc>
        <w:tc>
          <w:tcPr>
            <w:tcW w:w="631" w:type="dxa"/>
            <w:tcBorders>
              <w:left w:val="single" w:sz="4" w:space="0" w:color="auto"/>
              <w:bottom w:val="single" w:sz="4" w:space="0" w:color="auto"/>
              <w:right w:val="single" w:sz="4" w:space="0" w:color="auto"/>
            </w:tcBorders>
            <w:shd w:val="clear" w:color="000000" w:fill="F2F2F2"/>
            <w:vAlign w:val="center"/>
            <w:hideMark/>
          </w:tcPr>
          <w:p w:rsidR="008B6B80" w:rsidRPr="005F5BCF" w:rsidP="007B260E" w14:paraId="65BB3AD3" w14:textId="77777777">
            <w:pPr>
              <w:spacing w:after="0"/>
              <w:jc w:val="center"/>
              <w:rPr>
                <w:b/>
                <w:bCs/>
                <w:color w:val="000000"/>
                <w:sz w:val="18"/>
                <w:szCs w:val="18"/>
              </w:rPr>
            </w:pPr>
            <w:r w:rsidRPr="005F5BCF">
              <w:rPr>
                <w:b/>
                <w:bCs/>
                <w:color w:val="000000"/>
                <w:sz w:val="18"/>
                <w:szCs w:val="18"/>
              </w:rPr>
              <w:t>Man</w:t>
            </w:r>
            <w:r>
              <w:rPr>
                <w:b/>
                <w:bCs/>
                <w:color w:val="000000"/>
                <w:sz w:val="18"/>
                <w:szCs w:val="18"/>
              </w:rPr>
              <w:t>.</w:t>
            </w:r>
          </w:p>
        </w:tc>
        <w:tc>
          <w:tcPr>
            <w:tcW w:w="630" w:type="dxa"/>
            <w:tcBorders>
              <w:left w:val="single" w:sz="4" w:space="0" w:color="auto"/>
              <w:bottom w:val="single" w:sz="4" w:space="0" w:color="auto"/>
              <w:right w:val="single" w:sz="4" w:space="0" w:color="auto"/>
            </w:tcBorders>
            <w:shd w:val="clear" w:color="000000" w:fill="F2F2F2"/>
            <w:vAlign w:val="center"/>
          </w:tcPr>
          <w:p w:rsidR="008B6B80" w:rsidRPr="005F5BCF" w:rsidP="007B260E" w14:paraId="5ACC8B04" w14:textId="77777777">
            <w:pPr>
              <w:spacing w:after="0"/>
              <w:jc w:val="center"/>
              <w:rPr>
                <w:b/>
                <w:bCs/>
                <w:color w:val="000000"/>
                <w:sz w:val="18"/>
                <w:szCs w:val="18"/>
              </w:rPr>
            </w:pPr>
            <w:r w:rsidRPr="005F5BCF">
              <w:rPr>
                <w:b/>
                <w:bCs/>
                <w:color w:val="000000"/>
                <w:sz w:val="18"/>
                <w:szCs w:val="18"/>
              </w:rPr>
              <w:t>Tech</w:t>
            </w:r>
            <w:r>
              <w:rPr>
                <w:b/>
                <w:bCs/>
                <w:color w:val="000000"/>
                <w:sz w:val="18"/>
                <w:szCs w:val="18"/>
              </w:rPr>
              <w:t>.</w:t>
            </w:r>
          </w:p>
        </w:tc>
        <w:tc>
          <w:tcPr>
            <w:tcW w:w="630" w:type="dxa"/>
            <w:tcBorders>
              <w:top w:val="single" w:sz="4" w:space="0" w:color="auto"/>
              <w:left w:val="single" w:sz="4" w:space="0" w:color="auto"/>
              <w:bottom w:val="single" w:sz="4" w:space="0" w:color="auto"/>
              <w:right w:val="single" w:sz="4" w:space="0" w:color="auto"/>
            </w:tcBorders>
            <w:shd w:val="clear" w:color="000000" w:fill="F2F2F2"/>
            <w:vAlign w:val="center"/>
          </w:tcPr>
          <w:p w:rsidR="008B6B80" w:rsidRPr="005F5BCF" w:rsidP="007B260E" w14:paraId="73FDF48A" w14:textId="77777777">
            <w:pPr>
              <w:spacing w:after="0"/>
              <w:jc w:val="center"/>
              <w:rPr>
                <w:b/>
                <w:bCs/>
                <w:color w:val="000000"/>
                <w:sz w:val="18"/>
                <w:szCs w:val="18"/>
              </w:rPr>
            </w:pPr>
            <w:r w:rsidRPr="005F5BCF">
              <w:rPr>
                <w:b/>
                <w:bCs/>
                <w:color w:val="000000"/>
                <w:sz w:val="18"/>
                <w:szCs w:val="18"/>
              </w:rPr>
              <w:t>Cont</w:t>
            </w:r>
            <w:r>
              <w:rPr>
                <w:b/>
                <w:bCs/>
                <w:color w:val="000000"/>
                <w:sz w:val="18"/>
                <w:szCs w:val="18"/>
              </w:rPr>
              <w:t>.</w:t>
            </w:r>
          </w:p>
        </w:tc>
        <w:tc>
          <w:tcPr>
            <w:tcW w:w="516" w:type="dxa"/>
            <w:tcBorders>
              <w:top w:val="single" w:sz="4" w:space="0" w:color="auto"/>
              <w:left w:val="nil"/>
              <w:bottom w:val="single" w:sz="4" w:space="0" w:color="auto"/>
              <w:right w:val="single" w:sz="4" w:space="0" w:color="auto"/>
            </w:tcBorders>
            <w:shd w:val="clear" w:color="000000" w:fill="F2F2F2"/>
            <w:vAlign w:val="center"/>
            <w:hideMark/>
          </w:tcPr>
          <w:p w:rsidR="008B6B80" w:rsidRPr="005F5BCF" w:rsidP="007B260E" w14:paraId="709B3509" w14:textId="77777777">
            <w:pPr>
              <w:spacing w:after="0"/>
              <w:jc w:val="center"/>
              <w:rPr>
                <w:b/>
                <w:bCs/>
                <w:color w:val="000000"/>
                <w:sz w:val="18"/>
                <w:szCs w:val="18"/>
              </w:rPr>
            </w:pPr>
            <w:r w:rsidRPr="005F5BCF">
              <w:rPr>
                <w:b/>
                <w:bCs/>
                <w:color w:val="000000"/>
                <w:sz w:val="18"/>
                <w:szCs w:val="18"/>
              </w:rPr>
              <w:t xml:space="preserve"> Y1 </w:t>
            </w:r>
          </w:p>
        </w:tc>
        <w:tc>
          <w:tcPr>
            <w:tcW w:w="516" w:type="dxa"/>
            <w:tcBorders>
              <w:top w:val="single" w:sz="4" w:space="0" w:color="auto"/>
              <w:left w:val="nil"/>
              <w:bottom w:val="single" w:sz="4" w:space="0" w:color="auto"/>
              <w:right w:val="single" w:sz="4" w:space="0" w:color="auto"/>
            </w:tcBorders>
            <w:shd w:val="clear" w:color="000000" w:fill="F2F2F2"/>
            <w:vAlign w:val="center"/>
            <w:hideMark/>
          </w:tcPr>
          <w:p w:rsidR="008B6B80" w:rsidRPr="005F5BCF" w:rsidP="007B260E" w14:paraId="0D4E917C" w14:textId="77777777">
            <w:pPr>
              <w:spacing w:after="0"/>
              <w:jc w:val="center"/>
              <w:rPr>
                <w:b/>
                <w:bCs/>
                <w:color w:val="000000"/>
                <w:sz w:val="18"/>
                <w:szCs w:val="18"/>
              </w:rPr>
            </w:pPr>
            <w:r w:rsidRPr="005F5BCF">
              <w:rPr>
                <w:b/>
                <w:bCs/>
                <w:color w:val="000000"/>
                <w:sz w:val="18"/>
                <w:szCs w:val="18"/>
              </w:rPr>
              <w:t xml:space="preserve"> Y2 </w:t>
            </w:r>
          </w:p>
        </w:tc>
        <w:tc>
          <w:tcPr>
            <w:tcW w:w="513" w:type="dxa"/>
            <w:tcBorders>
              <w:top w:val="single" w:sz="4" w:space="0" w:color="auto"/>
              <w:left w:val="nil"/>
              <w:bottom w:val="single" w:sz="4" w:space="0" w:color="auto"/>
              <w:right w:val="single" w:sz="4" w:space="0" w:color="auto"/>
            </w:tcBorders>
            <w:shd w:val="clear" w:color="000000" w:fill="F2F2F2"/>
            <w:vAlign w:val="center"/>
            <w:hideMark/>
          </w:tcPr>
          <w:p w:rsidR="008B6B80" w:rsidRPr="005F5BCF" w:rsidP="007B260E" w14:paraId="1A2FF53A" w14:textId="77777777">
            <w:pPr>
              <w:spacing w:after="0"/>
              <w:jc w:val="center"/>
              <w:rPr>
                <w:b/>
                <w:bCs/>
                <w:color w:val="000000"/>
                <w:sz w:val="18"/>
                <w:szCs w:val="18"/>
              </w:rPr>
            </w:pPr>
            <w:r w:rsidRPr="005F5BCF">
              <w:rPr>
                <w:b/>
                <w:bCs/>
                <w:color w:val="000000"/>
                <w:sz w:val="18"/>
                <w:szCs w:val="18"/>
              </w:rPr>
              <w:t xml:space="preserve"> Y3 </w:t>
            </w:r>
          </w:p>
        </w:tc>
        <w:tc>
          <w:tcPr>
            <w:tcW w:w="540" w:type="dxa"/>
            <w:tcBorders>
              <w:top w:val="nil"/>
              <w:left w:val="nil"/>
              <w:bottom w:val="single" w:sz="4" w:space="0" w:color="auto"/>
              <w:right w:val="single" w:sz="4" w:space="0" w:color="auto"/>
            </w:tcBorders>
            <w:shd w:val="clear" w:color="000000" w:fill="F2F2F2"/>
            <w:vAlign w:val="center"/>
            <w:hideMark/>
          </w:tcPr>
          <w:p w:rsidR="008B6B80" w:rsidRPr="005F5BCF" w:rsidP="007B260E" w14:paraId="3CDF67DF" w14:textId="77777777">
            <w:pPr>
              <w:spacing w:after="0"/>
              <w:jc w:val="center"/>
              <w:rPr>
                <w:b/>
                <w:bCs/>
                <w:color w:val="000000"/>
                <w:sz w:val="18"/>
                <w:szCs w:val="18"/>
              </w:rPr>
            </w:pPr>
            <w:r w:rsidRPr="005F5BCF">
              <w:rPr>
                <w:b/>
                <w:bCs/>
                <w:color w:val="000000"/>
                <w:sz w:val="18"/>
                <w:szCs w:val="18"/>
              </w:rPr>
              <w:t xml:space="preserve"> Y1 </w:t>
            </w:r>
          </w:p>
        </w:tc>
        <w:tc>
          <w:tcPr>
            <w:tcW w:w="540" w:type="dxa"/>
            <w:tcBorders>
              <w:top w:val="nil"/>
              <w:left w:val="nil"/>
              <w:bottom w:val="single" w:sz="4" w:space="0" w:color="auto"/>
              <w:right w:val="single" w:sz="4" w:space="0" w:color="auto"/>
            </w:tcBorders>
            <w:shd w:val="clear" w:color="000000" w:fill="F2F2F2"/>
            <w:vAlign w:val="center"/>
            <w:hideMark/>
          </w:tcPr>
          <w:p w:rsidR="008B6B80" w:rsidRPr="005F5BCF" w:rsidP="007B260E" w14:paraId="61A09985" w14:textId="77777777">
            <w:pPr>
              <w:spacing w:after="0"/>
              <w:jc w:val="center"/>
              <w:rPr>
                <w:b/>
                <w:bCs/>
                <w:color w:val="000000"/>
                <w:sz w:val="18"/>
                <w:szCs w:val="18"/>
              </w:rPr>
            </w:pPr>
            <w:r w:rsidRPr="005F5BCF">
              <w:rPr>
                <w:b/>
                <w:bCs/>
                <w:color w:val="000000"/>
                <w:sz w:val="18"/>
                <w:szCs w:val="18"/>
              </w:rPr>
              <w:t xml:space="preserve"> Y2 </w:t>
            </w:r>
          </w:p>
        </w:tc>
        <w:tc>
          <w:tcPr>
            <w:tcW w:w="540" w:type="dxa"/>
            <w:tcBorders>
              <w:top w:val="nil"/>
              <w:left w:val="nil"/>
              <w:bottom w:val="single" w:sz="4" w:space="0" w:color="auto"/>
              <w:right w:val="single" w:sz="4" w:space="0" w:color="auto"/>
            </w:tcBorders>
            <w:shd w:val="clear" w:color="000000" w:fill="F2F2F2"/>
            <w:vAlign w:val="center"/>
            <w:hideMark/>
          </w:tcPr>
          <w:p w:rsidR="008B6B80" w:rsidRPr="005F5BCF" w:rsidP="007B260E" w14:paraId="692E7667" w14:textId="77777777">
            <w:pPr>
              <w:spacing w:after="0"/>
              <w:jc w:val="center"/>
              <w:rPr>
                <w:b/>
                <w:bCs/>
                <w:color w:val="000000"/>
                <w:sz w:val="18"/>
                <w:szCs w:val="18"/>
              </w:rPr>
            </w:pPr>
            <w:r w:rsidRPr="005F5BCF">
              <w:rPr>
                <w:b/>
                <w:bCs/>
                <w:color w:val="000000"/>
                <w:sz w:val="18"/>
                <w:szCs w:val="18"/>
              </w:rPr>
              <w:t xml:space="preserve"> Y3 </w:t>
            </w:r>
          </w:p>
        </w:tc>
        <w:tc>
          <w:tcPr>
            <w:tcW w:w="630" w:type="dxa"/>
            <w:tcBorders>
              <w:top w:val="nil"/>
              <w:left w:val="nil"/>
              <w:bottom w:val="single" w:sz="4" w:space="0" w:color="auto"/>
              <w:right w:val="single" w:sz="4" w:space="0" w:color="auto"/>
            </w:tcBorders>
            <w:shd w:val="clear" w:color="000000" w:fill="F2F2F2"/>
            <w:vAlign w:val="center"/>
          </w:tcPr>
          <w:p w:rsidR="008B6B80" w:rsidRPr="005F5BCF" w:rsidP="007B260E" w14:paraId="36814D9F" w14:textId="77777777">
            <w:pPr>
              <w:spacing w:after="0"/>
              <w:jc w:val="center"/>
              <w:rPr>
                <w:b/>
                <w:bCs/>
                <w:color w:val="000000"/>
                <w:sz w:val="18"/>
                <w:szCs w:val="18"/>
              </w:rPr>
            </w:pPr>
            <w:r w:rsidRPr="00A44074">
              <w:rPr>
                <w:b/>
                <w:bCs/>
                <w:color w:val="000000"/>
                <w:sz w:val="18"/>
                <w:szCs w:val="18"/>
              </w:rPr>
              <w:t xml:space="preserve"> Y1 </w:t>
            </w:r>
          </w:p>
        </w:tc>
        <w:tc>
          <w:tcPr>
            <w:tcW w:w="630" w:type="dxa"/>
            <w:tcBorders>
              <w:top w:val="nil"/>
              <w:left w:val="nil"/>
              <w:bottom w:val="single" w:sz="4" w:space="0" w:color="auto"/>
              <w:right w:val="single" w:sz="4" w:space="0" w:color="auto"/>
            </w:tcBorders>
            <w:shd w:val="clear" w:color="000000" w:fill="F2F2F2"/>
            <w:vAlign w:val="center"/>
          </w:tcPr>
          <w:p w:rsidR="008B6B80" w:rsidRPr="005F5BCF" w:rsidP="007B260E" w14:paraId="198B9E70" w14:textId="77777777">
            <w:pPr>
              <w:spacing w:after="0"/>
              <w:jc w:val="center"/>
              <w:rPr>
                <w:b/>
                <w:bCs/>
                <w:color w:val="000000"/>
                <w:sz w:val="18"/>
                <w:szCs w:val="18"/>
              </w:rPr>
            </w:pPr>
            <w:r w:rsidRPr="00A44074">
              <w:rPr>
                <w:b/>
                <w:bCs/>
                <w:color w:val="000000"/>
                <w:sz w:val="18"/>
                <w:szCs w:val="18"/>
              </w:rPr>
              <w:t xml:space="preserve"> Y2 </w:t>
            </w:r>
          </w:p>
        </w:tc>
        <w:tc>
          <w:tcPr>
            <w:tcW w:w="630" w:type="dxa"/>
            <w:tcBorders>
              <w:top w:val="nil"/>
              <w:left w:val="nil"/>
              <w:bottom w:val="single" w:sz="4" w:space="0" w:color="auto"/>
              <w:right w:val="single" w:sz="4" w:space="0" w:color="auto"/>
            </w:tcBorders>
            <w:shd w:val="clear" w:color="000000" w:fill="F2F2F2"/>
            <w:vAlign w:val="center"/>
          </w:tcPr>
          <w:p w:rsidR="008B6B80" w:rsidRPr="005F5BCF" w:rsidP="007B260E" w14:paraId="1C49E1B7" w14:textId="77777777">
            <w:pPr>
              <w:spacing w:after="0"/>
              <w:jc w:val="center"/>
              <w:rPr>
                <w:b/>
                <w:bCs/>
                <w:color w:val="000000"/>
                <w:sz w:val="18"/>
                <w:szCs w:val="18"/>
              </w:rPr>
            </w:pPr>
            <w:r w:rsidRPr="00A44074">
              <w:rPr>
                <w:b/>
                <w:bCs/>
                <w:color w:val="000000"/>
                <w:sz w:val="18"/>
                <w:szCs w:val="18"/>
              </w:rPr>
              <w:t xml:space="preserve"> Y3 </w:t>
            </w:r>
          </w:p>
        </w:tc>
      </w:tr>
      <w:tr w14:paraId="1F6E2A47" w14:textId="77777777" w:rsidTr="007B260E">
        <w:tblPrEx>
          <w:tblW w:w="9370" w:type="dxa"/>
          <w:tblLayout w:type="fixed"/>
          <w:tblCellMar>
            <w:left w:w="58" w:type="dxa"/>
            <w:right w:w="58" w:type="dxa"/>
          </w:tblCellMar>
          <w:tblLook w:val="04A0"/>
        </w:tblPrEx>
        <w:trPr>
          <w:trHeight w:val="504"/>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8B6B80" w:rsidRPr="005F5BCF" w:rsidP="007B260E" w14:paraId="117FA682" w14:textId="77777777">
            <w:pPr>
              <w:spacing w:after="0"/>
              <w:rPr>
                <w:color w:val="000000"/>
                <w:sz w:val="18"/>
                <w:szCs w:val="18"/>
              </w:rPr>
            </w:pPr>
            <w:r>
              <w:rPr>
                <w:color w:val="000000"/>
                <w:sz w:val="18"/>
                <w:szCs w:val="18"/>
              </w:rPr>
              <w:t>Review Data for Reporting Completeness and Compliance</w:t>
            </w:r>
          </w:p>
        </w:tc>
        <w:tc>
          <w:tcPr>
            <w:tcW w:w="631" w:type="dxa"/>
            <w:tcBorders>
              <w:top w:val="nil"/>
              <w:left w:val="nil"/>
              <w:bottom w:val="single" w:sz="4" w:space="0" w:color="auto"/>
              <w:right w:val="single" w:sz="4" w:space="0" w:color="auto"/>
            </w:tcBorders>
            <w:shd w:val="clear" w:color="auto" w:fill="auto"/>
            <w:vAlign w:val="center"/>
            <w:hideMark/>
          </w:tcPr>
          <w:p w:rsidR="008B6B80" w:rsidRPr="00DE4AB0" w:rsidP="007B260E" w14:paraId="69239534" w14:textId="77777777">
            <w:pPr>
              <w:spacing w:after="0"/>
              <w:jc w:val="right"/>
              <w:rPr>
                <w:sz w:val="18"/>
                <w:szCs w:val="18"/>
              </w:rPr>
            </w:pPr>
            <w:r>
              <w:rPr>
                <w:sz w:val="18"/>
                <w:szCs w:val="18"/>
              </w:rPr>
              <w:t>0.0</w:t>
            </w:r>
          </w:p>
        </w:tc>
        <w:tc>
          <w:tcPr>
            <w:tcW w:w="630" w:type="dxa"/>
            <w:tcBorders>
              <w:top w:val="nil"/>
              <w:left w:val="nil"/>
              <w:bottom w:val="single" w:sz="4" w:space="0" w:color="auto"/>
              <w:right w:val="single" w:sz="4" w:space="0" w:color="auto"/>
            </w:tcBorders>
            <w:shd w:val="clear" w:color="auto" w:fill="auto"/>
            <w:vAlign w:val="center"/>
            <w:hideMark/>
          </w:tcPr>
          <w:p w:rsidR="008B6B80" w:rsidRPr="00DE4AB0" w:rsidP="007B260E" w14:paraId="151FCCC7" w14:textId="77777777">
            <w:pPr>
              <w:spacing w:after="0"/>
              <w:jc w:val="right"/>
              <w:rPr>
                <w:sz w:val="18"/>
                <w:szCs w:val="18"/>
              </w:rPr>
            </w:pPr>
            <w:r>
              <w:rPr>
                <w:sz w:val="18"/>
                <w:szCs w:val="18"/>
              </w:rPr>
              <w:t>0.3</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8B6B80" w:rsidRPr="00DE4AB0" w:rsidP="007B260E" w14:paraId="7FFF9C72" w14:textId="77777777">
            <w:pPr>
              <w:spacing w:after="0"/>
              <w:jc w:val="right"/>
              <w:rPr>
                <w:sz w:val="18"/>
                <w:szCs w:val="18"/>
              </w:rPr>
            </w:pPr>
            <w:r>
              <w:rPr>
                <w:sz w:val="18"/>
                <w:szCs w:val="18"/>
              </w:rPr>
              <w:t>0.5</w:t>
            </w:r>
          </w:p>
        </w:tc>
        <w:tc>
          <w:tcPr>
            <w:tcW w:w="516" w:type="dxa"/>
            <w:tcBorders>
              <w:top w:val="nil"/>
              <w:left w:val="nil"/>
              <w:bottom w:val="single" w:sz="4" w:space="0" w:color="auto"/>
              <w:right w:val="single" w:sz="4" w:space="0" w:color="auto"/>
            </w:tcBorders>
            <w:shd w:val="clear" w:color="auto" w:fill="auto"/>
            <w:vAlign w:val="center"/>
            <w:hideMark/>
          </w:tcPr>
          <w:p w:rsidR="008B6B80" w:rsidRPr="00DE4AB0" w:rsidP="007B260E" w14:paraId="0C21BD6D" w14:textId="77777777">
            <w:pPr>
              <w:spacing w:after="0"/>
              <w:jc w:val="right"/>
              <w:rPr>
                <w:sz w:val="18"/>
                <w:szCs w:val="18"/>
              </w:rPr>
            </w:pPr>
            <w:r>
              <w:rPr>
                <w:sz w:val="18"/>
                <w:szCs w:val="18"/>
              </w:rPr>
              <w:t>19</w:t>
            </w:r>
          </w:p>
        </w:tc>
        <w:tc>
          <w:tcPr>
            <w:tcW w:w="516" w:type="dxa"/>
            <w:tcBorders>
              <w:top w:val="nil"/>
              <w:left w:val="nil"/>
              <w:bottom w:val="single" w:sz="4" w:space="0" w:color="auto"/>
              <w:right w:val="single" w:sz="4" w:space="0" w:color="auto"/>
            </w:tcBorders>
            <w:shd w:val="clear" w:color="auto" w:fill="auto"/>
            <w:vAlign w:val="center"/>
            <w:hideMark/>
          </w:tcPr>
          <w:p w:rsidR="008B6B80" w:rsidRPr="00DE4AB0" w:rsidP="007B260E" w14:paraId="056CA364" w14:textId="77777777">
            <w:pPr>
              <w:spacing w:after="0"/>
              <w:jc w:val="right"/>
              <w:rPr>
                <w:sz w:val="18"/>
                <w:szCs w:val="18"/>
              </w:rPr>
            </w:pPr>
            <w:r>
              <w:rPr>
                <w:sz w:val="18"/>
                <w:szCs w:val="18"/>
              </w:rPr>
              <w:t>10</w:t>
            </w:r>
          </w:p>
        </w:tc>
        <w:tc>
          <w:tcPr>
            <w:tcW w:w="513" w:type="dxa"/>
            <w:tcBorders>
              <w:top w:val="nil"/>
              <w:left w:val="nil"/>
              <w:bottom w:val="single" w:sz="4" w:space="0" w:color="auto"/>
              <w:right w:val="single" w:sz="4" w:space="0" w:color="auto"/>
            </w:tcBorders>
            <w:shd w:val="clear" w:color="auto" w:fill="auto"/>
            <w:vAlign w:val="center"/>
            <w:hideMark/>
          </w:tcPr>
          <w:p w:rsidR="008B6B80" w:rsidRPr="00DE4AB0" w:rsidP="007B260E" w14:paraId="33C4EDEC" w14:textId="77777777">
            <w:pPr>
              <w:spacing w:after="0"/>
              <w:jc w:val="right"/>
              <w:rPr>
                <w:sz w:val="18"/>
                <w:szCs w:val="18"/>
              </w:rPr>
            </w:pPr>
            <w:r>
              <w:rPr>
                <w:sz w:val="18"/>
                <w:szCs w:val="18"/>
              </w:rPr>
              <w:t>10</w:t>
            </w:r>
          </w:p>
        </w:tc>
        <w:tc>
          <w:tcPr>
            <w:tcW w:w="540" w:type="dxa"/>
            <w:tcBorders>
              <w:top w:val="nil"/>
              <w:left w:val="nil"/>
              <w:bottom w:val="single" w:sz="4" w:space="0" w:color="auto"/>
              <w:right w:val="single" w:sz="4" w:space="0" w:color="auto"/>
            </w:tcBorders>
            <w:shd w:val="clear" w:color="auto" w:fill="auto"/>
            <w:vAlign w:val="center"/>
            <w:hideMark/>
          </w:tcPr>
          <w:p w:rsidR="008B6B80" w:rsidRPr="00DE4AB0" w:rsidP="007B260E" w14:paraId="24E85239" w14:textId="77777777">
            <w:pPr>
              <w:spacing w:after="0"/>
              <w:jc w:val="right"/>
              <w:rPr>
                <w:sz w:val="18"/>
                <w:szCs w:val="18"/>
              </w:rPr>
            </w:pPr>
            <w:r>
              <w:rPr>
                <w:sz w:val="18"/>
                <w:szCs w:val="18"/>
              </w:rPr>
              <w:t>16.0</w:t>
            </w:r>
          </w:p>
        </w:tc>
        <w:tc>
          <w:tcPr>
            <w:tcW w:w="540" w:type="dxa"/>
            <w:tcBorders>
              <w:top w:val="nil"/>
              <w:left w:val="nil"/>
              <w:bottom w:val="single" w:sz="4" w:space="0" w:color="auto"/>
              <w:right w:val="single" w:sz="4" w:space="0" w:color="auto"/>
            </w:tcBorders>
            <w:shd w:val="clear" w:color="auto" w:fill="auto"/>
            <w:vAlign w:val="center"/>
            <w:hideMark/>
          </w:tcPr>
          <w:p w:rsidR="008B6B80" w:rsidRPr="00DE4AB0" w:rsidP="007B260E" w14:paraId="7FA7263A" w14:textId="77777777">
            <w:pPr>
              <w:spacing w:after="0"/>
              <w:jc w:val="right"/>
              <w:rPr>
                <w:sz w:val="18"/>
                <w:szCs w:val="18"/>
              </w:rPr>
            </w:pPr>
            <w:r>
              <w:rPr>
                <w:sz w:val="18"/>
                <w:szCs w:val="18"/>
              </w:rPr>
              <w:t>8.0</w:t>
            </w:r>
          </w:p>
        </w:tc>
        <w:tc>
          <w:tcPr>
            <w:tcW w:w="540" w:type="dxa"/>
            <w:tcBorders>
              <w:top w:val="nil"/>
              <w:left w:val="nil"/>
              <w:bottom w:val="single" w:sz="4" w:space="0" w:color="auto"/>
              <w:right w:val="single" w:sz="4" w:space="0" w:color="auto"/>
            </w:tcBorders>
            <w:shd w:val="clear" w:color="auto" w:fill="auto"/>
            <w:vAlign w:val="center"/>
            <w:hideMark/>
          </w:tcPr>
          <w:p w:rsidR="008B6B80" w:rsidRPr="00DE4AB0" w:rsidP="007B260E" w14:paraId="4A7270E3" w14:textId="77777777">
            <w:pPr>
              <w:spacing w:after="0"/>
              <w:jc w:val="right"/>
              <w:rPr>
                <w:sz w:val="18"/>
                <w:szCs w:val="18"/>
              </w:rPr>
            </w:pPr>
            <w:r>
              <w:rPr>
                <w:sz w:val="18"/>
                <w:szCs w:val="18"/>
              </w:rPr>
              <w:t>8.0</w:t>
            </w:r>
          </w:p>
        </w:tc>
        <w:tc>
          <w:tcPr>
            <w:tcW w:w="630" w:type="dxa"/>
            <w:tcBorders>
              <w:top w:val="nil"/>
              <w:left w:val="nil"/>
              <w:bottom w:val="single" w:sz="4" w:space="0" w:color="auto"/>
              <w:right w:val="single" w:sz="4" w:space="0" w:color="auto"/>
            </w:tcBorders>
            <w:vAlign w:val="center"/>
          </w:tcPr>
          <w:p w:rsidR="008B6B80" w:rsidRPr="00DE4AB0" w:rsidP="007B260E" w14:paraId="23618B02" w14:textId="77777777">
            <w:pPr>
              <w:spacing w:after="0"/>
              <w:jc w:val="right"/>
              <w:rPr>
                <w:sz w:val="18"/>
                <w:szCs w:val="18"/>
              </w:rPr>
            </w:pPr>
            <w:r>
              <w:rPr>
                <w:sz w:val="18"/>
                <w:szCs w:val="18"/>
              </w:rPr>
              <w:t>$1,753</w:t>
            </w:r>
          </w:p>
        </w:tc>
        <w:tc>
          <w:tcPr>
            <w:tcW w:w="630" w:type="dxa"/>
            <w:tcBorders>
              <w:top w:val="nil"/>
              <w:left w:val="nil"/>
              <w:bottom w:val="single" w:sz="4" w:space="0" w:color="auto"/>
              <w:right w:val="single" w:sz="4" w:space="0" w:color="auto"/>
            </w:tcBorders>
            <w:vAlign w:val="center"/>
          </w:tcPr>
          <w:p w:rsidR="008B6B80" w:rsidRPr="00DE4AB0" w:rsidP="007B260E" w14:paraId="701E9DB2" w14:textId="77777777">
            <w:pPr>
              <w:spacing w:after="0"/>
              <w:jc w:val="right"/>
              <w:rPr>
                <w:sz w:val="18"/>
                <w:szCs w:val="18"/>
              </w:rPr>
            </w:pPr>
            <w:r w:rsidRPr="00B33D01">
              <w:rPr>
                <w:sz w:val="18"/>
                <w:szCs w:val="18"/>
              </w:rPr>
              <w:t>$923</w:t>
            </w:r>
          </w:p>
        </w:tc>
        <w:tc>
          <w:tcPr>
            <w:tcW w:w="630" w:type="dxa"/>
            <w:tcBorders>
              <w:top w:val="nil"/>
              <w:left w:val="nil"/>
              <w:bottom w:val="single" w:sz="4" w:space="0" w:color="auto"/>
              <w:right w:val="single" w:sz="4" w:space="0" w:color="auto"/>
            </w:tcBorders>
            <w:vAlign w:val="center"/>
          </w:tcPr>
          <w:p w:rsidR="008B6B80" w:rsidRPr="00DE4AB0" w:rsidP="007B260E" w14:paraId="6194AAED" w14:textId="77777777">
            <w:pPr>
              <w:spacing w:after="0"/>
              <w:jc w:val="right"/>
              <w:rPr>
                <w:sz w:val="18"/>
                <w:szCs w:val="18"/>
              </w:rPr>
            </w:pPr>
            <w:r w:rsidRPr="00B33D01">
              <w:rPr>
                <w:sz w:val="18"/>
                <w:szCs w:val="18"/>
              </w:rPr>
              <w:t>$923</w:t>
            </w:r>
          </w:p>
        </w:tc>
      </w:tr>
    </w:tbl>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07B02817">
      <w:pPr>
        <w:spacing w:before="60"/>
        <w:rPr>
          <w:rFonts w:cstheme="minorHAnsi"/>
        </w:rPr>
      </w:pPr>
      <w:r>
        <w:rPr>
          <w:rFonts w:cstheme="minorHAnsi"/>
        </w:rPr>
        <w:t>N/A</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7"/>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C266D" w:rsidP="00EC266D" w14:paraId="16568514" w14:textId="19747B46">
      <w:pPr>
        <w:pStyle w:val="ListParagraph"/>
        <w:ind w:left="360"/>
      </w:pPr>
      <w:bookmarkStart w:id="29" w:name="_Toc156593389"/>
      <w:r w:rsidRPr="00956077">
        <w:t>This information collection request is a continuation of an existing</w:t>
      </w:r>
      <w:r w:rsidRPr="00C222B8">
        <w:t xml:space="preserve"> information collect</w:t>
      </w:r>
      <w:r w:rsidRPr="00CC7741">
        <w:t>ion re</w:t>
      </w:r>
      <w:r w:rsidRPr="008575CF">
        <w:t xml:space="preserve">quest approved by OMB, </w:t>
      </w:r>
      <w:r w:rsidRPr="00CA7BB2">
        <w:t>“</w:t>
      </w:r>
      <w:r w:rsidRPr="00EC266D">
        <w:rPr>
          <w:color w:val="2E2E2E"/>
        </w:rPr>
        <w:t xml:space="preserve">Production, Import, Export, Recycling, Destruction, Transshipment, and Feedstock Use of Ozone-Depleting Substances (Final Rule),” </w:t>
      </w:r>
      <w:r w:rsidRPr="00132A1F">
        <w:t>ICR number 1432.3</w:t>
      </w:r>
      <w:r>
        <w:t>8</w:t>
      </w:r>
      <w:r w:rsidRPr="00132A1F">
        <w:t>, OMB Control Number 2060-0170. The proposed requirements, if finalized, would increase the burden (hours and cost) by the quantities included in this draft ICR.</w:t>
      </w:r>
      <w:r w:rsidRPr="008575CF">
        <w:t xml:space="preserve"> </w:t>
      </w:r>
    </w:p>
    <w:p w:rsidR="00EC266D" w:rsidRPr="008575CF" w:rsidP="00EC266D" w14:paraId="100714F4" w14:textId="77777777">
      <w:pPr>
        <w:pStyle w:val="ListParagraph"/>
        <w:ind w:left="360"/>
      </w:pPr>
    </w:p>
    <w:p w:rsidR="005D140B" w:rsidRPr="00163C69" w:rsidP="4BDBF0A0" w14:paraId="3604F417" w14:textId="5D0F3160">
      <w:pPr>
        <w:pStyle w:val="ListParagraph"/>
        <w:numPr>
          <w:ilvl w:val="0"/>
          <w:numId w:val="27"/>
        </w:numPr>
        <w:spacing w:before="240" w:after="0"/>
        <w:rPr>
          <w:b/>
          <w:bCs/>
        </w:rPr>
      </w:pPr>
      <w:r w:rsidRPr="4BDBF0A0">
        <w:rPr>
          <w:b/>
          <w:bCs/>
        </w:rPr>
        <w:t xml:space="preserve">PUBLICATION OF </w:t>
      </w:r>
      <w:bookmarkStart w:id="30" w:name="_Toc156593390"/>
      <w:bookmarkEnd w:id="29"/>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0F285B68">
      <w:pPr>
        <w:pBdr>
          <w:top w:val="single" w:sz="6" w:space="0" w:color="FFFFFF"/>
          <w:left w:val="single" w:sz="6" w:space="0" w:color="FFFFFF"/>
          <w:bottom w:val="single" w:sz="6" w:space="0" w:color="FFFFFF"/>
          <w:right w:val="single" w:sz="6" w:space="0" w:color="FFFFFF"/>
        </w:pBdr>
      </w:pPr>
      <w:r>
        <w:t>N/A</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0"/>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2968C9BE">
      <w:pPr>
        <w:pBdr>
          <w:top w:val="single" w:sz="6" w:space="0" w:color="FFFFFF"/>
          <w:left w:val="single" w:sz="6" w:space="0" w:color="FFFFFF"/>
          <w:bottom w:val="single" w:sz="6" w:space="0" w:color="FFFFFF"/>
          <w:right w:val="single" w:sz="6" w:space="0" w:color="FFFFFF"/>
        </w:pBdr>
      </w:pPr>
      <w:r>
        <w:t>N/A</w:t>
      </w:r>
    </w:p>
    <w:p w:rsidR="00691828" w:rsidRPr="00163C69" w:rsidP="00854AAE" w14:paraId="7CCB26DD" w14:textId="4CB12282">
      <w:pPr>
        <w:pStyle w:val="ListParagraph"/>
        <w:numPr>
          <w:ilvl w:val="0"/>
          <w:numId w:val="27"/>
        </w:numPr>
        <w:spacing w:before="240" w:after="0"/>
        <w:rPr>
          <w:rFonts w:cstheme="minorHAnsi"/>
          <w:b/>
          <w:bCs/>
        </w:rPr>
      </w:pPr>
      <w:bookmarkStart w:id="31" w:name="_Toc156593391"/>
      <w:r w:rsidRPr="00163C69">
        <w:rPr>
          <w:rFonts w:cstheme="minorHAnsi"/>
          <w:b/>
          <w:bCs/>
        </w:rPr>
        <w:t>CERTIFICATION STATEMENT</w:t>
      </w:r>
      <w:bookmarkEnd w:id="31"/>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360BFF40">
      <w:pPr>
        <w:pBdr>
          <w:top w:val="single" w:sz="6" w:space="0" w:color="FFFFFF"/>
          <w:left w:val="single" w:sz="6" w:space="0" w:color="FFFFFF"/>
          <w:bottom w:val="single" w:sz="6" w:space="0" w:color="FFFFFF"/>
          <w:right w:val="single" w:sz="6" w:space="0" w:color="FFFFFF"/>
        </w:pBdr>
      </w:pPr>
      <w:r>
        <w:t>N/A</w:t>
      </w:r>
    </w:p>
    <w:p w:rsidR="00BB3410" w:rsidRPr="00BB3410" w:rsidP="00BB3410" w14:paraId="0F10E677" w14:textId="43CACB1D">
      <w:pPr>
        <w:rPr>
          <w:rFonts w:cstheme="minorHAnsi"/>
          <w:color w:val="000000"/>
          <w:shd w:val="clear" w:color="auto" w:fill="FFFFFF"/>
        </w:rPr>
        <w:sectPr>
          <w:footerReference w:type="default" r:id="rId11"/>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03E" w14:paraId="090A38F2" w14:textId="066554E0">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3810635</wp:posOffset>
              </wp:positionH>
              <wp:positionV relativeFrom="page">
                <wp:posOffset>9344025</wp:posOffset>
              </wp:positionV>
              <wp:extent cx="165100" cy="1943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5C303E" w14:textId="77777777">
                          <w:pPr>
                            <w:pStyle w:val="BodyText"/>
                            <w:spacing w:before="10"/>
                            <w:ind w:left="60"/>
                          </w:pPr>
                          <w:r>
                            <w:fldChar w:fldCharType="begin"/>
                          </w:r>
                          <w:r>
                            <w:instrText xml:space="preserve"> PAGE </w:instrText>
                          </w:r>
                          <w:r>
                            <w:fldChar w:fldCharType="separate"/>
                          </w:r>
                          <w:r>
                            <w:t>1</w:t>
                          </w:r>
                          <w: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pt;height:15.3pt;margin-top:735.75pt;margin-left:300.0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5C303E" w14:paraId="0C4583F6"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0F63DB"/>
    <w:multiLevelType w:val="hybridMultilevel"/>
    <w:tmpl w:val="199491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4A5073"/>
    <w:multiLevelType w:val="hybridMultilevel"/>
    <w:tmpl w:val="0B04E25C"/>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7D5105"/>
    <w:multiLevelType w:val="hybridMultilevel"/>
    <w:tmpl w:val="8208FD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E10437"/>
    <w:multiLevelType w:val="hybridMultilevel"/>
    <w:tmpl w:val="28107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4"/>
  </w:num>
  <w:num w:numId="3" w16cid:durableId="1158494831">
    <w:abstractNumId w:val="2"/>
  </w:num>
  <w:num w:numId="4" w16cid:durableId="493573829">
    <w:abstractNumId w:val="29"/>
  </w:num>
  <w:num w:numId="5" w16cid:durableId="2055687918">
    <w:abstractNumId w:val="18"/>
  </w:num>
  <w:num w:numId="6" w16cid:durableId="1603025219">
    <w:abstractNumId w:val="27"/>
  </w:num>
  <w:num w:numId="7" w16cid:durableId="423957196">
    <w:abstractNumId w:val="15"/>
  </w:num>
  <w:num w:numId="8" w16cid:durableId="2031829208">
    <w:abstractNumId w:val="23"/>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30"/>
  </w:num>
  <w:num w:numId="14" w16cid:durableId="239490726">
    <w:abstractNumId w:val="5"/>
  </w:num>
  <w:num w:numId="15" w16cid:durableId="1395350314">
    <w:abstractNumId w:val="9"/>
  </w:num>
  <w:num w:numId="16" w16cid:durableId="441535906">
    <w:abstractNumId w:val="13"/>
  </w:num>
  <w:num w:numId="17" w16cid:durableId="2008243381">
    <w:abstractNumId w:val="24"/>
  </w:num>
  <w:num w:numId="18" w16cid:durableId="840463183">
    <w:abstractNumId w:val="21"/>
  </w:num>
  <w:num w:numId="19" w16cid:durableId="469980091">
    <w:abstractNumId w:val="26"/>
  </w:num>
  <w:num w:numId="20" w16cid:durableId="2126730031">
    <w:abstractNumId w:val="11"/>
  </w:num>
  <w:num w:numId="21" w16cid:durableId="106124704">
    <w:abstractNumId w:val="1"/>
  </w:num>
  <w:num w:numId="22" w16cid:durableId="1552418013">
    <w:abstractNumId w:val="14"/>
  </w:num>
  <w:num w:numId="23" w16cid:durableId="1598828334">
    <w:abstractNumId w:val="28"/>
  </w:num>
  <w:num w:numId="24" w16cid:durableId="2051031068">
    <w:abstractNumId w:val="0"/>
  </w:num>
  <w:num w:numId="25" w16cid:durableId="258569098">
    <w:abstractNumId w:val="16"/>
  </w:num>
  <w:num w:numId="26" w16cid:durableId="331181582">
    <w:abstractNumId w:val="19"/>
  </w:num>
  <w:num w:numId="27" w16cid:durableId="1015961391">
    <w:abstractNumId w:val="25"/>
  </w:num>
  <w:num w:numId="28" w16cid:durableId="330061630">
    <w:abstractNumId w:val="17"/>
  </w:num>
  <w:num w:numId="29" w16cid:durableId="1066298679">
    <w:abstractNumId w:val="22"/>
  </w:num>
  <w:num w:numId="30" w16cid:durableId="336688889">
    <w:abstractNumId w:val="20"/>
  </w:num>
  <w:num w:numId="31" w16cid:durableId="29152576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0CD"/>
    <w:rsid w:val="000069C3"/>
    <w:rsid w:val="00006C95"/>
    <w:rsid w:val="00007FB5"/>
    <w:rsid w:val="00010EEE"/>
    <w:rsid w:val="000129E1"/>
    <w:rsid w:val="00013852"/>
    <w:rsid w:val="00013CE8"/>
    <w:rsid w:val="00014B10"/>
    <w:rsid w:val="00015010"/>
    <w:rsid w:val="00015FF6"/>
    <w:rsid w:val="0001637F"/>
    <w:rsid w:val="00017B90"/>
    <w:rsid w:val="00020791"/>
    <w:rsid w:val="00023EFE"/>
    <w:rsid w:val="000267E1"/>
    <w:rsid w:val="00030670"/>
    <w:rsid w:val="0003166C"/>
    <w:rsid w:val="00032552"/>
    <w:rsid w:val="00032BFD"/>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10A"/>
    <w:rsid w:val="000762A8"/>
    <w:rsid w:val="00076439"/>
    <w:rsid w:val="00076F0F"/>
    <w:rsid w:val="00077D8A"/>
    <w:rsid w:val="00082A72"/>
    <w:rsid w:val="00083D4A"/>
    <w:rsid w:val="00084327"/>
    <w:rsid w:val="00084BF3"/>
    <w:rsid w:val="00084FB5"/>
    <w:rsid w:val="00090627"/>
    <w:rsid w:val="00090750"/>
    <w:rsid w:val="000911D6"/>
    <w:rsid w:val="00091CE3"/>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1176"/>
    <w:rsid w:val="000D1952"/>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2A1F"/>
    <w:rsid w:val="00135EAD"/>
    <w:rsid w:val="00136237"/>
    <w:rsid w:val="00137EB8"/>
    <w:rsid w:val="00145DAE"/>
    <w:rsid w:val="00147B68"/>
    <w:rsid w:val="0015084F"/>
    <w:rsid w:val="00152A80"/>
    <w:rsid w:val="00156C9A"/>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5F6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17BB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1E41"/>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642F"/>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02E5"/>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2621"/>
    <w:rsid w:val="00363F41"/>
    <w:rsid w:val="00366D56"/>
    <w:rsid w:val="00367871"/>
    <w:rsid w:val="00367DAD"/>
    <w:rsid w:val="0037342A"/>
    <w:rsid w:val="00373CC8"/>
    <w:rsid w:val="00374E24"/>
    <w:rsid w:val="00375E2A"/>
    <w:rsid w:val="00376609"/>
    <w:rsid w:val="0038330C"/>
    <w:rsid w:val="003856DC"/>
    <w:rsid w:val="003901B8"/>
    <w:rsid w:val="003A1D0D"/>
    <w:rsid w:val="003A2D73"/>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1A1A"/>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4FF"/>
    <w:rsid w:val="00436FD0"/>
    <w:rsid w:val="00441783"/>
    <w:rsid w:val="004420DA"/>
    <w:rsid w:val="0044360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1B10"/>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4DD2"/>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D7520"/>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3C9A"/>
    <w:rsid w:val="005346D7"/>
    <w:rsid w:val="00535D3D"/>
    <w:rsid w:val="00536768"/>
    <w:rsid w:val="005372F7"/>
    <w:rsid w:val="00537322"/>
    <w:rsid w:val="00542227"/>
    <w:rsid w:val="005424B5"/>
    <w:rsid w:val="00542CEE"/>
    <w:rsid w:val="00546097"/>
    <w:rsid w:val="00546B65"/>
    <w:rsid w:val="00546FB4"/>
    <w:rsid w:val="0054767C"/>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C303E"/>
    <w:rsid w:val="005D0ACB"/>
    <w:rsid w:val="005D140B"/>
    <w:rsid w:val="005D1C36"/>
    <w:rsid w:val="005D1F2E"/>
    <w:rsid w:val="005D2654"/>
    <w:rsid w:val="005D2E6F"/>
    <w:rsid w:val="005D3708"/>
    <w:rsid w:val="005D5624"/>
    <w:rsid w:val="005D5865"/>
    <w:rsid w:val="005D5F1D"/>
    <w:rsid w:val="005E03A2"/>
    <w:rsid w:val="005E17D7"/>
    <w:rsid w:val="005E35C4"/>
    <w:rsid w:val="005E4A7B"/>
    <w:rsid w:val="005E588F"/>
    <w:rsid w:val="005E5BEC"/>
    <w:rsid w:val="005E5D2D"/>
    <w:rsid w:val="005E6FAB"/>
    <w:rsid w:val="005F1234"/>
    <w:rsid w:val="005F13AA"/>
    <w:rsid w:val="005F484B"/>
    <w:rsid w:val="005F5BCF"/>
    <w:rsid w:val="005F6D2D"/>
    <w:rsid w:val="005F6DD5"/>
    <w:rsid w:val="00601B3B"/>
    <w:rsid w:val="00602636"/>
    <w:rsid w:val="006036CD"/>
    <w:rsid w:val="00603CAA"/>
    <w:rsid w:val="00603CC1"/>
    <w:rsid w:val="0060451D"/>
    <w:rsid w:val="0060453F"/>
    <w:rsid w:val="00604681"/>
    <w:rsid w:val="00604D35"/>
    <w:rsid w:val="0060549C"/>
    <w:rsid w:val="006070D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2C85"/>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C7F"/>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869C2"/>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60E"/>
    <w:rsid w:val="007B2A30"/>
    <w:rsid w:val="007B41DD"/>
    <w:rsid w:val="007B5199"/>
    <w:rsid w:val="007B62FF"/>
    <w:rsid w:val="007B74AA"/>
    <w:rsid w:val="007C285F"/>
    <w:rsid w:val="007C3A41"/>
    <w:rsid w:val="007C7191"/>
    <w:rsid w:val="007C7392"/>
    <w:rsid w:val="007D1451"/>
    <w:rsid w:val="007D1B8B"/>
    <w:rsid w:val="007D2824"/>
    <w:rsid w:val="007D3C4B"/>
    <w:rsid w:val="007D4381"/>
    <w:rsid w:val="007D47D8"/>
    <w:rsid w:val="007D58A8"/>
    <w:rsid w:val="007D7CD7"/>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C4"/>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3CD"/>
    <w:rsid w:val="00853B1E"/>
    <w:rsid w:val="00854AAE"/>
    <w:rsid w:val="00856CDB"/>
    <w:rsid w:val="008575CF"/>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B6B8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E48"/>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4449"/>
    <w:rsid w:val="009551C5"/>
    <w:rsid w:val="00956077"/>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4074"/>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0B0E"/>
    <w:rsid w:val="00AC105E"/>
    <w:rsid w:val="00AC1131"/>
    <w:rsid w:val="00AC1AC4"/>
    <w:rsid w:val="00AC5472"/>
    <w:rsid w:val="00AC7C7A"/>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48A1"/>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3D0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17E"/>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4B71"/>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1403"/>
    <w:rsid w:val="00C222B8"/>
    <w:rsid w:val="00C2356F"/>
    <w:rsid w:val="00C24C6C"/>
    <w:rsid w:val="00C25A7A"/>
    <w:rsid w:val="00C27150"/>
    <w:rsid w:val="00C27CAD"/>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2F62"/>
    <w:rsid w:val="00C538F7"/>
    <w:rsid w:val="00C541C4"/>
    <w:rsid w:val="00C54E17"/>
    <w:rsid w:val="00C54FDB"/>
    <w:rsid w:val="00C55072"/>
    <w:rsid w:val="00C573BC"/>
    <w:rsid w:val="00C60DDA"/>
    <w:rsid w:val="00C6228D"/>
    <w:rsid w:val="00C63846"/>
    <w:rsid w:val="00C67D9C"/>
    <w:rsid w:val="00C706D7"/>
    <w:rsid w:val="00C72590"/>
    <w:rsid w:val="00C725A3"/>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9D2"/>
    <w:rsid w:val="00C96BDE"/>
    <w:rsid w:val="00CA27B9"/>
    <w:rsid w:val="00CA32FE"/>
    <w:rsid w:val="00CA4137"/>
    <w:rsid w:val="00CA5AE4"/>
    <w:rsid w:val="00CA6D14"/>
    <w:rsid w:val="00CA7BB2"/>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7741"/>
    <w:rsid w:val="00CD1614"/>
    <w:rsid w:val="00CD1836"/>
    <w:rsid w:val="00CD275E"/>
    <w:rsid w:val="00CD2903"/>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357B"/>
    <w:rsid w:val="00D04072"/>
    <w:rsid w:val="00D043F3"/>
    <w:rsid w:val="00D10B82"/>
    <w:rsid w:val="00D12D20"/>
    <w:rsid w:val="00D14A68"/>
    <w:rsid w:val="00D163B0"/>
    <w:rsid w:val="00D17BB9"/>
    <w:rsid w:val="00D210DB"/>
    <w:rsid w:val="00D225E2"/>
    <w:rsid w:val="00D22D2C"/>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2FD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3CD9"/>
    <w:rsid w:val="00DD4E7A"/>
    <w:rsid w:val="00DD6533"/>
    <w:rsid w:val="00DD6F29"/>
    <w:rsid w:val="00DD718B"/>
    <w:rsid w:val="00DE15D8"/>
    <w:rsid w:val="00DE26D9"/>
    <w:rsid w:val="00DE3DF8"/>
    <w:rsid w:val="00DE4AB0"/>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1238"/>
    <w:rsid w:val="00E41B99"/>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266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3D35"/>
    <w:rsid w:val="00F252CD"/>
    <w:rsid w:val="00F2554C"/>
    <w:rsid w:val="00F27BD2"/>
    <w:rsid w:val="00F27FE4"/>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D906B7"/>
  <w15:docId w15:val="{622DB592-1561-402F-A8C0-A7EEF08D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
    <w:name w:val="Body Text"/>
    <w:basedOn w:val="Normal"/>
    <w:link w:val="BodyTextChar"/>
    <w:semiHidden/>
    <w:unhideWhenUsed/>
    <w:rsid w:val="005C303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C30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5916</Words>
  <Characters>37274</Characters>
  <Application>Microsoft Office Word</Application>
  <DocSecurity>0</DocSecurity>
  <Lines>1007</Lines>
  <Paragraphs>369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cp:revision>
  <dcterms:created xsi:type="dcterms:W3CDTF">2024-07-15T21:24:00Z</dcterms:created>
  <dcterms:modified xsi:type="dcterms:W3CDTF">2025-07-11T21:21:00Z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