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3306" w:rsidRPr="00CB038B" w:rsidP="005F3306" w14:paraId="12027801" w14:textId="77777777">
      <w:pPr>
        <w:spacing w:after="0"/>
        <w:jc w:val="center"/>
        <w:rPr>
          <w:sz w:val="32"/>
          <w:szCs w:val="32"/>
        </w:rPr>
      </w:pPr>
      <w:r w:rsidRPr="11AB4B38">
        <w:rPr>
          <w:sz w:val="32"/>
          <w:szCs w:val="32"/>
        </w:rPr>
        <w:t>U.S. Environmental Protection Agency</w:t>
      </w:r>
    </w:p>
    <w:p w:rsidR="005F3306" w:rsidRPr="00CB038B" w:rsidP="005F3306" w14:paraId="03C2876C" w14:textId="77777777">
      <w:pPr>
        <w:jc w:val="center"/>
        <w:rPr>
          <w:sz w:val="32"/>
          <w:szCs w:val="32"/>
        </w:rPr>
      </w:pPr>
      <w:r w:rsidRPr="11AB4B38">
        <w:rPr>
          <w:sz w:val="32"/>
          <w:szCs w:val="32"/>
        </w:rPr>
        <w:t>Information Collection Request</w:t>
      </w:r>
    </w:p>
    <w:p w:rsidR="005F3306" w:rsidP="004252C1" w14:paraId="0D929466" w14:textId="3A29E8CF">
      <w:pPr>
        <w:rPr>
          <w:rFonts w:eastAsiaTheme="minorEastAsia"/>
          <w:sz w:val="24"/>
          <w:szCs w:val="24"/>
        </w:rPr>
      </w:pPr>
      <w:bookmarkStart w:id="0" w:name="title"/>
      <w:r w:rsidRPr="41100B63">
        <w:rPr>
          <w:b/>
          <w:bCs/>
        </w:rPr>
        <w:t>T</w:t>
      </w:r>
      <w:r w:rsidRPr="41100B63" w:rsidR="004252C1">
        <w:rPr>
          <w:b/>
          <w:bCs/>
        </w:rPr>
        <w:t>itle</w:t>
      </w:r>
      <w:bookmarkEnd w:id="0"/>
      <w:r>
        <w:rPr>
          <w:b/>
          <w:bCs/>
        </w:rPr>
        <w:t xml:space="preserve">: </w:t>
      </w:r>
      <w:r w:rsidRPr="41100B63" w:rsidR="75197F97">
        <w:rPr>
          <w:rFonts w:eastAsiaTheme="minorEastAsia"/>
          <w:sz w:val="24"/>
          <w:szCs w:val="24"/>
        </w:rPr>
        <w:t>Renewable Fuel Standard (RFS) Program: Standards for 2026 and 2027, Partial Waiver of 2025 Cellulosic Biofuel Volume Requirement, and Other Changes</w:t>
      </w:r>
      <w:r>
        <w:rPr>
          <w:rFonts w:eastAsiaTheme="minorEastAsia"/>
          <w:sz w:val="24"/>
          <w:szCs w:val="24"/>
        </w:rPr>
        <w:t xml:space="preserve"> (Proposed Rule)</w:t>
      </w:r>
    </w:p>
    <w:p w:rsidR="005F3306" w:rsidRPr="005F3306" w:rsidP="005F3306" w14:paraId="5C467202" w14:textId="1D850CD8">
      <w:pPr>
        <w:rPr>
          <w:rFonts w:eastAsiaTheme="minorEastAsia"/>
          <w:sz w:val="24"/>
          <w:szCs w:val="24"/>
        </w:rPr>
      </w:pPr>
      <w:r w:rsidRPr="005F3306">
        <w:rPr>
          <w:rFonts w:eastAsiaTheme="minorEastAsia"/>
          <w:b/>
          <w:bCs/>
          <w:sz w:val="24"/>
          <w:szCs w:val="24"/>
        </w:rPr>
        <w:t>OMB Control Number:</w:t>
      </w:r>
      <w:r w:rsidRPr="41100B63">
        <w:rPr>
          <w:rFonts w:eastAsiaTheme="minorEastAsia"/>
          <w:sz w:val="24"/>
          <w:szCs w:val="24"/>
        </w:rPr>
        <w:t xml:space="preserve"> 2060-NEW</w:t>
      </w:r>
    </w:p>
    <w:p w:rsidR="00BA0BF1" w:rsidRPr="005F3306" w:rsidP="004252C1" w14:paraId="6E1F5880" w14:textId="493BCD56">
      <w:pPr>
        <w:rPr>
          <w:rFonts w:eastAsiaTheme="minorEastAsia"/>
          <w:sz w:val="24"/>
          <w:szCs w:val="24"/>
        </w:rPr>
      </w:pPr>
      <w:r w:rsidRPr="005F3306">
        <w:rPr>
          <w:rFonts w:eastAsiaTheme="minorEastAsia"/>
          <w:b/>
          <w:bCs/>
          <w:sz w:val="24"/>
          <w:szCs w:val="24"/>
        </w:rPr>
        <w:t>EPA ICR N</w:t>
      </w:r>
      <w:r w:rsidRPr="005F3306" w:rsidR="005F3306">
        <w:rPr>
          <w:rFonts w:eastAsiaTheme="minorEastAsia"/>
          <w:b/>
          <w:bCs/>
          <w:sz w:val="24"/>
          <w:szCs w:val="24"/>
        </w:rPr>
        <w:t>umber:</w:t>
      </w:r>
      <w:r w:rsidRPr="41100B63">
        <w:rPr>
          <w:rFonts w:eastAsiaTheme="minorEastAsia"/>
          <w:sz w:val="24"/>
          <w:szCs w:val="24"/>
        </w:rPr>
        <w:t xml:space="preserve"> 78</w:t>
      </w:r>
      <w:r w:rsidRPr="41100B63" w:rsidR="2706516D">
        <w:rPr>
          <w:rFonts w:eastAsiaTheme="minorEastAsia"/>
          <w:sz w:val="24"/>
          <w:szCs w:val="24"/>
        </w:rPr>
        <w:t>04.01</w:t>
      </w:r>
      <w:bookmarkStart w:id="1" w:name="short"/>
    </w:p>
    <w:bookmarkEnd w:id="1"/>
    <w:p w:rsidR="004252C1" w:rsidRPr="004252C1" w:rsidP="41100B63" w14:paraId="0A009710" w14:textId="5EE9DEEB">
      <w:pPr>
        <w:rPr>
          <w:rFonts w:eastAsiaTheme="minorEastAsia"/>
          <w:sz w:val="24"/>
          <w:szCs w:val="24"/>
        </w:rPr>
      </w:pPr>
      <w:r>
        <w:rPr>
          <w:b/>
          <w:bCs/>
        </w:rPr>
        <w:t xml:space="preserve">Abstract: </w:t>
      </w:r>
      <w:r w:rsidRPr="41100B63" w:rsidR="55E1AC77">
        <w:rPr>
          <w:rFonts w:eastAsiaTheme="minorEastAsia"/>
          <w:color w:val="000000" w:themeColor="text1"/>
          <w:sz w:val="24"/>
          <w:szCs w:val="24"/>
        </w:rPr>
        <w:t>The proposed volume standards and associated percentage standards for 2026 and 2027 do not add to the burdens already estimated under existing, approved ICRs for the RFS program. This proposed rule proposes recordkeeping and reporting for domestic renewable fuel producers to implement the proposed RIN reduction for import-based renewable fuel. We anticipate the increase in burden related to identifying feedstock as foreign or domestic will be very small because the parties already are required to keep underlying records and provide reports for the RFS program, generally. General recordkeeping and reporting for the RFS program is contained in the Renewable Fuel Standard program ICR, OMB Control Number 2060-0725 (expires November 30, 2025).</w:t>
      </w:r>
    </w:p>
    <w:p w:rsidR="007B5D0D" w:rsidRPr="005F3306" w:rsidP="007B5D0D" w14:paraId="6C467E10" w14:textId="682E54A2">
      <w:pPr>
        <w:rPr>
          <w:rFonts w:cstheme="minorHAnsi"/>
          <w:b/>
          <w:bCs/>
        </w:rPr>
      </w:pPr>
      <w:bookmarkStart w:id="2" w:name="actions"/>
      <w:r w:rsidRPr="00D74290">
        <w:rPr>
          <w:rFonts w:cstheme="minorHAnsi"/>
          <w:b/>
          <w:bCs/>
        </w:rPr>
        <w:t>Actions to Comply with Terms of Clearance</w:t>
      </w:r>
      <w:bookmarkEnd w:id="2"/>
      <w:r w:rsidR="005F3306">
        <w:rPr>
          <w:rFonts w:cstheme="minorHAnsi"/>
          <w:b/>
          <w:bCs/>
        </w:rPr>
        <w:t xml:space="preserve">: </w:t>
      </w:r>
      <w:r w:rsidR="007F1CBA">
        <w:rPr>
          <w:rFonts w:cstheme="minorHAnsi"/>
        </w:rPr>
        <w:t>N/A</w:t>
      </w:r>
    </w:p>
    <w:p w:rsidR="00F17F8C" w:rsidRPr="004252C1" w:rsidP="004252C1" w14:paraId="697B0B0A" w14:textId="15217FCC">
      <w:pPr>
        <w:rPr>
          <w:rFonts w:cstheme="minorHAnsi"/>
        </w:rPr>
      </w:pPr>
    </w:p>
    <w:p w:rsidR="005F3306" w14:paraId="4323A4B1" w14:textId="77777777">
      <w:pPr>
        <w:rPr>
          <w:rFonts w:cstheme="minorHAnsi"/>
          <w:b/>
          <w:bCs/>
        </w:rPr>
      </w:pPr>
      <w:bookmarkStart w:id="3" w:name="q1"/>
      <w:r>
        <w:rPr>
          <w:rFonts w:cstheme="minorHAnsi"/>
          <w:b/>
          <w:bCs/>
        </w:rPr>
        <w:br w:type="page"/>
      </w:r>
    </w:p>
    <w:p w:rsidR="005F3306" w:rsidRPr="005F3306" w:rsidP="004252C1" w14:paraId="6ABA0EEE" w14:textId="77777777">
      <w:pPr>
        <w:rPr>
          <w:rFonts w:cstheme="minorHAnsi"/>
          <w:b/>
          <w:bCs/>
          <w:u w:val="single"/>
        </w:rPr>
      </w:pPr>
      <w:r w:rsidRPr="005F3306">
        <w:rPr>
          <w:rFonts w:cstheme="minorHAnsi"/>
          <w:b/>
          <w:bCs/>
          <w:u w:val="single"/>
        </w:rPr>
        <w:t>Supporting Statement A</w:t>
      </w:r>
    </w:p>
    <w:p w:rsidR="005F3306" w:rsidRPr="00E3122D" w:rsidP="005F3306" w14:paraId="72289A0F" w14:textId="77777777">
      <w:pPr>
        <w:pStyle w:val="ListParagraph"/>
        <w:numPr>
          <w:ilvl w:val="0"/>
          <w:numId w:val="19"/>
        </w:numPr>
        <w:pBdr>
          <w:bottom w:val="single" w:sz="4" w:space="1" w:color="auto"/>
        </w:pBdr>
        <w:spacing w:before="240" w:after="0"/>
        <w:rPr>
          <w:rFonts w:cstheme="minorHAnsi"/>
          <w:b/>
          <w:bCs/>
        </w:rPr>
      </w:pPr>
      <w:bookmarkStart w:id="4" w:name="_Toc156593368"/>
      <w:bookmarkEnd w:id="3"/>
      <w:r w:rsidRPr="00E3122D">
        <w:rPr>
          <w:rFonts w:cstheme="minorHAnsi"/>
          <w:b/>
          <w:bCs/>
        </w:rPr>
        <w:t>NEED AND AUTHORITY FOR THE COLLECTION</w:t>
      </w:r>
      <w:bookmarkEnd w:id="4"/>
    </w:p>
    <w:p w:rsidR="005F3306" w:rsidRPr="00D47CB3" w:rsidP="005F3306" w14:paraId="1AAB1362" w14:textId="77777777">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5F3306" w:rsidP="004252C1" w14:paraId="2720B909" w14:textId="77777777">
      <w:pPr>
        <w:rPr>
          <w:rFonts w:cstheme="minorHAnsi"/>
        </w:rPr>
      </w:pPr>
      <w:r w:rsidRPr="00CA3B3B">
        <w:rPr>
          <w:sz w:val="24"/>
          <w:szCs w:val="24"/>
        </w:rPr>
        <w:t>Sections 114 and 208 of the Clean Air Act (CAA), 42 U.S.C. §§ 7414 and 7542, authorize EPA to require recordkeeping and reporting regarding enforcement of the provisions of Title II of the CAA</w:t>
      </w:r>
      <w:r>
        <w:rPr>
          <w:sz w:val="24"/>
          <w:szCs w:val="24"/>
        </w:rPr>
        <w:t xml:space="preserve">. </w:t>
      </w:r>
      <w:r w:rsidRPr="00CA3B3B">
        <w:rPr>
          <w:sz w:val="24"/>
          <w:szCs w:val="24"/>
        </w:rPr>
        <w:t>The recordkeeping and reporting requirements of this regulation will allow EPA to monitor compliance under the R</w:t>
      </w:r>
      <w:r w:rsidR="00132C20">
        <w:rPr>
          <w:sz w:val="24"/>
          <w:szCs w:val="24"/>
        </w:rPr>
        <w:t>enewable Fuel Standard (RFS)</w:t>
      </w:r>
      <w:r w:rsidRPr="00CA3B3B">
        <w:rPr>
          <w:sz w:val="24"/>
          <w:szCs w:val="24"/>
        </w:rPr>
        <w:t xml:space="preserve"> program</w:t>
      </w:r>
      <w:r w:rsidR="006023A3">
        <w:rPr>
          <w:sz w:val="24"/>
          <w:szCs w:val="24"/>
        </w:rPr>
        <w:t xml:space="preserve">. The relevant regulations are in 40 CFR parts 80 and 1090. </w:t>
      </w:r>
      <w:bookmarkStart w:id="5" w:name="q2"/>
    </w:p>
    <w:p w:rsidR="005F3306" w:rsidRPr="00E3122D" w:rsidP="005F3306" w14:paraId="768CFCFB" w14:textId="77777777">
      <w:pPr>
        <w:pStyle w:val="ListParagraph"/>
        <w:numPr>
          <w:ilvl w:val="0"/>
          <w:numId w:val="19"/>
        </w:numPr>
        <w:pBdr>
          <w:bottom w:val="single" w:sz="4" w:space="1" w:color="auto"/>
        </w:pBdr>
        <w:spacing w:before="240" w:after="0"/>
        <w:rPr>
          <w:rFonts w:cstheme="minorHAnsi"/>
          <w:b/>
          <w:bCs/>
        </w:rPr>
      </w:pPr>
      <w:bookmarkStart w:id="6" w:name="_Toc156593369"/>
      <w:bookmarkEnd w:id="5"/>
      <w:r w:rsidRPr="00E3122D">
        <w:rPr>
          <w:rFonts w:cstheme="minorHAnsi"/>
          <w:b/>
          <w:bCs/>
        </w:rPr>
        <w:t>PRACTICAL UTILITY/USERS OF THE DATA</w:t>
      </w:r>
      <w:bookmarkEnd w:id="6"/>
    </w:p>
    <w:p w:rsidR="005F3306" w:rsidRPr="00D47CB3" w:rsidP="005F3306" w14:paraId="19D230BC" w14:textId="77777777">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136AF3" w:rsidRPr="004252C1" w:rsidP="41100B63" w14:paraId="3F5BE858" w14:textId="3502BF3C">
      <w:r w:rsidRPr="41100B63">
        <w:t xml:space="preserve">This ICR is for </w:t>
      </w:r>
      <w:r w:rsidRPr="41100B63" w:rsidR="007B5D0D">
        <w:t xml:space="preserve">recordkeeping and reporting under </w:t>
      </w:r>
      <w:r w:rsidRPr="41100B63">
        <w:t>the Renewable Fuel Standard (RFS)</w:t>
      </w:r>
      <w:r w:rsidRPr="41100B63" w:rsidR="00005EE2">
        <w:t xml:space="preserve"> program</w:t>
      </w:r>
      <w:r w:rsidRPr="41100B63" w:rsidR="00C524D8">
        <w:t>, required by Clean Air Act</w:t>
      </w:r>
      <w:r w:rsidRPr="41100B63">
        <w:t xml:space="preserve">. </w:t>
      </w:r>
      <w:r w:rsidRPr="41100B63" w:rsidR="007B5D0D">
        <w:t>R</w:t>
      </w:r>
      <w:r w:rsidRPr="41100B63">
        <w:t xml:space="preserve">FS is a program that relies upon marketable credits (RINs) to function, which necessitates recordkeeping and reporting to establish type and number of RINs generated, sold, retired, etc. EPA provides the secure trading platform in which RIN transactions occur (EMTS), which removes a burden from industry. EPA uses the information to monitor compliance with RFS and to ensure the integrity of the RIN market. </w:t>
      </w:r>
    </w:p>
    <w:p w:rsidR="004252C1" w:rsidRPr="005F3306" w:rsidP="004252C1" w14:paraId="3E2FC7F8" w14:textId="7635EBE2">
      <w:r>
        <w:t xml:space="preserve">Changes outlined in the </w:t>
      </w:r>
      <w:r w:rsidR="002C434B">
        <w:t xml:space="preserve">proposed </w:t>
      </w:r>
      <w:r w:rsidR="00885FF4">
        <w:t xml:space="preserve">rule </w:t>
      </w:r>
      <w:r>
        <w:t xml:space="preserve">will </w:t>
      </w:r>
      <w:r w:rsidR="008E694E">
        <w:t xml:space="preserve">result in </w:t>
      </w:r>
      <w:r w:rsidR="008023FF">
        <w:t xml:space="preserve">modifications </w:t>
      </w:r>
      <w:r w:rsidR="00D82225">
        <w:t xml:space="preserve">to </w:t>
      </w:r>
      <w:r w:rsidR="00725077">
        <w:t xml:space="preserve">five </w:t>
      </w:r>
      <w:r w:rsidR="00D82225">
        <w:t xml:space="preserve">existing </w:t>
      </w:r>
      <w:r w:rsidR="00D224A3">
        <w:t xml:space="preserve">RFS </w:t>
      </w:r>
      <w:r w:rsidR="00D82225">
        <w:t>form</w:t>
      </w:r>
      <w:r w:rsidR="000E5A1C">
        <w:t>s</w:t>
      </w:r>
      <w:r w:rsidR="00337242">
        <w:t xml:space="preserve"> with no new forms being added</w:t>
      </w:r>
      <w:r w:rsidR="00655474">
        <w:t>.  Modifications include</w:t>
      </w:r>
      <w:r w:rsidR="00B23406">
        <w:t xml:space="preserve"> </w:t>
      </w:r>
      <w:r w:rsidR="00D82225">
        <w:t>eliminat</w:t>
      </w:r>
      <w:r w:rsidR="002B7073">
        <w:t>ing</w:t>
      </w:r>
      <w:r w:rsidR="00D82225">
        <w:t xml:space="preserve"> </w:t>
      </w:r>
      <w:r w:rsidR="00794E2D">
        <w:t>fields for data no longer collect</w:t>
      </w:r>
      <w:r w:rsidR="00E23ADA">
        <w:t xml:space="preserve">ed, </w:t>
      </w:r>
      <w:r w:rsidR="00D3561D">
        <w:t xml:space="preserve">removing </w:t>
      </w:r>
      <w:r w:rsidR="00F279CF">
        <w:t xml:space="preserve">defunct product codes, </w:t>
      </w:r>
      <w:r w:rsidR="008045FC">
        <w:t>adding</w:t>
      </w:r>
      <w:r w:rsidR="005E64A4">
        <w:t xml:space="preserve"> a code</w:t>
      </w:r>
      <w:r w:rsidR="00275FB6">
        <w:t xml:space="preserve"> and instruction</w:t>
      </w:r>
      <w:r w:rsidR="005E64A4">
        <w:t xml:space="preserve"> to </w:t>
      </w:r>
      <w:r w:rsidR="00707163">
        <w:t xml:space="preserve">clarify </w:t>
      </w:r>
      <w:r w:rsidR="000E4C9C">
        <w:t xml:space="preserve">the </w:t>
      </w:r>
      <w:r w:rsidR="008A51A2">
        <w:t>small refiner</w:t>
      </w:r>
      <w:r w:rsidR="00707163">
        <w:t xml:space="preserve"> annual reporting obligation, and </w:t>
      </w:r>
      <w:r w:rsidR="00326147">
        <w:t xml:space="preserve">adding </w:t>
      </w:r>
      <w:r w:rsidR="007878AC">
        <w:t>RIN generation reason codes into EMTS</w:t>
      </w:r>
      <w:r w:rsidR="00495BEB">
        <w:t xml:space="preserve"> </w:t>
      </w:r>
      <w:r w:rsidR="00157767">
        <w:t>to distinguish</w:t>
      </w:r>
      <w:r w:rsidR="007201CD">
        <w:t xml:space="preserve"> domestic</w:t>
      </w:r>
      <w:r w:rsidR="007C3FB9">
        <w:t>-based renewable fuel</w:t>
      </w:r>
      <w:r w:rsidR="00EE2E54">
        <w:t xml:space="preserve"> from </w:t>
      </w:r>
      <w:r w:rsidR="001B3471">
        <w:t xml:space="preserve">import-based </w:t>
      </w:r>
      <w:r w:rsidR="00EE2E54">
        <w:t>renewable fuel</w:t>
      </w:r>
      <w:r w:rsidR="007878AC">
        <w:t>.</w:t>
      </w:r>
      <w:r w:rsidR="004E31A8">
        <w:t xml:space="preserve"> </w:t>
      </w:r>
    </w:p>
    <w:p w:rsidR="005F3306" w:rsidRPr="00E3122D" w:rsidP="005F3306" w14:paraId="7A352A85" w14:textId="77777777">
      <w:pPr>
        <w:pStyle w:val="ListParagraph"/>
        <w:numPr>
          <w:ilvl w:val="0"/>
          <w:numId w:val="19"/>
        </w:numPr>
        <w:pBdr>
          <w:bottom w:val="single" w:sz="4" w:space="1" w:color="auto"/>
        </w:pBdr>
        <w:spacing w:before="240" w:after="0"/>
        <w:rPr>
          <w:rFonts w:cstheme="minorHAnsi"/>
          <w:b/>
          <w:bCs/>
        </w:rPr>
      </w:pPr>
      <w:bookmarkStart w:id="7" w:name="_Toc156593370"/>
      <w:r w:rsidRPr="00E3122D">
        <w:rPr>
          <w:rFonts w:cstheme="minorHAnsi"/>
          <w:b/>
          <w:bCs/>
        </w:rPr>
        <w:t>USE OF TECHNOLOGY</w:t>
      </w:r>
      <w:bookmarkEnd w:id="7"/>
    </w:p>
    <w:p w:rsidR="005F3306" w:rsidRPr="001F0834" w:rsidP="005F3306" w14:paraId="64AD1A30"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A0BF1" w:rsidRPr="005F3306" w:rsidP="004252C1" w14:paraId="6CF0CFBA" w14:textId="5D4ED5FC">
      <w:pPr>
        <w:rPr>
          <w:rFonts w:cstheme="minorHAnsi"/>
        </w:rPr>
      </w:pPr>
      <w:r>
        <w:t xml:space="preserve">Reports </w:t>
      </w:r>
      <w:r w:rsidR="00136AF3">
        <w:t>are submitted electronically in a simple, standard format</w:t>
      </w:r>
      <w:r w:rsidRPr="002760BD" w:rsidR="002760BD">
        <w:t>.</w:t>
      </w:r>
      <w:r w:rsidR="00136AF3">
        <w:t xml:space="preserve"> Parties who submit reports register with </w:t>
      </w:r>
      <w:r>
        <w:t xml:space="preserve">the OTAQ program to receive company and facility registration information, and access to CDX and reporting platforms, such as EMTS. EPA issues specific for instructions to ensure that parties do not have to fill out unnecessary fields. Reporting is tied to the activity a respondent engages in, as identified in registration. We continue to improve upon system services to remove unnecessary steps from registration or reporting. </w:t>
      </w:r>
      <w:bookmarkStart w:id="8" w:name="q4"/>
    </w:p>
    <w:p w:rsidR="005F3306" w:rsidRPr="00E3122D" w:rsidP="005F3306" w14:paraId="76B5430D" w14:textId="77777777">
      <w:pPr>
        <w:pStyle w:val="ListParagraph"/>
        <w:numPr>
          <w:ilvl w:val="0"/>
          <w:numId w:val="19"/>
        </w:numPr>
        <w:pBdr>
          <w:bottom w:val="single" w:sz="4" w:space="1" w:color="auto"/>
        </w:pBdr>
        <w:spacing w:before="240" w:after="0"/>
        <w:rPr>
          <w:rFonts w:cstheme="minorHAnsi"/>
          <w:b/>
          <w:bCs/>
        </w:rPr>
      </w:pPr>
      <w:bookmarkStart w:id="9" w:name="_Toc156593371"/>
      <w:bookmarkEnd w:id="8"/>
      <w:r w:rsidRPr="00E3122D">
        <w:rPr>
          <w:rFonts w:cstheme="minorHAnsi"/>
          <w:b/>
          <w:bCs/>
        </w:rPr>
        <w:t>EFFORTS TO IDENTIFY DUPLICATION</w:t>
      </w:r>
      <w:bookmarkEnd w:id="9"/>
    </w:p>
    <w:p w:rsidR="005F3306" w:rsidRPr="001F0834" w:rsidP="005F3306" w14:paraId="22DA44E8"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4252C1" w:rsidRPr="005F3306" w:rsidP="005F3306" w14:paraId="3486D2AC" w14:textId="6B800174">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rsidRPr="006C09EB">
        <w:t xml:space="preserve">Efforts have been made to eliminate duplication in this information collection and EPA is only requesting information necessary to implement a working </w:t>
      </w:r>
      <w:r w:rsidR="00AE73D3">
        <w:t xml:space="preserve">RFS </w:t>
      </w:r>
      <w:r w:rsidRPr="006C09EB">
        <w:t>program. We are not seeking to collect information available to us in any other manner. The information requested is often claimed as confidential business information (CBI) by the submitter and, as such, is not readily or publicly available</w:t>
      </w:r>
      <w:r w:rsidRPr="000F5BD6" w:rsidR="000F5BD6">
        <w:t>.</w:t>
      </w:r>
    </w:p>
    <w:p w:rsidR="005F3306" w:rsidRPr="00E3122D" w:rsidP="005F3306" w14:paraId="29C3C2F8" w14:textId="22E58173">
      <w:pPr>
        <w:pStyle w:val="ListParagraph"/>
        <w:numPr>
          <w:ilvl w:val="0"/>
          <w:numId w:val="19"/>
        </w:numPr>
        <w:pBdr>
          <w:bottom w:val="single" w:sz="4" w:space="0" w:color="auto"/>
        </w:pBdr>
        <w:spacing w:before="240" w:after="0"/>
        <w:rPr>
          <w:b/>
          <w:bCs/>
        </w:rPr>
      </w:pPr>
      <w:bookmarkStart w:id="10" w:name="_Toc156593372"/>
      <w:bookmarkStart w:id="11" w:name="_Hlk203113948"/>
      <w:r w:rsidRPr="4BDBF0A0">
        <w:rPr>
          <w:b/>
          <w:bCs/>
        </w:rPr>
        <w:t>MINIMIZING BURDEN ON SMALL BUSINESSES AND SMALL ENTITIES</w:t>
      </w:r>
      <w:bookmarkEnd w:id="10"/>
    </w:p>
    <w:p w:rsidR="005F3306" w:rsidRPr="001F0834" w:rsidP="005F3306" w14:paraId="561B668E" w14:textId="77777777">
      <w:pPr>
        <w:pBdr>
          <w:bottom w:val="single" w:sz="4" w:space="0"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bookmarkEnd w:id="11"/>
    <w:p w:rsidR="004A4B8D" w:rsidRPr="005F3306" w:rsidP="005F3306" w14:paraId="6EDE35A8" w14:textId="3F7B8150">
      <w:r>
        <w:t>This collection would not adversely affect small</w:t>
      </w:r>
      <w:r w:rsidR="6EB99CDA">
        <w:t xml:space="preserve"> businesses</w:t>
      </w:r>
      <w:r>
        <w:t>.</w:t>
      </w:r>
    </w:p>
    <w:p w:rsidR="005F3306" w:rsidRPr="00E3122D" w:rsidP="005F3306" w14:paraId="6719E199" w14:textId="77777777">
      <w:pPr>
        <w:pStyle w:val="ListParagraph"/>
        <w:numPr>
          <w:ilvl w:val="0"/>
          <w:numId w:val="19"/>
        </w:numPr>
        <w:pBdr>
          <w:bottom w:val="single" w:sz="4" w:space="1" w:color="auto"/>
        </w:pBdr>
        <w:spacing w:before="240" w:after="0"/>
        <w:rPr>
          <w:b/>
          <w:bCs/>
        </w:rPr>
      </w:pPr>
      <w:bookmarkStart w:id="12" w:name="_Toc156593373"/>
      <w:r w:rsidRPr="4BDBF0A0">
        <w:rPr>
          <w:b/>
          <w:bCs/>
        </w:rPr>
        <w:t>CONSEQUENCES OF LESS FREQUENT COLLECTION</w:t>
      </w:r>
      <w:bookmarkEnd w:id="12"/>
    </w:p>
    <w:p w:rsidR="005F3306" w:rsidRPr="001F0834" w:rsidP="005F3306" w14:paraId="66F08CD0" w14:textId="77777777">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4252C1" w:rsidRPr="005F3306" w:rsidP="004252C1" w14:paraId="1FF5A778" w14:textId="3B09A9FE">
      <w:r w:rsidRPr="001B7967">
        <w:t>Less frequent collection of data would make it impossible to carry out the provisions of the C</w:t>
      </w:r>
      <w:r>
        <w:t xml:space="preserve">lean Air Act. </w:t>
      </w:r>
    </w:p>
    <w:p w:rsidR="005F3306" w:rsidRPr="00E3122D" w:rsidP="005F3306" w14:paraId="238308AB" w14:textId="77777777">
      <w:pPr>
        <w:pStyle w:val="ListParagraph"/>
        <w:numPr>
          <w:ilvl w:val="0"/>
          <w:numId w:val="19"/>
        </w:numPr>
        <w:pBdr>
          <w:bottom w:val="single" w:sz="4" w:space="1" w:color="auto"/>
        </w:pBdr>
        <w:spacing w:before="240" w:after="0"/>
        <w:rPr>
          <w:rFonts w:cstheme="minorHAnsi"/>
          <w:b/>
          <w:bCs/>
        </w:rPr>
      </w:pPr>
      <w:bookmarkStart w:id="13" w:name="_Toc156593374"/>
      <w:r w:rsidRPr="00E3122D">
        <w:rPr>
          <w:rFonts w:cstheme="minorHAnsi"/>
          <w:b/>
          <w:bCs/>
        </w:rPr>
        <w:t>GENERAL GUIDELINES</w:t>
      </w:r>
      <w:bookmarkEnd w:id="13"/>
    </w:p>
    <w:p w:rsidR="005F3306" w:rsidRPr="00A233E0" w:rsidP="005F3306" w14:paraId="74F054FF" w14:textId="77777777">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7522AD" w:rsidP="005F3306" w14:paraId="4E92A941" w14:textId="38E5C291">
      <w:r>
        <w:t xml:space="preserve">The record retention schedule for the RFS regulation is five years. This is consistent with the statute of limitations under the Clean Air Act. </w:t>
      </w:r>
    </w:p>
    <w:p w:rsidR="004252C1" w:rsidRPr="005F3306" w:rsidP="004252C1" w14:paraId="2EC380BB" w14:textId="0A9F9128">
      <w:r>
        <w:t xml:space="preserve">Respondents may claim information contained in their recordkeeping and reporting as confidential business information (CBI). Our registration and reporting methods and EMTS are designed in a manner to be able to handle CBI. Where practicable, we provide respondents with a clear method of asserting a CBI claim. </w:t>
      </w:r>
    </w:p>
    <w:p w:rsidR="005F3306" w:rsidRPr="00E3122D" w:rsidP="005F3306" w14:paraId="363922F5" w14:textId="77777777">
      <w:pPr>
        <w:pStyle w:val="ListParagraph"/>
        <w:numPr>
          <w:ilvl w:val="0"/>
          <w:numId w:val="19"/>
        </w:numPr>
        <w:pBdr>
          <w:bottom w:val="single" w:sz="4" w:space="1" w:color="auto"/>
        </w:pBdr>
        <w:spacing w:before="240" w:after="0"/>
        <w:rPr>
          <w:rFonts w:cstheme="minorHAnsi"/>
          <w:b/>
          <w:bCs/>
        </w:rPr>
      </w:pPr>
      <w:bookmarkStart w:id="14" w:name="_Toc156593375"/>
      <w:r w:rsidRPr="00E3122D">
        <w:rPr>
          <w:rFonts w:cstheme="minorHAnsi"/>
          <w:b/>
          <w:bCs/>
        </w:rPr>
        <w:t>PUBLIC COMMENT AND CONSULTATIONS</w:t>
      </w:r>
      <w:bookmarkStart w:id="15" w:name="_Toc156593376"/>
      <w:bookmarkEnd w:id="14"/>
    </w:p>
    <w:p w:rsidR="005F3306" w:rsidRPr="00E3122D" w:rsidP="005F3306" w14:paraId="48FED856" w14:textId="77777777">
      <w:pPr>
        <w:spacing w:before="120" w:after="0"/>
        <w:rPr>
          <w:rFonts w:cstheme="minorHAnsi"/>
          <w:b/>
          <w:bCs/>
        </w:rPr>
      </w:pPr>
      <w:r w:rsidRPr="00E3122D">
        <w:rPr>
          <w:rFonts w:cstheme="minorHAnsi"/>
          <w:b/>
          <w:bCs/>
        </w:rPr>
        <w:t>8a. Public Comment</w:t>
      </w:r>
      <w:bookmarkEnd w:id="15"/>
    </w:p>
    <w:p w:rsidR="005F3306" w:rsidRPr="00A233E0" w:rsidP="005F3306" w14:paraId="73BE3215" w14:textId="77777777">
      <w:pPr>
        <w:spacing w:line="240" w:lineRule="auto"/>
        <w:rPr>
          <w:rFonts w:cstheme="minorHAnsi"/>
          <w:i/>
          <w:iCs/>
        </w:rPr>
      </w:pPr>
      <w:r w:rsidRPr="00A233E0">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252C1" w:rsidRPr="005F3306" w:rsidP="004252C1" w14:paraId="72A25739" w14:textId="52B604D1">
      <w:pPr>
        <w:rPr>
          <w:sz w:val="24"/>
          <w:szCs w:val="24"/>
        </w:rPr>
      </w:pPr>
      <w:r>
        <w:t xml:space="preserve">The associated Proposed Rule will solicit public comment on this ICR.  </w:t>
      </w:r>
      <w:r w:rsidRPr="000B42A5" w:rsidR="00992267">
        <w:t xml:space="preserve">We will consider all comments </w:t>
      </w:r>
      <w:r>
        <w:t xml:space="preserve">received </w:t>
      </w:r>
      <w:r w:rsidRPr="000B42A5" w:rsidR="00992267">
        <w:t xml:space="preserve">and solicit industry consultations </w:t>
      </w:r>
      <w:r>
        <w:t>during the public comment period and include our response in the ICR associated with the Final Rule.</w:t>
      </w:r>
    </w:p>
    <w:p w:rsidR="005F3306" w:rsidRPr="00E3122D" w:rsidP="005F3306" w14:paraId="49A1FCF4" w14:textId="77777777">
      <w:pPr>
        <w:pStyle w:val="ListParagraph"/>
        <w:numPr>
          <w:ilvl w:val="0"/>
          <w:numId w:val="19"/>
        </w:numPr>
        <w:pBdr>
          <w:bottom w:val="single" w:sz="4" w:space="1" w:color="auto"/>
        </w:pBdr>
        <w:spacing w:before="240" w:after="0"/>
        <w:rPr>
          <w:rFonts w:cstheme="minorHAnsi"/>
          <w:b/>
          <w:bCs/>
        </w:rPr>
      </w:pPr>
      <w:bookmarkStart w:id="16" w:name="_Toc156593378"/>
      <w:r w:rsidRPr="00E3122D">
        <w:rPr>
          <w:rFonts w:cstheme="minorHAnsi"/>
          <w:b/>
          <w:bCs/>
        </w:rPr>
        <w:t>PAYMENTS OR GIFTS TO RESPONDENTS</w:t>
      </w:r>
      <w:bookmarkEnd w:id="16"/>
    </w:p>
    <w:p w:rsidR="005F3306" w:rsidRPr="00D47CB3" w:rsidP="005F3306" w14:paraId="6671F341" w14:textId="77777777">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4252C1" w:rsidRPr="004252C1" w:rsidP="004252C1" w14:paraId="1F15CCE2" w14:textId="510F0805">
      <w:pPr>
        <w:rPr>
          <w:rFonts w:cstheme="minorHAnsi"/>
        </w:rPr>
      </w:pPr>
      <w:r>
        <w:rPr>
          <w:rFonts w:cstheme="minorHAnsi"/>
        </w:rPr>
        <w:t>None made.</w:t>
      </w:r>
    </w:p>
    <w:p w:rsidR="005F3306" w:rsidP="005F3306" w14:paraId="15941FE3" w14:textId="77777777">
      <w:pPr>
        <w:pStyle w:val="ListParagraph"/>
        <w:numPr>
          <w:ilvl w:val="0"/>
          <w:numId w:val="19"/>
        </w:numPr>
        <w:pBdr>
          <w:bottom w:val="single" w:sz="4" w:space="1" w:color="auto"/>
        </w:pBdr>
        <w:spacing w:before="240" w:after="0"/>
        <w:rPr>
          <w:b/>
          <w:bCs/>
        </w:rPr>
      </w:pPr>
      <w:r w:rsidRPr="4BDBF0A0">
        <w:rPr>
          <w:b/>
          <w:bCs/>
        </w:rPr>
        <w:t>ASSURANCE OF CONFIDENTIALITY</w:t>
      </w:r>
    </w:p>
    <w:p w:rsidR="005F3306" w:rsidRPr="00A233E0" w:rsidP="005F3306" w14:paraId="6E980CEC" w14:textId="77777777">
      <w:pPr>
        <w:pBdr>
          <w:bottom w:val="single" w:sz="4" w:space="1" w:color="auto"/>
        </w:pBdr>
        <w:spacing w:before="60"/>
        <w:rPr>
          <w:rFonts w:cstheme="minorHAnsi"/>
        </w:rPr>
      </w:pPr>
      <w:r w:rsidRPr="00A233E0">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44253D" w:rsidRPr="005F3306" w:rsidP="004252C1" w14:paraId="3C3F87EF" w14:textId="230EB3B5">
      <w:pPr>
        <w:rPr>
          <w:sz w:val="24"/>
          <w:szCs w:val="24"/>
        </w:rPr>
      </w:pPr>
      <w:r w:rsidRPr="007522AD">
        <w:t xml:space="preserve">We inform respondents that they may assert claims of CBI for information they submit. </w:t>
      </w:r>
      <w:r>
        <w:t xml:space="preserve">Most form instructions contain a field to assert a claim. However, respondents may </w:t>
      </w:r>
      <w:r>
        <w:t xml:space="preserve">submit other information or attachments. </w:t>
      </w:r>
      <w:r w:rsidRPr="007522AD">
        <w:t xml:space="preserve">Any information claimed as confidential </w:t>
      </w:r>
      <w:r>
        <w:t xml:space="preserve">by the submitter will </w:t>
      </w:r>
      <w:r w:rsidRPr="007522AD">
        <w:t xml:space="preserve">be treated in accordance with 40 CFR part 2 and established EPA procedures. Information that is received without a </w:t>
      </w:r>
      <w:r>
        <w:t xml:space="preserve">clear </w:t>
      </w:r>
      <w:r w:rsidRPr="007522AD">
        <w:t>claim of confidentiality may be made available to the public without further notice to the submitter under 40 CFR 2.203</w:t>
      </w:r>
      <w:r>
        <w:t xml:space="preserve">, although it is our </w:t>
      </w:r>
      <w:r>
        <w:t>normal</w:t>
      </w:r>
      <w:r>
        <w:t xml:space="preserve"> practice to contact any respondent who has not indicated confidentiality prior to release of </w:t>
      </w:r>
      <w:r>
        <w:t xml:space="preserve">their </w:t>
      </w:r>
      <w:r>
        <w:t>information, to see if they wish to claim confidentiality</w:t>
      </w:r>
      <w:r w:rsidRPr="009C416F" w:rsidR="009C416F">
        <w:t>.</w:t>
      </w:r>
      <w:r>
        <w:t xml:space="preserve"> We do not collect privacy data under this program. </w:t>
      </w:r>
    </w:p>
    <w:p w:rsidR="005F3306" w:rsidRPr="00E3122D" w:rsidP="005F3306" w14:paraId="1D5FBB94" w14:textId="77777777">
      <w:pPr>
        <w:pStyle w:val="ListParagraph"/>
        <w:numPr>
          <w:ilvl w:val="0"/>
          <w:numId w:val="19"/>
        </w:numPr>
        <w:pBdr>
          <w:bottom w:val="single" w:sz="4" w:space="1" w:color="auto"/>
        </w:pBdr>
        <w:spacing w:before="240" w:after="0"/>
        <w:rPr>
          <w:rFonts w:cstheme="minorHAnsi"/>
          <w:b/>
          <w:bCs/>
        </w:rPr>
      </w:pPr>
      <w:bookmarkStart w:id="17" w:name="_Toc156593380"/>
      <w:r w:rsidRPr="4BDBF0A0">
        <w:rPr>
          <w:b/>
          <w:bCs/>
        </w:rPr>
        <w:t>JUSTIFICATION FOR SENSITIVE QUESTIONS</w:t>
      </w:r>
      <w:bookmarkEnd w:id="17"/>
    </w:p>
    <w:p w:rsidR="005F3306" w:rsidRPr="00A233E0" w:rsidP="005F3306" w14:paraId="7CABCDC4" w14:textId="77777777">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252C1" w:rsidRPr="005F3306" w:rsidP="005F3306" w14:paraId="37280CB6" w14:textId="07390989">
      <w:pPr>
        <w:keepNext/>
        <w:widowControl w:val="0"/>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04741B">
        <w:t>There are no sensitive questions</w:t>
      </w:r>
      <w:r w:rsidR="005F3306">
        <w:t>.</w:t>
      </w:r>
    </w:p>
    <w:p w:rsidR="005F3306" w:rsidRPr="00E3122D" w:rsidP="005F3306" w14:paraId="1E1D4AC5" w14:textId="77777777">
      <w:pPr>
        <w:pStyle w:val="ListParagraph"/>
        <w:numPr>
          <w:ilvl w:val="0"/>
          <w:numId w:val="19"/>
        </w:numPr>
        <w:spacing w:before="240" w:after="0"/>
        <w:rPr>
          <w:rFonts w:cstheme="minorHAnsi"/>
          <w:b/>
          <w:bCs/>
        </w:rPr>
      </w:pPr>
      <w:bookmarkStart w:id="18" w:name="_Toc156593381"/>
      <w:r w:rsidRPr="4BDBF0A0">
        <w:rPr>
          <w:b/>
          <w:bCs/>
        </w:rPr>
        <w:t>RESPONDENT BURDEN HOURS &amp; LABOR COSTS</w:t>
      </w:r>
      <w:bookmarkEnd w:id="18"/>
    </w:p>
    <w:p w:rsidR="005F3306" w:rsidRPr="00F532D6" w:rsidP="005F3306" w14:paraId="64CA3484"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5F3306" w:rsidRPr="00F532D6" w:rsidP="005F3306" w14:paraId="3C4D9AB3" w14:textId="77777777">
      <w:pPr>
        <w:pStyle w:val="ListParagraph"/>
        <w:numPr>
          <w:ilvl w:val="0"/>
          <w:numId w:val="21"/>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5F3306" w:rsidRPr="00F532D6" w:rsidP="005F3306" w14:paraId="08348A57" w14:textId="77777777">
      <w:pPr>
        <w:pStyle w:val="ListParagraph"/>
        <w:numPr>
          <w:ilvl w:val="0"/>
          <w:numId w:val="21"/>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5F3306" w:rsidRPr="00F532D6" w:rsidP="005F3306" w14:paraId="62ABDFC1" w14:textId="77777777">
      <w:pPr>
        <w:pStyle w:val="ListParagraph"/>
        <w:numPr>
          <w:ilvl w:val="0"/>
          <w:numId w:val="21"/>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Pr>
          <w:rFonts w:cstheme="minorHAnsi"/>
          <w:i/>
          <w:iCs/>
        </w:rPr>
        <w:t>.</w:t>
      </w:r>
    </w:p>
    <w:p w:rsidR="00805C32" w:rsidP="006002F5" w14:paraId="57B2D041" w14:textId="1D93C8C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Pr>
          <w:rFonts w:cstheme="minorHAnsi"/>
        </w:rPr>
        <w:t>To show the calculations, we have provided an Excel Spreadsheet containing extremely detailed program estimates. The spreadsheet has been placed in the public docket to assist commenters in understanding this collection and the assumptions used to develop it. We have sought comments and industry consultations</w:t>
      </w:r>
      <w:r w:rsidR="00AD32C6">
        <w:rPr>
          <w:rFonts w:cstheme="minorHAnsi"/>
        </w:rPr>
        <w:t>.</w:t>
      </w:r>
      <w:r>
        <w:rPr>
          <w:rFonts w:cstheme="minorHAnsi"/>
        </w:rPr>
        <w:t xml:space="preserve"> </w:t>
      </w:r>
    </w:p>
    <w:p w:rsidR="0085777C" w:rsidP="00AD32C6" w14:paraId="5AF54420" w14:textId="4C1247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17ADEE44">
        <w:t>The total estimated respondents (by type), responses, hours, and total cost including both labor and non-labor costs is as follows:</w:t>
      </w:r>
      <w:r w:rsidRPr="17ADEE44" w:rsidR="00D45469">
        <w:t xml:space="preserve"> </w:t>
      </w:r>
    </w:p>
    <w:tbl>
      <w:tblPr>
        <w:tblW w:w="8880" w:type="dxa"/>
        <w:tblLook w:val="04A0"/>
      </w:tblPr>
      <w:tblGrid>
        <w:gridCol w:w="2340"/>
        <w:gridCol w:w="2180"/>
        <w:gridCol w:w="2180"/>
        <w:gridCol w:w="2180"/>
      </w:tblGrid>
      <w:tr w14:paraId="7035FA64" w14:textId="77777777" w:rsidTr="009225B8">
        <w:tblPrEx>
          <w:tblW w:w="8880" w:type="dxa"/>
          <w:tblLook w:val="04A0"/>
        </w:tblPrEx>
        <w:trPr>
          <w:trHeight w:val="390"/>
        </w:trPr>
        <w:tc>
          <w:tcPr>
            <w:tcW w:w="8880" w:type="dxa"/>
            <w:gridSpan w:val="4"/>
            <w:tcBorders>
              <w:top w:val="single" w:sz="8" w:space="0" w:color="auto"/>
              <w:left w:val="single" w:sz="8" w:space="0" w:color="auto"/>
              <w:bottom w:val="nil"/>
              <w:right w:val="single" w:sz="8" w:space="0" w:color="000000"/>
            </w:tcBorders>
            <w:shd w:val="clear" w:color="auto" w:fill="auto"/>
            <w:noWrap/>
            <w:vAlign w:val="bottom"/>
            <w:hideMark/>
          </w:tcPr>
          <w:p w:rsidR="009225B8" w:rsidRPr="009225B8" w:rsidP="009225B8" w14:paraId="3EAF900C" w14:textId="77777777">
            <w:pPr>
              <w:spacing w:after="0" w:line="240" w:lineRule="auto"/>
              <w:jc w:val="center"/>
              <w:rPr>
                <w:rFonts w:ascii="Calibri" w:eastAsia="Times New Roman" w:hAnsi="Calibri" w:cs="Calibri"/>
                <w:b/>
                <w:bCs/>
                <w:color w:val="000000"/>
                <w:sz w:val="28"/>
                <w:szCs w:val="28"/>
              </w:rPr>
            </w:pPr>
            <w:r w:rsidRPr="009225B8">
              <w:rPr>
                <w:rFonts w:ascii="Calibri" w:eastAsia="Times New Roman" w:hAnsi="Calibri" w:cs="Calibri"/>
                <w:b/>
                <w:bCs/>
                <w:color w:val="000000"/>
                <w:sz w:val="28"/>
                <w:szCs w:val="28"/>
              </w:rPr>
              <w:t>Summary</w:t>
            </w:r>
          </w:p>
        </w:tc>
      </w:tr>
      <w:tr w14:paraId="06BF9964" w14:textId="77777777" w:rsidTr="009225B8">
        <w:tblPrEx>
          <w:tblW w:w="8880" w:type="dxa"/>
          <w:tblLook w:val="04A0"/>
        </w:tblPrEx>
        <w:trPr>
          <w:trHeight w:val="915"/>
        </w:trPr>
        <w:tc>
          <w:tcPr>
            <w:tcW w:w="2340" w:type="dxa"/>
            <w:tcBorders>
              <w:top w:val="single" w:sz="8" w:space="0" w:color="auto"/>
              <w:left w:val="single" w:sz="8" w:space="0" w:color="auto"/>
              <w:bottom w:val="single" w:sz="8" w:space="0" w:color="auto"/>
              <w:right w:val="nil"/>
            </w:tcBorders>
            <w:shd w:val="clear" w:color="auto" w:fill="auto"/>
            <w:vAlign w:val="center"/>
            <w:hideMark/>
          </w:tcPr>
          <w:p w:rsidR="009225B8" w:rsidRPr="009225B8" w:rsidP="009225B8" w14:paraId="61D3CCF5" w14:textId="77777777">
            <w:pPr>
              <w:spacing w:after="0" w:line="240" w:lineRule="auto"/>
              <w:jc w:val="center"/>
              <w:rPr>
                <w:rFonts w:ascii="Calibri" w:eastAsia="Times New Roman" w:hAnsi="Calibri" w:cs="Calibri"/>
                <w:i/>
                <w:iCs/>
                <w:color w:val="000000"/>
              </w:rPr>
            </w:pPr>
            <w:r w:rsidRPr="009225B8">
              <w:rPr>
                <w:rFonts w:ascii="Calibri" w:eastAsia="Times New Roman" w:hAnsi="Calibri" w:cs="Calibri"/>
                <w:i/>
                <w:iCs/>
                <w:color w:val="000000"/>
              </w:rPr>
              <w:t>Type of Respondent</w:t>
            </w:r>
          </w:p>
        </w:tc>
        <w:tc>
          <w:tcPr>
            <w:tcW w:w="2180" w:type="dxa"/>
            <w:tcBorders>
              <w:top w:val="single" w:sz="8" w:space="0" w:color="auto"/>
              <w:left w:val="nil"/>
              <w:bottom w:val="single" w:sz="8" w:space="0" w:color="auto"/>
              <w:right w:val="nil"/>
            </w:tcBorders>
            <w:shd w:val="clear" w:color="auto" w:fill="auto"/>
            <w:vAlign w:val="center"/>
            <w:hideMark/>
          </w:tcPr>
          <w:p w:rsidR="009225B8" w:rsidRPr="009225B8" w:rsidP="009225B8" w14:paraId="156AABF2" w14:textId="77777777">
            <w:pPr>
              <w:spacing w:after="0" w:line="240" w:lineRule="auto"/>
              <w:jc w:val="center"/>
              <w:rPr>
                <w:rFonts w:ascii="Calibri" w:eastAsia="Times New Roman" w:hAnsi="Calibri" w:cs="Calibri"/>
                <w:i/>
                <w:iCs/>
                <w:color w:val="000000"/>
              </w:rPr>
            </w:pPr>
            <w:r w:rsidRPr="009225B8">
              <w:rPr>
                <w:rFonts w:ascii="Calibri" w:eastAsia="Times New Roman" w:hAnsi="Calibri" w:cs="Calibri"/>
                <w:i/>
                <w:iCs/>
                <w:color w:val="000000"/>
              </w:rPr>
              <w:t>Total Responses per Year</w:t>
            </w:r>
          </w:p>
        </w:tc>
        <w:tc>
          <w:tcPr>
            <w:tcW w:w="2180" w:type="dxa"/>
            <w:tcBorders>
              <w:top w:val="single" w:sz="8" w:space="0" w:color="auto"/>
              <w:left w:val="nil"/>
              <w:bottom w:val="single" w:sz="8" w:space="0" w:color="auto"/>
              <w:right w:val="nil"/>
            </w:tcBorders>
            <w:shd w:val="clear" w:color="auto" w:fill="auto"/>
            <w:vAlign w:val="center"/>
            <w:hideMark/>
          </w:tcPr>
          <w:p w:rsidR="009225B8" w:rsidRPr="009225B8" w:rsidP="009225B8" w14:paraId="38532DB1" w14:textId="77777777">
            <w:pPr>
              <w:spacing w:after="0" w:line="240" w:lineRule="auto"/>
              <w:jc w:val="center"/>
              <w:rPr>
                <w:rFonts w:ascii="Calibri" w:eastAsia="Times New Roman" w:hAnsi="Calibri" w:cs="Calibri"/>
                <w:i/>
                <w:iCs/>
                <w:color w:val="000000"/>
              </w:rPr>
            </w:pPr>
            <w:r w:rsidRPr="009225B8">
              <w:rPr>
                <w:rFonts w:ascii="Calibri" w:eastAsia="Times New Roman" w:hAnsi="Calibri" w:cs="Calibri"/>
                <w:i/>
                <w:iCs/>
                <w:color w:val="000000"/>
              </w:rPr>
              <w:t>Total Hours per Year</w:t>
            </w:r>
          </w:p>
        </w:tc>
        <w:tc>
          <w:tcPr>
            <w:tcW w:w="2180" w:type="dxa"/>
            <w:tcBorders>
              <w:top w:val="single" w:sz="8" w:space="0" w:color="auto"/>
              <w:left w:val="nil"/>
              <w:bottom w:val="single" w:sz="8" w:space="0" w:color="auto"/>
              <w:right w:val="single" w:sz="8" w:space="0" w:color="auto"/>
            </w:tcBorders>
            <w:shd w:val="clear" w:color="auto" w:fill="auto"/>
            <w:vAlign w:val="center"/>
            <w:hideMark/>
          </w:tcPr>
          <w:p w:rsidR="009225B8" w:rsidRPr="009225B8" w:rsidP="009225B8" w14:paraId="6A0CC3C7" w14:textId="77777777">
            <w:pPr>
              <w:spacing w:after="0" w:line="240" w:lineRule="auto"/>
              <w:jc w:val="center"/>
              <w:rPr>
                <w:rFonts w:ascii="Calibri" w:eastAsia="Times New Roman" w:hAnsi="Calibri" w:cs="Calibri"/>
                <w:i/>
                <w:iCs/>
                <w:color w:val="BFBFBF"/>
              </w:rPr>
            </w:pPr>
            <w:r w:rsidRPr="009225B8">
              <w:rPr>
                <w:rFonts w:ascii="Calibri" w:eastAsia="Times New Roman" w:hAnsi="Calibri" w:cs="Calibri"/>
                <w:i/>
                <w:iCs/>
                <w:color w:val="BFBFBF"/>
              </w:rPr>
              <w:t>Total Cost per Year (Labor and Non-Labor)</w:t>
            </w:r>
          </w:p>
        </w:tc>
      </w:tr>
      <w:tr w14:paraId="5F44A658" w14:textId="77777777" w:rsidTr="009225B8">
        <w:tblPrEx>
          <w:tblW w:w="8880" w:type="dxa"/>
          <w:tblLook w:val="04A0"/>
        </w:tblPrEx>
        <w:trPr>
          <w:trHeight w:val="900"/>
        </w:trPr>
        <w:tc>
          <w:tcPr>
            <w:tcW w:w="2340" w:type="dxa"/>
            <w:tcBorders>
              <w:top w:val="nil"/>
              <w:left w:val="single" w:sz="8" w:space="0" w:color="auto"/>
              <w:bottom w:val="nil"/>
              <w:right w:val="nil"/>
            </w:tcBorders>
            <w:shd w:val="clear" w:color="auto" w:fill="auto"/>
            <w:vAlign w:val="bottom"/>
            <w:hideMark/>
          </w:tcPr>
          <w:p w:rsidR="009225B8" w:rsidRPr="009225B8" w:rsidP="009225B8" w14:paraId="7F6C3A9C" w14:textId="77777777">
            <w:pPr>
              <w:spacing w:after="0" w:line="240" w:lineRule="auto"/>
              <w:rPr>
                <w:rFonts w:ascii="Calibri" w:eastAsia="Times New Roman" w:hAnsi="Calibri" w:cs="Calibri"/>
                <w:color w:val="000000"/>
              </w:rPr>
            </w:pPr>
            <w:r w:rsidRPr="009225B8">
              <w:rPr>
                <w:rFonts w:ascii="Calibri" w:eastAsia="Times New Roman" w:hAnsi="Calibri" w:cs="Calibri"/>
                <w:color w:val="000000"/>
              </w:rPr>
              <w:t>RIN Generators (Renewable Fuel Producers)</w:t>
            </w:r>
          </w:p>
        </w:tc>
        <w:tc>
          <w:tcPr>
            <w:tcW w:w="2180" w:type="dxa"/>
            <w:tcBorders>
              <w:top w:val="nil"/>
              <w:left w:val="nil"/>
              <w:bottom w:val="nil"/>
              <w:right w:val="nil"/>
            </w:tcBorders>
            <w:shd w:val="clear" w:color="auto" w:fill="auto"/>
            <w:noWrap/>
            <w:vAlign w:val="bottom"/>
            <w:hideMark/>
          </w:tcPr>
          <w:p w:rsidR="009225B8" w:rsidRPr="009225B8" w:rsidP="009225B8" w14:paraId="76117618" w14:textId="77777777">
            <w:pPr>
              <w:spacing w:after="0" w:line="240" w:lineRule="auto"/>
              <w:jc w:val="center"/>
              <w:rPr>
                <w:rFonts w:ascii="Calibri" w:eastAsia="Times New Roman" w:hAnsi="Calibri" w:cs="Calibri"/>
                <w:color w:val="000000"/>
              </w:rPr>
            </w:pPr>
            <w:r w:rsidRPr="009225B8">
              <w:rPr>
                <w:rFonts w:ascii="Calibri" w:eastAsia="Times New Roman" w:hAnsi="Calibri" w:cs="Calibri"/>
                <w:color w:val="000000"/>
              </w:rPr>
              <w:t>144,392</w:t>
            </w:r>
          </w:p>
        </w:tc>
        <w:tc>
          <w:tcPr>
            <w:tcW w:w="2180" w:type="dxa"/>
            <w:tcBorders>
              <w:top w:val="nil"/>
              <w:left w:val="nil"/>
              <w:bottom w:val="nil"/>
              <w:right w:val="nil"/>
            </w:tcBorders>
            <w:shd w:val="clear" w:color="auto" w:fill="auto"/>
            <w:noWrap/>
            <w:vAlign w:val="bottom"/>
            <w:hideMark/>
          </w:tcPr>
          <w:p w:rsidR="009225B8" w:rsidRPr="009225B8" w:rsidP="009225B8" w14:paraId="16EC67A3" w14:textId="77777777">
            <w:pPr>
              <w:spacing w:after="0" w:line="240" w:lineRule="auto"/>
              <w:jc w:val="center"/>
              <w:rPr>
                <w:rFonts w:ascii="Calibri" w:eastAsia="Times New Roman" w:hAnsi="Calibri" w:cs="Calibri"/>
                <w:color w:val="000000"/>
              </w:rPr>
            </w:pPr>
            <w:r w:rsidRPr="009225B8">
              <w:rPr>
                <w:rFonts w:ascii="Calibri" w:eastAsia="Times New Roman" w:hAnsi="Calibri" w:cs="Calibri"/>
                <w:color w:val="000000"/>
              </w:rPr>
              <w:t>8,854</w:t>
            </w:r>
          </w:p>
        </w:tc>
        <w:tc>
          <w:tcPr>
            <w:tcW w:w="2180" w:type="dxa"/>
            <w:tcBorders>
              <w:top w:val="nil"/>
              <w:left w:val="nil"/>
              <w:bottom w:val="nil"/>
              <w:right w:val="single" w:sz="8" w:space="0" w:color="auto"/>
            </w:tcBorders>
            <w:shd w:val="clear" w:color="auto" w:fill="auto"/>
            <w:noWrap/>
            <w:vAlign w:val="bottom"/>
            <w:hideMark/>
          </w:tcPr>
          <w:p w:rsidR="009225B8" w:rsidRPr="009225B8" w:rsidP="009225B8" w14:paraId="0650A7DE" w14:textId="77777777">
            <w:pPr>
              <w:spacing w:after="0" w:line="240" w:lineRule="auto"/>
              <w:jc w:val="center"/>
              <w:rPr>
                <w:rFonts w:ascii="Calibri" w:eastAsia="Times New Roman" w:hAnsi="Calibri" w:cs="Calibri"/>
                <w:color w:val="BFBFBF"/>
              </w:rPr>
            </w:pPr>
            <w:r w:rsidRPr="009225B8">
              <w:rPr>
                <w:rFonts w:ascii="Calibri" w:eastAsia="Times New Roman" w:hAnsi="Calibri" w:cs="Calibri"/>
                <w:color w:val="BFBFBF"/>
              </w:rPr>
              <w:t>$568,612</w:t>
            </w:r>
          </w:p>
        </w:tc>
      </w:tr>
      <w:tr w14:paraId="209FB69C" w14:textId="77777777" w:rsidTr="009225B8">
        <w:tblPrEx>
          <w:tblW w:w="8880" w:type="dxa"/>
          <w:tblLook w:val="04A0"/>
        </w:tblPrEx>
        <w:trPr>
          <w:trHeight w:val="300"/>
        </w:trPr>
        <w:tc>
          <w:tcPr>
            <w:tcW w:w="2340" w:type="dxa"/>
            <w:tcBorders>
              <w:top w:val="nil"/>
              <w:left w:val="single" w:sz="8" w:space="0" w:color="auto"/>
              <w:bottom w:val="nil"/>
              <w:right w:val="nil"/>
            </w:tcBorders>
            <w:shd w:val="clear" w:color="auto" w:fill="auto"/>
            <w:vAlign w:val="bottom"/>
            <w:hideMark/>
          </w:tcPr>
          <w:p w:rsidR="009225B8" w:rsidRPr="009225B8" w:rsidP="009225B8" w14:paraId="67AE6EBC" w14:textId="77777777">
            <w:pPr>
              <w:spacing w:after="0" w:line="240" w:lineRule="auto"/>
              <w:rPr>
                <w:rFonts w:ascii="Calibri" w:eastAsia="Times New Roman" w:hAnsi="Calibri" w:cs="Calibri"/>
                <w:color w:val="000000"/>
              </w:rPr>
            </w:pPr>
            <w:r w:rsidRPr="009225B8">
              <w:rPr>
                <w:rFonts w:ascii="Calibri" w:eastAsia="Times New Roman" w:hAnsi="Calibri" w:cs="Calibri"/>
                <w:color w:val="000000"/>
              </w:rPr>
              <w:t>Obligated Parties</w:t>
            </w:r>
          </w:p>
        </w:tc>
        <w:tc>
          <w:tcPr>
            <w:tcW w:w="2180" w:type="dxa"/>
            <w:tcBorders>
              <w:top w:val="nil"/>
              <w:left w:val="nil"/>
              <w:bottom w:val="nil"/>
              <w:right w:val="nil"/>
            </w:tcBorders>
            <w:shd w:val="clear" w:color="auto" w:fill="auto"/>
            <w:noWrap/>
            <w:vAlign w:val="bottom"/>
            <w:hideMark/>
          </w:tcPr>
          <w:p w:rsidR="009225B8" w:rsidRPr="009225B8" w:rsidP="009225B8" w14:paraId="29DB0A4D" w14:textId="77777777">
            <w:pPr>
              <w:spacing w:after="0" w:line="240" w:lineRule="auto"/>
              <w:jc w:val="center"/>
              <w:rPr>
                <w:rFonts w:ascii="Calibri" w:eastAsia="Times New Roman" w:hAnsi="Calibri" w:cs="Calibri"/>
                <w:color w:val="000000"/>
              </w:rPr>
            </w:pPr>
            <w:r w:rsidRPr="009225B8">
              <w:rPr>
                <w:rFonts w:ascii="Calibri" w:eastAsia="Times New Roman" w:hAnsi="Calibri" w:cs="Calibri"/>
                <w:color w:val="000000"/>
              </w:rPr>
              <w:t>20</w:t>
            </w:r>
          </w:p>
        </w:tc>
        <w:tc>
          <w:tcPr>
            <w:tcW w:w="2180" w:type="dxa"/>
            <w:tcBorders>
              <w:top w:val="nil"/>
              <w:left w:val="nil"/>
              <w:bottom w:val="nil"/>
              <w:right w:val="nil"/>
            </w:tcBorders>
            <w:shd w:val="clear" w:color="auto" w:fill="auto"/>
            <w:noWrap/>
            <w:vAlign w:val="bottom"/>
            <w:hideMark/>
          </w:tcPr>
          <w:p w:rsidR="009225B8" w:rsidRPr="009225B8" w:rsidP="009225B8" w14:paraId="5326E3F1" w14:textId="77777777">
            <w:pPr>
              <w:spacing w:after="0" w:line="240" w:lineRule="auto"/>
              <w:jc w:val="center"/>
              <w:rPr>
                <w:rFonts w:ascii="Calibri" w:eastAsia="Times New Roman" w:hAnsi="Calibri" w:cs="Calibri"/>
                <w:color w:val="000000"/>
              </w:rPr>
            </w:pPr>
            <w:r w:rsidRPr="009225B8">
              <w:rPr>
                <w:rFonts w:ascii="Calibri" w:eastAsia="Times New Roman" w:hAnsi="Calibri" w:cs="Calibri"/>
                <w:color w:val="000000"/>
              </w:rPr>
              <w:t>10</w:t>
            </w:r>
          </w:p>
        </w:tc>
        <w:tc>
          <w:tcPr>
            <w:tcW w:w="2180" w:type="dxa"/>
            <w:tcBorders>
              <w:top w:val="nil"/>
              <w:left w:val="nil"/>
              <w:bottom w:val="nil"/>
              <w:right w:val="single" w:sz="8" w:space="0" w:color="auto"/>
            </w:tcBorders>
            <w:shd w:val="clear" w:color="auto" w:fill="auto"/>
            <w:noWrap/>
            <w:vAlign w:val="bottom"/>
            <w:hideMark/>
          </w:tcPr>
          <w:p w:rsidR="009225B8" w:rsidRPr="009225B8" w:rsidP="009225B8" w14:paraId="160388B1" w14:textId="77777777">
            <w:pPr>
              <w:spacing w:after="0" w:line="240" w:lineRule="auto"/>
              <w:jc w:val="center"/>
              <w:rPr>
                <w:rFonts w:ascii="Calibri" w:eastAsia="Times New Roman" w:hAnsi="Calibri" w:cs="Calibri"/>
                <w:color w:val="BFBFBF"/>
              </w:rPr>
            </w:pPr>
            <w:r w:rsidRPr="009225B8">
              <w:rPr>
                <w:rFonts w:ascii="Calibri" w:eastAsia="Times New Roman" w:hAnsi="Calibri" w:cs="Calibri"/>
                <w:color w:val="BFBFBF"/>
              </w:rPr>
              <w:t>$980</w:t>
            </w:r>
          </w:p>
        </w:tc>
      </w:tr>
      <w:tr w14:paraId="6741864C" w14:textId="77777777" w:rsidTr="009225B8">
        <w:tblPrEx>
          <w:tblW w:w="8880" w:type="dxa"/>
          <w:tblLook w:val="04A0"/>
        </w:tblPrEx>
        <w:trPr>
          <w:trHeight w:val="300"/>
        </w:trPr>
        <w:tc>
          <w:tcPr>
            <w:tcW w:w="2340" w:type="dxa"/>
            <w:tcBorders>
              <w:top w:val="nil"/>
              <w:left w:val="single" w:sz="8" w:space="0" w:color="auto"/>
              <w:bottom w:val="nil"/>
              <w:right w:val="nil"/>
            </w:tcBorders>
            <w:shd w:val="clear" w:color="auto" w:fill="auto"/>
            <w:vAlign w:val="bottom"/>
            <w:hideMark/>
          </w:tcPr>
          <w:p w:rsidR="009225B8" w:rsidRPr="009225B8" w:rsidP="009225B8" w14:paraId="2A2D3D04" w14:textId="77777777">
            <w:pPr>
              <w:spacing w:after="0" w:line="240" w:lineRule="auto"/>
              <w:rPr>
                <w:rFonts w:ascii="Calibri" w:eastAsia="Times New Roman" w:hAnsi="Calibri" w:cs="Calibri"/>
                <w:color w:val="000000"/>
              </w:rPr>
            </w:pPr>
            <w:r w:rsidRPr="009225B8">
              <w:rPr>
                <w:rFonts w:ascii="Calibri" w:eastAsia="Times New Roman" w:hAnsi="Calibri" w:cs="Calibri"/>
                <w:color w:val="000000"/>
              </w:rPr>
              <w:t>RIN Owners</w:t>
            </w:r>
          </w:p>
        </w:tc>
        <w:tc>
          <w:tcPr>
            <w:tcW w:w="2180" w:type="dxa"/>
            <w:tcBorders>
              <w:top w:val="nil"/>
              <w:left w:val="nil"/>
              <w:bottom w:val="nil"/>
              <w:right w:val="nil"/>
            </w:tcBorders>
            <w:shd w:val="clear" w:color="auto" w:fill="auto"/>
            <w:noWrap/>
            <w:vAlign w:val="bottom"/>
            <w:hideMark/>
          </w:tcPr>
          <w:p w:rsidR="009225B8" w:rsidRPr="009225B8" w:rsidP="009225B8" w14:paraId="248A7ABA" w14:textId="77777777">
            <w:pPr>
              <w:spacing w:after="0" w:line="240" w:lineRule="auto"/>
              <w:jc w:val="center"/>
              <w:rPr>
                <w:rFonts w:ascii="Calibri" w:eastAsia="Times New Roman" w:hAnsi="Calibri" w:cs="Calibri"/>
                <w:color w:val="000000"/>
              </w:rPr>
            </w:pPr>
            <w:r w:rsidRPr="009225B8">
              <w:rPr>
                <w:rFonts w:ascii="Calibri" w:eastAsia="Times New Roman" w:hAnsi="Calibri" w:cs="Calibri"/>
                <w:color w:val="000000"/>
              </w:rPr>
              <w:t>4,004</w:t>
            </w:r>
          </w:p>
        </w:tc>
        <w:tc>
          <w:tcPr>
            <w:tcW w:w="2180" w:type="dxa"/>
            <w:tcBorders>
              <w:top w:val="nil"/>
              <w:left w:val="nil"/>
              <w:bottom w:val="nil"/>
              <w:right w:val="nil"/>
            </w:tcBorders>
            <w:shd w:val="clear" w:color="auto" w:fill="auto"/>
            <w:noWrap/>
            <w:vAlign w:val="bottom"/>
            <w:hideMark/>
          </w:tcPr>
          <w:p w:rsidR="009225B8" w:rsidRPr="009225B8" w:rsidP="009225B8" w14:paraId="6F92F4DA" w14:textId="77777777">
            <w:pPr>
              <w:spacing w:after="0" w:line="240" w:lineRule="auto"/>
              <w:jc w:val="center"/>
              <w:rPr>
                <w:rFonts w:ascii="Calibri" w:eastAsia="Times New Roman" w:hAnsi="Calibri" w:cs="Calibri"/>
                <w:color w:val="000000"/>
              </w:rPr>
            </w:pPr>
            <w:r w:rsidRPr="009225B8">
              <w:rPr>
                <w:rFonts w:ascii="Calibri" w:eastAsia="Times New Roman" w:hAnsi="Calibri" w:cs="Calibri"/>
                <w:color w:val="000000"/>
              </w:rPr>
              <w:t>2,002</w:t>
            </w:r>
          </w:p>
        </w:tc>
        <w:tc>
          <w:tcPr>
            <w:tcW w:w="2180" w:type="dxa"/>
            <w:tcBorders>
              <w:top w:val="nil"/>
              <w:left w:val="nil"/>
              <w:bottom w:val="nil"/>
              <w:right w:val="single" w:sz="8" w:space="0" w:color="auto"/>
            </w:tcBorders>
            <w:shd w:val="clear" w:color="auto" w:fill="auto"/>
            <w:noWrap/>
            <w:vAlign w:val="bottom"/>
            <w:hideMark/>
          </w:tcPr>
          <w:p w:rsidR="009225B8" w:rsidRPr="009225B8" w:rsidP="009225B8" w14:paraId="73C853BE" w14:textId="77777777">
            <w:pPr>
              <w:spacing w:after="0" w:line="240" w:lineRule="auto"/>
              <w:jc w:val="center"/>
              <w:rPr>
                <w:rFonts w:ascii="Calibri" w:eastAsia="Times New Roman" w:hAnsi="Calibri" w:cs="Calibri"/>
                <w:color w:val="BFBFBF"/>
              </w:rPr>
            </w:pPr>
            <w:r w:rsidRPr="009225B8">
              <w:rPr>
                <w:rFonts w:ascii="Calibri" w:eastAsia="Times New Roman" w:hAnsi="Calibri" w:cs="Calibri"/>
                <w:color w:val="BFBFBF"/>
              </w:rPr>
              <w:t>$196,196</w:t>
            </w:r>
          </w:p>
        </w:tc>
      </w:tr>
      <w:tr w14:paraId="74A12C4F" w14:textId="77777777" w:rsidTr="009225B8">
        <w:tblPrEx>
          <w:tblW w:w="8880" w:type="dxa"/>
          <w:tblLook w:val="04A0"/>
        </w:tblPrEx>
        <w:trPr>
          <w:trHeight w:val="300"/>
        </w:trPr>
        <w:tc>
          <w:tcPr>
            <w:tcW w:w="2340" w:type="dxa"/>
            <w:tcBorders>
              <w:top w:val="nil"/>
              <w:left w:val="single" w:sz="8" w:space="0" w:color="auto"/>
              <w:bottom w:val="nil"/>
              <w:right w:val="nil"/>
            </w:tcBorders>
            <w:shd w:val="clear" w:color="auto" w:fill="auto"/>
            <w:noWrap/>
            <w:vAlign w:val="bottom"/>
            <w:hideMark/>
          </w:tcPr>
          <w:p w:rsidR="009225B8" w:rsidRPr="009225B8" w:rsidP="009225B8" w14:paraId="57CA0F90" w14:textId="77777777">
            <w:pPr>
              <w:spacing w:after="0" w:line="240" w:lineRule="auto"/>
              <w:rPr>
                <w:rFonts w:ascii="Calibri" w:eastAsia="Times New Roman" w:hAnsi="Calibri" w:cs="Calibri"/>
                <w:color w:val="000000"/>
              </w:rPr>
            </w:pPr>
            <w:r w:rsidRPr="009225B8">
              <w:rPr>
                <w:rFonts w:ascii="Calibri" w:eastAsia="Times New Roman" w:hAnsi="Calibri" w:cs="Calibri"/>
                <w:color w:val="000000"/>
              </w:rPr>
              <w:t>QAP Providers</w:t>
            </w:r>
          </w:p>
        </w:tc>
        <w:tc>
          <w:tcPr>
            <w:tcW w:w="2180" w:type="dxa"/>
            <w:tcBorders>
              <w:top w:val="nil"/>
              <w:left w:val="nil"/>
              <w:bottom w:val="nil"/>
              <w:right w:val="nil"/>
            </w:tcBorders>
            <w:shd w:val="clear" w:color="auto" w:fill="auto"/>
            <w:noWrap/>
            <w:vAlign w:val="bottom"/>
            <w:hideMark/>
          </w:tcPr>
          <w:p w:rsidR="009225B8" w:rsidRPr="009225B8" w:rsidP="009225B8" w14:paraId="7DC3EE1C" w14:textId="77777777">
            <w:pPr>
              <w:spacing w:after="0" w:line="240" w:lineRule="auto"/>
              <w:jc w:val="center"/>
              <w:rPr>
                <w:rFonts w:ascii="Calibri" w:eastAsia="Times New Roman" w:hAnsi="Calibri" w:cs="Calibri"/>
                <w:color w:val="000000"/>
              </w:rPr>
            </w:pPr>
            <w:r w:rsidRPr="009225B8">
              <w:rPr>
                <w:rFonts w:ascii="Calibri" w:eastAsia="Times New Roman" w:hAnsi="Calibri" w:cs="Calibri"/>
                <w:color w:val="000000"/>
              </w:rPr>
              <w:t>25</w:t>
            </w:r>
          </w:p>
        </w:tc>
        <w:tc>
          <w:tcPr>
            <w:tcW w:w="2180" w:type="dxa"/>
            <w:tcBorders>
              <w:top w:val="nil"/>
              <w:left w:val="nil"/>
              <w:bottom w:val="nil"/>
              <w:right w:val="nil"/>
            </w:tcBorders>
            <w:shd w:val="clear" w:color="auto" w:fill="auto"/>
            <w:noWrap/>
            <w:vAlign w:val="bottom"/>
            <w:hideMark/>
          </w:tcPr>
          <w:p w:rsidR="009225B8" w:rsidRPr="009225B8" w:rsidP="009225B8" w14:paraId="6092B077" w14:textId="77777777">
            <w:pPr>
              <w:spacing w:after="0" w:line="240" w:lineRule="auto"/>
              <w:jc w:val="center"/>
              <w:rPr>
                <w:rFonts w:ascii="Calibri" w:eastAsia="Times New Roman" w:hAnsi="Calibri" w:cs="Calibri"/>
                <w:color w:val="000000"/>
              </w:rPr>
            </w:pPr>
            <w:r w:rsidRPr="009225B8">
              <w:rPr>
                <w:rFonts w:ascii="Calibri" w:eastAsia="Times New Roman" w:hAnsi="Calibri" w:cs="Calibri"/>
                <w:color w:val="000000"/>
              </w:rPr>
              <w:t>11</w:t>
            </w:r>
          </w:p>
        </w:tc>
        <w:tc>
          <w:tcPr>
            <w:tcW w:w="2180" w:type="dxa"/>
            <w:tcBorders>
              <w:top w:val="nil"/>
              <w:left w:val="nil"/>
              <w:bottom w:val="nil"/>
              <w:right w:val="single" w:sz="8" w:space="0" w:color="auto"/>
            </w:tcBorders>
            <w:shd w:val="clear" w:color="auto" w:fill="auto"/>
            <w:noWrap/>
            <w:vAlign w:val="bottom"/>
            <w:hideMark/>
          </w:tcPr>
          <w:p w:rsidR="009225B8" w:rsidRPr="009225B8" w:rsidP="009225B8" w14:paraId="7688AEA7" w14:textId="77777777">
            <w:pPr>
              <w:spacing w:after="0" w:line="240" w:lineRule="auto"/>
              <w:jc w:val="center"/>
              <w:rPr>
                <w:rFonts w:ascii="Calibri" w:eastAsia="Times New Roman" w:hAnsi="Calibri" w:cs="Calibri"/>
                <w:color w:val="BFBFBF"/>
              </w:rPr>
            </w:pPr>
            <w:r w:rsidRPr="009225B8">
              <w:rPr>
                <w:rFonts w:ascii="Calibri" w:eastAsia="Times New Roman" w:hAnsi="Calibri" w:cs="Calibri"/>
                <w:color w:val="BFBFBF"/>
              </w:rPr>
              <w:t>$1,164</w:t>
            </w:r>
          </w:p>
        </w:tc>
      </w:tr>
      <w:tr w14:paraId="4E2D5012" w14:textId="77777777" w:rsidTr="009225B8">
        <w:tblPrEx>
          <w:tblW w:w="8880" w:type="dxa"/>
          <w:tblLook w:val="04A0"/>
        </w:tblPrEx>
        <w:trPr>
          <w:trHeight w:val="315"/>
        </w:trPr>
        <w:tc>
          <w:tcPr>
            <w:tcW w:w="2340" w:type="dxa"/>
            <w:tcBorders>
              <w:top w:val="nil"/>
              <w:left w:val="single" w:sz="8" w:space="0" w:color="auto"/>
              <w:bottom w:val="single" w:sz="8" w:space="0" w:color="auto"/>
              <w:right w:val="nil"/>
            </w:tcBorders>
            <w:shd w:val="clear" w:color="auto" w:fill="auto"/>
            <w:noWrap/>
            <w:vAlign w:val="bottom"/>
            <w:hideMark/>
          </w:tcPr>
          <w:p w:rsidR="009225B8" w:rsidRPr="009225B8" w:rsidP="009225B8" w14:paraId="662DC56A" w14:textId="77777777">
            <w:pPr>
              <w:spacing w:after="0" w:line="240" w:lineRule="auto"/>
              <w:rPr>
                <w:rFonts w:ascii="Calibri" w:eastAsia="Times New Roman" w:hAnsi="Calibri" w:cs="Calibri"/>
                <w:color w:val="000000"/>
              </w:rPr>
            </w:pPr>
            <w:r w:rsidRPr="009225B8">
              <w:rPr>
                <w:rFonts w:ascii="Calibri" w:eastAsia="Times New Roman" w:hAnsi="Calibri" w:cs="Calibri"/>
                <w:color w:val="000000"/>
              </w:rPr>
              <w:t xml:space="preserve">Third Parties </w:t>
            </w:r>
          </w:p>
        </w:tc>
        <w:tc>
          <w:tcPr>
            <w:tcW w:w="2180" w:type="dxa"/>
            <w:tcBorders>
              <w:top w:val="nil"/>
              <w:left w:val="nil"/>
              <w:bottom w:val="single" w:sz="8" w:space="0" w:color="auto"/>
              <w:right w:val="nil"/>
            </w:tcBorders>
            <w:shd w:val="clear" w:color="auto" w:fill="auto"/>
            <w:noWrap/>
            <w:vAlign w:val="bottom"/>
            <w:hideMark/>
          </w:tcPr>
          <w:p w:rsidR="009225B8" w:rsidRPr="009225B8" w:rsidP="009225B8" w14:paraId="04FB50F3" w14:textId="77777777">
            <w:pPr>
              <w:spacing w:after="0" w:line="240" w:lineRule="auto"/>
              <w:jc w:val="center"/>
              <w:rPr>
                <w:rFonts w:ascii="Calibri" w:eastAsia="Times New Roman" w:hAnsi="Calibri" w:cs="Calibri"/>
                <w:color w:val="000000"/>
              </w:rPr>
            </w:pPr>
            <w:r w:rsidRPr="009225B8">
              <w:rPr>
                <w:rFonts w:ascii="Calibri" w:eastAsia="Times New Roman" w:hAnsi="Calibri" w:cs="Calibri"/>
                <w:color w:val="000000"/>
              </w:rPr>
              <w:t>0</w:t>
            </w:r>
          </w:p>
        </w:tc>
        <w:tc>
          <w:tcPr>
            <w:tcW w:w="2180" w:type="dxa"/>
            <w:tcBorders>
              <w:top w:val="nil"/>
              <w:left w:val="nil"/>
              <w:bottom w:val="single" w:sz="8" w:space="0" w:color="auto"/>
              <w:right w:val="nil"/>
            </w:tcBorders>
            <w:shd w:val="clear" w:color="auto" w:fill="auto"/>
            <w:noWrap/>
            <w:vAlign w:val="bottom"/>
            <w:hideMark/>
          </w:tcPr>
          <w:p w:rsidR="009225B8" w:rsidRPr="009225B8" w:rsidP="009225B8" w14:paraId="385D1ACC" w14:textId="77777777">
            <w:pPr>
              <w:spacing w:after="0" w:line="240" w:lineRule="auto"/>
              <w:jc w:val="center"/>
              <w:rPr>
                <w:rFonts w:ascii="Calibri" w:eastAsia="Times New Roman" w:hAnsi="Calibri" w:cs="Calibri"/>
                <w:color w:val="000000"/>
              </w:rPr>
            </w:pPr>
            <w:r w:rsidRPr="009225B8">
              <w:rPr>
                <w:rFonts w:ascii="Calibri" w:eastAsia="Times New Roman" w:hAnsi="Calibri" w:cs="Calibri"/>
                <w:color w:val="000000"/>
              </w:rPr>
              <w:t>0</w:t>
            </w:r>
          </w:p>
        </w:tc>
        <w:tc>
          <w:tcPr>
            <w:tcW w:w="2180" w:type="dxa"/>
            <w:tcBorders>
              <w:top w:val="nil"/>
              <w:left w:val="nil"/>
              <w:bottom w:val="single" w:sz="8" w:space="0" w:color="auto"/>
              <w:right w:val="single" w:sz="8" w:space="0" w:color="auto"/>
            </w:tcBorders>
            <w:shd w:val="clear" w:color="auto" w:fill="auto"/>
            <w:noWrap/>
            <w:vAlign w:val="bottom"/>
            <w:hideMark/>
          </w:tcPr>
          <w:p w:rsidR="009225B8" w:rsidRPr="009225B8" w:rsidP="009225B8" w14:paraId="66D9D781" w14:textId="77777777">
            <w:pPr>
              <w:spacing w:after="0" w:line="240" w:lineRule="auto"/>
              <w:jc w:val="center"/>
              <w:rPr>
                <w:rFonts w:ascii="Calibri" w:eastAsia="Times New Roman" w:hAnsi="Calibri" w:cs="Calibri"/>
                <w:color w:val="BFBFBF"/>
              </w:rPr>
            </w:pPr>
            <w:r w:rsidRPr="009225B8">
              <w:rPr>
                <w:rFonts w:ascii="Calibri" w:eastAsia="Times New Roman" w:hAnsi="Calibri" w:cs="Calibri"/>
                <w:color w:val="BFBFBF"/>
              </w:rPr>
              <w:t>$0</w:t>
            </w:r>
          </w:p>
        </w:tc>
      </w:tr>
      <w:tr w14:paraId="55B597B1" w14:textId="77777777" w:rsidTr="009225B8">
        <w:tblPrEx>
          <w:tblW w:w="8880" w:type="dxa"/>
          <w:tblLook w:val="04A0"/>
        </w:tblPrEx>
        <w:trPr>
          <w:trHeight w:val="315"/>
        </w:trPr>
        <w:tc>
          <w:tcPr>
            <w:tcW w:w="2340" w:type="dxa"/>
            <w:tcBorders>
              <w:top w:val="nil"/>
              <w:left w:val="single" w:sz="8" w:space="0" w:color="auto"/>
              <w:bottom w:val="single" w:sz="8" w:space="0" w:color="auto"/>
              <w:right w:val="nil"/>
            </w:tcBorders>
            <w:shd w:val="clear" w:color="auto" w:fill="auto"/>
            <w:noWrap/>
            <w:vAlign w:val="bottom"/>
            <w:hideMark/>
          </w:tcPr>
          <w:p w:rsidR="009225B8" w:rsidRPr="009225B8" w:rsidP="009225B8" w14:paraId="3B65A512" w14:textId="77777777">
            <w:pPr>
              <w:spacing w:after="0" w:line="240" w:lineRule="auto"/>
              <w:rPr>
                <w:rFonts w:ascii="Calibri" w:eastAsia="Times New Roman" w:hAnsi="Calibri" w:cs="Calibri"/>
                <w:b/>
                <w:bCs/>
                <w:color w:val="000000"/>
              </w:rPr>
            </w:pPr>
            <w:r w:rsidRPr="009225B8">
              <w:rPr>
                <w:rFonts w:ascii="Calibri" w:eastAsia="Times New Roman" w:hAnsi="Calibri" w:cs="Calibri"/>
                <w:b/>
                <w:bCs/>
                <w:color w:val="000000"/>
              </w:rPr>
              <w:t>GRAND TOTAL</w:t>
            </w:r>
          </w:p>
        </w:tc>
        <w:tc>
          <w:tcPr>
            <w:tcW w:w="2180" w:type="dxa"/>
            <w:tcBorders>
              <w:top w:val="nil"/>
              <w:left w:val="nil"/>
              <w:bottom w:val="single" w:sz="8" w:space="0" w:color="auto"/>
              <w:right w:val="nil"/>
            </w:tcBorders>
            <w:shd w:val="clear" w:color="auto" w:fill="auto"/>
            <w:noWrap/>
            <w:vAlign w:val="bottom"/>
            <w:hideMark/>
          </w:tcPr>
          <w:p w:rsidR="009225B8" w:rsidRPr="009225B8" w:rsidP="009225B8" w14:paraId="457A77E9" w14:textId="77777777">
            <w:pPr>
              <w:spacing w:after="0" w:line="240" w:lineRule="auto"/>
              <w:jc w:val="center"/>
              <w:rPr>
                <w:rFonts w:ascii="Calibri" w:eastAsia="Times New Roman" w:hAnsi="Calibri" w:cs="Calibri"/>
                <w:color w:val="000000"/>
              </w:rPr>
            </w:pPr>
            <w:r w:rsidRPr="009225B8">
              <w:rPr>
                <w:rFonts w:ascii="Calibri" w:eastAsia="Times New Roman" w:hAnsi="Calibri" w:cs="Calibri"/>
                <w:color w:val="000000"/>
              </w:rPr>
              <w:t>148,441</w:t>
            </w:r>
          </w:p>
        </w:tc>
        <w:tc>
          <w:tcPr>
            <w:tcW w:w="2180" w:type="dxa"/>
            <w:tcBorders>
              <w:top w:val="nil"/>
              <w:left w:val="nil"/>
              <w:bottom w:val="single" w:sz="8" w:space="0" w:color="auto"/>
              <w:right w:val="nil"/>
            </w:tcBorders>
            <w:shd w:val="clear" w:color="auto" w:fill="auto"/>
            <w:noWrap/>
            <w:vAlign w:val="bottom"/>
            <w:hideMark/>
          </w:tcPr>
          <w:p w:rsidR="009225B8" w:rsidRPr="009225B8" w:rsidP="009225B8" w14:paraId="0656ED5B" w14:textId="77777777">
            <w:pPr>
              <w:spacing w:after="0" w:line="240" w:lineRule="auto"/>
              <w:jc w:val="center"/>
              <w:rPr>
                <w:rFonts w:ascii="Calibri" w:eastAsia="Times New Roman" w:hAnsi="Calibri" w:cs="Calibri"/>
                <w:color w:val="000000"/>
              </w:rPr>
            </w:pPr>
            <w:r w:rsidRPr="009225B8">
              <w:rPr>
                <w:rFonts w:ascii="Calibri" w:eastAsia="Times New Roman" w:hAnsi="Calibri" w:cs="Calibri"/>
                <w:color w:val="000000"/>
              </w:rPr>
              <w:t>10,876</w:t>
            </w:r>
          </w:p>
        </w:tc>
        <w:tc>
          <w:tcPr>
            <w:tcW w:w="2180" w:type="dxa"/>
            <w:tcBorders>
              <w:top w:val="nil"/>
              <w:left w:val="nil"/>
              <w:bottom w:val="single" w:sz="8" w:space="0" w:color="auto"/>
              <w:right w:val="single" w:sz="8" w:space="0" w:color="auto"/>
            </w:tcBorders>
            <w:shd w:val="clear" w:color="auto" w:fill="auto"/>
            <w:noWrap/>
            <w:vAlign w:val="bottom"/>
            <w:hideMark/>
          </w:tcPr>
          <w:p w:rsidR="009225B8" w:rsidRPr="009225B8" w:rsidP="009225B8" w14:paraId="4FDC6904" w14:textId="77777777">
            <w:pPr>
              <w:spacing w:after="0" w:line="240" w:lineRule="auto"/>
              <w:jc w:val="center"/>
              <w:rPr>
                <w:rFonts w:ascii="Calibri" w:eastAsia="Times New Roman" w:hAnsi="Calibri" w:cs="Calibri"/>
                <w:color w:val="BFBFBF"/>
              </w:rPr>
            </w:pPr>
            <w:r w:rsidRPr="009225B8">
              <w:rPr>
                <w:rFonts w:ascii="Calibri" w:eastAsia="Times New Roman" w:hAnsi="Calibri" w:cs="Calibri"/>
                <w:color w:val="BFBFBF"/>
              </w:rPr>
              <w:t>$766,952</w:t>
            </w:r>
          </w:p>
        </w:tc>
      </w:tr>
    </w:tbl>
    <w:p w:rsidR="00992267" w:rsidP="00343CAD" w14:paraId="279EE85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43CAD" w:rsidRPr="00343CAD" w:rsidP="00343CAD" w14:paraId="7E5F5EB4" w14:textId="64443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43CAD">
        <w:t>Third parties who have their own recordkeeping and reporting requirements are QAP providers. All other third parties do work for biointermediate producers and RIN generators as purchased services and the cost is attributed to the party that hires them. Such third parties would include contract engineers to do engineering reviews or independent accountants who perform attest engagements.  </w:t>
      </w:r>
    </w:p>
    <w:p w:rsidR="00343CAD" w:rsidP="00343CAD" w14:paraId="62B5D027" w14:textId="0ED071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43CAD">
        <w:t> The total number of respondents and the non-labor costs (those used in the OMB Inventory for the collection) are as follows:  </w:t>
      </w:r>
    </w:p>
    <w:tbl>
      <w:tblPr>
        <w:tblW w:w="4853" w:type="dxa"/>
        <w:tblLook w:val="04A0"/>
      </w:tblPr>
      <w:tblGrid>
        <w:gridCol w:w="2340"/>
        <w:gridCol w:w="2513"/>
      </w:tblGrid>
      <w:tr w14:paraId="21E69C12" w14:textId="77777777" w:rsidTr="00222E70">
        <w:tblPrEx>
          <w:tblW w:w="4853" w:type="dxa"/>
          <w:tblLook w:val="04A0"/>
        </w:tblPrEx>
        <w:trPr>
          <w:trHeight w:val="300"/>
        </w:trPr>
        <w:tc>
          <w:tcPr>
            <w:tcW w:w="2340" w:type="dxa"/>
            <w:tcBorders>
              <w:top w:val="single" w:sz="4" w:space="0" w:color="000000"/>
              <w:left w:val="single" w:sz="4" w:space="0" w:color="000000"/>
              <w:bottom w:val="nil"/>
              <w:right w:val="nil"/>
            </w:tcBorders>
            <w:shd w:val="clear" w:color="auto" w:fill="auto"/>
            <w:noWrap/>
            <w:vAlign w:val="bottom"/>
            <w:hideMark/>
          </w:tcPr>
          <w:p w:rsidR="00222E70" w:rsidRPr="00222E70" w:rsidP="00222E70" w14:paraId="53AD3134" w14:textId="77777777">
            <w:pPr>
              <w:spacing w:after="0" w:line="240" w:lineRule="auto"/>
              <w:rPr>
                <w:rFonts w:ascii="Calibri" w:eastAsia="Times New Roman" w:hAnsi="Calibri" w:cs="Calibri"/>
                <w:color w:val="000000"/>
              </w:rPr>
            </w:pPr>
            <w:r w:rsidRPr="00222E70">
              <w:rPr>
                <w:rFonts w:ascii="Calibri" w:eastAsia="Times New Roman" w:hAnsi="Calibri" w:cs="Calibri"/>
                <w:color w:val="000000"/>
              </w:rPr>
              <w:t> </w:t>
            </w:r>
          </w:p>
        </w:tc>
        <w:tc>
          <w:tcPr>
            <w:tcW w:w="2513" w:type="dxa"/>
            <w:tcBorders>
              <w:top w:val="single" w:sz="4" w:space="0" w:color="000000"/>
              <w:left w:val="nil"/>
              <w:bottom w:val="nil"/>
              <w:right w:val="single" w:sz="4" w:space="0" w:color="000000"/>
            </w:tcBorders>
            <w:shd w:val="clear" w:color="auto" w:fill="auto"/>
            <w:noWrap/>
            <w:vAlign w:val="bottom"/>
            <w:hideMark/>
          </w:tcPr>
          <w:p w:rsidR="00222E70" w:rsidRPr="00222E70" w:rsidP="00222E70" w14:paraId="364576AD" w14:textId="77777777">
            <w:pPr>
              <w:spacing w:after="0" w:line="240" w:lineRule="auto"/>
              <w:rPr>
                <w:rFonts w:ascii="Calibri" w:eastAsia="Times New Roman" w:hAnsi="Calibri" w:cs="Calibri"/>
                <w:color w:val="000000"/>
              </w:rPr>
            </w:pPr>
            <w:r w:rsidRPr="00222E70">
              <w:rPr>
                <w:rFonts w:ascii="Calibri" w:eastAsia="Times New Roman" w:hAnsi="Calibri" w:cs="Calibri"/>
                <w:color w:val="000000"/>
              </w:rPr>
              <w:t> </w:t>
            </w:r>
          </w:p>
        </w:tc>
      </w:tr>
      <w:tr w14:paraId="013039A4" w14:textId="77777777" w:rsidTr="00222E70">
        <w:tblPrEx>
          <w:tblW w:w="4853" w:type="dxa"/>
          <w:tblLook w:val="04A0"/>
        </w:tblPrEx>
        <w:trPr>
          <w:trHeight w:val="300"/>
        </w:trPr>
        <w:tc>
          <w:tcPr>
            <w:tcW w:w="4853" w:type="dxa"/>
            <w:gridSpan w:val="2"/>
            <w:tcBorders>
              <w:top w:val="nil"/>
              <w:left w:val="single" w:sz="4" w:space="0" w:color="000000"/>
              <w:bottom w:val="nil"/>
              <w:right w:val="single" w:sz="4" w:space="0" w:color="000000"/>
            </w:tcBorders>
            <w:shd w:val="clear" w:color="000000" w:fill="FFFFFF"/>
            <w:noWrap/>
            <w:vAlign w:val="bottom"/>
            <w:hideMark/>
          </w:tcPr>
          <w:p w:rsidR="00222E70" w:rsidRPr="00222E70" w:rsidP="00222E70" w14:paraId="26FE347C" w14:textId="77777777">
            <w:pPr>
              <w:spacing w:after="0" w:line="240" w:lineRule="auto"/>
              <w:rPr>
                <w:rFonts w:ascii="Calibri" w:eastAsia="Times New Roman" w:hAnsi="Calibri" w:cs="Calibri"/>
              </w:rPr>
            </w:pPr>
            <w:r w:rsidRPr="00222E70">
              <w:rPr>
                <w:rFonts w:ascii="Calibri" w:eastAsia="Times New Roman" w:hAnsi="Calibri" w:cs="Calibri"/>
              </w:rPr>
              <w:t>TOTAL NUMBER of Respondents:</w:t>
            </w:r>
          </w:p>
        </w:tc>
      </w:tr>
      <w:tr w14:paraId="3A83A934" w14:textId="77777777" w:rsidTr="00222E70">
        <w:tblPrEx>
          <w:tblW w:w="4853" w:type="dxa"/>
          <w:tblLook w:val="04A0"/>
        </w:tblPrEx>
        <w:trPr>
          <w:trHeight w:val="300"/>
        </w:trPr>
        <w:tc>
          <w:tcPr>
            <w:tcW w:w="2340" w:type="dxa"/>
            <w:tcBorders>
              <w:top w:val="nil"/>
              <w:left w:val="single" w:sz="4" w:space="0" w:color="000000"/>
              <w:bottom w:val="nil"/>
              <w:right w:val="nil"/>
            </w:tcBorders>
            <w:shd w:val="clear" w:color="000000" w:fill="FFFFFF"/>
            <w:noWrap/>
            <w:vAlign w:val="bottom"/>
            <w:hideMark/>
          </w:tcPr>
          <w:p w:rsidR="00222E70" w:rsidRPr="00222E70" w:rsidP="00222E70" w14:paraId="321FEBB8" w14:textId="77777777">
            <w:pPr>
              <w:spacing w:after="0" w:line="240" w:lineRule="auto"/>
              <w:rPr>
                <w:rFonts w:ascii="Calibri" w:eastAsia="Times New Roman" w:hAnsi="Calibri" w:cs="Calibri"/>
              </w:rPr>
            </w:pPr>
            <w:r w:rsidRPr="00222E70">
              <w:rPr>
                <w:rFonts w:ascii="Calibri" w:eastAsia="Times New Roman" w:hAnsi="Calibri" w:cs="Calibri"/>
              </w:rPr>
              <w:t> </w:t>
            </w:r>
          </w:p>
        </w:tc>
        <w:tc>
          <w:tcPr>
            <w:tcW w:w="2513" w:type="dxa"/>
            <w:tcBorders>
              <w:top w:val="nil"/>
              <w:left w:val="nil"/>
              <w:bottom w:val="nil"/>
              <w:right w:val="single" w:sz="4" w:space="0" w:color="000000"/>
            </w:tcBorders>
            <w:shd w:val="clear" w:color="000000" w:fill="FFFFFF"/>
            <w:noWrap/>
            <w:vAlign w:val="bottom"/>
            <w:hideMark/>
          </w:tcPr>
          <w:p w:rsidR="00222E70" w:rsidRPr="00222E70" w:rsidP="00222E70" w14:paraId="0DA2D2F5" w14:textId="77777777">
            <w:pPr>
              <w:spacing w:after="0" w:line="240" w:lineRule="auto"/>
              <w:rPr>
                <w:rFonts w:ascii="Calibri" w:eastAsia="Times New Roman" w:hAnsi="Calibri" w:cs="Calibri"/>
              </w:rPr>
            </w:pPr>
            <w:r w:rsidRPr="00222E70">
              <w:rPr>
                <w:rFonts w:ascii="Calibri" w:eastAsia="Times New Roman" w:hAnsi="Calibri" w:cs="Calibri"/>
              </w:rPr>
              <w:t xml:space="preserve">                                  3,395.00 </w:t>
            </w:r>
          </w:p>
        </w:tc>
      </w:tr>
      <w:tr w14:paraId="3DDBCFDE" w14:textId="77777777" w:rsidTr="00222E70">
        <w:tblPrEx>
          <w:tblW w:w="4853" w:type="dxa"/>
          <w:tblLook w:val="04A0"/>
        </w:tblPrEx>
        <w:trPr>
          <w:trHeight w:val="300"/>
        </w:trPr>
        <w:tc>
          <w:tcPr>
            <w:tcW w:w="4853" w:type="dxa"/>
            <w:gridSpan w:val="2"/>
            <w:tcBorders>
              <w:top w:val="nil"/>
              <w:left w:val="single" w:sz="4" w:space="0" w:color="000000"/>
              <w:bottom w:val="nil"/>
              <w:right w:val="single" w:sz="4" w:space="0" w:color="000000"/>
            </w:tcBorders>
            <w:shd w:val="clear" w:color="000000" w:fill="D9E1F2"/>
            <w:noWrap/>
            <w:vAlign w:val="bottom"/>
            <w:hideMark/>
          </w:tcPr>
          <w:p w:rsidR="00222E70" w:rsidRPr="00222E70" w:rsidP="00222E70" w14:paraId="67FF07D1" w14:textId="77777777">
            <w:pPr>
              <w:spacing w:after="0" w:line="240" w:lineRule="auto"/>
              <w:rPr>
                <w:rFonts w:ascii="Calibri" w:eastAsia="Times New Roman" w:hAnsi="Calibri" w:cs="Calibri"/>
              </w:rPr>
            </w:pPr>
            <w:r w:rsidRPr="00222E70">
              <w:rPr>
                <w:rFonts w:ascii="Calibri" w:eastAsia="Times New Roman" w:hAnsi="Calibri" w:cs="Calibri"/>
              </w:rPr>
              <w:t xml:space="preserve">Non-Labor Costs* Only - Used for OMB Inventory: </w:t>
            </w:r>
          </w:p>
        </w:tc>
      </w:tr>
      <w:tr w14:paraId="56A9E15B" w14:textId="77777777" w:rsidTr="00222E70">
        <w:tblPrEx>
          <w:tblW w:w="4853" w:type="dxa"/>
          <w:tblLook w:val="04A0"/>
        </w:tblPrEx>
        <w:trPr>
          <w:trHeight w:val="300"/>
        </w:trPr>
        <w:tc>
          <w:tcPr>
            <w:tcW w:w="2340" w:type="dxa"/>
            <w:tcBorders>
              <w:top w:val="nil"/>
              <w:left w:val="single" w:sz="4" w:space="0" w:color="000000"/>
              <w:bottom w:val="nil"/>
              <w:right w:val="nil"/>
            </w:tcBorders>
            <w:shd w:val="clear" w:color="000000" w:fill="D9E1F2"/>
            <w:noWrap/>
            <w:vAlign w:val="bottom"/>
            <w:hideMark/>
          </w:tcPr>
          <w:p w:rsidR="00222E70" w:rsidRPr="00222E70" w:rsidP="00222E70" w14:paraId="34C2438D" w14:textId="77777777">
            <w:pPr>
              <w:spacing w:after="0" w:line="240" w:lineRule="auto"/>
              <w:rPr>
                <w:rFonts w:ascii="Calibri" w:eastAsia="Times New Roman" w:hAnsi="Calibri" w:cs="Calibri"/>
              </w:rPr>
            </w:pPr>
            <w:r w:rsidRPr="00222E70">
              <w:rPr>
                <w:rFonts w:ascii="Calibri" w:eastAsia="Times New Roman" w:hAnsi="Calibri" w:cs="Calibri"/>
              </w:rPr>
              <w:t> </w:t>
            </w:r>
          </w:p>
        </w:tc>
        <w:tc>
          <w:tcPr>
            <w:tcW w:w="2513" w:type="dxa"/>
            <w:tcBorders>
              <w:top w:val="nil"/>
              <w:left w:val="nil"/>
              <w:bottom w:val="nil"/>
              <w:right w:val="single" w:sz="4" w:space="0" w:color="000000"/>
            </w:tcBorders>
            <w:shd w:val="clear" w:color="000000" w:fill="D9E1F2"/>
            <w:noWrap/>
            <w:vAlign w:val="bottom"/>
            <w:hideMark/>
          </w:tcPr>
          <w:p w:rsidR="00222E70" w:rsidRPr="00222E70" w:rsidP="00222E70" w14:paraId="1BA65224" w14:textId="77777777">
            <w:pPr>
              <w:spacing w:after="0" w:line="240" w:lineRule="auto"/>
              <w:rPr>
                <w:rFonts w:ascii="Calibri" w:eastAsia="Times New Roman" w:hAnsi="Calibri" w:cs="Calibri"/>
              </w:rPr>
            </w:pPr>
            <w:r w:rsidRPr="00222E70">
              <w:rPr>
                <w:rFonts w:ascii="Calibri" w:eastAsia="Times New Roman" w:hAnsi="Calibri" w:cs="Calibri"/>
              </w:rPr>
              <w:t xml:space="preserve">                                20,323.00 </w:t>
            </w:r>
          </w:p>
        </w:tc>
      </w:tr>
      <w:tr w14:paraId="6EC29520" w14:textId="77777777" w:rsidTr="00222E70">
        <w:tblPrEx>
          <w:tblW w:w="4853" w:type="dxa"/>
          <w:tblLook w:val="04A0"/>
        </w:tblPrEx>
        <w:trPr>
          <w:trHeight w:val="300"/>
        </w:trPr>
        <w:tc>
          <w:tcPr>
            <w:tcW w:w="2340" w:type="dxa"/>
            <w:tcBorders>
              <w:top w:val="nil"/>
              <w:left w:val="single" w:sz="4" w:space="0" w:color="000000"/>
              <w:bottom w:val="single" w:sz="4" w:space="0" w:color="000000"/>
              <w:right w:val="nil"/>
            </w:tcBorders>
            <w:shd w:val="clear" w:color="000000" w:fill="D9E1F2"/>
            <w:noWrap/>
            <w:vAlign w:val="bottom"/>
            <w:hideMark/>
          </w:tcPr>
          <w:p w:rsidR="00222E70" w:rsidRPr="00222E70" w:rsidP="00222E70" w14:paraId="4E373554" w14:textId="77777777">
            <w:pPr>
              <w:spacing w:after="0" w:line="240" w:lineRule="auto"/>
              <w:rPr>
                <w:rFonts w:ascii="Calibri" w:eastAsia="Times New Roman" w:hAnsi="Calibri" w:cs="Calibri"/>
              </w:rPr>
            </w:pPr>
            <w:r w:rsidRPr="00222E70">
              <w:rPr>
                <w:rFonts w:ascii="Calibri" w:eastAsia="Times New Roman" w:hAnsi="Calibri" w:cs="Calibri"/>
              </w:rPr>
              <w:t> </w:t>
            </w:r>
          </w:p>
        </w:tc>
        <w:tc>
          <w:tcPr>
            <w:tcW w:w="2513" w:type="dxa"/>
            <w:tcBorders>
              <w:top w:val="nil"/>
              <w:left w:val="nil"/>
              <w:bottom w:val="single" w:sz="4" w:space="0" w:color="000000"/>
              <w:right w:val="single" w:sz="4" w:space="0" w:color="000000"/>
            </w:tcBorders>
            <w:shd w:val="clear" w:color="000000" w:fill="D9E1F2"/>
            <w:noWrap/>
            <w:vAlign w:val="bottom"/>
            <w:hideMark/>
          </w:tcPr>
          <w:p w:rsidR="00222E70" w:rsidRPr="00222E70" w:rsidP="00222E70" w14:paraId="3705A61E" w14:textId="77777777">
            <w:pPr>
              <w:spacing w:after="0" w:line="240" w:lineRule="auto"/>
              <w:rPr>
                <w:rFonts w:ascii="Calibri" w:eastAsia="Times New Roman" w:hAnsi="Calibri" w:cs="Calibri"/>
              </w:rPr>
            </w:pPr>
            <w:r w:rsidRPr="00222E70">
              <w:rPr>
                <w:rFonts w:ascii="Calibri" w:eastAsia="Times New Roman" w:hAnsi="Calibri" w:cs="Calibri"/>
              </w:rPr>
              <w:t> </w:t>
            </w:r>
          </w:p>
        </w:tc>
      </w:tr>
    </w:tbl>
    <w:p w:rsidR="00032F53" w:rsidRPr="00343CAD" w:rsidP="00343CAD" w14:paraId="797C373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13195" w:rsidP="00AD32C6" w14:paraId="545D7AE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13195">
        <w:t>All non-labor costs are purchased services. There are no capital and O&amp;M costs.  </w:t>
      </w:r>
    </w:p>
    <w:p w:rsidR="00CF72E8" w:rsidRPr="00CE5C8C" w:rsidP="00CE5C8C" w14:paraId="02089B1C" w14:textId="7745CA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overall annual burden to respondents for this collection is </w:t>
      </w:r>
      <w:r w:rsidR="001C5EC1">
        <w:t>$</w:t>
      </w:r>
      <w:r w:rsidR="00BF2A68">
        <w:t>766,952</w:t>
      </w:r>
      <w:r>
        <w:t xml:space="preserve">. </w:t>
      </w:r>
      <w:bookmarkStart w:id="19" w:name="q13"/>
    </w:p>
    <w:p w:rsidR="00CE5C8C" w:rsidRPr="00163C69" w:rsidP="00CE5C8C" w14:paraId="0F08D9BB" w14:textId="77777777">
      <w:pPr>
        <w:pStyle w:val="ListParagraph"/>
        <w:numPr>
          <w:ilvl w:val="0"/>
          <w:numId w:val="19"/>
        </w:numPr>
        <w:spacing w:before="240" w:after="0"/>
        <w:rPr>
          <w:rFonts w:cstheme="minorHAnsi"/>
          <w:b/>
          <w:bCs/>
          <w:caps/>
        </w:rPr>
      </w:pPr>
      <w:bookmarkStart w:id="20" w:name="_Toc156593386"/>
      <w:bookmarkEnd w:id="19"/>
      <w:r w:rsidRPr="4BDBF0A0">
        <w:rPr>
          <w:b/>
          <w:bCs/>
          <w:caps/>
        </w:rPr>
        <w:t>Respondent CAPITAL AND O&amp;m CostS</w:t>
      </w:r>
      <w:bookmarkEnd w:id="20"/>
      <w:r w:rsidRPr="4BDBF0A0">
        <w:rPr>
          <w:b/>
          <w:bCs/>
          <w:caps/>
        </w:rPr>
        <w:t xml:space="preserve"> </w:t>
      </w:r>
    </w:p>
    <w:p w:rsidR="00CE5C8C" w:rsidRPr="00F92596" w:rsidP="00CE5C8C" w14:paraId="6195911B"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CE5C8C" w:rsidRPr="00F92596" w:rsidP="00CE5C8C" w14:paraId="41EC9F29"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CE5C8C" w:rsidRPr="00F92596" w:rsidP="00CE5C8C" w14:paraId="2DA2C661" w14:textId="77777777">
      <w:pPr>
        <w:spacing w:after="0" w:line="240" w:lineRule="auto"/>
        <w:rPr>
          <w:rFonts w:cstheme="minorHAnsi"/>
          <w:i/>
          <w:iCs/>
        </w:rPr>
      </w:pPr>
      <w:r w:rsidRPr="00F92596">
        <w:rPr>
          <w:rFonts w:cstheme="minorHAnsi"/>
          <w:i/>
          <w:iCs/>
        </w:rPr>
        <w:t xml:space="preserve">component (annualized over its expected useful life) and (b) a total operation and maintenance and purchase of services component. The estimates should consider costs associated with generating, </w:t>
      </w:r>
      <w:r w:rsidRPr="00F92596">
        <w:rPr>
          <w:rFonts w:cstheme="minorHAnsi"/>
          <w:i/>
          <w:iCs/>
        </w:rPr>
        <w:t>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CE5C8C" w:rsidRPr="00F92596" w:rsidP="00CE5C8C" w14:paraId="58A152F3"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CE5C8C" w:rsidRPr="00F92596" w:rsidP="00CE5C8C" w14:paraId="3FF81AB4"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F72E8" w:rsidRPr="00CE5C8C" w:rsidP="00CE5C8C" w14:paraId="07BFF548" w14:textId="3E9990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Of the total, non-labor cost burden of </w:t>
      </w:r>
      <w:r w:rsidRPr="00C55F3E" w:rsidR="00C55F3E">
        <w:rPr>
          <w:sz w:val="24"/>
          <w:szCs w:val="24"/>
        </w:rPr>
        <w:t>$</w:t>
      </w:r>
      <w:r w:rsidR="00AD32C6">
        <w:rPr>
          <w:sz w:val="24"/>
          <w:szCs w:val="24"/>
        </w:rPr>
        <w:t xml:space="preserve"> </w:t>
      </w:r>
      <w:r w:rsidR="009361ED">
        <w:rPr>
          <w:sz w:val="24"/>
          <w:szCs w:val="24"/>
        </w:rPr>
        <w:t>20</w:t>
      </w:r>
      <w:r w:rsidR="00286940">
        <w:rPr>
          <w:sz w:val="24"/>
          <w:szCs w:val="24"/>
        </w:rPr>
        <w:t>,323.00</w:t>
      </w:r>
      <w:r>
        <w:rPr>
          <w:sz w:val="24"/>
          <w:szCs w:val="24"/>
        </w:rPr>
        <w:t xml:space="preserve">, the full amount is purchased services and $0 is capital/O&amp;M. </w:t>
      </w:r>
    </w:p>
    <w:p w:rsidR="004252C1" w:rsidRPr="00CF72E8" w:rsidP="004252C1" w14:paraId="719F6327" w14:textId="663B086E">
      <w:pPr>
        <w:rPr>
          <w:rFonts w:cstheme="minorHAnsi"/>
          <w:b/>
          <w:bCs/>
        </w:rPr>
      </w:pPr>
      <w:bookmarkStart w:id="21" w:name="q14"/>
      <w:r w:rsidRPr="00CF72E8">
        <w:rPr>
          <w:rFonts w:cstheme="minorHAnsi"/>
          <w:b/>
          <w:bCs/>
        </w:rPr>
        <w:t>Question 14</w:t>
      </w:r>
    </w:p>
    <w:p w:rsidR="00CE5C8C" w:rsidRPr="00163C69" w:rsidP="00CE5C8C" w14:paraId="0829850E" w14:textId="77777777">
      <w:pPr>
        <w:pStyle w:val="ListParagraph"/>
        <w:numPr>
          <w:ilvl w:val="0"/>
          <w:numId w:val="19"/>
        </w:numPr>
        <w:pBdr>
          <w:bottom w:val="single" w:sz="4" w:space="1" w:color="auto"/>
        </w:pBdr>
        <w:spacing w:before="240" w:after="0"/>
        <w:rPr>
          <w:rFonts w:cstheme="minorHAnsi"/>
          <w:b/>
          <w:bCs/>
        </w:rPr>
      </w:pPr>
      <w:bookmarkStart w:id="22" w:name="_Toc156593387"/>
      <w:bookmarkEnd w:id="21"/>
      <w:r w:rsidRPr="4BDBF0A0">
        <w:rPr>
          <w:b/>
          <w:bCs/>
        </w:rPr>
        <w:t xml:space="preserve">AGENCY </w:t>
      </w:r>
      <w:bookmarkEnd w:id="22"/>
      <w:r w:rsidRPr="4BDBF0A0">
        <w:rPr>
          <w:b/>
          <w:bCs/>
        </w:rPr>
        <w:t>COSTS</w:t>
      </w:r>
    </w:p>
    <w:p w:rsidR="00CE5C8C" w:rsidRPr="001F0834" w:rsidP="00CE5C8C" w14:paraId="3BE21B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9979F7" w:rsidRPr="008D5C3F" w:rsidP="00CE5C8C" w14:paraId="5F5F46E8" w14:textId="3B817631">
      <w:pPr>
        <w:autoSpaceDE w:val="0"/>
        <w:autoSpaceDN w:val="0"/>
        <w:adjustRightInd w:val="0"/>
        <w:rPr>
          <w:color w:val="FF0000"/>
        </w:rPr>
      </w:pPr>
      <w:r>
        <w:t>EPA anticipates that the agency cost associated with this collection is covered by the main information collection related to RFS, which has OMB Control Number 2060-0725. We anticipate no additional Agency cost.</w:t>
      </w:r>
      <w:r w:rsidRPr="001E348C">
        <w:tab/>
      </w:r>
    </w:p>
    <w:p w:rsidR="00CE5C8C" w:rsidRPr="00163C69" w:rsidP="00CE5C8C" w14:paraId="7871EF21" w14:textId="115BB383">
      <w:pPr>
        <w:pStyle w:val="ListParagraph"/>
        <w:numPr>
          <w:ilvl w:val="0"/>
          <w:numId w:val="19"/>
        </w:numPr>
        <w:spacing w:before="240" w:after="0"/>
        <w:rPr>
          <w:b/>
          <w:bCs/>
        </w:rPr>
      </w:pPr>
      <w:r w:rsidRPr="4BDBF0A0">
        <w:rPr>
          <w:b/>
          <w:bCs/>
        </w:rPr>
        <w:t>REASONS FOR CHANGE IN BURDEN</w:t>
      </w:r>
    </w:p>
    <w:p w:rsidR="00CE5C8C" w:rsidRPr="001F0834" w:rsidP="00CE5C8C" w14:paraId="45EFB408"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153B3F" w:rsidRPr="00BD7C1F" w:rsidP="00DB7601" w14:paraId="6435C93A" w14:textId="6C4685D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t>This is a new collection</w:t>
      </w:r>
      <w:r w:rsidR="00BD7C1F">
        <w:t xml:space="preserve">. </w:t>
      </w:r>
    </w:p>
    <w:p w:rsidR="00CE5C8C" w:rsidRPr="00163C69" w:rsidP="00CE5C8C" w14:paraId="2AE851EF" w14:textId="335DC84A">
      <w:pPr>
        <w:pStyle w:val="ListParagraph"/>
        <w:numPr>
          <w:ilvl w:val="0"/>
          <w:numId w:val="19"/>
        </w:numPr>
        <w:spacing w:before="240" w:after="0"/>
        <w:rPr>
          <w:b/>
          <w:bCs/>
        </w:rPr>
      </w:pPr>
      <w:bookmarkStart w:id="23" w:name="_Toc156593389"/>
      <w:r w:rsidRPr="4BDBF0A0">
        <w:rPr>
          <w:b/>
          <w:bCs/>
        </w:rPr>
        <w:t xml:space="preserve">PUBLICATION OF </w:t>
      </w:r>
      <w:bookmarkEnd w:id="23"/>
      <w:r>
        <w:rPr>
          <w:b/>
          <w:bCs/>
        </w:rPr>
        <w:t>DATA</w:t>
      </w:r>
    </w:p>
    <w:p w:rsidR="00CE5C8C" w:rsidRPr="001F0834" w:rsidP="00CE5C8C" w14:paraId="2D9BF8F2"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252C1" w:rsidRPr="004252C1" w:rsidP="004252C1" w14:paraId="0633AFB2" w14:textId="65EE31AC">
      <w:pPr>
        <w:rPr>
          <w:rFonts w:cstheme="minorHAnsi"/>
        </w:rPr>
      </w:pPr>
      <w:r>
        <w:rPr>
          <w:rFonts w:cstheme="minorHAnsi"/>
        </w:rPr>
        <w:t>Not applicable.</w:t>
      </w:r>
    </w:p>
    <w:p w:rsidR="00CE5C8C" w:rsidRPr="00163C69" w:rsidP="00CE5C8C" w14:paraId="1A92F7EC" w14:textId="7B4D9A9A">
      <w:pPr>
        <w:pStyle w:val="ListParagraph"/>
        <w:numPr>
          <w:ilvl w:val="0"/>
          <w:numId w:val="19"/>
        </w:numPr>
        <w:spacing w:before="240" w:after="0"/>
        <w:rPr>
          <w:b/>
          <w:bCs/>
        </w:rPr>
      </w:pPr>
      <w:r w:rsidRPr="4BDBF0A0">
        <w:rPr>
          <w:b/>
          <w:bCs/>
        </w:rPr>
        <w:t xml:space="preserve">DISPLAY OF EXPIRATION DATE </w:t>
      </w:r>
    </w:p>
    <w:p w:rsidR="00CE5C8C" w:rsidRPr="00F532D6" w:rsidP="00CE5C8C" w14:paraId="133DE816"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4252C1" w:rsidRPr="004252C1" w:rsidP="004252C1" w14:paraId="02592B97" w14:textId="1BB90203">
      <w:pPr>
        <w:rPr>
          <w:rFonts w:cstheme="minorHAnsi"/>
        </w:rPr>
      </w:pPr>
      <w:r>
        <w:rPr>
          <w:rFonts w:cstheme="minorHAnsi"/>
        </w:rPr>
        <w:t>Not applicable.</w:t>
      </w:r>
    </w:p>
    <w:p w:rsidR="00CE5C8C" w:rsidRPr="00163C69" w:rsidP="00CE5C8C" w14:paraId="2D98C48E" w14:textId="77777777">
      <w:pPr>
        <w:pStyle w:val="ListParagraph"/>
        <w:numPr>
          <w:ilvl w:val="0"/>
          <w:numId w:val="22"/>
        </w:numPr>
        <w:spacing w:before="240" w:after="0"/>
        <w:rPr>
          <w:rFonts w:cstheme="minorHAnsi"/>
          <w:b/>
          <w:bCs/>
        </w:rPr>
      </w:pPr>
      <w:bookmarkStart w:id="24" w:name="_Toc156593391"/>
      <w:r w:rsidRPr="00163C69">
        <w:rPr>
          <w:rFonts w:cstheme="minorHAnsi"/>
          <w:b/>
          <w:bCs/>
        </w:rPr>
        <w:t>CERTIFICATION STATEMENT</w:t>
      </w:r>
      <w:bookmarkEnd w:id="24"/>
    </w:p>
    <w:p w:rsidR="00CE5C8C" w:rsidRPr="001F0834" w:rsidP="00CE5C8C" w14:paraId="58B93D39"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4252C1" w:rsidRPr="004252C1" w:rsidP="004252C1" w14:paraId="45426039" w14:textId="4FAE014F">
      <w:pPr>
        <w:rPr>
          <w:rFonts w:cstheme="minorHAnsi"/>
        </w:rPr>
      </w:pPr>
      <w:r>
        <w:rPr>
          <w:rFonts w:cstheme="minorHAnsi"/>
        </w:rPr>
        <w:t>There are no exceptions.</w:t>
      </w: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 Roman 11pt">
    <w:altName w:val="Calibr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73BD" w14:paraId="0CDA9F2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73BD" w14:paraId="7A788A5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73BD" w14:paraId="56AD98A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73BD" w14:paraId="079617B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73BD" w14:paraId="4D2B70B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73BD" w14:paraId="765C4FC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052F43"/>
    <w:multiLevelType w:val="hybridMultilevel"/>
    <w:tmpl w:val="D70ED6B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E406490"/>
    <w:multiLevelType w:val="hybridMultilevel"/>
    <w:tmpl w:val="6778CE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0DE3529"/>
    <w:multiLevelType w:val="hybridMultilevel"/>
    <w:tmpl w:val="53D0E4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AD4C52"/>
    <w:multiLevelType w:val="hybridMultilevel"/>
    <w:tmpl w:val="60D8C38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9812355"/>
    <w:multiLevelType w:val="hybridMultilevel"/>
    <w:tmpl w:val="6E785F3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DEC3066"/>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E416B5D"/>
    <w:multiLevelType w:val="singleLevel"/>
    <w:tmpl w:val="187E1C9C"/>
    <w:lvl w:ilvl="0">
      <w:start w:val="12"/>
      <w:numFmt w:val="decimal"/>
      <w:lvlText w:val="%1."/>
      <w:legacy w:legacy="1" w:legacySpace="0" w:legacyIndent="1"/>
      <w:lvlJc w:val="left"/>
      <w:pPr>
        <w:ind w:left="1" w:hanging="1"/>
      </w:pPr>
      <w:rPr>
        <w:rFonts w:ascii="Times New Roman" w:hAnsi="Times New Roman" w:cs="Times New Roman" w:hint="default"/>
      </w:rPr>
    </w:lvl>
  </w:abstractNum>
  <w:abstractNum w:abstractNumId="7">
    <w:nsid w:val="203D7008"/>
    <w:multiLevelType w:val="hybridMultilevel"/>
    <w:tmpl w:val="7ADE22C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36"/>
        </w:tabs>
        <w:ind w:left="1436" w:hanging="360"/>
      </w:pPr>
      <w:rPr>
        <w:rFonts w:ascii="Courier New" w:hAnsi="Courier New" w:cs="Courier New" w:hint="default"/>
      </w:rPr>
    </w:lvl>
    <w:lvl w:ilvl="2" w:tentative="1">
      <w:start w:val="1"/>
      <w:numFmt w:val="bullet"/>
      <w:lvlText w:val=""/>
      <w:lvlJc w:val="left"/>
      <w:pPr>
        <w:tabs>
          <w:tab w:val="num" w:pos="2156"/>
        </w:tabs>
        <w:ind w:left="2156" w:hanging="360"/>
      </w:pPr>
      <w:rPr>
        <w:rFonts w:ascii="Wingdings" w:hAnsi="Wingdings" w:hint="default"/>
      </w:rPr>
    </w:lvl>
    <w:lvl w:ilvl="3" w:tentative="1">
      <w:start w:val="1"/>
      <w:numFmt w:val="bullet"/>
      <w:lvlText w:val=""/>
      <w:lvlJc w:val="left"/>
      <w:pPr>
        <w:tabs>
          <w:tab w:val="num" w:pos="2876"/>
        </w:tabs>
        <w:ind w:left="2876" w:hanging="360"/>
      </w:pPr>
      <w:rPr>
        <w:rFonts w:ascii="Symbol" w:hAnsi="Symbol" w:hint="default"/>
      </w:rPr>
    </w:lvl>
    <w:lvl w:ilvl="4" w:tentative="1">
      <w:start w:val="1"/>
      <w:numFmt w:val="bullet"/>
      <w:lvlText w:val="o"/>
      <w:lvlJc w:val="left"/>
      <w:pPr>
        <w:tabs>
          <w:tab w:val="num" w:pos="3596"/>
        </w:tabs>
        <w:ind w:left="3596" w:hanging="360"/>
      </w:pPr>
      <w:rPr>
        <w:rFonts w:ascii="Courier New" w:hAnsi="Courier New" w:cs="Courier New" w:hint="default"/>
      </w:rPr>
    </w:lvl>
    <w:lvl w:ilvl="5" w:tentative="1">
      <w:start w:val="1"/>
      <w:numFmt w:val="bullet"/>
      <w:lvlText w:val=""/>
      <w:lvlJc w:val="left"/>
      <w:pPr>
        <w:tabs>
          <w:tab w:val="num" w:pos="4316"/>
        </w:tabs>
        <w:ind w:left="4316" w:hanging="360"/>
      </w:pPr>
      <w:rPr>
        <w:rFonts w:ascii="Wingdings" w:hAnsi="Wingdings" w:hint="default"/>
      </w:rPr>
    </w:lvl>
    <w:lvl w:ilvl="6" w:tentative="1">
      <w:start w:val="1"/>
      <w:numFmt w:val="bullet"/>
      <w:lvlText w:val=""/>
      <w:lvlJc w:val="left"/>
      <w:pPr>
        <w:tabs>
          <w:tab w:val="num" w:pos="5036"/>
        </w:tabs>
        <w:ind w:left="5036" w:hanging="360"/>
      </w:pPr>
      <w:rPr>
        <w:rFonts w:ascii="Symbol" w:hAnsi="Symbol" w:hint="default"/>
      </w:rPr>
    </w:lvl>
    <w:lvl w:ilvl="7" w:tentative="1">
      <w:start w:val="1"/>
      <w:numFmt w:val="bullet"/>
      <w:lvlText w:val="o"/>
      <w:lvlJc w:val="left"/>
      <w:pPr>
        <w:tabs>
          <w:tab w:val="num" w:pos="5756"/>
        </w:tabs>
        <w:ind w:left="5756" w:hanging="360"/>
      </w:pPr>
      <w:rPr>
        <w:rFonts w:ascii="Courier New" w:hAnsi="Courier New" w:cs="Courier New" w:hint="default"/>
      </w:rPr>
    </w:lvl>
    <w:lvl w:ilvl="8" w:tentative="1">
      <w:start w:val="1"/>
      <w:numFmt w:val="bullet"/>
      <w:lvlText w:val=""/>
      <w:lvlJc w:val="left"/>
      <w:pPr>
        <w:tabs>
          <w:tab w:val="num" w:pos="6476"/>
        </w:tabs>
        <w:ind w:left="6476" w:hanging="360"/>
      </w:pPr>
      <w:rPr>
        <w:rFonts w:ascii="Wingdings" w:hAnsi="Wingdings" w:hint="default"/>
      </w:rPr>
    </w:lvl>
  </w:abstractNum>
  <w:abstractNum w:abstractNumId="8">
    <w:nsid w:val="28197538"/>
    <w:multiLevelType w:val="hybridMultilevel"/>
    <w:tmpl w:val="928437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AA9335B"/>
    <w:multiLevelType w:val="hybridMultilevel"/>
    <w:tmpl w:val="569E42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CE424DE"/>
    <w:multiLevelType w:val="hybridMultilevel"/>
    <w:tmpl w:val="38347DF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B513341"/>
    <w:multiLevelType w:val="hybridMultilevel"/>
    <w:tmpl w:val="1280FF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F02361F"/>
    <w:multiLevelType w:val="hybridMultilevel"/>
    <w:tmpl w:val="B21C5EA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7">
    <w:nsid w:val="5D4C07AC"/>
    <w:multiLevelType w:val="hybridMultilevel"/>
    <w:tmpl w:val="0F6E4B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741F2087"/>
    <w:multiLevelType w:val="singleLevel"/>
    <w:tmpl w:val="0A885370"/>
    <w:lvl w:ilvl="0">
      <w:start w:val="3"/>
      <w:numFmt w:val="decimal"/>
      <w:lvlText w:val="%1."/>
      <w:legacy w:legacy="1" w:legacySpace="0" w:legacyIndent="1"/>
      <w:lvlJc w:val="left"/>
      <w:pPr>
        <w:ind w:left="1" w:hanging="1"/>
      </w:pPr>
      <w:rPr>
        <w:rFonts w:ascii="Times New Roman" w:hAnsi="Times New Roman" w:cs="Times New Roman" w:hint="default"/>
      </w:rPr>
    </w:lvl>
  </w:abstractNum>
  <w:abstractNum w:abstractNumId="20">
    <w:nsid w:val="7CFB0358"/>
    <w:multiLevelType w:val="singleLevel"/>
    <w:tmpl w:val="0E44A428"/>
    <w:lvl w:ilvl="0">
      <w:start w:val="20"/>
      <w:numFmt w:val="decimal"/>
      <w:lvlText w:val="%1."/>
      <w:legacy w:legacy="1" w:legacySpace="0" w:legacyIndent="1"/>
      <w:lvlJc w:val="left"/>
      <w:pPr>
        <w:ind w:left="1" w:hanging="1"/>
      </w:pPr>
      <w:rPr>
        <w:rFonts w:ascii="Times New Roman" w:hAnsi="Times New Roman" w:cs="Times New Roman" w:hint="default"/>
      </w:rPr>
    </w:lvl>
  </w:abstractNum>
  <w:abstractNum w:abstractNumId="21">
    <w:nsid w:val="7D267281"/>
    <w:multiLevelType w:val="hybridMultilevel"/>
    <w:tmpl w:val="F8FA385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26613960">
    <w:abstractNumId w:val="2"/>
  </w:num>
  <w:num w:numId="2" w16cid:durableId="859005804">
    <w:abstractNumId w:val="13"/>
  </w:num>
  <w:num w:numId="3" w16cid:durableId="1953049315">
    <w:abstractNumId w:val="16"/>
  </w:num>
  <w:num w:numId="4" w16cid:durableId="179658813">
    <w:abstractNumId w:val="9"/>
  </w:num>
  <w:num w:numId="5" w16cid:durableId="337656914">
    <w:abstractNumId w:val="21"/>
  </w:num>
  <w:num w:numId="6" w16cid:durableId="348724219">
    <w:abstractNumId w:val="3"/>
  </w:num>
  <w:num w:numId="7" w16cid:durableId="1820491723">
    <w:abstractNumId w:val="14"/>
  </w:num>
  <w:num w:numId="8" w16cid:durableId="1021127269">
    <w:abstractNumId w:val="0"/>
  </w:num>
  <w:num w:numId="9" w16cid:durableId="2053264027">
    <w:abstractNumId w:val="7"/>
  </w:num>
  <w:num w:numId="10" w16cid:durableId="1669676852">
    <w:abstractNumId w:val="4"/>
  </w:num>
  <w:num w:numId="11" w16cid:durableId="1715696861">
    <w:abstractNumId w:val="17"/>
  </w:num>
  <w:num w:numId="12" w16cid:durableId="193272740">
    <w:abstractNumId w:val="11"/>
  </w:num>
  <w:num w:numId="13" w16cid:durableId="1251087177">
    <w:abstractNumId w:val="19"/>
  </w:num>
  <w:num w:numId="14" w16cid:durableId="366443198">
    <w:abstractNumId w:val="6"/>
  </w:num>
  <w:num w:numId="15" w16cid:durableId="646015847">
    <w:abstractNumId w:val="20"/>
  </w:num>
  <w:num w:numId="16" w16cid:durableId="1101560943">
    <w:abstractNumId w:val="8"/>
  </w:num>
  <w:num w:numId="17" w16cid:durableId="2140761973">
    <w:abstractNumId w:val="1"/>
  </w:num>
  <w:num w:numId="18" w16cid:durableId="100613899">
    <w:abstractNumId w:val="12"/>
  </w:num>
  <w:num w:numId="19" w16cid:durableId="258569098">
    <w:abstractNumId w:val="15"/>
  </w:num>
  <w:num w:numId="20" w16cid:durableId="2032954329">
    <w:abstractNumId w:val="5"/>
  </w:num>
  <w:num w:numId="21" w16cid:durableId="239490726">
    <w:abstractNumId w:val="10"/>
  </w:num>
  <w:num w:numId="22" w16cid:durableId="10159613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5EE2"/>
    <w:rsid w:val="00027FFA"/>
    <w:rsid w:val="00032F53"/>
    <w:rsid w:val="000377A2"/>
    <w:rsid w:val="000464DB"/>
    <w:rsid w:val="0004741B"/>
    <w:rsid w:val="00072A95"/>
    <w:rsid w:val="000758CB"/>
    <w:rsid w:val="000A60BC"/>
    <w:rsid w:val="000B42A5"/>
    <w:rsid w:val="000E45FB"/>
    <w:rsid w:val="000E4C9C"/>
    <w:rsid w:val="000E5A1C"/>
    <w:rsid w:val="000F3F23"/>
    <w:rsid w:val="000F5BD6"/>
    <w:rsid w:val="000F607D"/>
    <w:rsid w:val="00120F68"/>
    <w:rsid w:val="00124C23"/>
    <w:rsid w:val="00130CF9"/>
    <w:rsid w:val="00132C20"/>
    <w:rsid w:val="00135A50"/>
    <w:rsid w:val="00136AF3"/>
    <w:rsid w:val="00153B3F"/>
    <w:rsid w:val="00157767"/>
    <w:rsid w:val="0016050E"/>
    <w:rsid w:val="00163C69"/>
    <w:rsid w:val="0018473E"/>
    <w:rsid w:val="001B3471"/>
    <w:rsid w:val="001B491F"/>
    <w:rsid w:val="001B7967"/>
    <w:rsid w:val="001C43D3"/>
    <w:rsid w:val="001C5EC1"/>
    <w:rsid w:val="001E1A51"/>
    <w:rsid w:val="001E348C"/>
    <w:rsid w:val="001F0834"/>
    <w:rsid w:val="001F51A5"/>
    <w:rsid w:val="001F5DC7"/>
    <w:rsid w:val="00213D49"/>
    <w:rsid w:val="002200FC"/>
    <w:rsid w:val="00222E70"/>
    <w:rsid w:val="00224658"/>
    <w:rsid w:val="0023237F"/>
    <w:rsid w:val="002335AB"/>
    <w:rsid w:val="00243F1B"/>
    <w:rsid w:val="002450E3"/>
    <w:rsid w:val="00250A53"/>
    <w:rsid w:val="00275549"/>
    <w:rsid w:val="00275FB6"/>
    <w:rsid w:val="002760BD"/>
    <w:rsid w:val="00276FEB"/>
    <w:rsid w:val="002845B1"/>
    <w:rsid w:val="00286940"/>
    <w:rsid w:val="002A3B83"/>
    <w:rsid w:val="002B7073"/>
    <w:rsid w:val="002C434B"/>
    <w:rsid w:val="002C7BFE"/>
    <w:rsid w:val="002C7DDB"/>
    <w:rsid w:val="002D3D24"/>
    <w:rsid w:val="002F3970"/>
    <w:rsid w:val="00312EAF"/>
    <w:rsid w:val="00321241"/>
    <w:rsid w:val="00326147"/>
    <w:rsid w:val="00337242"/>
    <w:rsid w:val="00343CAD"/>
    <w:rsid w:val="0037247C"/>
    <w:rsid w:val="003816F3"/>
    <w:rsid w:val="003A545A"/>
    <w:rsid w:val="003B423A"/>
    <w:rsid w:val="003B7BC5"/>
    <w:rsid w:val="003D07D8"/>
    <w:rsid w:val="003F2B5E"/>
    <w:rsid w:val="0040271E"/>
    <w:rsid w:val="004252C1"/>
    <w:rsid w:val="00433F15"/>
    <w:rsid w:val="0044253D"/>
    <w:rsid w:val="00465991"/>
    <w:rsid w:val="00495BEB"/>
    <w:rsid w:val="00495FD9"/>
    <w:rsid w:val="004A4B8D"/>
    <w:rsid w:val="004A5136"/>
    <w:rsid w:val="004B1C6F"/>
    <w:rsid w:val="004B52CA"/>
    <w:rsid w:val="004C17A6"/>
    <w:rsid w:val="004D3A65"/>
    <w:rsid w:val="004D4568"/>
    <w:rsid w:val="004D6EBC"/>
    <w:rsid w:val="004E31A8"/>
    <w:rsid w:val="00517F46"/>
    <w:rsid w:val="0052588B"/>
    <w:rsid w:val="00545EB8"/>
    <w:rsid w:val="005810DF"/>
    <w:rsid w:val="005A1502"/>
    <w:rsid w:val="005E35C4"/>
    <w:rsid w:val="005E64A4"/>
    <w:rsid w:val="005F3306"/>
    <w:rsid w:val="006002F5"/>
    <w:rsid w:val="006023A3"/>
    <w:rsid w:val="00615DB5"/>
    <w:rsid w:val="00623817"/>
    <w:rsid w:val="00625C30"/>
    <w:rsid w:val="006270A3"/>
    <w:rsid w:val="00634E86"/>
    <w:rsid w:val="00655474"/>
    <w:rsid w:val="00665964"/>
    <w:rsid w:val="006953EE"/>
    <w:rsid w:val="006A29EB"/>
    <w:rsid w:val="006A3727"/>
    <w:rsid w:val="006C09EB"/>
    <w:rsid w:val="006C75E5"/>
    <w:rsid w:val="006F5296"/>
    <w:rsid w:val="00707163"/>
    <w:rsid w:val="0071177A"/>
    <w:rsid w:val="007201CD"/>
    <w:rsid w:val="00725077"/>
    <w:rsid w:val="007314C6"/>
    <w:rsid w:val="007522AD"/>
    <w:rsid w:val="007671D1"/>
    <w:rsid w:val="007719E6"/>
    <w:rsid w:val="007878AC"/>
    <w:rsid w:val="00794E2D"/>
    <w:rsid w:val="007B5D0D"/>
    <w:rsid w:val="007C3FB9"/>
    <w:rsid w:val="007C7191"/>
    <w:rsid w:val="007F1CBA"/>
    <w:rsid w:val="008023FF"/>
    <w:rsid w:val="008045FC"/>
    <w:rsid w:val="00805C32"/>
    <w:rsid w:val="008259CA"/>
    <w:rsid w:val="008443B3"/>
    <w:rsid w:val="0085777C"/>
    <w:rsid w:val="00864F56"/>
    <w:rsid w:val="00885FF4"/>
    <w:rsid w:val="008A0C53"/>
    <w:rsid w:val="008A51A2"/>
    <w:rsid w:val="008B3640"/>
    <w:rsid w:val="008B6B0D"/>
    <w:rsid w:val="008D356A"/>
    <w:rsid w:val="008D5C3F"/>
    <w:rsid w:val="008E694E"/>
    <w:rsid w:val="008F5316"/>
    <w:rsid w:val="008F7E17"/>
    <w:rsid w:val="00901DA2"/>
    <w:rsid w:val="009225B8"/>
    <w:rsid w:val="00930C1C"/>
    <w:rsid w:val="009361ED"/>
    <w:rsid w:val="00960B30"/>
    <w:rsid w:val="009854E0"/>
    <w:rsid w:val="00992267"/>
    <w:rsid w:val="00994E06"/>
    <w:rsid w:val="009979F7"/>
    <w:rsid w:val="009A26C5"/>
    <w:rsid w:val="009A6DE8"/>
    <w:rsid w:val="009B0530"/>
    <w:rsid w:val="009C416F"/>
    <w:rsid w:val="009D13F2"/>
    <w:rsid w:val="00A02CE5"/>
    <w:rsid w:val="00A161E9"/>
    <w:rsid w:val="00A2147D"/>
    <w:rsid w:val="00A233E0"/>
    <w:rsid w:val="00A44615"/>
    <w:rsid w:val="00A61A85"/>
    <w:rsid w:val="00A672CE"/>
    <w:rsid w:val="00A7344D"/>
    <w:rsid w:val="00A961D3"/>
    <w:rsid w:val="00AA3BD4"/>
    <w:rsid w:val="00AD32C6"/>
    <w:rsid w:val="00AE73D3"/>
    <w:rsid w:val="00B0787A"/>
    <w:rsid w:val="00B1230B"/>
    <w:rsid w:val="00B23406"/>
    <w:rsid w:val="00B37924"/>
    <w:rsid w:val="00B45EEE"/>
    <w:rsid w:val="00B5231F"/>
    <w:rsid w:val="00B6009A"/>
    <w:rsid w:val="00B66F93"/>
    <w:rsid w:val="00B70354"/>
    <w:rsid w:val="00B82374"/>
    <w:rsid w:val="00B92284"/>
    <w:rsid w:val="00BA0BF1"/>
    <w:rsid w:val="00BA24D3"/>
    <w:rsid w:val="00BA404F"/>
    <w:rsid w:val="00BB53DE"/>
    <w:rsid w:val="00BC0AED"/>
    <w:rsid w:val="00BD7C1F"/>
    <w:rsid w:val="00BF2A68"/>
    <w:rsid w:val="00C13195"/>
    <w:rsid w:val="00C33CBB"/>
    <w:rsid w:val="00C46915"/>
    <w:rsid w:val="00C524D8"/>
    <w:rsid w:val="00C54C78"/>
    <w:rsid w:val="00C55F3E"/>
    <w:rsid w:val="00C7260E"/>
    <w:rsid w:val="00C873BD"/>
    <w:rsid w:val="00CA3B3B"/>
    <w:rsid w:val="00CB038B"/>
    <w:rsid w:val="00CD1F4E"/>
    <w:rsid w:val="00CE5C8C"/>
    <w:rsid w:val="00CF1729"/>
    <w:rsid w:val="00CF6723"/>
    <w:rsid w:val="00CF72E8"/>
    <w:rsid w:val="00D077B7"/>
    <w:rsid w:val="00D20F63"/>
    <w:rsid w:val="00D224A3"/>
    <w:rsid w:val="00D3561D"/>
    <w:rsid w:val="00D45469"/>
    <w:rsid w:val="00D47CB3"/>
    <w:rsid w:val="00D74290"/>
    <w:rsid w:val="00D82225"/>
    <w:rsid w:val="00D824F7"/>
    <w:rsid w:val="00D874B9"/>
    <w:rsid w:val="00DB1514"/>
    <w:rsid w:val="00DB7601"/>
    <w:rsid w:val="00DC444C"/>
    <w:rsid w:val="00DD0923"/>
    <w:rsid w:val="00DD0E48"/>
    <w:rsid w:val="00DD3CD9"/>
    <w:rsid w:val="00DD555B"/>
    <w:rsid w:val="00E112B7"/>
    <w:rsid w:val="00E1420A"/>
    <w:rsid w:val="00E23ADA"/>
    <w:rsid w:val="00E24AB5"/>
    <w:rsid w:val="00E3122D"/>
    <w:rsid w:val="00E70F3D"/>
    <w:rsid w:val="00E72BE3"/>
    <w:rsid w:val="00E81565"/>
    <w:rsid w:val="00E9091B"/>
    <w:rsid w:val="00EA36F7"/>
    <w:rsid w:val="00EA3D8F"/>
    <w:rsid w:val="00EB2C12"/>
    <w:rsid w:val="00EC2F8F"/>
    <w:rsid w:val="00EE2E54"/>
    <w:rsid w:val="00EE7609"/>
    <w:rsid w:val="00EE7DB8"/>
    <w:rsid w:val="00F06D7D"/>
    <w:rsid w:val="00F07701"/>
    <w:rsid w:val="00F1178E"/>
    <w:rsid w:val="00F17F8C"/>
    <w:rsid w:val="00F279CF"/>
    <w:rsid w:val="00F462DB"/>
    <w:rsid w:val="00F4708F"/>
    <w:rsid w:val="00F532D6"/>
    <w:rsid w:val="00F92596"/>
    <w:rsid w:val="00FB4CDB"/>
    <w:rsid w:val="00FC1EEA"/>
    <w:rsid w:val="00FC6B84"/>
    <w:rsid w:val="00FD4A87"/>
    <w:rsid w:val="00FE3BFF"/>
    <w:rsid w:val="00FF0C61"/>
    <w:rsid w:val="02A083EB"/>
    <w:rsid w:val="065B9BF1"/>
    <w:rsid w:val="06D633D7"/>
    <w:rsid w:val="08EC642A"/>
    <w:rsid w:val="0A03700F"/>
    <w:rsid w:val="0D325E74"/>
    <w:rsid w:val="10063CC2"/>
    <w:rsid w:val="11AB4B38"/>
    <w:rsid w:val="12F67F3F"/>
    <w:rsid w:val="13635E66"/>
    <w:rsid w:val="170F62C3"/>
    <w:rsid w:val="17ADEE44"/>
    <w:rsid w:val="19C7947B"/>
    <w:rsid w:val="1AFFD4E0"/>
    <w:rsid w:val="1C9B7CED"/>
    <w:rsid w:val="1CB2891F"/>
    <w:rsid w:val="20CA2F32"/>
    <w:rsid w:val="23495A8E"/>
    <w:rsid w:val="2603C2B7"/>
    <w:rsid w:val="2706516D"/>
    <w:rsid w:val="27326031"/>
    <w:rsid w:val="2764376A"/>
    <w:rsid w:val="288E6200"/>
    <w:rsid w:val="2F9E72B0"/>
    <w:rsid w:val="3221CB6B"/>
    <w:rsid w:val="38D4BEEE"/>
    <w:rsid w:val="3F600A91"/>
    <w:rsid w:val="3F6B8E57"/>
    <w:rsid w:val="3FCC3D34"/>
    <w:rsid w:val="40C9C3F8"/>
    <w:rsid w:val="41100B63"/>
    <w:rsid w:val="41801B1D"/>
    <w:rsid w:val="446E45D9"/>
    <w:rsid w:val="44E6AD8D"/>
    <w:rsid w:val="4502CCD4"/>
    <w:rsid w:val="451ECF64"/>
    <w:rsid w:val="4772FF87"/>
    <w:rsid w:val="4BDBF0A0"/>
    <w:rsid w:val="4E713920"/>
    <w:rsid w:val="4EB6DD5E"/>
    <w:rsid w:val="55E1AC77"/>
    <w:rsid w:val="55FFCB1C"/>
    <w:rsid w:val="56B9C5E2"/>
    <w:rsid w:val="5C47EF3A"/>
    <w:rsid w:val="5C9D484E"/>
    <w:rsid w:val="5DB71116"/>
    <w:rsid w:val="5F1BE44C"/>
    <w:rsid w:val="67FEF85A"/>
    <w:rsid w:val="6B9B0D39"/>
    <w:rsid w:val="6EB99CDA"/>
    <w:rsid w:val="73659D84"/>
    <w:rsid w:val="75197F97"/>
    <w:rsid w:val="777A49A7"/>
    <w:rsid w:val="78809F74"/>
    <w:rsid w:val="7C67DB58"/>
    <w:rsid w:val="7E08488C"/>
    <w:rsid w:val="7E1BB1FB"/>
    <w:rsid w:val="7EA95301"/>
    <w:rsid w:val="7F2FCA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D906B7"/>
  <w15:chartTrackingRefBased/>
  <w15:docId w15:val="{72BF40B2-C637-4A68-A4AC-C6E7B0F6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423A"/>
  </w:style>
  <w:style w:type="paragraph" w:styleId="Heading1">
    <w:name w:val="heading 1"/>
    <w:basedOn w:val="Normal"/>
    <w:next w:val="Normal"/>
    <w:link w:val="Heading1Char"/>
    <w:uiPriority w:val="9"/>
    <w:qFormat/>
    <w:rsid w:val="00F462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F462D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462DB"/>
    <w:pPr>
      <w:outlineLvl w:val="9"/>
    </w:pPr>
  </w:style>
  <w:style w:type="paragraph" w:styleId="TOC2">
    <w:name w:val="toc 2"/>
    <w:basedOn w:val="Normal"/>
    <w:next w:val="Normal"/>
    <w:autoRedefine/>
    <w:uiPriority w:val="39"/>
    <w:unhideWhenUsed/>
    <w:rsid w:val="00F462DB"/>
    <w:pPr>
      <w:spacing w:after="100"/>
      <w:ind w:left="220"/>
    </w:pPr>
    <w:rPr>
      <w:rFonts w:eastAsiaTheme="minorEastAsia" w:cs="Times New Roman"/>
    </w:rPr>
  </w:style>
  <w:style w:type="paragraph" w:styleId="TOC1">
    <w:name w:val="toc 1"/>
    <w:basedOn w:val="Normal"/>
    <w:next w:val="Normal"/>
    <w:autoRedefine/>
    <w:uiPriority w:val="39"/>
    <w:unhideWhenUsed/>
    <w:rsid w:val="00F462DB"/>
    <w:pPr>
      <w:spacing w:after="100"/>
    </w:pPr>
    <w:rPr>
      <w:rFonts w:eastAsiaTheme="minorEastAsia" w:cs="Times New Roman"/>
    </w:rPr>
  </w:style>
  <w:style w:type="paragraph" w:styleId="TOC3">
    <w:name w:val="toc 3"/>
    <w:basedOn w:val="Normal"/>
    <w:next w:val="Normal"/>
    <w:autoRedefine/>
    <w:uiPriority w:val="39"/>
    <w:unhideWhenUsed/>
    <w:rsid w:val="00F462DB"/>
    <w:pPr>
      <w:spacing w:after="100"/>
      <w:ind w:left="440"/>
    </w:pPr>
    <w:rPr>
      <w:rFonts w:eastAsiaTheme="minorEastAsia" w:cs="Times New Roman"/>
    </w:rPr>
  </w:style>
  <w:style w:type="character" w:styleId="Hyperlink">
    <w:name w:val="Hyperlink"/>
    <w:basedOn w:val="DefaultParagraphFont"/>
    <w:uiPriority w:val="99"/>
    <w:unhideWhenUsed/>
    <w:rsid w:val="00F17F8C"/>
    <w:rPr>
      <w:color w:val="0563C1" w:themeColor="hyperlink"/>
      <w:u w:val="single"/>
    </w:rPr>
  </w:style>
  <w:style w:type="character" w:styleId="UnresolvedMention">
    <w:name w:val="Unresolved Mention"/>
    <w:basedOn w:val="DefaultParagraphFont"/>
    <w:uiPriority w:val="99"/>
    <w:semiHidden/>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qFormat/>
    <w:rsid w:val="004A4B8D"/>
    <w:pPr>
      <w:autoSpaceDE w:val="0"/>
      <w:autoSpaceDN w:val="0"/>
      <w:adjustRightInd w:val="0"/>
      <w:spacing w:after="0" w:line="240" w:lineRule="auto"/>
    </w:pPr>
    <w:rPr>
      <w:rFonts w:ascii="Swiss Roman 11pt" w:eastAsia="Times New Roman" w:hAnsi="Swiss Roman 11pt" w:cs="Swiss Roman 11pt"/>
      <w:sz w:val="24"/>
      <w:szCs w:val="24"/>
    </w:rPr>
  </w:style>
  <w:style w:type="character" w:customStyle="1" w:styleId="Level-02">
    <w:name w:val="Level-02"/>
    <w:rsid w:val="004A4B8D"/>
    <w:rPr>
      <w:sz w:val="20"/>
      <w:szCs w:val="20"/>
    </w:rPr>
  </w:style>
  <w:style w:type="paragraph" w:styleId="ListParagraph">
    <w:name w:val="List Paragraph"/>
    <w:basedOn w:val="Normal"/>
    <w:uiPriority w:val="34"/>
    <w:qFormat/>
    <w:rsid w:val="002A3B83"/>
    <w:pPr>
      <w:ind w:left="720"/>
      <w:contextualSpacing/>
    </w:pPr>
  </w:style>
  <w:style w:type="paragraph" w:customStyle="1" w:styleId="Level1">
    <w:name w:val="Level 1"/>
    <w:rsid w:val="004D4568"/>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873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3BD"/>
  </w:style>
  <w:style w:type="paragraph" w:styleId="Footer">
    <w:name w:val="footer"/>
    <w:basedOn w:val="Normal"/>
    <w:link w:val="FooterChar"/>
    <w:uiPriority w:val="99"/>
    <w:unhideWhenUsed/>
    <w:rsid w:val="00C87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3BD"/>
  </w:style>
  <w:style w:type="table" w:styleId="TableGrid">
    <w:name w:val="Table Grid"/>
    <w:basedOn w:val="TableNormal"/>
    <w:uiPriority w:val="39"/>
    <w:rsid w:val="00D45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9979F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979F7"/>
    <w:rPr>
      <w:rFonts w:ascii="Times New Roman" w:eastAsia="Times New Roman" w:hAnsi="Times New Roman" w:cs="Times New Roman"/>
      <w:sz w:val="20"/>
      <w:szCs w:val="20"/>
    </w:rPr>
  </w:style>
  <w:style w:type="character" w:styleId="FootnoteReference">
    <w:name w:val="footnote reference"/>
    <w:basedOn w:val="DefaultParagraphFont"/>
    <w:rsid w:val="009979F7"/>
    <w:rPr>
      <w:rFonts w:cs="Times New Roman"/>
      <w:vertAlign w:val="superscript"/>
    </w:rPr>
  </w:style>
  <w:style w:type="paragraph" w:customStyle="1" w:styleId="Standard">
    <w:name w:val="Standard"/>
    <w:rsid w:val="009979F7"/>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CommentReference">
    <w:name w:val="annotation reference"/>
    <w:basedOn w:val="DefaultParagraphFont"/>
    <w:uiPriority w:val="99"/>
    <w:semiHidden/>
    <w:unhideWhenUsed/>
    <w:rsid w:val="00321241"/>
    <w:rPr>
      <w:sz w:val="16"/>
      <w:szCs w:val="16"/>
    </w:rPr>
  </w:style>
  <w:style w:type="paragraph" w:styleId="CommentText">
    <w:name w:val="annotation text"/>
    <w:basedOn w:val="Normal"/>
    <w:link w:val="CommentTextChar"/>
    <w:uiPriority w:val="99"/>
    <w:unhideWhenUsed/>
    <w:rsid w:val="00321241"/>
    <w:pPr>
      <w:spacing w:line="240" w:lineRule="auto"/>
    </w:pPr>
    <w:rPr>
      <w:sz w:val="20"/>
      <w:szCs w:val="20"/>
    </w:rPr>
  </w:style>
  <w:style w:type="character" w:customStyle="1" w:styleId="CommentTextChar">
    <w:name w:val="Comment Text Char"/>
    <w:basedOn w:val="DefaultParagraphFont"/>
    <w:link w:val="CommentText"/>
    <w:uiPriority w:val="99"/>
    <w:rsid w:val="00321241"/>
    <w:rPr>
      <w:sz w:val="20"/>
      <w:szCs w:val="20"/>
    </w:rPr>
  </w:style>
  <w:style w:type="paragraph" w:styleId="CommentSubject">
    <w:name w:val="annotation subject"/>
    <w:basedOn w:val="CommentText"/>
    <w:next w:val="CommentText"/>
    <w:link w:val="CommentSubjectChar"/>
    <w:uiPriority w:val="99"/>
    <w:semiHidden/>
    <w:unhideWhenUsed/>
    <w:rsid w:val="00321241"/>
    <w:rPr>
      <w:b/>
      <w:bCs/>
    </w:rPr>
  </w:style>
  <w:style w:type="character" w:customStyle="1" w:styleId="CommentSubjectChar">
    <w:name w:val="Comment Subject Char"/>
    <w:basedOn w:val="CommentTextChar"/>
    <w:link w:val="CommentSubject"/>
    <w:uiPriority w:val="99"/>
    <w:semiHidden/>
    <w:rsid w:val="00321241"/>
    <w:rPr>
      <w:b/>
      <w:bCs/>
      <w:sz w:val="20"/>
      <w:szCs w:val="20"/>
    </w:rPr>
  </w:style>
  <w:style w:type="character" w:styleId="Mention">
    <w:name w:val="Mention"/>
    <w:basedOn w:val="DefaultParagraphFont"/>
    <w:uiPriority w:val="99"/>
    <w:unhideWhenUsed/>
    <w:rsid w:val="00BD7C1F"/>
    <w:rPr>
      <w:color w:val="2B579A"/>
      <w:shd w:val="clear" w:color="auto" w:fill="E1DFDD"/>
    </w:rPr>
  </w:style>
  <w:style w:type="paragraph" w:styleId="Revision">
    <w:name w:val="Revision"/>
    <w:hidden/>
    <w:uiPriority w:val="99"/>
    <w:semiHidden/>
    <w:rsid w:val="000F3F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2022-10-21T17:38:07+00:00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D5A6FCEC7CAE6428412A13C5A7AB639" ma:contentTypeVersion="8" ma:contentTypeDescription="Create a new document." ma:contentTypeScope="" ma:versionID="4119f6f057c739b629cd49ade2a41f67">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6316e08d-59eb-4834-a38a-0b4a1d3a2532" xmlns:ns6="e3b9e024-192f-4b11-811c-3cf166ba4edd" targetNamespace="http://schemas.microsoft.com/office/2006/metadata/properties" ma:root="true" ma:fieldsID="872317fadd669ef044225547b1de4091" ns1:_="" ns2:_="" ns3:_="" ns4:_="" ns5:_="" ns6:_="">
    <xsd:import namespace="http://schemas.microsoft.com/sharepoint/v3"/>
    <xsd:import namespace="4ffa91fb-a0ff-4ac5-b2db-65c790d184a4"/>
    <xsd:import namespace="http://schemas.microsoft.com/sharepoint.v3"/>
    <xsd:import namespace="http://schemas.microsoft.com/sharepoint/v3/fields"/>
    <xsd:import namespace="6316e08d-59eb-4834-a38a-0b4a1d3a2532"/>
    <xsd:import namespace="e3b9e024-192f-4b11-811c-3cf166ba4e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dc3375c-f01e-40fd-817e-95909d6afc3b}" ma:internalName="TaxCatchAllLabel" ma:readOnly="true" ma:showField="CatchAllDataLabel" ma:web="e3b9e024-192f-4b11-811c-3cf166ba4ed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dc3375c-f01e-40fd-817e-95909d6afc3b}" ma:internalName="TaxCatchAll" ma:showField="CatchAllData" ma:web="e3b9e024-192f-4b11-811c-3cf166ba4e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16e08d-59eb-4834-a38a-0b4a1d3a253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9e024-192f-4b11-811c-3cf166ba4edd"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7D6F3D51-2340-43DA-9B20-AF560ABB8294}">
  <ds:schemaRefs>
    <ds:schemaRef ds:uri="http://schemas.microsoft.com/sharepoint/v3/contenttype/forms"/>
  </ds:schemaRefs>
</ds:datastoreItem>
</file>

<file path=customXml/itemProps2.xml><?xml version="1.0" encoding="utf-8"?>
<ds:datastoreItem xmlns:ds="http://schemas.openxmlformats.org/officeDocument/2006/customXml" ds:itemID="{800DBACE-143B-4119-8801-00151DFA2859}">
  <ds:schemaRefs>
    <ds:schemaRef ds:uri="http://schemas.microsoft.com/office/infopath/2007/PartnerControls"/>
    <ds:schemaRef ds:uri="http://purl.org/dc/terms/"/>
    <ds:schemaRef ds:uri="4ffa91fb-a0ff-4ac5-b2db-65c790d184a4"/>
    <ds:schemaRef ds:uri="http://schemas.microsoft.com/sharepoint/v3/fields"/>
    <ds:schemaRef ds:uri="http://www.w3.org/XML/1998/namespace"/>
    <ds:schemaRef ds:uri="http://schemas.microsoft.com/sharepoint.v3"/>
    <ds:schemaRef ds:uri="6316e08d-59eb-4834-a38a-0b4a1d3a2532"/>
    <ds:schemaRef ds:uri="http://schemas.microsoft.com/office/2006/metadata/properties"/>
    <ds:schemaRef ds:uri="http://schemas.microsoft.com/office/2006/documentManagement/types"/>
    <ds:schemaRef ds:uri="http://purl.org/dc/elements/1.1/"/>
    <ds:schemaRef ds:uri="http://purl.org/dc/dcmitype/"/>
    <ds:schemaRef ds:uri="http://schemas.openxmlformats.org/package/2006/metadata/core-properties"/>
    <ds:schemaRef ds:uri="e3b9e024-192f-4b11-811c-3cf166ba4edd"/>
    <ds:schemaRef ds:uri="http://schemas.microsoft.com/sharepoint/v3"/>
  </ds:schemaRefs>
</ds:datastoreItem>
</file>

<file path=customXml/itemProps3.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4.xml><?xml version="1.0" encoding="utf-8"?>
<ds:datastoreItem xmlns:ds="http://schemas.openxmlformats.org/officeDocument/2006/customXml" ds:itemID="{347287A5-A986-477A-B4D9-865D799BD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6316e08d-59eb-4834-a38a-0b4a1d3a2532"/>
    <ds:schemaRef ds:uri="e3b9e024-192f-4b11-811c-3cf166ba4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F954FB-663A-4260-990E-6DE95F3FF3F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2104</Words>
  <Characters>11996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McGrath, Daniel</dc:creator>
  <cp:lastModifiedBy>Johnson, Amaris</cp:lastModifiedBy>
  <cp:revision>2</cp:revision>
  <cp:lastPrinted>2025-03-12T15:18:00Z</cp:lastPrinted>
  <dcterms:created xsi:type="dcterms:W3CDTF">2025-07-16T20:42:00Z</dcterms:created>
  <dcterms:modified xsi:type="dcterms:W3CDTF">2025-07-16T20:42:00Z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0x0101007D5A6FCEC7CAE6428412A13C5A7AB639</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TaxKeyword">
    <vt:lpwstr/>
  </property>
</Properties>
</file>