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15E" w:rsidRPr="00E27B3F" w:rsidP="000C115E" w14:paraId="3ECAA772" w14:textId="60320F4A">
      <w:pPr>
        <w:jc w:val="center"/>
        <w:rPr>
          <w:b/>
          <w:bCs/>
          <w:sz w:val="24"/>
        </w:rPr>
      </w:pPr>
      <w:r w:rsidRPr="00E27B3F">
        <w:rPr>
          <w:b/>
          <w:bCs/>
          <w:sz w:val="24"/>
        </w:rPr>
        <w:t>S</w:t>
      </w:r>
      <w:r w:rsidRPr="00E27B3F" w:rsidR="00E27B3F">
        <w:rPr>
          <w:b/>
          <w:bCs/>
          <w:sz w:val="24"/>
        </w:rPr>
        <w:t>upporting</w:t>
      </w:r>
      <w:r w:rsidRPr="00E27B3F">
        <w:rPr>
          <w:b/>
          <w:bCs/>
          <w:sz w:val="24"/>
        </w:rPr>
        <w:t xml:space="preserve"> S</w:t>
      </w:r>
      <w:r w:rsidRPr="00E27B3F" w:rsidR="00E27B3F">
        <w:rPr>
          <w:b/>
          <w:bCs/>
          <w:sz w:val="24"/>
        </w:rPr>
        <w:t>tatement</w:t>
      </w:r>
      <w:r w:rsidRPr="00E27B3F" w:rsidR="00FB481A">
        <w:rPr>
          <w:b/>
          <w:bCs/>
          <w:sz w:val="24"/>
        </w:rPr>
        <w:t xml:space="preserve"> A</w:t>
      </w:r>
      <w:r w:rsidRPr="00E27B3F" w:rsidR="00E27B3F">
        <w:rPr>
          <w:b/>
          <w:bCs/>
          <w:sz w:val="24"/>
        </w:rPr>
        <w:br/>
        <w:t>Federal Aviation Administration</w:t>
      </w:r>
    </w:p>
    <w:p w:rsidR="000C115E" w:rsidRPr="00E27B3F" w:rsidP="000C115E" w14:paraId="7F869C7F" w14:textId="34ED4730">
      <w:pPr>
        <w:jc w:val="center"/>
        <w:rPr>
          <w:b/>
          <w:bCs/>
          <w:sz w:val="24"/>
        </w:rPr>
      </w:pPr>
      <w:r w:rsidRPr="00E27B3F">
        <w:rPr>
          <w:b/>
          <w:bCs/>
          <w:sz w:val="24"/>
        </w:rPr>
        <w:t>D</w:t>
      </w:r>
      <w:r w:rsidRPr="00E27B3F" w:rsidR="00E27B3F">
        <w:rPr>
          <w:b/>
          <w:bCs/>
          <w:sz w:val="24"/>
        </w:rPr>
        <w:t>ealer</w:t>
      </w:r>
      <w:r w:rsidRPr="00E27B3F">
        <w:rPr>
          <w:b/>
          <w:bCs/>
          <w:sz w:val="24"/>
        </w:rPr>
        <w:t>’</w:t>
      </w:r>
      <w:r w:rsidRPr="00E27B3F" w:rsidR="00E27B3F">
        <w:rPr>
          <w:b/>
          <w:bCs/>
          <w:sz w:val="24"/>
        </w:rPr>
        <w:t>s</w:t>
      </w:r>
      <w:r w:rsidRPr="00E27B3F">
        <w:rPr>
          <w:b/>
          <w:bCs/>
          <w:sz w:val="24"/>
        </w:rPr>
        <w:t xml:space="preserve"> A</w:t>
      </w:r>
      <w:r w:rsidRPr="00E27B3F" w:rsidR="00E27B3F">
        <w:rPr>
          <w:b/>
          <w:bCs/>
          <w:sz w:val="24"/>
        </w:rPr>
        <w:t>ircraft</w:t>
      </w:r>
      <w:r w:rsidRPr="00E27B3F">
        <w:rPr>
          <w:b/>
          <w:bCs/>
          <w:sz w:val="24"/>
        </w:rPr>
        <w:t xml:space="preserve"> R</w:t>
      </w:r>
      <w:r w:rsidRPr="00E27B3F" w:rsidR="00E27B3F">
        <w:rPr>
          <w:b/>
          <w:bCs/>
          <w:sz w:val="24"/>
        </w:rPr>
        <w:t>egistration</w:t>
      </w:r>
      <w:r w:rsidRPr="00E27B3F">
        <w:rPr>
          <w:b/>
          <w:bCs/>
          <w:sz w:val="24"/>
        </w:rPr>
        <w:t xml:space="preserve"> C</w:t>
      </w:r>
      <w:r w:rsidRPr="00E27B3F" w:rsidR="00E27B3F">
        <w:rPr>
          <w:b/>
          <w:bCs/>
          <w:sz w:val="24"/>
        </w:rPr>
        <w:t>ertificate</w:t>
      </w:r>
      <w:r w:rsidRPr="00E27B3F">
        <w:rPr>
          <w:b/>
          <w:bCs/>
          <w:sz w:val="24"/>
        </w:rPr>
        <w:t xml:space="preserve"> A</w:t>
      </w:r>
      <w:r w:rsidRPr="00E27B3F" w:rsidR="00E27B3F">
        <w:rPr>
          <w:b/>
          <w:bCs/>
          <w:sz w:val="24"/>
        </w:rPr>
        <w:t>pplication</w:t>
      </w:r>
    </w:p>
    <w:p w:rsidR="007E72A0" w:rsidRPr="00E27B3F" w:rsidP="007E72A0" w14:paraId="6A2EBD67" w14:textId="77777777">
      <w:pPr>
        <w:jc w:val="center"/>
        <w:rPr>
          <w:b/>
          <w:bCs/>
          <w:sz w:val="24"/>
        </w:rPr>
      </w:pPr>
      <w:r w:rsidRPr="00E27B3F">
        <w:rPr>
          <w:b/>
          <w:bCs/>
          <w:sz w:val="24"/>
        </w:rPr>
        <w:t>OMB 2120-0024</w:t>
      </w:r>
    </w:p>
    <w:p w:rsidR="000C115E" w:rsidP="000C115E" w14:paraId="1E250FA2" w14:textId="77777777">
      <w:pPr>
        <w:jc w:val="center"/>
        <w:rPr>
          <w:sz w:val="24"/>
        </w:rPr>
      </w:pPr>
    </w:p>
    <w:p w:rsidR="003076B3" w:rsidP="003076B3" w14:paraId="529114B5" w14:textId="3DE6277F">
      <w:pPr>
        <w:rPr>
          <w:sz w:val="24"/>
        </w:rPr>
      </w:pPr>
      <w:r>
        <w:rPr>
          <w:sz w:val="24"/>
        </w:rPr>
        <w:t>*</w:t>
      </w:r>
      <w:r w:rsidRPr="003076B3">
        <w:rPr>
          <w:sz w:val="24"/>
          <w:szCs w:val="24"/>
        </w:rPr>
        <w:t xml:space="preserve"> </w:t>
      </w:r>
      <w:r w:rsidRPr="00F04356">
        <w:rPr>
          <w:sz w:val="24"/>
          <w:szCs w:val="24"/>
        </w:rPr>
        <w:t xml:space="preserve">Using BLS's Employer Costs for Employee Compensation memo released </w:t>
      </w:r>
      <w:r>
        <w:rPr>
          <w:sz w:val="24"/>
          <w:szCs w:val="24"/>
        </w:rPr>
        <w:t>March 14, 2025.</w:t>
      </w:r>
    </w:p>
    <w:p w:rsidR="000C115E" w:rsidP="000C115E" w14:paraId="0ED56CF5" w14:textId="77777777"/>
    <w:p w:rsidR="000C115E" w:rsidRPr="00C80010" w:rsidP="000C115E" w14:paraId="2CC1A1D6" w14:textId="77777777">
      <w:pPr>
        <w:rPr>
          <w:b/>
          <w:sz w:val="24"/>
        </w:rPr>
      </w:pPr>
      <w:r>
        <w:rPr>
          <w:b/>
          <w:sz w:val="24"/>
        </w:rPr>
        <w:t>1.</w:t>
      </w:r>
      <w:r w:rsidR="00D27687">
        <w:rPr>
          <w:b/>
          <w:sz w:val="24"/>
        </w:rPr>
        <w:t xml:space="preserve"> </w:t>
      </w:r>
      <w:r w:rsidRPr="00C80010">
        <w:rPr>
          <w:b/>
          <w:sz w:val="24"/>
        </w:rPr>
        <w:t xml:space="preserve">Explain the circumstances that make the collection of information necessary. </w:t>
      </w:r>
      <w:r w:rsidR="00471478">
        <w:rPr>
          <w:b/>
          <w:sz w:val="24"/>
        </w:rPr>
        <w:t>Identify any legal or administrative requirements that necessitate the collection.</w:t>
      </w:r>
      <w:r w:rsidRPr="00C80010">
        <w:rPr>
          <w:b/>
          <w:sz w:val="24"/>
        </w:rPr>
        <w:t xml:space="preserve"> </w:t>
      </w:r>
    </w:p>
    <w:p w:rsidR="000C115E" w:rsidP="000C115E" w14:paraId="1B6A5660" w14:textId="77777777">
      <w:pPr>
        <w:rPr>
          <w:sz w:val="24"/>
        </w:rPr>
      </w:pPr>
    </w:p>
    <w:p w:rsidR="000C115E" w:rsidP="000C115E" w14:paraId="59806D3A" w14:textId="229549FA">
      <w:pPr>
        <w:rPr>
          <w:sz w:val="24"/>
        </w:rPr>
      </w:pPr>
      <w:r>
        <w:rPr>
          <w:sz w:val="24"/>
        </w:rPr>
        <w:t xml:space="preserve">This information collection supports the Department of Transportation’s strategic goals </w:t>
      </w:r>
      <w:r>
        <w:rPr>
          <w:sz w:val="24"/>
        </w:rPr>
        <w:t>on</w:t>
      </w:r>
      <w:r>
        <w:rPr>
          <w:sz w:val="24"/>
        </w:rPr>
        <w:t xml:space="preserve"> safety and security.  Maintaining proper registration of aircraft is fundamental to ensure compliance with operations/airworthiness safety requirements </w:t>
      </w:r>
      <w:r w:rsidR="004B593C">
        <w:rPr>
          <w:sz w:val="24"/>
        </w:rPr>
        <w:t>to</w:t>
      </w:r>
      <w:r>
        <w:rPr>
          <w:sz w:val="24"/>
        </w:rPr>
        <w:t xml:space="preserve"> promote </w:t>
      </w:r>
      <w:r>
        <w:rPr>
          <w:sz w:val="24"/>
        </w:rPr>
        <w:t>the public</w:t>
      </w:r>
      <w:r>
        <w:rPr>
          <w:sz w:val="24"/>
        </w:rPr>
        <w:t xml:space="preserve"> health and safety by working toward the elimination of transportation-related deaths, injuries, and property damage.  Proper registration of aircraft is necessary to advance the </w:t>
      </w:r>
      <w:r>
        <w:rPr>
          <w:sz w:val="24"/>
        </w:rPr>
        <w:t>nations</w:t>
      </w:r>
      <w:r>
        <w:rPr>
          <w:sz w:val="24"/>
        </w:rPr>
        <w:t xml:space="preserve"> vital security interest in support of national strategies by ensuring that the national transportation system is secure</w:t>
      </w:r>
      <w:r w:rsidR="004B593C">
        <w:rPr>
          <w:sz w:val="24"/>
        </w:rPr>
        <w:t xml:space="preserve"> </w:t>
      </w:r>
      <w:r w:rsidRPr="004B593C" w:rsidR="004B593C">
        <w:rPr>
          <w:sz w:val="24"/>
        </w:rPr>
        <w:t>and to ensure personal accountability among all users of the National Airspace System (NAS).</w:t>
      </w:r>
    </w:p>
    <w:p w:rsidR="000C115E" w:rsidP="000C115E" w14:paraId="2EEB276F" w14:textId="77777777">
      <w:pPr>
        <w:rPr>
          <w:sz w:val="24"/>
        </w:rPr>
      </w:pPr>
    </w:p>
    <w:p w:rsidR="000C115E" w:rsidP="000C115E" w14:paraId="0E548D3E" w14:textId="77777777">
      <w:pPr>
        <w:rPr>
          <w:sz w:val="24"/>
        </w:rPr>
      </w:pPr>
      <w:r>
        <w:rPr>
          <w:sz w:val="24"/>
        </w:rPr>
        <w:t xml:space="preserve">Public Law 103-272 states that all aircraft </w:t>
      </w:r>
      <w:r w:rsidR="007E72A0">
        <w:rPr>
          <w:sz w:val="24"/>
        </w:rPr>
        <w:t xml:space="preserve">must </w:t>
      </w:r>
      <w:r>
        <w:rPr>
          <w:sz w:val="24"/>
        </w:rPr>
        <w:t xml:space="preserve">be registered before </w:t>
      </w:r>
      <w:r w:rsidR="00FB481A">
        <w:rPr>
          <w:sz w:val="24"/>
        </w:rPr>
        <w:t>being</w:t>
      </w:r>
      <w:r>
        <w:rPr>
          <w:sz w:val="24"/>
        </w:rPr>
        <w:t xml:space="preserve"> flown.  It sets forth registration eligibility requirements and provides for application for registration as well as suspension and/or revocation of registration.</w:t>
      </w:r>
    </w:p>
    <w:p w:rsidR="000C115E" w:rsidP="000C115E" w14:paraId="5CBB34AD" w14:textId="77777777">
      <w:pPr>
        <w:rPr>
          <w:sz w:val="24"/>
        </w:rPr>
      </w:pPr>
    </w:p>
    <w:p w:rsidR="000C115E" w:rsidP="000C115E" w14:paraId="14E0B0AF" w14:textId="410493FB">
      <w:pPr>
        <w:rPr>
          <w:sz w:val="24"/>
        </w:rPr>
      </w:pPr>
      <w:r>
        <w:rPr>
          <w:sz w:val="24"/>
        </w:rPr>
        <w:t>14 CFR</w:t>
      </w:r>
      <w:r>
        <w:rPr>
          <w:sz w:val="24"/>
        </w:rPr>
        <w:t xml:space="preserve"> Part 47 </w:t>
      </w:r>
      <w:r w:rsidR="0035291C">
        <w:rPr>
          <w:sz w:val="24"/>
        </w:rPr>
        <w:t>Subpart C</w:t>
      </w:r>
      <w:r w:rsidR="00C060D2">
        <w:rPr>
          <w:sz w:val="24"/>
        </w:rPr>
        <w:t xml:space="preserve"> </w:t>
      </w:r>
      <w:r w:rsidR="0035291C">
        <w:rPr>
          <w:sz w:val="24"/>
        </w:rPr>
        <w:t xml:space="preserve">describes procedures for obtaining and using a dealer’s aircraft registration certificate and </w:t>
      </w:r>
      <w:r>
        <w:rPr>
          <w:sz w:val="24"/>
        </w:rPr>
        <w:t>prescribes procedures that implement Public Law 103-272 which provides for the issuance of</w:t>
      </w:r>
      <w:r w:rsidR="0035291C">
        <w:rPr>
          <w:sz w:val="24"/>
        </w:rPr>
        <w:t xml:space="preserve"> a</w:t>
      </w:r>
      <w:r>
        <w:rPr>
          <w:sz w:val="24"/>
        </w:rPr>
        <w:t xml:space="preserve"> dealer’s aircraft registration certificate and for their use in connection with aircraft eligible </w:t>
      </w:r>
      <w:r w:rsidR="00CA70C8">
        <w:rPr>
          <w:sz w:val="24"/>
        </w:rPr>
        <w:t>for registration</w:t>
      </w:r>
      <w:r w:rsidR="0035291C">
        <w:rPr>
          <w:sz w:val="24"/>
        </w:rPr>
        <w:t xml:space="preserve"> </w:t>
      </w:r>
      <w:r>
        <w:rPr>
          <w:sz w:val="24"/>
        </w:rPr>
        <w:t xml:space="preserve">by persons engaged in manufacturing, distributing or selling aircraft.  Dealer’s certificates enable such </w:t>
      </w:r>
      <w:r>
        <w:rPr>
          <w:sz w:val="24"/>
        </w:rPr>
        <w:t>persons</w:t>
      </w:r>
      <w:r>
        <w:rPr>
          <w:sz w:val="24"/>
        </w:rPr>
        <w:t xml:space="preserve"> to fly aircraft immediately without having to go through the paperwork and expense of applying for and securing a permanent </w:t>
      </w:r>
      <w:r w:rsidR="00115BAE">
        <w:rPr>
          <w:sz w:val="24"/>
        </w:rPr>
        <w:t>a</w:t>
      </w:r>
      <w:r>
        <w:rPr>
          <w:sz w:val="24"/>
        </w:rPr>
        <w:t xml:space="preserve">ircraft </w:t>
      </w:r>
      <w:r w:rsidR="00115BAE">
        <w:rPr>
          <w:sz w:val="24"/>
        </w:rPr>
        <w:t>r</w:t>
      </w:r>
      <w:r>
        <w:rPr>
          <w:sz w:val="24"/>
        </w:rPr>
        <w:t>egistration</w:t>
      </w:r>
      <w:r w:rsidR="00CB3C23">
        <w:rPr>
          <w:sz w:val="24"/>
        </w:rPr>
        <w:t xml:space="preserve"> </w:t>
      </w:r>
      <w:r w:rsidR="00115BAE">
        <w:rPr>
          <w:sz w:val="24"/>
        </w:rPr>
        <w:t>c</w:t>
      </w:r>
      <w:r w:rsidR="00CB3C23">
        <w:rPr>
          <w:sz w:val="24"/>
        </w:rPr>
        <w:t>ertificate</w:t>
      </w:r>
      <w:r>
        <w:rPr>
          <w:sz w:val="24"/>
        </w:rPr>
        <w:t xml:space="preserve">.  </w:t>
      </w:r>
    </w:p>
    <w:p w:rsidR="000C115E" w:rsidP="000C115E" w14:paraId="0AE6E944" w14:textId="77777777">
      <w:pPr>
        <w:rPr>
          <w:sz w:val="24"/>
        </w:rPr>
      </w:pPr>
    </w:p>
    <w:p w:rsidR="000C115E" w:rsidRPr="00C80010" w:rsidP="000C115E" w14:paraId="578F9850" w14:textId="77777777">
      <w:pPr>
        <w:rPr>
          <w:b/>
          <w:sz w:val="24"/>
          <w:szCs w:val="24"/>
        </w:rPr>
      </w:pPr>
      <w:r>
        <w:rPr>
          <w:b/>
          <w:sz w:val="24"/>
          <w:szCs w:val="24"/>
        </w:rPr>
        <w:t>2.</w:t>
      </w:r>
      <w:r w:rsidR="00D27687">
        <w:rPr>
          <w:b/>
          <w:sz w:val="24"/>
          <w:szCs w:val="24"/>
        </w:rPr>
        <w:t xml:space="preserve"> </w:t>
      </w:r>
      <w:r w:rsidRPr="00C80010">
        <w:rPr>
          <w:b/>
          <w:sz w:val="24"/>
          <w:szCs w:val="24"/>
        </w:rPr>
        <w:t xml:space="preserve">Indicate how, by whom, and for what purpose the information is </w:t>
      </w:r>
      <w:r w:rsidR="00471478">
        <w:rPr>
          <w:b/>
          <w:sz w:val="24"/>
          <w:szCs w:val="24"/>
        </w:rPr>
        <w:t xml:space="preserve">to be </w:t>
      </w:r>
      <w:r w:rsidRPr="00C80010">
        <w:rPr>
          <w:b/>
          <w:sz w:val="24"/>
          <w:szCs w:val="24"/>
        </w:rPr>
        <w:t xml:space="preserve">used. </w:t>
      </w:r>
      <w:r w:rsidR="00471478">
        <w:rPr>
          <w:b/>
          <w:sz w:val="24"/>
          <w:szCs w:val="24"/>
        </w:rPr>
        <w:t>Except for a new collection, indicate the use the agency has made of the information received from the current collection.</w:t>
      </w:r>
      <w:r w:rsidRPr="00C80010">
        <w:rPr>
          <w:b/>
          <w:sz w:val="24"/>
          <w:szCs w:val="24"/>
        </w:rPr>
        <w:t xml:space="preserve"> </w:t>
      </w:r>
    </w:p>
    <w:p w:rsidR="000C115E" w:rsidP="000C115E" w14:paraId="3AD32142" w14:textId="77777777">
      <w:pPr>
        <w:rPr>
          <w:sz w:val="24"/>
          <w:szCs w:val="24"/>
        </w:rPr>
      </w:pPr>
    </w:p>
    <w:p w:rsidR="008C033F" w:rsidP="000C115E" w14:paraId="3DA13136" w14:textId="78F61C72">
      <w:pPr>
        <w:rPr>
          <w:sz w:val="24"/>
          <w:szCs w:val="24"/>
        </w:rPr>
      </w:pPr>
      <w:r>
        <w:rPr>
          <w:sz w:val="24"/>
          <w:szCs w:val="24"/>
        </w:rPr>
        <w:t>Th</w:t>
      </w:r>
      <w:r>
        <w:rPr>
          <w:sz w:val="24"/>
          <w:szCs w:val="24"/>
        </w:rPr>
        <w:t>is information co</w:t>
      </w:r>
      <w:r>
        <w:rPr>
          <w:sz w:val="24"/>
          <w:szCs w:val="24"/>
        </w:rPr>
        <w:t xml:space="preserve">llection is mandatory </w:t>
      </w:r>
      <w:r w:rsidR="00EA46BF">
        <w:rPr>
          <w:sz w:val="24"/>
          <w:szCs w:val="24"/>
        </w:rPr>
        <w:t>to</w:t>
      </w:r>
      <w:r>
        <w:rPr>
          <w:sz w:val="24"/>
          <w:szCs w:val="24"/>
        </w:rPr>
        <w:t xml:space="preserve"> obtain a Dealer’s Aircraft Registration Certificate. The Aircraft Registry collects the minimum amount of information necessary (i.e. </w:t>
      </w:r>
      <w:r w:rsidR="00EA46BF">
        <w:rPr>
          <w:sz w:val="24"/>
          <w:szCs w:val="24"/>
        </w:rPr>
        <w:t xml:space="preserve">applicant </w:t>
      </w:r>
      <w:r>
        <w:rPr>
          <w:sz w:val="24"/>
          <w:szCs w:val="24"/>
        </w:rPr>
        <w:t xml:space="preserve">name, mailing/business address, phone number, </w:t>
      </w:r>
      <w:r w:rsidR="00EA46BF">
        <w:rPr>
          <w:sz w:val="24"/>
          <w:szCs w:val="24"/>
        </w:rPr>
        <w:t xml:space="preserve">email address, </w:t>
      </w:r>
      <w:r>
        <w:rPr>
          <w:sz w:val="24"/>
          <w:szCs w:val="24"/>
        </w:rPr>
        <w:t xml:space="preserve">signature, title, date, type of business, and type of </w:t>
      </w:r>
      <w:r w:rsidR="00EA46BF">
        <w:rPr>
          <w:sz w:val="24"/>
          <w:szCs w:val="24"/>
        </w:rPr>
        <w:t>ownership</w:t>
      </w:r>
      <w:r>
        <w:rPr>
          <w:sz w:val="24"/>
          <w:szCs w:val="24"/>
        </w:rPr>
        <w:t xml:space="preserve">). </w:t>
      </w:r>
      <w:r w:rsidR="0027715D">
        <w:rPr>
          <w:sz w:val="24"/>
          <w:szCs w:val="24"/>
        </w:rPr>
        <w:t>The information collected on the Dealer’s Aircraft Registration Certificate Application, AC Form 8050-5</w:t>
      </w:r>
      <w:r w:rsidR="00D613FC">
        <w:rPr>
          <w:sz w:val="24"/>
          <w:szCs w:val="24"/>
        </w:rPr>
        <w:t>, is for an</w:t>
      </w:r>
      <w:r w:rsidR="0027715D">
        <w:rPr>
          <w:sz w:val="24"/>
          <w:szCs w:val="24"/>
        </w:rPr>
        <w:t>y individual or company engaged in manufacturing, distributing, or selling aircraft and wants to fly those aircraft with a dealer’s registration certificate instead of obtaining a certificate of aircraft registration.</w:t>
      </w:r>
      <w:r w:rsidR="000C115E">
        <w:rPr>
          <w:sz w:val="24"/>
          <w:szCs w:val="24"/>
        </w:rPr>
        <w:t xml:space="preserve">  </w:t>
      </w:r>
    </w:p>
    <w:p w:rsidR="008C033F" w:rsidP="000C115E" w14:paraId="001FCCFC" w14:textId="77777777">
      <w:pPr>
        <w:rPr>
          <w:sz w:val="24"/>
          <w:szCs w:val="24"/>
        </w:rPr>
      </w:pPr>
    </w:p>
    <w:p w:rsidR="008C033F" w:rsidP="000C115E" w14:paraId="6A13B3D4" w14:textId="2971D44D">
      <w:pPr>
        <w:rPr>
          <w:sz w:val="24"/>
          <w:szCs w:val="24"/>
        </w:rPr>
      </w:pPr>
      <w:r>
        <w:rPr>
          <w:sz w:val="24"/>
          <w:szCs w:val="24"/>
        </w:rPr>
        <w:t xml:space="preserve">The information collected is maintained in a database for recordkeeping purposes. </w:t>
      </w:r>
      <w:r w:rsidR="00CD4E28">
        <w:rPr>
          <w:sz w:val="24"/>
          <w:szCs w:val="24"/>
        </w:rPr>
        <w:t>A</w:t>
      </w:r>
      <w:r w:rsidR="0027715D">
        <w:rPr>
          <w:sz w:val="24"/>
          <w:szCs w:val="24"/>
        </w:rPr>
        <w:t xml:space="preserve"> conveyance examiner </w:t>
      </w:r>
      <w:r w:rsidR="000C115E">
        <w:rPr>
          <w:sz w:val="24"/>
          <w:szCs w:val="24"/>
        </w:rPr>
        <w:t xml:space="preserve">in the FAA </w:t>
      </w:r>
      <w:r w:rsidR="00CD4E28">
        <w:rPr>
          <w:sz w:val="24"/>
          <w:szCs w:val="24"/>
        </w:rPr>
        <w:t>Aircraft Registry reviews the application</w:t>
      </w:r>
      <w:r w:rsidR="0027715D">
        <w:rPr>
          <w:sz w:val="24"/>
          <w:szCs w:val="24"/>
        </w:rPr>
        <w:t xml:space="preserve"> to</w:t>
      </w:r>
      <w:r w:rsidR="000C115E">
        <w:rPr>
          <w:sz w:val="24"/>
          <w:szCs w:val="24"/>
        </w:rPr>
        <w:t xml:space="preserve"> </w:t>
      </w:r>
      <w:r w:rsidR="0027715D">
        <w:rPr>
          <w:sz w:val="24"/>
          <w:szCs w:val="24"/>
        </w:rPr>
        <w:t>e</w:t>
      </w:r>
      <w:r w:rsidR="000C115E">
        <w:rPr>
          <w:sz w:val="24"/>
          <w:szCs w:val="24"/>
        </w:rPr>
        <w:t xml:space="preserve">nsure it is </w:t>
      </w:r>
      <w:r w:rsidR="000C115E">
        <w:rPr>
          <w:sz w:val="24"/>
          <w:szCs w:val="24"/>
        </w:rPr>
        <w:t xml:space="preserve">complete and properly filled out.  If </w:t>
      </w:r>
      <w:r w:rsidR="0027715D">
        <w:rPr>
          <w:sz w:val="24"/>
          <w:szCs w:val="24"/>
        </w:rPr>
        <w:t>the application</w:t>
      </w:r>
      <w:r w:rsidR="000C115E">
        <w:rPr>
          <w:sz w:val="24"/>
          <w:szCs w:val="24"/>
        </w:rPr>
        <w:t xml:space="preserve"> is correct, the </w:t>
      </w:r>
      <w:r w:rsidR="00EA46BF">
        <w:rPr>
          <w:sz w:val="24"/>
          <w:szCs w:val="24"/>
        </w:rPr>
        <w:t>examiner</w:t>
      </w:r>
      <w:r w:rsidR="000C115E">
        <w:rPr>
          <w:sz w:val="24"/>
          <w:szCs w:val="24"/>
        </w:rPr>
        <w:t xml:space="preserve"> issues the number of dealer’s certificates requested and </w:t>
      </w:r>
      <w:r w:rsidR="000C115E">
        <w:rPr>
          <w:sz w:val="24"/>
          <w:szCs w:val="24"/>
        </w:rPr>
        <w:t>mail</w:t>
      </w:r>
      <w:r w:rsidR="00CA70C8">
        <w:rPr>
          <w:sz w:val="24"/>
          <w:szCs w:val="24"/>
        </w:rPr>
        <w:t>s</w:t>
      </w:r>
      <w:r w:rsidR="000C115E">
        <w:rPr>
          <w:sz w:val="24"/>
          <w:szCs w:val="24"/>
        </w:rPr>
        <w:t xml:space="preserve"> them to the dealer.  Certificates are </w:t>
      </w:r>
      <w:r w:rsidRPr="002E6D69" w:rsidR="000C115E">
        <w:rPr>
          <w:sz w:val="24"/>
          <w:szCs w:val="24"/>
        </w:rPr>
        <w:t xml:space="preserve">valid for one </w:t>
      </w:r>
      <w:r w:rsidRPr="002E6D69" w:rsidR="00EA46BF">
        <w:rPr>
          <w:sz w:val="24"/>
          <w:szCs w:val="24"/>
        </w:rPr>
        <w:t>year</w:t>
      </w:r>
      <w:r w:rsidR="00EA46BF">
        <w:rPr>
          <w:sz w:val="24"/>
          <w:szCs w:val="24"/>
        </w:rPr>
        <w:t>;</w:t>
      </w:r>
      <w:r>
        <w:rPr>
          <w:sz w:val="24"/>
          <w:szCs w:val="24"/>
        </w:rPr>
        <w:t xml:space="preserve"> therefore, a dealer must reapply each year</w:t>
      </w:r>
      <w:r w:rsidRPr="002E6D69" w:rsidR="000C115E">
        <w:rPr>
          <w:sz w:val="24"/>
          <w:szCs w:val="24"/>
        </w:rPr>
        <w:t>.</w:t>
      </w:r>
      <w:r>
        <w:rPr>
          <w:sz w:val="24"/>
          <w:szCs w:val="24"/>
        </w:rPr>
        <w:t xml:space="preserve"> As with all </w:t>
      </w:r>
      <w:r>
        <w:rPr>
          <w:sz w:val="24"/>
          <w:szCs w:val="24"/>
        </w:rPr>
        <w:t>information</w:t>
      </w:r>
      <w:r>
        <w:rPr>
          <w:sz w:val="24"/>
          <w:szCs w:val="24"/>
        </w:rPr>
        <w:t xml:space="preserve"> collected by the Aircraft Registry this information is available to the public upon request.</w:t>
      </w:r>
      <w:r w:rsidRPr="002E6D69" w:rsidR="000C115E">
        <w:rPr>
          <w:sz w:val="24"/>
          <w:szCs w:val="24"/>
        </w:rPr>
        <w:t xml:space="preserve">  </w:t>
      </w:r>
    </w:p>
    <w:p w:rsidR="008C033F" w:rsidP="000C115E" w14:paraId="004C7C7F" w14:textId="77777777">
      <w:pPr>
        <w:rPr>
          <w:sz w:val="24"/>
          <w:szCs w:val="24"/>
        </w:rPr>
      </w:pPr>
    </w:p>
    <w:p w:rsidR="00435BC7" w:rsidP="006F6A96" w14:paraId="197021A6" w14:textId="07D7D7BA">
      <w:pPr>
        <w:overflowPunct/>
        <w:autoSpaceDE/>
        <w:autoSpaceDN/>
        <w:adjustRightInd/>
        <w:spacing w:before="240" w:after="160"/>
        <w:textAlignment w:val="auto"/>
        <w:rPr>
          <w:sz w:val="24"/>
          <w:szCs w:val="24"/>
        </w:rPr>
      </w:pPr>
      <w:r w:rsidRPr="006F6A96">
        <w:rPr>
          <w:sz w:val="24"/>
          <w:szCs w:val="24"/>
        </w:rPr>
        <w:t xml:space="preserve">When CARES is fully implemented by </w:t>
      </w:r>
      <w:r w:rsidR="00E27B3F">
        <w:rPr>
          <w:sz w:val="24"/>
          <w:szCs w:val="24"/>
        </w:rPr>
        <w:t>December 1</w:t>
      </w:r>
      <w:r w:rsidRPr="006F6A96">
        <w:rPr>
          <w:sz w:val="24"/>
          <w:szCs w:val="24"/>
        </w:rPr>
        <w:t>0, 2025 (this is an estimated date and subject to change), it will streamline the way th</w:t>
      </w:r>
      <w:r>
        <w:rPr>
          <w:sz w:val="24"/>
          <w:szCs w:val="24"/>
        </w:rPr>
        <w:t>is</w:t>
      </w:r>
      <w:r w:rsidRPr="006F6A96">
        <w:rPr>
          <w:sz w:val="24"/>
          <w:szCs w:val="24"/>
        </w:rPr>
        <w:t xml:space="preserve"> form </w:t>
      </w:r>
      <w:r>
        <w:rPr>
          <w:sz w:val="24"/>
          <w:szCs w:val="24"/>
        </w:rPr>
        <w:t>is</w:t>
      </w:r>
      <w:r w:rsidRPr="006F6A96">
        <w:rPr>
          <w:sz w:val="24"/>
          <w:szCs w:val="24"/>
        </w:rPr>
        <w:t xml:space="preserve"> submitted by providing an online portal for users to submit the form electronically.  Alternatively, for public users opting to use a paper-based format, the system will send </w:t>
      </w:r>
      <w:r w:rsidRPr="006F6A96">
        <w:rPr>
          <w:sz w:val="24"/>
          <w:szCs w:val="24"/>
        </w:rPr>
        <w:t>a mail</w:t>
      </w:r>
      <w:r w:rsidRPr="006F6A96">
        <w:rPr>
          <w:sz w:val="24"/>
          <w:szCs w:val="24"/>
        </w:rPr>
        <w:t>-based notification to the user via the mailing address provided and anticipate any hardcopy forms be returned in a similar manner. The use of paper forms submitted through the mail will eventually be phased out and all customers will be required to file the forms using CARES.</w:t>
      </w:r>
      <w:r>
        <w:rPr>
          <w:sz w:val="24"/>
          <w:szCs w:val="24"/>
        </w:rPr>
        <w:t xml:space="preserve"> This form has</w:t>
      </w:r>
      <w:r w:rsidRPr="006F6A96">
        <w:rPr>
          <w:sz w:val="24"/>
          <w:szCs w:val="24"/>
        </w:rPr>
        <w:t xml:space="preserve"> been revised to collect the email address of the public user to help streamline processing in CARES. </w:t>
      </w:r>
    </w:p>
    <w:p w:rsidR="006D4103" w:rsidRPr="00C80010" w:rsidP="00435BC7" w14:paraId="245EBFCB" w14:textId="6B5AE781">
      <w:pPr>
        <w:overflowPunct/>
        <w:autoSpaceDE/>
        <w:autoSpaceDN/>
        <w:adjustRightInd/>
        <w:spacing w:after="160"/>
        <w:textAlignment w:val="auto"/>
        <w:rPr>
          <w:b/>
          <w:sz w:val="24"/>
        </w:rPr>
      </w:pPr>
      <w:r>
        <w:rPr>
          <w:b/>
          <w:sz w:val="24"/>
        </w:rPr>
        <w:t>3.</w:t>
      </w:r>
      <w:r w:rsidR="00D27687">
        <w:rPr>
          <w:b/>
          <w:sz w:val="24"/>
        </w:rPr>
        <w:t xml:space="preserve"> </w:t>
      </w:r>
      <w:r w:rsidRPr="00C80010">
        <w:rPr>
          <w:b/>
          <w:sz w:val="24"/>
        </w:rPr>
        <w:t xml:space="preserve">Describe </w:t>
      </w:r>
      <w:r w:rsidR="00471478">
        <w:rPr>
          <w:b/>
          <w:sz w:val="24"/>
        </w:rPr>
        <w:t>whether, and to what extent, the collection of information involves the use of automated, electronic, mechanical, or other technological collection techniques or other forms of information technology</w:t>
      </w:r>
      <w:r w:rsidRPr="00C80010">
        <w:rPr>
          <w:b/>
          <w:sz w:val="24"/>
        </w:rPr>
        <w:t>.</w:t>
      </w:r>
    </w:p>
    <w:p w:rsidR="006F6A96" w:rsidRPr="006F6A96" w:rsidP="006F6A96" w14:paraId="3FAF9BCB" w14:textId="32FBA6CE">
      <w:pPr>
        <w:shd w:val="clear" w:color="auto" w:fill="FFFFFF"/>
        <w:rPr>
          <w:sz w:val="24"/>
          <w:szCs w:val="24"/>
        </w:rPr>
      </w:pPr>
      <w:r w:rsidRPr="006F6A96">
        <w:rPr>
          <w:sz w:val="24"/>
          <w:szCs w:val="24"/>
        </w:rPr>
        <w:t xml:space="preserve">Currently, the public user submits information and images through the mail in a paper-based format, where the Aircraft Registry enters this information into a file that is retained in an electronic based records management system.  The Aircraft Registry maintains the records and does not affect the collection of information; collection of information must originate from each individual </w:t>
      </w:r>
      <w:r>
        <w:rPr>
          <w:sz w:val="24"/>
          <w:szCs w:val="24"/>
        </w:rPr>
        <w:t>applicant</w:t>
      </w:r>
      <w:r w:rsidRPr="006F6A96">
        <w:rPr>
          <w:sz w:val="24"/>
          <w:szCs w:val="24"/>
        </w:rPr>
        <w:t xml:space="preserve">, primarily through the paper-based submission process (i.e. USPS). In 2020, the Aircraft Registry began accepting digitally signed documents through an electronic submission email portal. Documents received through the email portal are printed </w:t>
      </w:r>
      <w:r w:rsidRPr="006F6A96">
        <w:rPr>
          <w:sz w:val="24"/>
          <w:szCs w:val="24"/>
        </w:rPr>
        <w:t>to</w:t>
      </w:r>
      <w:r w:rsidRPr="006F6A96">
        <w:rPr>
          <w:sz w:val="24"/>
          <w:szCs w:val="24"/>
        </w:rPr>
        <w:t xml:space="preserve"> a paper-based format and electronically scanned into a work packet for examination and entry into the Aircraft Registry electronic records management system.</w:t>
      </w:r>
    </w:p>
    <w:p w:rsidR="006D4103" w:rsidP="000C115E" w14:paraId="61F087B1" w14:textId="77777777">
      <w:pPr>
        <w:rPr>
          <w:sz w:val="24"/>
          <w:szCs w:val="24"/>
        </w:rPr>
      </w:pPr>
    </w:p>
    <w:p w:rsidR="006F6A96" w:rsidRPr="006F6A96" w:rsidP="006F6A96" w14:paraId="5AEB80BD" w14:textId="77777777">
      <w:pPr>
        <w:rPr>
          <w:sz w:val="24"/>
          <w:szCs w:val="24"/>
        </w:rPr>
      </w:pPr>
      <w:r w:rsidRPr="006F6A96">
        <w:rPr>
          <w:sz w:val="24"/>
          <w:szCs w:val="24"/>
        </w:rPr>
        <w:t xml:space="preserve">CARES utilizes modern Cloud services, which includes an interactive web-based portal, allowing for immediate transmission of information between the public user and the Aircraft Registry processor. This web-based portal streamlines the way </w:t>
      </w:r>
      <w:r w:rsidRPr="006F6A96">
        <w:rPr>
          <w:sz w:val="24"/>
          <w:szCs w:val="24"/>
        </w:rPr>
        <w:t>the form</w:t>
      </w:r>
      <w:r w:rsidRPr="006F6A96">
        <w:rPr>
          <w:sz w:val="24"/>
          <w:szCs w:val="24"/>
        </w:rPr>
        <w:t xml:space="preserve"> information is populated and submitted into the Aircraft Registry, while also helping to ensure that correct information is provided in full. A web-based means of submitting information allows for a more guided information exchange process (e.g., pre-populating known data, providing guidance material, client-side data validation techniques, etc.), and is expected to streamline the manner and timeframe in which the full and complete application information is provided by the public user to the Aircraft Registry office for review. Currently CARES </w:t>
      </w:r>
      <w:r w:rsidRPr="006F6A96">
        <w:rPr>
          <w:sz w:val="24"/>
          <w:szCs w:val="24"/>
        </w:rPr>
        <w:t>has</w:t>
      </w:r>
      <w:r w:rsidRPr="006F6A96">
        <w:rPr>
          <w:sz w:val="24"/>
          <w:szCs w:val="24"/>
        </w:rPr>
        <w:t xml:space="preserve"> limited capability and </w:t>
      </w:r>
      <w:r w:rsidRPr="006F6A96">
        <w:rPr>
          <w:sz w:val="24"/>
          <w:szCs w:val="24"/>
        </w:rPr>
        <w:t>allows</w:t>
      </w:r>
      <w:r w:rsidRPr="006F6A96">
        <w:rPr>
          <w:sz w:val="24"/>
          <w:szCs w:val="24"/>
        </w:rPr>
        <w:t xml:space="preserve"> users to upload their documents for submission. However, the current legacy system is still being utilized until CARES is fully implemented.</w:t>
      </w:r>
    </w:p>
    <w:p w:rsidR="006F6A96" w:rsidRPr="006F6A96" w:rsidP="006F6A96" w14:paraId="17B6C155" w14:textId="77777777">
      <w:pPr>
        <w:rPr>
          <w:sz w:val="24"/>
          <w:szCs w:val="24"/>
        </w:rPr>
      </w:pPr>
    </w:p>
    <w:p w:rsidR="00E27B3F" w:rsidRPr="00E27B3F" w:rsidP="00E27B3F" w14:paraId="1A3CFC1F" w14:textId="77777777">
      <w:pPr>
        <w:rPr>
          <w:sz w:val="24"/>
          <w:szCs w:val="24"/>
        </w:rPr>
      </w:pPr>
      <w:r w:rsidRPr="00E27B3F">
        <w:rPr>
          <w:sz w:val="24"/>
          <w:szCs w:val="24"/>
        </w:rPr>
        <w:t xml:space="preserve">CARES utilizes Login.gov to authenticate the identities of public users, ensuring compliance with the Federal Cybersecurity Requirements statutory mandate (6 USC § 1523 — Federal cybersecurity requirements, part (b)(1)(D)). This mandate directs </w:t>
      </w:r>
      <w:r w:rsidRPr="00E27B3F">
        <w:rPr>
          <w:sz w:val="24"/>
          <w:szCs w:val="24"/>
        </w:rPr>
        <w:t>agencies to implement a single sign-on trusted identity platform for individuals accessing each public website of the agency that requires user authentication. Public users must verify their identity before they are allowed to create a CARES account. Multifactor authentication is also employed during each login session to prevent identity theft. Users who fail ID verification will not be allowed to access functionalities within CARES.</w:t>
      </w:r>
    </w:p>
    <w:p w:rsidR="006F6A96" w:rsidRPr="006F6A96" w:rsidP="006F6A96" w14:paraId="45937AFA" w14:textId="77777777">
      <w:pPr>
        <w:rPr>
          <w:sz w:val="24"/>
          <w:szCs w:val="24"/>
        </w:rPr>
      </w:pPr>
    </w:p>
    <w:p w:rsidR="006F6A96" w:rsidRPr="006F6A96" w:rsidP="006F6A96" w14:paraId="45E1B278" w14:textId="77777777">
      <w:pPr>
        <w:rPr>
          <w:sz w:val="24"/>
          <w:szCs w:val="24"/>
        </w:rPr>
      </w:pPr>
      <w:r w:rsidRPr="006F6A96">
        <w:rPr>
          <w:bCs/>
          <w:sz w:val="24"/>
          <w:szCs w:val="24"/>
        </w:rPr>
        <w:t>In cases where the public user opts to mail paper-based forms to the Aircraft Registry, the CARES automation process will leverage Optical Character Recognition (OCR) and Intelligent Character Recognition (ICR) technologies to detect, extract, and analyze information provided on the paper forms. This information will then be properly formatted and imported into CARES, where it will be processed automatically, or redirected for FAA Examiner review when necessary.</w:t>
      </w:r>
      <w:r w:rsidRPr="006F6A96">
        <w:rPr>
          <w:sz w:val="24"/>
          <w:szCs w:val="24"/>
        </w:rPr>
        <w:t xml:space="preserve">  </w:t>
      </w:r>
    </w:p>
    <w:p w:rsidR="006D4103" w:rsidP="000C115E" w14:paraId="3C6FBA3A" w14:textId="77777777">
      <w:pPr>
        <w:rPr>
          <w:sz w:val="24"/>
          <w:szCs w:val="24"/>
        </w:rPr>
      </w:pPr>
    </w:p>
    <w:p w:rsidR="006F6A96" w:rsidRPr="00A70060" w:rsidP="000C115E" w14:paraId="03497442" w14:textId="77777777">
      <w:pPr>
        <w:rPr>
          <w:sz w:val="24"/>
          <w:szCs w:val="24"/>
        </w:rPr>
      </w:pPr>
    </w:p>
    <w:p w:rsidR="006D4103" w:rsidRPr="00C80010" w:rsidP="002E6D69" w14:paraId="25481784" w14:textId="77777777">
      <w:pPr>
        <w:rPr>
          <w:b/>
          <w:sz w:val="24"/>
          <w:szCs w:val="24"/>
        </w:rPr>
      </w:pPr>
      <w:r>
        <w:rPr>
          <w:b/>
          <w:sz w:val="24"/>
          <w:szCs w:val="24"/>
        </w:rPr>
        <w:t>4.</w:t>
      </w:r>
      <w:r w:rsidR="00D27687">
        <w:rPr>
          <w:b/>
          <w:sz w:val="24"/>
          <w:szCs w:val="24"/>
        </w:rPr>
        <w:t xml:space="preserve"> </w:t>
      </w:r>
      <w:r w:rsidRPr="00C80010">
        <w:rPr>
          <w:b/>
          <w:sz w:val="24"/>
          <w:szCs w:val="24"/>
        </w:rPr>
        <w:t>Describe efforts to identify duplication.  Show specifically why any similar information already available cannot be used or modified for the purpose described in Item 2</w:t>
      </w:r>
      <w:r w:rsidR="00D27687">
        <w:rPr>
          <w:b/>
          <w:sz w:val="24"/>
          <w:szCs w:val="24"/>
        </w:rPr>
        <w:t xml:space="preserve"> above</w:t>
      </w:r>
      <w:r w:rsidRPr="00C80010">
        <w:rPr>
          <w:b/>
          <w:sz w:val="24"/>
          <w:szCs w:val="24"/>
        </w:rPr>
        <w:t>.</w:t>
      </w:r>
    </w:p>
    <w:p w:rsidR="006D4103" w:rsidP="006D4103" w14:paraId="59BAF1A0" w14:textId="77777777">
      <w:pPr>
        <w:rPr>
          <w:sz w:val="24"/>
          <w:szCs w:val="24"/>
        </w:rPr>
      </w:pPr>
    </w:p>
    <w:p w:rsidR="006D4103" w:rsidP="006D4103" w14:paraId="73D47CAF" w14:textId="3083CABF">
      <w:pPr>
        <w:rPr>
          <w:sz w:val="24"/>
          <w:szCs w:val="24"/>
        </w:rPr>
      </w:pPr>
      <w:r>
        <w:rPr>
          <w:sz w:val="24"/>
          <w:szCs w:val="24"/>
        </w:rPr>
        <w:t xml:space="preserve">There is only one Aircraft Registry. </w:t>
      </w:r>
      <w:r w:rsidR="006F6A96">
        <w:rPr>
          <w:sz w:val="24"/>
          <w:szCs w:val="24"/>
        </w:rPr>
        <w:t>There is no duplication of records or record-keeping</w:t>
      </w:r>
      <w:r>
        <w:rPr>
          <w:sz w:val="24"/>
          <w:szCs w:val="24"/>
        </w:rPr>
        <w:t>.</w:t>
      </w:r>
    </w:p>
    <w:p w:rsidR="006D4103" w:rsidP="006D4103" w14:paraId="39C0458D" w14:textId="77777777">
      <w:pPr>
        <w:rPr>
          <w:sz w:val="24"/>
          <w:szCs w:val="24"/>
        </w:rPr>
      </w:pPr>
    </w:p>
    <w:p w:rsidR="006D4103" w:rsidRPr="00C80010" w:rsidP="006D4103" w14:paraId="2039155B" w14:textId="77777777">
      <w:pPr>
        <w:rPr>
          <w:b/>
          <w:sz w:val="24"/>
        </w:rPr>
      </w:pPr>
      <w:r>
        <w:rPr>
          <w:b/>
          <w:sz w:val="24"/>
        </w:rPr>
        <w:t>5.</w:t>
      </w:r>
      <w:r w:rsidR="00D27687">
        <w:rPr>
          <w:b/>
          <w:sz w:val="24"/>
        </w:rPr>
        <w:t xml:space="preserve"> </w:t>
      </w:r>
      <w:r w:rsidRPr="00C80010">
        <w:rPr>
          <w:b/>
          <w:sz w:val="24"/>
        </w:rPr>
        <w:t>If the collection of information i</w:t>
      </w:r>
      <w:r w:rsidR="00D27687">
        <w:rPr>
          <w:b/>
          <w:sz w:val="24"/>
        </w:rPr>
        <w:t>nvolves</w:t>
      </w:r>
      <w:r w:rsidRPr="00C80010">
        <w:rPr>
          <w:b/>
          <w:sz w:val="24"/>
        </w:rPr>
        <w:t xml:space="preserve"> small bus</w:t>
      </w:r>
      <w:r w:rsidR="00D27687">
        <w:rPr>
          <w:b/>
          <w:sz w:val="24"/>
        </w:rPr>
        <w:t>inesses or other small entities,</w:t>
      </w:r>
      <w:r w:rsidRPr="00C80010">
        <w:rPr>
          <w:b/>
          <w:sz w:val="24"/>
        </w:rPr>
        <w:t xml:space="preserve"> describe the methods used to minimize burden.</w:t>
      </w:r>
    </w:p>
    <w:p w:rsidR="006D4103" w:rsidP="006D4103" w14:paraId="48F50373" w14:textId="77777777">
      <w:pPr>
        <w:rPr>
          <w:sz w:val="24"/>
        </w:rPr>
      </w:pPr>
    </w:p>
    <w:p w:rsidR="006F6A96" w:rsidRPr="006F6A96" w:rsidP="006F6A96" w14:paraId="368AC1DA" w14:textId="56779643">
      <w:pPr>
        <w:rPr>
          <w:sz w:val="24"/>
          <w:szCs w:val="24"/>
        </w:rPr>
      </w:pPr>
      <w:r w:rsidRPr="006F6A96">
        <w:rPr>
          <w:sz w:val="24"/>
          <w:szCs w:val="24"/>
        </w:rPr>
        <w:t xml:space="preserve">The Aircraft Registry has reduced the burden on all respondents to the minimum amount necessary to </w:t>
      </w:r>
      <w:r>
        <w:rPr>
          <w:sz w:val="24"/>
          <w:szCs w:val="24"/>
        </w:rPr>
        <w:t>apply for a dealer certificate</w:t>
      </w:r>
      <w:r w:rsidRPr="006F6A96">
        <w:rPr>
          <w:sz w:val="24"/>
          <w:szCs w:val="24"/>
        </w:rPr>
        <w:t>.  The procedures and information required are the same for all respondents.</w:t>
      </w:r>
    </w:p>
    <w:p w:rsidR="006F6A96" w:rsidP="006D4103" w14:paraId="739105D5" w14:textId="77777777">
      <w:pPr>
        <w:rPr>
          <w:b/>
          <w:sz w:val="24"/>
          <w:szCs w:val="24"/>
        </w:rPr>
      </w:pPr>
    </w:p>
    <w:p w:rsidR="006D4103" w:rsidRPr="00C80010" w:rsidP="006D4103" w14:paraId="22A9E985" w14:textId="44CC7AD5">
      <w:pPr>
        <w:rPr>
          <w:b/>
          <w:sz w:val="24"/>
          <w:szCs w:val="24"/>
        </w:rPr>
      </w:pPr>
      <w:r w:rsidRPr="00C80010">
        <w:rPr>
          <w:b/>
          <w:sz w:val="24"/>
          <w:szCs w:val="24"/>
        </w:rPr>
        <w:t xml:space="preserve">6. Describe the </w:t>
      </w:r>
      <w:r w:rsidRPr="00C80010">
        <w:rPr>
          <w:b/>
          <w:sz w:val="24"/>
          <w:szCs w:val="24"/>
        </w:rPr>
        <w:t>consequence</w:t>
      </w:r>
      <w:r w:rsidRPr="00C80010">
        <w:rPr>
          <w:b/>
          <w:sz w:val="24"/>
          <w:szCs w:val="24"/>
        </w:rPr>
        <w:t xml:space="preserve"> </w:t>
      </w:r>
      <w:r w:rsidRPr="00C80010">
        <w:rPr>
          <w:b/>
          <w:sz w:val="24"/>
          <w:szCs w:val="24"/>
        </w:rPr>
        <w:t>to</w:t>
      </w:r>
      <w:r w:rsidRPr="00C80010">
        <w:rPr>
          <w:b/>
          <w:sz w:val="24"/>
          <w:szCs w:val="24"/>
        </w:rPr>
        <w:t xml:space="preserve"> Federal program or policy activities if the collection </w:t>
      </w:r>
      <w:r w:rsidR="00D27687">
        <w:rPr>
          <w:b/>
          <w:sz w:val="24"/>
          <w:szCs w:val="24"/>
        </w:rPr>
        <w:t>is not</w:t>
      </w:r>
      <w:r w:rsidRPr="00C80010">
        <w:rPr>
          <w:b/>
          <w:sz w:val="24"/>
          <w:szCs w:val="24"/>
        </w:rPr>
        <w:t xml:space="preserve"> conducted </w:t>
      </w:r>
      <w:r w:rsidR="00D27687">
        <w:rPr>
          <w:b/>
          <w:sz w:val="24"/>
          <w:szCs w:val="24"/>
        </w:rPr>
        <w:t xml:space="preserve">or is conducted </w:t>
      </w:r>
      <w:r w:rsidRPr="00C80010">
        <w:rPr>
          <w:b/>
          <w:sz w:val="24"/>
          <w:szCs w:val="24"/>
        </w:rPr>
        <w:t>less frequently, as well as any technical or legal obstacles to reducing burden.</w:t>
      </w:r>
    </w:p>
    <w:p w:rsidR="006D4103" w:rsidP="000C115E" w14:paraId="6B704837" w14:textId="77777777">
      <w:pPr>
        <w:rPr>
          <w:sz w:val="24"/>
          <w:szCs w:val="24"/>
        </w:rPr>
      </w:pPr>
    </w:p>
    <w:p w:rsidR="006D4103" w:rsidP="000C115E" w14:paraId="4D8F48F6" w14:textId="77777777">
      <w:pPr>
        <w:rPr>
          <w:sz w:val="24"/>
          <w:szCs w:val="24"/>
        </w:rPr>
      </w:pPr>
      <w:r>
        <w:rPr>
          <w:sz w:val="24"/>
          <w:szCs w:val="24"/>
        </w:rPr>
        <w:t>Dealer’s certificates permit short-t</w:t>
      </w:r>
      <w:r w:rsidR="00651E03">
        <w:rPr>
          <w:sz w:val="24"/>
          <w:szCs w:val="24"/>
        </w:rPr>
        <w:t>erm</w:t>
      </w:r>
      <w:r>
        <w:rPr>
          <w:sz w:val="24"/>
          <w:szCs w:val="24"/>
        </w:rPr>
        <w:t xml:space="preserve"> operation of an aircraft by a </w:t>
      </w:r>
      <w:r w:rsidR="001C4686">
        <w:rPr>
          <w:sz w:val="24"/>
          <w:szCs w:val="24"/>
        </w:rPr>
        <w:t>method, which</w:t>
      </w:r>
      <w:r>
        <w:rPr>
          <w:sz w:val="24"/>
          <w:szCs w:val="24"/>
        </w:rPr>
        <w:t xml:space="preserve"> is less restrictive and less time-consuming than obtaining a permanent </w:t>
      </w:r>
      <w:r w:rsidR="00651E03">
        <w:rPr>
          <w:sz w:val="24"/>
          <w:szCs w:val="24"/>
        </w:rPr>
        <w:t xml:space="preserve">aircraft registration </w:t>
      </w:r>
      <w:r>
        <w:rPr>
          <w:sz w:val="24"/>
          <w:szCs w:val="24"/>
        </w:rPr>
        <w:t xml:space="preserve">certificate.  </w:t>
      </w:r>
      <w:r w:rsidR="001C4686">
        <w:rPr>
          <w:sz w:val="24"/>
          <w:szCs w:val="24"/>
        </w:rPr>
        <w:t xml:space="preserve">Without </w:t>
      </w:r>
      <w:r w:rsidRPr="002E6D69" w:rsidR="0027715D">
        <w:rPr>
          <w:sz w:val="24"/>
          <w:szCs w:val="24"/>
        </w:rPr>
        <w:t xml:space="preserve">this information </w:t>
      </w:r>
      <w:r w:rsidR="001C4686">
        <w:rPr>
          <w:sz w:val="24"/>
          <w:szCs w:val="24"/>
        </w:rPr>
        <w:t>collection</w:t>
      </w:r>
      <w:r w:rsidRPr="002E6D69" w:rsidR="0027715D">
        <w:rPr>
          <w:sz w:val="24"/>
          <w:szCs w:val="24"/>
        </w:rPr>
        <w:t xml:space="preserve">, there would be no basis for </w:t>
      </w:r>
      <w:r w:rsidRPr="002E6D69" w:rsidR="0027715D">
        <w:rPr>
          <w:sz w:val="24"/>
          <w:szCs w:val="24"/>
        </w:rPr>
        <w:t>issuance</w:t>
      </w:r>
      <w:r w:rsidRPr="002E6D69" w:rsidR="0027715D">
        <w:rPr>
          <w:sz w:val="24"/>
          <w:szCs w:val="24"/>
        </w:rPr>
        <w:t xml:space="preserve"> of </w:t>
      </w:r>
      <w:r w:rsidR="0027715D">
        <w:rPr>
          <w:sz w:val="24"/>
          <w:szCs w:val="24"/>
        </w:rPr>
        <w:t xml:space="preserve">a </w:t>
      </w:r>
      <w:r w:rsidRPr="002E6D69" w:rsidR="0027715D">
        <w:rPr>
          <w:sz w:val="24"/>
          <w:szCs w:val="24"/>
        </w:rPr>
        <w:t>dealer’s ai</w:t>
      </w:r>
      <w:r w:rsidR="0027715D">
        <w:rPr>
          <w:sz w:val="24"/>
          <w:szCs w:val="24"/>
        </w:rPr>
        <w:t>rcraft registration certificate.</w:t>
      </w:r>
    </w:p>
    <w:p w:rsidR="006D4103" w:rsidP="000C115E" w14:paraId="0CEEDD43" w14:textId="77777777">
      <w:pPr>
        <w:rPr>
          <w:sz w:val="24"/>
          <w:szCs w:val="24"/>
        </w:rPr>
      </w:pPr>
    </w:p>
    <w:p w:rsidR="00D27687" w:rsidP="0031649F" w14:paraId="42AB094A" w14:textId="77777777">
      <w:pPr>
        <w:rPr>
          <w:b/>
          <w:sz w:val="24"/>
        </w:rPr>
      </w:pPr>
      <w:r>
        <w:rPr>
          <w:b/>
          <w:sz w:val="24"/>
        </w:rPr>
        <w:t xml:space="preserve">7. </w:t>
      </w:r>
      <w:r w:rsidRPr="00C80010" w:rsidR="0031649F">
        <w:rPr>
          <w:b/>
          <w:sz w:val="24"/>
        </w:rPr>
        <w:t xml:space="preserve">Explain any circumstances that </w:t>
      </w:r>
      <w:r>
        <w:rPr>
          <w:b/>
          <w:sz w:val="24"/>
        </w:rPr>
        <w:t xml:space="preserve">would cause an information </w:t>
      </w:r>
      <w:r w:rsidRPr="00C80010" w:rsidR="0031649F">
        <w:rPr>
          <w:b/>
          <w:sz w:val="24"/>
        </w:rPr>
        <w:t>collection to be conducted in a manner</w:t>
      </w:r>
      <w:r>
        <w:rPr>
          <w:b/>
          <w:sz w:val="24"/>
        </w:rPr>
        <w:t>:</w:t>
      </w:r>
    </w:p>
    <w:p w:rsidR="00D27687" w:rsidRPr="00D27687" w:rsidP="00D27687" w14:paraId="36902D55" w14:textId="77777777">
      <w:pPr>
        <w:ind w:left="720"/>
        <w:rPr>
          <w:b/>
          <w:sz w:val="24"/>
        </w:rPr>
      </w:pPr>
      <w:r w:rsidRPr="00D27687">
        <w:rPr>
          <w:b/>
          <w:sz w:val="24"/>
        </w:rPr>
        <w:t>•</w:t>
      </w:r>
      <w:r>
        <w:rPr>
          <w:b/>
          <w:sz w:val="24"/>
        </w:rPr>
        <w:t xml:space="preserve"> </w:t>
      </w:r>
      <w:r w:rsidRPr="00D27687" w:rsidR="00EE7FB4">
        <w:rPr>
          <w:b/>
          <w:sz w:val="24"/>
        </w:rPr>
        <w:t>Requiring</w:t>
      </w:r>
      <w:r w:rsidRPr="00D27687">
        <w:rPr>
          <w:b/>
          <w:sz w:val="24"/>
        </w:rPr>
        <w:t xml:space="preserve"> respondents to report information to the agency more often than </w:t>
      </w:r>
      <w:r w:rsidRPr="00D27687">
        <w:rPr>
          <w:b/>
          <w:sz w:val="24"/>
        </w:rPr>
        <w:t>quarterly;</w:t>
      </w:r>
    </w:p>
    <w:p w:rsidR="00D27687" w:rsidRPr="00D27687" w:rsidP="00D27687" w14:paraId="5427DA5D" w14:textId="77777777">
      <w:pPr>
        <w:ind w:left="720"/>
        <w:rPr>
          <w:b/>
          <w:sz w:val="24"/>
        </w:rPr>
      </w:pPr>
      <w:r w:rsidRPr="00D27687">
        <w:rPr>
          <w:b/>
          <w:sz w:val="24"/>
        </w:rPr>
        <w:t>•</w:t>
      </w:r>
      <w:r>
        <w:rPr>
          <w:b/>
          <w:sz w:val="24"/>
        </w:rPr>
        <w:t xml:space="preserve"> </w:t>
      </w:r>
      <w:r w:rsidRPr="00D27687">
        <w:rPr>
          <w:b/>
          <w:sz w:val="24"/>
        </w:rPr>
        <w:t>requiring</w:t>
      </w:r>
      <w:r w:rsidRPr="00D27687">
        <w:rPr>
          <w:b/>
          <w:sz w:val="24"/>
        </w:rPr>
        <w:t xml:space="preserve"> respondents to prepare a written response to a collection of information in fewer than 30 days after receipt of </w:t>
      </w:r>
      <w:r w:rsidRPr="00D27687">
        <w:rPr>
          <w:b/>
          <w:sz w:val="24"/>
        </w:rPr>
        <w:t>it;</w:t>
      </w:r>
    </w:p>
    <w:p w:rsidR="00D27687" w:rsidRPr="00D27687" w:rsidP="00D27687" w14:paraId="17F0FC60" w14:textId="77777777">
      <w:pPr>
        <w:ind w:left="720"/>
        <w:rPr>
          <w:b/>
          <w:sz w:val="24"/>
        </w:rPr>
      </w:pPr>
      <w:r w:rsidRPr="00D27687">
        <w:rPr>
          <w:b/>
          <w:sz w:val="24"/>
        </w:rPr>
        <w:t>•</w:t>
      </w:r>
      <w:r>
        <w:rPr>
          <w:b/>
          <w:sz w:val="24"/>
        </w:rPr>
        <w:t xml:space="preserve"> </w:t>
      </w:r>
      <w:r w:rsidRPr="00D27687">
        <w:rPr>
          <w:b/>
          <w:sz w:val="24"/>
        </w:rPr>
        <w:t xml:space="preserve">requiring respondents to submit more than an original and two copies of any document; requiring respondents to retain records, other than health, medical, government contract, grant-in-aid, or tax records, for more than three </w:t>
      </w:r>
      <w:r w:rsidRPr="00D27687">
        <w:rPr>
          <w:b/>
          <w:sz w:val="24"/>
        </w:rPr>
        <w:t>years;</w:t>
      </w:r>
    </w:p>
    <w:p w:rsidR="00D27687" w:rsidRPr="00D27687" w:rsidP="00D27687" w14:paraId="130EB982" w14:textId="77777777">
      <w:pPr>
        <w:ind w:left="720"/>
        <w:rPr>
          <w:b/>
          <w:sz w:val="24"/>
        </w:rPr>
      </w:pPr>
      <w:r w:rsidRPr="00D27687">
        <w:rPr>
          <w:b/>
          <w:sz w:val="24"/>
        </w:rPr>
        <w:t>•</w:t>
      </w:r>
      <w:r>
        <w:rPr>
          <w:b/>
          <w:sz w:val="24"/>
        </w:rPr>
        <w:t xml:space="preserve"> </w:t>
      </w:r>
      <w:r w:rsidRPr="00D27687" w:rsidR="00EE7FB4">
        <w:rPr>
          <w:b/>
          <w:sz w:val="24"/>
        </w:rPr>
        <w:t>In</w:t>
      </w:r>
      <w:r w:rsidRPr="00D27687">
        <w:rPr>
          <w:b/>
          <w:sz w:val="24"/>
        </w:rPr>
        <w:t xml:space="preserve"> connection with a statistical survey, that is not designed to produce valid and reliable results that can be generalized to the universe of </w:t>
      </w:r>
      <w:r w:rsidRPr="00D27687">
        <w:rPr>
          <w:b/>
          <w:sz w:val="24"/>
        </w:rPr>
        <w:t>study;</w:t>
      </w:r>
    </w:p>
    <w:p w:rsidR="00D27687" w:rsidRPr="00D27687" w:rsidP="00D27687" w14:paraId="36EF6068" w14:textId="77777777">
      <w:pPr>
        <w:ind w:left="720"/>
        <w:rPr>
          <w:b/>
          <w:sz w:val="24"/>
        </w:rPr>
      </w:pPr>
      <w:r w:rsidRPr="00D27687">
        <w:rPr>
          <w:b/>
          <w:sz w:val="24"/>
        </w:rPr>
        <w:t>•</w:t>
      </w:r>
      <w:r>
        <w:rPr>
          <w:b/>
          <w:sz w:val="24"/>
        </w:rPr>
        <w:t xml:space="preserve"> </w:t>
      </w:r>
      <w:r w:rsidRPr="00D27687">
        <w:rPr>
          <w:b/>
          <w:sz w:val="24"/>
        </w:rPr>
        <w:t xml:space="preserve">requiring the use of a statistical data classification that has not been reviewed and approved by </w:t>
      </w:r>
      <w:r w:rsidRPr="00D27687">
        <w:rPr>
          <w:b/>
          <w:sz w:val="24"/>
        </w:rPr>
        <w:t>OMB;</w:t>
      </w:r>
    </w:p>
    <w:p w:rsidR="00D27687" w:rsidRPr="00D27687" w:rsidP="00D27687" w14:paraId="185247C1" w14:textId="77777777">
      <w:pPr>
        <w:ind w:left="720"/>
        <w:rPr>
          <w:b/>
          <w:sz w:val="24"/>
        </w:rPr>
      </w:pPr>
      <w:r w:rsidRPr="00D27687">
        <w:rPr>
          <w:b/>
          <w:sz w:val="24"/>
        </w:rPr>
        <w:t>•</w:t>
      </w:r>
      <w:r>
        <w:rPr>
          <w:b/>
          <w:sz w:val="24"/>
        </w:rPr>
        <w:t xml:space="preserve"> </w:t>
      </w:r>
      <w:r w:rsidRPr="00D27687">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7687" w:rsidRPr="00C80010" w:rsidP="00D27687" w14:paraId="27978604" w14:textId="77777777">
      <w:pPr>
        <w:ind w:left="720"/>
        <w:rPr>
          <w:b/>
          <w:sz w:val="24"/>
        </w:rPr>
      </w:pPr>
      <w:r w:rsidRPr="00D27687">
        <w:rPr>
          <w:b/>
          <w:sz w:val="24"/>
        </w:rPr>
        <w:t>•</w:t>
      </w:r>
      <w:r>
        <w:rPr>
          <w:b/>
          <w:sz w:val="24"/>
        </w:rPr>
        <w:t xml:space="preserve"> </w:t>
      </w:r>
      <w:r w:rsidRPr="00D27687">
        <w:rPr>
          <w:b/>
          <w:sz w:val="24"/>
        </w:rPr>
        <w:t>requiring respondents to submit proprietary trade secrets, or other confidential information unless the agency can demonstrate that it has instituted procedures to protect the information's confidentiality to the extent permitted by law.</w:t>
      </w:r>
    </w:p>
    <w:p w:rsidR="0031649F" w:rsidP="0031649F" w14:paraId="7AFD0531" w14:textId="77777777">
      <w:pPr>
        <w:rPr>
          <w:sz w:val="24"/>
        </w:rPr>
      </w:pPr>
    </w:p>
    <w:p w:rsidR="006D4103" w:rsidP="000C115E" w14:paraId="57BD1C6A" w14:textId="3741C7A0">
      <w:pPr>
        <w:rPr>
          <w:sz w:val="24"/>
          <w:szCs w:val="24"/>
        </w:rPr>
      </w:pPr>
      <w:r>
        <w:rPr>
          <w:sz w:val="24"/>
          <w:szCs w:val="24"/>
        </w:rPr>
        <w:t xml:space="preserve">Anyone applying for a dealer certificate </w:t>
      </w:r>
      <w:r w:rsidR="006F6A96">
        <w:rPr>
          <w:sz w:val="24"/>
          <w:szCs w:val="24"/>
        </w:rPr>
        <w:t>submits</w:t>
      </w:r>
      <w:r>
        <w:rPr>
          <w:sz w:val="24"/>
          <w:szCs w:val="24"/>
        </w:rPr>
        <w:t xml:space="preserve"> the original application to the Aircraft Registry. A dealer’s certificate is good for one year from issuance; therefore, the information is collected on an annual basis unless the certificate is not renewed. No proprietary or confidential information is collected.</w:t>
      </w:r>
    </w:p>
    <w:p w:rsidR="0031649F" w:rsidP="000C115E" w14:paraId="0CF7F2D7" w14:textId="77777777">
      <w:pPr>
        <w:rPr>
          <w:sz w:val="24"/>
          <w:szCs w:val="24"/>
        </w:rPr>
      </w:pPr>
    </w:p>
    <w:p w:rsidR="0031649F" w:rsidRPr="00E17CA9" w:rsidP="0031649F" w14:paraId="1F2BDDE7" w14:textId="77777777">
      <w:pPr>
        <w:rPr>
          <w:b/>
          <w:sz w:val="24"/>
        </w:rPr>
      </w:pPr>
      <w:r>
        <w:rPr>
          <w:b/>
          <w:sz w:val="24"/>
        </w:rPr>
        <w:t xml:space="preserve">8. </w:t>
      </w:r>
      <w:r w:rsidRPr="00D27687">
        <w:rPr>
          <w:b/>
          <w:bCs/>
          <w:sz w:val="24"/>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D27687">
        <w:rPr>
          <w:b/>
          <w:bCs/>
          <w:sz w:val="24"/>
        </w:rPr>
        <w:t>persons</w:t>
      </w:r>
      <w:r w:rsidRPr="00D27687">
        <w:rPr>
          <w:b/>
          <w:bCs/>
          <w:sz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31649F" w:rsidP="000C115E" w14:paraId="70EC9871" w14:textId="77777777">
      <w:pPr>
        <w:rPr>
          <w:sz w:val="24"/>
          <w:szCs w:val="24"/>
        </w:rPr>
      </w:pPr>
    </w:p>
    <w:p w:rsidR="0031649F" w:rsidRPr="00AB670D" w:rsidP="000C115E" w14:paraId="3FA129BA" w14:textId="6EC223EB">
      <w:r w:rsidRPr="00AB670D">
        <w:rPr>
          <w:sz w:val="24"/>
          <w:szCs w:val="24"/>
        </w:rPr>
        <w:t xml:space="preserve">A </w:t>
      </w:r>
      <w:r w:rsidR="006D4EA0">
        <w:rPr>
          <w:sz w:val="24"/>
          <w:szCs w:val="24"/>
        </w:rPr>
        <w:t>60-day comment period was published on (</w:t>
      </w:r>
      <w:r w:rsidR="00843144">
        <w:rPr>
          <w:sz w:val="24"/>
          <w:szCs w:val="24"/>
        </w:rPr>
        <w:t>June 24, 2025</w:t>
      </w:r>
      <w:r w:rsidR="006D4EA0">
        <w:rPr>
          <w:sz w:val="24"/>
          <w:szCs w:val="24"/>
        </w:rPr>
        <w:t>)</w:t>
      </w:r>
      <w:r w:rsidR="00843144">
        <w:rPr>
          <w:sz w:val="24"/>
          <w:szCs w:val="24"/>
        </w:rPr>
        <w:t xml:space="preserve"> </w:t>
      </w:r>
      <w:r w:rsidR="005A0796">
        <w:rPr>
          <w:sz w:val="24"/>
          <w:szCs w:val="24"/>
        </w:rPr>
        <w:t>(</w:t>
      </w:r>
      <w:r w:rsidR="00843144">
        <w:rPr>
          <w:sz w:val="24"/>
          <w:szCs w:val="24"/>
        </w:rPr>
        <w:t>90</w:t>
      </w:r>
      <w:r w:rsidRPr="00AB670D" w:rsidR="00C92101">
        <w:rPr>
          <w:sz w:val="24"/>
          <w:szCs w:val="24"/>
        </w:rPr>
        <w:t xml:space="preserve"> FR </w:t>
      </w:r>
      <w:r w:rsidR="00843144">
        <w:rPr>
          <w:sz w:val="24"/>
          <w:szCs w:val="24"/>
        </w:rPr>
        <w:t>26899</w:t>
      </w:r>
      <w:r w:rsidRPr="00AB670D">
        <w:rPr>
          <w:sz w:val="24"/>
          <w:szCs w:val="24"/>
        </w:rPr>
        <w:t>) solicited public com</w:t>
      </w:r>
      <w:r w:rsidR="00AB670D">
        <w:rPr>
          <w:sz w:val="24"/>
          <w:szCs w:val="24"/>
        </w:rPr>
        <w:t xml:space="preserve">ment. </w:t>
      </w:r>
      <w:r w:rsidR="006D4EA0">
        <w:rPr>
          <w:sz w:val="24"/>
          <w:szCs w:val="24"/>
        </w:rPr>
        <w:t xml:space="preserve"> No comments were received.</w:t>
      </w:r>
      <w:r w:rsidR="00F14BB2">
        <w:rPr>
          <w:sz w:val="24"/>
          <w:szCs w:val="24"/>
        </w:rPr>
        <w:br/>
      </w:r>
      <w:r w:rsidR="00F14BB2">
        <w:rPr>
          <w:sz w:val="24"/>
          <w:szCs w:val="24"/>
        </w:rPr>
        <w:br/>
      </w:r>
      <w:r w:rsidRPr="00F14BB2" w:rsidR="00F14BB2">
        <w:rPr>
          <w:sz w:val="24"/>
          <w:szCs w:val="24"/>
        </w:rPr>
        <w:t>The Aircraft Registry has an email portal whereby customers can submit any comments or suggestions at any time. Any comments or suggestions are reviewed and considered for possible improvements to the forms or processes in this collection.</w:t>
      </w:r>
    </w:p>
    <w:p w:rsidR="0031649F" w:rsidP="000C115E" w14:paraId="24CA9605" w14:textId="77777777">
      <w:pPr>
        <w:rPr>
          <w:sz w:val="24"/>
          <w:szCs w:val="24"/>
        </w:rPr>
      </w:pPr>
    </w:p>
    <w:p w:rsidR="0031649F" w:rsidRPr="00E17CA9" w:rsidP="00E17CA9" w14:paraId="0AEA024E" w14:textId="77777777">
      <w:pPr>
        <w:rPr>
          <w:b/>
          <w:sz w:val="24"/>
        </w:rPr>
      </w:pPr>
      <w:r>
        <w:rPr>
          <w:b/>
          <w:sz w:val="24"/>
        </w:rPr>
        <w:t xml:space="preserve"> 9. </w:t>
      </w:r>
      <w:r w:rsidRPr="00E17CA9">
        <w:rPr>
          <w:b/>
          <w:sz w:val="24"/>
        </w:rPr>
        <w:t>Explain any decision</w:t>
      </w:r>
      <w:r w:rsidR="00D27687">
        <w:rPr>
          <w:b/>
          <w:sz w:val="24"/>
        </w:rPr>
        <w:t>s</w:t>
      </w:r>
      <w:r w:rsidRPr="00E17CA9">
        <w:rPr>
          <w:b/>
          <w:sz w:val="24"/>
        </w:rPr>
        <w:t xml:space="preserve"> to provide any payment</w:t>
      </w:r>
      <w:r w:rsidR="00D27687">
        <w:rPr>
          <w:b/>
          <w:sz w:val="24"/>
        </w:rPr>
        <w:t>s</w:t>
      </w:r>
      <w:r w:rsidRPr="00E17CA9">
        <w:rPr>
          <w:b/>
          <w:sz w:val="24"/>
        </w:rPr>
        <w:t xml:space="preserve"> or </w:t>
      </w:r>
      <w:r w:rsidRPr="00E17CA9">
        <w:rPr>
          <w:b/>
          <w:sz w:val="24"/>
        </w:rPr>
        <w:t>gift</w:t>
      </w:r>
      <w:r w:rsidRPr="00E17CA9">
        <w:rPr>
          <w:b/>
          <w:sz w:val="24"/>
        </w:rPr>
        <w:t xml:space="preserve"> to respondents</w:t>
      </w:r>
      <w:r w:rsidR="00D27687">
        <w:rPr>
          <w:b/>
          <w:sz w:val="24"/>
        </w:rPr>
        <w:t>,</w:t>
      </w:r>
      <w:r w:rsidRPr="00E17CA9">
        <w:rPr>
          <w:b/>
          <w:sz w:val="24"/>
        </w:rPr>
        <w:t xml:space="preserve"> other than remuneration of contractors or grantees.</w:t>
      </w:r>
    </w:p>
    <w:p w:rsidR="0031649F" w:rsidP="0031649F" w14:paraId="4E671E8F" w14:textId="77777777">
      <w:pPr>
        <w:rPr>
          <w:sz w:val="24"/>
        </w:rPr>
      </w:pPr>
    </w:p>
    <w:p w:rsidR="0031649F" w:rsidP="0031649F" w14:paraId="650C44F0" w14:textId="0E3342C1">
      <w:pPr>
        <w:rPr>
          <w:sz w:val="24"/>
        </w:rPr>
      </w:pPr>
      <w:r>
        <w:rPr>
          <w:sz w:val="24"/>
        </w:rPr>
        <w:t>No payments or gifts were provided</w:t>
      </w:r>
      <w:r>
        <w:rPr>
          <w:sz w:val="24"/>
        </w:rPr>
        <w:t>.</w:t>
      </w:r>
    </w:p>
    <w:p w:rsidR="0031649F" w:rsidP="0031649F" w14:paraId="22BDA818" w14:textId="77777777">
      <w:pPr>
        <w:rPr>
          <w:sz w:val="24"/>
        </w:rPr>
      </w:pPr>
    </w:p>
    <w:p w:rsidR="0031649F" w:rsidRPr="00E17CA9" w:rsidP="0031649F" w14:paraId="60E672B0" w14:textId="77777777">
      <w:pPr>
        <w:rPr>
          <w:b/>
          <w:sz w:val="24"/>
        </w:rPr>
      </w:pPr>
      <w:r>
        <w:rPr>
          <w:b/>
          <w:sz w:val="24"/>
        </w:rPr>
        <w:t xml:space="preserve">10. </w:t>
      </w:r>
      <w:r w:rsidRPr="00E17CA9">
        <w:rPr>
          <w:b/>
          <w:sz w:val="24"/>
        </w:rPr>
        <w:t>Describe any assurance of confidentiality provided to respondents and the basis for assurance in statute, regulation, or agency policy</w:t>
      </w:r>
    </w:p>
    <w:p w:rsidR="0031649F" w:rsidP="000C115E" w14:paraId="03CABF34" w14:textId="77777777">
      <w:pPr>
        <w:rPr>
          <w:sz w:val="24"/>
          <w:szCs w:val="24"/>
        </w:rPr>
      </w:pPr>
    </w:p>
    <w:p w:rsidR="0031649F" w:rsidP="000C115E" w14:paraId="1415EBA2" w14:textId="5F66F0F5">
      <w:pPr>
        <w:rPr>
          <w:sz w:val="24"/>
          <w:szCs w:val="24"/>
        </w:rPr>
      </w:pPr>
      <w:r>
        <w:rPr>
          <w:sz w:val="24"/>
          <w:szCs w:val="24"/>
        </w:rPr>
        <w:t>Information collected is public information</w:t>
      </w:r>
      <w:r w:rsidR="00A83810">
        <w:rPr>
          <w:sz w:val="24"/>
          <w:szCs w:val="24"/>
        </w:rPr>
        <w:t>. There is n</w:t>
      </w:r>
      <w:r>
        <w:rPr>
          <w:sz w:val="24"/>
          <w:szCs w:val="24"/>
        </w:rPr>
        <w:t xml:space="preserve">o </w:t>
      </w:r>
      <w:r w:rsidR="006F6A96">
        <w:rPr>
          <w:sz w:val="24"/>
          <w:szCs w:val="24"/>
        </w:rPr>
        <w:t>assurance</w:t>
      </w:r>
      <w:r w:rsidR="00A83810">
        <w:rPr>
          <w:sz w:val="24"/>
          <w:szCs w:val="24"/>
        </w:rPr>
        <w:t xml:space="preserve"> of </w:t>
      </w:r>
      <w:r>
        <w:rPr>
          <w:sz w:val="24"/>
          <w:szCs w:val="24"/>
        </w:rPr>
        <w:t>confidentiality</w:t>
      </w:r>
      <w:r w:rsidR="00A83810">
        <w:rPr>
          <w:sz w:val="24"/>
          <w:szCs w:val="24"/>
        </w:rPr>
        <w:t>.</w:t>
      </w:r>
    </w:p>
    <w:p w:rsidR="00A83810" w:rsidP="000C115E" w14:paraId="27FD731B" w14:textId="77777777">
      <w:pPr>
        <w:rPr>
          <w:sz w:val="24"/>
          <w:szCs w:val="24"/>
        </w:rPr>
      </w:pPr>
    </w:p>
    <w:p w:rsidR="0031649F" w:rsidRPr="00E17CA9" w:rsidP="0031649F" w14:paraId="413590B3" w14:textId="77777777">
      <w:pPr>
        <w:rPr>
          <w:b/>
          <w:sz w:val="24"/>
        </w:rPr>
      </w:pPr>
      <w:r>
        <w:rPr>
          <w:b/>
          <w:sz w:val="24"/>
        </w:rPr>
        <w:t xml:space="preserve">11. </w:t>
      </w:r>
      <w:r w:rsidRPr="00E17CA9">
        <w:rPr>
          <w:b/>
          <w:sz w:val="24"/>
        </w:rPr>
        <w:t xml:space="preserve">Provide additional justification for any questions of a sensitive nature, such as sexual behavior and attitudes, religious beliefs, and other matters that are commonly considered private.  </w:t>
      </w:r>
    </w:p>
    <w:p w:rsidR="0031649F" w:rsidP="000C115E" w14:paraId="3EFCFE37" w14:textId="77777777">
      <w:pPr>
        <w:rPr>
          <w:sz w:val="24"/>
          <w:szCs w:val="24"/>
        </w:rPr>
      </w:pPr>
    </w:p>
    <w:p w:rsidR="006D4103" w:rsidP="000C115E" w14:paraId="0AB15FFF" w14:textId="77777777">
      <w:pPr>
        <w:rPr>
          <w:sz w:val="24"/>
          <w:szCs w:val="24"/>
        </w:rPr>
      </w:pPr>
      <w:r>
        <w:rPr>
          <w:sz w:val="24"/>
          <w:szCs w:val="24"/>
        </w:rPr>
        <w:t>There are no questions of a sensitive nature.</w:t>
      </w:r>
    </w:p>
    <w:p w:rsidR="006D4103" w:rsidP="000C115E" w14:paraId="51BC6F36" w14:textId="77777777">
      <w:pPr>
        <w:rPr>
          <w:sz w:val="24"/>
          <w:szCs w:val="24"/>
        </w:rPr>
      </w:pPr>
    </w:p>
    <w:p w:rsidR="0031649F" w:rsidP="0031649F" w14:paraId="45033F96" w14:textId="77777777">
      <w:pPr>
        <w:rPr>
          <w:b/>
          <w:sz w:val="24"/>
        </w:rPr>
      </w:pPr>
      <w:r>
        <w:rPr>
          <w:b/>
          <w:sz w:val="24"/>
        </w:rPr>
        <w:t xml:space="preserve">12. </w:t>
      </w:r>
      <w:r w:rsidRPr="00E17CA9">
        <w:rPr>
          <w:b/>
          <w:sz w:val="24"/>
        </w:rPr>
        <w:t>Provide estimate</w:t>
      </w:r>
      <w:r w:rsidR="00D27687">
        <w:rPr>
          <w:b/>
          <w:sz w:val="24"/>
        </w:rPr>
        <w:t>s</w:t>
      </w:r>
      <w:r w:rsidRPr="00E17CA9">
        <w:rPr>
          <w:b/>
          <w:sz w:val="24"/>
        </w:rPr>
        <w:t xml:space="preserve"> of the hour burden of the collection of information.</w:t>
      </w:r>
      <w:r w:rsidR="00D27687">
        <w:rPr>
          <w:b/>
          <w:sz w:val="24"/>
        </w:rPr>
        <w:t xml:space="preserve"> The statement should:</w:t>
      </w:r>
    </w:p>
    <w:p w:rsidR="00D27687" w:rsidRPr="00D27687" w:rsidP="00D27687" w14:paraId="28AB3695" w14:textId="77777777">
      <w:pPr>
        <w:ind w:left="720"/>
        <w:rPr>
          <w:b/>
          <w:sz w:val="24"/>
        </w:rPr>
      </w:pPr>
      <w:r w:rsidRPr="00D27687">
        <w:rPr>
          <w:b/>
          <w:sz w:val="24"/>
        </w:rPr>
        <w:t>•</w:t>
      </w:r>
      <w:r>
        <w:rPr>
          <w:b/>
          <w:sz w:val="24"/>
        </w:rPr>
        <w:t xml:space="preserve"> </w:t>
      </w:r>
      <w:r w:rsidRPr="00D27687">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D27687" w:rsidRPr="00E17CA9" w:rsidP="00D27687" w14:paraId="4B59CAD8" w14:textId="77777777">
      <w:pPr>
        <w:ind w:left="720"/>
        <w:rPr>
          <w:b/>
          <w:sz w:val="24"/>
        </w:rPr>
      </w:pPr>
      <w:r w:rsidRPr="00D27687">
        <w:rPr>
          <w:b/>
          <w:sz w:val="24"/>
        </w:rPr>
        <w:t>•</w:t>
      </w:r>
      <w:r>
        <w:rPr>
          <w:b/>
          <w:sz w:val="24"/>
        </w:rPr>
        <w:t xml:space="preserve"> </w:t>
      </w:r>
      <w:r w:rsidRPr="00D27687">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31649F" w:rsidP="0031649F" w14:paraId="4EC79CB4" w14:textId="77777777">
      <w:pPr>
        <w:rPr>
          <w:sz w:val="24"/>
        </w:rPr>
      </w:pPr>
    </w:p>
    <w:p w:rsidR="0031649F" w:rsidP="000C115E" w14:paraId="5AD3963B" w14:textId="35A830C9">
      <w:pPr>
        <w:rPr>
          <w:sz w:val="24"/>
          <w:szCs w:val="24"/>
        </w:rPr>
      </w:pPr>
      <w:r>
        <w:rPr>
          <w:sz w:val="24"/>
          <w:szCs w:val="24"/>
        </w:rPr>
        <w:t xml:space="preserve">The hour burden information is based on statistical information collected each fiscal year. </w:t>
      </w:r>
      <w:r w:rsidR="005A0796">
        <w:rPr>
          <w:sz w:val="24"/>
          <w:szCs w:val="24"/>
        </w:rPr>
        <w:t xml:space="preserve">In FY 2024 the Registry received </w:t>
      </w:r>
      <w:r w:rsidR="009C699B">
        <w:rPr>
          <w:sz w:val="24"/>
          <w:szCs w:val="24"/>
        </w:rPr>
        <w:t xml:space="preserve">3,453 </w:t>
      </w:r>
      <w:r w:rsidR="00C36B29">
        <w:rPr>
          <w:sz w:val="24"/>
          <w:szCs w:val="24"/>
        </w:rPr>
        <w:t xml:space="preserve">dealer </w:t>
      </w:r>
      <w:r w:rsidR="00C80010">
        <w:rPr>
          <w:sz w:val="24"/>
          <w:szCs w:val="24"/>
        </w:rPr>
        <w:t>applications</w:t>
      </w:r>
      <w:r w:rsidRPr="00171A9C">
        <w:rPr>
          <w:sz w:val="24"/>
          <w:szCs w:val="24"/>
        </w:rPr>
        <w:t xml:space="preserve">.  Each dealer </w:t>
      </w:r>
      <w:r w:rsidR="00B01D9B">
        <w:rPr>
          <w:sz w:val="24"/>
          <w:szCs w:val="24"/>
        </w:rPr>
        <w:t>should</w:t>
      </w:r>
      <w:r w:rsidRPr="00171A9C">
        <w:rPr>
          <w:sz w:val="24"/>
          <w:szCs w:val="24"/>
        </w:rPr>
        <w:t xml:space="preserve"> spend approximately </w:t>
      </w:r>
      <w:r w:rsidR="00DA07B4">
        <w:rPr>
          <w:sz w:val="24"/>
          <w:szCs w:val="24"/>
        </w:rPr>
        <w:t>30 minutes</w:t>
      </w:r>
      <w:r w:rsidRPr="00171A9C">
        <w:rPr>
          <w:sz w:val="24"/>
          <w:szCs w:val="24"/>
        </w:rPr>
        <w:t xml:space="preserve"> </w:t>
      </w:r>
      <w:r w:rsidR="00C80010">
        <w:rPr>
          <w:sz w:val="24"/>
          <w:szCs w:val="24"/>
        </w:rPr>
        <w:t>completing</w:t>
      </w:r>
      <w:r w:rsidRPr="00171A9C">
        <w:rPr>
          <w:sz w:val="24"/>
          <w:szCs w:val="24"/>
        </w:rPr>
        <w:t xml:space="preserve"> </w:t>
      </w:r>
      <w:r w:rsidRPr="00171A9C" w:rsidR="00171A9C">
        <w:rPr>
          <w:sz w:val="24"/>
          <w:szCs w:val="24"/>
        </w:rPr>
        <w:t>the</w:t>
      </w:r>
      <w:r w:rsidRPr="00171A9C">
        <w:rPr>
          <w:sz w:val="24"/>
          <w:szCs w:val="24"/>
        </w:rPr>
        <w:t xml:space="preserve"> application </w:t>
      </w:r>
      <w:r w:rsidR="00B01D9B">
        <w:rPr>
          <w:sz w:val="24"/>
          <w:szCs w:val="24"/>
        </w:rPr>
        <w:t>for a total hour b</w:t>
      </w:r>
      <w:r w:rsidR="00DA07B4">
        <w:rPr>
          <w:sz w:val="24"/>
          <w:szCs w:val="24"/>
        </w:rPr>
        <w:t xml:space="preserve">urden of </w:t>
      </w:r>
      <w:r w:rsidR="009C699B">
        <w:rPr>
          <w:sz w:val="24"/>
          <w:szCs w:val="24"/>
        </w:rPr>
        <w:t>1,727</w:t>
      </w:r>
      <w:r w:rsidR="00B01D9B">
        <w:rPr>
          <w:sz w:val="24"/>
          <w:szCs w:val="24"/>
        </w:rPr>
        <w:t xml:space="preserve"> hours.</w:t>
      </w:r>
      <w:r w:rsidR="000717C3">
        <w:rPr>
          <w:sz w:val="24"/>
          <w:szCs w:val="24"/>
        </w:rPr>
        <w:t xml:space="preserve"> </w:t>
      </w:r>
    </w:p>
    <w:p w:rsidR="0082310E" w:rsidP="000C115E" w14:paraId="02374468" w14:textId="77777777">
      <w:pPr>
        <w:rPr>
          <w:sz w:val="24"/>
          <w:szCs w:val="24"/>
        </w:rPr>
      </w:pPr>
    </w:p>
    <w:tbl>
      <w:tblPr>
        <w:tblW w:w="6176" w:type="dxa"/>
        <w:tblLook w:val="04A0"/>
      </w:tblPr>
      <w:tblGrid>
        <w:gridCol w:w="1900"/>
        <w:gridCol w:w="1118"/>
        <w:gridCol w:w="1579"/>
        <w:gridCol w:w="1579"/>
      </w:tblGrid>
      <w:tr w14:paraId="57D7B0BB" w14:textId="77777777" w:rsidTr="004D49C1">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310E" w:rsidRPr="0082310E" w:rsidP="0082310E" w14:paraId="1D47FDA2" w14:textId="77777777">
            <w:pPr>
              <w:overflowPunct/>
              <w:autoSpaceDE/>
              <w:autoSpaceDN/>
              <w:adjustRightInd/>
              <w:textAlignment w:val="auto"/>
              <w:rPr>
                <w:rFonts w:asciiTheme="minorHAnsi" w:eastAsiaTheme="minorHAnsi" w:hAnsiTheme="minorHAnsi" w:cs="Calibri"/>
                <w:color w:val="000000"/>
                <w:sz w:val="22"/>
                <w:szCs w:val="22"/>
              </w:rPr>
            </w:pPr>
            <w:r w:rsidRPr="0082310E">
              <w:rPr>
                <w:rFonts w:asciiTheme="minorHAnsi" w:eastAsiaTheme="minorHAnsi" w:hAnsiTheme="minorHAnsi" w:cs="Calibri"/>
                <w:color w:val="000000"/>
                <w:sz w:val="22"/>
                <w:szCs w:val="22"/>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82310E" w:rsidRPr="0082310E" w:rsidP="0082310E" w14:paraId="6DD9FE00"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82310E" w:rsidRPr="0082310E" w:rsidP="0082310E" w14:paraId="5EF24826"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Recordkeeping</w:t>
            </w:r>
          </w:p>
        </w:tc>
        <w:tc>
          <w:tcPr>
            <w:tcW w:w="1579" w:type="dxa"/>
            <w:tcBorders>
              <w:top w:val="single" w:sz="4" w:space="0" w:color="auto"/>
              <w:left w:val="nil"/>
              <w:bottom w:val="single" w:sz="4" w:space="0" w:color="auto"/>
              <w:right w:val="single" w:sz="4" w:space="0" w:color="auto"/>
            </w:tcBorders>
            <w:vAlign w:val="bottom"/>
          </w:tcPr>
          <w:p w:rsidR="0082310E" w:rsidRPr="0082310E" w:rsidP="0082310E" w14:paraId="0FC6C747"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Disclosure</w:t>
            </w:r>
          </w:p>
        </w:tc>
      </w:tr>
      <w:tr w14:paraId="70264BD3" w14:textId="77777777" w:rsidTr="004D49C1">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310E" w:rsidRPr="0082310E" w:rsidP="0082310E" w14:paraId="08A3C9C8"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82310E" w:rsidRPr="0082310E" w:rsidP="0082310E" w14:paraId="0E80BAF3" w14:textId="731A1DF4">
            <w:pPr>
              <w:overflowPunct/>
              <w:autoSpaceDE/>
              <w:autoSpaceDN/>
              <w:adjustRightInd/>
              <w:textAlignment w:val="auto"/>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3,</w:t>
            </w:r>
            <w:r w:rsidR="009C699B">
              <w:rPr>
                <w:rFonts w:asciiTheme="minorHAnsi" w:eastAsiaTheme="minorHAnsi" w:hAnsiTheme="minorHAnsi" w:cs="Calibri"/>
                <w:color w:val="000000"/>
                <w:sz w:val="22"/>
                <w:szCs w:val="22"/>
              </w:rPr>
              <w:t>453</w:t>
            </w:r>
          </w:p>
        </w:tc>
        <w:tc>
          <w:tcPr>
            <w:tcW w:w="1579" w:type="dxa"/>
            <w:tcBorders>
              <w:top w:val="nil"/>
              <w:left w:val="nil"/>
              <w:bottom w:val="single" w:sz="4" w:space="0" w:color="auto"/>
              <w:right w:val="single" w:sz="4" w:space="0" w:color="auto"/>
            </w:tcBorders>
            <w:shd w:val="clear" w:color="auto" w:fill="auto"/>
            <w:noWrap/>
            <w:vAlign w:val="bottom"/>
          </w:tcPr>
          <w:p w:rsidR="0082310E" w:rsidRPr="0082310E" w:rsidP="0082310E" w14:paraId="7B90C614" w14:textId="77777777">
            <w:pPr>
              <w:overflowPunct/>
              <w:autoSpaceDE/>
              <w:autoSpaceDN/>
              <w:adjustRightInd/>
              <w:textAlignment w:val="auto"/>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2310E" w:rsidRPr="0082310E" w:rsidP="0082310E" w14:paraId="7C0BEA3E" w14:textId="77777777">
            <w:pPr>
              <w:overflowPunct/>
              <w:autoSpaceDE/>
              <w:autoSpaceDN/>
              <w:adjustRightInd/>
              <w:textAlignment w:val="auto"/>
              <w:rPr>
                <w:rFonts w:asciiTheme="minorHAnsi" w:eastAsiaTheme="minorHAnsi" w:hAnsiTheme="minorHAnsi" w:cs="Calibri"/>
                <w:color w:val="000000"/>
                <w:sz w:val="22"/>
                <w:szCs w:val="22"/>
              </w:rPr>
            </w:pPr>
          </w:p>
        </w:tc>
      </w:tr>
      <w:tr w14:paraId="56B799E5" w14:textId="77777777" w:rsidTr="004D49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310E" w:rsidRPr="0082310E" w:rsidP="0082310E" w14:paraId="0837CEDF"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 of Responses</w:t>
            </w:r>
            <w:r w:rsidRPr="0082310E">
              <w:rPr>
                <w:rFonts w:asciiTheme="minorHAnsi" w:eastAsiaTheme="minorHAnsi" w:hAnsiTheme="minorHAnsi" w:cs="Calibri"/>
                <w:b/>
                <w:bCs/>
                <w:noProof/>
                <w:color w:val="000000"/>
                <w:sz w:val="22"/>
                <w:szCs w:val="22"/>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82310E" w:rsidRPr="0082310E" w:rsidP="0082310E" w14:paraId="6008062B" w14:textId="77777777">
            <w:pPr>
              <w:overflowPunct/>
              <w:autoSpaceDE/>
              <w:autoSpaceDN/>
              <w:adjustRightInd/>
              <w:textAlignment w:val="auto"/>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w:t>
            </w:r>
          </w:p>
        </w:tc>
        <w:tc>
          <w:tcPr>
            <w:tcW w:w="1579" w:type="dxa"/>
            <w:tcBorders>
              <w:top w:val="nil"/>
              <w:left w:val="nil"/>
              <w:bottom w:val="single" w:sz="4" w:space="0" w:color="auto"/>
              <w:right w:val="single" w:sz="4" w:space="0" w:color="auto"/>
            </w:tcBorders>
            <w:shd w:val="clear" w:color="auto" w:fill="auto"/>
            <w:noWrap/>
            <w:vAlign w:val="bottom"/>
          </w:tcPr>
          <w:p w:rsidR="0082310E" w:rsidRPr="0082310E" w:rsidP="0082310E" w14:paraId="2EE19290" w14:textId="77777777">
            <w:pPr>
              <w:overflowPunct/>
              <w:autoSpaceDE/>
              <w:autoSpaceDN/>
              <w:adjustRightInd/>
              <w:textAlignment w:val="auto"/>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2310E" w:rsidRPr="0082310E" w:rsidP="0082310E" w14:paraId="1EC06A38" w14:textId="77777777">
            <w:pPr>
              <w:overflowPunct/>
              <w:autoSpaceDE/>
              <w:autoSpaceDN/>
              <w:adjustRightInd/>
              <w:textAlignment w:val="auto"/>
              <w:rPr>
                <w:rFonts w:asciiTheme="minorHAnsi" w:eastAsiaTheme="minorHAnsi" w:hAnsiTheme="minorHAnsi" w:cs="Calibri"/>
                <w:color w:val="000000"/>
                <w:sz w:val="22"/>
                <w:szCs w:val="22"/>
              </w:rPr>
            </w:pPr>
          </w:p>
        </w:tc>
      </w:tr>
      <w:tr w14:paraId="216DD754" w14:textId="77777777" w:rsidTr="004D49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310E" w:rsidRPr="0082310E" w:rsidP="0082310E" w14:paraId="5C97BED5"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82310E" w:rsidRPr="0082310E" w:rsidP="0082310E" w14:paraId="4480C6A6" w14:textId="77777777">
            <w:pPr>
              <w:overflowPunct/>
              <w:autoSpaceDE/>
              <w:autoSpaceDN/>
              <w:adjustRightInd/>
              <w:textAlignment w:val="auto"/>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.5 hours</w:t>
            </w:r>
          </w:p>
        </w:tc>
        <w:tc>
          <w:tcPr>
            <w:tcW w:w="1579" w:type="dxa"/>
            <w:tcBorders>
              <w:top w:val="nil"/>
              <w:left w:val="nil"/>
              <w:bottom w:val="single" w:sz="4" w:space="0" w:color="auto"/>
              <w:right w:val="single" w:sz="4" w:space="0" w:color="auto"/>
            </w:tcBorders>
            <w:shd w:val="clear" w:color="auto" w:fill="auto"/>
            <w:noWrap/>
            <w:vAlign w:val="bottom"/>
          </w:tcPr>
          <w:p w:rsidR="0082310E" w:rsidRPr="0082310E" w:rsidP="0082310E" w14:paraId="1B519CE8" w14:textId="77777777">
            <w:pPr>
              <w:overflowPunct/>
              <w:autoSpaceDE/>
              <w:autoSpaceDN/>
              <w:adjustRightInd/>
              <w:textAlignment w:val="auto"/>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2310E" w:rsidRPr="0082310E" w:rsidP="0082310E" w14:paraId="24FD3884" w14:textId="77777777">
            <w:pPr>
              <w:overflowPunct/>
              <w:autoSpaceDE/>
              <w:autoSpaceDN/>
              <w:adjustRightInd/>
              <w:textAlignment w:val="auto"/>
              <w:rPr>
                <w:rFonts w:asciiTheme="minorHAnsi" w:eastAsiaTheme="minorHAnsi" w:hAnsiTheme="minorHAnsi" w:cs="Calibri"/>
                <w:color w:val="000000"/>
                <w:sz w:val="22"/>
                <w:szCs w:val="22"/>
              </w:rPr>
            </w:pPr>
          </w:p>
        </w:tc>
      </w:tr>
      <w:tr w14:paraId="4ED710FA" w14:textId="77777777" w:rsidTr="004D49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310E" w:rsidRPr="0082310E" w:rsidP="0082310E" w14:paraId="0DEA6DE9"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82310E" w:rsidRPr="0082310E" w:rsidP="0082310E" w14:paraId="7587468D" w14:textId="5F886B98">
            <w:pPr>
              <w:overflowPunct/>
              <w:autoSpaceDE/>
              <w:autoSpaceDN/>
              <w:adjustRightInd/>
              <w:textAlignment w:val="auto"/>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3,</w:t>
            </w:r>
            <w:r w:rsidR="009C699B">
              <w:rPr>
                <w:rFonts w:asciiTheme="minorHAnsi" w:eastAsiaTheme="minorHAnsi" w:hAnsiTheme="minorHAnsi" w:cs="Calibri"/>
                <w:color w:val="000000"/>
                <w:sz w:val="22"/>
                <w:szCs w:val="22"/>
              </w:rPr>
              <w:t>453</w:t>
            </w:r>
          </w:p>
        </w:tc>
        <w:tc>
          <w:tcPr>
            <w:tcW w:w="1579" w:type="dxa"/>
            <w:tcBorders>
              <w:top w:val="nil"/>
              <w:left w:val="nil"/>
              <w:bottom w:val="single" w:sz="4" w:space="0" w:color="auto"/>
              <w:right w:val="single" w:sz="4" w:space="0" w:color="auto"/>
            </w:tcBorders>
            <w:shd w:val="clear" w:color="auto" w:fill="auto"/>
            <w:noWrap/>
            <w:vAlign w:val="bottom"/>
          </w:tcPr>
          <w:p w:rsidR="0082310E" w:rsidRPr="0082310E" w:rsidP="0082310E" w14:paraId="61AA974A" w14:textId="77777777">
            <w:pPr>
              <w:overflowPunct/>
              <w:autoSpaceDE/>
              <w:autoSpaceDN/>
              <w:adjustRightInd/>
              <w:textAlignment w:val="auto"/>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2310E" w:rsidRPr="0082310E" w:rsidP="0082310E" w14:paraId="687AECB0" w14:textId="77777777">
            <w:pPr>
              <w:overflowPunct/>
              <w:autoSpaceDE/>
              <w:autoSpaceDN/>
              <w:adjustRightInd/>
              <w:textAlignment w:val="auto"/>
              <w:rPr>
                <w:rFonts w:asciiTheme="minorHAnsi" w:eastAsiaTheme="minorHAnsi" w:hAnsiTheme="minorHAnsi" w:cs="Calibri"/>
                <w:color w:val="000000"/>
                <w:sz w:val="22"/>
                <w:szCs w:val="22"/>
              </w:rPr>
            </w:pPr>
          </w:p>
        </w:tc>
      </w:tr>
      <w:tr w14:paraId="741E8145" w14:textId="77777777" w:rsidTr="004D49C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82310E" w:rsidRPr="0082310E" w:rsidP="0082310E" w14:paraId="2BB31605" w14:textId="77777777">
            <w:pPr>
              <w:overflowPunct/>
              <w:autoSpaceDE/>
              <w:autoSpaceDN/>
              <w:adjustRightInd/>
              <w:textAlignment w:val="auto"/>
              <w:rPr>
                <w:rFonts w:asciiTheme="minorHAnsi" w:eastAsiaTheme="minorHAnsi" w:hAnsiTheme="minorHAnsi" w:cs="Calibri"/>
                <w:b/>
                <w:bCs/>
                <w:color w:val="000000"/>
                <w:sz w:val="22"/>
                <w:szCs w:val="22"/>
              </w:rPr>
            </w:pPr>
            <w:r w:rsidRPr="0082310E">
              <w:rPr>
                <w:rFonts w:asciiTheme="minorHAnsi" w:eastAsiaTheme="minorHAnsi" w:hAnsiTheme="minorHAnsi" w:cs="Calibri"/>
                <w:b/>
                <w:bCs/>
                <w:color w:val="000000"/>
                <w:sz w:val="22"/>
                <w:szCs w:val="22"/>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82310E" w:rsidRPr="0082310E" w:rsidP="0082310E" w14:paraId="1060976F" w14:textId="113A02C4">
            <w:pPr>
              <w:overflowPunct/>
              <w:autoSpaceDE/>
              <w:autoSpaceDN/>
              <w:adjustRightInd/>
              <w:textAlignment w:val="auto"/>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w:t>
            </w:r>
            <w:r w:rsidR="009C699B">
              <w:rPr>
                <w:rFonts w:asciiTheme="minorHAnsi" w:eastAsiaTheme="minorHAnsi" w:hAnsiTheme="minorHAnsi" w:cs="Calibri"/>
                <w:color w:val="000000"/>
                <w:sz w:val="22"/>
                <w:szCs w:val="22"/>
              </w:rPr>
              <w:t>727</w:t>
            </w:r>
          </w:p>
        </w:tc>
        <w:tc>
          <w:tcPr>
            <w:tcW w:w="1579" w:type="dxa"/>
            <w:tcBorders>
              <w:top w:val="nil"/>
              <w:left w:val="nil"/>
              <w:bottom w:val="single" w:sz="4" w:space="0" w:color="auto"/>
              <w:right w:val="single" w:sz="4" w:space="0" w:color="auto"/>
            </w:tcBorders>
            <w:shd w:val="clear" w:color="auto" w:fill="auto"/>
            <w:noWrap/>
            <w:vAlign w:val="bottom"/>
          </w:tcPr>
          <w:p w:rsidR="0082310E" w:rsidRPr="0082310E" w:rsidP="0082310E" w14:paraId="649E3A17" w14:textId="77777777">
            <w:pPr>
              <w:overflowPunct/>
              <w:autoSpaceDE/>
              <w:autoSpaceDN/>
              <w:adjustRightInd/>
              <w:textAlignment w:val="auto"/>
              <w:rPr>
                <w:rFonts w:asciiTheme="minorHAnsi" w:eastAsiaTheme="minorHAnsi" w:hAnsiTheme="minorHAnsi" w:cs="Calibri"/>
                <w:color w:val="000000"/>
                <w:sz w:val="22"/>
                <w:szCs w:val="22"/>
              </w:rPr>
            </w:pPr>
          </w:p>
        </w:tc>
        <w:tc>
          <w:tcPr>
            <w:tcW w:w="1579" w:type="dxa"/>
            <w:tcBorders>
              <w:top w:val="nil"/>
              <w:left w:val="nil"/>
              <w:bottom w:val="single" w:sz="4" w:space="0" w:color="auto"/>
              <w:right w:val="single" w:sz="4" w:space="0" w:color="auto"/>
            </w:tcBorders>
          </w:tcPr>
          <w:p w:rsidR="0082310E" w:rsidRPr="0082310E" w:rsidP="0082310E" w14:paraId="25276A1C" w14:textId="77777777">
            <w:pPr>
              <w:overflowPunct/>
              <w:autoSpaceDE/>
              <w:autoSpaceDN/>
              <w:adjustRightInd/>
              <w:textAlignment w:val="auto"/>
              <w:rPr>
                <w:rFonts w:asciiTheme="minorHAnsi" w:eastAsiaTheme="minorHAnsi" w:hAnsiTheme="minorHAnsi" w:cs="Calibri"/>
                <w:color w:val="000000"/>
                <w:sz w:val="22"/>
                <w:szCs w:val="22"/>
              </w:rPr>
            </w:pPr>
          </w:p>
        </w:tc>
      </w:tr>
    </w:tbl>
    <w:p w:rsidR="0082310E" w:rsidP="000C115E" w14:paraId="515230BF" w14:textId="34C04A72">
      <w:pPr>
        <w:rPr>
          <w:sz w:val="24"/>
          <w:szCs w:val="24"/>
        </w:rPr>
      </w:pPr>
    </w:p>
    <w:p w:rsidR="00B57133" w:rsidP="00B57133" w14:paraId="30DB473A" w14:textId="3FC3A1AB">
      <w:pPr>
        <w:tabs>
          <w:tab w:val="left" w:pos="-720"/>
        </w:tabs>
        <w:suppressAutoHyphens/>
        <w:overflowPunct/>
        <w:autoSpaceDE/>
        <w:autoSpaceDN/>
        <w:adjustRightInd/>
        <w:textAlignment w:val="auto"/>
        <w:rPr>
          <w:bCs/>
          <w:sz w:val="24"/>
        </w:rPr>
      </w:pPr>
      <w:r w:rsidRPr="00F04356">
        <w:rPr>
          <w:sz w:val="24"/>
          <w:szCs w:val="24"/>
        </w:rPr>
        <w:t xml:space="preserve">Based upon the U.S. Bureau of Labor Statistics Occupational Handbook the estimated median wage for a </w:t>
      </w:r>
      <w:r w:rsidR="005037D5">
        <w:rPr>
          <w:sz w:val="24"/>
          <w:szCs w:val="24"/>
        </w:rPr>
        <w:t xml:space="preserve">Manufacturing Sales Representative </w:t>
      </w:r>
      <w:r w:rsidRPr="00F04356">
        <w:rPr>
          <w:sz w:val="24"/>
          <w:szCs w:val="24"/>
        </w:rPr>
        <w:t>is $</w:t>
      </w:r>
      <w:r w:rsidR="00F63ADA">
        <w:rPr>
          <w:sz w:val="24"/>
          <w:szCs w:val="24"/>
        </w:rPr>
        <w:t>35.13</w:t>
      </w:r>
      <w:r w:rsidRPr="00F04356">
        <w:rPr>
          <w:sz w:val="24"/>
          <w:szCs w:val="24"/>
        </w:rPr>
        <w:t xml:space="preserve"> per hour.</w:t>
      </w:r>
      <w:r>
        <w:rPr>
          <w:rStyle w:val="FootnoteReference"/>
          <w:sz w:val="24"/>
          <w:szCs w:val="24"/>
        </w:rPr>
        <w:footnoteReference w:id="2"/>
      </w:r>
      <w:r w:rsidRPr="00F04356">
        <w:rPr>
          <w:sz w:val="24"/>
          <w:szCs w:val="24"/>
        </w:rPr>
        <w:t xml:space="preserve"> Using BLS's </w:t>
      </w:r>
      <w:r w:rsidRPr="00F04356">
        <w:rPr>
          <w:sz w:val="24"/>
          <w:szCs w:val="24"/>
        </w:rPr>
        <w:t xml:space="preserve">Employer Costs for Employee Compensation memo released </w:t>
      </w:r>
      <w:r w:rsidR="00F63ADA">
        <w:rPr>
          <w:sz w:val="24"/>
          <w:szCs w:val="24"/>
        </w:rPr>
        <w:t>March 14, 2025</w:t>
      </w:r>
      <w:r w:rsidRPr="00F04356">
        <w:rPr>
          <w:sz w:val="24"/>
          <w:szCs w:val="24"/>
        </w:rPr>
        <w:t>,</w:t>
      </w:r>
      <w:r>
        <w:rPr>
          <w:rStyle w:val="FootnoteReference"/>
          <w:sz w:val="24"/>
          <w:szCs w:val="24"/>
        </w:rPr>
        <w:footnoteReference w:id="3"/>
      </w:r>
      <w:r w:rsidRPr="00F04356">
        <w:rPr>
          <w:sz w:val="24"/>
          <w:szCs w:val="24"/>
        </w:rPr>
        <w:t xml:space="preserve"> the FAA calculated the mean hourly wage, plus benefits, for the</w:t>
      </w:r>
      <w:r w:rsidRPr="005037D5" w:rsidR="005037D5">
        <w:rPr>
          <w:sz w:val="24"/>
          <w:szCs w:val="24"/>
        </w:rPr>
        <w:t>se managers to be $</w:t>
      </w:r>
      <w:r w:rsidR="00F63ADA">
        <w:rPr>
          <w:sz w:val="24"/>
          <w:szCs w:val="24"/>
        </w:rPr>
        <w:t>49.81</w:t>
      </w:r>
      <w:r w:rsidRPr="005037D5" w:rsidR="005037D5">
        <w:rPr>
          <w:sz w:val="24"/>
          <w:szCs w:val="24"/>
        </w:rPr>
        <w:t xml:space="preserve"> (</w:t>
      </w:r>
      <w:r w:rsidR="005037D5">
        <w:rPr>
          <w:sz w:val="24"/>
          <w:szCs w:val="24"/>
        </w:rPr>
        <w:t>$</w:t>
      </w:r>
      <w:r w:rsidR="00F63ADA">
        <w:rPr>
          <w:sz w:val="24"/>
          <w:szCs w:val="24"/>
        </w:rPr>
        <w:t>35.13</w:t>
      </w:r>
      <w:r w:rsidRPr="00F04356">
        <w:rPr>
          <w:sz w:val="24"/>
          <w:szCs w:val="24"/>
        </w:rPr>
        <w:t xml:space="preserve"> + $</w:t>
      </w:r>
      <w:r w:rsidR="00F63ADA">
        <w:rPr>
          <w:sz w:val="24"/>
          <w:szCs w:val="24"/>
        </w:rPr>
        <w:t>14.68</w:t>
      </w:r>
      <w:r w:rsidRPr="00F04356">
        <w:rPr>
          <w:sz w:val="24"/>
          <w:szCs w:val="24"/>
        </w:rPr>
        <w:t xml:space="preserve">). The total estimated annual cost burden to the respondents is </w:t>
      </w:r>
      <w:r w:rsidR="00F63ADA">
        <w:rPr>
          <w:sz w:val="24"/>
          <w:szCs w:val="24"/>
        </w:rPr>
        <w:t>1,727</w:t>
      </w:r>
      <w:r w:rsidRPr="00F04356">
        <w:rPr>
          <w:sz w:val="24"/>
          <w:szCs w:val="24"/>
        </w:rPr>
        <w:t xml:space="preserve"> X $</w:t>
      </w:r>
      <w:r w:rsidR="00F63ADA">
        <w:rPr>
          <w:sz w:val="24"/>
          <w:szCs w:val="24"/>
        </w:rPr>
        <w:t>49.81</w:t>
      </w:r>
      <w:r w:rsidR="006131C5">
        <w:rPr>
          <w:sz w:val="24"/>
          <w:szCs w:val="24"/>
        </w:rPr>
        <w:t xml:space="preserve"> </w:t>
      </w:r>
      <w:r w:rsidRPr="00F04356">
        <w:rPr>
          <w:sz w:val="24"/>
          <w:szCs w:val="24"/>
        </w:rPr>
        <w:t>for a total annual cost of about $</w:t>
      </w:r>
      <w:r w:rsidR="00F63ADA">
        <w:rPr>
          <w:sz w:val="24"/>
          <w:szCs w:val="24"/>
        </w:rPr>
        <w:t>86,021.87</w:t>
      </w:r>
      <w:r w:rsidRPr="00F04356">
        <w:rPr>
          <w:sz w:val="24"/>
          <w:szCs w:val="24"/>
        </w:rPr>
        <w:t>.</w:t>
      </w:r>
      <w:r w:rsidRPr="00B57133">
        <w:rPr>
          <w:bCs/>
          <w:sz w:val="24"/>
        </w:rPr>
        <w:t xml:space="preserve"> </w:t>
      </w:r>
    </w:p>
    <w:p w:rsidR="00B57133" w:rsidP="00B57133" w14:paraId="5B48B202" w14:textId="77777777">
      <w:pPr>
        <w:tabs>
          <w:tab w:val="left" w:pos="-720"/>
        </w:tabs>
        <w:suppressAutoHyphens/>
        <w:overflowPunct/>
        <w:autoSpaceDE/>
        <w:autoSpaceDN/>
        <w:adjustRightInd/>
        <w:textAlignment w:val="auto"/>
        <w:rPr>
          <w:bCs/>
          <w:sz w:val="24"/>
        </w:rPr>
      </w:pPr>
    </w:p>
    <w:p w:rsidR="0031649F" w:rsidRPr="00E17CA9" w:rsidP="000C115E" w14:paraId="7984172F" w14:textId="77777777">
      <w:pPr>
        <w:rPr>
          <w:b/>
          <w:sz w:val="24"/>
        </w:rPr>
      </w:pPr>
      <w:r>
        <w:rPr>
          <w:b/>
          <w:sz w:val="24"/>
        </w:rPr>
        <w:t xml:space="preserve">13. </w:t>
      </w:r>
      <w:r w:rsidRPr="00E17CA9">
        <w:rPr>
          <w:b/>
          <w:sz w:val="24"/>
        </w:rPr>
        <w:t>Provide an estimate of the total annual cost burden to respondents or record keepers resulting from the collection of information.</w:t>
      </w:r>
    </w:p>
    <w:p w:rsidR="0031649F" w:rsidP="000C115E" w14:paraId="5B7A6F6B" w14:textId="77777777">
      <w:pPr>
        <w:rPr>
          <w:sz w:val="24"/>
          <w:szCs w:val="24"/>
        </w:rPr>
      </w:pPr>
    </w:p>
    <w:p w:rsidR="000B62A7" w:rsidP="000C115E" w14:paraId="581BD140" w14:textId="4A35BA52">
      <w:pPr>
        <w:rPr>
          <w:sz w:val="24"/>
          <w:szCs w:val="24"/>
        </w:rPr>
      </w:pPr>
      <w:r>
        <w:rPr>
          <w:sz w:val="24"/>
          <w:szCs w:val="24"/>
        </w:rPr>
        <w:t xml:space="preserve">Additional cost for postage if the form is mailed: $0.68 X 3,453 = $2,348.04. </w:t>
      </w:r>
      <w:r w:rsidR="00B01D9B">
        <w:rPr>
          <w:sz w:val="24"/>
          <w:szCs w:val="24"/>
        </w:rPr>
        <w:t xml:space="preserve"> </w:t>
      </w:r>
      <w:r w:rsidRPr="007229B7">
        <w:rPr>
          <w:sz w:val="24"/>
          <w:szCs w:val="24"/>
        </w:rPr>
        <w:t xml:space="preserve">The cost would be significantly less if respondents </w:t>
      </w:r>
      <w:r w:rsidRPr="007229B7">
        <w:rPr>
          <w:sz w:val="24"/>
          <w:szCs w:val="24"/>
        </w:rPr>
        <w:t>submit</w:t>
      </w:r>
      <w:r w:rsidRPr="007229B7">
        <w:rPr>
          <w:sz w:val="24"/>
          <w:szCs w:val="24"/>
        </w:rPr>
        <w:t xml:space="preserve"> </w:t>
      </w:r>
      <w:r>
        <w:rPr>
          <w:sz w:val="24"/>
          <w:szCs w:val="24"/>
        </w:rPr>
        <w:t>the application t</w:t>
      </w:r>
      <w:r w:rsidRPr="007229B7">
        <w:rPr>
          <w:sz w:val="24"/>
          <w:szCs w:val="24"/>
        </w:rPr>
        <w:t>hrough the email portal or CARES</w:t>
      </w:r>
      <w:r w:rsidR="00A9270B">
        <w:rPr>
          <w:sz w:val="24"/>
          <w:szCs w:val="24"/>
        </w:rPr>
        <w:t>.</w:t>
      </w:r>
    </w:p>
    <w:p w:rsidR="00B01D9B" w:rsidP="000C115E" w14:paraId="3E3775C4" w14:textId="77777777">
      <w:pPr>
        <w:rPr>
          <w:sz w:val="24"/>
          <w:szCs w:val="24"/>
        </w:rPr>
      </w:pPr>
    </w:p>
    <w:p w:rsidR="000B62A7" w:rsidRPr="00E17CA9" w:rsidP="000C115E" w14:paraId="70ADC128" w14:textId="77777777">
      <w:pPr>
        <w:rPr>
          <w:b/>
          <w:sz w:val="24"/>
        </w:rPr>
      </w:pPr>
      <w:r>
        <w:rPr>
          <w:b/>
          <w:sz w:val="24"/>
        </w:rPr>
        <w:t xml:space="preserve">14. </w:t>
      </w:r>
      <w:r w:rsidRPr="00E17CA9">
        <w:rPr>
          <w:b/>
          <w:sz w:val="24"/>
        </w:rPr>
        <w:t>Provide estimates of annualized cost to the Federal government.</w:t>
      </w:r>
      <w:r w:rsidR="00D27687">
        <w:rPr>
          <w:b/>
          <w:sz w:val="24"/>
        </w:rPr>
        <w:t xml:space="preserve"> </w:t>
      </w:r>
      <w:r w:rsidRPr="00D27687" w:rsidR="00D27687">
        <w:rPr>
          <w:b/>
          <w:bCs/>
          <w:sz w:val="24"/>
        </w:rPr>
        <w:t xml:space="preserve">Also, provide a description of the method used to estimate cost, which should include quantification of hours, operational expenses (such as equipment, overhead, printing, and support staff), and any other </w:t>
      </w:r>
      <w:r w:rsidRPr="00D27687" w:rsidR="00D27687">
        <w:rPr>
          <w:b/>
          <w:bCs/>
          <w:sz w:val="24"/>
        </w:rPr>
        <w:t>expense</w:t>
      </w:r>
      <w:r w:rsidRPr="00D27687" w:rsidR="00D27687">
        <w:rPr>
          <w:b/>
          <w:bCs/>
          <w:sz w:val="24"/>
        </w:rPr>
        <w:t xml:space="preserve"> that would not have been incurred without this collection of information.</w:t>
      </w:r>
      <w:r w:rsidRPr="00E17CA9">
        <w:rPr>
          <w:b/>
          <w:sz w:val="24"/>
        </w:rPr>
        <w:t xml:space="preserve">  </w:t>
      </w:r>
    </w:p>
    <w:p w:rsidR="00E17CA9" w:rsidP="000C115E" w14:paraId="54D81D62" w14:textId="77777777">
      <w:pPr>
        <w:rPr>
          <w:sz w:val="24"/>
          <w:szCs w:val="24"/>
        </w:rPr>
      </w:pPr>
    </w:p>
    <w:p w:rsidR="00E01B85" w:rsidRPr="00022B78" w:rsidP="007D5220" w14:paraId="575018F3" w14:textId="220A78D7">
      <w:pPr>
        <w:tabs>
          <w:tab w:val="left" w:pos="-720"/>
        </w:tabs>
        <w:suppressAutoHyphens/>
        <w:overflowPunct/>
        <w:autoSpaceDE/>
        <w:autoSpaceDN/>
        <w:adjustRightInd/>
        <w:textAlignment w:val="auto"/>
        <w:rPr>
          <w:bCs/>
          <w:sz w:val="24"/>
          <w:szCs w:val="24"/>
        </w:rPr>
      </w:pPr>
      <w:r w:rsidRPr="00D9504E">
        <w:rPr>
          <w:bCs/>
          <w:sz w:val="24"/>
          <w:szCs w:val="24"/>
        </w:rPr>
        <w:t>FAA Aircraft Registration Branch Legal Instruments Examiners and contract staff process all incoming documents.</w:t>
      </w:r>
      <w:r>
        <w:rPr>
          <w:bCs/>
          <w:sz w:val="24"/>
          <w:szCs w:val="24"/>
        </w:rPr>
        <w:t xml:space="preserve"> </w:t>
      </w:r>
      <w:r w:rsidRPr="00D9504E">
        <w:rPr>
          <w:bCs/>
          <w:sz w:val="24"/>
          <w:szCs w:val="24"/>
        </w:rPr>
        <w:t>Based on workload statistics from FY 2024, the chart below shows a breakout of processing time in hours for both Legal Instruments Examiner ($31.64 per hour) and contractor ($33.75 per hour).  It’s estimated an Examiner spends approximately .5 hours processing a document and a contractor spends approximately .3 hours. The total annualized cost to the Federal government is $</w:t>
      </w:r>
      <w:r>
        <w:rPr>
          <w:bCs/>
          <w:sz w:val="24"/>
          <w:szCs w:val="24"/>
        </w:rPr>
        <w:t>89,607</w:t>
      </w:r>
      <w:r w:rsidRPr="00D9504E">
        <w:rPr>
          <w:bCs/>
          <w:sz w:val="24"/>
          <w:szCs w:val="24"/>
        </w:rPr>
        <w:t>.</w:t>
      </w:r>
    </w:p>
    <w:p w:rsidR="007D5220" w:rsidP="007D5220" w14:paraId="532F6E32" w14:textId="77777777">
      <w:pPr>
        <w:tabs>
          <w:tab w:val="left" w:pos="-720"/>
        </w:tabs>
        <w:suppressAutoHyphens/>
        <w:overflowPunct/>
        <w:autoSpaceDE/>
        <w:autoSpaceDN/>
        <w:adjustRightInd/>
        <w:textAlignment w:val="auto"/>
        <w:rPr>
          <w:b/>
          <w:sz w:val="24"/>
        </w:rPr>
      </w:pPr>
    </w:p>
    <w:tbl>
      <w:tblPr>
        <w:tblStyle w:val="TableGrid"/>
        <w:tblW w:w="0" w:type="auto"/>
        <w:tblLook w:val="04A0"/>
      </w:tblPr>
      <w:tblGrid>
        <w:gridCol w:w="2157"/>
        <w:gridCol w:w="2157"/>
        <w:gridCol w:w="2158"/>
        <w:gridCol w:w="2158"/>
      </w:tblGrid>
      <w:tr w14:paraId="6E03825F" w14:textId="77777777" w:rsidTr="00D9504E">
        <w:tblPrEx>
          <w:tblW w:w="0" w:type="auto"/>
          <w:tblLook w:val="04A0"/>
        </w:tblPrEx>
        <w:tc>
          <w:tcPr>
            <w:tcW w:w="2157" w:type="dxa"/>
          </w:tcPr>
          <w:p w:rsidR="00D9504E" w:rsidP="007D5220" w14:paraId="4ACEDEDE" w14:textId="1903AF6F">
            <w:pPr>
              <w:tabs>
                <w:tab w:val="left" w:pos="-720"/>
              </w:tabs>
              <w:suppressAutoHyphens/>
              <w:overflowPunct/>
              <w:autoSpaceDE/>
              <w:autoSpaceDN/>
              <w:adjustRightInd/>
              <w:textAlignment w:val="auto"/>
              <w:rPr>
                <w:b/>
                <w:sz w:val="24"/>
              </w:rPr>
            </w:pPr>
            <w:r>
              <w:rPr>
                <w:b/>
                <w:sz w:val="24"/>
              </w:rPr>
              <w:t>Employee</w:t>
            </w:r>
          </w:p>
        </w:tc>
        <w:tc>
          <w:tcPr>
            <w:tcW w:w="2157" w:type="dxa"/>
          </w:tcPr>
          <w:p w:rsidR="00D9504E" w:rsidP="007D5220" w14:paraId="7D48B5DF" w14:textId="3EEEBF0F">
            <w:pPr>
              <w:tabs>
                <w:tab w:val="left" w:pos="-720"/>
              </w:tabs>
              <w:suppressAutoHyphens/>
              <w:overflowPunct/>
              <w:autoSpaceDE/>
              <w:autoSpaceDN/>
              <w:adjustRightInd/>
              <w:textAlignment w:val="auto"/>
              <w:rPr>
                <w:b/>
                <w:sz w:val="24"/>
              </w:rPr>
            </w:pPr>
            <w:r>
              <w:rPr>
                <w:b/>
                <w:sz w:val="24"/>
              </w:rPr>
              <w:t>Form Count</w:t>
            </w:r>
          </w:p>
        </w:tc>
        <w:tc>
          <w:tcPr>
            <w:tcW w:w="2158" w:type="dxa"/>
          </w:tcPr>
          <w:p w:rsidR="00D9504E" w:rsidP="007D5220" w14:paraId="69763A4C" w14:textId="0C2E4BDC">
            <w:pPr>
              <w:tabs>
                <w:tab w:val="left" w:pos="-720"/>
              </w:tabs>
              <w:suppressAutoHyphens/>
              <w:overflowPunct/>
              <w:autoSpaceDE/>
              <w:autoSpaceDN/>
              <w:adjustRightInd/>
              <w:textAlignment w:val="auto"/>
              <w:rPr>
                <w:b/>
                <w:sz w:val="24"/>
              </w:rPr>
            </w:pPr>
            <w:r>
              <w:rPr>
                <w:b/>
                <w:sz w:val="24"/>
              </w:rPr>
              <w:t>Time in Hours</w:t>
            </w:r>
          </w:p>
        </w:tc>
        <w:tc>
          <w:tcPr>
            <w:tcW w:w="2158" w:type="dxa"/>
          </w:tcPr>
          <w:p w:rsidR="00D9504E" w:rsidP="007D5220" w14:paraId="77A77369" w14:textId="3B48A206">
            <w:pPr>
              <w:tabs>
                <w:tab w:val="left" w:pos="-720"/>
              </w:tabs>
              <w:suppressAutoHyphens/>
              <w:overflowPunct/>
              <w:autoSpaceDE/>
              <w:autoSpaceDN/>
              <w:adjustRightInd/>
              <w:textAlignment w:val="auto"/>
              <w:rPr>
                <w:b/>
                <w:sz w:val="24"/>
              </w:rPr>
            </w:pPr>
            <w:r>
              <w:rPr>
                <w:b/>
                <w:sz w:val="24"/>
              </w:rPr>
              <w:t>Cost</w:t>
            </w:r>
          </w:p>
        </w:tc>
      </w:tr>
      <w:tr w14:paraId="0DF2434D" w14:textId="77777777" w:rsidTr="00D9504E">
        <w:tblPrEx>
          <w:tblW w:w="0" w:type="auto"/>
          <w:tblLook w:val="04A0"/>
        </w:tblPrEx>
        <w:tc>
          <w:tcPr>
            <w:tcW w:w="2157" w:type="dxa"/>
          </w:tcPr>
          <w:p w:rsidR="00D9504E" w:rsidRPr="00D9504E" w:rsidP="007D5220" w14:paraId="17AD60D6" w14:textId="4829C7E5">
            <w:pPr>
              <w:tabs>
                <w:tab w:val="left" w:pos="-720"/>
              </w:tabs>
              <w:suppressAutoHyphens/>
              <w:overflowPunct/>
              <w:autoSpaceDE/>
              <w:autoSpaceDN/>
              <w:adjustRightInd/>
              <w:textAlignment w:val="auto"/>
              <w:rPr>
                <w:bCs/>
                <w:sz w:val="24"/>
              </w:rPr>
            </w:pPr>
            <w:r>
              <w:rPr>
                <w:bCs/>
                <w:sz w:val="24"/>
              </w:rPr>
              <w:t>Examiner</w:t>
            </w:r>
          </w:p>
        </w:tc>
        <w:tc>
          <w:tcPr>
            <w:tcW w:w="2157" w:type="dxa"/>
          </w:tcPr>
          <w:p w:rsidR="00D9504E" w:rsidRPr="00D9504E" w:rsidP="007D5220" w14:paraId="7168C1FD" w14:textId="1CFCB3AC">
            <w:pPr>
              <w:tabs>
                <w:tab w:val="left" w:pos="-720"/>
              </w:tabs>
              <w:suppressAutoHyphens/>
              <w:overflowPunct/>
              <w:autoSpaceDE/>
              <w:autoSpaceDN/>
              <w:adjustRightInd/>
              <w:textAlignment w:val="auto"/>
              <w:rPr>
                <w:bCs/>
                <w:sz w:val="24"/>
              </w:rPr>
            </w:pPr>
            <w:r>
              <w:rPr>
                <w:bCs/>
                <w:sz w:val="24"/>
              </w:rPr>
              <w:t>3,453</w:t>
            </w:r>
          </w:p>
        </w:tc>
        <w:tc>
          <w:tcPr>
            <w:tcW w:w="2158" w:type="dxa"/>
          </w:tcPr>
          <w:p w:rsidR="00D9504E" w:rsidRPr="00D9504E" w:rsidP="007D5220" w14:paraId="5AE6F55A" w14:textId="0323BEE6">
            <w:pPr>
              <w:tabs>
                <w:tab w:val="left" w:pos="-720"/>
              </w:tabs>
              <w:suppressAutoHyphens/>
              <w:overflowPunct/>
              <w:autoSpaceDE/>
              <w:autoSpaceDN/>
              <w:adjustRightInd/>
              <w:textAlignment w:val="auto"/>
              <w:rPr>
                <w:bCs/>
                <w:sz w:val="24"/>
              </w:rPr>
            </w:pPr>
            <w:r>
              <w:rPr>
                <w:bCs/>
                <w:sz w:val="24"/>
              </w:rPr>
              <w:t>1,727</w:t>
            </w:r>
          </w:p>
        </w:tc>
        <w:tc>
          <w:tcPr>
            <w:tcW w:w="2158" w:type="dxa"/>
          </w:tcPr>
          <w:p w:rsidR="00D9504E" w:rsidRPr="00D9504E" w:rsidP="007D5220" w14:paraId="695F7401" w14:textId="123AEA33">
            <w:pPr>
              <w:tabs>
                <w:tab w:val="left" w:pos="-720"/>
              </w:tabs>
              <w:suppressAutoHyphens/>
              <w:overflowPunct/>
              <w:autoSpaceDE/>
              <w:autoSpaceDN/>
              <w:adjustRightInd/>
              <w:textAlignment w:val="auto"/>
              <w:rPr>
                <w:bCs/>
                <w:sz w:val="24"/>
              </w:rPr>
            </w:pPr>
            <w:r>
              <w:rPr>
                <w:bCs/>
                <w:sz w:val="24"/>
              </w:rPr>
              <w:t>$54,642</w:t>
            </w:r>
          </w:p>
        </w:tc>
      </w:tr>
      <w:tr w14:paraId="463C1F51" w14:textId="77777777" w:rsidTr="00D9504E">
        <w:tblPrEx>
          <w:tblW w:w="0" w:type="auto"/>
          <w:tblLook w:val="04A0"/>
        </w:tblPrEx>
        <w:tc>
          <w:tcPr>
            <w:tcW w:w="2157" w:type="dxa"/>
          </w:tcPr>
          <w:p w:rsidR="00D9504E" w:rsidRPr="00D9504E" w:rsidP="007D5220" w14:paraId="220C9AE5" w14:textId="4BAF030B">
            <w:pPr>
              <w:tabs>
                <w:tab w:val="left" w:pos="-720"/>
              </w:tabs>
              <w:suppressAutoHyphens/>
              <w:overflowPunct/>
              <w:autoSpaceDE/>
              <w:autoSpaceDN/>
              <w:adjustRightInd/>
              <w:textAlignment w:val="auto"/>
              <w:rPr>
                <w:bCs/>
                <w:sz w:val="24"/>
              </w:rPr>
            </w:pPr>
            <w:r>
              <w:rPr>
                <w:bCs/>
                <w:sz w:val="24"/>
              </w:rPr>
              <w:t>Contractor</w:t>
            </w:r>
          </w:p>
        </w:tc>
        <w:tc>
          <w:tcPr>
            <w:tcW w:w="2157" w:type="dxa"/>
          </w:tcPr>
          <w:p w:rsidR="00D9504E" w:rsidRPr="00D9504E" w:rsidP="007D5220" w14:paraId="589F0653" w14:textId="2CB8140A">
            <w:pPr>
              <w:tabs>
                <w:tab w:val="left" w:pos="-720"/>
              </w:tabs>
              <w:suppressAutoHyphens/>
              <w:overflowPunct/>
              <w:autoSpaceDE/>
              <w:autoSpaceDN/>
              <w:adjustRightInd/>
              <w:textAlignment w:val="auto"/>
              <w:rPr>
                <w:bCs/>
                <w:sz w:val="24"/>
              </w:rPr>
            </w:pPr>
            <w:r>
              <w:rPr>
                <w:bCs/>
                <w:sz w:val="24"/>
              </w:rPr>
              <w:t>3,453</w:t>
            </w:r>
          </w:p>
        </w:tc>
        <w:tc>
          <w:tcPr>
            <w:tcW w:w="2158" w:type="dxa"/>
          </w:tcPr>
          <w:p w:rsidR="00D9504E" w:rsidRPr="00D9504E" w:rsidP="007D5220" w14:paraId="67C294C3" w14:textId="0CD9CCBB">
            <w:pPr>
              <w:tabs>
                <w:tab w:val="left" w:pos="-720"/>
              </w:tabs>
              <w:suppressAutoHyphens/>
              <w:overflowPunct/>
              <w:autoSpaceDE/>
              <w:autoSpaceDN/>
              <w:adjustRightInd/>
              <w:textAlignment w:val="auto"/>
              <w:rPr>
                <w:bCs/>
                <w:sz w:val="24"/>
              </w:rPr>
            </w:pPr>
            <w:r w:rsidRPr="00D9504E">
              <w:rPr>
                <w:bCs/>
                <w:sz w:val="24"/>
              </w:rPr>
              <w:t>1,036</w:t>
            </w:r>
          </w:p>
        </w:tc>
        <w:tc>
          <w:tcPr>
            <w:tcW w:w="2158" w:type="dxa"/>
          </w:tcPr>
          <w:p w:rsidR="00D9504E" w:rsidRPr="00D9504E" w:rsidP="007D5220" w14:paraId="2ED1EB49" w14:textId="622C51B0">
            <w:pPr>
              <w:tabs>
                <w:tab w:val="left" w:pos="-720"/>
              </w:tabs>
              <w:suppressAutoHyphens/>
              <w:overflowPunct/>
              <w:autoSpaceDE/>
              <w:autoSpaceDN/>
              <w:adjustRightInd/>
              <w:textAlignment w:val="auto"/>
              <w:rPr>
                <w:bCs/>
                <w:sz w:val="24"/>
              </w:rPr>
            </w:pPr>
            <w:r>
              <w:rPr>
                <w:bCs/>
                <w:sz w:val="24"/>
              </w:rPr>
              <w:t>$34,965</w:t>
            </w:r>
          </w:p>
        </w:tc>
      </w:tr>
    </w:tbl>
    <w:p w:rsidR="00D9504E" w:rsidP="007D5220" w14:paraId="62867D75" w14:textId="77777777">
      <w:pPr>
        <w:tabs>
          <w:tab w:val="left" w:pos="-720"/>
        </w:tabs>
        <w:suppressAutoHyphens/>
        <w:overflowPunct/>
        <w:autoSpaceDE/>
        <w:autoSpaceDN/>
        <w:adjustRightInd/>
        <w:textAlignment w:val="auto"/>
        <w:rPr>
          <w:b/>
          <w:sz w:val="24"/>
        </w:rPr>
      </w:pPr>
    </w:p>
    <w:p w:rsidR="000B62A7" w:rsidRPr="00E17CA9" w:rsidP="00EE7FB4" w14:paraId="13327F4C" w14:textId="77777777">
      <w:pPr>
        <w:tabs>
          <w:tab w:val="left" w:pos="270"/>
        </w:tabs>
        <w:rPr>
          <w:b/>
          <w:sz w:val="24"/>
        </w:rPr>
      </w:pPr>
      <w:r>
        <w:rPr>
          <w:b/>
          <w:sz w:val="24"/>
        </w:rPr>
        <w:t xml:space="preserve">15. </w:t>
      </w:r>
      <w:r w:rsidRPr="00E17CA9" w:rsidR="006067A2">
        <w:rPr>
          <w:b/>
          <w:sz w:val="24"/>
        </w:rPr>
        <w:t xml:space="preserve">Explain </w:t>
      </w:r>
      <w:r w:rsidR="00D27687">
        <w:rPr>
          <w:b/>
          <w:sz w:val="24"/>
        </w:rPr>
        <w:t xml:space="preserve">the </w:t>
      </w:r>
      <w:r w:rsidRPr="00E17CA9" w:rsidR="006067A2">
        <w:rPr>
          <w:b/>
          <w:sz w:val="24"/>
        </w:rPr>
        <w:t xml:space="preserve">reasons for </w:t>
      </w:r>
      <w:r w:rsidR="00D27687">
        <w:rPr>
          <w:b/>
          <w:sz w:val="24"/>
        </w:rPr>
        <w:t xml:space="preserve">any program </w:t>
      </w:r>
      <w:r w:rsidRPr="00E17CA9" w:rsidR="006067A2">
        <w:rPr>
          <w:b/>
          <w:sz w:val="24"/>
        </w:rPr>
        <w:t>changes</w:t>
      </w:r>
      <w:r w:rsidR="00D27687">
        <w:rPr>
          <w:b/>
          <w:sz w:val="24"/>
        </w:rPr>
        <w:t xml:space="preserve"> or adjustments.</w:t>
      </w:r>
    </w:p>
    <w:p w:rsidR="006067A2" w:rsidRPr="00171A9C" w:rsidP="006067A2" w14:paraId="134A38AA" w14:textId="77777777">
      <w:pPr>
        <w:rPr>
          <w:sz w:val="24"/>
          <w:szCs w:val="24"/>
        </w:rPr>
      </w:pPr>
    </w:p>
    <w:p w:rsidR="00A70060" w:rsidP="00DB11CC" w14:paraId="69D9D0F6" w14:textId="4D8771AF">
      <w:pPr>
        <w:rPr>
          <w:sz w:val="24"/>
          <w:szCs w:val="24"/>
        </w:rPr>
      </w:pPr>
      <w:r w:rsidRPr="005053E6">
        <w:rPr>
          <w:sz w:val="24"/>
          <w:szCs w:val="24"/>
        </w:rPr>
        <w:t xml:space="preserve">The burden is based on customer submissions which </w:t>
      </w:r>
      <w:r w:rsidRPr="005053E6">
        <w:rPr>
          <w:sz w:val="24"/>
          <w:szCs w:val="24"/>
        </w:rPr>
        <w:t>fluctuates</w:t>
      </w:r>
      <w:r w:rsidRPr="005053E6">
        <w:rPr>
          <w:sz w:val="24"/>
          <w:szCs w:val="24"/>
        </w:rPr>
        <w:t xml:space="preserve"> up or down from year to year. </w:t>
      </w:r>
      <w:r w:rsidRPr="00DB11CC" w:rsidR="00DB11CC">
        <w:rPr>
          <w:sz w:val="24"/>
          <w:szCs w:val="24"/>
        </w:rPr>
        <w:t> </w:t>
      </w:r>
      <w:r w:rsidRPr="00F04356" w:rsidR="003076B3">
        <w:rPr>
          <w:sz w:val="24"/>
          <w:szCs w:val="24"/>
        </w:rPr>
        <w:t xml:space="preserve">Using BLS's Employer Costs for Employee Compensation memo released </w:t>
      </w:r>
      <w:r w:rsidR="003076B3">
        <w:rPr>
          <w:sz w:val="24"/>
          <w:szCs w:val="24"/>
        </w:rPr>
        <w:t>March 14, 2025.</w:t>
      </w:r>
    </w:p>
    <w:p w:rsidR="00A70060" w:rsidP="00DB11CC" w14:paraId="789D6584" w14:textId="77777777">
      <w:pPr>
        <w:rPr>
          <w:sz w:val="24"/>
          <w:szCs w:val="24"/>
        </w:rPr>
      </w:pPr>
    </w:p>
    <w:p w:rsidR="006067A2" w:rsidRPr="00E17CA9" w:rsidP="00EE7FB4" w14:paraId="5D799A2D" w14:textId="77777777">
      <w:pPr>
        <w:rPr>
          <w:b/>
          <w:sz w:val="24"/>
        </w:rPr>
      </w:pPr>
      <w:r>
        <w:rPr>
          <w:b/>
          <w:sz w:val="24"/>
        </w:rPr>
        <w:t xml:space="preserve">16. </w:t>
      </w:r>
      <w:r w:rsidRPr="00E17CA9">
        <w:rPr>
          <w:b/>
          <w:sz w:val="24"/>
        </w:rPr>
        <w:t>For collection</w:t>
      </w:r>
      <w:r w:rsidR="00D27687">
        <w:rPr>
          <w:b/>
          <w:sz w:val="24"/>
        </w:rPr>
        <w:t>s</w:t>
      </w:r>
      <w:r w:rsidRPr="00E17CA9">
        <w:rPr>
          <w:b/>
          <w:sz w:val="24"/>
        </w:rPr>
        <w:t xml:space="preserve"> of information whose results </w:t>
      </w:r>
      <w:r w:rsidR="00D27687">
        <w:rPr>
          <w:b/>
          <w:sz w:val="24"/>
        </w:rPr>
        <w:t>will be published</w:t>
      </w:r>
      <w:r w:rsidRPr="00E17CA9">
        <w:rPr>
          <w:b/>
          <w:sz w:val="24"/>
        </w:rPr>
        <w:t>, outline plans for tabulation</w:t>
      </w:r>
      <w:r w:rsidR="00D27687">
        <w:rPr>
          <w:b/>
          <w:sz w:val="24"/>
        </w:rPr>
        <w:t xml:space="preserve"> </w:t>
      </w:r>
      <w:r w:rsidRPr="00E17CA9">
        <w:rPr>
          <w:b/>
          <w:sz w:val="24"/>
        </w:rPr>
        <w:t>and publication.</w:t>
      </w:r>
      <w:r w:rsidR="00D27687">
        <w:rPr>
          <w:b/>
          <w:sz w:val="24"/>
        </w:rPr>
        <w:t xml:space="preserve"> </w:t>
      </w:r>
      <w:r w:rsidRPr="00D27687" w:rsidR="00D27687">
        <w:rPr>
          <w:b/>
          <w:bCs/>
          <w:sz w:val="24"/>
        </w:rPr>
        <w:t>Address any complex analytical techniques that will be used. Provide the time schedule for the entire project, including beginning and ending dates of the collection of information, completion of report, publication dates, and other actions.</w:t>
      </w:r>
    </w:p>
    <w:p w:rsidR="006067A2" w:rsidP="006067A2" w14:paraId="1D1C98A6" w14:textId="77777777">
      <w:pPr>
        <w:rPr>
          <w:sz w:val="24"/>
          <w:szCs w:val="24"/>
        </w:rPr>
      </w:pPr>
    </w:p>
    <w:p w:rsidR="006067A2" w:rsidP="006067A2" w14:paraId="6D18EC26" w14:textId="77777777">
      <w:pPr>
        <w:rPr>
          <w:sz w:val="24"/>
          <w:szCs w:val="24"/>
        </w:rPr>
      </w:pPr>
      <w:r>
        <w:rPr>
          <w:sz w:val="24"/>
          <w:szCs w:val="24"/>
        </w:rPr>
        <w:t>There are no plans for tabulation or publication of the information collected</w:t>
      </w:r>
      <w:r>
        <w:rPr>
          <w:sz w:val="24"/>
          <w:szCs w:val="24"/>
        </w:rPr>
        <w:t>.</w:t>
      </w:r>
    </w:p>
    <w:p w:rsidR="006067A2" w:rsidP="006067A2" w14:paraId="70285175" w14:textId="77777777">
      <w:pPr>
        <w:rPr>
          <w:sz w:val="24"/>
          <w:szCs w:val="24"/>
        </w:rPr>
      </w:pPr>
    </w:p>
    <w:p w:rsidR="006067A2" w:rsidRPr="00E17CA9" w:rsidP="00EE7FB4" w14:paraId="55C9E5D2" w14:textId="77777777">
      <w:pPr>
        <w:rPr>
          <w:b/>
          <w:sz w:val="24"/>
        </w:rPr>
      </w:pPr>
      <w:r w:rsidRPr="00E17CA9">
        <w:rPr>
          <w:b/>
          <w:sz w:val="24"/>
        </w:rPr>
        <w:t>17.</w:t>
      </w:r>
      <w:r w:rsidR="00EE7FB4">
        <w:rPr>
          <w:b/>
          <w:sz w:val="24"/>
        </w:rPr>
        <w:t xml:space="preserve"> </w:t>
      </w:r>
      <w:r w:rsidRPr="00E17CA9">
        <w:rPr>
          <w:b/>
          <w:sz w:val="24"/>
        </w:rPr>
        <w:t>If seeking approval to not display the expiration date for OMB approval of the information collection, explain the reason</w:t>
      </w:r>
      <w:r w:rsidR="00D27687">
        <w:rPr>
          <w:b/>
          <w:sz w:val="24"/>
        </w:rPr>
        <w:t>s</w:t>
      </w:r>
      <w:r w:rsidRPr="00E17CA9">
        <w:rPr>
          <w:b/>
          <w:sz w:val="24"/>
        </w:rPr>
        <w:t xml:space="preserve"> display would be inappropriate.</w:t>
      </w:r>
    </w:p>
    <w:p w:rsidR="006067A2" w:rsidP="006067A2" w14:paraId="3D828DEB" w14:textId="77777777"/>
    <w:p w:rsidR="002E6D69" w:rsidP="006067A2" w14:paraId="548B4809" w14:textId="77777777">
      <w:pPr>
        <w:rPr>
          <w:sz w:val="24"/>
          <w:szCs w:val="24"/>
        </w:rPr>
      </w:pPr>
      <w:r w:rsidRPr="002E6D69">
        <w:rPr>
          <w:sz w:val="24"/>
          <w:szCs w:val="24"/>
        </w:rPr>
        <w:t xml:space="preserve">There </w:t>
      </w:r>
      <w:r w:rsidR="001E7D35">
        <w:rPr>
          <w:sz w:val="24"/>
          <w:szCs w:val="24"/>
        </w:rPr>
        <w:t>is</w:t>
      </w:r>
      <w:r w:rsidRPr="002E6D69">
        <w:rPr>
          <w:sz w:val="24"/>
          <w:szCs w:val="24"/>
        </w:rPr>
        <w:t xml:space="preserve"> no reason not to </w:t>
      </w:r>
      <w:r w:rsidRPr="002E6D69">
        <w:rPr>
          <w:sz w:val="24"/>
          <w:szCs w:val="24"/>
        </w:rPr>
        <w:t>display</w:t>
      </w:r>
      <w:r w:rsidRPr="002E6D69">
        <w:rPr>
          <w:sz w:val="24"/>
          <w:szCs w:val="24"/>
        </w:rPr>
        <w:t>.</w:t>
      </w:r>
    </w:p>
    <w:p w:rsidR="00E17CA9" w:rsidRPr="002E6D69" w:rsidP="006067A2" w14:paraId="7E576F09" w14:textId="77777777">
      <w:pPr>
        <w:rPr>
          <w:sz w:val="24"/>
          <w:szCs w:val="24"/>
        </w:rPr>
      </w:pPr>
    </w:p>
    <w:p w:rsidR="00DA07B4" w:rsidRPr="00DA07B4" w:rsidP="00EE7FB4" w14:paraId="7B4BB071" w14:textId="77777777">
      <w:r>
        <w:rPr>
          <w:b/>
          <w:sz w:val="24"/>
        </w:rPr>
        <w:t xml:space="preserve">18. </w:t>
      </w:r>
      <w:r w:rsidRPr="00E17CA9" w:rsidR="006067A2">
        <w:rPr>
          <w:b/>
          <w:sz w:val="24"/>
        </w:rPr>
        <w:t xml:space="preserve">Explain each exception to the </w:t>
      </w:r>
      <w:r w:rsidRPr="00D27687" w:rsidR="00D27687">
        <w:rPr>
          <w:b/>
          <w:bCs/>
          <w:sz w:val="24"/>
        </w:rPr>
        <w:t>topics of the certification statement identified in “Certification for Paperwork Reduction Act Submissions.”</w:t>
      </w:r>
    </w:p>
    <w:p w:rsidR="00DA07B4" w:rsidP="00DA07B4" w14:paraId="21BCC8C7" w14:textId="77777777">
      <w:pPr>
        <w:rPr>
          <w:b/>
          <w:sz w:val="24"/>
        </w:rPr>
      </w:pPr>
    </w:p>
    <w:p w:rsidR="006067A2" w:rsidRPr="000C115E" w:rsidP="00DA07B4" w14:paraId="626F3928" w14:textId="77777777">
      <w:r w:rsidRPr="006067A2">
        <w:rPr>
          <w:sz w:val="24"/>
          <w:szCs w:val="24"/>
        </w:rPr>
        <w:t xml:space="preserve">There </w:t>
      </w:r>
      <w:r w:rsidR="00D27687">
        <w:rPr>
          <w:sz w:val="24"/>
          <w:szCs w:val="24"/>
        </w:rPr>
        <w:t xml:space="preserve">are </w:t>
      </w:r>
      <w:r w:rsidRPr="006067A2">
        <w:rPr>
          <w:sz w:val="24"/>
          <w:szCs w:val="24"/>
        </w:rPr>
        <w:t>no exceptions</w:t>
      </w:r>
      <w:r>
        <w: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5A35" w:rsidP="00022B78" w14:paraId="5EDF6A25" w14:textId="77777777">
      <w:r>
        <w:separator/>
      </w:r>
    </w:p>
  </w:footnote>
  <w:footnote w:type="continuationSeparator" w:id="1">
    <w:p w:rsidR="00F45A35" w:rsidP="00022B78" w14:paraId="304848A4" w14:textId="77777777">
      <w:r>
        <w:continuationSeparator/>
      </w:r>
    </w:p>
  </w:footnote>
  <w:footnote w:id="2">
    <w:p w:rsidR="00F63ADA" w:rsidRPr="00DE20B7" w:rsidP="00022B78" w14:paraId="5D30E700" w14:textId="3FB6C7CB">
      <w:pPr>
        <w:rPr>
          <w:rFonts w:ascii="Calibri" w:hAnsi="Calibri" w:cs="Calibri"/>
          <w:color w:val="0563C1"/>
          <w:sz w:val="22"/>
          <w:szCs w:val="22"/>
          <w:u w:val="single"/>
        </w:rPr>
      </w:pPr>
      <w:r>
        <w:rPr>
          <w:rStyle w:val="FootnoteReference"/>
        </w:rPr>
        <w:footnoteRef/>
      </w:r>
      <w:r>
        <w:t xml:space="preserve"> </w:t>
      </w:r>
      <w:hyperlink r:id="rId1" w:history="1">
        <w:r w:rsidRPr="00C858AD">
          <w:rPr>
            <w:rStyle w:val="Hyperlink"/>
          </w:rPr>
          <w:t>https://www.bls.gov/ooh/sales/wholesale-and-manufacturing-sales-representatives.htm</w:t>
        </w:r>
      </w:hyperlink>
    </w:p>
  </w:footnote>
  <w:footnote w:id="3">
    <w:p w:rsidR="00022B78" w:rsidP="00022B78" w14:paraId="5E6695C2" w14:textId="61101F23">
      <w:pPr>
        <w:pStyle w:val="FootnoteText"/>
      </w:pPr>
      <w:r>
        <w:rPr>
          <w:rStyle w:val="FootnoteReference"/>
        </w:rPr>
        <w:footnoteRef/>
      </w:r>
      <w:r>
        <w:t xml:space="preserve"> </w:t>
      </w:r>
      <w:hyperlink r:id="rId2" w:history="1">
        <w:r w:rsidRPr="00F63ADA" w:rsidR="00F63ADA">
          <w:rPr>
            <w:rStyle w:val="Hyperlink"/>
          </w:rPr>
          <w:t>https://www.bls.gov/news.release/pdf/ecec.pdf</w:t>
        </w:r>
      </w:hyperlink>
      <w:r w:rsidR="00F63ADA">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757BB"/>
    <w:multiLevelType w:val="hybridMultilevel"/>
    <w:tmpl w:val="E47AA25A"/>
    <w:lvl w:ilvl="0">
      <w:start w:val="15"/>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EB448B2"/>
    <w:multiLevelType w:val="hybridMultilevel"/>
    <w:tmpl w:val="E9305C2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635330F"/>
    <w:multiLevelType w:val="hybridMultilevel"/>
    <w:tmpl w:val="CA084A46"/>
    <w:lvl w:ilvl="0">
      <w:start w:val="4"/>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51835BC1"/>
    <w:multiLevelType w:val="hybridMultilevel"/>
    <w:tmpl w:val="CF72E5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1CE69AA"/>
    <w:multiLevelType w:val="hybridMultilevel"/>
    <w:tmpl w:val="D3DE61EE"/>
    <w:lvl w:ilvl="0">
      <w:start w:val="18"/>
      <w:numFmt w:val="decimal"/>
      <w:lvlText w:val="%1."/>
      <w:lvlJc w:val="left"/>
      <w:pPr>
        <w:tabs>
          <w:tab w:val="num" w:pos="1170"/>
        </w:tabs>
        <w:ind w:left="1170" w:hanging="72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5">
    <w:nsid w:val="6B6F4ADC"/>
    <w:multiLevelType w:val="hybridMultilevel"/>
    <w:tmpl w:val="62E8B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6972580">
    <w:abstractNumId w:val="2"/>
  </w:num>
  <w:num w:numId="2" w16cid:durableId="852915802">
    <w:abstractNumId w:val="1"/>
  </w:num>
  <w:num w:numId="3" w16cid:durableId="1409690394">
    <w:abstractNumId w:val="0"/>
  </w:num>
  <w:num w:numId="4" w16cid:durableId="2090347455">
    <w:abstractNumId w:val="4"/>
  </w:num>
  <w:num w:numId="5" w16cid:durableId="680935572">
    <w:abstractNumId w:val="5"/>
  </w:num>
  <w:num w:numId="6" w16cid:durableId="22561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5E"/>
    <w:rsid w:val="00022B78"/>
    <w:rsid w:val="000717C3"/>
    <w:rsid w:val="0008080C"/>
    <w:rsid w:val="000A1B32"/>
    <w:rsid w:val="000A410E"/>
    <w:rsid w:val="000B62A7"/>
    <w:rsid w:val="000C115E"/>
    <w:rsid w:val="000D3B0B"/>
    <w:rsid w:val="000E67C6"/>
    <w:rsid w:val="00103112"/>
    <w:rsid w:val="00114134"/>
    <w:rsid w:val="00115BAE"/>
    <w:rsid w:val="001353E8"/>
    <w:rsid w:val="00153E97"/>
    <w:rsid w:val="00171A9C"/>
    <w:rsid w:val="001846AA"/>
    <w:rsid w:val="001A50F9"/>
    <w:rsid w:val="001C4686"/>
    <w:rsid w:val="001D4E3D"/>
    <w:rsid w:val="001E7D35"/>
    <w:rsid w:val="00216742"/>
    <w:rsid w:val="00216885"/>
    <w:rsid w:val="0027715D"/>
    <w:rsid w:val="002B317C"/>
    <w:rsid w:val="002E6D69"/>
    <w:rsid w:val="00302142"/>
    <w:rsid w:val="00303212"/>
    <w:rsid w:val="003076B3"/>
    <w:rsid w:val="0031649F"/>
    <w:rsid w:val="00333EDD"/>
    <w:rsid w:val="0033770B"/>
    <w:rsid w:val="0035291C"/>
    <w:rsid w:val="003822E6"/>
    <w:rsid w:val="003B5721"/>
    <w:rsid w:val="003F2D91"/>
    <w:rsid w:val="003F5BB4"/>
    <w:rsid w:val="004073D8"/>
    <w:rsid w:val="00435BC7"/>
    <w:rsid w:val="00437BA1"/>
    <w:rsid w:val="004446C8"/>
    <w:rsid w:val="00471478"/>
    <w:rsid w:val="00481B2F"/>
    <w:rsid w:val="00487496"/>
    <w:rsid w:val="004B593C"/>
    <w:rsid w:val="004F0505"/>
    <w:rsid w:val="005037D5"/>
    <w:rsid w:val="005053E6"/>
    <w:rsid w:val="00531183"/>
    <w:rsid w:val="00561E02"/>
    <w:rsid w:val="005A0796"/>
    <w:rsid w:val="005E7A71"/>
    <w:rsid w:val="006067A2"/>
    <w:rsid w:val="006131C5"/>
    <w:rsid w:val="00651E03"/>
    <w:rsid w:val="00654377"/>
    <w:rsid w:val="00664304"/>
    <w:rsid w:val="006D4103"/>
    <w:rsid w:val="006D4EA0"/>
    <w:rsid w:val="006F6A96"/>
    <w:rsid w:val="006F7A27"/>
    <w:rsid w:val="007229B7"/>
    <w:rsid w:val="00726925"/>
    <w:rsid w:val="00750146"/>
    <w:rsid w:val="00780D10"/>
    <w:rsid w:val="0079354C"/>
    <w:rsid w:val="007A341C"/>
    <w:rsid w:val="007C0BDC"/>
    <w:rsid w:val="007D5220"/>
    <w:rsid w:val="007E72A0"/>
    <w:rsid w:val="007F0D8B"/>
    <w:rsid w:val="0082310E"/>
    <w:rsid w:val="0082635C"/>
    <w:rsid w:val="0083254C"/>
    <w:rsid w:val="00843144"/>
    <w:rsid w:val="008C033F"/>
    <w:rsid w:val="008E060A"/>
    <w:rsid w:val="008E2143"/>
    <w:rsid w:val="008E347A"/>
    <w:rsid w:val="0095324D"/>
    <w:rsid w:val="00955F52"/>
    <w:rsid w:val="009C699B"/>
    <w:rsid w:val="009D374B"/>
    <w:rsid w:val="00A00624"/>
    <w:rsid w:val="00A02B36"/>
    <w:rsid w:val="00A70060"/>
    <w:rsid w:val="00A83810"/>
    <w:rsid w:val="00A9270B"/>
    <w:rsid w:val="00AB670D"/>
    <w:rsid w:val="00AC432C"/>
    <w:rsid w:val="00AE071A"/>
    <w:rsid w:val="00B01D9B"/>
    <w:rsid w:val="00B03D01"/>
    <w:rsid w:val="00B12667"/>
    <w:rsid w:val="00B22F9F"/>
    <w:rsid w:val="00B46915"/>
    <w:rsid w:val="00B470B4"/>
    <w:rsid w:val="00B57133"/>
    <w:rsid w:val="00BA4C9A"/>
    <w:rsid w:val="00BD5756"/>
    <w:rsid w:val="00C060D2"/>
    <w:rsid w:val="00C36B29"/>
    <w:rsid w:val="00C80010"/>
    <w:rsid w:val="00C858AD"/>
    <w:rsid w:val="00C915AC"/>
    <w:rsid w:val="00C92101"/>
    <w:rsid w:val="00CA70C8"/>
    <w:rsid w:val="00CB3C23"/>
    <w:rsid w:val="00CB5DCB"/>
    <w:rsid w:val="00CC1CE6"/>
    <w:rsid w:val="00CD4E28"/>
    <w:rsid w:val="00CF127C"/>
    <w:rsid w:val="00D012A7"/>
    <w:rsid w:val="00D0518F"/>
    <w:rsid w:val="00D27687"/>
    <w:rsid w:val="00D613FC"/>
    <w:rsid w:val="00D9504E"/>
    <w:rsid w:val="00DA07B4"/>
    <w:rsid w:val="00DB11CC"/>
    <w:rsid w:val="00DB4A08"/>
    <w:rsid w:val="00DE20B7"/>
    <w:rsid w:val="00E01B85"/>
    <w:rsid w:val="00E17CA9"/>
    <w:rsid w:val="00E27B3F"/>
    <w:rsid w:val="00E51F2D"/>
    <w:rsid w:val="00EA46BF"/>
    <w:rsid w:val="00EE7FB4"/>
    <w:rsid w:val="00F04356"/>
    <w:rsid w:val="00F10022"/>
    <w:rsid w:val="00F11AA2"/>
    <w:rsid w:val="00F14BB2"/>
    <w:rsid w:val="00F326DD"/>
    <w:rsid w:val="00F45A35"/>
    <w:rsid w:val="00F63ADA"/>
    <w:rsid w:val="00F85833"/>
    <w:rsid w:val="00F93F53"/>
    <w:rsid w:val="00FB090B"/>
    <w:rsid w:val="00FB481A"/>
    <w:rsid w:val="00FD0139"/>
    <w:rsid w:val="00FF04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AA1AE4"/>
  <w15:chartTrackingRefBased/>
  <w15:docId w15:val="{4CC6953C-4502-4822-9C6A-BA387C81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115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687"/>
    <w:pPr>
      <w:ind w:left="720"/>
      <w:contextualSpacing/>
    </w:pPr>
  </w:style>
  <w:style w:type="character" w:styleId="CommentReference">
    <w:name w:val="annotation reference"/>
    <w:basedOn w:val="DefaultParagraphFont"/>
    <w:rsid w:val="00CB5DCB"/>
    <w:rPr>
      <w:sz w:val="16"/>
      <w:szCs w:val="16"/>
    </w:rPr>
  </w:style>
  <w:style w:type="paragraph" w:styleId="CommentText">
    <w:name w:val="annotation text"/>
    <w:basedOn w:val="Normal"/>
    <w:link w:val="CommentTextChar"/>
    <w:rsid w:val="00CB5DCB"/>
  </w:style>
  <w:style w:type="character" w:customStyle="1" w:styleId="CommentTextChar">
    <w:name w:val="Comment Text Char"/>
    <w:basedOn w:val="DefaultParagraphFont"/>
    <w:link w:val="CommentText"/>
    <w:rsid w:val="00CB5DCB"/>
  </w:style>
  <w:style w:type="paragraph" w:styleId="CommentSubject">
    <w:name w:val="annotation subject"/>
    <w:basedOn w:val="CommentText"/>
    <w:next w:val="CommentText"/>
    <w:link w:val="CommentSubjectChar"/>
    <w:rsid w:val="00CB5DCB"/>
    <w:rPr>
      <w:b/>
      <w:bCs/>
    </w:rPr>
  </w:style>
  <w:style w:type="character" w:customStyle="1" w:styleId="CommentSubjectChar">
    <w:name w:val="Comment Subject Char"/>
    <w:basedOn w:val="CommentTextChar"/>
    <w:link w:val="CommentSubject"/>
    <w:rsid w:val="00CB5DCB"/>
    <w:rPr>
      <w:b/>
      <w:bCs/>
    </w:rPr>
  </w:style>
  <w:style w:type="paragraph" w:styleId="BalloonText">
    <w:name w:val="Balloon Text"/>
    <w:basedOn w:val="Normal"/>
    <w:link w:val="BalloonTextChar"/>
    <w:rsid w:val="00CB5DCB"/>
    <w:rPr>
      <w:rFonts w:ascii="Segoe UI" w:hAnsi="Segoe UI" w:cs="Segoe UI"/>
      <w:sz w:val="18"/>
      <w:szCs w:val="18"/>
    </w:rPr>
  </w:style>
  <w:style w:type="character" w:customStyle="1" w:styleId="BalloonTextChar">
    <w:name w:val="Balloon Text Char"/>
    <w:basedOn w:val="DefaultParagraphFont"/>
    <w:link w:val="BalloonText"/>
    <w:rsid w:val="00CB5DCB"/>
    <w:rPr>
      <w:rFonts w:ascii="Segoe UI" w:hAnsi="Segoe UI" w:cs="Segoe UI"/>
      <w:sz w:val="18"/>
      <w:szCs w:val="18"/>
    </w:rPr>
  </w:style>
  <w:style w:type="character" w:styleId="Hyperlink">
    <w:name w:val="Hyperlink"/>
    <w:uiPriority w:val="99"/>
    <w:rsid w:val="00022B78"/>
    <w:rPr>
      <w:color w:val="0000FF"/>
      <w:u w:val="single"/>
    </w:rPr>
  </w:style>
  <w:style w:type="paragraph" w:styleId="FootnoteText">
    <w:name w:val="footnote text"/>
    <w:basedOn w:val="Normal"/>
    <w:link w:val="FootnoteTextChar"/>
    <w:uiPriority w:val="99"/>
    <w:unhideWhenUsed/>
    <w:rsid w:val="00022B78"/>
    <w:pPr>
      <w:overflowPunct/>
      <w:autoSpaceDE/>
      <w:autoSpaceDN/>
      <w:adjustRightInd/>
      <w:textAlignment w:val="auto"/>
    </w:pPr>
    <w:rPr>
      <w:rFonts w:ascii="Courier" w:hAnsi="Courier"/>
    </w:rPr>
  </w:style>
  <w:style w:type="character" w:customStyle="1" w:styleId="FootnoteTextChar">
    <w:name w:val="Footnote Text Char"/>
    <w:basedOn w:val="DefaultParagraphFont"/>
    <w:link w:val="FootnoteText"/>
    <w:uiPriority w:val="99"/>
    <w:rsid w:val="00022B78"/>
    <w:rPr>
      <w:rFonts w:ascii="Courier" w:hAnsi="Courier"/>
    </w:rPr>
  </w:style>
  <w:style w:type="character" w:styleId="FootnoteReference">
    <w:name w:val="footnote reference"/>
    <w:basedOn w:val="DefaultParagraphFont"/>
    <w:uiPriority w:val="99"/>
    <w:unhideWhenUsed/>
    <w:rsid w:val="00022B78"/>
    <w:rPr>
      <w:vertAlign w:val="superscript"/>
    </w:rPr>
  </w:style>
  <w:style w:type="character" w:styleId="UnresolvedMention">
    <w:name w:val="Unresolved Mention"/>
    <w:basedOn w:val="DefaultParagraphFont"/>
    <w:uiPriority w:val="99"/>
    <w:semiHidden/>
    <w:unhideWhenUsed/>
    <w:rsid w:val="00F63ADA"/>
    <w:rPr>
      <w:color w:val="605E5C"/>
      <w:shd w:val="clear" w:color="auto" w:fill="E1DFDD"/>
    </w:rPr>
  </w:style>
  <w:style w:type="character" w:styleId="FollowedHyperlink">
    <w:name w:val="FollowedHyperlink"/>
    <w:basedOn w:val="DefaultParagraphFont"/>
    <w:rsid w:val="00F63ADA"/>
    <w:rPr>
      <w:color w:val="954F72" w:themeColor="followedHyperlink"/>
      <w:u w:val="single"/>
    </w:rPr>
  </w:style>
  <w:style w:type="paragraph" w:styleId="Header">
    <w:name w:val="header"/>
    <w:basedOn w:val="Normal"/>
    <w:link w:val="HeaderChar"/>
    <w:rsid w:val="00A00624"/>
    <w:pPr>
      <w:tabs>
        <w:tab w:val="center" w:pos="4680"/>
        <w:tab w:val="right" w:pos="9360"/>
      </w:tabs>
    </w:pPr>
  </w:style>
  <w:style w:type="character" w:customStyle="1" w:styleId="HeaderChar">
    <w:name w:val="Header Char"/>
    <w:basedOn w:val="DefaultParagraphFont"/>
    <w:link w:val="Header"/>
    <w:rsid w:val="00A00624"/>
  </w:style>
  <w:style w:type="paragraph" w:styleId="Footer">
    <w:name w:val="footer"/>
    <w:basedOn w:val="Normal"/>
    <w:link w:val="FooterChar"/>
    <w:rsid w:val="00A00624"/>
    <w:pPr>
      <w:tabs>
        <w:tab w:val="center" w:pos="4680"/>
        <w:tab w:val="right" w:pos="9360"/>
      </w:tabs>
    </w:pPr>
  </w:style>
  <w:style w:type="character" w:customStyle="1" w:styleId="FooterChar">
    <w:name w:val="Footer Char"/>
    <w:basedOn w:val="DefaultParagraphFont"/>
    <w:link w:val="Footer"/>
    <w:rsid w:val="00A00624"/>
  </w:style>
  <w:style w:type="table" w:styleId="TableGrid">
    <w:name w:val="Table Grid"/>
    <w:basedOn w:val="TableNormal"/>
    <w:rsid w:val="00D95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sales/wholesale-and-manufacturing-sales-representatives.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ACAB-0CCF-4463-B192-EC7262F7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2352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 Lykins</dc:creator>
  <cp:lastModifiedBy>Young, Shantel (FAA)</cp:lastModifiedBy>
  <cp:revision>21</cp:revision>
  <cp:lastPrinted>2011-04-07T14:41:00Z</cp:lastPrinted>
  <dcterms:created xsi:type="dcterms:W3CDTF">2025-03-20T15:43:00Z</dcterms:created>
  <dcterms:modified xsi:type="dcterms:W3CDTF">2025-09-10T11:31:00Z</dcterms:modified>
</cp:coreProperties>
</file>