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C64707" w:rsidRPr="00224A0A" w:rsidP="00C64707" w14:paraId="1C9BEF74" w14:textId="3D986FC5">
      <w:pPr>
        <w:shd w:val="clear" w:color="auto" w:fill="FFFFFF"/>
        <w:spacing w:after="0" w:line="240" w:lineRule="auto"/>
        <w:jc w:val="center"/>
        <w:rPr>
          <w:rFonts w:ascii="Arial" w:eastAsia="Times New Roman" w:hAnsi="Arial" w:cs="Arial"/>
          <w:b/>
          <w:bCs/>
          <w:sz w:val="24"/>
          <w:szCs w:val="24"/>
        </w:rPr>
      </w:pPr>
      <w:r w:rsidRPr="00224A0A">
        <w:rPr>
          <w:rFonts w:ascii="Arial" w:eastAsia="Times New Roman" w:hAnsi="Arial" w:cs="Arial"/>
          <w:b/>
          <w:bCs/>
          <w:sz w:val="24"/>
          <w:szCs w:val="24"/>
        </w:rPr>
        <w:t>Supporting Statement A</w:t>
      </w:r>
    </w:p>
    <w:p w:rsidR="00D45F07" w:rsidRPr="00224A0A" w:rsidP="00C64707" w14:paraId="7B3A3194" w14:textId="59A7D716">
      <w:pPr>
        <w:shd w:val="clear" w:color="auto" w:fill="FFFFFF"/>
        <w:spacing w:after="0" w:line="240" w:lineRule="auto"/>
        <w:jc w:val="center"/>
        <w:rPr>
          <w:rFonts w:ascii="Arial" w:eastAsia="Times New Roman" w:hAnsi="Arial" w:cs="Arial"/>
          <w:sz w:val="24"/>
          <w:szCs w:val="24"/>
        </w:rPr>
      </w:pPr>
      <w:r w:rsidRPr="00224A0A">
        <w:rPr>
          <w:rFonts w:ascii="Arial" w:eastAsia="Times New Roman" w:hAnsi="Arial" w:cs="Arial"/>
          <w:b/>
          <w:bCs/>
          <w:sz w:val="24"/>
          <w:szCs w:val="24"/>
        </w:rPr>
        <w:t>Federal Aviation Administration</w:t>
      </w:r>
    </w:p>
    <w:p w:rsidR="00C64707" w:rsidRPr="00224A0A" w:rsidP="00C64707" w14:paraId="253DED6A" w14:textId="77777777">
      <w:pPr>
        <w:shd w:val="clear" w:color="auto" w:fill="FFFFFF"/>
        <w:spacing w:after="0" w:line="240" w:lineRule="auto"/>
        <w:jc w:val="center"/>
        <w:rPr>
          <w:rFonts w:ascii="Arial" w:eastAsia="Times New Roman" w:hAnsi="Arial" w:cs="Arial"/>
          <w:b/>
          <w:bCs/>
          <w:sz w:val="24"/>
          <w:szCs w:val="24"/>
        </w:rPr>
      </w:pPr>
      <w:r w:rsidRPr="00224A0A">
        <w:rPr>
          <w:rFonts w:ascii="Arial" w:eastAsia="Times New Roman" w:hAnsi="Arial" w:cs="Arial"/>
          <w:b/>
          <w:bCs/>
          <w:sz w:val="24"/>
          <w:szCs w:val="24"/>
        </w:rPr>
        <w:t>Pilot Medical Disclosure Decision Making Model for Safety Risk Assessment Survey</w:t>
      </w:r>
    </w:p>
    <w:p w:rsidR="00393425" w:rsidRPr="00393425" w:rsidP="00393425" w14:paraId="4DA29258" w14:textId="77777777">
      <w:pPr>
        <w:shd w:val="clear" w:color="auto" w:fill="FFFFFF"/>
        <w:spacing w:after="0" w:line="240" w:lineRule="auto"/>
        <w:jc w:val="center"/>
        <w:rPr>
          <w:rFonts w:ascii="Arial" w:eastAsia="Times New Roman" w:hAnsi="Arial" w:cs="Arial"/>
          <w:b/>
          <w:bCs/>
          <w:sz w:val="24"/>
          <w:szCs w:val="24"/>
        </w:rPr>
      </w:pPr>
      <w:r w:rsidRPr="00393425">
        <w:rPr>
          <w:rFonts w:ascii="Arial" w:eastAsia="Times New Roman" w:hAnsi="Arial" w:cs="Arial"/>
          <w:b/>
          <w:bCs/>
          <w:sz w:val="24"/>
          <w:szCs w:val="24"/>
        </w:rPr>
        <w:t>OMB # 2120-XXXX</w:t>
      </w:r>
    </w:p>
    <w:p w:rsidR="002115A2" w:rsidRPr="00224A0A" w:rsidP="00C64707" w14:paraId="7DA94FED" w14:textId="77777777">
      <w:pPr>
        <w:shd w:val="clear" w:color="auto" w:fill="FFFFFF"/>
        <w:spacing w:after="0" w:line="240" w:lineRule="auto"/>
        <w:jc w:val="center"/>
        <w:rPr>
          <w:rFonts w:ascii="Arial" w:eastAsia="Times New Roman" w:hAnsi="Arial" w:cs="Arial"/>
          <w:sz w:val="24"/>
          <w:szCs w:val="24"/>
        </w:rPr>
      </w:pPr>
    </w:p>
    <w:p w:rsidR="00C64707" w:rsidRPr="00224A0A" w:rsidP="00C64707" w14:paraId="636C43A9" w14:textId="77777777">
      <w:pPr>
        <w:shd w:val="clear" w:color="auto" w:fill="FFFFFF"/>
        <w:spacing w:after="0" w:line="240" w:lineRule="auto"/>
        <w:rPr>
          <w:rFonts w:ascii="Arial" w:eastAsia="Times New Roman" w:hAnsi="Arial" w:cs="Arial"/>
          <w:b/>
          <w:bCs/>
          <w:sz w:val="24"/>
          <w:szCs w:val="24"/>
        </w:rPr>
      </w:pPr>
      <w:r w:rsidRPr="00224A0A">
        <w:rPr>
          <w:rFonts w:ascii="Arial" w:eastAsia="Times New Roman" w:hAnsi="Arial" w:cs="Arial"/>
          <w:b/>
          <w:bCs/>
          <w:sz w:val="24"/>
          <w:szCs w:val="24"/>
        </w:rPr>
        <w:t>This is a new effort. There are no changes to report.</w:t>
      </w:r>
    </w:p>
    <w:p w:rsidR="001A5898" w:rsidRPr="00224A0A" w:rsidP="00C64707" w14:paraId="4B6CA14E" w14:textId="77777777">
      <w:pPr>
        <w:shd w:val="clear" w:color="auto" w:fill="FFFFFF"/>
        <w:spacing w:after="0" w:line="240" w:lineRule="auto"/>
        <w:rPr>
          <w:rFonts w:ascii="Arial" w:eastAsia="Times New Roman" w:hAnsi="Arial" w:cs="Arial"/>
          <w:sz w:val="24"/>
          <w:szCs w:val="24"/>
        </w:rPr>
      </w:pPr>
    </w:p>
    <w:p w:rsidR="009C69D0" w:rsidRPr="00224A0A" w:rsidP="00585F9C" w14:paraId="2175114B" w14:textId="77777777">
      <w:pPr>
        <w:pStyle w:val="ListParagraph"/>
        <w:numPr>
          <w:ilvl w:val="0"/>
          <w:numId w:val="10"/>
        </w:numPr>
        <w:shd w:val="clear" w:color="auto" w:fill="FFFFFF"/>
        <w:spacing w:line="240" w:lineRule="auto"/>
        <w:rPr>
          <w:rFonts w:ascii="Arial" w:eastAsia="Times New Roman" w:hAnsi="Arial" w:cs="Arial"/>
          <w:sz w:val="24"/>
          <w:szCs w:val="24"/>
        </w:rPr>
      </w:pPr>
      <w:r w:rsidRPr="00224A0A">
        <w:rPr>
          <w:rFonts w:ascii="Arial" w:eastAsia="Times New Roman" w:hAnsi="Arial" w:cs="Arial"/>
          <w:b/>
          <w:bCs/>
          <w:sz w:val="24"/>
          <w:szCs w:val="24"/>
        </w:rPr>
        <w:t>Explain the circumstances that make the collection of information necessary. Identify any legal or administrative requirements that necessitate the collection.</w:t>
      </w:r>
    </w:p>
    <w:p w:rsidR="009C69D0" w:rsidRPr="00224A0A" w:rsidP="000E30FE" w14:paraId="23252990" w14:textId="77777777">
      <w:pPr>
        <w:ind w:firstLine="360"/>
        <w:rPr>
          <w:rFonts w:ascii="Arial" w:hAnsi="Arial" w:cs="Arial"/>
          <w:sz w:val="24"/>
          <w:szCs w:val="24"/>
        </w:rPr>
      </w:pPr>
      <w:r w:rsidRPr="00224A0A">
        <w:rPr>
          <w:rFonts w:ascii="Arial" w:hAnsi="Arial" w:cs="Arial"/>
          <w:sz w:val="24"/>
          <w:szCs w:val="24"/>
        </w:rPr>
        <w:t>The Office of Aerospace Medicine (</w:t>
      </w:r>
      <w:r w:rsidRPr="00224A0A" w:rsidR="00267886">
        <w:rPr>
          <w:rFonts w:ascii="Arial" w:hAnsi="Arial" w:cs="Arial"/>
          <w:sz w:val="24"/>
          <w:szCs w:val="24"/>
        </w:rPr>
        <w:t>OAM</w:t>
      </w:r>
      <w:r w:rsidRPr="00224A0A">
        <w:rPr>
          <w:rFonts w:ascii="Arial" w:hAnsi="Arial" w:cs="Arial"/>
          <w:sz w:val="24"/>
          <w:szCs w:val="24"/>
        </w:rPr>
        <w:t xml:space="preserve">) requires the development of a model to represent pilot medical-disclosure decision-making to be used by the Safety Risk Management team during current and future safety risk assessments. Following the Mental Health Aviation Rulemaking Committee’s recommendation, </w:t>
      </w:r>
      <w:r w:rsidRPr="00224A0A" w:rsidR="00267886">
        <w:rPr>
          <w:rFonts w:ascii="Arial" w:hAnsi="Arial" w:cs="Arial"/>
          <w:sz w:val="24"/>
          <w:szCs w:val="24"/>
        </w:rPr>
        <w:t>OAM</w:t>
      </w:r>
      <w:r w:rsidRPr="00224A0A">
        <w:rPr>
          <w:rFonts w:ascii="Arial" w:hAnsi="Arial" w:cs="Arial"/>
          <w:sz w:val="24"/>
          <w:szCs w:val="24"/>
        </w:rPr>
        <w:t xml:space="preserve"> and Flight Standards Services (AFS) conducted a joint safety risk assessment of pilot medical non-disclosure in quarter four of fiscal year 2024 and quarter one of fiscal year 2025. Results of their assessment identified the need to validate a model of pilot medical-disclosure decision-making to better estimate safety risks.</w:t>
      </w:r>
    </w:p>
    <w:p w:rsidR="00893FF3" w:rsidRPr="00224A0A" w:rsidP="000E30FE" w14:paraId="63B83F72" w14:textId="77777777">
      <w:pPr>
        <w:ind w:firstLine="360"/>
        <w:rPr>
          <w:rFonts w:ascii="Arial" w:hAnsi="Arial" w:cs="Arial"/>
          <w:sz w:val="24"/>
          <w:szCs w:val="24"/>
        </w:rPr>
      </w:pPr>
      <w:r w:rsidRPr="00224A0A">
        <w:rPr>
          <w:rFonts w:ascii="Arial" w:hAnsi="Arial" w:cs="Arial"/>
          <w:sz w:val="24"/>
          <w:szCs w:val="24"/>
        </w:rPr>
        <w:t xml:space="preserve">To validate a model of pilot medical-disclosure decision-making, there is a need to collect survey-based indicators of factors which may or may not influence pilot decision making regarding their likelihood to disclose </w:t>
      </w:r>
      <w:r w:rsidRPr="00224A0A" w:rsidR="00D366A9">
        <w:rPr>
          <w:rFonts w:ascii="Arial" w:hAnsi="Arial" w:cs="Arial"/>
          <w:sz w:val="24"/>
          <w:szCs w:val="24"/>
        </w:rPr>
        <w:t xml:space="preserve">physical or mental health symptoms during the aeromedical certification process. The survey will ask pilots about their likelihood to disclose </w:t>
      </w:r>
      <w:r w:rsidRPr="00224A0A" w:rsidR="006E23CF">
        <w:rPr>
          <w:rFonts w:ascii="Arial" w:hAnsi="Arial" w:cs="Arial"/>
          <w:sz w:val="24"/>
          <w:szCs w:val="24"/>
        </w:rPr>
        <w:t>physical and mental</w:t>
      </w:r>
      <w:r w:rsidRPr="00224A0A" w:rsidR="00D366A9">
        <w:rPr>
          <w:rFonts w:ascii="Arial" w:hAnsi="Arial" w:cs="Arial"/>
          <w:sz w:val="24"/>
          <w:szCs w:val="24"/>
        </w:rPr>
        <w:t xml:space="preserve"> health symptoms, and their perceptions of factors </w:t>
      </w:r>
      <w:r w:rsidRPr="00224A0A" w:rsidR="00835911">
        <w:rPr>
          <w:rFonts w:ascii="Arial" w:hAnsi="Arial" w:cs="Arial"/>
          <w:sz w:val="24"/>
          <w:szCs w:val="24"/>
        </w:rPr>
        <w:t xml:space="preserve">that may </w:t>
      </w:r>
      <w:r w:rsidRPr="00224A0A" w:rsidR="00D366A9">
        <w:rPr>
          <w:rFonts w:ascii="Arial" w:hAnsi="Arial" w:cs="Arial"/>
          <w:sz w:val="24"/>
          <w:szCs w:val="24"/>
        </w:rPr>
        <w:t xml:space="preserve">influence their decision making. Pilots will also have an opportunity to rate the effectiveness of a variety of </w:t>
      </w:r>
      <w:r w:rsidRPr="00224A0A" w:rsidR="00835911">
        <w:rPr>
          <w:rFonts w:ascii="Arial" w:hAnsi="Arial" w:cs="Arial"/>
          <w:sz w:val="24"/>
          <w:szCs w:val="24"/>
        </w:rPr>
        <w:t>control actions</w:t>
      </w:r>
      <w:r w:rsidRPr="00224A0A" w:rsidR="00D366A9">
        <w:rPr>
          <w:rFonts w:ascii="Arial" w:hAnsi="Arial" w:cs="Arial"/>
          <w:sz w:val="24"/>
          <w:szCs w:val="24"/>
        </w:rPr>
        <w:t xml:space="preserve"> related to the aeromedical certification process. </w:t>
      </w:r>
    </w:p>
    <w:p w:rsidR="00EB3AED" w:rsidRPr="00224A0A" w:rsidP="00EB3AED" w14:paraId="2E66D2DB"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 xml:space="preserve">The sampling frame will be constructed from all cases of Air Transport Pilots having a certificate listed as issued, rather than deferred or denied, within the AMCS database. A simple random sampling strategy will be used. We will draw a random sample of n 1,950 ATP-certified pilots from the AMCS database, using random numbers to select without replacement. </w:t>
      </w:r>
    </w:p>
    <w:p w:rsidR="00EB3AED" w:rsidRPr="00224A0A" w:rsidP="00EB3AED" w14:paraId="39B3D840" w14:textId="77777777">
      <w:pPr>
        <w:shd w:val="clear" w:color="auto" w:fill="FFFFFF"/>
        <w:spacing w:before="240" w:after="0" w:line="240" w:lineRule="auto"/>
        <w:ind w:firstLine="360"/>
        <w:rPr>
          <w:rFonts w:ascii="Arial" w:eastAsia="Times New Roman" w:hAnsi="Arial" w:cs="Arial"/>
          <w:sz w:val="24"/>
          <w:szCs w:val="24"/>
        </w:rPr>
      </w:pPr>
    </w:p>
    <w:p w:rsidR="00EB3AED" w:rsidRPr="00224A0A" w:rsidP="00EB3AED" w14:paraId="437BEE09" w14:textId="77777777">
      <w:pPr>
        <w:ind w:firstLine="360"/>
        <w:rPr>
          <w:rFonts w:ascii="Arial" w:hAnsi="Arial" w:cs="Arial"/>
          <w:sz w:val="24"/>
          <w:szCs w:val="24"/>
        </w:rPr>
      </w:pPr>
      <w:r w:rsidRPr="00224A0A">
        <w:rPr>
          <w:rFonts w:ascii="Arial" w:eastAsia="Times New Roman" w:hAnsi="Arial" w:cs="Arial"/>
          <w:sz w:val="24"/>
          <w:szCs w:val="24"/>
        </w:rPr>
        <w:t>Sample Size Estimation. A power analysis was conducted using the pwrSEM Shiny application to estimate the minimum sample size required to detect direct and interaction effects in a constrained multi-group structural equation model (SEM). The model includes six latent predictor variables, four latent interaction terms, and one latent outcome variable. All structural paths were constrained to be equal across three randomly assigned survey conditions. The three survey conditions corresponding to hypothetical medical conditions critical to aviation safety. Participants will be asked to respond to survey items with one of the three medical conditions in mind.</w:t>
      </w:r>
    </w:p>
    <w:p w:rsidR="000430AE" w:rsidRPr="00224A0A" w:rsidP="00264D3E" w14:paraId="0467A07F" w14:textId="77777777">
      <w:pPr>
        <w:pStyle w:val="ListParagraph"/>
        <w:numPr>
          <w:ilvl w:val="0"/>
          <w:numId w:val="10"/>
        </w:numPr>
        <w:shd w:val="clear" w:color="auto" w:fill="FFFFFF"/>
        <w:spacing w:before="240" w:line="240" w:lineRule="auto"/>
        <w:rPr>
          <w:rFonts w:ascii="Arial" w:eastAsia="Times New Roman" w:hAnsi="Arial" w:cs="Arial"/>
          <w:b/>
          <w:bCs/>
          <w:sz w:val="24"/>
          <w:szCs w:val="24"/>
        </w:rPr>
      </w:pPr>
      <w:r w:rsidRPr="00224A0A">
        <w:rPr>
          <w:rFonts w:ascii="Arial" w:eastAsia="Times New Roman" w:hAnsi="Arial" w:cs="Arial"/>
          <w:b/>
          <w:bCs/>
          <w:sz w:val="24"/>
          <w:szCs w:val="24"/>
        </w:rPr>
        <w:t>Indicate how, by whom, and for what purpose the information is to be used. Except for a new collection, indicate the actual use the agency has made of the information received from the current collection.</w:t>
      </w:r>
    </w:p>
    <w:p w:rsidR="00585F9C" w:rsidRPr="00224A0A" w:rsidP="00491382" w14:paraId="1684D7B8" w14:textId="77777777">
      <w:pPr>
        <w:spacing w:before="240"/>
        <w:ind w:firstLine="360"/>
        <w:rPr>
          <w:rFonts w:ascii="Arial" w:eastAsia="Times New Roman" w:hAnsi="Arial" w:cs="Arial"/>
          <w:sz w:val="24"/>
          <w:szCs w:val="24"/>
        </w:rPr>
      </w:pPr>
      <w:r w:rsidRPr="00224A0A">
        <w:rPr>
          <w:rFonts w:ascii="Arial" w:eastAsia="Times New Roman" w:hAnsi="Arial" w:cs="Arial"/>
          <w:sz w:val="24"/>
          <w:szCs w:val="24"/>
        </w:rPr>
        <w:t>To validate a</w:t>
      </w:r>
      <w:r w:rsidRPr="00224A0A" w:rsidR="005552C0">
        <w:rPr>
          <w:rFonts w:ascii="Arial" w:eastAsia="Times New Roman" w:hAnsi="Arial" w:cs="Arial"/>
          <w:sz w:val="24"/>
          <w:szCs w:val="24"/>
        </w:rPr>
        <w:t xml:space="preserve"> new</w:t>
      </w:r>
      <w:r w:rsidRPr="00224A0A">
        <w:rPr>
          <w:rFonts w:ascii="Arial" w:eastAsia="Times New Roman" w:hAnsi="Arial" w:cs="Arial"/>
          <w:sz w:val="24"/>
          <w:szCs w:val="24"/>
        </w:rPr>
        <w:t xml:space="preserve"> </w:t>
      </w:r>
      <w:r w:rsidRPr="00224A0A" w:rsidR="005552C0">
        <w:rPr>
          <w:rFonts w:ascii="Arial" w:eastAsia="Times New Roman" w:hAnsi="Arial" w:cs="Arial"/>
          <w:sz w:val="24"/>
          <w:szCs w:val="24"/>
        </w:rPr>
        <w:t xml:space="preserve">research informed </w:t>
      </w:r>
      <w:r w:rsidRPr="00224A0A">
        <w:rPr>
          <w:rFonts w:ascii="Arial" w:eastAsia="Times New Roman" w:hAnsi="Arial" w:cs="Arial"/>
          <w:sz w:val="24"/>
          <w:szCs w:val="24"/>
        </w:rPr>
        <w:t xml:space="preserve">model of pilot medical-disclosure decision-making, we will use a survey to collect </w:t>
      </w:r>
      <w:r w:rsidRPr="00224A0A" w:rsidR="00FB6693">
        <w:rPr>
          <w:rFonts w:ascii="Arial" w:eastAsia="Times New Roman" w:hAnsi="Arial" w:cs="Arial"/>
          <w:sz w:val="24"/>
          <w:szCs w:val="24"/>
        </w:rPr>
        <w:t xml:space="preserve">information from </w:t>
      </w:r>
      <w:r w:rsidRPr="00224A0A" w:rsidR="002058E0">
        <w:rPr>
          <w:rFonts w:ascii="Arial" w:eastAsia="Times New Roman" w:hAnsi="Arial" w:cs="Arial"/>
          <w:sz w:val="24"/>
          <w:szCs w:val="24"/>
        </w:rPr>
        <w:t>Air Transport Pilot (Part 121)</w:t>
      </w:r>
      <w:r w:rsidRPr="00224A0A" w:rsidR="00FB6693">
        <w:rPr>
          <w:rFonts w:ascii="Arial" w:eastAsia="Times New Roman" w:hAnsi="Arial" w:cs="Arial"/>
          <w:sz w:val="24"/>
          <w:szCs w:val="24"/>
        </w:rPr>
        <w:t>.</w:t>
      </w:r>
      <w:r w:rsidRPr="00224A0A">
        <w:rPr>
          <w:rFonts w:ascii="Arial" w:eastAsia="Times New Roman" w:hAnsi="Arial" w:cs="Arial"/>
          <w:sz w:val="24"/>
          <w:szCs w:val="24"/>
        </w:rPr>
        <w:t xml:space="preserve"> </w:t>
      </w:r>
      <w:r w:rsidRPr="00224A0A" w:rsidR="00F17218">
        <w:rPr>
          <w:rFonts w:ascii="Arial" w:eastAsia="Times New Roman" w:hAnsi="Arial" w:cs="Arial"/>
          <w:sz w:val="24"/>
          <w:szCs w:val="24"/>
        </w:rPr>
        <w:t xml:space="preserve">We will use a voluntary online survey to collect information. We will invite a random sample of </w:t>
      </w:r>
      <w:r w:rsidRPr="00224A0A" w:rsidR="00244154">
        <w:rPr>
          <w:rFonts w:ascii="Arial" w:eastAsia="Times New Roman" w:hAnsi="Arial" w:cs="Arial"/>
          <w:sz w:val="24"/>
          <w:szCs w:val="24"/>
        </w:rPr>
        <w:t xml:space="preserve">Airline Transport Pilots represented in </w:t>
      </w:r>
      <w:r w:rsidRPr="00224A0A" w:rsidR="00832D5C">
        <w:rPr>
          <w:rFonts w:ascii="Arial" w:eastAsia="Times New Roman" w:hAnsi="Arial" w:cs="Arial"/>
          <w:sz w:val="24"/>
          <w:szCs w:val="24"/>
        </w:rPr>
        <w:t>a 2023</w:t>
      </w:r>
      <w:r w:rsidRPr="00224A0A" w:rsidR="00244154">
        <w:rPr>
          <w:rFonts w:ascii="Arial" w:eastAsia="Times New Roman" w:hAnsi="Arial" w:cs="Arial"/>
          <w:sz w:val="24"/>
          <w:szCs w:val="24"/>
        </w:rPr>
        <w:t xml:space="preserve"> aerospace medical certification database.</w:t>
      </w:r>
      <w:r w:rsidRPr="00224A0A" w:rsidR="005552C0">
        <w:rPr>
          <w:rFonts w:ascii="Arial" w:eastAsia="Times New Roman" w:hAnsi="Arial" w:cs="Arial"/>
          <w:sz w:val="24"/>
          <w:szCs w:val="24"/>
        </w:rPr>
        <w:t xml:space="preserve"> The 2023 database is the most up-to-date medical certification database in researchers possession.</w:t>
      </w:r>
      <w:r w:rsidRPr="00224A0A" w:rsidR="00FB6693">
        <w:rPr>
          <w:rFonts w:ascii="Arial" w:eastAsia="Times New Roman" w:hAnsi="Arial" w:cs="Arial"/>
          <w:sz w:val="24"/>
          <w:szCs w:val="24"/>
        </w:rPr>
        <w:t xml:space="preserve"> </w:t>
      </w:r>
      <w:r w:rsidRPr="00224A0A" w:rsidR="006B243B">
        <w:rPr>
          <w:rFonts w:ascii="Arial" w:hAnsi="Arial" w:cs="Arial"/>
          <w:sz w:val="24"/>
          <w:szCs w:val="24"/>
        </w:rPr>
        <w:t xml:space="preserve">This </w:t>
      </w:r>
      <w:r w:rsidRPr="00224A0A" w:rsidR="00FB6693">
        <w:rPr>
          <w:rFonts w:ascii="Arial" w:hAnsi="Arial" w:cs="Arial"/>
          <w:sz w:val="24"/>
          <w:szCs w:val="24"/>
        </w:rPr>
        <w:t>will be</w:t>
      </w:r>
      <w:r w:rsidRPr="00224A0A" w:rsidR="006B243B">
        <w:rPr>
          <w:rFonts w:ascii="Arial" w:hAnsi="Arial" w:cs="Arial"/>
          <w:sz w:val="24"/>
          <w:szCs w:val="24"/>
        </w:rPr>
        <w:t xml:space="preserve"> a one-time data collection effort. </w:t>
      </w:r>
    </w:p>
    <w:p w:rsidR="00FB6693" w:rsidRPr="00224A0A" w:rsidP="00FB6693" w14:paraId="01546E70" w14:textId="77777777">
      <w:pPr>
        <w:shd w:val="clear" w:color="auto" w:fill="FFFFFF"/>
        <w:spacing w:after="0" w:line="240" w:lineRule="auto"/>
        <w:ind w:firstLine="360"/>
        <w:rPr>
          <w:rFonts w:ascii="Arial" w:hAnsi="Arial" w:cs="Arial"/>
          <w:sz w:val="24"/>
          <w:szCs w:val="24"/>
        </w:rPr>
      </w:pPr>
      <w:r w:rsidRPr="00224A0A">
        <w:rPr>
          <w:rFonts w:ascii="Arial" w:hAnsi="Arial" w:cs="Arial"/>
          <w:sz w:val="24"/>
          <w:szCs w:val="24"/>
        </w:rPr>
        <w:t>The information to be collected will be in the form of</w:t>
      </w:r>
      <w:r w:rsidRPr="00224A0A" w:rsidR="00491382">
        <w:rPr>
          <w:rFonts w:ascii="Arial" w:hAnsi="Arial" w:cs="Arial"/>
          <w:sz w:val="24"/>
          <w:szCs w:val="24"/>
        </w:rPr>
        <w:t xml:space="preserve"> Air Transport Pilot </w:t>
      </w:r>
      <w:r w:rsidRPr="00224A0A">
        <w:rPr>
          <w:rFonts w:ascii="Arial" w:hAnsi="Arial" w:cs="Arial"/>
          <w:sz w:val="24"/>
          <w:szCs w:val="24"/>
        </w:rPr>
        <w:t xml:space="preserve">responses to </w:t>
      </w:r>
      <w:r w:rsidRPr="00224A0A" w:rsidR="00491382">
        <w:rPr>
          <w:rFonts w:ascii="Arial" w:hAnsi="Arial" w:cs="Arial"/>
          <w:sz w:val="24"/>
          <w:szCs w:val="24"/>
        </w:rPr>
        <w:t xml:space="preserve">survey </w:t>
      </w:r>
      <w:r w:rsidRPr="00224A0A">
        <w:rPr>
          <w:rFonts w:ascii="Arial" w:hAnsi="Arial" w:cs="Arial"/>
          <w:sz w:val="24"/>
          <w:szCs w:val="24"/>
        </w:rPr>
        <w:t>items asking about</w:t>
      </w:r>
      <w:r w:rsidRPr="00224A0A" w:rsidR="00585F9C">
        <w:rPr>
          <w:rFonts w:ascii="Arial" w:hAnsi="Arial" w:cs="Arial"/>
          <w:sz w:val="24"/>
          <w:szCs w:val="24"/>
        </w:rPr>
        <w:t>:</w:t>
      </w:r>
    </w:p>
    <w:p w:rsidR="00FB6693" w:rsidRPr="00224A0A" w:rsidP="00FB6693" w14:paraId="1F1D61D5" w14:textId="77777777">
      <w:pPr>
        <w:pStyle w:val="ListParagraph"/>
        <w:numPr>
          <w:ilvl w:val="0"/>
          <w:numId w:val="22"/>
        </w:numPr>
        <w:shd w:val="clear" w:color="auto" w:fill="FFFFFF"/>
        <w:spacing w:after="0" w:line="240" w:lineRule="auto"/>
        <w:rPr>
          <w:rFonts w:ascii="Arial" w:hAnsi="Arial" w:cs="Arial"/>
          <w:sz w:val="24"/>
          <w:szCs w:val="24"/>
        </w:rPr>
      </w:pPr>
      <w:r w:rsidRPr="00224A0A">
        <w:rPr>
          <w:rFonts w:ascii="Arial" w:hAnsi="Arial" w:cs="Arial"/>
          <w:sz w:val="24"/>
          <w:szCs w:val="24"/>
        </w:rPr>
        <w:t>Beliefs</w:t>
      </w:r>
      <w:r w:rsidRPr="00224A0A" w:rsidR="008512CA">
        <w:rPr>
          <w:rFonts w:ascii="Arial" w:hAnsi="Arial" w:cs="Arial"/>
          <w:sz w:val="24"/>
          <w:szCs w:val="24"/>
        </w:rPr>
        <w:t xml:space="preserve"> related to health symptom disclosure</w:t>
      </w:r>
      <w:r w:rsidRPr="00224A0A">
        <w:rPr>
          <w:rFonts w:ascii="Arial" w:hAnsi="Arial" w:cs="Arial"/>
          <w:sz w:val="24"/>
          <w:szCs w:val="24"/>
        </w:rPr>
        <w:t xml:space="preserve"> and aeromedical certification processes</w:t>
      </w:r>
    </w:p>
    <w:p w:rsidR="00893FF3" w:rsidRPr="00224A0A" w:rsidP="00FB6693" w14:paraId="453EE320" w14:textId="77777777">
      <w:pPr>
        <w:pStyle w:val="ListParagraph"/>
        <w:numPr>
          <w:ilvl w:val="0"/>
          <w:numId w:val="22"/>
        </w:numPr>
        <w:shd w:val="clear" w:color="auto" w:fill="FFFFFF"/>
        <w:spacing w:after="0" w:line="240" w:lineRule="auto"/>
        <w:rPr>
          <w:rFonts w:ascii="Arial" w:hAnsi="Arial" w:cs="Arial"/>
          <w:sz w:val="24"/>
          <w:szCs w:val="24"/>
        </w:rPr>
      </w:pPr>
      <w:r w:rsidRPr="00224A0A">
        <w:rPr>
          <w:rFonts w:ascii="Arial" w:hAnsi="Arial" w:cs="Arial"/>
          <w:sz w:val="24"/>
          <w:szCs w:val="24"/>
        </w:rPr>
        <w:t>Perceptions of proposed control measures for mitigating pilot medical symptom non-disclosure.</w:t>
      </w:r>
    </w:p>
    <w:p w:rsidR="00D3713C" w:rsidRPr="00224A0A" w:rsidP="00D3713C" w14:paraId="189C1131" w14:textId="77777777">
      <w:pPr>
        <w:pStyle w:val="ListParagraph"/>
        <w:numPr>
          <w:ilvl w:val="0"/>
          <w:numId w:val="22"/>
        </w:numPr>
        <w:shd w:val="clear" w:color="auto" w:fill="FFFFFF"/>
        <w:spacing w:after="0" w:line="240" w:lineRule="auto"/>
        <w:rPr>
          <w:rFonts w:ascii="Arial" w:hAnsi="Arial" w:cs="Arial"/>
          <w:sz w:val="24"/>
          <w:szCs w:val="24"/>
        </w:rPr>
      </w:pPr>
      <w:r w:rsidRPr="00224A0A">
        <w:rPr>
          <w:rFonts w:ascii="Arial" w:hAnsi="Arial" w:cs="Arial"/>
          <w:sz w:val="24"/>
          <w:szCs w:val="24"/>
        </w:rPr>
        <w:t xml:space="preserve">Demographics to include age, sex, and occupational characteristics. </w:t>
      </w:r>
      <w:r w:rsidRPr="00224A0A" w:rsidR="00A70704">
        <w:rPr>
          <w:rFonts w:ascii="Arial" w:hAnsi="Arial" w:cs="Arial"/>
          <w:sz w:val="24"/>
          <w:szCs w:val="24"/>
        </w:rPr>
        <w:t>Any demographic</w:t>
      </w:r>
      <w:r w:rsidRPr="00224A0A" w:rsidR="007711A7">
        <w:rPr>
          <w:rFonts w:ascii="Arial" w:hAnsi="Arial" w:cs="Arial"/>
          <w:sz w:val="24"/>
          <w:szCs w:val="24"/>
        </w:rPr>
        <w:t xml:space="preserve"> information disseminated to the public will be presented i</w:t>
      </w:r>
      <w:r w:rsidRPr="00224A0A" w:rsidR="00893FF3">
        <w:rPr>
          <w:rFonts w:ascii="Arial" w:hAnsi="Arial" w:cs="Arial"/>
          <w:sz w:val="24"/>
          <w:szCs w:val="24"/>
        </w:rPr>
        <w:t xml:space="preserve">n </w:t>
      </w:r>
      <w:r w:rsidRPr="00224A0A" w:rsidR="007711A7">
        <w:rPr>
          <w:rFonts w:ascii="Arial" w:hAnsi="Arial" w:cs="Arial"/>
          <w:sz w:val="24"/>
          <w:szCs w:val="24"/>
        </w:rPr>
        <w:t xml:space="preserve">aggregate form. </w:t>
      </w:r>
      <w:r w:rsidRPr="00224A0A" w:rsidR="003655D6">
        <w:rPr>
          <w:rFonts w:ascii="Arial" w:eastAsia="Times New Roman" w:hAnsi="Arial" w:cs="Arial"/>
          <w:sz w:val="24"/>
          <w:szCs w:val="24"/>
        </w:rPr>
        <w:t xml:space="preserve"> </w:t>
      </w:r>
    </w:p>
    <w:p w:rsidR="00AB07A4" w:rsidRPr="00224A0A" w:rsidP="00AB07A4" w14:paraId="364C3667" w14:textId="77777777">
      <w:pPr>
        <w:pStyle w:val="ListParagraph"/>
        <w:shd w:val="clear" w:color="auto" w:fill="FFFFFF"/>
        <w:spacing w:after="0" w:line="240" w:lineRule="auto"/>
        <w:ind w:left="1080"/>
        <w:rPr>
          <w:rFonts w:ascii="Arial" w:hAnsi="Arial" w:cs="Arial"/>
          <w:sz w:val="24"/>
          <w:szCs w:val="24"/>
        </w:rPr>
      </w:pPr>
    </w:p>
    <w:p w:rsidR="00AB07A4" w:rsidRPr="00224A0A" w:rsidP="00AB07A4" w14:paraId="24CFF0B3" w14:textId="77777777">
      <w:pPr>
        <w:ind w:firstLine="360"/>
        <w:rPr>
          <w:rFonts w:ascii="Arial" w:eastAsia="Times New Roman" w:hAnsi="Arial" w:cs="Arial"/>
          <w:sz w:val="24"/>
          <w:szCs w:val="24"/>
        </w:rPr>
      </w:pPr>
      <w:r w:rsidRPr="00224A0A">
        <w:rPr>
          <w:rFonts w:ascii="Arial" w:hAnsi="Arial" w:cs="Arial"/>
          <w:sz w:val="24"/>
          <w:szCs w:val="24"/>
        </w:rPr>
        <w:t xml:space="preserve">Results </w:t>
      </w:r>
      <w:r w:rsidRPr="00224A0A" w:rsidR="00D3713C">
        <w:rPr>
          <w:rFonts w:ascii="Arial" w:hAnsi="Arial" w:cs="Arial"/>
          <w:sz w:val="24"/>
          <w:szCs w:val="24"/>
        </w:rPr>
        <w:t xml:space="preserve">and information collected </w:t>
      </w:r>
      <w:r w:rsidRPr="00224A0A">
        <w:rPr>
          <w:rFonts w:ascii="Arial" w:hAnsi="Arial" w:cs="Arial"/>
          <w:sz w:val="24"/>
          <w:szCs w:val="24"/>
        </w:rPr>
        <w:t>from the survey will be briefed to project sponsors (AVS/AAM), the Safety Risk Management team, and the Federal Air Surgeon</w:t>
      </w:r>
      <w:r w:rsidRPr="00224A0A" w:rsidR="00217D70">
        <w:rPr>
          <w:rFonts w:ascii="Arial" w:hAnsi="Arial" w:cs="Arial"/>
          <w:sz w:val="24"/>
          <w:szCs w:val="24"/>
        </w:rPr>
        <w:t>.</w:t>
      </w:r>
      <w:r w:rsidRPr="00224A0A">
        <w:rPr>
          <w:rFonts w:ascii="Arial" w:eastAsia="Times New Roman" w:hAnsi="Arial" w:cs="Arial"/>
          <w:sz w:val="24"/>
          <w:szCs w:val="24"/>
        </w:rPr>
        <w:t xml:space="preserve"> </w:t>
      </w:r>
      <w:r w:rsidRPr="00224A0A" w:rsidR="00561E99">
        <w:rPr>
          <w:rFonts w:ascii="Arial" w:hAnsi="Arial" w:cs="Arial"/>
          <w:sz w:val="24"/>
          <w:szCs w:val="24"/>
        </w:rPr>
        <w:t>All information</w:t>
      </w:r>
      <w:r w:rsidRPr="00224A0A">
        <w:rPr>
          <w:rFonts w:ascii="Arial" w:hAnsi="Arial" w:cs="Arial"/>
          <w:sz w:val="24"/>
          <w:szCs w:val="24"/>
        </w:rPr>
        <w:t xml:space="preserve"> collected </w:t>
      </w:r>
      <w:r w:rsidRPr="00224A0A" w:rsidR="00561E99">
        <w:rPr>
          <w:rFonts w:ascii="Arial" w:hAnsi="Arial" w:cs="Arial"/>
          <w:sz w:val="24"/>
          <w:szCs w:val="24"/>
        </w:rPr>
        <w:t xml:space="preserve">from the survey </w:t>
      </w:r>
      <w:r w:rsidRPr="00224A0A">
        <w:rPr>
          <w:rFonts w:ascii="Arial" w:hAnsi="Arial" w:cs="Arial"/>
          <w:sz w:val="24"/>
          <w:szCs w:val="24"/>
        </w:rPr>
        <w:t xml:space="preserve">will be used by </w:t>
      </w:r>
      <w:r w:rsidRPr="00224A0A" w:rsidR="00087832">
        <w:rPr>
          <w:rFonts w:ascii="Arial" w:hAnsi="Arial" w:cs="Arial"/>
          <w:sz w:val="24"/>
          <w:szCs w:val="24"/>
        </w:rPr>
        <w:t>OAM</w:t>
      </w:r>
      <w:r w:rsidRPr="00224A0A">
        <w:rPr>
          <w:rFonts w:ascii="Arial" w:hAnsi="Arial" w:cs="Arial"/>
          <w:sz w:val="24"/>
          <w:szCs w:val="24"/>
        </w:rPr>
        <w:t xml:space="preserve"> and the Safety Risk Management team (</w:t>
      </w:r>
      <w:r w:rsidRPr="00224A0A" w:rsidR="00087832">
        <w:rPr>
          <w:rFonts w:ascii="Arial" w:hAnsi="Arial" w:cs="Arial"/>
          <w:sz w:val="24"/>
          <w:szCs w:val="24"/>
        </w:rPr>
        <w:t>SRM</w:t>
      </w:r>
      <w:r w:rsidRPr="00224A0A">
        <w:rPr>
          <w:rFonts w:ascii="Arial" w:hAnsi="Arial" w:cs="Arial"/>
          <w:sz w:val="24"/>
          <w:szCs w:val="24"/>
        </w:rPr>
        <w:t>) to:</w:t>
      </w:r>
    </w:p>
    <w:p w:rsidR="00AB07A4" w:rsidRPr="00224A0A" w:rsidP="00AB07A4" w14:paraId="5851D05A" w14:textId="77777777">
      <w:pPr>
        <w:pStyle w:val="ListParagraph"/>
        <w:numPr>
          <w:ilvl w:val="0"/>
          <w:numId w:val="23"/>
        </w:numPr>
        <w:rPr>
          <w:rFonts w:ascii="Arial" w:eastAsia="Times New Roman" w:hAnsi="Arial" w:cs="Arial"/>
          <w:sz w:val="24"/>
          <w:szCs w:val="24"/>
        </w:rPr>
      </w:pPr>
      <w:r w:rsidRPr="00224A0A">
        <w:rPr>
          <w:rFonts w:ascii="Arial" w:hAnsi="Arial" w:cs="Arial"/>
          <w:sz w:val="24"/>
          <w:szCs w:val="24"/>
        </w:rPr>
        <w:t>Aid in future safety risk assessments regarding the likelihood of pilot medical non-disclosure</w:t>
      </w:r>
    </w:p>
    <w:p w:rsidR="00AB07A4" w:rsidRPr="00224A0A" w:rsidP="00AB07A4" w14:paraId="55B2F7EB" w14:textId="77777777">
      <w:pPr>
        <w:pStyle w:val="ListParagraph"/>
        <w:numPr>
          <w:ilvl w:val="0"/>
          <w:numId w:val="23"/>
        </w:numPr>
        <w:rPr>
          <w:rFonts w:ascii="Arial" w:eastAsia="Times New Roman" w:hAnsi="Arial" w:cs="Arial"/>
          <w:sz w:val="24"/>
          <w:szCs w:val="24"/>
        </w:rPr>
      </w:pPr>
      <w:r w:rsidRPr="00224A0A">
        <w:rPr>
          <w:rFonts w:ascii="Arial" w:hAnsi="Arial" w:cs="Arial"/>
          <w:sz w:val="24"/>
          <w:szCs w:val="24"/>
        </w:rPr>
        <w:t>Validate a model of pilot medical disclosure decision-making</w:t>
      </w:r>
    </w:p>
    <w:p w:rsidR="00AB07A4" w:rsidRPr="00224A0A" w:rsidP="00AB07A4" w14:paraId="4DDDC970" w14:textId="77777777">
      <w:pPr>
        <w:pStyle w:val="ListParagraph"/>
        <w:numPr>
          <w:ilvl w:val="0"/>
          <w:numId w:val="23"/>
        </w:numPr>
        <w:rPr>
          <w:rFonts w:ascii="Arial" w:eastAsia="Times New Roman" w:hAnsi="Arial" w:cs="Arial"/>
          <w:sz w:val="24"/>
          <w:szCs w:val="24"/>
        </w:rPr>
      </w:pPr>
      <w:r w:rsidRPr="00224A0A">
        <w:rPr>
          <w:rFonts w:ascii="Arial" w:hAnsi="Arial" w:cs="Arial"/>
          <w:sz w:val="24"/>
          <w:szCs w:val="24"/>
        </w:rPr>
        <w:t xml:space="preserve">Inform the development of </w:t>
      </w:r>
      <w:r w:rsidRPr="00224A0A" w:rsidR="00A77344">
        <w:rPr>
          <w:rFonts w:ascii="Arial" w:hAnsi="Arial" w:cs="Arial"/>
          <w:sz w:val="24"/>
          <w:szCs w:val="24"/>
        </w:rPr>
        <w:t xml:space="preserve">new </w:t>
      </w:r>
      <w:r w:rsidRPr="00224A0A">
        <w:rPr>
          <w:rFonts w:ascii="Arial" w:hAnsi="Arial" w:cs="Arial"/>
          <w:sz w:val="24"/>
          <w:szCs w:val="24"/>
        </w:rPr>
        <w:t>control measures to mitigate the risk of pilot medical non-disclosure</w:t>
      </w:r>
    </w:p>
    <w:p w:rsidR="00A77344" w:rsidRPr="00224A0A" w:rsidP="00AB07A4" w14:paraId="5085AA13" w14:textId="77777777">
      <w:pPr>
        <w:pStyle w:val="ListParagraph"/>
        <w:numPr>
          <w:ilvl w:val="0"/>
          <w:numId w:val="23"/>
        </w:numPr>
        <w:rPr>
          <w:rFonts w:ascii="Arial" w:eastAsia="Times New Roman" w:hAnsi="Arial" w:cs="Arial"/>
          <w:sz w:val="24"/>
          <w:szCs w:val="24"/>
        </w:rPr>
      </w:pPr>
      <w:r w:rsidRPr="00224A0A">
        <w:rPr>
          <w:rFonts w:ascii="Arial" w:hAnsi="Arial" w:cs="Arial"/>
          <w:sz w:val="24"/>
          <w:szCs w:val="24"/>
        </w:rPr>
        <w:t>Assess Part 121 pilot satisfaction with potential control measures related to the aeromedical certification process.</w:t>
      </w:r>
    </w:p>
    <w:p w:rsidR="00AB07A4" w:rsidRPr="00224A0A" w:rsidP="00FC2BD1" w14:paraId="32DA7352" w14:textId="77777777">
      <w:pPr>
        <w:ind w:firstLine="360"/>
        <w:rPr>
          <w:rFonts w:ascii="Arial" w:hAnsi="Arial" w:cs="Arial"/>
          <w:sz w:val="24"/>
          <w:szCs w:val="24"/>
        </w:rPr>
      </w:pPr>
      <w:r w:rsidRPr="00224A0A">
        <w:rPr>
          <w:rFonts w:ascii="Arial" w:hAnsi="Arial" w:cs="Arial"/>
          <w:sz w:val="24"/>
          <w:szCs w:val="24"/>
        </w:rPr>
        <w:t xml:space="preserve">Publication of </w:t>
      </w:r>
      <w:r w:rsidRPr="00224A0A" w:rsidR="00F429FA">
        <w:rPr>
          <w:rFonts w:ascii="Arial" w:hAnsi="Arial" w:cs="Arial"/>
          <w:sz w:val="24"/>
          <w:szCs w:val="24"/>
        </w:rPr>
        <w:t xml:space="preserve">all </w:t>
      </w:r>
      <w:r w:rsidRPr="00224A0A">
        <w:rPr>
          <w:rFonts w:ascii="Arial" w:hAnsi="Arial" w:cs="Arial"/>
          <w:sz w:val="24"/>
          <w:szCs w:val="24"/>
        </w:rPr>
        <w:t xml:space="preserve">data </w:t>
      </w:r>
      <w:r w:rsidRPr="00224A0A" w:rsidR="00E57AA4">
        <w:rPr>
          <w:rFonts w:ascii="Arial" w:hAnsi="Arial" w:cs="Arial"/>
          <w:sz w:val="24"/>
          <w:szCs w:val="24"/>
        </w:rPr>
        <w:t>may be presented in aggregate form:</w:t>
      </w:r>
    </w:p>
    <w:p w:rsidR="00E57AA4" w:rsidRPr="00224A0A" w:rsidP="00AB07A4" w14:paraId="0186D128" w14:textId="77777777">
      <w:pPr>
        <w:pStyle w:val="ListParagraph"/>
        <w:numPr>
          <w:ilvl w:val="0"/>
          <w:numId w:val="24"/>
        </w:numPr>
        <w:rPr>
          <w:rFonts w:ascii="Arial" w:eastAsia="Times New Roman" w:hAnsi="Arial" w:cs="Arial"/>
          <w:sz w:val="24"/>
          <w:szCs w:val="24"/>
        </w:rPr>
      </w:pPr>
      <w:r w:rsidRPr="00224A0A">
        <w:rPr>
          <w:rFonts w:ascii="Arial" w:hAnsi="Arial" w:cs="Arial"/>
          <w:sz w:val="24"/>
          <w:szCs w:val="24"/>
        </w:rPr>
        <w:t>Within a p</w:t>
      </w:r>
      <w:r w:rsidRPr="00224A0A" w:rsidR="00583C97">
        <w:rPr>
          <w:rFonts w:ascii="Arial" w:hAnsi="Arial" w:cs="Arial"/>
          <w:sz w:val="24"/>
          <w:szCs w:val="24"/>
        </w:rPr>
        <w:t>eer-reviewed journal article in aggregate form</w:t>
      </w:r>
      <w:r w:rsidRPr="00224A0A" w:rsidR="00850B59">
        <w:rPr>
          <w:rFonts w:ascii="Arial" w:hAnsi="Arial" w:cs="Arial"/>
          <w:sz w:val="24"/>
          <w:szCs w:val="24"/>
        </w:rPr>
        <w:t xml:space="preserve"> </w:t>
      </w:r>
    </w:p>
    <w:p w:rsidR="00C64707" w:rsidRPr="00224A0A" w:rsidP="00AB07A4" w14:paraId="2C12A022" w14:textId="77777777">
      <w:pPr>
        <w:pStyle w:val="ListParagraph"/>
        <w:numPr>
          <w:ilvl w:val="0"/>
          <w:numId w:val="24"/>
        </w:numPr>
        <w:rPr>
          <w:rFonts w:ascii="Arial" w:eastAsia="Times New Roman" w:hAnsi="Arial" w:cs="Arial"/>
          <w:sz w:val="24"/>
          <w:szCs w:val="24"/>
        </w:rPr>
      </w:pPr>
      <w:r w:rsidRPr="00224A0A">
        <w:rPr>
          <w:rFonts w:ascii="Arial" w:hAnsi="Arial" w:cs="Arial"/>
          <w:sz w:val="24"/>
          <w:szCs w:val="24"/>
        </w:rPr>
        <w:t>At scientific meetings or conferences</w:t>
      </w:r>
    </w:p>
    <w:p w:rsidR="00C64707" w:rsidRPr="00224A0A" w:rsidP="00AB07A4" w14:paraId="6195FF75" w14:textId="77777777">
      <w:pPr>
        <w:ind w:firstLine="360"/>
        <w:rPr>
          <w:rFonts w:ascii="Arial" w:eastAsia="Times New Roman" w:hAnsi="Arial" w:cs="Arial"/>
          <w:sz w:val="24"/>
          <w:szCs w:val="24"/>
        </w:rPr>
      </w:pPr>
      <w:r w:rsidRPr="00224A0A">
        <w:rPr>
          <w:rFonts w:ascii="Arial" w:eastAsia="Times New Roman" w:hAnsi="Arial" w:cs="Arial"/>
          <w:sz w:val="24"/>
          <w:szCs w:val="24"/>
        </w:rPr>
        <w:t xml:space="preserve">It is anticipated that the information collected will be disseminated to the public or used to support publicly disseminated information. </w:t>
      </w:r>
      <w:r w:rsidRPr="00224A0A" w:rsidR="00A9607C">
        <w:rPr>
          <w:rFonts w:ascii="Arial" w:eastAsia="Times New Roman" w:hAnsi="Arial" w:cs="Arial"/>
          <w:sz w:val="24"/>
          <w:szCs w:val="24"/>
        </w:rPr>
        <w:t>FAA</w:t>
      </w:r>
      <w:r w:rsidRPr="00224A0A">
        <w:rPr>
          <w:rFonts w:ascii="Arial" w:eastAsia="Times New Roman" w:hAnsi="Arial" w:cs="Arial"/>
          <w:sz w:val="24"/>
          <w:szCs w:val="24"/>
        </w:rPr>
        <w:t xml:space="preserve"> </w:t>
      </w:r>
      <w:r w:rsidRPr="00224A0A" w:rsidR="00087832">
        <w:rPr>
          <w:rFonts w:ascii="Arial" w:eastAsia="Times New Roman" w:hAnsi="Arial" w:cs="Arial"/>
          <w:sz w:val="24"/>
          <w:szCs w:val="24"/>
        </w:rPr>
        <w:t>OAM</w:t>
      </w:r>
      <w:r w:rsidRPr="00224A0A" w:rsidR="004970CC">
        <w:rPr>
          <w:rFonts w:ascii="Arial" w:eastAsia="Times New Roman" w:hAnsi="Arial" w:cs="Arial"/>
          <w:sz w:val="24"/>
          <w:szCs w:val="24"/>
        </w:rPr>
        <w:t xml:space="preserve"> </w:t>
      </w:r>
      <w:r w:rsidRPr="00224A0A">
        <w:rPr>
          <w:rFonts w:ascii="Arial" w:eastAsia="Times New Roman" w:hAnsi="Arial" w:cs="Arial"/>
          <w:sz w:val="24"/>
          <w:szCs w:val="24"/>
        </w:rPr>
        <w:t xml:space="preserve">will retain control over the information and safeguard it from improper access, modification, and destruction, consistent with </w:t>
      </w:r>
      <w:r w:rsidRPr="00224A0A" w:rsidR="00A9607C">
        <w:rPr>
          <w:rFonts w:ascii="Arial" w:eastAsia="Times New Roman" w:hAnsi="Arial" w:cs="Arial"/>
          <w:sz w:val="24"/>
          <w:szCs w:val="24"/>
        </w:rPr>
        <w:t>FAA</w:t>
      </w:r>
      <w:r w:rsidRPr="00224A0A">
        <w:rPr>
          <w:rFonts w:ascii="Arial" w:eastAsia="Times New Roman" w:hAnsi="Arial" w:cs="Arial"/>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w:t>
      </w:r>
    </w:p>
    <w:p w:rsidR="00EE06B4" w:rsidRPr="00224A0A" w:rsidP="00EE06B4" w14:paraId="52761F4E" w14:textId="77777777">
      <w:pPr>
        <w:pStyle w:val="ListParagraph"/>
        <w:rPr>
          <w:rFonts w:ascii="Arial" w:eastAsia="Times New Roman" w:hAnsi="Arial" w:cs="Arial"/>
          <w:sz w:val="24"/>
          <w:szCs w:val="24"/>
        </w:rPr>
      </w:pPr>
    </w:p>
    <w:p w:rsidR="00C64707" w:rsidRPr="00224A0A" w:rsidP="005C2101" w14:paraId="189BD5CB" w14:textId="77777777">
      <w:pPr>
        <w:pStyle w:val="ListParagraph"/>
        <w:numPr>
          <w:ilvl w:val="0"/>
          <w:numId w:val="10"/>
        </w:numPr>
        <w:shd w:val="clear" w:color="auto" w:fill="FFFFFF"/>
        <w:spacing w:line="240" w:lineRule="auto"/>
        <w:rPr>
          <w:rFonts w:ascii="Arial" w:eastAsia="Times New Roman" w:hAnsi="Arial" w:cs="Arial"/>
          <w:sz w:val="24"/>
          <w:szCs w:val="24"/>
        </w:rPr>
      </w:pPr>
      <w:r w:rsidRPr="00224A0A">
        <w:rPr>
          <w:rFonts w:ascii="Arial" w:eastAsia="Times New Roman" w:hAnsi="Arial" w:cs="Arial"/>
          <w:b/>
          <w:bCs/>
          <w:sz w:val="24"/>
          <w:szCs w:val="24"/>
        </w:rPr>
        <w:t>Describe whether, and to what extent, the collection of information involves the use of automated, electronic, mechanical, or other technological collection techniques or other forms of information technology.</w:t>
      </w:r>
    </w:p>
    <w:p w:rsidR="00574F3F" w:rsidRPr="00224A0A" w:rsidP="00574F3F" w14:paraId="2D659A26"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Invitation to participate in the survey will be delivered by e-mail</w:t>
      </w:r>
      <w:r w:rsidRPr="00224A0A" w:rsidR="00861DAA">
        <w:rPr>
          <w:rFonts w:ascii="Arial" w:eastAsia="Times New Roman" w:hAnsi="Arial" w:cs="Arial"/>
          <w:sz w:val="24"/>
          <w:szCs w:val="24"/>
        </w:rPr>
        <w:t xml:space="preserve"> and postal service mail</w:t>
      </w:r>
      <w:r w:rsidRPr="00224A0A" w:rsidR="00FC2BD1">
        <w:rPr>
          <w:rFonts w:ascii="Arial" w:eastAsia="Times New Roman" w:hAnsi="Arial" w:cs="Arial"/>
          <w:sz w:val="24"/>
          <w:szCs w:val="24"/>
        </w:rPr>
        <w:t xml:space="preserve">, and 100% pilots invited to participate in the survey will be asked to complete the survey online. Invitation letters will include information on how to complete the survey online via unique internet address. Responses to the survey will be anonymous and no personally identifying information will be collected. </w:t>
      </w:r>
      <w:r w:rsidRPr="00224A0A">
        <w:rPr>
          <w:rFonts w:ascii="Arial" w:eastAsia="Times New Roman" w:hAnsi="Arial" w:cs="Arial"/>
          <w:sz w:val="24"/>
          <w:szCs w:val="24"/>
        </w:rPr>
        <w:t xml:space="preserve">Once a participant submits their response to the online survey, they will no longer have access to the survey. Participants may contact the researcher and request a link to access their response if they need to make changes. </w:t>
      </w:r>
    </w:p>
    <w:p w:rsidR="007B4E1C" w:rsidRPr="00224A0A" w:rsidP="007B4E1C" w14:paraId="2DD76FA2"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 xml:space="preserve">The online survey will be available to </w:t>
      </w:r>
      <w:r w:rsidRPr="00224A0A" w:rsidR="00861DAA">
        <w:rPr>
          <w:rFonts w:ascii="Arial" w:eastAsia="Times New Roman" w:hAnsi="Arial" w:cs="Arial"/>
          <w:sz w:val="24"/>
          <w:szCs w:val="24"/>
        </w:rPr>
        <w:t>be completed</w:t>
      </w:r>
      <w:r w:rsidRPr="00224A0A">
        <w:rPr>
          <w:rFonts w:ascii="Arial" w:eastAsia="Times New Roman" w:hAnsi="Arial" w:cs="Arial"/>
          <w:sz w:val="24"/>
          <w:szCs w:val="24"/>
        </w:rPr>
        <w:t xml:space="preserve"> 24/7 for </w:t>
      </w:r>
      <w:r w:rsidRPr="00224A0A" w:rsidR="00861DAA">
        <w:rPr>
          <w:rFonts w:ascii="Arial" w:eastAsia="Times New Roman" w:hAnsi="Arial" w:cs="Arial"/>
          <w:sz w:val="24"/>
          <w:szCs w:val="24"/>
        </w:rPr>
        <w:t>365</w:t>
      </w:r>
      <w:r w:rsidRPr="00224A0A">
        <w:rPr>
          <w:rFonts w:ascii="Arial" w:eastAsia="Times New Roman" w:hAnsi="Arial" w:cs="Arial"/>
          <w:sz w:val="24"/>
          <w:szCs w:val="24"/>
        </w:rPr>
        <w:t xml:space="preserve"> days from when the invitation was originally mailed</w:t>
      </w:r>
      <w:r w:rsidRPr="00224A0A" w:rsidR="00861DAA">
        <w:rPr>
          <w:rFonts w:ascii="Arial" w:eastAsia="Times New Roman" w:hAnsi="Arial" w:cs="Arial"/>
          <w:sz w:val="24"/>
          <w:szCs w:val="24"/>
        </w:rPr>
        <w:t xml:space="preserve"> or until respondent quota is met, whichever occurs first</w:t>
      </w:r>
      <w:r w:rsidRPr="00224A0A">
        <w:rPr>
          <w:rFonts w:ascii="Arial" w:eastAsia="Times New Roman" w:hAnsi="Arial" w:cs="Arial"/>
          <w:sz w:val="24"/>
          <w:szCs w:val="24"/>
        </w:rPr>
        <w:t>. Reminders to complete the survey will be sent to non-responders via e-mail, at 2</w:t>
      </w:r>
      <w:r w:rsidRPr="00224A0A" w:rsidR="00A83CBF">
        <w:rPr>
          <w:rFonts w:ascii="Arial" w:eastAsia="Times New Roman" w:hAnsi="Arial" w:cs="Arial"/>
          <w:sz w:val="24"/>
          <w:szCs w:val="24"/>
        </w:rPr>
        <w:t>-</w:t>
      </w:r>
      <w:r w:rsidRPr="00224A0A">
        <w:rPr>
          <w:rFonts w:ascii="Arial" w:eastAsia="Times New Roman" w:hAnsi="Arial" w:cs="Arial"/>
          <w:sz w:val="24"/>
          <w:szCs w:val="24"/>
        </w:rPr>
        <w:t>week intervals during the data collection period. Recipients will be given the option to ‘opt out’ of receiving additional reminders.</w:t>
      </w:r>
    </w:p>
    <w:p w:rsidR="00C64707" w:rsidRPr="00224A0A" w:rsidP="007B4E1C" w14:paraId="3CE26CCC"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Finally, r</w:t>
      </w:r>
      <w:r w:rsidRPr="00224A0A" w:rsidR="00921282">
        <w:rPr>
          <w:rFonts w:ascii="Arial" w:eastAsia="Times New Roman" w:hAnsi="Arial" w:cs="Arial"/>
          <w:sz w:val="24"/>
          <w:szCs w:val="24"/>
        </w:rPr>
        <w:t>esults of the survey may be presented over the internet via</w:t>
      </w:r>
      <w:r w:rsidRPr="00224A0A">
        <w:rPr>
          <w:rFonts w:ascii="Arial" w:eastAsia="Times New Roman" w:hAnsi="Arial" w:cs="Arial"/>
          <w:sz w:val="24"/>
          <w:szCs w:val="24"/>
        </w:rPr>
        <w:t xml:space="preserve"> o</w:t>
      </w:r>
      <w:r w:rsidRPr="00224A0A" w:rsidR="00921282">
        <w:rPr>
          <w:rFonts w:ascii="Arial" w:eastAsia="Times New Roman" w:hAnsi="Arial" w:cs="Arial"/>
          <w:sz w:val="24"/>
          <w:szCs w:val="24"/>
        </w:rPr>
        <w:t>nline scientific journals</w:t>
      </w:r>
      <w:r w:rsidRPr="00224A0A">
        <w:rPr>
          <w:rFonts w:ascii="Arial" w:eastAsia="Times New Roman" w:hAnsi="Arial" w:cs="Arial"/>
          <w:sz w:val="24"/>
          <w:szCs w:val="24"/>
        </w:rPr>
        <w:t xml:space="preserve"> and the OAM technical report series.</w:t>
      </w:r>
      <w:r w:rsidRPr="00224A0A">
        <w:rPr>
          <w:rFonts w:ascii="Arial" w:eastAsia="Times New Roman" w:hAnsi="Arial" w:cs="Arial"/>
          <w:sz w:val="24"/>
          <w:szCs w:val="24"/>
        </w:rPr>
        <w:br/>
      </w:r>
    </w:p>
    <w:p w:rsidR="00CA4F60" w:rsidRPr="00224A0A" w:rsidP="007B4E1C" w14:paraId="5574AADF"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Describe efforts to identify duplication. Show specifically why any similar information already available cannot be used or modified for use for the purposes described in Item 2 above.</w:t>
      </w:r>
    </w:p>
    <w:p w:rsidR="00C64707" w:rsidRPr="00224A0A" w:rsidP="007B4E1C" w14:paraId="77CC01E7"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 xml:space="preserve">This is the only </w:t>
      </w:r>
      <w:r w:rsidRPr="00224A0A" w:rsidR="00AA322F">
        <w:rPr>
          <w:rFonts w:ascii="Arial" w:eastAsia="Times New Roman" w:hAnsi="Arial" w:cs="Arial"/>
          <w:sz w:val="24"/>
          <w:szCs w:val="24"/>
        </w:rPr>
        <w:t>data collection effort to solicit perceptions related to pilot medical disclosure decision making at the FAA.</w:t>
      </w:r>
      <w:r w:rsidRPr="00224A0A" w:rsidR="007B4E1C">
        <w:rPr>
          <w:rFonts w:ascii="Arial" w:eastAsia="Times New Roman" w:hAnsi="Arial" w:cs="Arial"/>
          <w:sz w:val="24"/>
          <w:szCs w:val="24"/>
        </w:rPr>
        <w:t xml:space="preserve"> </w:t>
      </w:r>
      <w:r w:rsidRPr="00224A0A" w:rsidR="00A94FF9">
        <w:rPr>
          <w:rFonts w:ascii="Arial" w:eastAsia="Times New Roman" w:hAnsi="Arial" w:cs="Arial"/>
          <w:sz w:val="24"/>
          <w:szCs w:val="24"/>
        </w:rPr>
        <w:t xml:space="preserve">No other information sources have been identified which would provide the required information. </w:t>
      </w:r>
      <w:r w:rsidRPr="00224A0A" w:rsidR="007B4E1C">
        <w:rPr>
          <w:rFonts w:ascii="Arial" w:eastAsia="Times New Roman" w:hAnsi="Arial" w:cs="Arial"/>
          <w:sz w:val="24"/>
          <w:szCs w:val="24"/>
        </w:rPr>
        <w:t>Airline Transport Pilots</w:t>
      </w:r>
      <w:r w:rsidRPr="00224A0A" w:rsidR="00B7725F">
        <w:rPr>
          <w:rFonts w:ascii="Arial" w:eastAsia="Times New Roman" w:hAnsi="Arial" w:cs="Arial"/>
          <w:sz w:val="24"/>
          <w:szCs w:val="24"/>
        </w:rPr>
        <w:t xml:space="preserve"> pilots are the only source of information to assess the factors that </w:t>
      </w:r>
      <w:r w:rsidRPr="00224A0A" w:rsidR="007F3E98">
        <w:rPr>
          <w:rFonts w:ascii="Arial" w:eastAsia="Times New Roman" w:hAnsi="Arial" w:cs="Arial"/>
          <w:sz w:val="24"/>
          <w:szCs w:val="24"/>
        </w:rPr>
        <w:t xml:space="preserve">career </w:t>
      </w:r>
      <w:r w:rsidRPr="00224A0A" w:rsidR="00B7725F">
        <w:rPr>
          <w:rFonts w:ascii="Arial" w:eastAsia="Times New Roman" w:hAnsi="Arial" w:cs="Arial"/>
          <w:sz w:val="24"/>
          <w:szCs w:val="24"/>
        </w:rPr>
        <w:t xml:space="preserve">pilots consider when deciding </w:t>
      </w:r>
      <w:r w:rsidRPr="00224A0A" w:rsidR="001E32EF">
        <w:rPr>
          <w:rFonts w:ascii="Arial" w:eastAsia="Times New Roman" w:hAnsi="Arial" w:cs="Arial"/>
          <w:sz w:val="24"/>
          <w:szCs w:val="24"/>
        </w:rPr>
        <w:t>whether</w:t>
      </w:r>
      <w:r w:rsidRPr="00224A0A" w:rsidR="00B7725F">
        <w:rPr>
          <w:rFonts w:ascii="Arial" w:eastAsia="Times New Roman" w:hAnsi="Arial" w:cs="Arial"/>
          <w:sz w:val="24"/>
          <w:szCs w:val="24"/>
        </w:rPr>
        <w:t xml:space="preserve"> to disclose </w:t>
      </w:r>
      <w:r w:rsidRPr="00224A0A" w:rsidR="008B0CDD">
        <w:rPr>
          <w:rFonts w:ascii="Arial" w:eastAsia="Times New Roman" w:hAnsi="Arial" w:cs="Arial"/>
          <w:sz w:val="24"/>
          <w:szCs w:val="24"/>
        </w:rPr>
        <w:t xml:space="preserve">medical information during the aeromedical </w:t>
      </w:r>
      <w:r w:rsidRPr="00224A0A" w:rsidR="00D023E9">
        <w:rPr>
          <w:rFonts w:ascii="Arial" w:eastAsia="Times New Roman" w:hAnsi="Arial" w:cs="Arial"/>
          <w:sz w:val="24"/>
          <w:szCs w:val="24"/>
        </w:rPr>
        <w:t>evaluations.</w:t>
      </w:r>
      <w:r w:rsidRPr="00224A0A">
        <w:rPr>
          <w:rFonts w:ascii="Arial" w:eastAsia="Times New Roman" w:hAnsi="Arial" w:cs="Arial"/>
          <w:sz w:val="24"/>
          <w:szCs w:val="24"/>
        </w:rPr>
        <w:br/>
      </w:r>
    </w:p>
    <w:p w:rsidR="00C64707" w:rsidRPr="00224A0A" w:rsidP="00EE06B4" w14:paraId="6871F367" w14:textId="77777777">
      <w:pPr>
        <w:pStyle w:val="ListParagraph"/>
        <w:numPr>
          <w:ilvl w:val="0"/>
          <w:numId w:val="10"/>
        </w:numPr>
        <w:shd w:val="clear" w:color="auto" w:fill="FFFFFF"/>
        <w:spacing w:line="240" w:lineRule="auto"/>
        <w:rPr>
          <w:rFonts w:ascii="Arial" w:eastAsia="Times New Roman" w:hAnsi="Arial" w:cs="Arial"/>
          <w:sz w:val="24"/>
          <w:szCs w:val="24"/>
        </w:rPr>
      </w:pPr>
      <w:r w:rsidRPr="00224A0A">
        <w:rPr>
          <w:rFonts w:ascii="Arial" w:eastAsia="Times New Roman" w:hAnsi="Arial" w:cs="Arial"/>
          <w:b/>
          <w:bCs/>
          <w:sz w:val="24"/>
          <w:szCs w:val="24"/>
        </w:rPr>
        <w:t>If the collection of information involves small businesses or other small entities, describe the methods used to minimize burden.</w:t>
      </w:r>
    </w:p>
    <w:p w:rsidR="00C64707" w:rsidRPr="00224A0A" w:rsidP="007F3E98" w14:paraId="76939340" w14:textId="77777777">
      <w:pPr>
        <w:shd w:val="clear" w:color="auto" w:fill="FFFFFF"/>
        <w:spacing w:before="240" w:after="0" w:line="240" w:lineRule="auto"/>
        <w:rPr>
          <w:rFonts w:ascii="Arial" w:eastAsia="Times New Roman" w:hAnsi="Arial" w:cs="Arial"/>
          <w:sz w:val="24"/>
          <w:szCs w:val="24"/>
        </w:rPr>
      </w:pPr>
      <w:r w:rsidRPr="00224A0A">
        <w:rPr>
          <w:rFonts w:ascii="Arial" w:eastAsia="Times New Roman" w:hAnsi="Arial" w:cs="Arial"/>
          <w:sz w:val="24"/>
          <w:szCs w:val="24"/>
        </w:rPr>
        <w:t>This collection of information does not involve small businesses or other small entities.</w:t>
      </w:r>
      <w:r w:rsidRPr="00224A0A">
        <w:rPr>
          <w:rFonts w:ascii="Arial" w:eastAsia="Times New Roman" w:hAnsi="Arial" w:cs="Arial"/>
          <w:sz w:val="24"/>
          <w:szCs w:val="24"/>
        </w:rPr>
        <w:br/>
      </w:r>
    </w:p>
    <w:p w:rsidR="00C64707" w:rsidRPr="00224A0A" w:rsidP="00EE06B4" w14:paraId="1685007A" w14:textId="77777777">
      <w:pPr>
        <w:pStyle w:val="ListParagraph"/>
        <w:numPr>
          <w:ilvl w:val="0"/>
          <w:numId w:val="10"/>
        </w:numPr>
        <w:shd w:val="clear" w:color="auto" w:fill="FFFFFF"/>
        <w:spacing w:line="240" w:lineRule="auto"/>
        <w:rPr>
          <w:rFonts w:ascii="Arial" w:eastAsia="Times New Roman" w:hAnsi="Arial" w:cs="Arial"/>
          <w:sz w:val="24"/>
          <w:szCs w:val="24"/>
        </w:rPr>
      </w:pPr>
      <w:r w:rsidRPr="00224A0A">
        <w:rPr>
          <w:rFonts w:ascii="Arial" w:eastAsia="Times New Roman" w:hAnsi="Arial" w:cs="Arial"/>
          <w:b/>
          <w:bCs/>
          <w:sz w:val="24"/>
          <w:szCs w:val="24"/>
        </w:rPr>
        <w:t xml:space="preserve">Describe the </w:t>
      </w:r>
      <w:r w:rsidRPr="00224A0A" w:rsidR="00AA24BA">
        <w:rPr>
          <w:rFonts w:ascii="Arial" w:eastAsia="Times New Roman" w:hAnsi="Arial" w:cs="Arial"/>
          <w:b/>
          <w:bCs/>
          <w:sz w:val="24"/>
          <w:szCs w:val="24"/>
        </w:rPr>
        <w:t>consequences</w:t>
      </w:r>
      <w:r w:rsidRPr="00224A0A">
        <w:rPr>
          <w:rFonts w:ascii="Arial" w:eastAsia="Times New Roman" w:hAnsi="Arial" w:cs="Arial"/>
          <w:b/>
          <w:bCs/>
          <w:sz w:val="24"/>
          <w:szCs w:val="24"/>
        </w:rPr>
        <w:t xml:space="preserve"> to Federal program or policy activities if the collection is not conducted or is conducted less frequently, as well as any technical or legal obstacles to reducing burden.</w:t>
      </w:r>
    </w:p>
    <w:p w:rsidR="00C64707" w:rsidRPr="00224A0A" w:rsidP="007F3E98" w14:paraId="07701679" w14:textId="77777777">
      <w:p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Failure to collect the information will seriously jeopardize</w:t>
      </w:r>
      <w:r w:rsidRPr="00224A0A" w:rsidR="00005C24">
        <w:rPr>
          <w:rFonts w:ascii="Arial" w:eastAsia="Times New Roman" w:hAnsi="Arial" w:cs="Arial"/>
          <w:sz w:val="24"/>
          <w:szCs w:val="24"/>
        </w:rPr>
        <w:t xml:space="preserve"> Aviation Safety</w:t>
      </w:r>
      <w:r w:rsidRPr="00224A0A">
        <w:rPr>
          <w:rFonts w:ascii="Arial" w:eastAsia="Times New Roman" w:hAnsi="Arial" w:cs="Arial"/>
          <w:sz w:val="24"/>
          <w:szCs w:val="24"/>
        </w:rPr>
        <w:t xml:space="preserve"> </w:t>
      </w:r>
      <w:r w:rsidRPr="00224A0A" w:rsidR="00005C24">
        <w:rPr>
          <w:rFonts w:ascii="Arial" w:eastAsia="Times New Roman" w:hAnsi="Arial" w:cs="Arial"/>
          <w:sz w:val="24"/>
          <w:szCs w:val="24"/>
        </w:rPr>
        <w:t>(</w:t>
      </w:r>
      <w:r w:rsidRPr="00224A0A" w:rsidR="004750BF">
        <w:rPr>
          <w:rFonts w:ascii="Arial" w:eastAsia="Times New Roman" w:hAnsi="Arial" w:cs="Arial"/>
          <w:sz w:val="24"/>
          <w:szCs w:val="24"/>
        </w:rPr>
        <w:t>AVS</w:t>
      </w:r>
      <w:r w:rsidRPr="00224A0A" w:rsidR="00005C24">
        <w:rPr>
          <w:rFonts w:ascii="Arial" w:eastAsia="Times New Roman" w:hAnsi="Arial" w:cs="Arial"/>
          <w:sz w:val="24"/>
          <w:szCs w:val="24"/>
        </w:rPr>
        <w:t>)</w:t>
      </w:r>
      <w:r w:rsidRPr="00224A0A" w:rsidR="004750BF">
        <w:rPr>
          <w:rFonts w:ascii="Arial" w:eastAsia="Times New Roman" w:hAnsi="Arial" w:cs="Arial"/>
          <w:sz w:val="24"/>
          <w:szCs w:val="24"/>
        </w:rPr>
        <w:t>/</w:t>
      </w:r>
      <w:r w:rsidRPr="00224A0A" w:rsidR="00005C24">
        <w:rPr>
          <w:rFonts w:ascii="Arial" w:eastAsia="Times New Roman" w:hAnsi="Arial" w:cs="Arial"/>
          <w:sz w:val="24"/>
          <w:szCs w:val="24"/>
        </w:rPr>
        <w:t xml:space="preserve"> Office of Aerospace Medicine (</w:t>
      </w:r>
      <w:r w:rsidRPr="00224A0A" w:rsidR="004750BF">
        <w:rPr>
          <w:rFonts w:ascii="Arial" w:eastAsia="Times New Roman" w:hAnsi="Arial" w:cs="Arial"/>
          <w:sz w:val="24"/>
          <w:szCs w:val="24"/>
        </w:rPr>
        <w:t>AAM</w:t>
      </w:r>
      <w:r w:rsidRPr="00224A0A" w:rsidR="00005C24">
        <w:rPr>
          <w:rFonts w:ascii="Arial" w:eastAsia="Times New Roman" w:hAnsi="Arial" w:cs="Arial"/>
          <w:sz w:val="24"/>
          <w:szCs w:val="24"/>
        </w:rPr>
        <w:t>),</w:t>
      </w:r>
      <w:r w:rsidRPr="00224A0A" w:rsidR="00087832">
        <w:rPr>
          <w:rFonts w:ascii="Arial" w:eastAsia="Times New Roman" w:hAnsi="Arial" w:cs="Arial"/>
          <w:sz w:val="24"/>
          <w:szCs w:val="24"/>
        </w:rPr>
        <w:t xml:space="preserve"> and </w:t>
      </w:r>
      <w:r w:rsidRPr="00224A0A" w:rsidR="00005C24">
        <w:rPr>
          <w:rFonts w:ascii="Arial" w:eastAsia="Times New Roman" w:hAnsi="Arial" w:cs="Arial"/>
          <w:sz w:val="24"/>
          <w:szCs w:val="24"/>
        </w:rPr>
        <w:t>Safety Risk Management (</w:t>
      </w:r>
      <w:r w:rsidRPr="00224A0A" w:rsidR="00087832">
        <w:rPr>
          <w:rFonts w:ascii="Arial" w:eastAsia="Times New Roman" w:hAnsi="Arial" w:cs="Arial"/>
          <w:sz w:val="24"/>
          <w:szCs w:val="24"/>
        </w:rPr>
        <w:t>SRM</w:t>
      </w:r>
      <w:r w:rsidRPr="00224A0A" w:rsidR="00005C24">
        <w:rPr>
          <w:rFonts w:ascii="Arial" w:eastAsia="Times New Roman" w:hAnsi="Arial" w:cs="Arial"/>
          <w:sz w:val="24"/>
          <w:szCs w:val="24"/>
        </w:rPr>
        <w:t>)</w:t>
      </w:r>
      <w:r w:rsidRPr="00224A0A">
        <w:rPr>
          <w:rFonts w:ascii="Arial" w:eastAsia="Times New Roman" w:hAnsi="Arial" w:cs="Arial"/>
          <w:sz w:val="24"/>
          <w:szCs w:val="24"/>
        </w:rPr>
        <w:t xml:space="preserve"> efforts to mitigate instances of pilot medical non-disclosure.</w:t>
      </w:r>
      <w:r w:rsidRPr="00224A0A" w:rsidR="007F3E98">
        <w:rPr>
          <w:rFonts w:ascii="Arial" w:eastAsia="Times New Roman" w:hAnsi="Arial" w:cs="Arial"/>
          <w:sz w:val="24"/>
          <w:szCs w:val="24"/>
        </w:rPr>
        <w:t xml:space="preserve"> </w:t>
      </w:r>
      <w:r w:rsidRPr="00224A0A" w:rsidR="002B7041">
        <w:rPr>
          <w:rFonts w:ascii="Arial" w:eastAsia="Times New Roman" w:hAnsi="Arial" w:cs="Arial"/>
          <w:sz w:val="24"/>
          <w:szCs w:val="24"/>
        </w:rPr>
        <w:t xml:space="preserve">Without responses </w:t>
      </w:r>
      <w:r w:rsidRPr="00224A0A" w:rsidR="00AB5AC2">
        <w:rPr>
          <w:rFonts w:ascii="Arial" w:eastAsia="Times New Roman" w:hAnsi="Arial" w:cs="Arial"/>
          <w:sz w:val="24"/>
          <w:szCs w:val="24"/>
        </w:rPr>
        <w:t xml:space="preserve">from </w:t>
      </w:r>
      <w:r w:rsidRPr="00224A0A" w:rsidR="004750BF">
        <w:rPr>
          <w:rFonts w:ascii="Arial" w:eastAsia="Times New Roman" w:hAnsi="Arial" w:cs="Arial"/>
          <w:sz w:val="24"/>
          <w:szCs w:val="24"/>
        </w:rPr>
        <w:t>Airline Transport Pilots, project stakeholders</w:t>
      </w:r>
      <w:r w:rsidRPr="00224A0A" w:rsidR="00AB5AC2">
        <w:rPr>
          <w:rFonts w:ascii="Arial" w:eastAsia="Times New Roman" w:hAnsi="Arial" w:cs="Arial"/>
          <w:sz w:val="24"/>
          <w:szCs w:val="24"/>
        </w:rPr>
        <w:t xml:space="preserve"> will be unable to validate a model to be used for pilot </w:t>
      </w:r>
      <w:r w:rsidRPr="00224A0A" w:rsidR="00AB5AC2">
        <w:rPr>
          <w:rFonts w:ascii="Arial" w:eastAsia="Times New Roman" w:hAnsi="Arial" w:cs="Arial"/>
          <w:sz w:val="24"/>
          <w:szCs w:val="24"/>
        </w:rPr>
        <w:t>medical disclosure decision making</w:t>
      </w:r>
      <w:r w:rsidRPr="00224A0A" w:rsidR="00070D2C">
        <w:rPr>
          <w:rFonts w:ascii="Arial" w:eastAsia="Times New Roman" w:hAnsi="Arial" w:cs="Arial"/>
          <w:sz w:val="24"/>
          <w:szCs w:val="24"/>
        </w:rPr>
        <w:t xml:space="preserve"> risk assessment.</w:t>
      </w:r>
      <w:r w:rsidRPr="00224A0A">
        <w:rPr>
          <w:rFonts w:ascii="Arial" w:eastAsia="Times New Roman" w:hAnsi="Arial" w:cs="Arial"/>
          <w:sz w:val="24"/>
          <w:szCs w:val="24"/>
        </w:rPr>
        <w:br/>
      </w:r>
    </w:p>
    <w:p w:rsidR="00C64707" w:rsidRPr="00224A0A" w:rsidP="00CA4F60" w14:paraId="721AE4BD"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Explain any special circumstances that would cause an information collection to be conducted in a manner:</w:t>
      </w:r>
    </w:p>
    <w:p w:rsidR="00C64707" w:rsidRPr="00224A0A" w:rsidP="00F941EB" w14:paraId="0CC61D20" w14:textId="77777777">
      <w:pPr>
        <w:shd w:val="clear" w:color="auto" w:fill="FFFFFF"/>
        <w:spacing w:before="240" w:after="0" w:line="240" w:lineRule="auto"/>
        <w:rPr>
          <w:rFonts w:ascii="Arial" w:eastAsia="Times New Roman" w:hAnsi="Arial" w:cs="Arial"/>
          <w:sz w:val="24"/>
          <w:szCs w:val="24"/>
        </w:rPr>
      </w:pPr>
      <w:r w:rsidRPr="00224A0A">
        <w:rPr>
          <w:rFonts w:ascii="Arial" w:eastAsia="Times New Roman" w:hAnsi="Arial" w:cs="Arial"/>
          <w:sz w:val="24"/>
          <w:szCs w:val="24"/>
        </w:rPr>
        <w:t>No special circumstances exist.</w:t>
      </w:r>
      <w:r w:rsidRPr="00224A0A">
        <w:rPr>
          <w:rFonts w:ascii="Arial" w:eastAsia="Times New Roman" w:hAnsi="Arial" w:cs="Arial"/>
          <w:sz w:val="24"/>
          <w:szCs w:val="24"/>
        </w:rPr>
        <w:br/>
      </w:r>
    </w:p>
    <w:p w:rsidR="00C64707" w:rsidRPr="00224A0A" w:rsidP="00CA4F60" w14:paraId="27580ED9"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A4F60" w:rsidRPr="00224A0A" w:rsidP="00CA4F60" w14:paraId="783E537A" w14:textId="77777777">
      <w:pPr>
        <w:pStyle w:val="ListParagraph"/>
        <w:shd w:val="clear" w:color="auto" w:fill="FFFFFF"/>
        <w:spacing w:after="0" w:line="240" w:lineRule="auto"/>
        <w:ind w:left="360"/>
        <w:rPr>
          <w:rFonts w:ascii="Arial" w:eastAsia="Times New Roman" w:hAnsi="Arial" w:cs="Arial"/>
          <w:sz w:val="24"/>
          <w:szCs w:val="24"/>
        </w:rPr>
      </w:pPr>
    </w:p>
    <w:p w:rsidR="00E6361D" w:rsidP="00F941EB" w14:paraId="2582E274" w14:textId="77777777">
      <w:pPr>
        <w:shd w:val="clear" w:color="auto" w:fill="FFFFFF"/>
        <w:spacing w:after="0" w:line="240" w:lineRule="auto"/>
        <w:ind w:firstLine="360"/>
        <w:rPr>
          <w:rFonts w:ascii="Arial" w:eastAsia="Times New Roman" w:hAnsi="Arial" w:cs="Arial"/>
          <w:sz w:val="24"/>
          <w:szCs w:val="24"/>
        </w:rPr>
      </w:pPr>
      <w:r w:rsidRPr="00224A0A">
        <w:rPr>
          <w:rFonts w:ascii="Arial" w:eastAsia="Times New Roman" w:hAnsi="Arial" w:cs="Arial"/>
          <w:sz w:val="24"/>
          <w:szCs w:val="24"/>
        </w:rPr>
        <w:t>A Federal Register Notice</w:t>
      </w:r>
      <w:r w:rsidRPr="00224A0A" w:rsidR="00861DAA">
        <w:rPr>
          <w:rFonts w:ascii="Arial" w:eastAsia="Times New Roman" w:hAnsi="Arial" w:cs="Arial"/>
          <w:sz w:val="24"/>
          <w:szCs w:val="24"/>
        </w:rPr>
        <w:t xml:space="preserve"> 90 FR 24487,</w:t>
      </w:r>
      <w:r w:rsidRPr="00224A0A" w:rsidR="00624E21">
        <w:rPr>
          <w:rFonts w:ascii="Arial" w:eastAsia="Times New Roman" w:hAnsi="Arial" w:cs="Arial"/>
          <w:sz w:val="24"/>
          <w:szCs w:val="24"/>
        </w:rPr>
        <w:t xml:space="preserve"> </w:t>
      </w:r>
      <w:r w:rsidRPr="00224A0A">
        <w:rPr>
          <w:rFonts w:ascii="Arial" w:eastAsia="Times New Roman" w:hAnsi="Arial" w:cs="Arial"/>
          <w:sz w:val="24"/>
          <w:szCs w:val="24"/>
        </w:rPr>
        <w:t xml:space="preserve">published on </w:t>
      </w:r>
      <w:r w:rsidRPr="00224A0A" w:rsidR="00861DAA">
        <w:rPr>
          <w:rFonts w:ascii="Arial" w:eastAsia="Times New Roman" w:hAnsi="Arial" w:cs="Arial"/>
          <w:sz w:val="24"/>
          <w:szCs w:val="24"/>
        </w:rPr>
        <w:t>June 10, 2025</w:t>
      </w:r>
      <w:r w:rsidRPr="00224A0A">
        <w:rPr>
          <w:rFonts w:ascii="Arial" w:eastAsia="Times New Roman" w:hAnsi="Arial" w:cs="Arial"/>
          <w:sz w:val="24"/>
          <w:szCs w:val="24"/>
        </w:rPr>
        <w:t xml:space="preserve"> solicited public comments. </w:t>
      </w:r>
      <w:r>
        <w:rPr>
          <w:rFonts w:ascii="Arial" w:eastAsia="Times New Roman" w:hAnsi="Arial" w:cs="Arial"/>
          <w:sz w:val="24"/>
          <w:szCs w:val="24"/>
        </w:rPr>
        <w:t xml:space="preserve">One comment was received from Captain Travis Ludwig representing Air Line Pilot Association, International ALPA. The comments provided ALPA support and recommended optional areas of improvements. Recommendations include methods to increase protective anonymity, independent oversight, legal data protection, data reporting, and response evaluation. Several recommendations were already well documented and implemented in the study’s design. </w:t>
      </w:r>
    </w:p>
    <w:p w:rsidR="00867B53" w:rsidRPr="00224A0A" w:rsidP="00F941EB" w14:paraId="0A155574" w14:textId="404FC30F">
      <w:pPr>
        <w:shd w:val="clear" w:color="auto" w:fill="FFFFFF"/>
        <w:spacing w:after="0" w:line="240" w:lineRule="auto"/>
        <w:ind w:firstLine="360"/>
        <w:rPr>
          <w:rFonts w:ascii="Arial" w:eastAsia="Times New Roman" w:hAnsi="Arial" w:cs="Arial"/>
          <w:sz w:val="24"/>
          <w:szCs w:val="24"/>
        </w:rPr>
      </w:pPr>
      <w:r>
        <w:rPr>
          <w:rFonts w:ascii="Arial" w:eastAsia="Times New Roman" w:hAnsi="Arial" w:cs="Arial"/>
          <w:sz w:val="24"/>
          <w:szCs w:val="24"/>
        </w:rPr>
        <w:t>As a response to the comment received from ALPA on Federal Register Notice 90 FR 24487, the FAA has established a Memorandum of Understanding (MOU) with ALPA International to hold an independent advisory board to ensure all concerns and recommendations are satisfactory to both parties. Independent advisory board includes ALPA representatives, external non-FAA researcher from Rice University, pilot representatives, and researchers to oversee study design, data management, and reporting.</w:t>
      </w:r>
      <w:r w:rsidR="007A3902">
        <w:rPr>
          <w:rFonts w:ascii="Arial" w:eastAsia="Times New Roman" w:hAnsi="Arial" w:cs="Arial"/>
          <w:sz w:val="24"/>
          <w:szCs w:val="24"/>
        </w:rPr>
        <w:t xml:space="preserve"> See supplemental document “60 Days Comment Matrix” for a detailed breakdown of recommendations from comment, action, and researcher’s response.</w:t>
      </w:r>
    </w:p>
    <w:p w:rsidR="00C64707" w:rsidRPr="00224A0A" w:rsidP="00C64707" w14:paraId="6F7BE66E" w14:textId="77777777">
      <w:pPr>
        <w:shd w:val="clear" w:color="auto" w:fill="FFFFFF"/>
        <w:spacing w:after="0" w:line="240" w:lineRule="auto"/>
        <w:rPr>
          <w:rFonts w:ascii="Arial" w:eastAsia="Times New Roman" w:hAnsi="Arial" w:cs="Arial"/>
          <w:sz w:val="24"/>
          <w:szCs w:val="24"/>
        </w:rPr>
      </w:pPr>
    </w:p>
    <w:p w:rsidR="00C64707" w:rsidRPr="00224A0A" w:rsidP="00CA4F60" w14:paraId="7F43F900"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Explain any decisions to provide payments or gifts to respondents, other than remuneration of contractors or grantees.</w:t>
      </w:r>
    </w:p>
    <w:p w:rsidR="00C64707" w:rsidRPr="00224A0A" w:rsidP="00F941EB" w14:paraId="6DB47CB1" w14:textId="77777777">
      <w:pPr>
        <w:shd w:val="clear" w:color="auto" w:fill="FFFFFF"/>
        <w:spacing w:before="240" w:after="0" w:line="240" w:lineRule="auto"/>
        <w:rPr>
          <w:rFonts w:ascii="Arial" w:eastAsia="Times New Roman" w:hAnsi="Arial" w:cs="Arial"/>
          <w:sz w:val="24"/>
          <w:szCs w:val="24"/>
        </w:rPr>
      </w:pPr>
      <w:r w:rsidRPr="00224A0A">
        <w:rPr>
          <w:rFonts w:ascii="Arial" w:eastAsia="Times New Roman" w:hAnsi="Arial" w:cs="Arial"/>
          <w:sz w:val="24"/>
          <w:szCs w:val="24"/>
        </w:rPr>
        <w:t xml:space="preserve">Participants will be reimbursed $25.00 </w:t>
      </w:r>
      <w:r w:rsidRPr="00224A0A" w:rsidR="00F813E2">
        <w:rPr>
          <w:rFonts w:ascii="Arial" w:eastAsia="Times New Roman" w:hAnsi="Arial" w:cs="Arial"/>
          <w:sz w:val="24"/>
          <w:szCs w:val="24"/>
        </w:rPr>
        <w:t>via Electronic Gift Card upon completion of the survey. Participant must indicate correct answer on attention check in order to receive reimbursement, as will be indicated on the survey’s instructions and informed consent.</w:t>
      </w:r>
      <w:r w:rsidRPr="00224A0A" w:rsidR="00E95688">
        <w:rPr>
          <w:rFonts w:ascii="Arial" w:eastAsia="Times New Roman" w:hAnsi="Arial" w:cs="Arial"/>
          <w:sz w:val="24"/>
          <w:szCs w:val="24"/>
        </w:rPr>
        <w:t xml:space="preserve"> Reimbursement amount aligns with average hourly wage for participant population at 10 minutes of burden.</w:t>
      </w:r>
      <w:r w:rsidRPr="00224A0A">
        <w:rPr>
          <w:rFonts w:ascii="Arial" w:eastAsia="Times New Roman" w:hAnsi="Arial" w:cs="Arial"/>
          <w:sz w:val="24"/>
          <w:szCs w:val="24"/>
        </w:rPr>
        <w:br/>
      </w:r>
    </w:p>
    <w:p w:rsidR="00C64707" w:rsidRPr="00224A0A" w:rsidP="005C2101" w14:paraId="402090B5"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Describe any assurance of confidentiality provided to respondents and the basis for assurance in statute, regulation, or agency policy.</w:t>
      </w:r>
    </w:p>
    <w:p w:rsidR="00061970" w:rsidRPr="00224A0A" w:rsidP="00C64707" w14:paraId="3C5C33B7" w14:textId="77777777">
      <w:pPr>
        <w:shd w:val="clear" w:color="auto" w:fill="FFFFFF"/>
        <w:spacing w:after="0" w:line="240" w:lineRule="auto"/>
        <w:rPr>
          <w:rFonts w:ascii="Arial" w:eastAsia="Times New Roman" w:hAnsi="Arial" w:cs="Arial"/>
          <w:b/>
          <w:bCs/>
          <w:sz w:val="24"/>
          <w:szCs w:val="24"/>
        </w:rPr>
      </w:pPr>
    </w:p>
    <w:p w:rsidR="00C64707" w:rsidRPr="00224A0A" w:rsidP="00266C36" w14:paraId="3838C3A8" w14:textId="77777777">
      <w:pPr>
        <w:ind w:firstLine="360"/>
        <w:rPr>
          <w:rFonts w:ascii="Arial" w:hAnsi="Arial" w:cs="Arial"/>
        </w:rPr>
      </w:pPr>
      <w:r w:rsidRPr="00224A0A">
        <w:rPr>
          <w:rFonts w:ascii="Arial" w:hAnsi="Arial" w:cs="Arial"/>
          <w:sz w:val="24"/>
          <w:szCs w:val="24"/>
        </w:rPr>
        <w:t xml:space="preserve">All data provided will be kept private to the extent possible by law. To preclude the identification of individual responses, all identifying information will be removed from the survey data prior to use by the FAA. Only analyses and reports of aggregate data will </w:t>
      </w:r>
      <w:r w:rsidRPr="00224A0A">
        <w:rPr>
          <w:rFonts w:ascii="Arial" w:hAnsi="Arial" w:cs="Arial"/>
          <w:sz w:val="24"/>
          <w:szCs w:val="24"/>
        </w:rPr>
        <w:t>be produced and released. The opinion data will be collected, analyzed, and reported in accordance with guidelines from the Office of the Secretary of Transportation on Customer Service Standards.</w:t>
      </w:r>
      <w:r w:rsidRPr="00224A0A">
        <w:rPr>
          <w:rFonts w:ascii="Arial" w:eastAsia="Times New Roman" w:hAnsi="Arial" w:cs="Arial"/>
          <w:b/>
          <w:bCs/>
          <w:sz w:val="24"/>
          <w:szCs w:val="24"/>
        </w:rPr>
        <w:br/>
      </w:r>
    </w:p>
    <w:p w:rsidR="00C64707" w:rsidRPr="00224A0A" w:rsidP="005C2101" w14:paraId="74B6C524"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Provide additional justification for any questions of a sensitive nature, such as sexual behavior and attitudes, religious beliefs, and other matters that are commonly considered private.</w:t>
      </w:r>
    </w:p>
    <w:p w:rsidR="00C64707" w:rsidRPr="00224A0A" w:rsidP="00EB3AED" w14:paraId="22B5F05D" w14:textId="77777777">
      <w:pPr>
        <w:shd w:val="clear" w:color="auto" w:fill="FFFFFF"/>
        <w:spacing w:before="240" w:after="0" w:line="240" w:lineRule="auto"/>
        <w:ind w:firstLine="360"/>
        <w:rPr>
          <w:rFonts w:ascii="Arial" w:eastAsia="Times New Roman" w:hAnsi="Arial" w:cs="Arial"/>
          <w:sz w:val="24"/>
          <w:szCs w:val="24"/>
        </w:rPr>
      </w:pPr>
      <w:r w:rsidRPr="00224A0A">
        <w:rPr>
          <w:rFonts w:ascii="Arial" w:eastAsia="Times New Roman" w:hAnsi="Arial" w:cs="Arial"/>
          <w:sz w:val="24"/>
          <w:szCs w:val="24"/>
        </w:rPr>
        <w:t>The survey will not ask questions of a sensitive nature relating to sexual behavior, religious attitudes, or other matters common</w:t>
      </w:r>
      <w:r w:rsidRPr="00224A0A" w:rsidR="00D52679">
        <w:rPr>
          <w:rFonts w:ascii="Arial" w:eastAsia="Times New Roman" w:hAnsi="Arial" w:cs="Arial"/>
          <w:sz w:val="24"/>
          <w:szCs w:val="24"/>
        </w:rPr>
        <w:t>ly</w:t>
      </w:r>
      <w:r w:rsidRPr="00224A0A">
        <w:rPr>
          <w:rFonts w:ascii="Arial" w:eastAsia="Times New Roman" w:hAnsi="Arial" w:cs="Arial"/>
          <w:sz w:val="24"/>
          <w:szCs w:val="24"/>
        </w:rPr>
        <w:t xml:space="preserve"> considered private</w:t>
      </w:r>
      <w:r w:rsidRPr="00224A0A" w:rsidR="00D52679">
        <w:rPr>
          <w:rFonts w:ascii="Arial" w:eastAsia="Times New Roman" w:hAnsi="Arial" w:cs="Arial"/>
          <w:sz w:val="24"/>
          <w:szCs w:val="24"/>
        </w:rPr>
        <w:t>.</w:t>
      </w:r>
      <w:r w:rsidRPr="00224A0A">
        <w:rPr>
          <w:rFonts w:ascii="Arial" w:eastAsia="Times New Roman" w:hAnsi="Arial" w:cs="Arial"/>
          <w:sz w:val="24"/>
          <w:szCs w:val="24"/>
        </w:rPr>
        <w:br/>
      </w:r>
    </w:p>
    <w:p w:rsidR="00C64707" w:rsidRPr="00224A0A" w:rsidP="00B47FBF" w14:paraId="38D2E40C"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 xml:space="preserve">Provide estimates of the hour burden of the collection of information. </w:t>
      </w:r>
    </w:p>
    <w:p w:rsidR="00C64707" w:rsidRPr="00224A0A" w:rsidP="00BD5322" w14:paraId="0D83660C"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AA24BA" w:rsidRPr="00224A0A" w:rsidP="00AA24BA" w14:paraId="04EE8AFE"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47FBF" w:rsidRPr="00224A0A" w:rsidP="00D45F07" w14:paraId="6947A272" w14:textId="16F34541">
      <w:p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b/>
          <w:bCs/>
          <w:sz w:val="24"/>
          <w:szCs w:val="24"/>
        </w:rPr>
        <w:tab/>
      </w:r>
      <w:r w:rsidRPr="00224A0A">
        <w:rPr>
          <w:rFonts w:ascii="Arial" w:eastAsia="Times New Roman" w:hAnsi="Arial" w:cs="Arial"/>
          <w:sz w:val="24"/>
          <w:szCs w:val="24"/>
        </w:rPr>
        <w:t xml:space="preserve">The Survey Collection for this study expect a minimum of 1,950 respondents </w:t>
      </w:r>
      <w:r w:rsidRPr="00224A0A" w:rsidR="0050353E">
        <w:rPr>
          <w:rFonts w:ascii="Arial" w:eastAsia="Times New Roman" w:hAnsi="Arial" w:cs="Arial"/>
          <w:sz w:val="24"/>
          <w:szCs w:val="24"/>
        </w:rPr>
        <w:t xml:space="preserve">total or an average of 650 respondents per year. </w:t>
      </w:r>
      <w:r w:rsidRPr="00224A0A">
        <w:rPr>
          <w:rFonts w:ascii="Arial" w:hAnsi="Arial" w:cs="Arial"/>
          <w:sz w:val="24"/>
          <w:szCs w:val="24"/>
        </w:rPr>
        <w:t>When responding to online surveys participants complete 7-8 questions per minute on average. Based on the number of survey items, we expect participants to complete the survey in 10 minutes.</w:t>
      </w:r>
      <w:r w:rsidRPr="00224A0A" w:rsidR="0050353E">
        <w:rPr>
          <w:rFonts w:ascii="Arial" w:hAnsi="Arial" w:cs="Arial"/>
          <w:sz w:val="24"/>
          <w:szCs w:val="24"/>
        </w:rPr>
        <w:t xml:space="preserve"> </w:t>
      </w:r>
      <w:r w:rsidRPr="00224A0A">
        <w:rPr>
          <w:rFonts w:ascii="Arial" w:eastAsia="Times New Roman" w:hAnsi="Arial" w:cs="Arial"/>
          <w:sz w:val="24"/>
          <w:szCs w:val="24"/>
        </w:rPr>
        <w:t xml:space="preserve">Historical surveys of Part 121 pilots suggest a response rate of 35%. </w:t>
      </w:r>
    </w:p>
    <w:p w:rsidR="00B47FBF" w:rsidRPr="00224A0A" w:rsidP="00B47FBF" w14:paraId="7C2FDC6E" w14:textId="77777777">
      <w:pPr>
        <w:shd w:val="clear" w:color="auto" w:fill="FFFFFF"/>
        <w:ind w:left="360"/>
        <w:rPr>
          <w:rFonts w:ascii="Arial" w:eastAsia="Times New Roman" w:hAnsi="Arial" w:cs="Arial"/>
          <w:sz w:val="24"/>
          <w:szCs w:val="24"/>
        </w:rPr>
      </w:pPr>
      <w:r w:rsidRPr="00224A0A">
        <w:rPr>
          <w:rFonts w:ascii="Arial" w:eastAsia="Times New Roman" w:hAnsi="Arial" w:cs="Arial"/>
          <w:i/>
          <w:iCs/>
          <w:sz w:val="24"/>
          <w:szCs w:val="24"/>
        </w:rPr>
        <w:t>Annual hour burden:</w:t>
      </w:r>
      <w:r w:rsidRPr="00224A0A">
        <w:rPr>
          <w:rFonts w:ascii="Arial" w:eastAsia="Times New Roman" w:hAnsi="Arial" w:cs="Arial"/>
          <w:sz w:val="24"/>
          <w:szCs w:val="24"/>
        </w:rPr>
        <w:t xml:space="preserve"> It is estimated that, on average, respondents will require about 10-15 minutes to complete the online survey. The estimated hour burden for each data collection cycle is 0.16 under the most likely response rate of 35% (i.e. 1,950 responses / 0.16 hours or 15 minutes). The base annual wage for pilots per Bureau of Labor Statistics Data is $198,100</w:t>
      </w:r>
      <w:r>
        <w:rPr>
          <w:vertAlign w:val="superscript"/>
        </w:rPr>
        <w:footnoteReference w:id="2"/>
      </w:r>
      <w:r w:rsidRPr="00224A0A">
        <w:rPr>
          <w:rFonts w:ascii="Arial" w:eastAsia="Times New Roman" w:hAnsi="Arial" w:cs="Arial"/>
          <w:sz w:val="24"/>
          <w:szCs w:val="24"/>
        </w:rPr>
        <w:t xml:space="preserve">. The fully burdened annual salary including </w:t>
      </w:r>
      <w:r w:rsidRPr="00224A0A">
        <w:rPr>
          <w:rFonts w:ascii="Arial" w:eastAsia="Times New Roman" w:hAnsi="Arial" w:cs="Arial"/>
          <w:sz w:val="24"/>
          <w:szCs w:val="24"/>
        </w:rPr>
        <w:t>fringe benefits and overhead according to the Department of Health and Human Services is a factor of 2 of the base wage, coming to $297,150</w:t>
      </w:r>
      <w:r>
        <w:rPr>
          <w:rFonts w:ascii="Arial" w:eastAsia="Times New Roman" w:hAnsi="Arial" w:cs="Arial"/>
          <w:sz w:val="24"/>
          <w:szCs w:val="24"/>
          <w:vertAlign w:val="superscript"/>
        </w:rPr>
        <w:footnoteReference w:id="3"/>
      </w:r>
      <w:r w:rsidRPr="00224A0A">
        <w:rPr>
          <w:rFonts w:ascii="Arial" w:eastAsia="Times New Roman" w:hAnsi="Arial" w:cs="Arial"/>
          <w:sz w:val="24"/>
          <w:szCs w:val="24"/>
        </w:rPr>
        <w:t>. The hourly wage at the fully burdened rate is $142.86 ($297,150/52 weeks/40 hours).The estimated cost per data collection cycle, at a cost of approximately $22.8 per respondent (i.e., $125 x 0.16 hours), would be approximately $48,750 (i.e., 1,950 responses x $25 per response).</w:t>
      </w:r>
    </w:p>
    <w:p w:rsidR="00B47FBF" w:rsidRPr="00224A0A" w:rsidP="00B47FBF" w14:paraId="5328732D" w14:textId="77777777">
      <w:pPr>
        <w:shd w:val="clear" w:color="auto" w:fill="FFFFFF"/>
        <w:ind w:left="360"/>
        <w:rPr>
          <w:rFonts w:ascii="Arial" w:eastAsia="Times New Roman" w:hAnsi="Arial" w:cs="Arial"/>
          <w:sz w:val="24"/>
          <w:szCs w:val="24"/>
          <w:highlight w:val="yellow"/>
        </w:rPr>
      </w:pPr>
    </w:p>
    <w:tbl>
      <w:tblPr>
        <w:tblW w:w="9140" w:type="dxa"/>
        <w:jc w:val="center"/>
        <w:tblLook w:val="04A0"/>
      </w:tblPr>
      <w:tblGrid>
        <w:gridCol w:w="3853"/>
        <w:gridCol w:w="2870"/>
        <w:gridCol w:w="2417"/>
      </w:tblGrid>
      <w:tr w14:paraId="256E8AA3" w14:textId="77777777" w:rsidTr="00D53BA0">
        <w:tblPrEx>
          <w:tblW w:w="9140" w:type="dxa"/>
          <w:jc w:val="center"/>
          <w:tblLook w:val="04A0"/>
        </w:tblPrEx>
        <w:trPr>
          <w:trHeight w:val="468"/>
          <w:jc w:val="center"/>
        </w:trPr>
        <w:tc>
          <w:tcPr>
            <w:tcW w:w="3853" w:type="dxa"/>
            <w:tcBorders>
              <w:top w:val="single" w:sz="4" w:space="0" w:color="auto"/>
              <w:left w:val="single" w:sz="4" w:space="0" w:color="auto"/>
              <w:bottom w:val="single" w:sz="4" w:space="0" w:color="auto"/>
              <w:right w:val="single" w:sz="4" w:space="0" w:color="auto"/>
            </w:tcBorders>
            <w:noWrap/>
            <w:vAlign w:val="bottom"/>
            <w:hideMark/>
          </w:tcPr>
          <w:p w:rsidR="00B47FBF" w:rsidRPr="00224A0A" w:rsidP="00D53BA0" w14:paraId="51D77211" w14:textId="77777777">
            <w:pPr>
              <w:shd w:val="clear" w:color="auto" w:fill="FFFFFF"/>
              <w:ind w:left="360"/>
              <w:rPr>
                <w:rFonts w:ascii="Arial" w:eastAsia="Times New Roman" w:hAnsi="Arial" w:cs="Arial"/>
                <w:sz w:val="24"/>
                <w:szCs w:val="24"/>
              </w:rPr>
            </w:pPr>
            <w:r w:rsidRPr="00224A0A">
              <w:rPr>
                <w:rFonts w:ascii="Arial" w:eastAsia="Times New Roman" w:hAnsi="Arial" w:cs="Arial"/>
                <w:b/>
                <w:sz w:val="24"/>
                <w:szCs w:val="24"/>
              </w:rPr>
              <w:t>Summary</w:t>
            </w:r>
            <w:r w:rsidRPr="00224A0A">
              <w:rPr>
                <w:rFonts w:ascii="Arial" w:eastAsia="Times New Roman" w:hAnsi="Arial" w:cs="Arial"/>
                <w:sz w:val="24"/>
                <w:szCs w:val="24"/>
              </w:rPr>
              <w:t xml:space="preserve"> (Annual numbers)</w:t>
            </w:r>
          </w:p>
        </w:tc>
        <w:tc>
          <w:tcPr>
            <w:tcW w:w="2870" w:type="dxa"/>
            <w:tcBorders>
              <w:top w:val="single" w:sz="4" w:space="0" w:color="auto"/>
              <w:left w:val="nil"/>
              <w:bottom w:val="single" w:sz="4" w:space="0" w:color="auto"/>
              <w:right w:val="single" w:sz="4" w:space="0" w:color="auto"/>
            </w:tcBorders>
            <w:noWrap/>
            <w:vAlign w:val="bottom"/>
            <w:hideMark/>
          </w:tcPr>
          <w:p w:rsidR="00B47FBF" w:rsidRPr="00224A0A" w:rsidP="00D53BA0" w14:paraId="513FE585"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Reporting</w:t>
            </w:r>
          </w:p>
        </w:tc>
        <w:tc>
          <w:tcPr>
            <w:tcW w:w="2415" w:type="dxa"/>
            <w:tcBorders>
              <w:top w:val="single" w:sz="4" w:space="0" w:color="auto"/>
              <w:left w:val="nil"/>
              <w:bottom w:val="single" w:sz="4" w:space="0" w:color="auto"/>
              <w:right w:val="single" w:sz="4" w:space="0" w:color="auto"/>
            </w:tcBorders>
            <w:noWrap/>
            <w:vAlign w:val="bottom"/>
            <w:hideMark/>
          </w:tcPr>
          <w:p w:rsidR="00B47FBF" w:rsidRPr="00224A0A" w:rsidP="00D53BA0" w14:paraId="1B54F603"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Recordkeeping</w:t>
            </w:r>
          </w:p>
        </w:tc>
      </w:tr>
      <w:tr w14:paraId="72F030DD" w14:textId="77777777" w:rsidTr="00D53BA0">
        <w:tblPrEx>
          <w:tblW w:w="9140" w:type="dxa"/>
          <w:jc w:val="center"/>
          <w:tblLook w:val="04A0"/>
        </w:tblPrEx>
        <w:trPr>
          <w:trHeight w:val="16"/>
          <w:jc w:val="center"/>
        </w:trPr>
        <w:tc>
          <w:tcPr>
            <w:tcW w:w="9140" w:type="dxa"/>
            <w:gridSpan w:val="3"/>
            <w:tcBorders>
              <w:top w:val="single" w:sz="4" w:space="0" w:color="auto"/>
              <w:left w:val="single" w:sz="4" w:space="0" w:color="auto"/>
              <w:bottom w:val="single" w:sz="4" w:space="0" w:color="auto"/>
              <w:right w:val="single" w:sz="4" w:space="0" w:color="auto"/>
            </w:tcBorders>
            <w:noWrap/>
            <w:vAlign w:val="center"/>
            <w:hideMark/>
          </w:tcPr>
          <w:p w:rsidR="00B47FBF" w:rsidRPr="00224A0A" w:rsidP="00D53BA0" w14:paraId="1CC955E0"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IC 1</w:t>
            </w:r>
          </w:p>
        </w:tc>
      </w:tr>
      <w:tr w14:paraId="6A8000CE" w14:textId="77777777" w:rsidTr="00D53BA0">
        <w:tblPrEx>
          <w:tblW w:w="9140" w:type="dxa"/>
          <w:jc w:val="center"/>
          <w:tblLook w:val="04A0"/>
        </w:tblPrEx>
        <w:trPr>
          <w:trHeight w:val="345"/>
          <w:jc w:val="center"/>
        </w:trPr>
        <w:tc>
          <w:tcPr>
            <w:tcW w:w="3853" w:type="dxa"/>
            <w:tcBorders>
              <w:top w:val="nil"/>
              <w:left w:val="single" w:sz="4" w:space="0" w:color="auto"/>
              <w:bottom w:val="single" w:sz="4" w:space="0" w:color="auto"/>
              <w:right w:val="single" w:sz="4" w:space="0" w:color="auto"/>
            </w:tcBorders>
            <w:noWrap/>
            <w:vAlign w:val="bottom"/>
            <w:hideMark/>
          </w:tcPr>
          <w:p w:rsidR="00B47FBF" w:rsidRPr="00224A0A" w:rsidP="00D53BA0" w14:paraId="038F7ADC"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 of Respondents</w:t>
            </w:r>
          </w:p>
        </w:tc>
        <w:tc>
          <w:tcPr>
            <w:tcW w:w="2870" w:type="dxa"/>
            <w:tcBorders>
              <w:top w:val="nil"/>
              <w:left w:val="nil"/>
              <w:bottom w:val="single" w:sz="4" w:space="0" w:color="auto"/>
              <w:right w:val="single" w:sz="4" w:space="0" w:color="auto"/>
            </w:tcBorders>
            <w:noWrap/>
            <w:vAlign w:val="bottom"/>
            <w:hideMark/>
          </w:tcPr>
          <w:p w:rsidR="00B47FBF" w:rsidRPr="00224A0A" w:rsidP="00D53BA0" w14:paraId="3269050B"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1,950</w:t>
            </w:r>
          </w:p>
        </w:tc>
        <w:tc>
          <w:tcPr>
            <w:tcW w:w="2415" w:type="dxa"/>
            <w:tcBorders>
              <w:top w:val="nil"/>
              <w:left w:val="nil"/>
              <w:bottom w:val="single" w:sz="4" w:space="0" w:color="auto"/>
              <w:right w:val="single" w:sz="4" w:space="0" w:color="auto"/>
            </w:tcBorders>
            <w:noWrap/>
            <w:vAlign w:val="bottom"/>
            <w:hideMark/>
          </w:tcPr>
          <w:p w:rsidR="00B47FBF" w:rsidRPr="00224A0A" w:rsidP="00D53BA0" w14:paraId="01F3368A"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0</w:t>
            </w:r>
          </w:p>
        </w:tc>
      </w:tr>
      <w:tr w14:paraId="1CAA3366" w14:textId="77777777" w:rsidTr="00D53BA0">
        <w:tblPrEx>
          <w:tblW w:w="9140" w:type="dxa"/>
          <w:jc w:val="center"/>
          <w:tblLook w:val="04A0"/>
        </w:tblPrEx>
        <w:trPr>
          <w:trHeight w:val="245"/>
          <w:jc w:val="center"/>
        </w:trPr>
        <w:tc>
          <w:tcPr>
            <w:tcW w:w="3853" w:type="dxa"/>
            <w:tcBorders>
              <w:top w:val="nil"/>
              <w:left w:val="single" w:sz="4" w:space="0" w:color="auto"/>
              <w:bottom w:val="single" w:sz="4" w:space="0" w:color="auto"/>
              <w:right w:val="single" w:sz="4" w:space="0" w:color="auto"/>
            </w:tcBorders>
            <w:noWrap/>
            <w:vAlign w:val="bottom"/>
            <w:hideMark/>
          </w:tcPr>
          <w:p w:rsidR="00B47FBF" w:rsidRPr="00224A0A" w:rsidP="00D53BA0" w14:paraId="4BABD347"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 of Responses per respondent</w:t>
            </w:r>
          </w:p>
        </w:tc>
        <w:tc>
          <w:tcPr>
            <w:tcW w:w="2870" w:type="dxa"/>
            <w:tcBorders>
              <w:top w:val="nil"/>
              <w:left w:val="nil"/>
              <w:bottom w:val="single" w:sz="4" w:space="0" w:color="auto"/>
              <w:right w:val="single" w:sz="4" w:space="0" w:color="auto"/>
            </w:tcBorders>
            <w:noWrap/>
            <w:vAlign w:val="bottom"/>
            <w:hideMark/>
          </w:tcPr>
          <w:p w:rsidR="00B47FBF" w:rsidRPr="00224A0A" w:rsidP="00D53BA0" w14:paraId="19D51F9D"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1</w:t>
            </w:r>
          </w:p>
        </w:tc>
        <w:tc>
          <w:tcPr>
            <w:tcW w:w="2415" w:type="dxa"/>
            <w:tcBorders>
              <w:top w:val="nil"/>
              <w:left w:val="nil"/>
              <w:bottom w:val="single" w:sz="4" w:space="0" w:color="auto"/>
              <w:right w:val="single" w:sz="4" w:space="0" w:color="auto"/>
            </w:tcBorders>
            <w:noWrap/>
            <w:vAlign w:val="bottom"/>
            <w:hideMark/>
          </w:tcPr>
          <w:p w:rsidR="00B47FBF" w:rsidRPr="00224A0A" w:rsidP="00D53BA0" w14:paraId="202A9531"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0</w:t>
            </w:r>
          </w:p>
        </w:tc>
      </w:tr>
      <w:tr w14:paraId="4922F1B8" w14:textId="77777777" w:rsidTr="00D53BA0">
        <w:tblPrEx>
          <w:tblW w:w="9140" w:type="dxa"/>
          <w:jc w:val="center"/>
          <w:tblLook w:val="04A0"/>
        </w:tblPrEx>
        <w:trPr>
          <w:trHeight w:val="245"/>
          <w:jc w:val="center"/>
        </w:trPr>
        <w:tc>
          <w:tcPr>
            <w:tcW w:w="3853" w:type="dxa"/>
            <w:tcBorders>
              <w:top w:val="nil"/>
              <w:left w:val="single" w:sz="4" w:space="0" w:color="auto"/>
              <w:bottom w:val="single" w:sz="4" w:space="0" w:color="auto"/>
              <w:right w:val="single" w:sz="4" w:space="0" w:color="auto"/>
            </w:tcBorders>
            <w:noWrap/>
            <w:vAlign w:val="bottom"/>
            <w:hideMark/>
          </w:tcPr>
          <w:p w:rsidR="00B47FBF" w:rsidRPr="00224A0A" w:rsidP="00D53BA0" w14:paraId="4882852E"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Time per Response</w:t>
            </w:r>
          </w:p>
        </w:tc>
        <w:tc>
          <w:tcPr>
            <w:tcW w:w="2870" w:type="dxa"/>
            <w:tcBorders>
              <w:top w:val="nil"/>
              <w:left w:val="nil"/>
              <w:bottom w:val="single" w:sz="4" w:space="0" w:color="auto"/>
              <w:right w:val="single" w:sz="4" w:space="0" w:color="auto"/>
            </w:tcBorders>
            <w:noWrap/>
            <w:vAlign w:val="bottom"/>
            <w:hideMark/>
          </w:tcPr>
          <w:p w:rsidR="00B47FBF" w:rsidRPr="00224A0A" w:rsidP="00D53BA0" w14:paraId="523C073B"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10 (.16 hr)</w:t>
            </w:r>
          </w:p>
        </w:tc>
        <w:tc>
          <w:tcPr>
            <w:tcW w:w="2415" w:type="dxa"/>
            <w:tcBorders>
              <w:top w:val="nil"/>
              <w:left w:val="nil"/>
              <w:bottom w:val="single" w:sz="4" w:space="0" w:color="auto"/>
              <w:right w:val="single" w:sz="4" w:space="0" w:color="auto"/>
            </w:tcBorders>
            <w:noWrap/>
            <w:vAlign w:val="bottom"/>
            <w:hideMark/>
          </w:tcPr>
          <w:p w:rsidR="00B47FBF" w:rsidRPr="00224A0A" w:rsidP="00D53BA0" w14:paraId="63EE543F"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0</w:t>
            </w:r>
          </w:p>
        </w:tc>
      </w:tr>
      <w:tr w14:paraId="1294CBF3" w14:textId="77777777" w:rsidTr="00D53BA0">
        <w:tblPrEx>
          <w:tblW w:w="9140" w:type="dxa"/>
          <w:jc w:val="center"/>
          <w:tblLook w:val="04A0"/>
        </w:tblPrEx>
        <w:trPr>
          <w:trHeight w:val="245"/>
          <w:jc w:val="center"/>
        </w:trPr>
        <w:tc>
          <w:tcPr>
            <w:tcW w:w="3853" w:type="dxa"/>
            <w:tcBorders>
              <w:top w:val="nil"/>
              <w:left w:val="single" w:sz="4" w:space="0" w:color="auto"/>
              <w:bottom w:val="single" w:sz="4" w:space="0" w:color="auto"/>
              <w:right w:val="single" w:sz="4" w:space="0" w:color="auto"/>
            </w:tcBorders>
            <w:noWrap/>
            <w:vAlign w:val="bottom"/>
            <w:hideMark/>
          </w:tcPr>
          <w:p w:rsidR="00B47FBF" w:rsidRPr="00224A0A" w:rsidP="00D53BA0" w14:paraId="5C9FEAD8"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Total # of Responses</w:t>
            </w:r>
          </w:p>
        </w:tc>
        <w:tc>
          <w:tcPr>
            <w:tcW w:w="2870" w:type="dxa"/>
            <w:tcBorders>
              <w:top w:val="nil"/>
              <w:left w:val="nil"/>
              <w:bottom w:val="single" w:sz="4" w:space="0" w:color="auto"/>
              <w:right w:val="single" w:sz="4" w:space="0" w:color="auto"/>
            </w:tcBorders>
            <w:noWrap/>
            <w:vAlign w:val="bottom"/>
            <w:hideMark/>
          </w:tcPr>
          <w:p w:rsidR="00B47FBF" w:rsidRPr="00224A0A" w:rsidP="00D53BA0" w14:paraId="7E0159D9"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1,950</w:t>
            </w:r>
          </w:p>
        </w:tc>
        <w:tc>
          <w:tcPr>
            <w:tcW w:w="2415" w:type="dxa"/>
            <w:tcBorders>
              <w:top w:val="nil"/>
              <w:left w:val="nil"/>
              <w:bottom w:val="single" w:sz="4" w:space="0" w:color="auto"/>
              <w:right w:val="single" w:sz="4" w:space="0" w:color="auto"/>
            </w:tcBorders>
            <w:noWrap/>
            <w:vAlign w:val="bottom"/>
            <w:hideMark/>
          </w:tcPr>
          <w:p w:rsidR="00B47FBF" w:rsidRPr="00224A0A" w:rsidP="00D53BA0" w14:paraId="14E0E3EE"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0</w:t>
            </w:r>
          </w:p>
        </w:tc>
      </w:tr>
      <w:tr w14:paraId="2820A23A" w14:textId="77777777" w:rsidTr="00D53BA0">
        <w:tblPrEx>
          <w:tblW w:w="9140" w:type="dxa"/>
          <w:jc w:val="center"/>
          <w:tblLook w:val="04A0"/>
        </w:tblPrEx>
        <w:trPr>
          <w:trHeight w:val="138"/>
          <w:jc w:val="center"/>
        </w:trPr>
        <w:tc>
          <w:tcPr>
            <w:tcW w:w="3853" w:type="dxa"/>
            <w:tcBorders>
              <w:top w:val="nil"/>
              <w:left w:val="single" w:sz="4" w:space="0" w:color="auto"/>
              <w:bottom w:val="single" w:sz="4" w:space="0" w:color="auto"/>
              <w:right w:val="single" w:sz="4" w:space="0" w:color="auto"/>
            </w:tcBorders>
            <w:noWrap/>
            <w:vAlign w:val="bottom"/>
            <w:hideMark/>
          </w:tcPr>
          <w:p w:rsidR="00B47FBF" w:rsidRPr="00224A0A" w:rsidP="00D53BA0" w14:paraId="7160DC60" w14:textId="77777777">
            <w:pPr>
              <w:shd w:val="clear" w:color="auto" w:fill="FFFFFF"/>
              <w:ind w:left="360"/>
              <w:rPr>
                <w:rFonts w:ascii="Arial" w:eastAsia="Times New Roman" w:hAnsi="Arial" w:cs="Arial"/>
                <w:b/>
                <w:bCs/>
                <w:sz w:val="24"/>
                <w:szCs w:val="24"/>
              </w:rPr>
            </w:pPr>
            <w:r w:rsidRPr="00224A0A">
              <w:rPr>
                <w:rFonts w:ascii="Arial" w:eastAsia="Times New Roman" w:hAnsi="Arial" w:cs="Arial"/>
                <w:b/>
                <w:bCs/>
                <w:sz w:val="24"/>
                <w:szCs w:val="24"/>
              </w:rPr>
              <w:t>Total Burden (hours)</w:t>
            </w:r>
          </w:p>
        </w:tc>
        <w:tc>
          <w:tcPr>
            <w:tcW w:w="2870" w:type="dxa"/>
            <w:tcBorders>
              <w:top w:val="nil"/>
              <w:left w:val="nil"/>
              <w:bottom w:val="single" w:sz="4" w:space="0" w:color="auto"/>
              <w:right w:val="single" w:sz="4" w:space="0" w:color="auto"/>
            </w:tcBorders>
            <w:noWrap/>
            <w:vAlign w:val="bottom"/>
            <w:hideMark/>
          </w:tcPr>
          <w:p w:rsidR="00B47FBF" w:rsidRPr="00224A0A" w:rsidP="00D53BA0" w14:paraId="2BF34A6F"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325 hr</w:t>
            </w:r>
          </w:p>
        </w:tc>
        <w:tc>
          <w:tcPr>
            <w:tcW w:w="2415" w:type="dxa"/>
            <w:tcBorders>
              <w:top w:val="nil"/>
              <w:left w:val="nil"/>
              <w:bottom w:val="single" w:sz="4" w:space="0" w:color="auto"/>
              <w:right w:val="single" w:sz="4" w:space="0" w:color="auto"/>
            </w:tcBorders>
            <w:noWrap/>
            <w:vAlign w:val="bottom"/>
            <w:hideMark/>
          </w:tcPr>
          <w:p w:rsidR="00B47FBF" w:rsidRPr="00224A0A" w:rsidP="00D53BA0" w14:paraId="2F7B4C08" w14:textId="77777777">
            <w:pPr>
              <w:shd w:val="clear" w:color="auto" w:fill="FFFFFF"/>
              <w:ind w:left="360"/>
              <w:rPr>
                <w:rFonts w:ascii="Arial" w:eastAsia="Times New Roman" w:hAnsi="Arial" w:cs="Arial"/>
                <w:sz w:val="24"/>
                <w:szCs w:val="24"/>
              </w:rPr>
            </w:pPr>
            <w:r w:rsidRPr="00224A0A">
              <w:rPr>
                <w:rFonts w:ascii="Arial" w:eastAsia="Times New Roman" w:hAnsi="Arial" w:cs="Arial"/>
                <w:sz w:val="24"/>
                <w:szCs w:val="24"/>
              </w:rPr>
              <w:t>0</w:t>
            </w:r>
          </w:p>
        </w:tc>
      </w:tr>
    </w:tbl>
    <w:p w:rsidR="001F0724" w:rsidRPr="00224A0A" w:rsidP="00B47FBF" w14:paraId="06FC6450" w14:textId="77777777">
      <w:pPr>
        <w:shd w:val="clear" w:color="auto" w:fill="FFFFFF"/>
        <w:spacing w:before="100" w:beforeAutospacing="1" w:after="225" w:line="240" w:lineRule="auto"/>
        <w:contextualSpacing/>
        <w:rPr>
          <w:rFonts w:ascii="Arial" w:eastAsia="Times New Roman" w:hAnsi="Arial" w:cs="Arial"/>
          <w:sz w:val="24"/>
          <w:szCs w:val="24"/>
        </w:rPr>
      </w:pPr>
      <w:r w:rsidRPr="00224A0A">
        <w:rPr>
          <w:rFonts w:ascii="Arial" w:eastAsia="Times New Roman" w:hAnsi="Arial" w:cs="Arial"/>
          <w:sz w:val="24"/>
          <w:szCs w:val="24"/>
        </w:rPr>
        <w:t xml:space="preserve"> </w:t>
      </w:r>
    </w:p>
    <w:p w:rsidR="00C64707" w:rsidRPr="00224A0A" w:rsidP="00840AD9" w14:paraId="1BA1115B"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Provide an estimate for the total annual cost burden to respondents or record keepers resulting from the collection of information.</w:t>
      </w:r>
    </w:p>
    <w:p w:rsidR="003C6305" w:rsidRPr="00224A0A" w:rsidP="003C6305" w14:paraId="0D237DB1" w14:textId="77777777">
      <w:pPr>
        <w:pStyle w:val="ListParagraph"/>
        <w:shd w:val="clear" w:color="auto" w:fill="FFFFFF"/>
        <w:spacing w:after="0" w:line="240" w:lineRule="auto"/>
        <w:ind w:left="360"/>
        <w:rPr>
          <w:rFonts w:ascii="Arial" w:eastAsia="Times New Roman" w:hAnsi="Arial" w:cs="Arial"/>
          <w:sz w:val="24"/>
          <w:szCs w:val="24"/>
        </w:rPr>
      </w:pPr>
    </w:p>
    <w:p w:rsidR="00C64707" w:rsidRPr="00224A0A" w:rsidP="003C6305" w14:paraId="2599BA88" w14:textId="77777777">
      <w:pPr>
        <w:pStyle w:val="ListParagraph"/>
        <w:numPr>
          <w:ilvl w:val="0"/>
          <w:numId w:val="2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There is no annual cost burden to respondents or recordkeepers as a result from this collection.</w:t>
      </w:r>
    </w:p>
    <w:p w:rsidR="00C64707" w:rsidRPr="00224A0A" w:rsidP="00C64707" w14:paraId="1595B4F9" w14:textId="77777777">
      <w:pPr>
        <w:shd w:val="clear" w:color="auto" w:fill="FFFFFF"/>
        <w:spacing w:after="0" w:line="240" w:lineRule="auto"/>
        <w:rPr>
          <w:rFonts w:ascii="Arial" w:eastAsia="Times New Roman" w:hAnsi="Arial" w:cs="Arial"/>
          <w:sz w:val="24"/>
          <w:szCs w:val="24"/>
        </w:rPr>
      </w:pPr>
    </w:p>
    <w:p w:rsidR="00C64707" w:rsidRPr="00224A0A" w:rsidP="00AD3353" w14:paraId="2B4C6576"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22164" w:rsidRPr="00224A0A" w:rsidP="00D45F07" w14:paraId="1039997E" w14:textId="49747E5C">
      <w:p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br/>
        <w:t>Annualized cost to the federal government is calculated below using federal employee Full Time Equivalent (FTE) calculations, federal employee pay band calculations and contracting support staff labor, material, and other direct cost (printing) cost estimates.</w:t>
      </w:r>
    </w:p>
    <w:p w:rsidR="00603EA0" w:rsidRPr="00224A0A" w:rsidP="00D22164" w14:paraId="0CC22A8D" w14:textId="77777777">
      <w:p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sz w:val="24"/>
          <w:szCs w:val="24"/>
        </w:rPr>
        <w:t>Federal Employees:</w:t>
      </w:r>
      <w:r w:rsidRPr="00224A0A">
        <w:rPr>
          <w:rFonts w:ascii="Arial" w:eastAsia="Times New Roman" w:hAnsi="Arial" w:cs="Arial"/>
          <w:sz w:val="24"/>
          <w:szCs w:val="24"/>
        </w:rPr>
        <w:br/>
        <w:t>A total of 2 full-time federal employees will work on this study survey effort. Federal employee 1 is on FV-H pay band “rest of US locality” with a mean salary of $95,033.50 at an FTE of 0.15 for this project. Federal employee 2 is on FV-F pay band “rest of US locality” with a mean salary of $67,847.00 at an FTW of 0.112 for this project. Therefore, the average federal staff annual cost for this survey is:</w:t>
      </w:r>
    </w:p>
    <w:p w:rsidR="00603EA0" w:rsidRPr="00224A0A" w:rsidP="00D22164" w14:paraId="0FE72A68" w14:textId="77777777">
      <w:p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sz w:val="24"/>
          <w:szCs w:val="24"/>
        </w:rPr>
        <w:t>Fed. Employee 1 ($95,003.50 * 0.15 = $14,250.53) + Fed. Employee 2 ($67,847.00 * 0.112 = $7,598.86) = $21,849.39</w:t>
      </w:r>
    </w:p>
    <w:p w:rsidR="00603EA0" w:rsidRPr="00224A0A" w:rsidP="00D22164" w14:paraId="3252A0B0" w14:textId="77777777">
      <w:pPr>
        <w:shd w:val="clear" w:color="auto" w:fill="FFFFFF"/>
        <w:spacing w:before="100" w:beforeAutospacing="1" w:after="225" w:line="240" w:lineRule="auto"/>
        <w:rPr>
          <w:rFonts w:ascii="Arial" w:eastAsia="Times New Roman" w:hAnsi="Arial" w:cs="Arial"/>
          <w:sz w:val="24"/>
          <w:szCs w:val="24"/>
        </w:rPr>
      </w:pPr>
    </w:p>
    <w:p w:rsidR="00603EA0" w:rsidRPr="00224A0A" w14:paraId="26EB4FAA" w14:textId="77777777">
      <w:pPr>
        <w:rPr>
          <w:rFonts w:ascii="Arial" w:eastAsia="Times New Roman" w:hAnsi="Arial" w:cs="Arial"/>
          <w:sz w:val="24"/>
          <w:szCs w:val="24"/>
        </w:rPr>
      </w:pPr>
      <w:r w:rsidRPr="00224A0A">
        <w:rPr>
          <w:rFonts w:ascii="Arial" w:eastAsia="Times New Roman" w:hAnsi="Arial" w:cs="Arial"/>
          <w:sz w:val="24"/>
          <w:szCs w:val="24"/>
        </w:rPr>
        <w:br w:type="page"/>
      </w:r>
    </w:p>
    <w:p w:rsidR="00603EA0" w:rsidRPr="00224A0A" w:rsidP="00D22164" w14:paraId="2C5BEA6D" w14:textId="77777777">
      <w:p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sz w:val="24"/>
          <w:szCs w:val="24"/>
        </w:rPr>
        <w:t>Contract Support Staff, Material, Printing, Survey Reimbursement:</w:t>
      </w:r>
    </w:p>
    <w:p w:rsidR="00603EA0" w:rsidRPr="00224A0A" w:rsidP="00D22164" w14:paraId="5D3D1DE1" w14:textId="77777777">
      <w:pPr>
        <w:shd w:val="clear" w:color="auto" w:fill="FFFFFF"/>
        <w:spacing w:before="100" w:beforeAutospacing="1" w:after="225" w:line="240" w:lineRule="auto"/>
        <w:rPr>
          <w:rFonts w:ascii="Arial" w:eastAsia="Times New Roman" w:hAnsi="Arial" w:cs="Arial"/>
          <w:sz w:val="24"/>
          <w:szCs w:val="24"/>
        </w:rPr>
      </w:pPr>
      <w:r w:rsidRPr="00224A0A">
        <w:rPr>
          <w:b/>
          <w:bCs/>
          <w:noProof/>
        </w:rPr>
        <w:drawing>
          <wp:inline distT="0" distB="0" distL="0" distR="0">
            <wp:extent cx="5943600" cy="2277129"/>
            <wp:effectExtent l="0" t="0" r="0" b="8890"/>
            <wp:docPr id="2116106483" name="Picture 2" descr="A picture containing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06483" name="Picture 2" descr="A picture containing timeline&#10;&#10;AI-generated content may be incorrect."/>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77129"/>
                    </a:xfrm>
                    <a:prstGeom prst="rect">
                      <a:avLst/>
                    </a:prstGeom>
                    <a:noFill/>
                  </pic:spPr>
                </pic:pic>
              </a:graphicData>
            </a:graphic>
          </wp:inline>
        </w:drawing>
      </w:r>
    </w:p>
    <w:p w:rsidR="00D22164" w:rsidRPr="00224A0A" w:rsidP="00D22164" w14:paraId="0CB0291E" w14:textId="77777777">
      <w:pPr>
        <w:shd w:val="clear" w:color="auto" w:fill="FFFFFF"/>
        <w:spacing w:before="100" w:beforeAutospacing="1" w:after="225" w:line="240" w:lineRule="auto"/>
        <w:rPr>
          <w:rFonts w:ascii="Arial" w:eastAsia="Times New Roman" w:hAnsi="Arial" w:cs="Arial"/>
          <w:sz w:val="24"/>
          <w:szCs w:val="24"/>
        </w:rPr>
      </w:pPr>
      <w:r w:rsidRPr="00224A0A">
        <w:rPr>
          <w:rFonts w:ascii="Arial" w:eastAsia="Times New Roman" w:hAnsi="Arial" w:cs="Arial"/>
          <w:sz w:val="24"/>
          <w:szCs w:val="24"/>
        </w:rPr>
        <w:t xml:space="preserve">Cost obtained from Cherokee Federal Solutions, LLC on July 16, 2025 via email between Cherokee Federal Solutions, LLC program manager and FAA Contract Officer Representatives. </w:t>
      </w:r>
    </w:p>
    <w:p w:rsidR="00603EA0" w:rsidRPr="00224A0A" w14:paraId="5D261859" w14:textId="77777777">
      <w:pPr>
        <w:shd w:val="clear" w:color="auto" w:fill="FFFFFF"/>
        <w:spacing w:before="100" w:beforeAutospacing="1" w:after="225" w:line="240" w:lineRule="auto"/>
        <w:rPr>
          <w:rFonts w:ascii="Arial" w:eastAsia="Times New Roman" w:hAnsi="Arial" w:cs="Arial"/>
          <w:b/>
          <w:bCs/>
          <w:sz w:val="24"/>
          <w:szCs w:val="24"/>
        </w:rPr>
      </w:pPr>
      <w:r w:rsidRPr="00224A0A">
        <w:rPr>
          <w:rFonts w:ascii="Arial" w:eastAsia="Times New Roman" w:hAnsi="Arial" w:cs="Arial"/>
          <w:b/>
          <w:bCs/>
          <w:sz w:val="24"/>
          <w:szCs w:val="24"/>
        </w:rPr>
        <w:t xml:space="preserve">Toal estimates of annualized costs to the Federal government = </w:t>
      </w:r>
      <w:r w:rsidRPr="00224A0A">
        <w:rPr>
          <w:rFonts w:ascii="Arial" w:eastAsia="Times New Roman" w:hAnsi="Arial" w:cs="Arial"/>
          <w:b/>
          <w:bCs/>
          <w:sz w:val="24"/>
          <w:szCs w:val="24"/>
        </w:rPr>
        <w:t>$</w:t>
      </w:r>
      <w:r w:rsidRPr="00224A0A">
        <w:t xml:space="preserve"> </w:t>
      </w:r>
      <w:r w:rsidRPr="00224A0A">
        <w:rPr>
          <w:rFonts w:ascii="Arial" w:eastAsia="Times New Roman" w:hAnsi="Arial" w:cs="Arial"/>
          <w:b/>
          <w:bCs/>
          <w:sz w:val="24"/>
          <w:szCs w:val="24"/>
        </w:rPr>
        <w:t>51,430.28</w:t>
      </w:r>
    </w:p>
    <w:p w:rsidR="00C64707" w:rsidRPr="00224A0A" w:rsidP="00AD3353" w14:paraId="1980EDDE"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Explain the reasons for any program changes or adjustments.</w:t>
      </w:r>
    </w:p>
    <w:p w:rsidR="00C64707" w:rsidRPr="00224A0A" w:rsidP="00C64707" w14:paraId="023227D5" w14:textId="77777777">
      <w:p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br/>
      </w:r>
      <w:r w:rsidRPr="00224A0A" w:rsidR="00AD3353">
        <w:rPr>
          <w:rFonts w:ascii="Arial" w:eastAsia="Times New Roman" w:hAnsi="Arial" w:cs="Arial"/>
          <w:sz w:val="24"/>
          <w:szCs w:val="24"/>
        </w:rPr>
        <w:t>This is a new collection.</w:t>
      </w:r>
    </w:p>
    <w:p w:rsidR="00C64707" w:rsidRPr="00224A0A" w:rsidP="00C64707" w14:paraId="592EC31C" w14:textId="77777777">
      <w:pPr>
        <w:shd w:val="clear" w:color="auto" w:fill="FFFFFF"/>
        <w:spacing w:after="0" w:line="240" w:lineRule="auto"/>
        <w:rPr>
          <w:rFonts w:ascii="Arial" w:eastAsia="Times New Roman" w:hAnsi="Arial" w:cs="Arial"/>
          <w:sz w:val="24"/>
          <w:szCs w:val="24"/>
        </w:rPr>
      </w:pPr>
    </w:p>
    <w:p w:rsidR="00C64707" w:rsidRPr="00224A0A" w:rsidP="003B2F38" w14:paraId="71FFF3DF"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799A" w:rsidRPr="00224A0A" w:rsidP="0044799A" w14:paraId="033B95AC" w14:textId="77777777">
      <w:pPr>
        <w:shd w:val="clear" w:color="auto" w:fill="FFFFFF"/>
        <w:spacing w:after="0" w:line="240" w:lineRule="auto"/>
        <w:ind w:left="720"/>
        <w:rPr>
          <w:rFonts w:ascii="Arial" w:eastAsia="Times New Roman" w:hAnsi="Arial" w:cs="Arial"/>
          <w:sz w:val="24"/>
          <w:szCs w:val="24"/>
        </w:rPr>
      </w:pPr>
    </w:p>
    <w:p w:rsidR="0044799A" w:rsidRPr="00224A0A" w:rsidP="0044799A" w14:paraId="1FE98B14" w14:textId="77777777">
      <w:pPr>
        <w:numPr>
          <w:ilvl w:val="0"/>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Survey results will be made available appro</w:t>
      </w:r>
      <w:r w:rsidRPr="00224A0A" w:rsidR="00111C97">
        <w:rPr>
          <w:rFonts w:ascii="Arial" w:eastAsia="Times New Roman" w:hAnsi="Arial" w:cs="Arial"/>
          <w:sz w:val="24"/>
          <w:szCs w:val="24"/>
        </w:rPr>
        <w:t xml:space="preserve">ximately </w:t>
      </w:r>
      <w:r w:rsidRPr="00224A0A" w:rsidR="00EB5AEE">
        <w:rPr>
          <w:rFonts w:ascii="Arial" w:eastAsia="Times New Roman" w:hAnsi="Arial" w:cs="Arial"/>
          <w:sz w:val="24"/>
          <w:szCs w:val="24"/>
        </w:rPr>
        <w:t>6 months after data collection is complete.</w:t>
      </w:r>
    </w:p>
    <w:p w:rsidR="00EB5AEE" w:rsidRPr="00224A0A" w:rsidP="0044799A" w14:paraId="5D893C75" w14:textId="77777777">
      <w:pPr>
        <w:numPr>
          <w:ilvl w:val="0"/>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Results will be disseminated through several publication cha</w:t>
      </w:r>
      <w:r w:rsidRPr="00224A0A" w:rsidR="005D7F02">
        <w:rPr>
          <w:rFonts w:ascii="Arial" w:eastAsia="Times New Roman" w:hAnsi="Arial" w:cs="Arial"/>
          <w:sz w:val="24"/>
          <w:szCs w:val="24"/>
        </w:rPr>
        <w:t>nnels including:</w:t>
      </w:r>
    </w:p>
    <w:p w:rsidR="005D7F02" w:rsidRPr="00224A0A" w:rsidP="005D7F02" w14:paraId="74E13C34" w14:textId="77777777">
      <w:pPr>
        <w:numPr>
          <w:ilvl w:val="1"/>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The OAM technical report series</w:t>
      </w:r>
    </w:p>
    <w:p w:rsidR="005D7F02" w:rsidRPr="00224A0A" w:rsidP="005D7F02" w14:paraId="7FCF7FB6" w14:textId="77777777">
      <w:pPr>
        <w:numPr>
          <w:ilvl w:val="1"/>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Presentations at scientific meetings</w:t>
      </w:r>
    </w:p>
    <w:p w:rsidR="005D7F02" w:rsidRPr="00224A0A" w:rsidP="005D7F02" w14:paraId="56636DD0" w14:textId="77777777">
      <w:pPr>
        <w:numPr>
          <w:ilvl w:val="1"/>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Publication in scientific journals</w:t>
      </w:r>
    </w:p>
    <w:p w:rsidR="0044799A" w:rsidRPr="00224A0A" w:rsidP="0044799A" w14:paraId="3F78B8C7" w14:textId="77777777">
      <w:pPr>
        <w:numPr>
          <w:ilvl w:val="0"/>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Data will be presented at the aggregate level.</w:t>
      </w:r>
    </w:p>
    <w:p w:rsidR="00C64707" w:rsidRPr="00224A0A" w:rsidP="00C64707" w14:paraId="15557992" w14:textId="77777777">
      <w:pPr>
        <w:numPr>
          <w:ilvl w:val="0"/>
          <w:numId w:val="21"/>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sz w:val="24"/>
          <w:szCs w:val="24"/>
        </w:rPr>
        <w:t>Researchers</w:t>
      </w:r>
      <w:r w:rsidRPr="00224A0A" w:rsidR="005D7F02">
        <w:rPr>
          <w:rFonts w:ascii="Arial" w:eastAsia="Times New Roman" w:hAnsi="Arial" w:cs="Arial"/>
          <w:sz w:val="24"/>
          <w:szCs w:val="24"/>
        </w:rPr>
        <w:t xml:space="preserve"> will use Structural Equation Modeling techniques to validate a model of pilot medical disclosure decision-making. </w:t>
      </w:r>
      <w:r w:rsidRPr="00224A0A">
        <w:rPr>
          <w:rFonts w:ascii="Arial" w:eastAsia="Times New Roman" w:hAnsi="Arial" w:cs="Arial"/>
          <w:sz w:val="24"/>
          <w:szCs w:val="24"/>
        </w:rPr>
        <w:br/>
      </w:r>
    </w:p>
    <w:p w:rsidR="00C64707" w:rsidRPr="00224A0A" w:rsidP="0092326C" w14:paraId="0B259043" w14:textId="77777777">
      <w:pPr>
        <w:pStyle w:val="ListParagraph"/>
        <w:numPr>
          <w:ilvl w:val="0"/>
          <w:numId w:val="10"/>
        </w:numPr>
        <w:shd w:val="clear" w:color="auto" w:fill="FFFFFF"/>
        <w:spacing w:after="0" w:line="240" w:lineRule="auto"/>
        <w:rPr>
          <w:rFonts w:ascii="Arial" w:eastAsia="Times New Roman" w:hAnsi="Arial" w:cs="Arial"/>
          <w:sz w:val="24"/>
          <w:szCs w:val="24"/>
        </w:rPr>
      </w:pPr>
      <w:r w:rsidRPr="00224A0A">
        <w:rPr>
          <w:rFonts w:ascii="Arial" w:eastAsia="Times New Roman" w:hAnsi="Arial" w:cs="Arial"/>
          <w:b/>
          <w:bCs/>
          <w:sz w:val="24"/>
          <w:szCs w:val="24"/>
        </w:rPr>
        <w:t>If seeking approval to not display the expiration date for OMB approval of the information collection, explain the reasons why display would be inappropriate.</w:t>
      </w:r>
    </w:p>
    <w:p w:rsidR="0092326C" w:rsidRPr="0092326C" w:rsidP="0092326C" w14:paraId="3B1C12FC" w14:textId="77777777">
      <w:pPr>
        <w:pStyle w:val="ListParagraph"/>
        <w:shd w:val="clear" w:color="auto" w:fill="FFFFFF"/>
        <w:spacing w:after="0" w:line="240" w:lineRule="auto"/>
        <w:ind w:left="360"/>
        <w:rPr>
          <w:rFonts w:ascii="Arial" w:eastAsia="Times New Roman" w:hAnsi="Arial" w:cs="Arial"/>
          <w:color w:val="555555"/>
          <w:sz w:val="24"/>
          <w:szCs w:val="24"/>
        </w:rPr>
      </w:pPr>
    </w:p>
    <w:p w:rsidR="00C64707" w:rsidRPr="00AA24BA" w:rsidP="00C64707" w14:paraId="3F1133AD" w14:textId="77777777">
      <w:pPr>
        <w:pStyle w:val="ListParagraph"/>
        <w:numPr>
          <w:ilvl w:val="0"/>
          <w:numId w:val="20"/>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000000" w:themeColor="text1"/>
          <w:sz w:val="24"/>
          <w:szCs w:val="24"/>
        </w:rPr>
        <w:t>Not applicable</w:t>
      </w:r>
      <w:r w:rsidR="00AA24BA">
        <w:rPr>
          <w:rFonts w:ascii="Arial" w:eastAsia="Times New Roman" w:hAnsi="Arial" w:cs="Arial"/>
          <w:color w:val="000000" w:themeColor="text1"/>
          <w:sz w:val="24"/>
          <w:szCs w:val="24"/>
        </w:rPr>
        <w:t>.</w:t>
      </w:r>
      <w:r w:rsidRPr="00AA24BA">
        <w:rPr>
          <w:rFonts w:ascii="Arial" w:eastAsia="Times New Roman" w:hAnsi="Arial" w:cs="Arial"/>
          <w:color w:val="555555"/>
          <w:sz w:val="24"/>
          <w:szCs w:val="24"/>
        </w:rPr>
        <w:br/>
      </w:r>
    </w:p>
    <w:p w:rsidR="00C64707" w:rsidRPr="004A0CDD" w:rsidP="0092326C" w14:paraId="11F83D6E" w14:textId="77777777">
      <w:pPr>
        <w:pStyle w:val="ListParagraph"/>
        <w:numPr>
          <w:ilvl w:val="0"/>
          <w:numId w:val="10"/>
        </w:numPr>
        <w:shd w:val="clear" w:color="auto" w:fill="FFFFFF"/>
        <w:spacing w:after="0" w:line="240" w:lineRule="auto"/>
        <w:rPr>
          <w:rFonts w:ascii="Arial" w:eastAsia="Times New Roman" w:hAnsi="Arial" w:cs="Arial"/>
          <w:color w:val="555555"/>
          <w:sz w:val="24"/>
          <w:szCs w:val="24"/>
        </w:rPr>
      </w:pPr>
      <w:r w:rsidRPr="0092326C">
        <w:rPr>
          <w:rFonts w:ascii="Arial" w:eastAsia="Times New Roman" w:hAnsi="Arial" w:cs="Arial"/>
          <w:b/>
          <w:bCs/>
          <w:color w:val="555555"/>
          <w:sz w:val="24"/>
          <w:szCs w:val="24"/>
        </w:rPr>
        <w:t>Explain each exception to the topics of the certification statement identified in “Certification for Paperwork Reduction Act Submissions.”</w:t>
      </w:r>
    </w:p>
    <w:p w:rsidR="004A0CDD" w:rsidRPr="0092326C" w:rsidP="004A0CDD" w14:paraId="7B5966AB" w14:textId="77777777">
      <w:pPr>
        <w:pStyle w:val="ListParagraph"/>
        <w:shd w:val="clear" w:color="auto" w:fill="FFFFFF"/>
        <w:spacing w:after="0" w:line="240" w:lineRule="auto"/>
        <w:ind w:left="360"/>
        <w:rPr>
          <w:rFonts w:ascii="Arial" w:eastAsia="Times New Roman" w:hAnsi="Arial" w:cs="Arial"/>
          <w:color w:val="555555"/>
          <w:sz w:val="24"/>
          <w:szCs w:val="24"/>
        </w:rPr>
      </w:pPr>
    </w:p>
    <w:p w:rsidR="005B4EB0" w:rsidRPr="004A0CDD" w:rsidP="004A0CDD" w14:paraId="2FC4B9CA" w14:textId="77777777">
      <w:pPr>
        <w:pStyle w:val="ListParagraph"/>
        <w:numPr>
          <w:ilvl w:val="0"/>
          <w:numId w:val="20"/>
        </w:num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No exceptions.</w:t>
      </w:r>
      <w:r w:rsidRPr="004A0CDD" w:rsidR="00C64707">
        <w:rPr>
          <w:rFonts w:ascii="Arial" w:eastAsia="Times New Roman" w:hAnsi="Arial" w:cs="Arial"/>
          <w:color w:val="555555"/>
          <w:sz w:val="24"/>
          <w:szCs w:val="24"/>
        </w:rP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D10DC" w:rsidP="000B3280" w14:paraId="73537229" w14:textId="77777777">
      <w:pPr>
        <w:spacing w:after="0" w:line="240" w:lineRule="auto"/>
      </w:pPr>
      <w:r>
        <w:separator/>
      </w:r>
    </w:p>
  </w:footnote>
  <w:footnote w:type="continuationSeparator" w:id="1">
    <w:p w:rsidR="00DD10DC" w:rsidP="000B3280" w14:paraId="7EE0DBDD" w14:textId="77777777">
      <w:pPr>
        <w:spacing w:after="0" w:line="240" w:lineRule="auto"/>
      </w:pPr>
      <w:r>
        <w:continuationSeparator/>
      </w:r>
    </w:p>
  </w:footnote>
  <w:footnote w:id="2">
    <w:p w:rsidR="00B47FBF" w:rsidP="00B47FBF" w14:paraId="2DA029DF" w14:textId="77777777">
      <w:pPr>
        <w:pStyle w:val="Footer"/>
      </w:pPr>
      <w:r>
        <w:rPr>
          <w:rStyle w:val="FootnoteReference"/>
        </w:rPr>
        <w:footnoteRef/>
      </w:r>
      <w:r>
        <w:t xml:space="preserve"> Source: Bureau of Labor Statistics, U.S. Department of Labor, Occupational Outlook Handbook, Airline and Commercial Pilots, at https://www.bls.gov/ooh/transportation-and-material-moving/airline-and-commercial-pilots.htm (visited July 21, 2025).</w:t>
      </w:r>
    </w:p>
  </w:footnote>
  <w:footnote w:id="3">
    <w:p w:rsidR="00B47FBF" w:rsidP="00B47FBF" w14:paraId="747314B8" w14:textId="77777777">
      <w:pPr>
        <w:pStyle w:val="Footer"/>
      </w:pPr>
      <w:r>
        <w:rPr>
          <w:rStyle w:val="FootnoteReference"/>
        </w:rPr>
        <w:footnoteRef/>
      </w:r>
      <w:r>
        <w:t xml:space="preserve"> Source: U.S. Department of Health and Human Services, “Guidelines for Regulatory Impact Analysis” (2016), https://aspe.hhs.gov/system/files/pdf/242926/HHS_RIAGuidance.pdf.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9C132B"/>
    <w:multiLevelType w:val="hybridMultilevel"/>
    <w:tmpl w:val="1B0AD7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2838C9"/>
    <w:multiLevelType w:val="hybridMultilevel"/>
    <w:tmpl w:val="58A62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613B89"/>
    <w:multiLevelType w:val="hybridMultilevel"/>
    <w:tmpl w:val="30F45944"/>
    <w:lvl w:ilvl="0">
      <w:start w:val="1"/>
      <w:numFmt w:val="bullet"/>
      <w:lvlText w:val=""/>
      <w:lvlJc w:val="left"/>
      <w:pPr>
        <w:tabs>
          <w:tab w:val="num" w:pos="720"/>
        </w:tabs>
        <w:ind w:left="720" w:hanging="360"/>
      </w:pPr>
      <w:rPr>
        <w:rFonts w:ascii="Symbol" w:hAnsi="Symbol" w:hint="default"/>
        <w:color w:val="000000" w:themeColor="text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C454550"/>
    <w:multiLevelType w:val="hybridMultilevel"/>
    <w:tmpl w:val="D42E9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137D39"/>
    <w:multiLevelType w:val="hybridMultilevel"/>
    <w:tmpl w:val="482E72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2F8430F"/>
    <w:multiLevelType w:val="hybridMultilevel"/>
    <w:tmpl w:val="D444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047937"/>
    <w:multiLevelType w:val="hybridMultilevel"/>
    <w:tmpl w:val="5B509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813664"/>
    <w:multiLevelType w:val="hybridMultilevel"/>
    <w:tmpl w:val="541E6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353B52"/>
    <w:multiLevelType w:val="hybridMultilevel"/>
    <w:tmpl w:val="F258C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3A6A8E"/>
    <w:multiLevelType w:val="hybridMultilevel"/>
    <w:tmpl w:val="8D742658"/>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BF31749"/>
    <w:multiLevelType w:val="hybridMultilevel"/>
    <w:tmpl w:val="2764A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791D0C"/>
    <w:multiLevelType w:val="hybridMultilevel"/>
    <w:tmpl w:val="3C24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EE1C14"/>
    <w:multiLevelType w:val="hybridMultilevel"/>
    <w:tmpl w:val="DE7CF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4335A3"/>
    <w:multiLevelType w:val="hybridMultilevel"/>
    <w:tmpl w:val="A9B86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876FA6"/>
    <w:multiLevelType w:val="hybridMultilevel"/>
    <w:tmpl w:val="E432F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1E2F3E"/>
    <w:multiLevelType w:val="hybridMultilevel"/>
    <w:tmpl w:val="2DCA0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93658F"/>
    <w:multiLevelType w:val="hybridMultilevel"/>
    <w:tmpl w:val="F36AD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F61EA6"/>
    <w:multiLevelType w:val="hybridMultilevel"/>
    <w:tmpl w:val="3440D374"/>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720834"/>
    <w:multiLevelType w:val="hybridMultilevel"/>
    <w:tmpl w:val="450EC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7A0881"/>
    <w:multiLevelType w:val="hybridMultilevel"/>
    <w:tmpl w:val="B742E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98059C"/>
    <w:multiLevelType w:val="hybridMultilevel"/>
    <w:tmpl w:val="6C06BD74"/>
    <w:lvl w:ilvl="0">
      <w:start w:val="1"/>
      <w:numFmt w:val="decimal"/>
      <w:lvlText w:val="%1."/>
      <w:lvlJc w:val="left"/>
      <w:pPr>
        <w:ind w:left="360" w:hanging="360"/>
      </w:pPr>
      <w:rPr>
        <w:rFonts w:hint="default"/>
        <w:color w:val="808080" w:themeColor="background1" w:themeShade="80"/>
      </w:rPr>
    </w:lvl>
    <w:lvl w:ilvl="1">
      <w:start w:val="1"/>
      <w:numFmt w:val="bullet"/>
      <w:lvlText w:val=""/>
      <w:lvlJc w:val="left"/>
      <w:pPr>
        <w:ind w:left="72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67084125">
    <w:abstractNumId w:val="0"/>
  </w:num>
  <w:num w:numId="2" w16cid:durableId="1750882832">
    <w:abstractNumId w:val="20"/>
  </w:num>
  <w:num w:numId="3" w16cid:durableId="291911327">
    <w:abstractNumId w:val="21"/>
  </w:num>
  <w:num w:numId="4" w16cid:durableId="967860431">
    <w:abstractNumId w:val="13"/>
  </w:num>
  <w:num w:numId="5" w16cid:durableId="653030019">
    <w:abstractNumId w:val="19"/>
  </w:num>
  <w:num w:numId="6" w16cid:durableId="984160833">
    <w:abstractNumId w:val="1"/>
  </w:num>
  <w:num w:numId="7" w16cid:durableId="2009675548">
    <w:abstractNumId w:val="16"/>
  </w:num>
  <w:num w:numId="8" w16cid:durableId="989291323">
    <w:abstractNumId w:val="23"/>
  </w:num>
  <w:num w:numId="9" w16cid:durableId="545070770">
    <w:abstractNumId w:val="8"/>
  </w:num>
  <w:num w:numId="10" w16cid:durableId="1721444158">
    <w:abstractNumId w:val="10"/>
  </w:num>
  <w:num w:numId="11" w16cid:durableId="1157260672">
    <w:abstractNumId w:val="11"/>
  </w:num>
  <w:num w:numId="12" w16cid:durableId="1502040430">
    <w:abstractNumId w:val="9"/>
  </w:num>
  <w:num w:numId="13" w16cid:durableId="1764761606">
    <w:abstractNumId w:val="12"/>
  </w:num>
  <w:num w:numId="14" w16cid:durableId="1341660610">
    <w:abstractNumId w:val="14"/>
  </w:num>
  <w:num w:numId="15" w16cid:durableId="41099599">
    <w:abstractNumId w:val="2"/>
  </w:num>
  <w:num w:numId="16" w16cid:durableId="1345864802">
    <w:abstractNumId w:val="7"/>
  </w:num>
  <w:num w:numId="17" w16cid:durableId="92553500">
    <w:abstractNumId w:val="4"/>
  </w:num>
  <w:num w:numId="18" w16cid:durableId="204146770">
    <w:abstractNumId w:val="5"/>
  </w:num>
  <w:num w:numId="19" w16cid:durableId="1551988649">
    <w:abstractNumId w:val="15"/>
  </w:num>
  <w:num w:numId="20" w16cid:durableId="435977840">
    <w:abstractNumId w:val="18"/>
  </w:num>
  <w:num w:numId="21" w16cid:durableId="53090367">
    <w:abstractNumId w:val="3"/>
  </w:num>
  <w:num w:numId="22" w16cid:durableId="1686251528">
    <w:abstractNumId w:val="22"/>
  </w:num>
  <w:num w:numId="23" w16cid:durableId="178862472">
    <w:abstractNumId w:val="17"/>
  </w:num>
  <w:num w:numId="24" w16cid:durableId="12965675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5C24"/>
    <w:rsid w:val="000430AE"/>
    <w:rsid w:val="0005026A"/>
    <w:rsid w:val="00061970"/>
    <w:rsid w:val="00065A9E"/>
    <w:rsid w:val="00070D2C"/>
    <w:rsid w:val="000776C9"/>
    <w:rsid w:val="00087832"/>
    <w:rsid w:val="00090561"/>
    <w:rsid w:val="00094E7F"/>
    <w:rsid w:val="000A3970"/>
    <w:rsid w:val="000B3280"/>
    <w:rsid w:val="000C30CD"/>
    <w:rsid w:val="000D25FF"/>
    <w:rsid w:val="000E13E8"/>
    <w:rsid w:val="000E30FE"/>
    <w:rsid w:val="00103192"/>
    <w:rsid w:val="001032E6"/>
    <w:rsid w:val="00105123"/>
    <w:rsid w:val="00107AA9"/>
    <w:rsid w:val="00111C97"/>
    <w:rsid w:val="00117F50"/>
    <w:rsid w:val="00131341"/>
    <w:rsid w:val="00153B8A"/>
    <w:rsid w:val="001930DD"/>
    <w:rsid w:val="001A5898"/>
    <w:rsid w:val="001D19AF"/>
    <w:rsid w:val="001E32EF"/>
    <w:rsid w:val="001F0724"/>
    <w:rsid w:val="002058E0"/>
    <w:rsid w:val="002115A2"/>
    <w:rsid w:val="00217D70"/>
    <w:rsid w:val="00224A0A"/>
    <w:rsid w:val="002354FF"/>
    <w:rsid w:val="00244154"/>
    <w:rsid w:val="00261AEB"/>
    <w:rsid w:val="00264D3E"/>
    <w:rsid w:val="0026549C"/>
    <w:rsid w:val="00266C36"/>
    <w:rsid w:val="00267886"/>
    <w:rsid w:val="00273C7B"/>
    <w:rsid w:val="00274310"/>
    <w:rsid w:val="0028136F"/>
    <w:rsid w:val="00292C6A"/>
    <w:rsid w:val="002A1BF0"/>
    <w:rsid w:val="002B3C59"/>
    <w:rsid w:val="002B7041"/>
    <w:rsid w:val="002C3BCB"/>
    <w:rsid w:val="002D0A8A"/>
    <w:rsid w:val="00311429"/>
    <w:rsid w:val="0032224F"/>
    <w:rsid w:val="00322563"/>
    <w:rsid w:val="00332A69"/>
    <w:rsid w:val="00355D94"/>
    <w:rsid w:val="00360215"/>
    <w:rsid w:val="003655D6"/>
    <w:rsid w:val="00381505"/>
    <w:rsid w:val="00393425"/>
    <w:rsid w:val="00396D1B"/>
    <w:rsid w:val="003A0D45"/>
    <w:rsid w:val="003A4D0F"/>
    <w:rsid w:val="003B2F38"/>
    <w:rsid w:val="003B31B7"/>
    <w:rsid w:val="003C0398"/>
    <w:rsid w:val="003C0EC6"/>
    <w:rsid w:val="003C2EED"/>
    <w:rsid w:val="003C6305"/>
    <w:rsid w:val="003E506A"/>
    <w:rsid w:val="00411DB0"/>
    <w:rsid w:val="0044799A"/>
    <w:rsid w:val="00452F34"/>
    <w:rsid w:val="004750BF"/>
    <w:rsid w:val="004773B0"/>
    <w:rsid w:val="00484F9D"/>
    <w:rsid w:val="00491382"/>
    <w:rsid w:val="004943C8"/>
    <w:rsid w:val="004970CC"/>
    <w:rsid w:val="004A0CDD"/>
    <w:rsid w:val="004A1A6D"/>
    <w:rsid w:val="004A6EA4"/>
    <w:rsid w:val="004B54C5"/>
    <w:rsid w:val="004B6BC0"/>
    <w:rsid w:val="004D55DE"/>
    <w:rsid w:val="004D7E2D"/>
    <w:rsid w:val="004F5A6E"/>
    <w:rsid w:val="0050353E"/>
    <w:rsid w:val="00544F13"/>
    <w:rsid w:val="005552C0"/>
    <w:rsid w:val="00561E99"/>
    <w:rsid w:val="00574F3F"/>
    <w:rsid w:val="00583C97"/>
    <w:rsid w:val="00585F9C"/>
    <w:rsid w:val="00585FE5"/>
    <w:rsid w:val="005A2CC1"/>
    <w:rsid w:val="005B4EB0"/>
    <w:rsid w:val="005C2101"/>
    <w:rsid w:val="005D24B1"/>
    <w:rsid w:val="005D7F02"/>
    <w:rsid w:val="00603EA0"/>
    <w:rsid w:val="0060748A"/>
    <w:rsid w:val="00612B5A"/>
    <w:rsid w:val="006173FD"/>
    <w:rsid w:val="00622DD5"/>
    <w:rsid w:val="00624394"/>
    <w:rsid w:val="00624E21"/>
    <w:rsid w:val="00625B08"/>
    <w:rsid w:val="0063565C"/>
    <w:rsid w:val="006412C1"/>
    <w:rsid w:val="00643A25"/>
    <w:rsid w:val="0064463F"/>
    <w:rsid w:val="006B243B"/>
    <w:rsid w:val="006B3152"/>
    <w:rsid w:val="006D038A"/>
    <w:rsid w:val="006E07D0"/>
    <w:rsid w:val="006E23CF"/>
    <w:rsid w:val="0071276C"/>
    <w:rsid w:val="00752919"/>
    <w:rsid w:val="00767087"/>
    <w:rsid w:val="007711A7"/>
    <w:rsid w:val="00771C53"/>
    <w:rsid w:val="0078275B"/>
    <w:rsid w:val="007866A4"/>
    <w:rsid w:val="0079110A"/>
    <w:rsid w:val="007A3902"/>
    <w:rsid w:val="007A73BB"/>
    <w:rsid w:val="007B4E1C"/>
    <w:rsid w:val="007D2FB5"/>
    <w:rsid w:val="007F3E98"/>
    <w:rsid w:val="008035D2"/>
    <w:rsid w:val="0080777C"/>
    <w:rsid w:val="0080780F"/>
    <w:rsid w:val="00810282"/>
    <w:rsid w:val="00831015"/>
    <w:rsid w:val="00832D5C"/>
    <w:rsid w:val="00835911"/>
    <w:rsid w:val="00840AD9"/>
    <w:rsid w:val="00850B59"/>
    <w:rsid w:val="008512CA"/>
    <w:rsid w:val="00861DAA"/>
    <w:rsid w:val="00867B53"/>
    <w:rsid w:val="0088378E"/>
    <w:rsid w:val="00893FF3"/>
    <w:rsid w:val="00897843"/>
    <w:rsid w:val="008B0CDD"/>
    <w:rsid w:val="008B7EF8"/>
    <w:rsid w:val="008C4EA9"/>
    <w:rsid w:val="008D613E"/>
    <w:rsid w:val="008F77F0"/>
    <w:rsid w:val="00921282"/>
    <w:rsid w:val="0092326C"/>
    <w:rsid w:val="009C2597"/>
    <w:rsid w:val="009C69D0"/>
    <w:rsid w:val="009D7778"/>
    <w:rsid w:val="00A13DDD"/>
    <w:rsid w:val="00A14A81"/>
    <w:rsid w:val="00A522A8"/>
    <w:rsid w:val="00A70704"/>
    <w:rsid w:val="00A708CB"/>
    <w:rsid w:val="00A77344"/>
    <w:rsid w:val="00A8023F"/>
    <w:rsid w:val="00A83CBF"/>
    <w:rsid w:val="00A84E26"/>
    <w:rsid w:val="00A94FF9"/>
    <w:rsid w:val="00A9607C"/>
    <w:rsid w:val="00AA24BA"/>
    <w:rsid w:val="00AA322F"/>
    <w:rsid w:val="00AB07A4"/>
    <w:rsid w:val="00AB5AC2"/>
    <w:rsid w:val="00AC1FA9"/>
    <w:rsid w:val="00AD3353"/>
    <w:rsid w:val="00AF5667"/>
    <w:rsid w:val="00B023DE"/>
    <w:rsid w:val="00B11DCB"/>
    <w:rsid w:val="00B14FF6"/>
    <w:rsid w:val="00B16578"/>
    <w:rsid w:val="00B35477"/>
    <w:rsid w:val="00B4211D"/>
    <w:rsid w:val="00B47FBF"/>
    <w:rsid w:val="00B72077"/>
    <w:rsid w:val="00B7725F"/>
    <w:rsid w:val="00B91E5D"/>
    <w:rsid w:val="00B92BE6"/>
    <w:rsid w:val="00B938CF"/>
    <w:rsid w:val="00B95EB6"/>
    <w:rsid w:val="00BA1141"/>
    <w:rsid w:val="00BB740D"/>
    <w:rsid w:val="00BD0A13"/>
    <w:rsid w:val="00BD5322"/>
    <w:rsid w:val="00BE5379"/>
    <w:rsid w:val="00BE7373"/>
    <w:rsid w:val="00BF2C08"/>
    <w:rsid w:val="00C05BF5"/>
    <w:rsid w:val="00C44330"/>
    <w:rsid w:val="00C57513"/>
    <w:rsid w:val="00C64707"/>
    <w:rsid w:val="00C73C71"/>
    <w:rsid w:val="00CA4F60"/>
    <w:rsid w:val="00CF1206"/>
    <w:rsid w:val="00D023E9"/>
    <w:rsid w:val="00D22164"/>
    <w:rsid w:val="00D366A9"/>
    <w:rsid w:val="00D3713C"/>
    <w:rsid w:val="00D45F07"/>
    <w:rsid w:val="00D52679"/>
    <w:rsid w:val="00D53BA0"/>
    <w:rsid w:val="00D674E2"/>
    <w:rsid w:val="00D909E1"/>
    <w:rsid w:val="00D910AE"/>
    <w:rsid w:val="00D94E09"/>
    <w:rsid w:val="00DC24A8"/>
    <w:rsid w:val="00DC705E"/>
    <w:rsid w:val="00DD10DC"/>
    <w:rsid w:val="00DD1A3A"/>
    <w:rsid w:val="00DE3B16"/>
    <w:rsid w:val="00DF0A29"/>
    <w:rsid w:val="00DF7CCE"/>
    <w:rsid w:val="00E0350B"/>
    <w:rsid w:val="00E048BC"/>
    <w:rsid w:val="00E2190D"/>
    <w:rsid w:val="00E25C43"/>
    <w:rsid w:val="00E3347C"/>
    <w:rsid w:val="00E45679"/>
    <w:rsid w:val="00E57AA4"/>
    <w:rsid w:val="00E6361D"/>
    <w:rsid w:val="00E739BC"/>
    <w:rsid w:val="00E95688"/>
    <w:rsid w:val="00EA7B0F"/>
    <w:rsid w:val="00EB3AED"/>
    <w:rsid w:val="00EB5AEE"/>
    <w:rsid w:val="00EE06B4"/>
    <w:rsid w:val="00F14F39"/>
    <w:rsid w:val="00F17218"/>
    <w:rsid w:val="00F429FA"/>
    <w:rsid w:val="00F813E2"/>
    <w:rsid w:val="00F84820"/>
    <w:rsid w:val="00F92213"/>
    <w:rsid w:val="00F941EB"/>
    <w:rsid w:val="00F97C2F"/>
    <w:rsid w:val="00FB242B"/>
    <w:rsid w:val="00FB5064"/>
    <w:rsid w:val="00FB6693"/>
    <w:rsid w:val="00FB6972"/>
    <w:rsid w:val="00FC2BD1"/>
    <w:rsid w:val="00FE0B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D03C1"/>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366A9"/>
    <w:pPr>
      <w:ind w:left="720"/>
      <w:contextualSpacing/>
    </w:pPr>
  </w:style>
  <w:style w:type="paragraph" w:styleId="Footer">
    <w:name w:val="footer"/>
    <w:basedOn w:val="Normal"/>
    <w:link w:val="FooterChar"/>
    <w:uiPriority w:val="99"/>
    <w:semiHidden/>
    <w:unhideWhenUsed/>
    <w:rsid w:val="000B32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3280"/>
  </w:style>
  <w:style w:type="character" w:styleId="FootnoteReference">
    <w:name w:val="footnote reference"/>
    <w:basedOn w:val="DefaultParagraphFont"/>
    <w:uiPriority w:val="99"/>
    <w:semiHidden/>
    <w:unhideWhenUsed/>
    <w:rsid w:val="000B3280"/>
    <w:rPr>
      <w:vertAlign w:val="superscript"/>
    </w:rPr>
  </w:style>
  <w:style w:type="paragraph" w:styleId="CommentSubject">
    <w:name w:val="annotation subject"/>
    <w:basedOn w:val="CommentText"/>
    <w:next w:val="CommentText"/>
    <w:link w:val="CommentSubjectChar"/>
    <w:uiPriority w:val="99"/>
    <w:semiHidden/>
    <w:unhideWhenUsed/>
    <w:rsid w:val="007866A4"/>
    <w:rPr>
      <w:b/>
      <w:bCs/>
    </w:rPr>
  </w:style>
  <w:style w:type="character" w:customStyle="1" w:styleId="CommentSubjectChar">
    <w:name w:val="Comment Subject Char"/>
    <w:basedOn w:val="CommentTextChar"/>
    <w:link w:val="CommentSubject"/>
    <w:uiPriority w:val="99"/>
    <w:semiHidden/>
    <w:rsid w:val="007866A4"/>
    <w:rPr>
      <w:b/>
      <w:bCs/>
      <w:sz w:val="20"/>
      <w:szCs w:val="20"/>
    </w:rPr>
  </w:style>
  <w:style w:type="paragraph" w:styleId="Revision">
    <w:name w:val="Revision"/>
    <w:hidden/>
    <w:uiPriority w:val="99"/>
    <w:semiHidden/>
    <w:rsid w:val="00005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149F-E88A-42E1-8EDA-A0BCC6D7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9</Pages>
  <Words>2015</Words>
  <Characters>14836</Characters>
  <Application>Microsoft Office Word</Application>
  <DocSecurity>0</DocSecurity>
  <Lines>706</Lines>
  <Paragraphs>601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Ho, Tammy T (FAA)</cp:lastModifiedBy>
  <cp:revision>7</cp:revision>
  <dcterms:created xsi:type="dcterms:W3CDTF">2026-01-06T20:23:00Z</dcterms:created>
  <dcterms:modified xsi:type="dcterms:W3CDTF">2026-02-04T15:23:00Z</dcterms:modified>
</cp:coreProperties>
</file>