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B6EB1" w:rsidP="005C1336" w14:paraId="2E488E05" w14:textId="126E3A81">
      <w:pPr>
        <w:pStyle w:val="Title"/>
        <w:rPr>
          <w:sz w:val="28"/>
          <w:szCs w:val="28"/>
          <w:u w:val="none"/>
        </w:rPr>
      </w:pPr>
      <w:r>
        <w:rPr>
          <w:sz w:val="28"/>
          <w:szCs w:val="28"/>
          <w:u w:val="none"/>
        </w:rPr>
        <w:t xml:space="preserve">  </w:t>
      </w:r>
      <w:r w:rsidRPr="005B6EB1" w:rsidR="001424C7">
        <w:rPr>
          <w:sz w:val="28"/>
          <w:szCs w:val="28"/>
          <w:u w:val="none"/>
        </w:rPr>
        <w:t>D</w:t>
      </w:r>
      <w:r w:rsidRPr="005B6EB1">
        <w:rPr>
          <w:sz w:val="28"/>
          <w:szCs w:val="28"/>
          <w:u w:val="none"/>
        </w:rPr>
        <w:t>epartment of Transportation</w:t>
      </w:r>
    </w:p>
    <w:p w:rsidR="00470720" w:rsidRPr="005B6EB1" w:rsidP="00407E96" w14:paraId="307D1668" w14:textId="34FD7A50">
      <w:pPr>
        <w:pStyle w:val="Title"/>
        <w:outlineLvl w:val="0"/>
        <w:rPr>
          <w:sz w:val="32"/>
          <w:szCs w:val="32"/>
        </w:rPr>
      </w:pPr>
      <w:r w:rsidRPr="005B6EB1">
        <w:rPr>
          <w:sz w:val="28"/>
          <w:szCs w:val="28"/>
          <w:u w:val="none"/>
        </w:rPr>
        <w:t>Federal Motor Carrier Safety Administration</w:t>
      </w:r>
    </w:p>
    <w:p w:rsidR="00470720" w:rsidRPr="005B6EB1" w14:paraId="49D15D49" w14:textId="77777777">
      <w:pPr>
        <w:pStyle w:val="Title"/>
      </w:pPr>
    </w:p>
    <w:p w:rsidR="0004749E" w:rsidRPr="005B6EB1" w:rsidP="00407E96" w14:paraId="7FF49A9F" w14:textId="77777777">
      <w:pPr>
        <w:pStyle w:val="Title"/>
        <w:outlineLvl w:val="0"/>
      </w:pPr>
      <w:r w:rsidRPr="005B6EB1">
        <w:t>SUPPORTING STATEMENT</w:t>
      </w:r>
    </w:p>
    <w:p w:rsidR="0004749E" w:rsidRPr="005B6EB1" w:rsidP="007C37FC" w14:paraId="65DCD58C" w14:textId="482D1620">
      <w:pPr>
        <w:jc w:val="center"/>
        <w:rPr>
          <w:b/>
          <w:bCs/>
          <w:szCs w:val="24"/>
        </w:rPr>
      </w:pPr>
      <w:r w:rsidRPr="005B6EB1">
        <w:rPr>
          <w:b/>
          <w:bCs/>
          <w:szCs w:val="24"/>
        </w:rPr>
        <w:t>Training Certification for Entry-Level Commercial Motor Vehicle Operators</w:t>
      </w:r>
    </w:p>
    <w:p w:rsidR="00033E10" w:rsidRPr="005B6EB1" w:rsidP="007C37FC" w14:paraId="04B69B13" w14:textId="77777777">
      <w:pPr>
        <w:jc w:val="center"/>
        <w:rPr>
          <w:b/>
          <w:bCs/>
          <w:szCs w:val="24"/>
        </w:rPr>
      </w:pPr>
    </w:p>
    <w:p w:rsidR="00033E10" w:rsidRPr="005B6EB1" w:rsidP="00033E10" w14:paraId="58A34FF2" w14:textId="77777777">
      <w:pPr>
        <w:rPr>
          <w:b/>
          <w:u w:val="single"/>
        </w:rPr>
      </w:pPr>
      <w:r w:rsidRPr="005B6EB1">
        <w:rPr>
          <w:b/>
          <w:u w:val="single"/>
        </w:rPr>
        <w:t>SUMMARY</w:t>
      </w:r>
    </w:p>
    <w:p w:rsidR="00033E10" w:rsidRPr="005B6EB1" w:rsidP="00033E10" w14:paraId="0C3ED69A" w14:textId="77777777">
      <w:pPr>
        <w:rPr>
          <w:b/>
          <w:u w:val="single"/>
        </w:rPr>
      </w:pPr>
    </w:p>
    <w:p w:rsidR="00033E10" w:rsidRPr="005B6EB1" w:rsidP="00033E10" w14:paraId="61BB83B2" w14:textId="212322ED">
      <w:pPr>
        <w:rPr>
          <w:bCs/>
        </w:rPr>
      </w:pPr>
      <w:r w:rsidRPr="005B6EB1">
        <w:rPr>
          <w:bCs/>
        </w:rPr>
        <w:t xml:space="preserve">This supporting statement estimates the burden hours and costs associated with </w:t>
      </w:r>
      <w:r w:rsidRPr="005B6EB1" w:rsidR="00823EC6">
        <w:rPr>
          <w:bCs/>
        </w:rPr>
        <w:t>“</w:t>
      </w:r>
      <w:bookmarkStart w:id="0" w:name="_Hlk126505274"/>
      <w:r w:rsidRPr="005B6EB1" w:rsidR="001C40AA">
        <w:t>Training Certification for Entry-Level Commercial Motor Vehicle Operators</w:t>
      </w:r>
      <w:bookmarkEnd w:id="0"/>
      <w:r w:rsidRPr="005B6EB1">
        <w:rPr>
          <w:bCs/>
        </w:rPr>
        <w:t>.</w:t>
      </w:r>
      <w:r w:rsidRPr="005B6EB1" w:rsidR="00823EC6">
        <w:rPr>
          <w:bCs/>
        </w:rPr>
        <w:t>”</w:t>
      </w:r>
    </w:p>
    <w:p w:rsidR="00033E10" w:rsidRPr="005B6EB1" w:rsidP="00033E10" w14:paraId="71B834E1" w14:textId="77777777">
      <w:pPr>
        <w:rPr>
          <w:bCs/>
        </w:rPr>
      </w:pPr>
      <w:r w:rsidRPr="005B6EB1">
        <w:rPr>
          <w:bCs/>
        </w:rPr>
        <w:t xml:space="preserve"> </w:t>
      </w:r>
    </w:p>
    <w:p w:rsidR="00A50FAA" w:rsidRPr="005B6EB1" w:rsidP="00A50FAA" w14:paraId="487B9508" w14:textId="70E76B51">
      <w:pPr>
        <w:pStyle w:val="ListParagraph"/>
        <w:widowControl/>
        <w:numPr>
          <w:ilvl w:val="0"/>
          <w:numId w:val="38"/>
        </w:numPr>
        <w:autoSpaceDE/>
        <w:autoSpaceDN/>
        <w:adjustRightInd/>
        <w:contextualSpacing/>
      </w:pPr>
      <w:r w:rsidRPr="005B6EB1">
        <w:t xml:space="preserve">The annual </w:t>
      </w:r>
      <w:r w:rsidRPr="005B6EB1" w:rsidR="001C40AA">
        <w:t>number of responses</w:t>
      </w:r>
      <w:r w:rsidRPr="005B6EB1">
        <w:t xml:space="preserve"> for this information collection </w:t>
      </w:r>
      <w:r w:rsidR="000B1979">
        <w:t>has</w:t>
      </w:r>
      <w:r w:rsidRPr="005B6EB1" w:rsidR="000B1979">
        <w:t xml:space="preserve"> </w:t>
      </w:r>
      <w:r w:rsidRPr="005B6EB1" w:rsidR="001C40AA">
        <w:t>increased</w:t>
      </w:r>
      <w:r w:rsidRPr="005B6EB1">
        <w:t xml:space="preserve"> by </w:t>
      </w:r>
      <w:r w:rsidR="008C683A">
        <w:t>112,722</w:t>
      </w:r>
      <w:r w:rsidRPr="005B6EB1" w:rsidR="00042166">
        <w:t xml:space="preserve"> </w:t>
      </w:r>
      <w:r w:rsidRPr="005B6EB1">
        <w:t xml:space="preserve">from the previously approved </w:t>
      </w:r>
      <w:r w:rsidRPr="005B6EB1" w:rsidR="001C40AA">
        <w:t xml:space="preserve">399,340 </w:t>
      </w:r>
      <w:r w:rsidRPr="005B6EB1">
        <w:t xml:space="preserve">due to the availability of </w:t>
      </w:r>
      <w:r w:rsidR="00746516">
        <w:t>training provider registration data</w:t>
      </w:r>
      <w:r w:rsidRPr="005B6EB1">
        <w:t xml:space="preserve">.  </w:t>
      </w:r>
    </w:p>
    <w:p w:rsidR="001C40AA" w:rsidRPr="005B6EB1" w:rsidP="001C40AA" w14:paraId="66055D8C" w14:textId="02D655C9">
      <w:pPr>
        <w:pStyle w:val="ListParagraph"/>
        <w:widowControl/>
        <w:numPr>
          <w:ilvl w:val="0"/>
          <w:numId w:val="38"/>
        </w:numPr>
        <w:autoSpaceDE/>
        <w:autoSpaceDN/>
        <w:adjustRightInd/>
        <w:contextualSpacing/>
      </w:pPr>
      <w:r w:rsidRPr="005B6EB1">
        <w:t xml:space="preserve">The annual burden hours for this information collection have increased by </w:t>
      </w:r>
      <w:r w:rsidRPr="005B6EB1" w:rsidR="00042166">
        <w:t xml:space="preserve">13,023 </w:t>
      </w:r>
      <w:r w:rsidRPr="005B6EB1">
        <w:t xml:space="preserve">hours from the previously approved 67,276 hours due to the availability of actual data.  </w:t>
      </w:r>
    </w:p>
    <w:p w:rsidR="00105F8E" w:rsidRPr="005B6EB1" w14:paraId="6DD53FEF" w14:textId="77777777">
      <w:pPr>
        <w:rPr>
          <w:b/>
          <w:bCs/>
          <w:szCs w:val="24"/>
        </w:rPr>
      </w:pPr>
    </w:p>
    <w:p w:rsidR="0004749E" w:rsidRPr="005B6EB1" w:rsidP="00407E96" w14:paraId="2902A57E" w14:textId="77777777">
      <w:pPr>
        <w:pStyle w:val="Subtitle"/>
        <w:outlineLvl w:val="0"/>
      </w:pPr>
      <w:r w:rsidRPr="005B6EB1">
        <w:t>INTRODUCTION</w:t>
      </w:r>
    </w:p>
    <w:p w:rsidR="0004749E" w:rsidRPr="005B6EB1" w14:paraId="65939B61" w14:textId="77777777">
      <w:pPr>
        <w:rPr>
          <w:b/>
          <w:bCs/>
          <w:szCs w:val="24"/>
        </w:rPr>
      </w:pPr>
    </w:p>
    <w:p w:rsidR="005C1336" w:rsidRPr="005B6EB1" w:rsidP="00632C91" w14:paraId="6ABCB273" w14:textId="0554EC01">
      <w:pPr>
        <w:widowControl/>
      </w:pPr>
      <w:r w:rsidRPr="005B6EB1">
        <w:t xml:space="preserve">This is to request Office of Management and Budget (OMB) approval of a </w:t>
      </w:r>
      <w:r w:rsidRPr="005B6EB1" w:rsidR="002B7B62">
        <w:t xml:space="preserve">renewal </w:t>
      </w:r>
      <w:r w:rsidRPr="005B6EB1">
        <w:t xml:space="preserve">of the existing currently approved collection of information with OMB Control Number 2126-0028 titled “Training Certification for Entry-Level Commercial Motor Vehicle Operators.” </w:t>
      </w:r>
    </w:p>
    <w:p w:rsidR="005C1336" w:rsidRPr="005B6EB1" w:rsidP="00632C91" w14:paraId="6416DA4A" w14:textId="77777777">
      <w:pPr>
        <w:widowControl/>
      </w:pPr>
    </w:p>
    <w:p w:rsidR="00632C91" w:rsidRPr="005B6EB1" w:rsidP="00632C91" w14:paraId="5BC13407" w14:textId="5825C3B1">
      <w:pPr>
        <w:widowControl/>
      </w:pPr>
      <w:bookmarkStart w:id="1" w:name="_Hlk126509129"/>
      <w:r w:rsidRPr="005B6EB1">
        <w:t xml:space="preserve">Federal Motor Carrier Safety Administration (FMCSA) entry-level driver training </w:t>
      </w:r>
      <w:r w:rsidRPr="005B6EB1" w:rsidR="00CA6031">
        <w:t xml:space="preserve">(ELDT) </w:t>
      </w:r>
      <w:r w:rsidRPr="005B6EB1">
        <w:t>regulations in 49 CFR part 380, Special Training Requirements</w:t>
      </w:r>
      <w:r w:rsidRPr="005B6EB1" w:rsidR="004972A1">
        <w:t xml:space="preserve"> (Attachment A)</w:t>
      </w:r>
      <w:r w:rsidRPr="005B6EB1">
        <w:t xml:space="preserve">, are intended to enhance the safety of commercial motor vehicle (CMV) operations on our Nation’s highways by establishing minimum training standards for entry-level drivers. These </w:t>
      </w:r>
      <w:r w:rsidRPr="005B6EB1" w:rsidR="00CA6031">
        <w:t>ELDT</w:t>
      </w:r>
      <w:r w:rsidRPr="005B6EB1">
        <w:t xml:space="preserve"> regulations result in certain activities that constitute a collection of information under the Paperwork Reduction Act (PRA)</w:t>
      </w:r>
      <w:bookmarkEnd w:id="1"/>
      <w:r w:rsidRPr="005B6EB1">
        <w:t xml:space="preserve">, and for which the Agency has in place a currently approved collection of information with </w:t>
      </w:r>
      <w:r w:rsidRPr="005B6EB1" w:rsidR="005D109D">
        <w:t>OMB</w:t>
      </w:r>
      <w:r w:rsidRPr="005B6EB1">
        <w:t xml:space="preserve"> Control Number 2126-0028 titled “Training Certification for Entry-Level Commercial Motor Vehicle Operators” which was most recently approved on </w:t>
      </w:r>
      <w:r w:rsidRPr="005B6EB1" w:rsidR="007D6550">
        <w:t>June 26, 2020</w:t>
      </w:r>
      <w:r w:rsidRPr="005B6EB1">
        <w:t xml:space="preserve">, and which has an expiration date of </w:t>
      </w:r>
      <w:r w:rsidRPr="005B6EB1" w:rsidR="007D6550">
        <w:t>June 30, 2023</w:t>
      </w:r>
      <w:r w:rsidRPr="005B6EB1">
        <w:t>.</w:t>
      </w:r>
    </w:p>
    <w:p w:rsidR="00632C91" w:rsidRPr="005B6EB1" w:rsidP="00632C91" w14:paraId="1DF5E702" w14:textId="77777777">
      <w:pPr>
        <w:widowControl/>
      </w:pPr>
    </w:p>
    <w:p w:rsidR="00A46681" w:rsidRPr="005B6EB1" w14:paraId="7C287C3F" w14:textId="77777777">
      <w:pPr>
        <w:rPr>
          <w:b/>
          <w:bCs/>
          <w:szCs w:val="24"/>
        </w:rPr>
      </w:pPr>
    </w:p>
    <w:p w:rsidR="0004749E" w:rsidRPr="005B6EB1" w:rsidP="00F77AAC" w14:paraId="44BC6D0C" w14:textId="77777777">
      <w:pPr>
        <w:tabs>
          <w:tab w:val="left" w:pos="-1440"/>
          <w:tab w:val="left" w:pos="-720"/>
        </w:tabs>
        <w:outlineLvl w:val="0"/>
        <w:rPr>
          <w:b/>
          <w:bCs/>
          <w:szCs w:val="24"/>
        </w:rPr>
      </w:pPr>
      <w:r w:rsidRPr="005B6EB1">
        <w:rPr>
          <w:b/>
          <w:bCs/>
          <w:u w:val="single"/>
        </w:rPr>
        <w:t>Part A. Justification</w:t>
      </w:r>
    </w:p>
    <w:p w:rsidR="00DE21CE" w:rsidRPr="005B6EB1" w:rsidP="00F77AAC" w14:paraId="44F16E22" w14:textId="77777777">
      <w:pPr>
        <w:tabs>
          <w:tab w:val="left" w:pos="-1440"/>
          <w:tab w:val="left" w:pos="-720"/>
        </w:tabs>
        <w:rPr>
          <w:b/>
          <w:bCs/>
          <w:szCs w:val="24"/>
        </w:rPr>
      </w:pPr>
    </w:p>
    <w:p w:rsidR="00CA3651" w:rsidRPr="005B6EB1" w:rsidP="00CA3651" w14:paraId="020289E3" w14:textId="63B16F34">
      <w:pPr>
        <w:tabs>
          <w:tab w:val="left" w:pos="-1440"/>
          <w:tab w:val="left" w:pos="-720"/>
          <w:tab w:val="left" w:pos="0"/>
        </w:tabs>
        <w:ind w:left="360" w:hanging="360"/>
        <w:rPr>
          <w:szCs w:val="24"/>
        </w:rPr>
      </w:pPr>
      <w:r w:rsidRPr="005B6EB1">
        <w:rPr>
          <w:b/>
          <w:bCs/>
          <w:szCs w:val="24"/>
        </w:rPr>
        <w:t>1.</w:t>
      </w:r>
      <w:r w:rsidRPr="005B6EB1">
        <w:rPr>
          <w:b/>
          <w:bCs/>
          <w:szCs w:val="24"/>
        </w:rPr>
        <w:tab/>
      </w:r>
      <w:r w:rsidRPr="005B6EB1" w:rsidR="00C14920">
        <w:rPr>
          <w:b/>
          <w:bCs/>
          <w:szCs w:val="24"/>
        </w:rPr>
        <w:t>CIRCUMSTANCES THAT MAKE THE COLLECTION OF INFORMATION NECESSARY</w:t>
      </w:r>
    </w:p>
    <w:p w:rsidR="00DE21CE" w:rsidRPr="005B6EB1" w:rsidP="00CA3651" w14:paraId="01AB7378" w14:textId="477B4246">
      <w:pPr>
        <w:tabs>
          <w:tab w:val="left" w:pos="-1440"/>
          <w:tab w:val="left" w:pos="-720"/>
          <w:tab w:val="left" w:pos="0"/>
        </w:tabs>
        <w:ind w:left="360" w:hanging="360"/>
        <w:rPr>
          <w:szCs w:val="24"/>
        </w:rPr>
      </w:pPr>
    </w:p>
    <w:p w:rsidR="009229EB" w:rsidRPr="005B6EB1" w:rsidP="00637CF5" w14:paraId="2779BF10" w14:textId="6C7F5688">
      <w:pPr>
        <w:tabs>
          <w:tab w:val="left" w:pos="-1440"/>
          <w:tab w:val="left" w:pos="-720"/>
          <w:tab w:val="left" w:pos="0"/>
        </w:tabs>
        <w:ind w:left="360" w:hanging="360"/>
      </w:pPr>
      <w:r w:rsidRPr="005B6EB1">
        <w:rPr>
          <w:szCs w:val="24"/>
        </w:rPr>
        <w:tab/>
      </w:r>
      <w:r w:rsidRPr="005B6EB1" w:rsidR="002B7B62">
        <w:t xml:space="preserve">FMCSA is required to develop and establish minimum driver training standards for applicants for a </w:t>
      </w:r>
      <w:r w:rsidR="000B1979">
        <w:t>commercial driver’s license (</w:t>
      </w:r>
      <w:r w:rsidRPr="005B6EB1" w:rsidR="002B7B62">
        <w:t>CDL</w:t>
      </w:r>
      <w:r w:rsidR="000B1979">
        <w:t>)</w:t>
      </w:r>
      <w:r w:rsidRPr="005B6EB1" w:rsidR="002B7B62">
        <w:t xml:space="preserve"> and/or certain CDL endorsements by </w:t>
      </w:r>
      <w:r w:rsidRPr="005B6EB1" w:rsidR="00CA3651">
        <w:t xml:space="preserve">the </w:t>
      </w:r>
      <w:r w:rsidRPr="005B6EB1" w:rsidR="005C1336">
        <w:t>“Moving Ahead for Progres</w:t>
      </w:r>
      <w:r w:rsidRPr="005B6EB1" w:rsidR="000077BC">
        <w:t>s in the 21st Century Act” (MAP-</w:t>
      </w:r>
      <w:r w:rsidRPr="005B6EB1" w:rsidR="005C1336">
        <w:t>21)</w:t>
      </w:r>
      <w:r w:rsidRPr="005B6EB1" w:rsidR="00CA3651">
        <w:t xml:space="preserve"> </w:t>
      </w:r>
      <w:r w:rsidRPr="005B6EB1" w:rsidR="005C1336">
        <w:t>(Pub. L. 112–141, 126 Stat. 405, 791)</w:t>
      </w:r>
      <w:r w:rsidR="00746516">
        <w:t>, codified at 49 U.S.C. 31305(c)</w:t>
      </w:r>
      <w:r w:rsidRPr="005B6EB1" w:rsidR="00746516">
        <w:t xml:space="preserve"> </w:t>
      </w:r>
      <w:r w:rsidRPr="005B6EB1" w:rsidR="005C1336">
        <w:t>(</w:t>
      </w:r>
      <w:r w:rsidRPr="005B6EB1" w:rsidR="00B11D8B">
        <w:t xml:space="preserve">Attachment </w:t>
      </w:r>
      <w:r w:rsidRPr="005B6EB1" w:rsidR="00F53C1C">
        <w:t>B</w:t>
      </w:r>
      <w:r w:rsidRPr="005B6EB1" w:rsidR="005C1336">
        <w:t>)</w:t>
      </w:r>
      <w:r w:rsidRPr="005B6EB1" w:rsidR="00CA3651">
        <w:t xml:space="preserve">. </w:t>
      </w:r>
      <w:r w:rsidRPr="005B6EB1" w:rsidR="002B7B62">
        <w:t xml:space="preserve">These standards are </w:t>
      </w:r>
      <w:r w:rsidR="00746516">
        <w:t>set forth</w:t>
      </w:r>
      <w:r w:rsidRPr="005B6EB1" w:rsidR="002B7B62">
        <w:t xml:space="preserve"> in 49 CR part 380, subparts F and G, and in five Appendices to part 380. The standards include two separate information collection actions: (1) Training providers must electronically submit information to FMCSA’s Training Provider Registry (TPR) to ensure that they meet </w:t>
      </w:r>
      <w:r w:rsidRPr="005B6EB1" w:rsidR="002B7B62">
        <w:t xml:space="preserve">the training provider eligibility requirements and may therefore be listed on </w:t>
      </w:r>
      <w:r w:rsidR="00746516">
        <w:t>the</w:t>
      </w:r>
      <w:r w:rsidRPr="005B6EB1" w:rsidR="002B7B62">
        <w:t xml:space="preserve"> TPR; and (2) after an individual driver-trainee completes training administered by a training provider listed on the TPR, that training provider must electronically submit training certification information regarding the driver-trainee to the TPR.</w:t>
      </w:r>
    </w:p>
    <w:p w:rsidR="00015ECD" w:rsidRPr="005B6EB1" w:rsidP="00B75AF6" w14:paraId="7A69BF75" w14:textId="77777777">
      <w:pPr>
        <w:ind w:left="360"/>
      </w:pPr>
    </w:p>
    <w:p w:rsidR="00CA3651" w:rsidRPr="005B6EB1" w:rsidP="00B75AF6" w14:paraId="36707706" w14:textId="67735C9D">
      <w:pPr>
        <w:ind w:left="360"/>
      </w:pPr>
      <w:r w:rsidRPr="005B6EB1">
        <w:t xml:space="preserve">These FMCSA minimum training requirements for </w:t>
      </w:r>
      <w:r w:rsidRPr="005B6EB1" w:rsidR="005D109D">
        <w:t>ELDT</w:t>
      </w:r>
      <w:r w:rsidRPr="005B6EB1" w:rsidR="00BC27AB">
        <w:t xml:space="preserve"> </w:t>
      </w:r>
      <w:r w:rsidRPr="005B6EB1">
        <w:t xml:space="preserve">are intended to enhance the safety of </w:t>
      </w:r>
      <w:r w:rsidRPr="005B6EB1" w:rsidR="00B502B1">
        <w:t>CMV</w:t>
      </w:r>
      <w:r w:rsidRPr="005B6EB1">
        <w:t xml:space="preserve"> operations on our Nation’s highways. Therefore, this </w:t>
      </w:r>
      <w:r w:rsidRPr="005B6EB1" w:rsidR="00C33F07">
        <w:t>ICR</w:t>
      </w:r>
      <w:r w:rsidRPr="005B6EB1" w:rsidR="00B70741">
        <w:t xml:space="preserve"> </w:t>
      </w:r>
      <w:r w:rsidRPr="005B6EB1">
        <w:t>supports the DOT Strategic Goal of Safety.</w:t>
      </w:r>
    </w:p>
    <w:p w:rsidR="005C1336" w:rsidRPr="005B6EB1" w:rsidP="005C1336" w14:paraId="1392E572" w14:textId="50A2B901">
      <w:pPr>
        <w:ind w:left="360"/>
        <w:rPr>
          <w:bCs/>
          <w:szCs w:val="24"/>
        </w:rPr>
      </w:pPr>
    </w:p>
    <w:p w:rsidR="00D43D26" w:rsidRPr="005B6EB1" w:rsidP="00D43D26" w14:paraId="589E09C0" w14:textId="025511EC">
      <w:pPr>
        <w:widowControl/>
        <w:ind w:left="360"/>
      </w:pPr>
      <w:r w:rsidRPr="005B6EB1">
        <w:t xml:space="preserve">The Agency hereby requests OMB approval of this </w:t>
      </w:r>
      <w:r w:rsidRPr="005B6EB1" w:rsidR="002B7B62">
        <w:t xml:space="preserve">renewal </w:t>
      </w:r>
      <w:r w:rsidRPr="005B6EB1">
        <w:t>of the existing currently approved collection of information with OMB Control Number 2126-0028 titled “Training Certification for Entry-Level Commercial Motor Vehicle Operators,” for a full three-year period.</w:t>
      </w:r>
    </w:p>
    <w:p w:rsidR="0055628D" w:rsidRPr="005B6EB1" w:rsidP="0055628D" w14:paraId="50E9AAE7" w14:textId="77777777">
      <w:pPr>
        <w:widowControl/>
      </w:pPr>
    </w:p>
    <w:p w:rsidR="007C65BC" w:rsidRPr="005B6EB1" w:rsidP="007C65BC" w14:paraId="2F4E4F90" w14:textId="77777777">
      <w:pPr>
        <w:tabs>
          <w:tab w:val="left" w:pos="360"/>
        </w:tabs>
        <w:rPr>
          <w:szCs w:val="24"/>
        </w:rPr>
      </w:pPr>
      <w:r w:rsidRPr="005B6EB1">
        <w:rPr>
          <w:b/>
          <w:bCs/>
          <w:szCs w:val="24"/>
        </w:rPr>
        <w:t>2.</w:t>
      </w:r>
      <w:r w:rsidRPr="005B6EB1">
        <w:rPr>
          <w:b/>
          <w:bCs/>
          <w:szCs w:val="24"/>
        </w:rPr>
        <w:tab/>
      </w:r>
      <w:r w:rsidRPr="005B6EB1" w:rsidR="00C14920">
        <w:rPr>
          <w:b/>
          <w:bCs/>
          <w:szCs w:val="24"/>
        </w:rPr>
        <w:t>HOW, BY WHOM, AND FOR WHAT PURPOSE IS THE INFORMATION USED</w:t>
      </w:r>
      <w:r w:rsidRPr="005B6EB1" w:rsidR="009D4F72">
        <w:rPr>
          <w:b/>
          <w:bCs/>
          <w:szCs w:val="24"/>
        </w:rPr>
        <w:t xml:space="preserve"> </w:t>
      </w:r>
      <w:r w:rsidRPr="005B6EB1" w:rsidR="005612EB">
        <w:rPr>
          <w:b/>
          <w:bCs/>
          <w:szCs w:val="24"/>
        </w:rPr>
        <w:br/>
      </w:r>
    </w:p>
    <w:p w:rsidR="005674DB" w:rsidRPr="005B6EB1" w:rsidP="00981FCD" w14:paraId="52791765" w14:textId="3EDFF367">
      <w:pPr>
        <w:ind w:left="360"/>
      </w:pPr>
      <w:r w:rsidRPr="005B6EB1">
        <w:t>The first portion of this ICR (IC-1),</w:t>
      </w:r>
      <w:r w:rsidRPr="005B6EB1" w:rsidR="00981FCD">
        <w:t xml:space="preserve"> </w:t>
      </w:r>
      <w:r w:rsidRPr="005B6EB1">
        <w:t>“Training Provider Registration,” collects i</w:t>
      </w:r>
      <w:r w:rsidRPr="005B6EB1" w:rsidR="001D1030">
        <w:t xml:space="preserve">nformation </w:t>
      </w:r>
      <w:r w:rsidRPr="005B6EB1">
        <w:t xml:space="preserve">from </w:t>
      </w:r>
      <w:r w:rsidRPr="005B6EB1" w:rsidR="00EE4739">
        <w:t>each training provider for each</w:t>
      </w:r>
      <w:r w:rsidRPr="005B6EB1">
        <w:t xml:space="preserve"> of their</w:t>
      </w:r>
      <w:r w:rsidRPr="005B6EB1" w:rsidR="00EE4739">
        <w:t xml:space="preserve"> training location</w:t>
      </w:r>
      <w:r w:rsidRPr="005B6EB1">
        <w:t>s</w:t>
      </w:r>
      <w:r w:rsidRPr="005B6EB1" w:rsidR="00EE4739">
        <w:t xml:space="preserve"> </w:t>
      </w:r>
      <w:r w:rsidRPr="005B6EB1" w:rsidR="008F3230">
        <w:t xml:space="preserve">by means of </w:t>
      </w:r>
      <w:r w:rsidRPr="005B6EB1" w:rsidR="00ED484C">
        <w:t xml:space="preserve">the online </w:t>
      </w:r>
      <w:r w:rsidRPr="005B6EB1" w:rsidR="008472E1">
        <w:t>TPR</w:t>
      </w:r>
      <w:r w:rsidRPr="005B6EB1" w:rsidR="008F3230">
        <w:t xml:space="preserve">. </w:t>
      </w:r>
      <w:r w:rsidRPr="005B6EB1" w:rsidR="004C35C4">
        <w:t>The use of an electronic</w:t>
      </w:r>
      <w:r w:rsidRPr="005B6EB1" w:rsidR="00067577">
        <w:t>,</w:t>
      </w:r>
      <w:r w:rsidRPr="005B6EB1" w:rsidR="004C35C4">
        <w:t xml:space="preserve"> online</w:t>
      </w:r>
      <w:r w:rsidRPr="005B6EB1" w:rsidR="00067577">
        <w:t>,</w:t>
      </w:r>
      <w:r w:rsidRPr="005B6EB1" w:rsidR="004C35C4">
        <w:t xml:space="preserve"> web-based information system for this </w:t>
      </w:r>
      <w:r w:rsidRPr="005B6EB1" w:rsidR="00464625">
        <w:t xml:space="preserve">collection of </w:t>
      </w:r>
      <w:r w:rsidRPr="005B6EB1" w:rsidR="004C35C4">
        <w:t xml:space="preserve">information is expected to reduce burden on respondents. </w:t>
      </w:r>
      <w:r w:rsidRPr="005B6EB1" w:rsidR="008F3230">
        <w:t xml:space="preserve">Although the TPR </w:t>
      </w:r>
      <w:r w:rsidRPr="005B6EB1" w:rsidR="0039601D">
        <w:t xml:space="preserve">is </w:t>
      </w:r>
      <w:r w:rsidRPr="005B6EB1" w:rsidR="008F3230">
        <w:t xml:space="preserve">an online web-based system, the information and specific data fields required to be submitted by training providers in order to be listed on the TPR are presented with this Supporting Statement in the attached “Training Provider Registration” information collection </w:t>
      </w:r>
      <w:r w:rsidRPr="005B6EB1">
        <w:t>document (Attachment</w:t>
      </w:r>
      <w:r w:rsidRPr="005B6EB1" w:rsidR="00756E22">
        <w:t xml:space="preserve"> </w:t>
      </w:r>
      <w:r w:rsidRPr="005B6EB1" w:rsidR="005B6EB1">
        <w:t>C</w:t>
      </w:r>
      <w:r w:rsidRPr="005B6EB1">
        <w:t xml:space="preserve">). </w:t>
      </w:r>
      <w:r w:rsidRPr="005B6EB1" w:rsidR="004C35C4">
        <w:t xml:space="preserve">This information </w:t>
      </w:r>
      <w:r w:rsidRPr="005B6EB1" w:rsidR="0039601D">
        <w:t>is</w:t>
      </w:r>
      <w:r w:rsidRPr="005B6EB1" w:rsidR="004C35C4">
        <w:t xml:space="preserve">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 </w:t>
      </w:r>
      <w:r w:rsidRPr="005B6EB1" w:rsidR="008F3230">
        <w:t xml:space="preserve">The “Training Provider Registration” information </w:t>
      </w:r>
      <w:r w:rsidRPr="005B6EB1" w:rsidR="0039601D">
        <w:t>is</w:t>
      </w:r>
      <w:r w:rsidRPr="005B6EB1" w:rsidR="003D477F">
        <w:t xml:space="preserve"> </w:t>
      </w:r>
      <w:r w:rsidRPr="005B6EB1" w:rsidR="008F3230">
        <w:t xml:space="preserve">used by FMCSA </w:t>
      </w:r>
      <w:r w:rsidRPr="005B6EB1">
        <w:t xml:space="preserve">to ensure that </w:t>
      </w:r>
      <w:r w:rsidRPr="005B6EB1" w:rsidR="008F3230">
        <w:t xml:space="preserve">training providers </w:t>
      </w:r>
      <w:r w:rsidRPr="005B6EB1">
        <w:t>meet the training provider eligibility requirements found in 49 CFR part 380</w:t>
      </w:r>
      <w:r w:rsidR="00746516">
        <w:t>, subpart G</w:t>
      </w:r>
      <w:r w:rsidRPr="005B6EB1">
        <w:t>,</w:t>
      </w:r>
      <w:r w:rsidRPr="005B6EB1" w:rsidR="0055372E">
        <w:t xml:space="preserve"> and</w:t>
      </w:r>
      <w:r w:rsidRPr="005B6EB1">
        <w:t xml:space="preserve"> can therefore be listed on the TPR. </w:t>
      </w:r>
      <w:r w:rsidRPr="005B6EB1" w:rsidR="00FA1D73">
        <w:t>Furthermore, from the “Training Provider Registration” information submitted by training providers, c</w:t>
      </w:r>
      <w:r w:rsidRPr="005B6EB1" w:rsidR="009364EE">
        <w:t xml:space="preserve">ertain </w:t>
      </w:r>
      <w:r w:rsidRPr="005B6EB1" w:rsidR="00FA1D73">
        <w:t xml:space="preserve">basic identifying </w:t>
      </w:r>
      <w:r w:rsidRPr="005B6EB1" w:rsidR="009364EE">
        <w:t xml:space="preserve">information </w:t>
      </w:r>
      <w:r w:rsidRPr="005B6EB1" w:rsidR="00FA1D73">
        <w:t xml:space="preserve">(e.g., company name, location, contact information, etc.) </w:t>
      </w:r>
      <w:r w:rsidRPr="005B6EB1" w:rsidR="009364EE">
        <w:t xml:space="preserve">and </w:t>
      </w:r>
      <w:r w:rsidRPr="005B6EB1" w:rsidR="00FA1D73">
        <w:t>descriptive attributes regarding the training offered (e.g., which types of CDL and/or endor</w:t>
      </w:r>
      <w:r w:rsidRPr="005B6EB1" w:rsidR="007233D8">
        <w:t>sement</w:t>
      </w:r>
      <w:r w:rsidRPr="005B6EB1" w:rsidR="00FA1D73">
        <w:t xml:space="preserve"> training </w:t>
      </w:r>
      <w:r w:rsidRPr="005B6EB1" w:rsidR="00CB2FBF">
        <w:t>are</w:t>
      </w:r>
      <w:r w:rsidRPr="005B6EB1" w:rsidR="007233D8">
        <w:t xml:space="preserve"> </w:t>
      </w:r>
      <w:r w:rsidRPr="005B6EB1" w:rsidR="00FA1D73">
        <w:t xml:space="preserve">offered, etc.) </w:t>
      </w:r>
      <w:r w:rsidRPr="005B6EB1" w:rsidR="00ED484C">
        <w:t xml:space="preserve">by each training provider at each training location </w:t>
      </w:r>
      <w:r w:rsidRPr="005B6EB1" w:rsidR="0039601D">
        <w:t>is</w:t>
      </w:r>
      <w:r w:rsidRPr="005B6EB1" w:rsidR="00FA1D73">
        <w:t xml:space="preserve"> made available </w:t>
      </w:r>
      <w:r w:rsidRPr="005B6EB1" w:rsidR="00ED484C">
        <w:t xml:space="preserve">to the public </w:t>
      </w:r>
      <w:r w:rsidRPr="005B6EB1" w:rsidR="00FA1D73">
        <w:t xml:space="preserve">on </w:t>
      </w:r>
      <w:r w:rsidRPr="005B6EB1" w:rsidR="009364EE">
        <w:t>the TPR</w:t>
      </w:r>
      <w:r w:rsidRPr="005B6EB1" w:rsidR="00FA1D73">
        <w:t xml:space="preserve"> web</w:t>
      </w:r>
      <w:r w:rsidRPr="005B6EB1" w:rsidR="007233D8">
        <w:t>si</w:t>
      </w:r>
      <w:r w:rsidRPr="005B6EB1" w:rsidR="00FA1D73">
        <w:t xml:space="preserve">te (unless the training provider chooses to not have this information displayed). This information </w:t>
      </w:r>
      <w:r w:rsidRPr="005B6EB1" w:rsidR="0039601D">
        <w:t>is</w:t>
      </w:r>
      <w:r w:rsidRPr="005B6EB1" w:rsidR="007D3FFD">
        <w:t xml:space="preserve"> </w:t>
      </w:r>
      <w:r w:rsidRPr="005B6EB1" w:rsidR="004C35C4">
        <w:t xml:space="preserve">used by entry-level drivers </w:t>
      </w:r>
      <w:r w:rsidR="00746516">
        <w:t>seeking</w:t>
      </w:r>
      <w:r w:rsidRPr="005B6EB1" w:rsidR="007233D8">
        <w:t xml:space="preserve"> training.</w:t>
      </w:r>
    </w:p>
    <w:p w:rsidR="00FA01BD" w:rsidRPr="005B6EB1" w:rsidP="005674DB" w14:paraId="0A835489" w14:textId="67B40AEE">
      <w:pPr>
        <w:ind w:left="360"/>
      </w:pPr>
    </w:p>
    <w:p w:rsidR="00E615CC" w:rsidRPr="005B6EB1" w:rsidP="006F2736" w14:paraId="6B4ED340" w14:textId="6E14C1FD">
      <w:pPr>
        <w:ind w:left="360"/>
      </w:pPr>
      <w:r w:rsidRPr="005B6EB1">
        <w:t>The second portion of this ICR, (</w:t>
      </w:r>
      <w:r w:rsidRPr="005B6EB1" w:rsidR="00981FCD">
        <w:t>IC-</w:t>
      </w:r>
      <w:r w:rsidRPr="005B6EB1" w:rsidR="00E36FD7">
        <w:t>2</w:t>
      </w:r>
      <w:r w:rsidRPr="005B6EB1">
        <w:t>)</w:t>
      </w:r>
      <w:r w:rsidRPr="005B6EB1" w:rsidR="00981FCD">
        <w:t xml:space="preserve"> </w:t>
      </w:r>
      <w:r w:rsidRPr="005B6EB1" w:rsidR="001D1030">
        <w:t>“Driver Training Certification</w:t>
      </w:r>
      <w:r w:rsidRPr="005B6EB1">
        <w:t>,</w:t>
      </w:r>
      <w:r w:rsidRPr="005B6EB1" w:rsidR="001D1030">
        <w:t xml:space="preserve">” </w:t>
      </w:r>
      <w:r w:rsidRPr="005B6EB1">
        <w:t xml:space="preserve">collects information from training providers after driver-trainees complete training. This “Driver Training Certification” information is used by </w:t>
      </w:r>
      <w:r w:rsidR="008C683A">
        <w:t>State Drivers Licensing Agencies (</w:t>
      </w:r>
      <w:r w:rsidRPr="005B6EB1">
        <w:t>SDLA</w:t>
      </w:r>
      <w:r w:rsidR="008C683A">
        <w:t>)</w:t>
      </w:r>
      <w:r w:rsidRPr="005B6EB1">
        <w:t xml:space="preserve"> to verify that the required driver training has been completed by the driver-trainee prior to the SDLA administering any skills or knowledge tests that require completion of training prior to their administration. The information collected from training providers is also used by the Agency to improve its understanding of the number of training providers and the types of training they provide, and the number of entry-level drivers and the types of training, CDLs, and endorsements that they obtain. Retrospective review of the data and of the safety </w:t>
      </w:r>
      <w:r w:rsidRPr="005B6EB1">
        <w:t xml:space="preserve">performance of drivers that complete ELDT will allow FMCSA to better assess the impact of ELDT on motor carrier safety, and to monitor the effectiveness of individual training providers and identify those that may not be conducting training in compliance with the regulations and that may therefore be candidates for </w:t>
      </w:r>
      <w:r w:rsidR="00746516">
        <w:t>audit or investigation</w:t>
      </w:r>
      <w:r w:rsidRPr="005B6EB1">
        <w:t xml:space="preserve"> by FMCSA.</w:t>
      </w:r>
      <w:r w:rsidRPr="005B6EB1" w:rsidR="001D1030">
        <w:t xml:space="preserve"> </w:t>
      </w:r>
      <w:r w:rsidRPr="005B6EB1" w:rsidR="00576690">
        <w:t xml:space="preserve">The use of an electronic, online, web-based information system for this collection of information is expected to reduce burden on respondents. </w:t>
      </w:r>
      <w:r w:rsidRPr="005B6EB1" w:rsidR="00CA6BF8">
        <w:t xml:space="preserve">Although the TPR </w:t>
      </w:r>
      <w:r w:rsidRPr="005B6EB1" w:rsidR="0039601D">
        <w:t>is</w:t>
      </w:r>
      <w:r w:rsidRPr="005B6EB1" w:rsidR="00CA6BF8">
        <w:t xml:space="preserve"> an online web-based system, the information and specific data fields required to be submitted by training providers</w:t>
      </w:r>
      <w:r w:rsidRPr="005B6EB1" w:rsidR="00B16B28">
        <w:t xml:space="preserve"> for each driver-trainee that completes training are presented with this Supporting Statement in the attached “Driver Training Certifi</w:t>
      </w:r>
      <w:r w:rsidRPr="005B6EB1" w:rsidR="00D324F8">
        <w:t>cation” information collection</w:t>
      </w:r>
      <w:r w:rsidRPr="005B6EB1" w:rsidR="00CA6BF8">
        <w:t xml:space="preserve"> </w:t>
      </w:r>
      <w:r w:rsidRPr="005B6EB1">
        <w:t xml:space="preserve">document (Attachment </w:t>
      </w:r>
      <w:r w:rsidRPr="005B6EB1" w:rsidR="005B6EB1">
        <w:t>D</w:t>
      </w:r>
      <w:r w:rsidRPr="005B6EB1">
        <w:t>).</w:t>
      </w:r>
    </w:p>
    <w:p w:rsidR="00A257E7" w:rsidRPr="005B6EB1" w:rsidP="0031384A" w14:paraId="6DB76A2D" w14:textId="77777777"/>
    <w:p w:rsidR="007C65BC" w:rsidRPr="005B6EB1" w:rsidP="007C65BC" w14:paraId="284BA939" w14:textId="77777777">
      <w:pPr>
        <w:tabs>
          <w:tab w:val="left" w:pos="360"/>
        </w:tabs>
        <w:rPr>
          <w:szCs w:val="24"/>
        </w:rPr>
      </w:pPr>
      <w:r w:rsidRPr="005B6EB1">
        <w:rPr>
          <w:b/>
          <w:bCs/>
          <w:szCs w:val="24"/>
        </w:rPr>
        <w:t>3.</w:t>
      </w:r>
      <w:r w:rsidRPr="005B6EB1">
        <w:rPr>
          <w:b/>
          <w:bCs/>
          <w:szCs w:val="24"/>
        </w:rPr>
        <w:tab/>
      </w:r>
      <w:r w:rsidRPr="005B6EB1" w:rsidR="00C14920">
        <w:rPr>
          <w:b/>
          <w:bCs/>
          <w:szCs w:val="24"/>
        </w:rPr>
        <w:t>EXTENT OF AUTOMATED INFORMATION COLLECTION</w:t>
      </w:r>
      <w:r w:rsidRPr="005B6EB1" w:rsidR="009D4F72">
        <w:rPr>
          <w:b/>
          <w:bCs/>
        </w:rPr>
        <w:t xml:space="preserve"> </w:t>
      </w:r>
    </w:p>
    <w:p w:rsidR="00945692" w:rsidRPr="005B6EB1" w:rsidP="007C65BC" w14:paraId="79A7B5D6" w14:textId="0B59EA30">
      <w:pPr>
        <w:ind w:left="360"/>
        <w:rPr>
          <w:szCs w:val="24"/>
        </w:rPr>
      </w:pPr>
    </w:p>
    <w:p w:rsidR="00E5694D" w:rsidRPr="005B6EB1" w:rsidP="00D016A5" w14:paraId="31F7D38C" w14:textId="4508942B">
      <w:pPr>
        <w:ind w:left="360"/>
      </w:pPr>
      <w:r w:rsidRPr="005B6EB1">
        <w:t>As of February 7, 2022</w:t>
      </w:r>
      <w:r w:rsidR="0035381A">
        <w:t>,</w:t>
      </w:r>
      <w:r w:rsidRPr="005B6EB1" w:rsidR="0055372E">
        <w:t xml:space="preserve"> </w:t>
      </w:r>
      <w:r w:rsidRPr="005B6EB1" w:rsidR="00E2763F">
        <w:t xml:space="preserve">minimum training standards for entry-level drivers (in </w:t>
      </w:r>
      <w:r w:rsidRPr="005B6EB1" w:rsidR="006F2736">
        <w:t>49 CFR part 380, s</w:t>
      </w:r>
      <w:r w:rsidRPr="005B6EB1" w:rsidR="00E2763F">
        <w:t xml:space="preserve">ubpart F and five Appendices to </w:t>
      </w:r>
      <w:r w:rsidRPr="005B6EB1" w:rsidR="006F2736">
        <w:t xml:space="preserve">49 CFR </w:t>
      </w:r>
      <w:r w:rsidRPr="005B6EB1" w:rsidR="00E2763F">
        <w:t xml:space="preserve">part 380), and requirements for training providers (in </w:t>
      </w:r>
      <w:r w:rsidRPr="005B6EB1" w:rsidR="006F2736">
        <w:t>49 CFR part 380, s</w:t>
      </w:r>
      <w:r w:rsidRPr="005B6EB1" w:rsidR="00E2763F">
        <w:t>ubpart G),</w:t>
      </w:r>
      <w:r w:rsidRPr="005B6EB1" w:rsidR="00D016A5">
        <w:t xml:space="preserve"> </w:t>
      </w:r>
      <w:r w:rsidRPr="005B6EB1" w:rsidR="0039601D">
        <w:t>have been</w:t>
      </w:r>
      <w:r w:rsidRPr="005B6EB1" w:rsidR="00D016A5">
        <w:t xml:space="preserve"> in </w:t>
      </w:r>
      <w:r w:rsidR="00746516">
        <w:t>effect</w:t>
      </w:r>
      <w:r w:rsidRPr="005B6EB1" w:rsidR="00D016A5">
        <w:t xml:space="preserve">. </w:t>
      </w:r>
      <w:r w:rsidRPr="005B6EB1" w:rsidR="00E2763F">
        <w:t>T</w:t>
      </w:r>
      <w:r w:rsidRPr="005B6EB1">
        <w:t xml:space="preserve">raining providers must be listed on </w:t>
      </w:r>
      <w:r w:rsidRPr="005B6EB1" w:rsidR="0039601D">
        <w:t xml:space="preserve">the </w:t>
      </w:r>
      <w:r w:rsidRPr="005B6EB1" w:rsidR="008472E1">
        <w:t>TPR</w:t>
      </w:r>
      <w:r w:rsidRPr="005B6EB1">
        <w:t xml:space="preserve"> that </w:t>
      </w:r>
      <w:r w:rsidRPr="005B6EB1" w:rsidR="0039601D">
        <w:t>was</w:t>
      </w:r>
      <w:r w:rsidRPr="005B6EB1">
        <w:t xml:space="preserve"> developed by FMCSA. The TPR </w:t>
      </w:r>
      <w:r w:rsidRPr="005B6EB1" w:rsidR="0039601D">
        <w:t>is</w:t>
      </w:r>
      <w:r w:rsidRPr="005B6EB1">
        <w:t xml:space="preserve"> an online web-based information system that training providers must use to submit information to FMCSA to ensure that they meet the training provider eligibility requirements and can therefore be listed on the TPR. In addition, after an individual driver-trainee completes training administered by a training provider listed on the TPR, that training provider must submit training certification information regarding the driver-trainee to the TPR. </w:t>
      </w:r>
      <w:r w:rsidRPr="005B6EB1" w:rsidR="003B10FC">
        <w:t xml:space="preserve">The Agency </w:t>
      </w:r>
      <w:r w:rsidRPr="005B6EB1" w:rsidR="0039601D">
        <w:t>does not</w:t>
      </w:r>
      <w:r w:rsidRPr="005B6EB1" w:rsidR="003B10FC">
        <w:t xml:space="preserve"> have hardcopy “Training Provider Registration” forms, or hardcopy “Driver Training Certification” forms</w:t>
      </w:r>
      <w:r w:rsidRPr="005B6EB1" w:rsidR="0055372E">
        <w:t xml:space="preserve"> </w:t>
      </w:r>
      <w:r w:rsidRPr="005B6EB1" w:rsidR="003B10FC">
        <w:t>available</w:t>
      </w:r>
      <w:r w:rsidRPr="005B6EB1" w:rsidR="00945604">
        <w:t xml:space="preserve"> and </w:t>
      </w:r>
      <w:r w:rsidRPr="005B6EB1" w:rsidR="0039601D">
        <w:t>does not</w:t>
      </w:r>
      <w:r w:rsidRPr="005B6EB1" w:rsidR="00945604">
        <w:t xml:space="preserve"> accept any such hardcopy documents as part of this </w:t>
      </w:r>
      <w:r w:rsidRPr="005B6EB1" w:rsidR="00464625">
        <w:t xml:space="preserve">collection of </w:t>
      </w:r>
      <w:r w:rsidRPr="005B6EB1" w:rsidR="00945604">
        <w:t>information</w:t>
      </w:r>
      <w:r w:rsidRPr="005B6EB1" w:rsidR="00084F91">
        <w:t xml:space="preserve">. </w:t>
      </w:r>
      <w:r w:rsidRPr="005B6EB1" w:rsidR="003B10FC">
        <w:t>Therefore, t</w:t>
      </w:r>
      <w:r w:rsidRPr="005B6EB1">
        <w:t>he perc</w:t>
      </w:r>
      <w:r w:rsidRPr="005B6EB1" w:rsidR="003B10FC">
        <w:t xml:space="preserve">entage of respondents reporting </w:t>
      </w:r>
      <w:r w:rsidRPr="005B6EB1">
        <w:t xml:space="preserve">electronically </w:t>
      </w:r>
      <w:r w:rsidRPr="005B6EB1" w:rsidR="0039601D">
        <w:t>is</w:t>
      </w:r>
      <w:r w:rsidRPr="005B6EB1" w:rsidR="003B10FC">
        <w:t xml:space="preserve"> </w:t>
      </w:r>
      <w:r w:rsidRPr="005B6EB1">
        <w:t>100 percent.</w:t>
      </w:r>
    </w:p>
    <w:p w:rsidR="00E5694D" w:rsidRPr="005B6EB1" w:rsidP="000578F8" w14:paraId="0B7B5EA1" w14:textId="77777777">
      <w:pPr>
        <w:ind w:left="360"/>
      </w:pPr>
    </w:p>
    <w:p w:rsidR="00E5694D" w:rsidRPr="005B6EB1" w:rsidP="00E5694D" w14:paraId="16EA05E1" w14:textId="77777777">
      <w:pPr>
        <w:ind w:left="360"/>
      </w:pPr>
      <w:r w:rsidRPr="005B6EB1">
        <w:t xml:space="preserve">The use of an electronic online web-based information system for this </w:t>
      </w:r>
      <w:r w:rsidRPr="005B6EB1" w:rsidR="00464625">
        <w:t xml:space="preserve">collection of </w:t>
      </w:r>
      <w:r w:rsidRPr="005B6EB1">
        <w:t xml:space="preserve">information is expected to reduce burden on respondents. Potential burden savings for respondents as compared to </w:t>
      </w:r>
      <w:r w:rsidRPr="005B6EB1" w:rsidR="00464625">
        <w:t>collecting information</w:t>
      </w:r>
      <w:r w:rsidRPr="005B6EB1">
        <w:t xml:space="preserve"> using hardcopy paper methods are expected to include </w:t>
      </w:r>
      <w:r w:rsidRPr="005B6EB1" w:rsidR="007F503C">
        <w:t>reductions in burden time</w:t>
      </w:r>
      <w:r w:rsidRPr="005B6EB1">
        <w:t>, office and storage space, materials, and office equipment. For example, specific types of savings could include purchasing less paper and toner/ink, printing fewer documents, requiring fewer file cabinets or document boxes for storage of paper documents, using less space for storage of paper documents, expending less labor time in activities such as handling and filing of paperwork, expending less labor time in identifying and retrieving documents, and transmitting fewer paper documents by mail or courier services.</w:t>
      </w:r>
    </w:p>
    <w:p w:rsidR="00E5694D" w:rsidRPr="005B6EB1" w:rsidP="00E5694D" w14:paraId="2AF055D7" w14:textId="77777777">
      <w:pPr>
        <w:ind w:left="360"/>
      </w:pPr>
    </w:p>
    <w:p w:rsidR="00E5694D" w:rsidRPr="005B6EB1" w:rsidP="00E5694D" w14:paraId="6119EF6C" w14:textId="65C0FAEA">
      <w:pPr>
        <w:ind w:left="360"/>
        <w:rPr>
          <w:iCs/>
        </w:rPr>
      </w:pPr>
      <w:r w:rsidRPr="005B6EB1">
        <w:rPr>
          <w:iCs/>
        </w:rPr>
        <w:t xml:space="preserve">The use of </w:t>
      </w:r>
      <w:r w:rsidRPr="005B6EB1">
        <w:t xml:space="preserve">an electronic online web-based information system for this collection </w:t>
      </w:r>
      <w:r w:rsidRPr="005B6EB1" w:rsidR="00464625">
        <w:t xml:space="preserve">of information </w:t>
      </w:r>
      <w:r w:rsidRPr="005B6EB1">
        <w:t xml:space="preserve">is consistent with the </w:t>
      </w:r>
      <w:r w:rsidRPr="005B6EB1">
        <w:rPr>
          <w:iCs/>
        </w:rPr>
        <w:t>Government Paperwork Elimination Act (GPEA)</w:t>
      </w:r>
      <w:r w:rsidRPr="005B6EB1" w:rsidR="00D01140">
        <w:rPr>
          <w:iCs/>
        </w:rPr>
        <w:t xml:space="preserve"> (Pub. L. 105-277, Title XVII)</w:t>
      </w:r>
      <w:r w:rsidRPr="005B6EB1" w:rsidR="00494C26">
        <w:rPr>
          <w:iCs/>
        </w:rPr>
        <w:t xml:space="preserve"> (Attachment </w:t>
      </w:r>
      <w:r w:rsidRPr="005B6EB1" w:rsidR="005B6EB1">
        <w:rPr>
          <w:iCs/>
        </w:rPr>
        <w:t>E</w:t>
      </w:r>
      <w:r w:rsidRPr="005B6EB1" w:rsidR="00494C26">
        <w:rPr>
          <w:iCs/>
        </w:rPr>
        <w:t>)</w:t>
      </w:r>
      <w:r w:rsidRPr="005B6EB1">
        <w:rPr>
          <w:iCs/>
        </w:rPr>
        <w:t xml:space="preserve">, which requires Federal agencies to allow the option of electronic filing and recordkeeping when practicable. </w:t>
      </w:r>
    </w:p>
    <w:p w:rsidR="00A613EE" w:rsidRPr="005B6EB1" w14:paraId="3B02E5AA" w14:textId="77777777"/>
    <w:p w:rsidR="007C65BC" w:rsidRPr="005B6EB1" w:rsidP="007C65BC" w14:paraId="79318604" w14:textId="77777777">
      <w:pPr>
        <w:pStyle w:val="NormalWeb"/>
        <w:tabs>
          <w:tab w:val="left" w:pos="360"/>
        </w:tabs>
        <w:spacing w:before="0" w:beforeAutospacing="0" w:after="0" w:afterAutospacing="0"/>
        <w:rPr>
          <w:rFonts w:ascii="Times New Roman" w:hAnsi="Times New Roman" w:cs="Times New Roman"/>
          <w:bCs/>
          <w:szCs w:val="20"/>
        </w:rPr>
      </w:pPr>
      <w:r w:rsidRPr="005B6EB1">
        <w:rPr>
          <w:rFonts w:ascii="Times New Roman" w:hAnsi="Times New Roman" w:cs="Times New Roman"/>
          <w:b/>
          <w:bCs/>
          <w:szCs w:val="20"/>
        </w:rPr>
        <w:t>4.</w:t>
      </w:r>
      <w:r w:rsidRPr="005B6EB1">
        <w:rPr>
          <w:rFonts w:ascii="Times New Roman" w:hAnsi="Times New Roman" w:cs="Times New Roman"/>
          <w:b/>
          <w:bCs/>
          <w:szCs w:val="20"/>
        </w:rPr>
        <w:tab/>
      </w:r>
      <w:r w:rsidRPr="005B6EB1" w:rsidR="00C14920">
        <w:rPr>
          <w:rFonts w:ascii="Times New Roman" w:hAnsi="Times New Roman" w:cs="Times New Roman"/>
          <w:b/>
          <w:bCs/>
          <w:szCs w:val="20"/>
        </w:rPr>
        <w:t>EFFORTS TO IDENTIFY DUPLICATION</w:t>
      </w:r>
      <w:r w:rsidRPr="005B6EB1" w:rsidR="00A613EE">
        <w:rPr>
          <w:rFonts w:ascii="Times New Roman" w:hAnsi="Times New Roman" w:cs="Times New Roman"/>
          <w:b/>
          <w:bCs/>
          <w:szCs w:val="20"/>
        </w:rPr>
        <w:br/>
      </w:r>
    </w:p>
    <w:p w:rsidR="001F56BF" w:rsidRPr="005B6EB1" w:rsidP="001F56BF" w14:paraId="7BEF50CB" w14:textId="77777777">
      <w:pPr>
        <w:pStyle w:val="1AutoList39"/>
        <w:tabs>
          <w:tab w:val="left" w:pos="0"/>
        </w:tabs>
        <w:ind w:left="360"/>
      </w:pPr>
      <w:r w:rsidRPr="005B6EB1">
        <w:t>FMCSA knows of no duplicative regulations or any similar information already available that could be used or modified for the purposes described in Section 2 above.</w:t>
      </w:r>
    </w:p>
    <w:p w:rsidR="008D1212" w:rsidRPr="005B6EB1" w:rsidP="00263084" w14:paraId="26FB7A01" w14:textId="77777777">
      <w:pPr>
        <w:pStyle w:val="1AutoList39"/>
        <w:tabs>
          <w:tab w:val="left" w:pos="0"/>
        </w:tabs>
      </w:pPr>
    </w:p>
    <w:p w:rsidR="00F110A5" w:rsidRPr="005B6EB1" w:rsidP="0055372E" w14:paraId="4161C5AC" w14:textId="072F8A9D">
      <w:pPr>
        <w:tabs>
          <w:tab w:val="left" w:pos="360"/>
        </w:tabs>
      </w:pPr>
      <w:r w:rsidRPr="005B6EB1">
        <w:rPr>
          <w:b/>
          <w:bCs/>
          <w:szCs w:val="24"/>
        </w:rPr>
        <w:t>5.</w:t>
      </w:r>
      <w:r w:rsidRPr="005B6EB1">
        <w:rPr>
          <w:b/>
          <w:bCs/>
          <w:szCs w:val="24"/>
        </w:rPr>
        <w:tab/>
      </w:r>
      <w:r w:rsidRPr="005B6EB1" w:rsidR="00C14920">
        <w:rPr>
          <w:b/>
          <w:bCs/>
          <w:szCs w:val="24"/>
        </w:rPr>
        <w:t>EFFORTS TO MINIMIZE THE BURDEN ON SMALL BUSINESSES</w:t>
      </w:r>
      <w:r w:rsidRPr="005B6EB1" w:rsidR="00A613EE">
        <w:rPr>
          <w:b/>
          <w:bCs/>
          <w:szCs w:val="24"/>
        </w:rPr>
        <w:br/>
      </w:r>
    </w:p>
    <w:p w:rsidR="00AD57B2" w:rsidRPr="005B6EB1" w:rsidP="00716610" w14:paraId="21F46462" w14:textId="7D23CEA0">
      <w:pPr>
        <w:ind w:left="360"/>
      </w:pPr>
      <w:r w:rsidRPr="005B6EB1">
        <w:t>As of February 7, 2022</w:t>
      </w:r>
      <w:r w:rsidR="0035381A">
        <w:t>,</w:t>
      </w:r>
      <w:r w:rsidRPr="005B6EB1">
        <w:t xml:space="preserve"> minimum training standards for entry-level drivers (49 CFR part 380, subpart F and five Appendices to 49 CFR part 380), and requirements for training providers (49 CFR part 380, subpart G), have been in </w:t>
      </w:r>
      <w:r w:rsidR="00746516">
        <w:t>effect</w:t>
      </w:r>
      <w:r w:rsidRPr="005B6EB1">
        <w:t xml:space="preserve">. This collection of information impacts certain training providers that are small </w:t>
      </w:r>
      <w:r w:rsidRPr="005B6EB1" w:rsidR="00AF4775">
        <w:t>entitie</w:t>
      </w:r>
      <w:r w:rsidRPr="005B6EB1">
        <w:t>s.</w:t>
      </w:r>
      <w:r w:rsidRPr="005B6EB1">
        <w:rPr>
          <w:szCs w:val="24"/>
        </w:rPr>
        <w:t xml:space="preserve"> A comprehensive analysis of the effects of the ELDT regulations (found at 49 CFR part 380, subparts F and G, and Appendices A-E to part 380) on small entities was performed as part of the regulatory evaluation when </w:t>
      </w:r>
      <w:r w:rsidR="00746516">
        <w:rPr>
          <w:szCs w:val="24"/>
        </w:rPr>
        <w:t>the</w:t>
      </w:r>
      <w:r w:rsidRPr="005B6EB1">
        <w:rPr>
          <w:szCs w:val="24"/>
        </w:rPr>
        <w:t xml:space="preserve"> rule </w:t>
      </w:r>
      <w:r w:rsidR="00746516">
        <w:rPr>
          <w:szCs w:val="24"/>
        </w:rPr>
        <w:t>was</w:t>
      </w:r>
      <w:r w:rsidRPr="005B6EB1">
        <w:rPr>
          <w:szCs w:val="24"/>
        </w:rPr>
        <w:t xml:space="preserve"> promulgated.</w:t>
      </w:r>
      <w:r>
        <w:rPr>
          <w:rStyle w:val="FootnoteReference"/>
          <w:szCs w:val="24"/>
        </w:rPr>
        <w:footnoteReference w:id="2"/>
      </w:r>
      <w:r w:rsidRPr="005B6EB1">
        <w:rPr>
          <w:szCs w:val="24"/>
        </w:rPr>
        <w:t xml:space="preserve"> T</w:t>
      </w:r>
      <w:r w:rsidRPr="005B6EB1">
        <w:t xml:space="preserve">he use of an electronic online web-based information system for this collection </w:t>
      </w:r>
      <w:r w:rsidRPr="005B6EB1" w:rsidR="00464625">
        <w:t xml:space="preserve">of information </w:t>
      </w:r>
      <w:r w:rsidRPr="005B6EB1">
        <w:t xml:space="preserve">is expected to reduce burden on respondents, including those that are small entities. </w:t>
      </w:r>
      <w:r w:rsidRPr="005B6EB1" w:rsidR="00A06128">
        <w:t>As previously stated, p</w:t>
      </w:r>
      <w:r w:rsidRPr="005B6EB1">
        <w:t xml:space="preserve">otential burden savings for respondents as compared to </w:t>
      </w:r>
      <w:r w:rsidRPr="005B6EB1" w:rsidR="00464625">
        <w:t>collecting information</w:t>
      </w:r>
      <w:r w:rsidRPr="005B6EB1">
        <w:t xml:space="preserve"> using hardcopy paper methods are expected to include reductions in burden time, office and storage space, materials, and office equipment. For example, specific types of savings could include purchasing less paper and toner/ink, printing fewer documents, requiring fewer file cabinets or document boxes for storage of paper documents, using less space for storage of paper documents, expending less labor time in activities such as handling and filing of paperwork, expending less labor time in identifying and retrieving documents, and transmitting fewer paper documents by mail or courier services.</w:t>
      </w:r>
    </w:p>
    <w:p w:rsidR="00851BBF" w:rsidRPr="005B6EB1" w:rsidP="007B620F" w14:paraId="24CC6E99" w14:textId="77777777">
      <w:pPr>
        <w:ind w:left="360"/>
      </w:pPr>
    </w:p>
    <w:p w:rsidR="00DD2489" w:rsidRPr="005B6EB1" w:rsidP="00A06128" w14:paraId="5DFC7C51" w14:textId="5E044266">
      <w:pPr>
        <w:tabs>
          <w:tab w:val="left" w:pos="360"/>
        </w:tabs>
      </w:pPr>
      <w:r w:rsidRPr="005B6EB1">
        <w:rPr>
          <w:b/>
          <w:bCs/>
          <w:szCs w:val="24"/>
        </w:rPr>
        <w:t>6.</w:t>
      </w:r>
      <w:r w:rsidRPr="005B6EB1">
        <w:rPr>
          <w:b/>
          <w:bCs/>
          <w:szCs w:val="24"/>
        </w:rPr>
        <w:tab/>
      </w:r>
      <w:r w:rsidRPr="005B6EB1" w:rsidR="00C14920">
        <w:rPr>
          <w:b/>
          <w:bCs/>
          <w:szCs w:val="24"/>
        </w:rPr>
        <w:t>IMPACT OF LESS FREQUENT COLLECTION OF INFORMATION</w:t>
      </w:r>
      <w:r w:rsidRPr="005B6EB1" w:rsidR="00A613EE">
        <w:rPr>
          <w:b/>
          <w:szCs w:val="24"/>
        </w:rPr>
        <w:br/>
      </w:r>
    </w:p>
    <w:p w:rsidR="007D2B58" w:rsidRPr="005B6EB1" w:rsidP="00591F9F" w14:paraId="419C34C5" w14:textId="4EB44EBC">
      <w:pPr>
        <w:tabs>
          <w:tab w:val="left" w:pos="360"/>
        </w:tabs>
        <w:ind w:left="360"/>
      </w:pPr>
      <w:r w:rsidRPr="005B6EB1">
        <w:t xml:space="preserve">Under the minimum training standards for entry-level drivers and new requirements for training providers that </w:t>
      </w:r>
      <w:r w:rsidRPr="005B6EB1" w:rsidR="00877BA6">
        <w:t>have been</w:t>
      </w:r>
      <w:r w:rsidRPr="005B6EB1">
        <w:t xml:space="preserve"> in force as of February 7, 2022,</w:t>
      </w:r>
      <w:r w:rsidRPr="005B6EB1" w:rsidR="00591F9F">
        <w:t xml:space="preserve"> </w:t>
      </w:r>
      <w:r w:rsidRPr="005B6EB1" w:rsidR="001A3AB0">
        <w:t>“Training Provider Registration” i</w:t>
      </w:r>
      <w:r w:rsidRPr="005B6EB1" w:rsidR="00CF2CD8">
        <w:t xml:space="preserve">nformation is collected </w:t>
      </w:r>
      <w:r w:rsidRPr="005B6EB1" w:rsidR="001A3AB0">
        <w:t>from training providers to ensure that they meet training provider eligibility requirements and can therefore be listed on the TPR. This information is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w:t>
      </w:r>
      <w:r w:rsidRPr="005B6EB1" w:rsidR="00C475CE">
        <w:t xml:space="preserve"> </w:t>
      </w:r>
      <w:r w:rsidRPr="005B6EB1" w:rsidR="001A3AB0">
        <w:t>If th</w:t>
      </w:r>
      <w:r w:rsidRPr="005B6EB1" w:rsidR="00B335F1">
        <w:t xml:space="preserve">is </w:t>
      </w:r>
      <w:r w:rsidRPr="005B6EB1" w:rsidR="001A3AB0">
        <w:t xml:space="preserve">collection </w:t>
      </w:r>
      <w:r w:rsidRPr="005B6EB1" w:rsidR="00B335F1">
        <w:t xml:space="preserve">of information </w:t>
      </w:r>
      <w:r w:rsidRPr="005B6EB1" w:rsidR="001A3AB0">
        <w:t xml:space="preserve">were not conducted, </w:t>
      </w:r>
      <w:r w:rsidRPr="005B6EB1" w:rsidR="00C475CE">
        <w:t>FMCSA would be unable to determine the eligibility of training providers to be able to provide training</w:t>
      </w:r>
      <w:r w:rsidRPr="005B6EB1">
        <w:t xml:space="preserve"> that is compliant with its regulations</w:t>
      </w:r>
      <w:r w:rsidRPr="005B6EB1" w:rsidR="00C475CE">
        <w:t xml:space="preserve">, and driver-trainees would be unable to identify eligible training providers. </w:t>
      </w:r>
      <w:r w:rsidRPr="005B6EB1">
        <w:t xml:space="preserve">If this collection of information were conducted less frequently than biennially or when key information changes, there would be a greater likelihood of incorrect information being provided to driver-trainees regarding eligible training providers, resulting in inconvenience and delay to driver trainees. </w:t>
      </w:r>
      <w:r w:rsidRPr="005B6EB1" w:rsidR="00F02757">
        <w:t>These updates are also necessary for FMCSA to conduct oversight and monitoring</w:t>
      </w:r>
      <w:r w:rsidR="0035381A">
        <w:t xml:space="preserve"> of</w:t>
      </w:r>
      <w:r w:rsidRPr="005B6EB1" w:rsidR="00F02757">
        <w:t xml:space="preserve"> training providers listed in the TPR. </w:t>
      </w:r>
      <w:r w:rsidRPr="005B6EB1">
        <w:t>The Agency sees no practical manner of eliminating or making these requirements less frequent.</w:t>
      </w:r>
    </w:p>
    <w:p w:rsidR="007D2B58" w:rsidRPr="005B6EB1" w:rsidP="0033704F" w14:paraId="20A151DE" w14:textId="77777777">
      <w:pPr>
        <w:ind w:left="360"/>
      </w:pPr>
    </w:p>
    <w:p w:rsidR="00C230E4" w:rsidRPr="005B6EB1" w:rsidP="00E739D1" w14:paraId="67CE857E" w14:textId="6C8E3303">
      <w:pPr>
        <w:ind w:left="360"/>
      </w:pPr>
      <w:r w:rsidRPr="005B6EB1">
        <w:t xml:space="preserve">After an individual driver-trainee completes training administered by a training provider </w:t>
      </w:r>
      <w:r w:rsidRPr="005B6EB1">
        <w:t xml:space="preserve">listed on the TPR, that training provider must submit training certification information regarding the driver-trainee to the TPR. This </w:t>
      </w:r>
      <w:r w:rsidRPr="005B6EB1" w:rsidR="001A3AB0">
        <w:t xml:space="preserve">“Driver Training Certification” information is collected from training providers </w:t>
      </w:r>
      <w:r w:rsidRPr="005B6EB1">
        <w:t xml:space="preserve">so that </w:t>
      </w:r>
      <w:r w:rsidRPr="005B6EB1" w:rsidR="001A3AB0">
        <w:t xml:space="preserve">FMCSA </w:t>
      </w:r>
      <w:r w:rsidRPr="005B6EB1">
        <w:t xml:space="preserve">can make that information available to </w:t>
      </w:r>
      <w:r w:rsidRPr="005B6EB1" w:rsidR="005D109D">
        <w:t>SDLAs</w:t>
      </w:r>
      <w:r w:rsidRPr="005B6EB1" w:rsidR="001A3AB0">
        <w:t xml:space="preserve">, who may only administer </w:t>
      </w:r>
      <w:r w:rsidRPr="005B6EB1" w:rsidR="00F02757">
        <w:t>certain</w:t>
      </w:r>
      <w:r w:rsidRPr="005B6EB1" w:rsidR="001A3AB0">
        <w:t xml:space="preserve"> </w:t>
      </w:r>
      <w:r w:rsidR="00746516">
        <w:t xml:space="preserve">skills or knowledge </w:t>
      </w:r>
      <w:r w:rsidRPr="005B6EB1" w:rsidR="001A3AB0">
        <w:t xml:space="preserve">tests to applicants after verifying </w:t>
      </w:r>
      <w:r w:rsidRPr="005B6EB1">
        <w:t xml:space="preserve">that </w:t>
      </w:r>
      <w:r w:rsidRPr="005B6EB1" w:rsidR="001A3AB0">
        <w:t xml:space="preserve">the </w:t>
      </w:r>
      <w:r w:rsidRPr="005B6EB1">
        <w:t xml:space="preserve">required driver training </w:t>
      </w:r>
      <w:r w:rsidRPr="005B6EB1" w:rsidR="001A3AB0">
        <w:t>certification information is present in the driver’s record.</w:t>
      </w:r>
      <w:r w:rsidRPr="005B6EB1" w:rsidR="00C475CE">
        <w:t xml:space="preserve"> </w:t>
      </w:r>
      <w:r w:rsidRPr="005B6EB1" w:rsidR="00B335F1">
        <w:t>If this</w:t>
      </w:r>
      <w:r w:rsidRPr="005B6EB1">
        <w:t xml:space="preserve"> collection </w:t>
      </w:r>
      <w:r w:rsidRPr="005B6EB1" w:rsidR="00B335F1">
        <w:t xml:space="preserve">of information </w:t>
      </w:r>
      <w:r w:rsidRPr="005B6EB1">
        <w:t>were not conducted</w:t>
      </w:r>
      <w:r w:rsidRPr="005B6EB1" w:rsidR="00E739D1">
        <w:t xml:space="preserve"> or were conducted less frequently</w:t>
      </w:r>
      <w:r w:rsidRPr="005B6EB1">
        <w:t xml:space="preserve">, </w:t>
      </w:r>
      <w:r w:rsidRPr="005B6EB1" w:rsidR="00C475CE">
        <w:t xml:space="preserve">SDLAs would be unable to verify that the required driver training </w:t>
      </w:r>
      <w:r w:rsidRPr="005B6EB1" w:rsidR="007D2B58">
        <w:t xml:space="preserve">has been completed by a driver-trainee </w:t>
      </w:r>
      <w:r w:rsidRPr="005B6EB1" w:rsidR="00C475CE">
        <w:t xml:space="preserve">prior to administering the necessary skills test and/or knowledge test. </w:t>
      </w:r>
      <w:r w:rsidRPr="005B6EB1">
        <w:t xml:space="preserve">The Agency sees no practical manner of </w:t>
      </w:r>
      <w:r w:rsidRPr="005B6EB1" w:rsidR="00FD7842">
        <w:t xml:space="preserve">eliminating or </w:t>
      </w:r>
      <w:r w:rsidRPr="005B6EB1">
        <w:t xml:space="preserve">making these requirements less frequent. </w:t>
      </w:r>
    </w:p>
    <w:p w:rsidR="002A5030" w:rsidRPr="005B6EB1" w:rsidP="0033704F" w14:paraId="76C6D1D8" w14:textId="77777777">
      <w:pPr>
        <w:ind w:left="360"/>
      </w:pPr>
    </w:p>
    <w:p w:rsidR="00104B5C" w:rsidRPr="005B6EB1" w:rsidP="00104B5C" w14:paraId="613D43C3" w14:textId="77777777">
      <w:pPr>
        <w:tabs>
          <w:tab w:val="left" w:pos="360"/>
        </w:tabs>
        <w:rPr>
          <w:szCs w:val="24"/>
        </w:rPr>
      </w:pPr>
      <w:r w:rsidRPr="005B6EB1">
        <w:rPr>
          <w:b/>
          <w:bCs/>
          <w:szCs w:val="24"/>
        </w:rPr>
        <w:t>7.</w:t>
      </w:r>
      <w:r w:rsidRPr="005B6EB1">
        <w:rPr>
          <w:b/>
          <w:bCs/>
          <w:szCs w:val="24"/>
        </w:rPr>
        <w:tab/>
      </w:r>
      <w:r w:rsidRPr="005B6EB1" w:rsidR="00F358A1">
        <w:rPr>
          <w:b/>
          <w:bCs/>
          <w:szCs w:val="24"/>
        </w:rPr>
        <w:t>SPECIAL CIRCUMSTANCES</w:t>
      </w:r>
      <w:r w:rsidRPr="005B6EB1" w:rsidR="00470720">
        <w:rPr>
          <w:b/>
          <w:bCs/>
        </w:rPr>
        <w:t xml:space="preserve">  </w:t>
      </w:r>
      <w:r w:rsidRPr="005B6EB1" w:rsidR="00A613EE">
        <w:rPr>
          <w:b/>
          <w:bCs/>
        </w:rPr>
        <w:br/>
      </w:r>
    </w:p>
    <w:p w:rsidR="0033704F" w:rsidRPr="005B6EB1" w:rsidP="0033704F" w14:paraId="065D8CE6" w14:textId="77777777">
      <w:pPr>
        <w:ind w:left="360"/>
      </w:pPr>
      <w:r w:rsidRPr="005B6EB1">
        <w:t>There are no special circumstances associated with this collection</w:t>
      </w:r>
      <w:r w:rsidRPr="005B6EB1" w:rsidR="00464625">
        <w:t xml:space="preserve"> of information</w:t>
      </w:r>
      <w:r w:rsidRPr="005B6EB1">
        <w:t>.</w:t>
      </w:r>
    </w:p>
    <w:p w:rsidR="003D1ADF" w:rsidRPr="005B6EB1" w:rsidP="0033704F" w14:paraId="341CEFA6" w14:textId="77777777">
      <w:pPr>
        <w:rPr>
          <w:szCs w:val="24"/>
        </w:rPr>
      </w:pPr>
    </w:p>
    <w:p w:rsidR="00104B5C" w:rsidRPr="005B6EB1" w:rsidP="00104B5C" w14:paraId="004A651B" w14:textId="77777777">
      <w:pPr>
        <w:tabs>
          <w:tab w:val="left" w:pos="360"/>
        </w:tabs>
        <w:rPr>
          <w:szCs w:val="24"/>
        </w:rPr>
      </w:pPr>
      <w:r w:rsidRPr="005B6EB1">
        <w:rPr>
          <w:b/>
          <w:bCs/>
          <w:szCs w:val="24"/>
        </w:rPr>
        <w:t>8.</w:t>
      </w:r>
      <w:r w:rsidRPr="005B6EB1">
        <w:rPr>
          <w:b/>
          <w:bCs/>
          <w:szCs w:val="24"/>
        </w:rPr>
        <w:tab/>
      </w:r>
      <w:r w:rsidRPr="005B6EB1" w:rsidR="00F358A1">
        <w:rPr>
          <w:b/>
          <w:bCs/>
          <w:szCs w:val="24"/>
        </w:rPr>
        <w:t>COMPLIANCE WITH 5 CFR 1320.8</w:t>
      </w:r>
      <w:r w:rsidRPr="005B6EB1" w:rsidR="00470720">
        <w:rPr>
          <w:b/>
          <w:bCs/>
        </w:rPr>
        <w:t xml:space="preserve">  </w:t>
      </w:r>
      <w:r w:rsidRPr="005B6EB1" w:rsidR="00A613EE">
        <w:rPr>
          <w:b/>
          <w:bCs/>
        </w:rPr>
        <w:br/>
      </w:r>
    </w:p>
    <w:p w:rsidR="00900321" w:rsidP="00391D3D" w14:paraId="1F3BB7EA" w14:textId="75D87BB3">
      <w:pPr>
        <w:ind w:left="360"/>
        <w:outlineLvl w:val="0"/>
      </w:pPr>
      <w:r w:rsidRPr="005B6EB1">
        <w:t xml:space="preserve">FMCSA published a notice in the Federal Register with a 60-day comment period to announce this proposed information collection on </w:t>
      </w:r>
      <w:r w:rsidR="00746516">
        <w:t>March 30, 2023</w:t>
      </w:r>
      <w:r w:rsidRPr="005B6EB1">
        <w:t xml:space="preserve"> (</w:t>
      </w:r>
      <w:r w:rsidR="00195C94">
        <w:t>88</w:t>
      </w:r>
      <w:r w:rsidRPr="005B6EB1">
        <w:t xml:space="preserve"> FR </w:t>
      </w:r>
      <w:r w:rsidR="00195C94">
        <w:t>19186</w:t>
      </w:r>
      <w:r w:rsidRPr="005B6EB1">
        <w:t xml:space="preserve">), and to inform the public of its intention to seek OMB review and approval to revise the existing currently approved collection of information. </w:t>
      </w:r>
      <w:r w:rsidR="002904FF">
        <w:t xml:space="preserve"> </w:t>
      </w:r>
    </w:p>
    <w:p w:rsidR="00195C94" w:rsidP="00391D3D" w14:paraId="0217579E" w14:textId="5489010B">
      <w:pPr>
        <w:ind w:left="360"/>
        <w:outlineLvl w:val="0"/>
      </w:pPr>
    </w:p>
    <w:p w:rsidR="00195C94" w:rsidP="00391D3D" w14:paraId="26F9E921" w14:textId="4F85FA32">
      <w:pPr>
        <w:ind w:left="360"/>
        <w:outlineLvl w:val="0"/>
        <w:rPr>
          <w:iCs/>
        </w:rPr>
      </w:pPr>
      <w:r>
        <w:t xml:space="preserve">FMCSA received </w:t>
      </w:r>
      <w:r w:rsidR="00460AAD">
        <w:t>three</w:t>
      </w:r>
      <w:r>
        <w:t xml:space="preserve"> comment</w:t>
      </w:r>
      <w:r w:rsidR="00B10083">
        <w:t>s</w:t>
      </w:r>
      <w:r>
        <w:t xml:space="preserve"> on the 60-day notice, from the Director of the Commission on Proprietary School and College </w:t>
      </w:r>
      <w:bookmarkStart w:id="2" w:name="_Hlk136597545"/>
      <w:r>
        <w:t xml:space="preserve">Registration </w:t>
      </w:r>
      <w:bookmarkEnd w:id="2"/>
      <w:r>
        <w:t>(CPSCR)</w:t>
      </w:r>
      <w:r w:rsidR="00460AAD">
        <w:t>,</w:t>
      </w:r>
      <w:r w:rsidR="00B10083">
        <w:t xml:space="preserve"> </w:t>
      </w:r>
      <w:r w:rsidRPr="00B10083" w:rsidR="00B10083">
        <w:rPr>
          <w:iCs/>
        </w:rPr>
        <w:t>the National Association of State Administrators and Supervisors of Private Schools (NASASPS)</w:t>
      </w:r>
      <w:r w:rsidR="00460AAD">
        <w:rPr>
          <w:iCs/>
        </w:rPr>
        <w:t xml:space="preserve">, and </w:t>
      </w:r>
      <w:r w:rsidRPr="00460AAD" w:rsidR="00460AAD">
        <w:rPr>
          <w:iCs/>
        </w:rPr>
        <w:t>Commercial Vehicle Training Association (CVTA) and National Association of Publicly Funded Truck Driving Schools (NAPFTDS)</w:t>
      </w:r>
      <w:r>
        <w:t xml:space="preserve">. </w:t>
      </w:r>
      <w:r w:rsidRPr="0081481B" w:rsidR="0081481B">
        <w:t xml:space="preserve">The CPSCR opined that “FMCSA should collect more information from TPR registrants to ensure that training providers meet state licensure requirements to validly train in the state” and provided three supporting arguments. </w:t>
      </w:r>
      <w:r w:rsidRPr="00B10083" w:rsidR="00B10083">
        <w:rPr>
          <w:iCs/>
        </w:rPr>
        <w:t>The NASASPS stated “</w:t>
      </w:r>
      <w:r w:rsidRPr="00B10083" w:rsidR="00B10083">
        <w:t xml:space="preserve">that FMCSA […] move past a provider </w:t>
      </w:r>
      <w:r w:rsidR="00434BF2">
        <w:t>r</w:t>
      </w:r>
      <w:r w:rsidRPr="00B10083" w:rsidR="00B10083">
        <w:t xml:space="preserve">egistration process that relies wholly on self-certification and require </w:t>
      </w:r>
      <w:bookmarkStart w:id="3" w:name="_Hlk137460267"/>
      <w:r w:rsidRPr="00B10083" w:rsidR="00B10083">
        <w:t>TDTIs</w:t>
      </w:r>
      <w:bookmarkEnd w:id="3"/>
      <w:r w:rsidRPr="00B10083" w:rsidR="00B10083">
        <w:t xml:space="preserve"> to provide documentation of state authorization to operate</w:t>
      </w:r>
      <w:r w:rsidR="00343E47">
        <w:t>” and provide</w:t>
      </w:r>
      <w:r w:rsidR="0047280B">
        <w:t>d</w:t>
      </w:r>
      <w:r w:rsidR="00343E47">
        <w:t xml:space="preserve"> six recommendations</w:t>
      </w:r>
      <w:r w:rsidRPr="0047280B" w:rsidR="00343E47">
        <w:t>.</w:t>
      </w:r>
      <w:r w:rsidR="00460AAD">
        <w:t xml:space="preserve"> </w:t>
      </w:r>
      <w:r w:rsidRPr="00460AAD" w:rsidR="00460AAD">
        <w:t xml:space="preserve">The CVTA and NAPFTDS submitted a </w:t>
      </w:r>
      <w:r w:rsidR="00460AAD">
        <w:t>joint comment, recommending</w:t>
      </w:r>
      <w:r w:rsidRPr="00460AAD" w:rsidR="00460AAD">
        <w:t xml:space="preserve"> FMCSA collect “a copy of state licensure documentation, an identifier for that documentation in the form of a license number, or other documentation that would allow FMCSA to ensure compliance with the state licensure requirement” and “a copy of curriculum documentation (e.g., lesson plans) that would allow FMCSA to ensure compliance with training provider curriculum requirements”. </w:t>
      </w:r>
      <w:r w:rsidRPr="0047280B" w:rsidR="00B10083">
        <w:rPr>
          <w:i/>
          <w:iCs/>
          <w:u w:val="single"/>
        </w:rPr>
        <w:t xml:space="preserve"> </w:t>
      </w:r>
      <w:r w:rsidRPr="0047280B" w:rsidR="0081481B">
        <w:t xml:space="preserve">FMCSA responded that </w:t>
      </w:r>
      <w:r w:rsidRPr="0047280B" w:rsidR="00B10083">
        <w:rPr>
          <w:iCs/>
        </w:rPr>
        <w:t>at this time, FMCSA does not intend to modify the information collected</w:t>
      </w:r>
      <w:r w:rsidRPr="0047280B" w:rsidR="0033609B">
        <w:rPr>
          <w:iCs/>
        </w:rPr>
        <w:t xml:space="preserve"> or modify the self-certification process</w:t>
      </w:r>
      <w:r w:rsidRPr="0047280B" w:rsidR="00B10083">
        <w:rPr>
          <w:iCs/>
        </w:rPr>
        <w:t>. However, FMCSA will continue to work with stakeholders to potentially implement a process addressing the comments received during the 60-day notice.</w:t>
      </w:r>
    </w:p>
    <w:p w:rsidR="00263B1F" w:rsidP="00391D3D" w14:paraId="36B6201B" w14:textId="03FA7983">
      <w:pPr>
        <w:ind w:left="360"/>
        <w:outlineLvl w:val="0"/>
        <w:rPr>
          <w:iCs/>
        </w:rPr>
      </w:pPr>
    </w:p>
    <w:p w:rsidR="00234F20" w:rsidRPr="00234F20" w:rsidP="00CD62C4" w14:paraId="2C84C178" w14:textId="6262B443">
      <w:pPr>
        <w:ind w:left="360"/>
      </w:pPr>
      <w:bookmarkStart w:id="4" w:name="_Hlk137042498"/>
      <w:r>
        <w:rPr>
          <w:iCs/>
        </w:rPr>
        <w:t xml:space="preserve">In response, </w:t>
      </w:r>
      <w:r w:rsidRPr="00DB69D8">
        <w:rPr>
          <w:iCs/>
        </w:rPr>
        <w:t xml:space="preserve">FMCSA </w:t>
      </w:r>
      <w:r>
        <w:rPr>
          <w:iCs/>
        </w:rPr>
        <w:t>notes that the comments, while pertaining to the information collection, would both require that FMCSA revise the regulations regarding training provider requirements</w:t>
      </w:r>
      <w:r w:rsidRPr="00DB69D8">
        <w:rPr>
          <w:iCs/>
        </w:rPr>
        <w:t xml:space="preserve">. </w:t>
      </w:r>
      <w:r>
        <w:rPr>
          <w:iCs/>
        </w:rPr>
        <w:t xml:space="preserve">As these rules have been in effect for less than two years, FMCSA is not inclined to make any revisions at this time. </w:t>
      </w:r>
      <w:bookmarkEnd w:id="4"/>
      <w:r w:rsidRPr="00234F20">
        <w:t xml:space="preserve">FMCSA is </w:t>
      </w:r>
      <w:r w:rsidRPr="00234F20">
        <w:t xml:space="preserve">therefore </w:t>
      </w:r>
      <w:r w:rsidRPr="00234F20">
        <w:t xml:space="preserve">limited </w:t>
      </w:r>
      <w:r w:rsidRPr="00234F20">
        <w:t xml:space="preserve">as </w:t>
      </w:r>
      <w:r w:rsidRPr="00234F20">
        <w:t xml:space="preserve">to what can be done due to current regulations, however FMCSA will consider the comments received in </w:t>
      </w:r>
      <w:r w:rsidRPr="00234F20">
        <w:t>any future rulemakings to update the trainer provider requirements. Also, FMCSA is in the process of establishing an auditing policy and will consider the comments received when finalizing that policy.</w:t>
      </w:r>
      <w:r w:rsidRPr="00234F20">
        <w:t xml:space="preserve">  </w:t>
      </w:r>
    </w:p>
    <w:p w:rsidR="00234F20" w:rsidRPr="00234F20" w:rsidP="00CD62C4" w14:paraId="7E796010" w14:textId="77777777">
      <w:pPr>
        <w:ind w:left="360"/>
      </w:pPr>
    </w:p>
    <w:p w:rsidR="002904FF" w:rsidRPr="002904FF" w:rsidP="00CD62C4" w14:paraId="5B080995" w14:textId="7BFEF13B">
      <w:pPr>
        <w:ind w:left="360"/>
        <w:rPr>
          <w:color w:val="5B9BD5" w:themeColor="accent1"/>
          <w:sz w:val="22"/>
        </w:rPr>
      </w:pPr>
      <w:r>
        <w:rPr>
          <w:iCs/>
        </w:rPr>
        <w:t xml:space="preserve">The Agency notes that when training providers initially register for listing on the TPR, they must certify, under penalty of perjury, that they comply with all applicable regulatory requirements, including the requirement that they be </w:t>
      </w:r>
      <w:r>
        <w:t>licensed, certified, registered, or authorized to provide training in accordance with the applicable laws and regulations of any State where in-person training is conducted (49 CFR 380.703(5)(i)). Further, in accordance with 49 CFR 380.719(a)(4), to remain eligible for continued listing on the TPR, training providers must maintain documentation of State licensure, registration, or certification verifying that the provider is authorized to provide training in that State, if applicable. If FMCSA or its authorized representative conducts an audit or investigation of a training provider</w:t>
      </w:r>
      <w:r w:rsidR="00234F20">
        <w:t xml:space="preserve">, </w:t>
      </w:r>
      <w:r>
        <w:t>the training provider’s compliance with applicable State requirements would be evaluated. Training providers determined to be non-compliance with State requirements could be subject to a notice of prosed removal from the TPR or emergency removal, depending on the circumstances. The Agency believes these existing requirements sufficiently address training providers’ compliance with applicable State requirements.</w:t>
      </w:r>
      <w:r>
        <w:t xml:space="preserve">  </w:t>
      </w:r>
    </w:p>
    <w:p w:rsidR="00263B1F" w:rsidRPr="005B6EB1" w:rsidP="00391D3D" w14:paraId="3B1457EE" w14:textId="5E648194">
      <w:pPr>
        <w:ind w:left="360"/>
        <w:outlineLvl w:val="0"/>
      </w:pPr>
    </w:p>
    <w:p w:rsidR="005632BA" w:rsidRPr="005B6EB1" w:rsidP="00F67966" w14:paraId="3A766A01" w14:textId="77777777">
      <w:pPr>
        <w:tabs>
          <w:tab w:val="left" w:pos="360"/>
        </w:tabs>
        <w:ind w:left="360"/>
      </w:pPr>
    </w:p>
    <w:p w:rsidR="00104B5C" w:rsidRPr="005B6EB1" w:rsidP="00104B5C" w14:paraId="199F2D01" w14:textId="77777777">
      <w:pPr>
        <w:tabs>
          <w:tab w:val="left" w:pos="360"/>
        </w:tabs>
        <w:rPr>
          <w:szCs w:val="24"/>
        </w:rPr>
      </w:pPr>
      <w:r w:rsidRPr="005B6EB1">
        <w:rPr>
          <w:b/>
          <w:bCs/>
          <w:szCs w:val="24"/>
        </w:rPr>
        <w:t>9.</w:t>
      </w:r>
      <w:r w:rsidRPr="005B6EB1">
        <w:rPr>
          <w:b/>
          <w:bCs/>
          <w:szCs w:val="24"/>
        </w:rPr>
        <w:tab/>
      </w:r>
      <w:r w:rsidRPr="005B6EB1" w:rsidR="00F358A1">
        <w:rPr>
          <w:b/>
          <w:bCs/>
          <w:szCs w:val="24"/>
        </w:rPr>
        <w:t>PAYMENTS OR GIFTS TO RESPONDENTS</w:t>
      </w:r>
      <w:r w:rsidRPr="005B6EB1" w:rsidR="00A613EE">
        <w:rPr>
          <w:b/>
          <w:bCs/>
        </w:rPr>
        <w:br/>
      </w:r>
    </w:p>
    <w:p w:rsidR="00D241AD" w:rsidRPr="005B6EB1" w:rsidP="00D241AD" w14:paraId="0A8E4400" w14:textId="77777777">
      <w:pPr>
        <w:widowControl/>
        <w:ind w:left="360"/>
      </w:pPr>
      <w:r w:rsidRPr="005B6EB1">
        <w:t>Respondents are not provided with any payment or gift for this collection</w:t>
      </w:r>
      <w:r w:rsidRPr="005B6EB1" w:rsidR="00464625">
        <w:t xml:space="preserve"> of information</w:t>
      </w:r>
      <w:r w:rsidRPr="005B6EB1">
        <w:t>.</w:t>
      </w:r>
    </w:p>
    <w:p w:rsidR="00720A9F" w:rsidRPr="005B6EB1" w:rsidP="008E4E78" w14:paraId="0ED3762A" w14:textId="77777777"/>
    <w:p w:rsidR="00104B5C" w:rsidRPr="005B6EB1" w:rsidP="00FB566D" w14:paraId="6168EBA4" w14:textId="1F226820">
      <w:pPr>
        <w:keepNext/>
        <w:keepLines/>
        <w:tabs>
          <w:tab w:val="left" w:pos="360"/>
        </w:tabs>
        <w:rPr>
          <w:szCs w:val="24"/>
        </w:rPr>
      </w:pPr>
      <w:r w:rsidRPr="005B6EB1">
        <w:rPr>
          <w:b/>
          <w:bCs/>
          <w:szCs w:val="24"/>
        </w:rPr>
        <w:t>10.</w:t>
      </w:r>
      <w:r w:rsidRPr="005B6EB1">
        <w:rPr>
          <w:b/>
          <w:bCs/>
          <w:szCs w:val="24"/>
        </w:rPr>
        <w:tab/>
      </w:r>
      <w:r w:rsidRPr="005B6EB1" w:rsidR="00F358A1">
        <w:rPr>
          <w:b/>
          <w:bCs/>
          <w:szCs w:val="24"/>
        </w:rPr>
        <w:t>ASSURANCE OF CONFIDENTIALITY</w:t>
      </w:r>
      <w:r w:rsidRPr="005B6EB1" w:rsidR="00A613EE">
        <w:br/>
      </w:r>
    </w:p>
    <w:p w:rsidR="00B32D87" w:rsidRPr="005B6EB1" w:rsidP="005E69DF" w14:paraId="1124F03C" w14:textId="417B4161">
      <w:pPr>
        <w:tabs>
          <w:tab w:val="left" w:pos="360"/>
        </w:tabs>
        <w:ind w:left="360"/>
        <w:rPr>
          <w:szCs w:val="24"/>
        </w:rPr>
      </w:pPr>
      <w:r w:rsidRPr="005B6EB1">
        <w:t>Under this ICR</w:t>
      </w:r>
      <w:r w:rsidRPr="005B6EB1" w:rsidR="00937516">
        <w:t>,</w:t>
      </w:r>
      <w:r w:rsidRPr="005B6EB1" w:rsidR="00FF7E7E">
        <w:t xml:space="preserve"> “Training Provider Registration” information will be collected by FMCSA from each training provider for each training location by means of the online </w:t>
      </w:r>
      <w:r w:rsidRPr="005B6EB1" w:rsidR="008472E1">
        <w:t>TPR</w:t>
      </w:r>
      <w:r w:rsidRPr="005B6EB1" w:rsidR="00FF7E7E">
        <w:t xml:space="preserve">. </w:t>
      </w:r>
      <w:r w:rsidRPr="005B6EB1">
        <w:rPr>
          <w:bCs/>
          <w:szCs w:val="24"/>
        </w:rPr>
        <w:t>Although contact information for the training providers and sole proprietor training providers is generally considered personally identifiable information, because this information is provided in the context of the individual’s business relationship with the TPR and is not retrieved by unique identifier associated with the individual, that information is considered “business information” and is not protected under the Privacy Act</w:t>
      </w:r>
      <w:r w:rsidRPr="005B6EB1" w:rsidR="00636789">
        <w:rPr>
          <w:bCs/>
          <w:szCs w:val="24"/>
        </w:rPr>
        <w:t xml:space="preserve"> of 1974, 5 U.S.C. § 552a, Pub. L. 93-579, 88 Stat. 1896 (December 31, 1974) (Attachment </w:t>
      </w:r>
      <w:r w:rsidRPr="005B6EB1" w:rsidR="005B6EB1">
        <w:rPr>
          <w:bCs/>
          <w:szCs w:val="24"/>
        </w:rPr>
        <w:t>G</w:t>
      </w:r>
      <w:r w:rsidRPr="005B6EB1" w:rsidR="00636789">
        <w:rPr>
          <w:bCs/>
          <w:szCs w:val="24"/>
        </w:rPr>
        <w:t>)</w:t>
      </w:r>
      <w:r w:rsidRPr="005B6EB1">
        <w:rPr>
          <w:bCs/>
          <w:szCs w:val="24"/>
        </w:rPr>
        <w:t>. The Department</w:t>
      </w:r>
      <w:r w:rsidR="00CB675B">
        <w:rPr>
          <w:bCs/>
          <w:szCs w:val="24"/>
        </w:rPr>
        <w:t xml:space="preserve"> of Transportation (hereafter referred to as The Department)</w:t>
      </w:r>
      <w:r w:rsidRPr="005B6EB1">
        <w:rPr>
          <w:bCs/>
          <w:szCs w:val="24"/>
        </w:rPr>
        <w:t xml:space="preserve"> </w:t>
      </w:r>
      <w:r w:rsidR="00263B1F">
        <w:rPr>
          <w:bCs/>
          <w:szCs w:val="24"/>
        </w:rPr>
        <w:t>applies</w:t>
      </w:r>
      <w:r w:rsidRPr="005B6EB1">
        <w:rPr>
          <w:bCs/>
          <w:szCs w:val="24"/>
        </w:rPr>
        <w:t xml:space="preserve"> the Fair Information Practice Principles (FIPPs) to this data to ensure that it is used appropriately.</w:t>
      </w:r>
    </w:p>
    <w:p w:rsidR="00FF7E7E" w:rsidRPr="005B6EB1" w:rsidP="00FF7E7E" w14:paraId="5120F8B9" w14:textId="77777777">
      <w:pPr>
        <w:ind w:left="360"/>
      </w:pPr>
    </w:p>
    <w:p w:rsidR="007031D0" w:rsidRPr="005B6EB1" w:rsidP="00971BD5" w14:paraId="78F2C39F" w14:textId="2F666265">
      <w:pPr>
        <w:ind w:left="360"/>
        <w:rPr>
          <w:bCs/>
          <w:szCs w:val="24"/>
        </w:rPr>
      </w:pPr>
      <w:r w:rsidRPr="005B6EB1">
        <w:t>Also,</w:t>
      </w:r>
      <w:r w:rsidRPr="005B6EB1" w:rsidR="00FF7E7E">
        <w:t xml:space="preserve"> under this ICR, “Driver Training Certification” information </w:t>
      </w:r>
      <w:r w:rsidRPr="005B6EB1" w:rsidR="00C740B1">
        <w:t>is</w:t>
      </w:r>
      <w:r w:rsidRPr="005B6EB1" w:rsidR="00FF7E7E">
        <w:t xml:space="preserve"> collected by FMCSA from training providers by means of the </w:t>
      </w:r>
      <w:r w:rsidRPr="005B6EB1" w:rsidR="00493826">
        <w:t>TPR</w:t>
      </w:r>
      <w:r w:rsidRPr="005B6EB1" w:rsidR="00FF7E7E">
        <w:t xml:space="preserve">. After an individual driver-trainee completes training administered by a training provider listed on the TPR, that training provider must submit the training certification information regarding the driver-trainee to the TPR. </w:t>
      </w:r>
      <w:r w:rsidRPr="005B6EB1" w:rsidR="00493826">
        <w:t xml:space="preserve">Because this individual driver training certification information </w:t>
      </w:r>
      <w:r w:rsidRPr="005B6EB1" w:rsidR="00C740B1">
        <w:t>is</w:t>
      </w:r>
      <w:r w:rsidRPr="005B6EB1" w:rsidR="00493826">
        <w:t xml:space="preserve"> retrieved from the TPR by a unique identifier, the TPR is </w:t>
      </w:r>
      <w:r w:rsidRPr="005B6EB1" w:rsidR="00A92AE3">
        <w:rPr>
          <w:bCs/>
          <w:szCs w:val="24"/>
        </w:rPr>
        <w:t>considered a S</w:t>
      </w:r>
      <w:r w:rsidRPr="005B6EB1" w:rsidR="004F7AC2">
        <w:rPr>
          <w:bCs/>
          <w:szCs w:val="24"/>
        </w:rPr>
        <w:t xml:space="preserve">ystem of Records under the Privacy Act. </w:t>
      </w:r>
      <w:r w:rsidRPr="005B6EB1" w:rsidR="00F02757">
        <w:rPr>
          <w:bCs/>
          <w:szCs w:val="24"/>
        </w:rPr>
        <w:t>A</w:t>
      </w:r>
      <w:r w:rsidRPr="005B6EB1" w:rsidR="00B32D87">
        <w:rPr>
          <w:bCs/>
          <w:szCs w:val="24"/>
        </w:rPr>
        <w:t xml:space="preserve"> Privacy Impact Assessment (PIA)</w:t>
      </w:r>
      <w:r w:rsidRPr="005B6EB1" w:rsidR="00493826">
        <w:rPr>
          <w:bCs/>
          <w:szCs w:val="24"/>
        </w:rPr>
        <w:t xml:space="preserve"> </w:t>
      </w:r>
      <w:r w:rsidRPr="005B6EB1" w:rsidR="00B32D87">
        <w:rPr>
          <w:bCs/>
          <w:szCs w:val="24"/>
        </w:rPr>
        <w:t xml:space="preserve">is available both in the public docket for the December 2016 final </w:t>
      </w:r>
      <w:r w:rsidRPr="005B6EB1" w:rsidR="00B32D87">
        <w:rPr>
          <w:bCs/>
          <w:szCs w:val="24"/>
        </w:rPr>
        <w:t>rule</w:t>
      </w:r>
      <w:r>
        <w:rPr>
          <w:rStyle w:val="FootnoteReference"/>
          <w:bCs/>
          <w:szCs w:val="24"/>
        </w:rPr>
        <w:footnoteReference w:id="3"/>
      </w:r>
      <w:r w:rsidRPr="005B6EB1" w:rsidR="00B32D87">
        <w:rPr>
          <w:bCs/>
          <w:szCs w:val="24"/>
        </w:rPr>
        <w:t>, and on the Department’s privacy website.</w:t>
      </w:r>
      <w:r>
        <w:rPr>
          <w:rStyle w:val="FootnoteReference"/>
          <w:bCs/>
          <w:szCs w:val="24"/>
        </w:rPr>
        <w:footnoteReference w:id="4"/>
      </w:r>
      <w:r w:rsidRPr="005B6EB1" w:rsidR="00493826">
        <w:rPr>
          <w:bCs/>
          <w:szCs w:val="24"/>
        </w:rPr>
        <w:t xml:space="preserve"> </w:t>
      </w:r>
      <w:r w:rsidRPr="005B6EB1" w:rsidR="0045027D">
        <w:rPr>
          <w:bCs/>
          <w:szCs w:val="24"/>
        </w:rPr>
        <w:t xml:space="preserve">As required by the Privacy Act, FMCSA and the Department </w:t>
      </w:r>
      <w:r w:rsidRPr="005B6EB1" w:rsidR="00C740B1">
        <w:rPr>
          <w:bCs/>
          <w:szCs w:val="24"/>
        </w:rPr>
        <w:t>published</w:t>
      </w:r>
      <w:r w:rsidRPr="005B6EB1" w:rsidR="005C6E3C">
        <w:rPr>
          <w:bCs/>
          <w:szCs w:val="24"/>
        </w:rPr>
        <w:t xml:space="preserve"> </w:t>
      </w:r>
      <w:r w:rsidRPr="005B6EB1" w:rsidR="0045027D">
        <w:rPr>
          <w:bCs/>
          <w:szCs w:val="24"/>
        </w:rPr>
        <w:t>a system of records notice (SORN) that describe</w:t>
      </w:r>
      <w:r w:rsidRPr="005B6EB1" w:rsidR="005C6E3C">
        <w:rPr>
          <w:bCs/>
          <w:szCs w:val="24"/>
        </w:rPr>
        <w:t>d</w:t>
      </w:r>
      <w:r w:rsidRPr="005B6EB1" w:rsidR="0045027D">
        <w:rPr>
          <w:bCs/>
          <w:szCs w:val="24"/>
        </w:rPr>
        <w:t xml:space="preserve"> FMCSA’s maintenance and electronic transmission of </w:t>
      </w:r>
      <w:r w:rsidRPr="005B6EB1" w:rsidR="009067F5">
        <w:rPr>
          <w:bCs/>
          <w:szCs w:val="24"/>
        </w:rPr>
        <w:t xml:space="preserve">the driver training certification </w:t>
      </w:r>
      <w:r w:rsidRPr="005B6EB1" w:rsidR="0045027D">
        <w:rPr>
          <w:bCs/>
          <w:szCs w:val="24"/>
        </w:rPr>
        <w:t xml:space="preserve">information </w:t>
      </w:r>
      <w:r w:rsidRPr="005B6EB1" w:rsidR="009067F5">
        <w:rPr>
          <w:bCs/>
          <w:szCs w:val="24"/>
        </w:rPr>
        <w:t xml:space="preserve">that is </w:t>
      </w:r>
      <w:r w:rsidRPr="005B6EB1" w:rsidR="0045027D">
        <w:rPr>
          <w:bCs/>
          <w:szCs w:val="24"/>
        </w:rPr>
        <w:t>covered by the Privacy Act</w:t>
      </w:r>
      <w:r w:rsidR="00263B1F">
        <w:rPr>
          <w:bCs/>
          <w:szCs w:val="24"/>
        </w:rPr>
        <w:t>, which</w:t>
      </w:r>
      <w:r w:rsidRPr="005B6EB1" w:rsidR="0045027D">
        <w:rPr>
          <w:bCs/>
          <w:szCs w:val="24"/>
        </w:rPr>
        <w:t xml:space="preserve"> </w:t>
      </w:r>
      <w:r w:rsidRPr="005B6EB1" w:rsidR="005C6E3C">
        <w:rPr>
          <w:bCs/>
          <w:szCs w:val="24"/>
        </w:rPr>
        <w:t xml:space="preserve">was </w:t>
      </w:r>
      <w:r w:rsidRPr="005B6EB1" w:rsidR="0045027D">
        <w:rPr>
          <w:bCs/>
          <w:szCs w:val="24"/>
        </w:rPr>
        <w:t>published in the Federal Register</w:t>
      </w:r>
      <w:r w:rsidRPr="005B6EB1" w:rsidR="005C6E3C">
        <w:rPr>
          <w:bCs/>
          <w:szCs w:val="24"/>
        </w:rPr>
        <w:t xml:space="preserve"> on June 28, 2021</w:t>
      </w:r>
      <w:r w:rsidRPr="005B6EB1" w:rsidR="00F02757">
        <w:rPr>
          <w:bCs/>
          <w:szCs w:val="24"/>
        </w:rPr>
        <w:t xml:space="preserve"> (86 FR 34116)</w:t>
      </w:r>
      <w:r w:rsidRPr="005B6EB1" w:rsidR="0045027D">
        <w:rPr>
          <w:bCs/>
          <w:szCs w:val="24"/>
        </w:rPr>
        <w:t>.</w:t>
      </w:r>
    </w:p>
    <w:p w:rsidR="00147049" w:rsidRPr="005B6EB1" w:rsidP="00470720" w14:paraId="1447929E" w14:textId="77777777">
      <w:pPr>
        <w:rPr>
          <w:bCs/>
          <w:szCs w:val="24"/>
        </w:rPr>
      </w:pPr>
    </w:p>
    <w:p w:rsidR="00147049" w:rsidRPr="005B6EB1" w:rsidP="00147049" w14:paraId="18D06196" w14:textId="77777777">
      <w:pPr>
        <w:tabs>
          <w:tab w:val="left" w:pos="360"/>
        </w:tabs>
        <w:rPr>
          <w:szCs w:val="24"/>
        </w:rPr>
      </w:pPr>
      <w:r w:rsidRPr="005B6EB1">
        <w:rPr>
          <w:b/>
          <w:bCs/>
          <w:szCs w:val="24"/>
        </w:rPr>
        <w:t>11.</w:t>
      </w:r>
      <w:r w:rsidRPr="005B6EB1">
        <w:rPr>
          <w:b/>
          <w:bCs/>
          <w:szCs w:val="24"/>
        </w:rPr>
        <w:tab/>
      </w:r>
      <w:r w:rsidRPr="005B6EB1" w:rsidR="00F358A1">
        <w:rPr>
          <w:b/>
          <w:bCs/>
          <w:szCs w:val="24"/>
        </w:rPr>
        <w:t>JUSTIFICATION FOR COLLECTION OF SENSITIVE INFORMATION</w:t>
      </w:r>
      <w:r w:rsidRPr="005B6EB1" w:rsidR="00470720">
        <w:t xml:space="preserve"> </w:t>
      </w:r>
      <w:r w:rsidRPr="005B6EB1" w:rsidR="00A613EE">
        <w:br/>
      </w:r>
    </w:p>
    <w:p w:rsidR="00147049" w:rsidRPr="005B6EB1" w:rsidP="00C51F97" w14:paraId="0D3C7516" w14:textId="77777777">
      <w:pPr>
        <w:widowControl/>
        <w:ind w:left="360"/>
        <w:rPr>
          <w:szCs w:val="24"/>
        </w:rPr>
      </w:pPr>
      <w:r w:rsidRPr="005B6EB1">
        <w:t xml:space="preserve">The information requested and collected is not of a sensitive nature (e.g., </w:t>
      </w:r>
      <w:r w:rsidRPr="005B6EB1" w:rsidR="00F358A1">
        <w:rPr>
          <w:szCs w:val="24"/>
        </w:rPr>
        <w:t>sexual behavior and attitudes, religious beliefs, and other matters that are commonly considered private</w:t>
      </w:r>
      <w:r w:rsidRPr="005B6EB1">
        <w:rPr>
          <w:szCs w:val="24"/>
        </w:rPr>
        <w:t>)</w:t>
      </w:r>
      <w:r w:rsidRPr="005B6EB1" w:rsidR="00F358A1">
        <w:rPr>
          <w:szCs w:val="24"/>
        </w:rPr>
        <w:t>.</w:t>
      </w:r>
    </w:p>
    <w:p w:rsidR="00C07DC9" w:rsidRPr="005B6EB1" w:rsidP="00C07DC9" w14:paraId="63648C4E" w14:textId="45C604E1">
      <w:pPr>
        <w:tabs>
          <w:tab w:val="left" w:pos="360"/>
        </w:tabs>
        <w:rPr>
          <w:color w:val="FF0000"/>
          <w:szCs w:val="24"/>
        </w:rPr>
      </w:pPr>
      <w:r w:rsidRPr="005B6EB1">
        <w:rPr>
          <w:color w:val="FF0000"/>
          <w:szCs w:val="24"/>
        </w:rPr>
        <w:br/>
      </w:r>
      <w:r w:rsidRPr="005B6EB1">
        <w:rPr>
          <w:b/>
          <w:bCs/>
          <w:szCs w:val="24"/>
        </w:rPr>
        <w:t>12.</w:t>
      </w:r>
      <w:r w:rsidRPr="005B6EB1">
        <w:rPr>
          <w:b/>
          <w:bCs/>
          <w:szCs w:val="24"/>
        </w:rPr>
        <w:tab/>
      </w:r>
      <w:r w:rsidRPr="005B6EB1" w:rsidR="009E0597">
        <w:rPr>
          <w:b/>
          <w:bCs/>
          <w:szCs w:val="24"/>
        </w:rPr>
        <w:t>ESTIMATE OF BURDEN HOURS FOR INFORMATION REQUESTED</w:t>
      </w:r>
      <w:r w:rsidRPr="005B6EB1" w:rsidR="00A613EE">
        <w:rPr>
          <w:color w:val="FF0000"/>
        </w:rPr>
        <w:br/>
      </w:r>
    </w:p>
    <w:p w:rsidR="00172C3B" w:rsidRPr="005B6EB1" w:rsidP="00FA5DA7" w14:paraId="5EEA8CDF" w14:textId="335FEAF2">
      <w:pPr>
        <w:tabs>
          <w:tab w:val="left" w:pos="630"/>
        </w:tabs>
        <w:ind w:left="360"/>
        <w:rPr>
          <w:szCs w:val="24"/>
        </w:rPr>
      </w:pPr>
      <w:r w:rsidRPr="005B6EB1">
        <w:rPr>
          <w:szCs w:val="24"/>
        </w:rPr>
        <w:t>T</w:t>
      </w:r>
      <w:r w:rsidRPr="005B6EB1" w:rsidR="00CE0CA4">
        <w:rPr>
          <w:szCs w:val="24"/>
        </w:rPr>
        <w:t xml:space="preserve">he </w:t>
      </w:r>
      <w:r w:rsidRPr="005B6EB1" w:rsidR="00B60A04">
        <w:rPr>
          <w:szCs w:val="24"/>
        </w:rPr>
        <w:t xml:space="preserve">“Training Provider Registration” information collection </w:t>
      </w:r>
      <w:r w:rsidRPr="005B6EB1" w:rsidR="001171DA">
        <w:rPr>
          <w:szCs w:val="24"/>
        </w:rPr>
        <w:t>activities</w:t>
      </w:r>
      <w:r w:rsidRPr="005B6EB1" w:rsidR="00CE0CA4">
        <w:rPr>
          <w:szCs w:val="24"/>
        </w:rPr>
        <w:t xml:space="preserve"> and </w:t>
      </w:r>
      <w:r w:rsidRPr="005B6EB1" w:rsidR="00B60A04">
        <w:rPr>
          <w:szCs w:val="24"/>
        </w:rPr>
        <w:t xml:space="preserve">the “Driver Training Certification Information” information collection activities </w:t>
      </w:r>
      <w:r w:rsidRPr="005B6EB1" w:rsidR="00F02757">
        <w:rPr>
          <w:szCs w:val="24"/>
        </w:rPr>
        <w:t>are</w:t>
      </w:r>
      <w:r w:rsidRPr="005B6EB1">
        <w:rPr>
          <w:szCs w:val="24"/>
        </w:rPr>
        <w:t xml:space="preserve"> treated as separate </w:t>
      </w:r>
      <w:r w:rsidRPr="005B6EB1" w:rsidR="00B60A04">
        <w:rPr>
          <w:szCs w:val="24"/>
        </w:rPr>
        <w:t>i</w:t>
      </w:r>
      <w:r w:rsidRPr="005B6EB1" w:rsidR="008E2ADB">
        <w:rPr>
          <w:szCs w:val="24"/>
        </w:rPr>
        <w:t>nformation collection</w:t>
      </w:r>
      <w:r w:rsidRPr="005B6EB1" w:rsidR="00CE0CA4">
        <w:rPr>
          <w:szCs w:val="24"/>
        </w:rPr>
        <w:t>s</w:t>
      </w:r>
      <w:r w:rsidRPr="005B6EB1">
        <w:rPr>
          <w:szCs w:val="24"/>
        </w:rPr>
        <w:t>, IC-</w:t>
      </w:r>
      <w:r w:rsidRPr="005B6EB1" w:rsidR="00C87F67">
        <w:rPr>
          <w:szCs w:val="24"/>
        </w:rPr>
        <w:t>1</w:t>
      </w:r>
      <w:r w:rsidRPr="005B6EB1" w:rsidR="00CE0CA4">
        <w:rPr>
          <w:szCs w:val="24"/>
        </w:rPr>
        <w:t xml:space="preserve"> and </w:t>
      </w:r>
      <w:r w:rsidRPr="005B6EB1" w:rsidR="00B60A04">
        <w:rPr>
          <w:szCs w:val="24"/>
        </w:rPr>
        <w:t>IC-</w:t>
      </w:r>
      <w:r w:rsidRPr="005B6EB1" w:rsidR="00C87F67">
        <w:rPr>
          <w:szCs w:val="24"/>
        </w:rPr>
        <w:t>2</w:t>
      </w:r>
      <w:r w:rsidRPr="005B6EB1" w:rsidR="00D323C7">
        <w:rPr>
          <w:szCs w:val="24"/>
        </w:rPr>
        <w:t xml:space="preserve">, respectively. </w:t>
      </w:r>
      <w:r w:rsidRPr="005B6EB1" w:rsidR="009E0720">
        <w:rPr>
          <w:szCs w:val="24"/>
        </w:rPr>
        <w:t xml:space="preserve">These </w:t>
      </w:r>
      <w:r w:rsidRPr="005B6EB1" w:rsidR="00C87F67">
        <w:rPr>
          <w:szCs w:val="24"/>
        </w:rPr>
        <w:t>two</w:t>
      </w:r>
      <w:r w:rsidRPr="005B6EB1" w:rsidR="009E0720">
        <w:rPr>
          <w:szCs w:val="24"/>
        </w:rPr>
        <w:t xml:space="preserve"> information collection activities are </w:t>
      </w:r>
      <w:r w:rsidRPr="005B6EB1" w:rsidR="00D323C7">
        <w:rPr>
          <w:szCs w:val="24"/>
        </w:rPr>
        <w:t xml:space="preserve">presented as </w:t>
      </w:r>
      <w:r w:rsidRPr="005B6EB1" w:rsidR="009E0720">
        <w:rPr>
          <w:szCs w:val="24"/>
        </w:rPr>
        <w:t xml:space="preserve">separate ICs in order </w:t>
      </w:r>
      <w:r w:rsidRPr="005B6EB1">
        <w:rPr>
          <w:szCs w:val="24"/>
        </w:rPr>
        <w:t xml:space="preserve">to improve the clarity and transparency of the analysis. </w:t>
      </w:r>
      <w:r w:rsidRPr="005B6EB1" w:rsidR="00593444">
        <w:rPr>
          <w:szCs w:val="24"/>
        </w:rPr>
        <w:t>Guidance</w:t>
      </w:r>
      <w:r w:rsidRPr="005B6EB1">
        <w:rPr>
          <w:szCs w:val="24"/>
        </w:rPr>
        <w:t xml:space="preserve"> from </w:t>
      </w:r>
      <w:r w:rsidR="00434BF2">
        <w:rPr>
          <w:szCs w:val="24"/>
        </w:rPr>
        <w:t xml:space="preserve">the </w:t>
      </w:r>
      <w:r w:rsidRPr="005B6EB1" w:rsidR="00D841D8">
        <w:rPr>
          <w:szCs w:val="24"/>
        </w:rPr>
        <w:t>Office of Information and Regulatory Affairs (</w:t>
      </w:r>
      <w:r w:rsidRPr="005B6EB1">
        <w:rPr>
          <w:szCs w:val="24"/>
        </w:rPr>
        <w:t>OIRA</w:t>
      </w:r>
      <w:r w:rsidRPr="005B6EB1" w:rsidR="00D841D8">
        <w:rPr>
          <w:szCs w:val="24"/>
        </w:rPr>
        <w:t>)</w:t>
      </w:r>
      <w:r w:rsidRPr="005B6EB1">
        <w:rPr>
          <w:szCs w:val="24"/>
        </w:rPr>
        <w:t xml:space="preserve"> regarding the preparation of ICRs and Supporting Statements recommends that each form or collection instrument have a separate IC within a given ICR, in order to provide a more meaningful and easily understood estimate of the burden associated with each form or collection. OIRA also recommends that agencies present separate ICs within an ICR if the Agency believes that doing so would be informative.</w:t>
      </w:r>
      <w:r>
        <w:rPr>
          <w:rStyle w:val="FootnoteReference"/>
          <w:szCs w:val="24"/>
        </w:rPr>
        <w:footnoteReference w:id="5"/>
      </w:r>
      <w:r w:rsidRPr="005B6EB1">
        <w:rPr>
          <w:szCs w:val="24"/>
        </w:rPr>
        <w:t xml:space="preserve"> </w:t>
      </w:r>
      <w:r w:rsidRPr="005B6EB1" w:rsidR="00D323C7">
        <w:rPr>
          <w:szCs w:val="24"/>
        </w:rPr>
        <w:t xml:space="preserve">There are many qualitative and quantitative differences that dictate that these </w:t>
      </w:r>
      <w:r w:rsidRPr="005B6EB1" w:rsidR="006228FE">
        <w:rPr>
          <w:szCs w:val="24"/>
        </w:rPr>
        <w:t>two</w:t>
      </w:r>
      <w:r w:rsidRPr="005B6EB1" w:rsidR="00D323C7">
        <w:rPr>
          <w:szCs w:val="24"/>
        </w:rPr>
        <w:t xml:space="preserve"> activities </w:t>
      </w:r>
      <w:r w:rsidRPr="005B6EB1" w:rsidR="002E4A35">
        <w:rPr>
          <w:szCs w:val="24"/>
        </w:rPr>
        <w:t xml:space="preserve">are best </w:t>
      </w:r>
      <w:r w:rsidRPr="005B6EB1" w:rsidR="00D323C7">
        <w:rPr>
          <w:szCs w:val="24"/>
        </w:rPr>
        <w:t xml:space="preserve">addressed </w:t>
      </w:r>
      <w:r w:rsidRPr="005B6EB1" w:rsidR="002E4A35">
        <w:rPr>
          <w:szCs w:val="24"/>
        </w:rPr>
        <w:t xml:space="preserve">as </w:t>
      </w:r>
      <w:r w:rsidRPr="005B6EB1" w:rsidR="006228FE">
        <w:rPr>
          <w:szCs w:val="24"/>
        </w:rPr>
        <w:t>two</w:t>
      </w:r>
      <w:r w:rsidRPr="005B6EB1" w:rsidR="002E4A35">
        <w:rPr>
          <w:szCs w:val="24"/>
        </w:rPr>
        <w:t xml:space="preserve"> separate ICs. </w:t>
      </w:r>
      <w:r w:rsidRPr="005B6EB1" w:rsidR="006228FE">
        <w:rPr>
          <w:szCs w:val="24"/>
        </w:rPr>
        <w:t>A</w:t>
      </w:r>
      <w:r w:rsidRPr="005B6EB1">
        <w:rPr>
          <w:szCs w:val="24"/>
        </w:rPr>
        <w:t xml:space="preserve">lthough training providers </w:t>
      </w:r>
      <w:r w:rsidRPr="005B6EB1" w:rsidR="00D323C7">
        <w:rPr>
          <w:szCs w:val="24"/>
        </w:rPr>
        <w:t xml:space="preserve">are </w:t>
      </w:r>
      <w:r w:rsidRPr="005B6EB1">
        <w:rPr>
          <w:szCs w:val="24"/>
        </w:rPr>
        <w:t>the respondent</w:t>
      </w:r>
      <w:r w:rsidRPr="005B6EB1" w:rsidR="00D323C7">
        <w:rPr>
          <w:szCs w:val="24"/>
        </w:rPr>
        <w:t>s</w:t>
      </w:r>
      <w:r w:rsidRPr="005B6EB1">
        <w:rPr>
          <w:szCs w:val="24"/>
        </w:rPr>
        <w:t xml:space="preserve"> </w:t>
      </w:r>
      <w:r w:rsidRPr="005B6EB1" w:rsidR="00D323C7">
        <w:rPr>
          <w:szCs w:val="24"/>
        </w:rPr>
        <w:t>for both IC-</w:t>
      </w:r>
      <w:r w:rsidRPr="005B6EB1" w:rsidR="006228FE">
        <w:rPr>
          <w:szCs w:val="24"/>
        </w:rPr>
        <w:t>1</w:t>
      </w:r>
      <w:r w:rsidRPr="005B6EB1" w:rsidR="00D323C7">
        <w:rPr>
          <w:szCs w:val="24"/>
        </w:rPr>
        <w:t xml:space="preserve"> and IC-</w:t>
      </w:r>
      <w:r w:rsidRPr="005B6EB1" w:rsidR="006228FE">
        <w:rPr>
          <w:szCs w:val="24"/>
        </w:rPr>
        <w:t>2</w:t>
      </w:r>
      <w:r w:rsidRPr="005B6EB1" w:rsidR="00D323C7">
        <w:rPr>
          <w:szCs w:val="24"/>
        </w:rPr>
        <w:t xml:space="preserve">, </w:t>
      </w:r>
      <w:r w:rsidRPr="005B6EB1">
        <w:rPr>
          <w:szCs w:val="24"/>
        </w:rPr>
        <w:t xml:space="preserve">the nature of the information for each activity </w:t>
      </w:r>
      <w:r w:rsidRPr="005B6EB1" w:rsidR="00D323C7">
        <w:rPr>
          <w:szCs w:val="24"/>
        </w:rPr>
        <w:t xml:space="preserve">is </w:t>
      </w:r>
      <w:r w:rsidRPr="005B6EB1">
        <w:rPr>
          <w:szCs w:val="24"/>
        </w:rPr>
        <w:t xml:space="preserve">substantively different, with the “Training Provider Registration” IC focused on information pertaining to training providers, and the “Driver Training Certification Information” IC focused on information pertaining to individual entry-level drivers. The number of responses and frequency of response </w:t>
      </w:r>
      <w:r w:rsidRPr="005B6EB1" w:rsidR="00D323C7">
        <w:rPr>
          <w:szCs w:val="24"/>
        </w:rPr>
        <w:t xml:space="preserve">are </w:t>
      </w:r>
      <w:r w:rsidRPr="005B6EB1">
        <w:rPr>
          <w:szCs w:val="24"/>
        </w:rPr>
        <w:t xml:space="preserve">also very different for </w:t>
      </w:r>
      <w:r w:rsidRPr="005B6EB1" w:rsidR="00D323C7">
        <w:rPr>
          <w:szCs w:val="24"/>
        </w:rPr>
        <w:t xml:space="preserve">these </w:t>
      </w:r>
      <w:r w:rsidRPr="005B6EB1">
        <w:rPr>
          <w:szCs w:val="24"/>
        </w:rPr>
        <w:t>IC</w:t>
      </w:r>
      <w:r w:rsidRPr="005B6EB1" w:rsidR="00D323C7">
        <w:rPr>
          <w:szCs w:val="24"/>
        </w:rPr>
        <w:t>s</w:t>
      </w:r>
      <w:r w:rsidRPr="005B6EB1">
        <w:rPr>
          <w:szCs w:val="24"/>
        </w:rPr>
        <w:t>.</w:t>
      </w:r>
    </w:p>
    <w:p w:rsidR="00F02EC3" w:rsidRPr="005B6EB1" w:rsidP="00B60A04" w14:paraId="68E2162B" w14:textId="77777777">
      <w:pPr>
        <w:tabs>
          <w:tab w:val="left" w:pos="360"/>
        </w:tabs>
        <w:ind w:left="360" w:hanging="360"/>
        <w:rPr>
          <w:szCs w:val="24"/>
        </w:rPr>
      </w:pPr>
    </w:p>
    <w:p w:rsidR="00B52E13" w:rsidRPr="005B6EB1" w:rsidP="00D9563F" w14:paraId="575664F7" w14:textId="32D8AD81">
      <w:pPr>
        <w:keepNext/>
        <w:keepLines/>
        <w:widowControl/>
        <w:ind w:left="360"/>
      </w:pPr>
      <w:r w:rsidRPr="005B6EB1">
        <w:rPr>
          <w:b/>
          <w:u w:val="single"/>
        </w:rPr>
        <w:t>IC-</w:t>
      </w:r>
      <w:r w:rsidRPr="005B6EB1" w:rsidR="00217192">
        <w:rPr>
          <w:b/>
          <w:u w:val="single"/>
        </w:rPr>
        <w:t>1</w:t>
      </w:r>
      <w:r w:rsidRPr="005B6EB1">
        <w:rPr>
          <w:b/>
          <w:u w:val="single"/>
        </w:rPr>
        <w:t>:  Training Provider Registration</w:t>
      </w:r>
      <w:r w:rsidRPr="005B6EB1" w:rsidR="00C75014">
        <w:rPr>
          <w:b/>
          <w:u w:val="single"/>
        </w:rPr>
        <w:t xml:space="preserve"> (under 49 CFR Part 380 Subpart G)</w:t>
      </w:r>
    </w:p>
    <w:p w:rsidR="00B52E13" w:rsidRPr="005B6EB1" w:rsidP="00D9563F" w14:paraId="286C4F51" w14:textId="3BB9B08D">
      <w:pPr>
        <w:keepNext/>
        <w:keepLines/>
        <w:tabs>
          <w:tab w:val="left" w:pos="360"/>
        </w:tabs>
        <w:ind w:left="360"/>
        <w:rPr>
          <w:szCs w:val="24"/>
        </w:rPr>
      </w:pPr>
    </w:p>
    <w:p w:rsidR="00CB0AEA" w:rsidRPr="005B6EB1" w:rsidP="00B162A8" w14:paraId="19721E48" w14:textId="184E0A2B">
      <w:pPr>
        <w:ind w:left="360"/>
      </w:pPr>
      <w:r w:rsidRPr="005B6EB1">
        <w:t xml:space="preserve">Training Provider Registration information </w:t>
      </w:r>
      <w:r w:rsidRPr="005B6EB1" w:rsidR="00F02757">
        <w:t>is</w:t>
      </w:r>
      <w:r w:rsidRPr="005B6EB1">
        <w:t xml:space="preserve"> collected by FMCSA from each training provider for each training location by means of the online TPR. </w:t>
      </w:r>
      <w:r w:rsidRPr="005B6EB1" w:rsidR="00B162A8">
        <w:t xml:space="preserve">The TPR </w:t>
      </w:r>
      <w:r w:rsidRPr="005B6EB1" w:rsidR="00F02757">
        <w:t>is</w:t>
      </w:r>
      <w:r w:rsidRPr="005B6EB1" w:rsidR="00B162A8">
        <w:t xml:space="preserve"> an online</w:t>
      </w:r>
      <w:r w:rsidRPr="005B6EB1" w:rsidR="00F02757">
        <w:t>,</w:t>
      </w:r>
      <w:r w:rsidRPr="005B6EB1" w:rsidR="00B162A8">
        <w:t xml:space="preserve"> web-based information system that training providers must use to submit information to FMCSA to ensure that they meet the training provider eligibility requirements and can therefore be </w:t>
      </w:r>
      <w:r w:rsidRPr="005B6EB1" w:rsidR="00B162A8">
        <w:t xml:space="preserve">listed on the TPR. </w:t>
      </w:r>
    </w:p>
    <w:p w:rsidR="00F02EC3" w:rsidRPr="005B6EB1" w:rsidP="00D9563F" w14:paraId="5DB6DFAC" w14:textId="449359C5">
      <w:pPr>
        <w:keepNext/>
        <w:keepLines/>
        <w:tabs>
          <w:tab w:val="left" w:pos="360"/>
        </w:tabs>
        <w:ind w:left="360"/>
        <w:rPr>
          <w:szCs w:val="24"/>
        </w:rPr>
      </w:pPr>
    </w:p>
    <w:p w:rsidR="00BE6030" w:rsidRPr="005B6EB1" w:rsidP="008C3A7A" w14:paraId="77B2A3F2" w14:textId="1A2FDFCD">
      <w:pPr>
        <w:ind w:left="360"/>
      </w:pPr>
      <w:r w:rsidRPr="005B6EB1">
        <w:t xml:space="preserve">Some training provider organizations provide training at </w:t>
      </w:r>
      <w:r w:rsidRPr="005B6EB1" w:rsidR="00CD5462">
        <w:t>only one location</w:t>
      </w:r>
      <w:r w:rsidRPr="005B6EB1">
        <w:t>, while others may provide training at more than one location.</w:t>
      </w:r>
      <w:r w:rsidRPr="005B6EB1" w:rsidR="00E53464">
        <w:t xml:space="preserve"> </w:t>
      </w:r>
      <w:r w:rsidRPr="005B6EB1" w:rsidR="001955D2">
        <w:t xml:space="preserve">Training providers must register each </w:t>
      </w:r>
      <w:r w:rsidRPr="005B6EB1" w:rsidR="00E53464">
        <w:t xml:space="preserve">training location </w:t>
      </w:r>
      <w:r w:rsidRPr="005B6EB1" w:rsidR="001955D2">
        <w:t xml:space="preserve">in the TPR, and each training location </w:t>
      </w:r>
      <w:r w:rsidRPr="005B6EB1" w:rsidR="00E53464">
        <w:t>will be assigned a u</w:t>
      </w:r>
      <w:r w:rsidRPr="005B6EB1" w:rsidR="001955D2">
        <w:t>nique TPR identification number by FMCSA.</w:t>
      </w:r>
      <w:r w:rsidRPr="005B6EB1" w:rsidR="008C3A7A">
        <w:t xml:space="preserve"> </w:t>
      </w:r>
    </w:p>
    <w:p w:rsidR="00400696" w:rsidRPr="005B6EB1" w:rsidP="00145EF4" w14:paraId="64C6F8C5" w14:textId="77777777">
      <w:pPr>
        <w:tabs>
          <w:tab w:val="left" w:pos="360"/>
        </w:tabs>
        <w:ind w:left="360"/>
        <w:rPr>
          <w:szCs w:val="24"/>
        </w:rPr>
      </w:pPr>
    </w:p>
    <w:p w:rsidR="008E17F2" w:rsidRPr="005B6EB1" w:rsidP="00EB3FE4" w14:paraId="206B76DB" w14:textId="05D97E2F">
      <w:pPr>
        <w:tabs>
          <w:tab w:val="left" w:pos="360"/>
        </w:tabs>
        <w:ind w:left="360"/>
      </w:pPr>
      <w:r w:rsidRPr="005B6EB1">
        <w:t xml:space="preserve">Table </w:t>
      </w:r>
      <w:r w:rsidRPr="005B6EB1" w:rsidR="00217192">
        <w:t>1</w:t>
      </w:r>
      <w:r w:rsidRPr="005B6EB1" w:rsidR="00F77A82">
        <w:t xml:space="preserve"> presents the </w:t>
      </w:r>
      <w:r w:rsidRPr="005B6EB1" w:rsidR="00217192">
        <w:t xml:space="preserve">actual </w:t>
      </w:r>
      <w:r w:rsidRPr="005B6EB1" w:rsidR="00F77A82">
        <w:t xml:space="preserve">total population of training providers </w:t>
      </w:r>
      <w:r w:rsidRPr="005B6EB1" w:rsidR="00217192">
        <w:t>who</w:t>
      </w:r>
      <w:r w:rsidRPr="005B6EB1" w:rsidR="00F77A82">
        <w:t xml:space="preserve"> met the training provider eligibility requirements </w:t>
      </w:r>
      <w:r w:rsidRPr="005B6EB1" w:rsidR="00217192">
        <w:t>in</w:t>
      </w:r>
      <w:r w:rsidRPr="005B6EB1" w:rsidR="00400696">
        <w:t xml:space="preserve"> </w:t>
      </w:r>
      <w:r w:rsidRPr="005B6EB1" w:rsidR="003D326C">
        <w:t xml:space="preserve">2021 and </w:t>
      </w:r>
      <w:r w:rsidRPr="005B6EB1" w:rsidR="00400696">
        <w:t>2022</w:t>
      </w:r>
      <w:r w:rsidRPr="005B6EB1" w:rsidR="00217192">
        <w:t>.</w:t>
      </w:r>
      <w:r w:rsidRPr="005B6EB1" w:rsidR="00400696">
        <w:t xml:space="preserve"> </w:t>
      </w:r>
      <w:r w:rsidRPr="005B6EB1" w:rsidR="00FF41DA">
        <w:t xml:space="preserve">Because some training provider organizations provide training at more than just one location, both the </w:t>
      </w:r>
      <w:r w:rsidRPr="005B6EB1" w:rsidR="00F77A82">
        <w:t xml:space="preserve">number of training provider </w:t>
      </w:r>
      <w:r w:rsidRPr="005B6EB1" w:rsidR="00FF41DA">
        <w:t>organizations</w:t>
      </w:r>
      <w:r w:rsidRPr="005B6EB1" w:rsidR="009D02BA">
        <w:t xml:space="preserve"> (as potential respondents)</w:t>
      </w:r>
      <w:r w:rsidRPr="005B6EB1" w:rsidR="00FF41DA">
        <w:t>, and the number of training provider locations</w:t>
      </w:r>
      <w:r w:rsidRPr="005B6EB1" w:rsidR="009D02BA">
        <w:t xml:space="preserve"> (as potential responses)</w:t>
      </w:r>
      <w:r w:rsidRPr="005B6EB1" w:rsidR="00FF41DA">
        <w:t>, are pres</w:t>
      </w:r>
      <w:r w:rsidRPr="005B6EB1" w:rsidR="009D02BA">
        <w:t>ented.</w:t>
      </w:r>
      <w:r w:rsidR="00F81C71">
        <w:t xml:space="preserve"> </w:t>
      </w:r>
    </w:p>
    <w:p w:rsidR="003D326C" w:rsidRPr="005B6EB1" w:rsidP="00EB3FE4" w14:paraId="12AB3445" w14:textId="4D00F955">
      <w:pPr>
        <w:tabs>
          <w:tab w:val="left" w:pos="360"/>
        </w:tabs>
        <w:ind w:left="360"/>
      </w:pPr>
    </w:p>
    <w:p w:rsidR="003D326C" w:rsidRPr="005B6EB1" w:rsidP="00637CF5" w14:paraId="0D0C9984" w14:textId="55EC327C">
      <w:pPr>
        <w:pStyle w:val="Caption"/>
        <w:keepNext/>
        <w:keepLines/>
        <w:widowControl/>
        <w:spacing w:after="0"/>
        <w:ind w:left="360"/>
        <w:rPr>
          <w:b/>
          <w:szCs w:val="24"/>
        </w:rPr>
      </w:pPr>
      <w:r w:rsidRPr="005B6EB1">
        <w:rPr>
          <w:b/>
          <w:i w:val="0"/>
          <w:color w:val="auto"/>
          <w:sz w:val="24"/>
          <w:szCs w:val="24"/>
        </w:rPr>
        <w:t>Table 1. Actual Number of Providers of Entry-Level CDL and</w:t>
      </w:r>
      <w:r w:rsidRPr="005B6EB1" w:rsidR="00D454F7">
        <w:rPr>
          <w:b/>
          <w:i w:val="0"/>
          <w:color w:val="auto"/>
          <w:sz w:val="24"/>
          <w:szCs w:val="24"/>
        </w:rPr>
        <w:t xml:space="preserve"> </w:t>
      </w:r>
      <w:r w:rsidRPr="005B6EB1">
        <w:rPr>
          <w:b/>
          <w:i w:val="0"/>
          <w:color w:val="auto"/>
          <w:sz w:val="24"/>
          <w:szCs w:val="24"/>
        </w:rPr>
        <w:t>Endorsement Training</w:t>
      </w:r>
      <w:r w:rsidRPr="005B6EB1" w:rsidR="00670ADE">
        <w:rPr>
          <w:b/>
          <w:i w:val="0"/>
          <w:color w:val="auto"/>
          <w:sz w:val="24"/>
          <w:szCs w:val="24"/>
        </w:rPr>
        <w:t xml:space="preserve"> 2020-2022</w:t>
      </w:r>
    </w:p>
    <w:tbl>
      <w:tblPr>
        <w:tblW w:w="490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1"/>
        <w:gridCol w:w="1440"/>
        <w:gridCol w:w="1709"/>
        <w:gridCol w:w="1441"/>
        <w:gridCol w:w="1439"/>
      </w:tblGrid>
      <w:tr w14:paraId="35F1E8D0" w14:textId="050BD04D" w:rsidTr="00263B1F">
        <w:tblPrEx>
          <w:tblW w:w="490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rPr>
        <w:tc>
          <w:tcPr>
            <w:tcW w:w="3151" w:type="dxa"/>
            <w:tcBorders>
              <w:top w:val="single" w:sz="18" w:space="0" w:color="auto"/>
              <w:bottom w:val="single" w:sz="18" w:space="0" w:color="auto"/>
              <w:right w:val="single" w:sz="18" w:space="0" w:color="auto"/>
            </w:tcBorders>
            <w:shd w:val="clear" w:color="000000" w:fill="E0E0E0"/>
            <w:vAlign w:val="bottom"/>
            <w:hideMark/>
          </w:tcPr>
          <w:p w:rsidR="00C86A66" w:rsidRPr="005B6EB1" w:rsidP="00E35CFD" w14:paraId="376A2051" w14:textId="77777777">
            <w:pPr>
              <w:keepNext/>
              <w:keepLines/>
              <w:widowControl/>
              <w:autoSpaceDE/>
              <w:autoSpaceDN/>
              <w:adjustRightInd/>
              <w:rPr>
                <w:b/>
                <w:bCs/>
              </w:rPr>
            </w:pPr>
            <w:r w:rsidRPr="005B6EB1">
              <w:rPr>
                <w:b/>
                <w:bCs/>
              </w:rPr>
              <w:t> </w:t>
            </w:r>
          </w:p>
        </w:tc>
        <w:tc>
          <w:tcPr>
            <w:tcW w:w="1440" w:type="dxa"/>
            <w:tcBorders>
              <w:top w:val="single" w:sz="18" w:space="0" w:color="auto"/>
              <w:bottom w:val="single" w:sz="18" w:space="0" w:color="auto"/>
            </w:tcBorders>
            <w:shd w:val="clear" w:color="000000" w:fill="E0E0E0"/>
          </w:tcPr>
          <w:p w:rsidR="00C86A66" w:rsidRPr="005B6EB1" w:rsidP="00E35CFD" w14:paraId="198F37C5" w14:textId="59FF2B02">
            <w:pPr>
              <w:keepNext/>
              <w:keepLines/>
              <w:widowControl/>
              <w:autoSpaceDE/>
              <w:autoSpaceDN/>
              <w:adjustRightInd/>
              <w:jc w:val="center"/>
              <w:rPr>
                <w:b/>
                <w:bCs/>
                <w:sz w:val="22"/>
                <w:szCs w:val="22"/>
              </w:rPr>
            </w:pPr>
            <w:r w:rsidRPr="005B6EB1">
              <w:rPr>
                <w:b/>
                <w:bCs/>
                <w:sz w:val="22"/>
                <w:szCs w:val="22"/>
              </w:rPr>
              <w:t>2020</w:t>
            </w:r>
          </w:p>
        </w:tc>
        <w:tc>
          <w:tcPr>
            <w:tcW w:w="1709" w:type="dxa"/>
            <w:tcBorders>
              <w:top w:val="single" w:sz="18" w:space="0" w:color="auto"/>
              <w:bottom w:val="single" w:sz="18" w:space="0" w:color="auto"/>
            </w:tcBorders>
            <w:shd w:val="clear" w:color="000000" w:fill="E0E0E0"/>
          </w:tcPr>
          <w:p w:rsidR="00C86A66" w:rsidRPr="005B6EB1" w:rsidP="00E35CFD" w14:paraId="762B1B87" w14:textId="0352C654">
            <w:pPr>
              <w:keepNext/>
              <w:keepLines/>
              <w:widowControl/>
              <w:autoSpaceDE/>
              <w:autoSpaceDN/>
              <w:adjustRightInd/>
              <w:jc w:val="center"/>
              <w:rPr>
                <w:b/>
                <w:bCs/>
                <w:sz w:val="22"/>
                <w:szCs w:val="22"/>
              </w:rPr>
            </w:pPr>
            <w:r w:rsidRPr="005B6EB1">
              <w:rPr>
                <w:b/>
                <w:bCs/>
                <w:sz w:val="22"/>
                <w:szCs w:val="22"/>
              </w:rPr>
              <w:t xml:space="preserve">2021 </w:t>
            </w:r>
          </w:p>
          <w:p w:rsidR="00C86A66" w:rsidRPr="005B6EB1" w:rsidP="00E35CFD" w14:paraId="7D668236" w14:textId="2E9DC8BF">
            <w:pPr>
              <w:keepNext/>
              <w:keepLines/>
              <w:widowControl/>
              <w:autoSpaceDE/>
              <w:autoSpaceDN/>
              <w:adjustRightInd/>
              <w:jc w:val="center"/>
              <w:rPr>
                <w:b/>
                <w:bCs/>
                <w:sz w:val="22"/>
                <w:szCs w:val="22"/>
              </w:rPr>
            </w:pPr>
            <w:r w:rsidRPr="005B6EB1">
              <w:rPr>
                <w:b/>
                <w:bCs/>
                <w:sz w:val="22"/>
                <w:szCs w:val="22"/>
              </w:rPr>
              <w:t>(June-December)</w:t>
            </w:r>
          </w:p>
        </w:tc>
        <w:tc>
          <w:tcPr>
            <w:tcW w:w="1441" w:type="dxa"/>
            <w:tcBorders>
              <w:top w:val="single" w:sz="18" w:space="0" w:color="auto"/>
              <w:bottom w:val="single" w:sz="18" w:space="0" w:color="auto"/>
              <w:right w:val="single" w:sz="2" w:space="0" w:color="auto"/>
            </w:tcBorders>
            <w:shd w:val="clear" w:color="000000" w:fill="E0E0E0"/>
            <w:vAlign w:val="bottom"/>
          </w:tcPr>
          <w:p w:rsidR="00C86A66" w:rsidRPr="005B6EB1" w:rsidP="00E35CFD" w14:paraId="20939B6B" w14:textId="77777777">
            <w:pPr>
              <w:keepNext/>
              <w:keepLines/>
              <w:widowControl/>
              <w:autoSpaceDE/>
              <w:autoSpaceDN/>
              <w:adjustRightInd/>
              <w:jc w:val="center"/>
              <w:rPr>
                <w:b/>
                <w:bCs/>
                <w:sz w:val="22"/>
                <w:szCs w:val="22"/>
              </w:rPr>
            </w:pPr>
            <w:r w:rsidRPr="005B6EB1">
              <w:rPr>
                <w:b/>
                <w:bCs/>
                <w:sz w:val="22"/>
                <w:szCs w:val="22"/>
              </w:rPr>
              <w:t>2022</w:t>
            </w:r>
          </w:p>
          <w:p w:rsidR="00C86A66" w:rsidRPr="005B6EB1" w:rsidP="00637CF5" w14:paraId="609E5A0F" w14:textId="59BE298B">
            <w:pPr>
              <w:keepNext/>
              <w:keepLines/>
              <w:widowControl/>
              <w:autoSpaceDE/>
              <w:autoSpaceDN/>
              <w:adjustRightInd/>
              <w:rPr>
                <w:b/>
                <w:bCs/>
                <w:sz w:val="22"/>
                <w:szCs w:val="22"/>
              </w:rPr>
            </w:pPr>
          </w:p>
        </w:tc>
        <w:tc>
          <w:tcPr>
            <w:tcW w:w="1439" w:type="dxa"/>
            <w:tcBorders>
              <w:top w:val="single" w:sz="18" w:space="0" w:color="auto"/>
              <w:bottom w:val="single" w:sz="18" w:space="0" w:color="auto"/>
              <w:right w:val="single" w:sz="2" w:space="0" w:color="auto"/>
            </w:tcBorders>
            <w:shd w:val="clear" w:color="000000" w:fill="E0E0E0"/>
          </w:tcPr>
          <w:p w:rsidR="00C86A66" w:rsidRPr="005B6EB1" w:rsidP="00E35CFD" w14:paraId="3142CE46" w14:textId="4B209DEE">
            <w:pPr>
              <w:keepNext/>
              <w:keepLines/>
              <w:widowControl/>
              <w:autoSpaceDE/>
              <w:autoSpaceDN/>
              <w:adjustRightInd/>
              <w:jc w:val="center"/>
              <w:rPr>
                <w:b/>
                <w:bCs/>
                <w:sz w:val="22"/>
                <w:szCs w:val="22"/>
              </w:rPr>
            </w:pPr>
            <w:r w:rsidRPr="005B6EB1">
              <w:rPr>
                <w:b/>
                <w:bCs/>
                <w:sz w:val="22"/>
                <w:szCs w:val="22"/>
              </w:rPr>
              <w:t>Average</w:t>
            </w:r>
          </w:p>
        </w:tc>
      </w:tr>
      <w:tr w14:paraId="25518380" w14:textId="6AF02506" w:rsidTr="00263B1F">
        <w:tblPrEx>
          <w:tblW w:w="4908" w:type="pct"/>
          <w:tblInd w:w="355" w:type="dxa"/>
          <w:tblLayout w:type="fixed"/>
          <w:tblLook w:val="04A0"/>
        </w:tblPrEx>
        <w:trPr>
          <w:trHeight w:val="517"/>
        </w:trPr>
        <w:tc>
          <w:tcPr>
            <w:tcW w:w="3151" w:type="dxa"/>
            <w:tcBorders>
              <w:top w:val="single" w:sz="18" w:space="0" w:color="auto"/>
              <w:bottom w:val="single" w:sz="2" w:space="0" w:color="auto"/>
              <w:right w:val="single" w:sz="18" w:space="0" w:color="auto"/>
            </w:tcBorders>
            <w:shd w:val="clear" w:color="auto" w:fill="auto"/>
            <w:noWrap/>
            <w:vAlign w:val="center"/>
            <w:hideMark/>
          </w:tcPr>
          <w:p w:rsidR="00C86A66" w:rsidRPr="005B6EB1" w:rsidP="00D803B4" w14:paraId="1C7D349A" w14:textId="181B74C6">
            <w:pPr>
              <w:keepNext/>
              <w:keepLines/>
              <w:widowControl/>
              <w:autoSpaceDE/>
              <w:autoSpaceDN/>
              <w:adjustRightInd/>
              <w:rPr>
                <w:iCs/>
                <w:sz w:val="22"/>
                <w:szCs w:val="22"/>
              </w:rPr>
            </w:pPr>
            <w:r w:rsidRPr="005B6EB1">
              <w:rPr>
                <w:sz w:val="22"/>
                <w:szCs w:val="22"/>
              </w:rPr>
              <w:t>Number of Training Provider Organizations (Respondents)</w:t>
            </w:r>
          </w:p>
        </w:tc>
        <w:tc>
          <w:tcPr>
            <w:tcW w:w="1440" w:type="dxa"/>
            <w:tcBorders>
              <w:top w:val="single" w:sz="18" w:space="0" w:color="auto"/>
              <w:bottom w:val="single" w:sz="2" w:space="0" w:color="auto"/>
            </w:tcBorders>
          </w:tcPr>
          <w:p w:rsidR="00C86A66" w:rsidRPr="005B6EB1" w:rsidP="000E1D35" w14:paraId="154CE2A3" w14:textId="513B541B">
            <w:pPr>
              <w:keepNext/>
              <w:keepLines/>
              <w:widowControl/>
              <w:autoSpaceDE/>
              <w:autoSpaceDN/>
              <w:adjustRightInd/>
              <w:spacing w:after="120"/>
              <w:jc w:val="right"/>
              <w:rPr>
                <w:iCs/>
                <w:sz w:val="22"/>
                <w:szCs w:val="22"/>
              </w:rPr>
            </w:pPr>
            <w:r w:rsidRPr="005B6EB1">
              <w:rPr>
                <w:iCs/>
                <w:sz w:val="22"/>
                <w:szCs w:val="22"/>
              </w:rPr>
              <w:br/>
            </w:r>
            <w:r w:rsidRPr="005B6EB1" w:rsidR="00ED5D24">
              <w:rPr>
                <w:iCs/>
                <w:sz w:val="22"/>
                <w:szCs w:val="22"/>
              </w:rPr>
              <w:t>0</w:t>
            </w:r>
          </w:p>
        </w:tc>
        <w:tc>
          <w:tcPr>
            <w:tcW w:w="1709" w:type="dxa"/>
            <w:tcBorders>
              <w:top w:val="single" w:sz="18" w:space="0" w:color="auto"/>
              <w:bottom w:val="single" w:sz="2" w:space="0" w:color="auto"/>
            </w:tcBorders>
          </w:tcPr>
          <w:p w:rsidR="00C86A66" w:rsidRPr="005B6EB1" w:rsidP="005A3315" w14:paraId="5EE95D28" w14:textId="265B3D56">
            <w:pPr>
              <w:keepNext/>
              <w:keepLines/>
              <w:widowControl/>
              <w:autoSpaceDE/>
              <w:autoSpaceDN/>
              <w:adjustRightInd/>
              <w:jc w:val="right"/>
              <w:rPr>
                <w:iCs/>
                <w:sz w:val="22"/>
                <w:szCs w:val="22"/>
              </w:rPr>
            </w:pPr>
          </w:p>
          <w:p w:rsidR="00C86A66" w:rsidRPr="005B6EB1" w:rsidP="005A3315" w14:paraId="0A57C4E6" w14:textId="10351167">
            <w:pPr>
              <w:keepNext/>
              <w:keepLines/>
              <w:widowControl/>
              <w:autoSpaceDE/>
              <w:autoSpaceDN/>
              <w:adjustRightInd/>
              <w:spacing w:after="120"/>
              <w:jc w:val="right"/>
              <w:rPr>
                <w:iCs/>
                <w:sz w:val="22"/>
                <w:szCs w:val="22"/>
              </w:rPr>
            </w:pPr>
            <w:r w:rsidRPr="005B6EB1">
              <w:rPr>
                <w:iCs/>
                <w:sz w:val="22"/>
                <w:szCs w:val="22"/>
              </w:rPr>
              <w:t>4,564</w:t>
            </w:r>
          </w:p>
        </w:tc>
        <w:tc>
          <w:tcPr>
            <w:tcW w:w="1441" w:type="dxa"/>
            <w:tcBorders>
              <w:top w:val="single" w:sz="18" w:space="0" w:color="auto"/>
              <w:bottom w:val="single" w:sz="2" w:space="0" w:color="auto"/>
              <w:right w:val="single" w:sz="2" w:space="0" w:color="auto"/>
            </w:tcBorders>
          </w:tcPr>
          <w:p w:rsidR="0039070C" w:rsidP="0039070C" w14:paraId="0AE22AB3" w14:textId="77777777">
            <w:pPr>
              <w:keepNext/>
              <w:keepLines/>
              <w:widowControl/>
              <w:autoSpaceDE/>
              <w:autoSpaceDN/>
              <w:adjustRightInd/>
              <w:jc w:val="right"/>
              <w:rPr>
                <w:iCs/>
                <w:sz w:val="22"/>
                <w:szCs w:val="22"/>
              </w:rPr>
            </w:pPr>
          </w:p>
          <w:p w:rsidR="00C86A66" w:rsidRPr="005B6EB1" w:rsidP="00263B1F" w14:paraId="642973EF" w14:textId="288ED731">
            <w:pPr>
              <w:keepNext/>
              <w:keepLines/>
              <w:widowControl/>
              <w:autoSpaceDE/>
              <w:autoSpaceDN/>
              <w:adjustRightInd/>
              <w:jc w:val="right"/>
              <w:rPr>
                <w:sz w:val="22"/>
                <w:szCs w:val="22"/>
              </w:rPr>
            </w:pPr>
            <w:r w:rsidRPr="005B6EB1">
              <w:rPr>
                <w:iCs/>
                <w:sz w:val="22"/>
                <w:szCs w:val="22"/>
              </w:rPr>
              <w:t>18,758</w:t>
            </w:r>
          </w:p>
        </w:tc>
        <w:tc>
          <w:tcPr>
            <w:tcW w:w="1439" w:type="dxa"/>
            <w:tcBorders>
              <w:top w:val="single" w:sz="18" w:space="0" w:color="auto"/>
              <w:bottom w:val="single" w:sz="2" w:space="0" w:color="auto"/>
              <w:right w:val="single" w:sz="2" w:space="0" w:color="auto"/>
            </w:tcBorders>
          </w:tcPr>
          <w:p w:rsidR="00C86A66" w:rsidRPr="005B6EB1" w14:paraId="19C94FF7" w14:textId="6718BF1F">
            <w:pPr>
              <w:keepNext/>
              <w:keepLines/>
              <w:widowControl/>
              <w:autoSpaceDE/>
              <w:autoSpaceDN/>
              <w:adjustRightInd/>
              <w:jc w:val="right"/>
              <w:rPr>
                <w:iCs/>
                <w:sz w:val="22"/>
                <w:szCs w:val="22"/>
              </w:rPr>
            </w:pPr>
            <w:r w:rsidRPr="005B6EB1">
              <w:rPr>
                <w:iCs/>
                <w:sz w:val="22"/>
                <w:szCs w:val="22"/>
              </w:rPr>
              <w:br/>
            </w:r>
            <w:r w:rsidRPr="005B6EB1" w:rsidR="00ED5D24">
              <w:rPr>
                <w:iCs/>
                <w:sz w:val="22"/>
                <w:szCs w:val="22"/>
              </w:rPr>
              <w:t>7,774</w:t>
            </w:r>
          </w:p>
        </w:tc>
      </w:tr>
      <w:tr w14:paraId="0055BA50" w14:textId="5B0D8913" w:rsidTr="00263B1F">
        <w:tblPrEx>
          <w:tblW w:w="4908" w:type="pct"/>
          <w:tblInd w:w="355" w:type="dxa"/>
          <w:tblLayout w:type="fixed"/>
          <w:tblLook w:val="04A0"/>
        </w:tblPrEx>
        <w:trPr>
          <w:trHeight w:val="539"/>
        </w:trPr>
        <w:tc>
          <w:tcPr>
            <w:tcW w:w="3151" w:type="dxa"/>
            <w:tcBorders>
              <w:top w:val="single" w:sz="2" w:space="0" w:color="auto"/>
              <w:left w:val="single" w:sz="2" w:space="0" w:color="auto"/>
              <w:bottom w:val="single" w:sz="18" w:space="0" w:color="auto"/>
              <w:right w:val="single" w:sz="18" w:space="0" w:color="auto"/>
            </w:tcBorders>
            <w:shd w:val="clear" w:color="auto" w:fill="auto"/>
            <w:noWrap/>
            <w:vAlign w:val="center"/>
          </w:tcPr>
          <w:p w:rsidR="00C86A66" w:rsidRPr="005B6EB1" w:rsidP="00E35CFD" w14:paraId="432E79A6" w14:textId="2AA0D004">
            <w:pPr>
              <w:keepNext/>
              <w:keepLines/>
              <w:widowControl/>
              <w:autoSpaceDE/>
              <w:autoSpaceDN/>
              <w:adjustRightInd/>
              <w:rPr>
                <w:sz w:val="22"/>
                <w:szCs w:val="22"/>
              </w:rPr>
            </w:pPr>
            <w:r w:rsidRPr="005B6EB1">
              <w:rPr>
                <w:sz w:val="22"/>
                <w:szCs w:val="22"/>
              </w:rPr>
              <w:t>Number of Training Locations (Responses)</w:t>
            </w:r>
          </w:p>
        </w:tc>
        <w:tc>
          <w:tcPr>
            <w:tcW w:w="1440" w:type="dxa"/>
            <w:tcBorders>
              <w:top w:val="single" w:sz="2" w:space="0" w:color="auto"/>
              <w:left w:val="single" w:sz="2" w:space="0" w:color="auto"/>
              <w:bottom w:val="single" w:sz="18" w:space="0" w:color="auto"/>
              <w:right w:val="single" w:sz="2" w:space="0" w:color="auto"/>
            </w:tcBorders>
          </w:tcPr>
          <w:p w:rsidR="00C86A66" w:rsidRPr="005B6EB1" w:rsidP="000E1D35" w14:paraId="1716AD65" w14:textId="7F80EA34">
            <w:pPr>
              <w:keepNext/>
              <w:keepLines/>
              <w:widowControl/>
              <w:autoSpaceDE/>
              <w:autoSpaceDN/>
              <w:adjustRightInd/>
              <w:jc w:val="right"/>
              <w:rPr>
                <w:sz w:val="22"/>
                <w:szCs w:val="22"/>
              </w:rPr>
            </w:pPr>
            <w:r w:rsidRPr="005B6EB1">
              <w:rPr>
                <w:sz w:val="22"/>
                <w:szCs w:val="22"/>
              </w:rPr>
              <w:br/>
            </w:r>
            <w:r w:rsidRPr="005B6EB1" w:rsidR="00ED5D24">
              <w:rPr>
                <w:sz w:val="22"/>
                <w:szCs w:val="22"/>
              </w:rPr>
              <w:t>0</w:t>
            </w:r>
          </w:p>
        </w:tc>
        <w:tc>
          <w:tcPr>
            <w:tcW w:w="1709" w:type="dxa"/>
            <w:tcBorders>
              <w:top w:val="single" w:sz="2" w:space="0" w:color="auto"/>
              <w:left w:val="single" w:sz="2" w:space="0" w:color="auto"/>
              <w:bottom w:val="single" w:sz="18" w:space="0" w:color="auto"/>
              <w:right w:val="single" w:sz="2" w:space="0" w:color="auto"/>
            </w:tcBorders>
          </w:tcPr>
          <w:p w:rsidR="00C86A66" w:rsidRPr="005B6EB1" w:rsidP="005A3315" w14:paraId="68FDBF53" w14:textId="0FA5CF92">
            <w:pPr>
              <w:keepNext/>
              <w:keepLines/>
              <w:widowControl/>
              <w:autoSpaceDE/>
              <w:autoSpaceDN/>
              <w:adjustRightInd/>
              <w:jc w:val="right"/>
              <w:rPr>
                <w:sz w:val="22"/>
                <w:szCs w:val="22"/>
              </w:rPr>
            </w:pPr>
            <w:r w:rsidRPr="005B6EB1">
              <w:rPr>
                <w:sz w:val="22"/>
                <w:szCs w:val="22"/>
              </w:rPr>
              <w:br/>
              <w:t>6,676</w:t>
            </w:r>
          </w:p>
        </w:tc>
        <w:tc>
          <w:tcPr>
            <w:tcW w:w="1441" w:type="dxa"/>
            <w:tcBorders>
              <w:top w:val="single" w:sz="2" w:space="0" w:color="auto"/>
              <w:left w:val="single" w:sz="2" w:space="0" w:color="auto"/>
              <w:bottom w:val="single" w:sz="18" w:space="0" w:color="auto"/>
              <w:right w:val="single" w:sz="2" w:space="0" w:color="auto"/>
            </w:tcBorders>
          </w:tcPr>
          <w:p w:rsidR="0039070C" w:rsidP="0039070C" w14:paraId="1BCDC270" w14:textId="77777777">
            <w:pPr>
              <w:keepNext/>
              <w:keepLines/>
              <w:widowControl/>
              <w:autoSpaceDE/>
              <w:autoSpaceDN/>
              <w:adjustRightInd/>
              <w:jc w:val="right"/>
              <w:rPr>
                <w:sz w:val="22"/>
                <w:szCs w:val="22"/>
              </w:rPr>
            </w:pPr>
          </w:p>
          <w:p w:rsidR="0039070C" w:rsidRPr="005B6EB1" w:rsidP="0039070C" w14:paraId="69A1D42D" w14:textId="3FA8F437">
            <w:pPr>
              <w:keepNext/>
              <w:keepLines/>
              <w:widowControl/>
              <w:autoSpaceDE/>
              <w:autoSpaceDN/>
              <w:adjustRightInd/>
              <w:jc w:val="right"/>
              <w:rPr>
                <w:sz w:val="22"/>
                <w:szCs w:val="22"/>
              </w:rPr>
            </w:pPr>
            <w:r w:rsidRPr="005B6EB1">
              <w:rPr>
                <w:sz w:val="22"/>
                <w:szCs w:val="22"/>
              </w:rPr>
              <w:t>30,530</w:t>
            </w:r>
          </w:p>
        </w:tc>
        <w:tc>
          <w:tcPr>
            <w:tcW w:w="1439" w:type="dxa"/>
            <w:tcBorders>
              <w:top w:val="single" w:sz="2" w:space="0" w:color="auto"/>
              <w:left w:val="single" w:sz="2" w:space="0" w:color="auto"/>
              <w:bottom w:val="single" w:sz="18" w:space="0" w:color="auto"/>
              <w:right w:val="single" w:sz="2" w:space="0" w:color="auto"/>
            </w:tcBorders>
          </w:tcPr>
          <w:p w:rsidR="00C86A66" w:rsidRPr="005B6EB1" w:rsidP="005A3315" w14:paraId="31508FA5" w14:textId="3B68F31C">
            <w:pPr>
              <w:keepNext/>
              <w:keepLines/>
              <w:widowControl/>
              <w:autoSpaceDE/>
              <w:autoSpaceDN/>
              <w:adjustRightInd/>
              <w:jc w:val="right"/>
              <w:rPr>
                <w:sz w:val="22"/>
                <w:szCs w:val="22"/>
              </w:rPr>
            </w:pPr>
            <w:r w:rsidRPr="005B6EB1">
              <w:rPr>
                <w:sz w:val="22"/>
                <w:szCs w:val="22"/>
              </w:rPr>
              <w:br/>
            </w:r>
            <w:r w:rsidRPr="005B6EB1" w:rsidR="00ED5D24">
              <w:rPr>
                <w:sz w:val="22"/>
                <w:szCs w:val="22"/>
              </w:rPr>
              <w:t>12,402</w:t>
            </w:r>
          </w:p>
        </w:tc>
      </w:tr>
    </w:tbl>
    <w:p w:rsidR="008E17F2" w:rsidRPr="005B6EB1" w:rsidP="003857A2" w14:paraId="55BB7F0E" w14:textId="198A04DB">
      <w:pPr>
        <w:tabs>
          <w:tab w:val="left" w:pos="360"/>
        </w:tabs>
        <w:ind w:left="360"/>
      </w:pPr>
      <w:r w:rsidRPr="005B6EB1">
        <w:rPr>
          <w:b/>
          <w:sz w:val="18"/>
          <w:szCs w:val="18"/>
        </w:rPr>
        <w:t>Source</w:t>
      </w:r>
      <w:r w:rsidRPr="005B6EB1">
        <w:rPr>
          <w:sz w:val="18"/>
          <w:szCs w:val="18"/>
        </w:rPr>
        <w:t xml:space="preserve">:  </w:t>
      </w:r>
      <w:r w:rsidRPr="005B6EB1" w:rsidR="003857A2">
        <w:rPr>
          <w:i/>
          <w:sz w:val="18"/>
          <w:szCs w:val="18"/>
        </w:rPr>
        <w:t>https://tpr.fmcsa.dot.gov/</w:t>
      </w:r>
    </w:p>
    <w:p w:rsidR="003857A2" w:rsidRPr="005B6EB1" w:rsidP="00400696" w14:paraId="1E6AFFBD" w14:textId="77777777">
      <w:pPr>
        <w:tabs>
          <w:tab w:val="left" w:pos="360"/>
        </w:tabs>
        <w:ind w:left="360"/>
        <w:rPr>
          <w:bCs/>
          <w:szCs w:val="24"/>
        </w:rPr>
      </w:pPr>
    </w:p>
    <w:p w:rsidR="007743A2" w:rsidRPr="005B6EB1" w:rsidP="00400696" w14:paraId="15063194" w14:textId="55A5B47E">
      <w:pPr>
        <w:tabs>
          <w:tab w:val="left" w:pos="360"/>
        </w:tabs>
        <w:ind w:left="360"/>
        <w:rPr>
          <w:bCs/>
          <w:szCs w:val="24"/>
        </w:rPr>
      </w:pPr>
      <w:r w:rsidRPr="005B6EB1">
        <w:rPr>
          <w:bCs/>
          <w:szCs w:val="24"/>
        </w:rPr>
        <w:t>For the three</w:t>
      </w:r>
      <w:r w:rsidRPr="005B6EB1" w:rsidR="00EE315A">
        <w:rPr>
          <w:bCs/>
          <w:szCs w:val="24"/>
        </w:rPr>
        <w:t>-</w:t>
      </w:r>
      <w:r w:rsidRPr="005B6EB1">
        <w:rPr>
          <w:bCs/>
          <w:szCs w:val="24"/>
        </w:rPr>
        <w:t>year period</w:t>
      </w:r>
      <w:r w:rsidRPr="005B6EB1" w:rsidR="00CA4736">
        <w:rPr>
          <w:bCs/>
          <w:szCs w:val="24"/>
        </w:rPr>
        <w:t xml:space="preserve"> covered by this ICR (2023-2025)</w:t>
      </w:r>
      <w:r w:rsidRPr="005B6EB1">
        <w:rPr>
          <w:bCs/>
          <w:szCs w:val="24"/>
        </w:rPr>
        <w:t>, it is assumed that the number of training providers and training locations</w:t>
      </w:r>
      <w:r w:rsidR="004202BF">
        <w:rPr>
          <w:bCs/>
          <w:szCs w:val="24"/>
        </w:rPr>
        <w:t xml:space="preserve"> will</w:t>
      </w:r>
      <w:r w:rsidRPr="005B6EB1">
        <w:rPr>
          <w:bCs/>
          <w:szCs w:val="24"/>
        </w:rPr>
        <w:t xml:space="preserve"> </w:t>
      </w:r>
      <w:r w:rsidR="00F81C71">
        <w:rPr>
          <w:bCs/>
          <w:szCs w:val="24"/>
        </w:rPr>
        <w:t>be more accurate than is currently reported</w:t>
      </w:r>
      <w:r w:rsidRPr="005B6EB1">
        <w:rPr>
          <w:bCs/>
          <w:szCs w:val="24"/>
        </w:rPr>
        <w:t xml:space="preserve">. </w:t>
      </w:r>
      <w:r w:rsidRPr="005B6EB1" w:rsidR="00F87E9B">
        <w:rPr>
          <w:bCs/>
          <w:szCs w:val="24"/>
        </w:rPr>
        <w:t xml:space="preserve">It is </w:t>
      </w:r>
      <w:r w:rsidR="004202BF">
        <w:rPr>
          <w:bCs/>
          <w:szCs w:val="24"/>
        </w:rPr>
        <w:t>recognized that the current data is an overestimate</w:t>
      </w:r>
      <w:r w:rsidR="00263B1F">
        <w:rPr>
          <w:bCs/>
          <w:szCs w:val="24"/>
        </w:rPr>
        <w:t>, as it reflects all training providers who were required to register as the requirement was first implemented;</w:t>
      </w:r>
      <w:r w:rsidR="004202BF">
        <w:rPr>
          <w:bCs/>
          <w:szCs w:val="24"/>
        </w:rPr>
        <w:t xml:space="preserve"> FMCSA </w:t>
      </w:r>
      <w:r w:rsidRPr="005B6EB1" w:rsidR="00F87E9B">
        <w:rPr>
          <w:bCs/>
          <w:szCs w:val="24"/>
        </w:rPr>
        <w:t>anticipate</w:t>
      </w:r>
      <w:r w:rsidR="004202BF">
        <w:rPr>
          <w:bCs/>
          <w:szCs w:val="24"/>
        </w:rPr>
        <w:t>s</w:t>
      </w:r>
      <w:r w:rsidRPr="005B6EB1" w:rsidR="00F87E9B">
        <w:rPr>
          <w:bCs/>
          <w:szCs w:val="24"/>
        </w:rPr>
        <w:t xml:space="preserve"> that in the future, after the TPR has been in operation</w:t>
      </w:r>
      <w:r w:rsidRPr="005B6EB1" w:rsidR="00CA4736">
        <w:rPr>
          <w:bCs/>
          <w:szCs w:val="24"/>
        </w:rPr>
        <w:t xml:space="preserve"> for a full approval cycle</w:t>
      </w:r>
      <w:r w:rsidRPr="005B6EB1" w:rsidR="00F87E9B">
        <w:rPr>
          <w:bCs/>
          <w:szCs w:val="24"/>
        </w:rPr>
        <w:t xml:space="preserve">, the Agency will be able to use </w:t>
      </w:r>
      <w:r w:rsidRPr="005B6EB1" w:rsidR="00D5529D">
        <w:rPr>
          <w:bCs/>
          <w:szCs w:val="24"/>
        </w:rPr>
        <w:t>an average</w:t>
      </w:r>
      <w:r w:rsidRPr="005B6EB1" w:rsidR="00F87E9B">
        <w:rPr>
          <w:bCs/>
          <w:szCs w:val="24"/>
        </w:rPr>
        <w:t xml:space="preserve"> </w:t>
      </w:r>
      <w:r w:rsidRPr="005B6EB1" w:rsidR="00E91EC6">
        <w:rPr>
          <w:bCs/>
          <w:szCs w:val="24"/>
        </w:rPr>
        <w:t xml:space="preserve">based on actual </w:t>
      </w:r>
      <w:r w:rsidRPr="005B6EB1" w:rsidR="00C86A66">
        <w:rPr>
          <w:bCs/>
          <w:szCs w:val="24"/>
        </w:rPr>
        <w:t xml:space="preserve">annual data </w:t>
      </w:r>
      <w:r w:rsidRPr="005B6EB1" w:rsidR="00F87E9B">
        <w:rPr>
          <w:bCs/>
          <w:szCs w:val="24"/>
        </w:rPr>
        <w:t xml:space="preserve">from </w:t>
      </w:r>
      <w:r w:rsidRPr="005B6EB1" w:rsidR="00CA4736">
        <w:rPr>
          <w:bCs/>
          <w:szCs w:val="24"/>
        </w:rPr>
        <w:t xml:space="preserve">the 3-year </w:t>
      </w:r>
      <w:r w:rsidRPr="005B6EB1" w:rsidR="00F87E9B">
        <w:rPr>
          <w:bCs/>
          <w:szCs w:val="24"/>
        </w:rPr>
        <w:t xml:space="preserve">training provider registrations </w:t>
      </w:r>
      <w:r w:rsidR="00263B1F">
        <w:rPr>
          <w:bCs/>
          <w:szCs w:val="24"/>
        </w:rPr>
        <w:t>submitted to</w:t>
      </w:r>
      <w:r w:rsidRPr="005B6EB1" w:rsidR="00F87E9B">
        <w:rPr>
          <w:bCs/>
          <w:szCs w:val="24"/>
        </w:rPr>
        <w:t xml:space="preserve"> the TPR to </w:t>
      </w:r>
      <w:r w:rsidRPr="005B6EB1">
        <w:rPr>
          <w:bCs/>
          <w:szCs w:val="24"/>
        </w:rPr>
        <w:t>refine these estimates of the po</w:t>
      </w:r>
      <w:r w:rsidRPr="005B6EB1" w:rsidR="00EB3FE4">
        <w:rPr>
          <w:bCs/>
          <w:szCs w:val="24"/>
        </w:rPr>
        <w:t>pulation of training providers i</w:t>
      </w:r>
      <w:r w:rsidRPr="005B6EB1">
        <w:rPr>
          <w:bCs/>
          <w:szCs w:val="24"/>
        </w:rPr>
        <w:t>n conjunction with future renewal of this ICR.</w:t>
      </w:r>
    </w:p>
    <w:p w:rsidR="006A759B" w:rsidRPr="005B6EB1" w:rsidP="00D44D2D" w14:paraId="4BD845C5" w14:textId="77777777">
      <w:pPr>
        <w:tabs>
          <w:tab w:val="left" w:pos="360"/>
        </w:tabs>
        <w:ind w:left="360"/>
        <w:rPr>
          <w:szCs w:val="24"/>
        </w:rPr>
      </w:pPr>
    </w:p>
    <w:p w:rsidR="00D51230" w:rsidRPr="005B6EB1" w:rsidP="00C52B98" w14:paraId="74ADCAB8" w14:textId="465ECC54">
      <w:pPr>
        <w:tabs>
          <w:tab w:val="left" w:pos="360"/>
        </w:tabs>
        <w:ind w:left="360"/>
        <w:rPr>
          <w:szCs w:val="24"/>
        </w:rPr>
      </w:pPr>
      <w:r w:rsidRPr="005B6EB1">
        <w:rPr>
          <w:szCs w:val="24"/>
        </w:rPr>
        <w:t xml:space="preserve">The </w:t>
      </w:r>
      <w:r w:rsidRPr="005B6EB1" w:rsidR="003E67D0">
        <w:rPr>
          <w:szCs w:val="24"/>
        </w:rPr>
        <w:t xml:space="preserve">actual </w:t>
      </w:r>
      <w:r w:rsidRPr="005B6EB1" w:rsidR="009D02BA">
        <w:rPr>
          <w:szCs w:val="24"/>
        </w:rPr>
        <w:t>population of</w:t>
      </w:r>
      <w:r w:rsidRPr="005B6EB1" w:rsidR="00727E7B">
        <w:rPr>
          <w:szCs w:val="24"/>
        </w:rPr>
        <w:t xml:space="preserve"> training provider organizations</w:t>
      </w:r>
      <w:r w:rsidRPr="005B6EB1" w:rsidR="009D02BA">
        <w:rPr>
          <w:szCs w:val="24"/>
        </w:rPr>
        <w:t xml:space="preserve"> and training provider locations presented </w:t>
      </w:r>
      <w:r w:rsidRPr="005B6EB1" w:rsidR="00D24597">
        <w:rPr>
          <w:szCs w:val="24"/>
        </w:rPr>
        <w:t xml:space="preserve">in </w:t>
      </w:r>
      <w:r w:rsidRPr="005B6EB1" w:rsidR="00F4292F">
        <w:rPr>
          <w:szCs w:val="24"/>
        </w:rPr>
        <w:t xml:space="preserve">Table </w:t>
      </w:r>
      <w:r w:rsidRPr="005B6EB1" w:rsidR="00CA4736">
        <w:rPr>
          <w:szCs w:val="24"/>
        </w:rPr>
        <w:t>1</w:t>
      </w:r>
      <w:r w:rsidRPr="005B6EB1">
        <w:rPr>
          <w:szCs w:val="24"/>
        </w:rPr>
        <w:t xml:space="preserve"> form the basis for estimating the number of </w:t>
      </w:r>
      <w:r w:rsidRPr="005B6EB1" w:rsidR="00D44D2D">
        <w:rPr>
          <w:szCs w:val="24"/>
        </w:rPr>
        <w:t xml:space="preserve">respondents, the number of responses, and the hour burden </w:t>
      </w:r>
      <w:r w:rsidRPr="005B6EB1" w:rsidR="00D5529D">
        <w:rPr>
          <w:szCs w:val="24"/>
        </w:rPr>
        <w:t>per</w:t>
      </w:r>
      <w:r w:rsidRPr="005B6EB1" w:rsidR="00D44D2D">
        <w:rPr>
          <w:szCs w:val="24"/>
        </w:rPr>
        <w:t xml:space="preserve"> year. </w:t>
      </w:r>
      <w:r w:rsidRPr="005B6EB1" w:rsidR="004932B6">
        <w:t>Training provider registration information will be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w:t>
      </w:r>
      <w:r w:rsidRPr="005B6EB1" w:rsidR="008F120E">
        <w:rPr>
          <w:szCs w:val="24"/>
        </w:rPr>
        <w:t xml:space="preserve"> </w:t>
      </w:r>
      <w:r w:rsidRPr="005B6EB1">
        <w:rPr>
          <w:szCs w:val="24"/>
        </w:rPr>
        <w:t xml:space="preserve">Therefore, in any given year, training providers may be impacted by </w:t>
      </w:r>
      <w:r w:rsidRPr="005B6EB1" w:rsidR="009D02BA">
        <w:rPr>
          <w:szCs w:val="24"/>
        </w:rPr>
        <w:t xml:space="preserve">one or more </w:t>
      </w:r>
      <w:r w:rsidRPr="005B6EB1" w:rsidR="00383A69">
        <w:rPr>
          <w:szCs w:val="24"/>
        </w:rPr>
        <w:t xml:space="preserve">of three different types of </w:t>
      </w:r>
      <w:r w:rsidRPr="005B6EB1">
        <w:rPr>
          <w:szCs w:val="24"/>
        </w:rPr>
        <w:t xml:space="preserve">information </w:t>
      </w:r>
      <w:r w:rsidRPr="005B6EB1" w:rsidR="00B173D6">
        <w:rPr>
          <w:szCs w:val="24"/>
        </w:rPr>
        <w:t>collection activities under IC-</w:t>
      </w:r>
      <w:r w:rsidRPr="005B6EB1" w:rsidR="00CA4736">
        <w:rPr>
          <w:szCs w:val="24"/>
        </w:rPr>
        <w:t>1</w:t>
      </w:r>
      <w:r w:rsidRPr="005B6EB1">
        <w:rPr>
          <w:szCs w:val="24"/>
        </w:rPr>
        <w:t xml:space="preserve">, </w:t>
      </w:r>
      <w:r w:rsidRPr="005B6EB1">
        <w:t>for each separate training location at which they provide trainin</w:t>
      </w:r>
      <w:r w:rsidRPr="005B6EB1" w:rsidR="00383A69">
        <w:rPr>
          <w:szCs w:val="24"/>
        </w:rPr>
        <w:t>g. These three activities, and their estimated hour burden per response, are:</w:t>
      </w:r>
    </w:p>
    <w:p w:rsidR="00E94F1B" w:rsidRPr="005B6EB1" w:rsidP="00E94F1B" w14:paraId="4A46F4D2" w14:textId="012D23D3">
      <w:pPr>
        <w:numPr>
          <w:ilvl w:val="0"/>
          <w:numId w:val="35"/>
        </w:numPr>
        <w:tabs>
          <w:tab w:val="left" w:pos="360"/>
        </w:tabs>
        <w:rPr>
          <w:szCs w:val="24"/>
        </w:rPr>
      </w:pPr>
      <w:r w:rsidRPr="005B6EB1">
        <w:rPr>
          <w:szCs w:val="24"/>
        </w:rPr>
        <w:t>New first-time registration</w:t>
      </w:r>
      <w:r w:rsidRPr="005B6EB1" w:rsidR="009D02BA">
        <w:rPr>
          <w:szCs w:val="24"/>
        </w:rPr>
        <w:t xml:space="preserve"> </w:t>
      </w:r>
      <w:r w:rsidRPr="005B6EB1" w:rsidR="00E66C39">
        <w:rPr>
          <w:szCs w:val="24"/>
        </w:rPr>
        <w:t xml:space="preserve">on </w:t>
      </w:r>
      <w:r w:rsidRPr="005B6EB1" w:rsidR="009D02BA">
        <w:rPr>
          <w:szCs w:val="24"/>
        </w:rPr>
        <w:t>the TPR</w:t>
      </w:r>
      <w:r w:rsidRPr="005B6EB1">
        <w:rPr>
          <w:szCs w:val="24"/>
        </w:rPr>
        <w:t>: 2 hours</w:t>
      </w:r>
    </w:p>
    <w:p w:rsidR="00E94F1B" w:rsidRPr="005B6EB1" w:rsidP="00E94F1B" w14:paraId="1F2AFF6C" w14:textId="3BC3F3A0">
      <w:pPr>
        <w:numPr>
          <w:ilvl w:val="0"/>
          <w:numId w:val="35"/>
        </w:numPr>
        <w:tabs>
          <w:tab w:val="left" w:pos="360"/>
        </w:tabs>
        <w:rPr>
          <w:szCs w:val="24"/>
        </w:rPr>
      </w:pPr>
      <w:r w:rsidRPr="005B6EB1">
        <w:rPr>
          <w:szCs w:val="24"/>
        </w:rPr>
        <w:t>Biennial update of existing registration</w:t>
      </w:r>
      <w:r w:rsidRPr="005B6EB1" w:rsidR="009D02BA">
        <w:rPr>
          <w:szCs w:val="24"/>
        </w:rPr>
        <w:t xml:space="preserve"> </w:t>
      </w:r>
      <w:r w:rsidRPr="005B6EB1" w:rsidR="00E66C39">
        <w:rPr>
          <w:szCs w:val="24"/>
        </w:rPr>
        <w:t>on</w:t>
      </w:r>
      <w:r w:rsidRPr="005B6EB1" w:rsidR="009D02BA">
        <w:rPr>
          <w:szCs w:val="24"/>
        </w:rPr>
        <w:t xml:space="preserve"> the TPR</w:t>
      </w:r>
      <w:r w:rsidRPr="005B6EB1">
        <w:rPr>
          <w:szCs w:val="24"/>
        </w:rPr>
        <w:t xml:space="preserve">: </w:t>
      </w:r>
      <w:r w:rsidRPr="005B6EB1" w:rsidR="00383A69">
        <w:rPr>
          <w:szCs w:val="24"/>
        </w:rPr>
        <w:t>0.75 hour (</w:t>
      </w:r>
      <w:r w:rsidRPr="005B6EB1">
        <w:rPr>
          <w:szCs w:val="24"/>
        </w:rPr>
        <w:t>45 minutes</w:t>
      </w:r>
      <w:r w:rsidRPr="005B6EB1" w:rsidR="00383A69">
        <w:rPr>
          <w:szCs w:val="24"/>
        </w:rPr>
        <w:t>)</w:t>
      </w:r>
    </w:p>
    <w:p w:rsidR="00E94F1B" w:rsidRPr="005B6EB1" w:rsidP="00E94F1B" w14:paraId="4F9591A0" w14:textId="67660DC7">
      <w:pPr>
        <w:numPr>
          <w:ilvl w:val="0"/>
          <w:numId w:val="35"/>
        </w:numPr>
        <w:tabs>
          <w:tab w:val="left" w:pos="360"/>
        </w:tabs>
        <w:rPr>
          <w:szCs w:val="24"/>
        </w:rPr>
      </w:pPr>
      <w:r w:rsidRPr="005B6EB1">
        <w:rPr>
          <w:szCs w:val="24"/>
        </w:rPr>
        <w:t xml:space="preserve">Update of existing registration due to change(s) to key information: </w:t>
      </w:r>
      <w:r w:rsidRPr="005B6EB1" w:rsidR="00383A69">
        <w:rPr>
          <w:szCs w:val="24"/>
        </w:rPr>
        <w:t>0.25 hour (</w:t>
      </w:r>
      <w:r w:rsidRPr="005B6EB1" w:rsidR="00241776">
        <w:rPr>
          <w:szCs w:val="24"/>
        </w:rPr>
        <w:t>15</w:t>
      </w:r>
      <w:r w:rsidRPr="005B6EB1">
        <w:rPr>
          <w:szCs w:val="24"/>
        </w:rPr>
        <w:t xml:space="preserve"> </w:t>
      </w:r>
      <w:r w:rsidRPr="005B6EB1">
        <w:rPr>
          <w:szCs w:val="24"/>
        </w:rPr>
        <w:t>minutes</w:t>
      </w:r>
      <w:r w:rsidRPr="005B6EB1" w:rsidR="00383A69">
        <w:rPr>
          <w:szCs w:val="24"/>
        </w:rPr>
        <w:t>)</w:t>
      </w:r>
    </w:p>
    <w:p w:rsidR="00E66C39" w:rsidRPr="005B6EB1" w:rsidP="00C52B98" w14:paraId="0477AB64" w14:textId="5F3DD0D9">
      <w:pPr>
        <w:tabs>
          <w:tab w:val="left" w:pos="360"/>
        </w:tabs>
        <w:ind w:left="360"/>
        <w:rPr>
          <w:szCs w:val="24"/>
        </w:rPr>
      </w:pPr>
      <w:r w:rsidRPr="005B6EB1">
        <w:rPr>
          <w:szCs w:val="24"/>
        </w:rPr>
        <w:t xml:space="preserve">The estimates of the hour burden per response for new first-time registration on the TPR (2 hours), for biennial update of an </w:t>
      </w:r>
      <w:r w:rsidRPr="005B6EB1" w:rsidR="00565E1E">
        <w:rPr>
          <w:szCs w:val="24"/>
        </w:rPr>
        <w:t>existing registration o</w:t>
      </w:r>
      <w:r w:rsidRPr="005B6EB1">
        <w:rPr>
          <w:szCs w:val="24"/>
        </w:rPr>
        <w:t>n the TPR</w:t>
      </w:r>
      <w:r w:rsidRPr="005B6EB1" w:rsidR="00F32090">
        <w:rPr>
          <w:szCs w:val="24"/>
        </w:rPr>
        <w:t xml:space="preserve"> (45 minutes)</w:t>
      </w:r>
      <w:r w:rsidRPr="005B6EB1" w:rsidR="00500F5F">
        <w:rPr>
          <w:szCs w:val="24"/>
        </w:rPr>
        <w:t>,</w:t>
      </w:r>
      <w:r w:rsidRPr="005B6EB1" w:rsidR="00F32090">
        <w:rPr>
          <w:szCs w:val="24"/>
        </w:rPr>
        <w:t xml:space="preserve"> </w:t>
      </w:r>
      <w:r w:rsidRPr="005B6EB1" w:rsidR="003E67D0">
        <w:rPr>
          <w:bCs/>
          <w:szCs w:val="24"/>
        </w:rPr>
        <w:t xml:space="preserve">and </w:t>
      </w:r>
      <w:r w:rsidRPr="005B6EB1" w:rsidR="00AF7C3D">
        <w:rPr>
          <w:bCs/>
          <w:szCs w:val="24"/>
        </w:rPr>
        <w:t>for “</w:t>
      </w:r>
      <w:r w:rsidRPr="005B6EB1" w:rsidR="00AF7C3D">
        <w:rPr>
          <w:szCs w:val="24"/>
        </w:rPr>
        <w:t xml:space="preserve">update of existing registration due to change(s) to key information” </w:t>
      </w:r>
      <w:r w:rsidR="00263B1F">
        <w:rPr>
          <w:szCs w:val="24"/>
        </w:rPr>
        <w:t xml:space="preserve">(15 minutes) </w:t>
      </w:r>
      <w:r w:rsidRPr="005B6EB1" w:rsidR="003E67D0">
        <w:rPr>
          <w:szCs w:val="24"/>
        </w:rPr>
        <w:t>remain unchanged from the previous ICR for this collection</w:t>
      </w:r>
      <w:r w:rsidRPr="005B6EB1" w:rsidR="00AF7C3D">
        <w:rPr>
          <w:szCs w:val="24"/>
        </w:rPr>
        <w:t>.</w:t>
      </w:r>
    </w:p>
    <w:p w:rsidR="00E66C39" w:rsidRPr="005B6EB1" w:rsidP="00145EF4" w14:paraId="7DF6D864" w14:textId="77777777">
      <w:pPr>
        <w:tabs>
          <w:tab w:val="left" w:pos="360"/>
        </w:tabs>
        <w:ind w:left="360"/>
        <w:rPr>
          <w:szCs w:val="24"/>
        </w:rPr>
      </w:pPr>
    </w:p>
    <w:p w:rsidR="009D02BA" w:rsidRPr="005B6EB1" w:rsidP="00126876" w14:paraId="01D875F5" w14:textId="3C8B0F8A">
      <w:pPr>
        <w:tabs>
          <w:tab w:val="left" w:pos="360"/>
        </w:tabs>
        <w:ind w:left="360"/>
        <w:rPr>
          <w:szCs w:val="24"/>
        </w:rPr>
      </w:pPr>
      <w:r w:rsidRPr="005B6EB1">
        <w:rPr>
          <w:szCs w:val="24"/>
        </w:rPr>
        <w:t xml:space="preserve">Table </w:t>
      </w:r>
      <w:r w:rsidRPr="005B6EB1" w:rsidR="00CA4736">
        <w:rPr>
          <w:szCs w:val="24"/>
        </w:rPr>
        <w:t>2</w:t>
      </w:r>
      <w:r w:rsidRPr="005B6EB1" w:rsidR="00126876">
        <w:rPr>
          <w:szCs w:val="24"/>
        </w:rPr>
        <w:t xml:space="preserve"> presents the estimated </w:t>
      </w:r>
      <w:r w:rsidRPr="005B6EB1" w:rsidR="00C75ED1">
        <w:rPr>
          <w:szCs w:val="24"/>
        </w:rPr>
        <w:t xml:space="preserve">number of responses, by type, </w:t>
      </w:r>
      <w:r w:rsidRPr="005B6EB1" w:rsidR="00B173D6">
        <w:rPr>
          <w:szCs w:val="24"/>
        </w:rPr>
        <w:t>for IC-</w:t>
      </w:r>
      <w:r w:rsidRPr="005B6EB1" w:rsidR="005268E2">
        <w:rPr>
          <w:szCs w:val="24"/>
        </w:rPr>
        <w:t>1</w:t>
      </w:r>
      <w:r w:rsidRPr="005B6EB1" w:rsidR="00126876">
        <w:rPr>
          <w:szCs w:val="24"/>
        </w:rPr>
        <w:t xml:space="preserve">. </w:t>
      </w:r>
      <w:r w:rsidRPr="005B6EB1" w:rsidR="00962525">
        <w:rPr>
          <w:szCs w:val="24"/>
        </w:rPr>
        <w:t xml:space="preserve">It is </w:t>
      </w:r>
      <w:r w:rsidRPr="005B6EB1" w:rsidR="00ED5D24">
        <w:rPr>
          <w:szCs w:val="24"/>
        </w:rPr>
        <w:t xml:space="preserve">estimated </w:t>
      </w:r>
      <w:r w:rsidRPr="005B6EB1" w:rsidR="00962525">
        <w:rPr>
          <w:szCs w:val="24"/>
        </w:rPr>
        <w:t xml:space="preserve">that </w:t>
      </w:r>
      <w:r w:rsidRPr="005B6EB1" w:rsidR="00ED5D24">
        <w:rPr>
          <w:szCs w:val="24"/>
        </w:rPr>
        <w:t xml:space="preserve">annually, </w:t>
      </w:r>
      <w:r w:rsidRPr="005B6EB1" w:rsidR="00551300">
        <w:rPr>
          <w:szCs w:val="24"/>
        </w:rPr>
        <w:t>in 2023</w:t>
      </w:r>
      <w:r w:rsidRPr="005B6EB1" w:rsidR="00ED5D24">
        <w:rPr>
          <w:szCs w:val="24"/>
        </w:rPr>
        <w:t xml:space="preserve">, 2024 and 2025, an average of 7,774 </w:t>
      </w:r>
      <w:r w:rsidRPr="005B6EB1" w:rsidR="003A0F6C">
        <w:rPr>
          <w:szCs w:val="24"/>
        </w:rPr>
        <w:t>training providers will submit a new first-time registration to the TPR</w:t>
      </w:r>
      <w:r w:rsidRPr="005B6EB1" w:rsidR="00C06DD7">
        <w:rPr>
          <w:szCs w:val="24"/>
        </w:rPr>
        <w:t xml:space="preserve"> (See Table 1). </w:t>
      </w:r>
      <w:r w:rsidR="004202BF">
        <w:rPr>
          <w:szCs w:val="24"/>
        </w:rPr>
        <w:t>As was previously stated, FMCSA recognizes that this is an overestimate</w:t>
      </w:r>
      <w:r w:rsidR="00263B1F">
        <w:rPr>
          <w:bCs/>
          <w:szCs w:val="24"/>
        </w:rPr>
        <w:t>, as it reflects all training providers who were required to register as the requirement was first implemented</w:t>
      </w:r>
      <w:r w:rsidR="004202BF">
        <w:rPr>
          <w:szCs w:val="24"/>
        </w:rPr>
        <w:t>.</w:t>
      </w:r>
    </w:p>
    <w:p w:rsidR="009D02BA" w:rsidRPr="005B6EB1" w:rsidP="00126876" w14:paraId="6831F4C5" w14:textId="77777777">
      <w:pPr>
        <w:tabs>
          <w:tab w:val="left" w:pos="360"/>
        </w:tabs>
        <w:ind w:left="360"/>
        <w:rPr>
          <w:szCs w:val="24"/>
        </w:rPr>
      </w:pPr>
    </w:p>
    <w:p w:rsidR="007F207F" w:rsidRPr="005B6EB1" w:rsidP="00126876" w14:paraId="5F880F52" w14:textId="68F7BA7F">
      <w:pPr>
        <w:tabs>
          <w:tab w:val="left" w:pos="360"/>
        </w:tabs>
        <w:ind w:left="360"/>
        <w:rPr>
          <w:szCs w:val="24"/>
        </w:rPr>
      </w:pPr>
      <w:r w:rsidRPr="005B6EB1">
        <w:rPr>
          <w:szCs w:val="24"/>
        </w:rPr>
        <w:t>Next, regarding biennial updates of existing training provider registrations in the TPR, f</w:t>
      </w:r>
      <w:r w:rsidRPr="005B6EB1" w:rsidR="00F91D47">
        <w:rPr>
          <w:szCs w:val="24"/>
        </w:rPr>
        <w:t xml:space="preserve">or </w:t>
      </w:r>
      <w:r w:rsidRPr="005B6EB1" w:rsidR="006F3360">
        <w:rPr>
          <w:szCs w:val="24"/>
        </w:rPr>
        <w:t>202</w:t>
      </w:r>
      <w:r w:rsidRPr="005B6EB1" w:rsidR="00ED5D24">
        <w:rPr>
          <w:szCs w:val="24"/>
        </w:rPr>
        <w:t>3</w:t>
      </w:r>
      <w:r w:rsidRPr="005B6EB1" w:rsidR="006F3360">
        <w:rPr>
          <w:szCs w:val="24"/>
        </w:rPr>
        <w:t xml:space="preserve"> </w:t>
      </w:r>
      <w:r w:rsidRPr="005B6EB1" w:rsidR="00E16FD3">
        <w:rPr>
          <w:szCs w:val="24"/>
        </w:rPr>
        <w:t>there w</w:t>
      </w:r>
      <w:r w:rsidRPr="005B6EB1" w:rsidR="00ED5D24">
        <w:rPr>
          <w:szCs w:val="24"/>
        </w:rPr>
        <w:t>ill be 6,676</w:t>
      </w:r>
      <w:r w:rsidRPr="005B6EB1" w:rsidR="00F91D47">
        <w:rPr>
          <w:szCs w:val="24"/>
        </w:rPr>
        <w:t xml:space="preserve"> biennial updates</w:t>
      </w:r>
      <w:r w:rsidRPr="005B6EB1" w:rsidR="00ED5D24">
        <w:rPr>
          <w:szCs w:val="24"/>
        </w:rPr>
        <w:t>, for 2024 there will be 30,530 biennial updates and for 2025 there will be approximately 19,078 biennial updates</w:t>
      </w:r>
      <w:r w:rsidRPr="005B6EB1" w:rsidR="00F91D47">
        <w:rPr>
          <w:szCs w:val="24"/>
        </w:rPr>
        <w:t xml:space="preserve"> of existing registrations</w:t>
      </w:r>
      <w:r w:rsidRPr="005B6EB1" w:rsidR="00621014">
        <w:rPr>
          <w:szCs w:val="24"/>
        </w:rPr>
        <w:t xml:space="preserve"> (new registrations in 2023 plus biennial updates in 2023)</w:t>
      </w:r>
      <w:r w:rsidRPr="005B6EB1" w:rsidR="00ED5D24">
        <w:rPr>
          <w:szCs w:val="24"/>
        </w:rPr>
        <w:t>, for an average of 18,761 biennial updates annually. These figures were estimated based on the actual registrations for 2021 and 2022, and the estimated new first</w:t>
      </w:r>
      <w:r w:rsidRPr="005B6EB1" w:rsidR="002F3A81">
        <w:rPr>
          <w:szCs w:val="24"/>
        </w:rPr>
        <w:t>-</w:t>
      </w:r>
      <w:r w:rsidRPr="005B6EB1" w:rsidR="00ED5D24">
        <w:rPr>
          <w:szCs w:val="24"/>
        </w:rPr>
        <w:t>time registrations for 2023, 2024 and 2025.</w:t>
      </w:r>
      <w:r w:rsidR="00263B1F">
        <w:rPr>
          <w:szCs w:val="24"/>
        </w:rPr>
        <w:t xml:space="preserve"> As was previously stated, FMCSA recognizes that this is an overestimate</w:t>
      </w:r>
      <w:r w:rsidR="00263B1F">
        <w:rPr>
          <w:bCs/>
          <w:szCs w:val="24"/>
        </w:rPr>
        <w:t>, as it reflects all training providers who were required to register as the requirement was first implemented</w:t>
      </w:r>
      <w:r w:rsidR="00263B1F">
        <w:rPr>
          <w:szCs w:val="24"/>
        </w:rPr>
        <w:t>.</w:t>
      </w:r>
    </w:p>
    <w:p w:rsidR="004C79E0" w:rsidRPr="005B6EB1" w:rsidP="00126876" w14:paraId="01C0A0E6" w14:textId="77777777">
      <w:pPr>
        <w:tabs>
          <w:tab w:val="left" w:pos="360"/>
        </w:tabs>
        <w:ind w:left="360"/>
        <w:rPr>
          <w:szCs w:val="24"/>
        </w:rPr>
      </w:pPr>
    </w:p>
    <w:p w:rsidR="001A3674" w:rsidRPr="005B6EB1" w:rsidP="00126876" w14:paraId="55E93E71" w14:textId="411ECFAF">
      <w:pPr>
        <w:tabs>
          <w:tab w:val="left" w:pos="360"/>
        </w:tabs>
        <w:ind w:left="360"/>
        <w:rPr>
          <w:szCs w:val="24"/>
        </w:rPr>
      </w:pPr>
      <w:r w:rsidRPr="005B6EB1">
        <w:rPr>
          <w:szCs w:val="24"/>
        </w:rPr>
        <w:t>Finally, the number of updates of existing registrations du</w:t>
      </w:r>
      <w:r w:rsidRPr="005B6EB1" w:rsidR="007F207F">
        <w:rPr>
          <w:szCs w:val="24"/>
        </w:rPr>
        <w:t xml:space="preserve">e to changes in key information, as defined earlier (company name, address, phone number, types of training offered, etc.), </w:t>
      </w:r>
      <w:r w:rsidRPr="005B6EB1" w:rsidR="00C757CE">
        <w:rPr>
          <w:szCs w:val="24"/>
        </w:rPr>
        <w:t>was</w:t>
      </w:r>
      <w:r w:rsidRPr="005B6EB1">
        <w:rPr>
          <w:szCs w:val="24"/>
        </w:rPr>
        <w:t xml:space="preserve"> </w:t>
      </w:r>
      <w:r w:rsidRPr="005B6EB1" w:rsidR="00ED5D24">
        <w:rPr>
          <w:szCs w:val="24"/>
        </w:rPr>
        <w:t>11,121</w:t>
      </w:r>
      <w:r w:rsidRPr="005B6EB1" w:rsidR="00C757CE">
        <w:rPr>
          <w:szCs w:val="24"/>
        </w:rPr>
        <w:t xml:space="preserve"> in 2022</w:t>
      </w:r>
      <w:r w:rsidRPr="005B6EB1" w:rsidR="00ED5D24">
        <w:rPr>
          <w:szCs w:val="24"/>
        </w:rPr>
        <w:t xml:space="preserve">, using 30 days as the period when a provider is counted as setting up their data in the system and 2 days </w:t>
      </w:r>
      <w:r w:rsidRPr="005B6EB1" w:rsidR="00A71BB4">
        <w:rPr>
          <w:szCs w:val="24"/>
        </w:rPr>
        <w:t xml:space="preserve">as the </w:t>
      </w:r>
      <w:r w:rsidR="00AF506E">
        <w:rPr>
          <w:szCs w:val="24"/>
        </w:rPr>
        <w:t xml:space="preserve">time </w:t>
      </w:r>
      <w:r w:rsidRPr="005B6EB1" w:rsidR="00A71BB4">
        <w:rPr>
          <w:szCs w:val="24"/>
        </w:rPr>
        <w:t>which would cause separate changes to be merged into a single change</w:t>
      </w:r>
      <w:r w:rsidRPr="005B6EB1" w:rsidR="00C757CE">
        <w:rPr>
          <w:szCs w:val="24"/>
        </w:rPr>
        <w:t>.</w:t>
      </w:r>
      <w:r w:rsidRPr="005B6EB1" w:rsidR="00C06DD7">
        <w:rPr>
          <w:szCs w:val="24"/>
        </w:rPr>
        <w:t xml:space="preserve"> FMCSA estimates a 10% annual decrease in updates over time as users familiarize themselves with the system, therefore for 2023 the estimated number of updates for existing registrations is 10,008, for 2024, it is 9,009 and for 2025 it is 8,108, for an average annual number of updates to existing registrations of 9,042.</w:t>
      </w:r>
    </w:p>
    <w:p w:rsidR="004C79E0" w:rsidRPr="005B6EB1" w:rsidP="00126876" w14:paraId="700D594E" w14:textId="77777777">
      <w:pPr>
        <w:tabs>
          <w:tab w:val="left" w:pos="360"/>
        </w:tabs>
        <w:ind w:left="360"/>
        <w:rPr>
          <w:szCs w:val="24"/>
        </w:rPr>
      </w:pPr>
    </w:p>
    <w:p w:rsidR="00C06DD7" w:rsidRPr="005B6EB1" w:rsidP="002F3A81" w14:paraId="59A2FF94" w14:textId="15AB2D7B">
      <w:pPr>
        <w:pStyle w:val="Caption"/>
        <w:keepNext/>
        <w:keepLines/>
        <w:widowControl/>
        <w:spacing w:after="0"/>
        <w:ind w:left="360"/>
        <w:rPr>
          <w:szCs w:val="24"/>
        </w:rPr>
      </w:pPr>
      <w:r w:rsidRPr="005B6EB1">
        <w:rPr>
          <w:b/>
          <w:i w:val="0"/>
          <w:color w:val="auto"/>
          <w:sz w:val="24"/>
          <w:szCs w:val="24"/>
        </w:rPr>
        <w:t>T</w:t>
      </w:r>
      <w:r w:rsidRPr="005B6EB1" w:rsidR="00227758">
        <w:rPr>
          <w:b/>
          <w:i w:val="0"/>
          <w:color w:val="auto"/>
          <w:sz w:val="24"/>
          <w:szCs w:val="24"/>
        </w:rPr>
        <w:t xml:space="preserve">able </w:t>
      </w:r>
      <w:r w:rsidRPr="005B6EB1" w:rsidR="00E16FD3">
        <w:rPr>
          <w:b/>
          <w:i w:val="0"/>
          <w:color w:val="auto"/>
          <w:sz w:val="24"/>
          <w:szCs w:val="24"/>
        </w:rPr>
        <w:t>2</w:t>
      </w:r>
      <w:r w:rsidRPr="005B6EB1" w:rsidR="00C14DF2">
        <w:rPr>
          <w:b/>
          <w:i w:val="0"/>
          <w:color w:val="auto"/>
          <w:sz w:val="24"/>
          <w:szCs w:val="24"/>
        </w:rPr>
        <w:t>. Estimated Number of Responses</w:t>
      </w:r>
      <w:r w:rsidRPr="005B6EB1" w:rsidR="00675613">
        <w:rPr>
          <w:b/>
          <w:i w:val="0"/>
          <w:color w:val="auto"/>
          <w:sz w:val="24"/>
          <w:szCs w:val="24"/>
        </w:rPr>
        <w:t xml:space="preserve"> </w:t>
      </w:r>
      <w:r w:rsidRPr="005B6EB1" w:rsidR="00B173D6">
        <w:rPr>
          <w:b/>
          <w:i w:val="0"/>
          <w:color w:val="auto"/>
          <w:sz w:val="24"/>
          <w:szCs w:val="24"/>
        </w:rPr>
        <w:t>for IC-</w:t>
      </w:r>
      <w:r w:rsidRPr="005B6EB1" w:rsidR="00E16FD3">
        <w:rPr>
          <w:b/>
          <w:i w:val="0"/>
          <w:color w:val="auto"/>
          <w:sz w:val="24"/>
          <w:szCs w:val="24"/>
        </w:rPr>
        <w:t>1</w:t>
      </w:r>
      <w:r w:rsidRPr="005B6EB1" w:rsidR="00C14DF2">
        <w:rPr>
          <w:b/>
          <w:i w:val="0"/>
          <w:color w:val="auto"/>
          <w:sz w:val="24"/>
          <w:szCs w:val="24"/>
        </w:rPr>
        <w:t xml:space="preserve"> (Training Provider Registration)</w:t>
      </w:r>
    </w:p>
    <w:tbl>
      <w:tblPr>
        <w:tblW w:w="9620" w:type="dxa"/>
        <w:tblLook w:val="04A0"/>
      </w:tblPr>
      <w:tblGrid>
        <w:gridCol w:w="4670"/>
        <w:gridCol w:w="1260"/>
        <w:gridCol w:w="1350"/>
        <w:gridCol w:w="1080"/>
        <w:gridCol w:w="1260"/>
      </w:tblGrid>
      <w:tr w14:paraId="67609A3C" w14:textId="77777777" w:rsidTr="00637CF5">
        <w:tblPrEx>
          <w:tblW w:w="9620" w:type="dxa"/>
          <w:tblLook w:val="04A0"/>
        </w:tblPrEx>
        <w:trPr>
          <w:trHeight w:val="330"/>
        </w:trPr>
        <w:tc>
          <w:tcPr>
            <w:tcW w:w="4670" w:type="dxa"/>
            <w:tcBorders>
              <w:top w:val="single" w:sz="12" w:space="0" w:color="auto"/>
              <w:left w:val="single" w:sz="8" w:space="0" w:color="auto"/>
              <w:bottom w:val="single" w:sz="12" w:space="0" w:color="auto"/>
              <w:right w:val="single" w:sz="12" w:space="0" w:color="auto"/>
            </w:tcBorders>
            <w:shd w:val="clear" w:color="000000" w:fill="E0E0E0"/>
            <w:vAlign w:val="center"/>
            <w:hideMark/>
          </w:tcPr>
          <w:p w:rsidR="00C06DD7" w:rsidRPr="005B6EB1" w:rsidP="00C06DD7" w14:paraId="5D33B205" w14:textId="77777777">
            <w:pPr>
              <w:widowControl/>
              <w:autoSpaceDE/>
              <w:autoSpaceDN/>
              <w:adjustRightInd/>
              <w:jc w:val="center"/>
              <w:rPr>
                <w:b/>
                <w:bCs/>
                <w:color w:val="000000"/>
                <w:sz w:val="22"/>
                <w:szCs w:val="22"/>
              </w:rPr>
            </w:pPr>
            <w:r w:rsidRPr="005B6EB1">
              <w:rPr>
                <w:b/>
                <w:bCs/>
                <w:color w:val="000000"/>
                <w:sz w:val="22"/>
                <w:szCs w:val="22"/>
              </w:rPr>
              <w:t>Type of Activity</w:t>
            </w:r>
          </w:p>
        </w:tc>
        <w:tc>
          <w:tcPr>
            <w:tcW w:w="1260" w:type="dxa"/>
            <w:tcBorders>
              <w:top w:val="single" w:sz="12" w:space="0" w:color="auto"/>
              <w:left w:val="nil"/>
              <w:bottom w:val="single" w:sz="12" w:space="0" w:color="auto"/>
              <w:right w:val="single" w:sz="12" w:space="0" w:color="auto"/>
            </w:tcBorders>
            <w:shd w:val="clear" w:color="000000" w:fill="E0E0E0"/>
            <w:vAlign w:val="center"/>
            <w:hideMark/>
          </w:tcPr>
          <w:p w:rsidR="00C06DD7" w:rsidRPr="005B6EB1" w:rsidP="00C06DD7" w14:paraId="2341612E" w14:textId="77777777">
            <w:pPr>
              <w:widowControl/>
              <w:autoSpaceDE/>
              <w:autoSpaceDN/>
              <w:adjustRightInd/>
              <w:jc w:val="center"/>
              <w:rPr>
                <w:b/>
                <w:bCs/>
                <w:color w:val="000000"/>
                <w:sz w:val="22"/>
                <w:szCs w:val="22"/>
              </w:rPr>
            </w:pPr>
            <w:r w:rsidRPr="005B6EB1">
              <w:rPr>
                <w:b/>
                <w:bCs/>
                <w:color w:val="000000"/>
                <w:sz w:val="22"/>
                <w:szCs w:val="22"/>
              </w:rPr>
              <w:t>2023</w:t>
            </w:r>
          </w:p>
        </w:tc>
        <w:tc>
          <w:tcPr>
            <w:tcW w:w="1350" w:type="dxa"/>
            <w:tcBorders>
              <w:top w:val="single" w:sz="12" w:space="0" w:color="auto"/>
              <w:left w:val="nil"/>
              <w:bottom w:val="single" w:sz="12" w:space="0" w:color="auto"/>
              <w:right w:val="single" w:sz="12" w:space="0" w:color="auto"/>
            </w:tcBorders>
            <w:shd w:val="clear" w:color="000000" w:fill="E0E0E0"/>
            <w:vAlign w:val="center"/>
            <w:hideMark/>
          </w:tcPr>
          <w:p w:rsidR="00C06DD7" w:rsidRPr="005B6EB1" w:rsidP="00C06DD7" w14:paraId="1E39E2C0" w14:textId="77777777">
            <w:pPr>
              <w:widowControl/>
              <w:autoSpaceDE/>
              <w:autoSpaceDN/>
              <w:adjustRightInd/>
              <w:jc w:val="center"/>
              <w:rPr>
                <w:b/>
                <w:bCs/>
                <w:color w:val="000000"/>
                <w:sz w:val="22"/>
                <w:szCs w:val="22"/>
              </w:rPr>
            </w:pPr>
            <w:r w:rsidRPr="005B6EB1">
              <w:rPr>
                <w:b/>
                <w:bCs/>
                <w:color w:val="000000"/>
                <w:sz w:val="22"/>
                <w:szCs w:val="22"/>
              </w:rPr>
              <w:t>2024</w:t>
            </w:r>
          </w:p>
        </w:tc>
        <w:tc>
          <w:tcPr>
            <w:tcW w:w="1080" w:type="dxa"/>
            <w:tcBorders>
              <w:top w:val="single" w:sz="12" w:space="0" w:color="auto"/>
              <w:left w:val="nil"/>
              <w:bottom w:val="single" w:sz="12" w:space="0" w:color="auto"/>
              <w:right w:val="single" w:sz="12" w:space="0" w:color="auto"/>
            </w:tcBorders>
            <w:shd w:val="clear" w:color="000000" w:fill="E0E0E0"/>
            <w:vAlign w:val="center"/>
            <w:hideMark/>
          </w:tcPr>
          <w:p w:rsidR="00C06DD7" w:rsidRPr="005B6EB1" w:rsidP="00C06DD7" w14:paraId="2DBCACB4" w14:textId="77777777">
            <w:pPr>
              <w:widowControl/>
              <w:autoSpaceDE/>
              <w:autoSpaceDN/>
              <w:adjustRightInd/>
              <w:jc w:val="center"/>
              <w:rPr>
                <w:b/>
                <w:bCs/>
                <w:color w:val="000000"/>
                <w:sz w:val="22"/>
                <w:szCs w:val="22"/>
              </w:rPr>
            </w:pPr>
            <w:r w:rsidRPr="005B6EB1">
              <w:rPr>
                <w:b/>
                <w:bCs/>
                <w:color w:val="000000"/>
                <w:sz w:val="22"/>
                <w:szCs w:val="22"/>
              </w:rPr>
              <w:t>2025</w:t>
            </w:r>
          </w:p>
        </w:tc>
        <w:tc>
          <w:tcPr>
            <w:tcW w:w="1260" w:type="dxa"/>
            <w:tcBorders>
              <w:top w:val="single" w:sz="12" w:space="0" w:color="auto"/>
              <w:left w:val="nil"/>
              <w:bottom w:val="single" w:sz="12" w:space="0" w:color="auto"/>
              <w:right w:val="single" w:sz="12" w:space="0" w:color="auto"/>
            </w:tcBorders>
            <w:shd w:val="clear" w:color="000000" w:fill="E0E0E0"/>
            <w:vAlign w:val="center"/>
            <w:hideMark/>
          </w:tcPr>
          <w:p w:rsidR="00C06DD7" w:rsidRPr="005B6EB1" w:rsidP="00C06DD7" w14:paraId="3A3A3DC6" w14:textId="77777777">
            <w:pPr>
              <w:widowControl/>
              <w:autoSpaceDE/>
              <w:autoSpaceDN/>
              <w:adjustRightInd/>
              <w:jc w:val="center"/>
              <w:rPr>
                <w:b/>
                <w:bCs/>
                <w:color w:val="000000"/>
                <w:sz w:val="22"/>
                <w:szCs w:val="22"/>
              </w:rPr>
            </w:pPr>
            <w:r w:rsidRPr="005B6EB1">
              <w:rPr>
                <w:b/>
                <w:bCs/>
                <w:color w:val="000000"/>
                <w:sz w:val="22"/>
                <w:szCs w:val="22"/>
              </w:rPr>
              <w:t>Average</w:t>
            </w:r>
          </w:p>
        </w:tc>
      </w:tr>
      <w:tr w14:paraId="6007A9C4" w14:textId="77777777" w:rsidTr="00637CF5">
        <w:tblPrEx>
          <w:tblW w:w="9620" w:type="dxa"/>
          <w:tblLook w:val="04A0"/>
        </w:tblPrEx>
        <w:trPr>
          <w:trHeight w:val="330"/>
        </w:trPr>
        <w:tc>
          <w:tcPr>
            <w:tcW w:w="4670" w:type="dxa"/>
            <w:tcBorders>
              <w:top w:val="nil"/>
              <w:left w:val="single" w:sz="8" w:space="0" w:color="auto"/>
              <w:bottom w:val="single" w:sz="8" w:space="0" w:color="auto"/>
              <w:right w:val="single" w:sz="12" w:space="0" w:color="auto"/>
            </w:tcBorders>
            <w:shd w:val="clear" w:color="auto" w:fill="auto"/>
            <w:noWrap/>
            <w:vAlign w:val="center"/>
            <w:hideMark/>
          </w:tcPr>
          <w:p w:rsidR="00C06DD7" w:rsidRPr="005B6EB1" w:rsidP="00C06DD7" w14:paraId="0009F0AE" w14:textId="77777777">
            <w:pPr>
              <w:widowControl/>
              <w:autoSpaceDE/>
              <w:autoSpaceDN/>
              <w:adjustRightInd/>
              <w:rPr>
                <w:color w:val="000000"/>
                <w:sz w:val="22"/>
                <w:szCs w:val="22"/>
              </w:rPr>
            </w:pPr>
            <w:r w:rsidRPr="005B6EB1">
              <w:rPr>
                <w:color w:val="000000"/>
                <w:sz w:val="22"/>
                <w:szCs w:val="22"/>
              </w:rPr>
              <w:t>Number of New First-Time Registrations</w:t>
            </w:r>
          </w:p>
        </w:tc>
        <w:tc>
          <w:tcPr>
            <w:tcW w:w="1260" w:type="dxa"/>
            <w:tcBorders>
              <w:top w:val="nil"/>
              <w:left w:val="nil"/>
              <w:bottom w:val="single" w:sz="8" w:space="0" w:color="auto"/>
              <w:right w:val="single" w:sz="12" w:space="0" w:color="auto"/>
            </w:tcBorders>
            <w:shd w:val="clear" w:color="auto" w:fill="auto"/>
            <w:vAlign w:val="center"/>
            <w:hideMark/>
          </w:tcPr>
          <w:p w:rsidR="00C06DD7" w:rsidRPr="005B6EB1" w:rsidP="00C06DD7" w14:paraId="1862E083" w14:textId="77777777">
            <w:pPr>
              <w:widowControl/>
              <w:autoSpaceDE/>
              <w:autoSpaceDN/>
              <w:adjustRightInd/>
              <w:jc w:val="right"/>
              <w:rPr>
                <w:color w:val="000000"/>
                <w:sz w:val="22"/>
                <w:szCs w:val="22"/>
              </w:rPr>
            </w:pPr>
            <w:r w:rsidRPr="005B6EB1">
              <w:rPr>
                <w:color w:val="000000"/>
                <w:sz w:val="22"/>
                <w:szCs w:val="22"/>
              </w:rPr>
              <w:t>12,402</w:t>
            </w:r>
          </w:p>
        </w:tc>
        <w:tc>
          <w:tcPr>
            <w:tcW w:w="1350" w:type="dxa"/>
            <w:tcBorders>
              <w:top w:val="nil"/>
              <w:left w:val="nil"/>
              <w:bottom w:val="single" w:sz="8" w:space="0" w:color="auto"/>
              <w:right w:val="single" w:sz="12" w:space="0" w:color="auto"/>
            </w:tcBorders>
            <w:shd w:val="clear" w:color="auto" w:fill="auto"/>
            <w:vAlign w:val="center"/>
            <w:hideMark/>
          </w:tcPr>
          <w:p w:rsidR="00C06DD7" w:rsidRPr="005B6EB1" w:rsidP="00C06DD7" w14:paraId="244BB5E5" w14:textId="77777777">
            <w:pPr>
              <w:widowControl/>
              <w:autoSpaceDE/>
              <w:autoSpaceDN/>
              <w:adjustRightInd/>
              <w:jc w:val="right"/>
              <w:rPr>
                <w:color w:val="000000"/>
                <w:sz w:val="22"/>
                <w:szCs w:val="22"/>
              </w:rPr>
            </w:pPr>
            <w:r w:rsidRPr="005B6EB1">
              <w:rPr>
                <w:color w:val="000000"/>
                <w:sz w:val="22"/>
                <w:szCs w:val="22"/>
              </w:rPr>
              <w:t>12,402</w:t>
            </w:r>
          </w:p>
        </w:tc>
        <w:tc>
          <w:tcPr>
            <w:tcW w:w="1080" w:type="dxa"/>
            <w:tcBorders>
              <w:top w:val="nil"/>
              <w:left w:val="nil"/>
              <w:bottom w:val="single" w:sz="8" w:space="0" w:color="auto"/>
              <w:right w:val="single" w:sz="12" w:space="0" w:color="auto"/>
            </w:tcBorders>
            <w:shd w:val="clear" w:color="auto" w:fill="auto"/>
            <w:vAlign w:val="center"/>
            <w:hideMark/>
          </w:tcPr>
          <w:p w:rsidR="00C06DD7" w:rsidRPr="005B6EB1" w:rsidP="00C06DD7" w14:paraId="078DCB16" w14:textId="77777777">
            <w:pPr>
              <w:widowControl/>
              <w:autoSpaceDE/>
              <w:autoSpaceDN/>
              <w:adjustRightInd/>
              <w:jc w:val="right"/>
              <w:rPr>
                <w:color w:val="000000"/>
                <w:sz w:val="22"/>
                <w:szCs w:val="22"/>
              </w:rPr>
            </w:pPr>
            <w:r w:rsidRPr="005B6EB1">
              <w:rPr>
                <w:color w:val="000000"/>
                <w:sz w:val="22"/>
                <w:szCs w:val="22"/>
              </w:rPr>
              <w:t>12,402</w:t>
            </w:r>
          </w:p>
        </w:tc>
        <w:tc>
          <w:tcPr>
            <w:tcW w:w="1260" w:type="dxa"/>
            <w:tcBorders>
              <w:top w:val="nil"/>
              <w:left w:val="nil"/>
              <w:bottom w:val="single" w:sz="8" w:space="0" w:color="auto"/>
              <w:right w:val="single" w:sz="12" w:space="0" w:color="auto"/>
            </w:tcBorders>
            <w:shd w:val="clear" w:color="auto" w:fill="auto"/>
            <w:vAlign w:val="center"/>
            <w:hideMark/>
          </w:tcPr>
          <w:p w:rsidR="00C06DD7" w:rsidRPr="005B6EB1" w:rsidP="00C06DD7" w14:paraId="65B4B16E" w14:textId="77777777">
            <w:pPr>
              <w:widowControl/>
              <w:autoSpaceDE/>
              <w:autoSpaceDN/>
              <w:adjustRightInd/>
              <w:jc w:val="right"/>
              <w:rPr>
                <w:color w:val="000000"/>
                <w:sz w:val="22"/>
                <w:szCs w:val="22"/>
              </w:rPr>
            </w:pPr>
            <w:r w:rsidRPr="005B6EB1">
              <w:rPr>
                <w:color w:val="000000"/>
                <w:sz w:val="22"/>
                <w:szCs w:val="22"/>
              </w:rPr>
              <w:t>12,402</w:t>
            </w:r>
          </w:p>
        </w:tc>
      </w:tr>
      <w:tr w14:paraId="67E34CB4" w14:textId="77777777" w:rsidTr="00637CF5">
        <w:tblPrEx>
          <w:tblW w:w="9620" w:type="dxa"/>
          <w:tblLook w:val="04A0"/>
        </w:tblPrEx>
        <w:trPr>
          <w:trHeight w:val="315"/>
        </w:trPr>
        <w:tc>
          <w:tcPr>
            <w:tcW w:w="4670" w:type="dxa"/>
            <w:tcBorders>
              <w:top w:val="nil"/>
              <w:left w:val="single" w:sz="8" w:space="0" w:color="auto"/>
              <w:bottom w:val="single" w:sz="8" w:space="0" w:color="auto"/>
              <w:right w:val="single" w:sz="12" w:space="0" w:color="auto"/>
            </w:tcBorders>
            <w:shd w:val="clear" w:color="auto" w:fill="auto"/>
            <w:noWrap/>
            <w:vAlign w:val="center"/>
            <w:hideMark/>
          </w:tcPr>
          <w:p w:rsidR="00C06DD7" w:rsidRPr="005B6EB1" w:rsidP="00C06DD7" w14:paraId="2108B81F" w14:textId="77777777">
            <w:pPr>
              <w:widowControl/>
              <w:autoSpaceDE/>
              <w:autoSpaceDN/>
              <w:adjustRightInd/>
              <w:rPr>
                <w:color w:val="000000"/>
                <w:sz w:val="22"/>
                <w:szCs w:val="22"/>
              </w:rPr>
            </w:pPr>
            <w:r w:rsidRPr="005B6EB1">
              <w:rPr>
                <w:color w:val="000000"/>
                <w:sz w:val="22"/>
                <w:szCs w:val="22"/>
              </w:rPr>
              <w:t>Number of Biennial Updates of Existing Registrations</w:t>
            </w:r>
          </w:p>
        </w:tc>
        <w:tc>
          <w:tcPr>
            <w:tcW w:w="1260" w:type="dxa"/>
            <w:tcBorders>
              <w:top w:val="nil"/>
              <w:left w:val="nil"/>
              <w:bottom w:val="single" w:sz="8" w:space="0" w:color="auto"/>
              <w:right w:val="single" w:sz="12" w:space="0" w:color="auto"/>
            </w:tcBorders>
            <w:shd w:val="clear" w:color="auto" w:fill="auto"/>
            <w:vAlign w:val="center"/>
            <w:hideMark/>
          </w:tcPr>
          <w:p w:rsidR="00C06DD7" w:rsidRPr="005B6EB1" w:rsidP="00C06DD7" w14:paraId="668C30A9" w14:textId="77777777">
            <w:pPr>
              <w:widowControl/>
              <w:autoSpaceDE/>
              <w:autoSpaceDN/>
              <w:adjustRightInd/>
              <w:jc w:val="right"/>
              <w:rPr>
                <w:color w:val="000000"/>
                <w:sz w:val="22"/>
                <w:szCs w:val="22"/>
              </w:rPr>
            </w:pPr>
            <w:r w:rsidRPr="005B6EB1">
              <w:rPr>
                <w:color w:val="000000"/>
                <w:sz w:val="22"/>
                <w:szCs w:val="22"/>
              </w:rPr>
              <w:t>6,676</w:t>
            </w:r>
          </w:p>
        </w:tc>
        <w:tc>
          <w:tcPr>
            <w:tcW w:w="1350" w:type="dxa"/>
            <w:tcBorders>
              <w:top w:val="nil"/>
              <w:left w:val="nil"/>
              <w:bottom w:val="single" w:sz="8" w:space="0" w:color="auto"/>
              <w:right w:val="single" w:sz="12" w:space="0" w:color="auto"/>
            </w:tcBorders>
            <w:shd w:val="clear" w:color="auto" w:fill="auto"/>
            <w:vAlign w:val="center"/>
            <w:hideMark/>
          </w:tcPr>
          <w:p w:rsidR="00C06DD7" w:rsidRPr="005B6EB1" w:rsidP="00C06DD7" w14:paraId="2B33B477" w14:textId="77777777">
            <w:pPr>
              <w:widowControl/>
              <w:autoSpaceDE/>
              <w:autoSpaceDN/>
              <w:adjustRightInd/>
              <w:jc w:val="right"/>
              <w:rPr>
                <w:color w:val="000000"/>
                <w:sz w:val="22"/>
                <w:szCs w:val="22"/>
              </w:rPr>
            </w:pPr>
            <w:r w:rsidRPr="005B6EB1">
              <w:rPr>
                <w:color w:val="000000"/>
                <w:sz w:val="22"/>
                <w:szCs w:val="22"/>
              </w:rPr>
              <w:t>30,530</w:t>
            </w:r>
          </w:p>
        </w:tc>
        <w:tc>
          <w:tcPr>
            <w:tcW w:w="1080" w:type="dxa"/>
            <w:tcBorders>
              <w:top w:val="nil"/>
              <w:left w:val="nil"/>
              <w:bottom w:val="single" w:sz="8" w:space="0" w:color="auto"/>
              <w:right w:val="single" w:sz="12" w:space="0" w:color="auto"/>
            </w:tcBorders>
            <w:shd w:val="clear" w:color="auto" w:fill="auto"/>
            <w:vAlign w:val="center"/>
            <w:hideMark/>
          </w:tcPr>
          <w:p w:rsidR="00C06DD7" w:rsidRPr="005B6EB1" w:rsidP="00C06DD7" w14:paraId="799EF060" w14:textId="77777777">
            <w:pPr>
              <w:widowControl/>
              <w:autoSpaceDE/>
              <w:autoSpaceDN/>
              <w:adjustRightInd/>
              <w:jc w:val="right"/>
              <w:rPr>
                <w:color w:val="000000"/>
                <w:sz w:val="22"/>
                <w:szCs w:val="22"/>
              </w:rPr>
            </w:pPr>
            <w:r w:rsidRPr="005B6EB1">
              <w:rPr>
                <w:color w:val="000000"/>
                <w:sz w:val="22"/>
                <w:szCs w:val="22"/>
              </w:rPr>
              <w:t>19,078</w:t>
            </w:r>
          </w:p>
        </w:tc>
        <w:tc>
          <w:tcPr>
            <w:tcW w:w="1260" w:type="dxa"/>
            <w:tcBorders>
              <w:top w:val="nil"/>
              <w:left w:val="nil"/>
              <w:bottom w:val="single" w:sz="8" w:space="0" w:color="auto"/>
              <w:right w:val="single" w:sz="12" w:space="0" w:color="auto"/>
            </w:tcBorders>
            <w:shd w:val="clear" w:color="auto" w:fill="auto"/>
            <w:vAlign w:val="center"/>
            <w:hideMark/>
          </w:tcPr>
          <w:p w:rsidR="00C06DD7" w:rsidRPr="005B6EB1" w:rsidP="00C06DD7" w14:paraId="61788716" w14:textId="77777777">
            <w:pPr>
              <w:widowControl/>
              <w:autoSpaceDE/>
              <w:autoSpaceDN/>
              <w:adjustRightInd/>
              <w:jc w:val="right"/>
              <w:rPr>
                <w:color w:val="000000"/>
                <w:sz w:val="22"/>
                <w:szCs w:val="22"/>
              </w:rPr>
            </w:pPr>
            <w:r w:rsidRPr="005B6EB1">
              <w:rPr>
                <w:color w:val="000000"/>
                <w:sz w:val="22"/>
                <w:szCs w:val="22"/>
              </w:rPr>
              <w:t>18,761</w:t>
            </w:r>
          </w:p>
        </w:tc>
      </w:tr>
      <w:tr w14:paraId="5D8016A7" w14:textId="77777777" w:rsidTr="00637CF5">
        <w:tblPrEx>
          <w:tblW w:w="9620" w:type="dxa"/>
          <w:tblLook w:val="04A0"/>
        </w:tblPrEx>
        <w:trPr>
          <w:trHeight w:val="315"/>
        </w:trPr>
        <w:tc>
          <w:tcPr>
            <w:tcW w:w="4670" w:type="dxa"/>
            <w:tcBorders>
              <w:top w:val="nil"/>
              <w:left w:val="single" w:sz="8" w:space="0" w:color="auto"/>
              <w:bottom w:val="single" w:sz="12" w:space="0" w:color="auto"/>
              <w:right w:val="single" w:sz="12" w:space="0" w:color="auto"/>
            </w:tcBorders>
            <w:shd w:val="clear" w:color="auto" w:fill="auto"/>
            <w:noWrap/>
            <w:vAlign w:val="center"/>
            <w:hideMark/>
          </w:tcPr>
          <w:p w:rsidR="00C06DD7" w:rsidRPr="005B6EB1" w:rsidP="00C06DD7" w14:paraId="16027CF2" w14:textId="77777777">
            <w:pPr>
              <w:widowControl/>
              <w:autoSpaceDE/>
              <w:autoSpaceDN/>
              <w:adjustRightInd/>
              <w:rPr>
                <w:color w:val="000000"/>
                <w:sz w:val="22"/>
                <w:szCs w:val="22"/>
              </w:rPr>
            </w:pPr>
            <w:r w:rsidRPr="005B6EB1">
              <w:rPr>
                <w:color w:val="000000"/>
                <w:sz w:val="22"/>
                <w:szCs w:val="22"/>
              </w:rPr>
              <w:t>Number of Updates of Existing Registrations Due to Changes in Key Information</w:t>
            </w:r>
          </w:p>
        </w:tc>
        <w:tc>
          <w:tcPr>
            <w:tcW w:w="1260" w:type="dxa"/>
            <w:tcBorders>
              <w:top w:val="nil"/>
              <w:left w:val="nil"/>
              <w:bottom w:val="single" w:sz="12" w:space="0" w:color="auto"/>
              <w:right w:val="single" w:sz="12" w:space="0" w:color="auto"/>
            </w:tcBorders>
            <w:shd w:val="clear" w:color="auto" w:fill="auto"/>
            <w:vAlign w:val="center"/>
            <w:hideMark/>
          </w:tcPr>
          <w:p w:rsidR="00C06DD7" w:rsidRPr="005B6EB1" w:rsidP="00C06DD7" w14:paraId="78800470" w14:textId="77777777">
            <w:pPr>
              <w:widowControl/>
              <w:autoSpaceDE/>
              <w:autoSpaceDN/>
              <w:adjustRightInd/>
              <w:jc w:val="right"/>
              <w:rPr>
                <w:color w:val="000000"/>
                <w:sz w:val="22"/>
                <w:szCs w:val="22"/>
              </w:rPr>
            </w:pPr>
            <w:r w:rsidRPr="005B6EB1">
              <w:rPr>
                <w:color w:val="000000"/>
                <w:sz w:val="22"/>
                <w:szCs w:val="22"/>
              </w:rPr>
              <w:t>10,008</w:t>
            </w:r>
          </w:p>
        </w:tc>
        <w:tc>
          <w:tcPr>
            <w:tcW w:w="1350" w:type="dxa"/>
            <w:tcBorders>
              <w:top w:val="nil"/>
              <w:left w:val="nil"/>
              <w:bottom w:val="single" w:sz="12" w:space="0" w:color="auto"/>
              <w:right w:val="single" w:sz="12" w:space="0" w:color="auto"/>
            </w:tcBorders>
            <w:shd w:val="clear" w:color="auto" w:fill="auto"/>
            <w:vAlign w:val="center"/>
            <w:hideMark/>
          </w:tcPr>
          <w:p w:rsidR="00C06DD7" w:rsidRPr="005B6EB1" w:rsidP="00C06DD7" w14:paraId="62372330" w14:textId="77777777">
            <w:pPr>
              <w:widowControl/>
              <w:autoSpaceDE/>
              <w:autoSpaceDN/>
              <w:adjustRightInd/>
              <w:jc w:val="right"/>
              <w:rPr>
                <w:color w:val="000000"/>
                <w:sz w:val="22"/>
                <w:szCs w:val="22"/>
              </w:rPr>
            </w:pPr>
            <w:r w:rsidRPr="005B6EB1">
              <w:rPr>
                <w:color w:val="000000"/>
                <w:sz w:val="22"/>
                <w:szCs w:val="22"/>
              </w:rPr>
              <w:t>9,009</w:t>
            </w:r>
          </w:p>
        </w:tc>
        <w:tc>
          <w:tcPr>
            <w:tcW w:w="1080" w:type="dxa"/>
            <w:tcBorders>
              <w:top w:val="nil"/>
              <w:left w:val="nil"/>
              <w:bottom w:val="single" w:sz="12" w:space="0" w:color="auto"/>
              <w:right w:val="single" w:sz="12" w:space="0" w:color="auto"/>
            </w:tcBorders>
            <w:shd w:val="clear" w:color="auto" w:fill="auto"/>
            <w:vAlign w:val="center"/>
            <w:hideMark/>
          </w:tcPr>
          <w:p w:rsidR="00C06DD7" w:rsidRPr="005B6EB1" w:rsidP="00C06DD7" w14:paraId="784DD4DB" w14:textId="77777777">
            <w:pPr>
              <w:widowControl/>
              <w:autoSpaceDE/>
              <w:autoSpaceDN/>
              <w:adjustRightInd/>
              <w:jc w:val="right"/>
              <w:rPr>
                <w:color w:val="000000"/>
                <w:sz w:val="22"/>
                <w:szCs w:val="22"/>
              </w:rPr>
            </w:pPr>
            <w:r w:rsidRPr="005B6EB1">
              <w:rPr>
                <w:color w:val="000000"/>
                <w:sz w:val="22"/>
                <w:szCs w:val="22"/>
              </w:rPr>
              <w:t>8,108</w:t>
            </w:r>
          </w:p>
        </w:tc>
        <w:tc>
          <w:tcPr>
            <w:tcW w:w="1260" w:type="dxa"/>
            <w:tcBorders>
              <w:top w:val="nil"/>
              <w:left w:val="nil"/>
              <w:bottom w:val="single" w:sz="12" w:space="0" w:color="auto"/>
              <w:right w:val="single" w:sz="12" w:space="0" w:color="auto"/>
            </w:tcBorders>
            <w:shd w:val="clear" w:color="auto" w:fill="auto"/>
            <w:vAlign w:val="center"/>
            <w:hideMark/>
          </w:tcPr>
          <w:p w:rsidR="00C06DD7" w:rsidRPr="005B6EB1" w:rsidP="00C06DD7" w14:paraId="5CEBCF64" w14:textId="77777777">
            <w:pPr>
              <w:widowControl/>
              <w:autoSpaceDE/>
              <w:autoSpaceDN/>
              <w:adjustRightInd/>
              <w:jc w:val="right"/>
              <w:rPr>
                <w:color w:val="000000"/>
                <w:sz w:val="22"/>
                <w:szCs w:val="22"/>
              </w:rPr>
            </w:pPr>
            <w:r w:rsidRPr="005B6EB1">
              <w:rPr>
                <w:color w:val="000000"/>
                <w:sz w:val="22"/>
                <w:szCs w:val="22"/>
              </w:rPr>
              <w:t>9,042</w:t>
            </w:r>
          </w:p>
        </w:tc>
      </w:tr>
      <w:tr w14:paraId="66B4F93F" w14:textId="77777777" w:rsidTr="00637CF5">
        <w:tblPrEx>
          <w:tblW w:w="9620" w:type="dxa"/>
          <w:tblLook w:val="04A0"/>
        </w:tblPrEx>
        <w:trPr>
          <w:trHeight w:val="330"/>
        </w:trPr>
        <w:tc>
          <w:tcPr>
            <w:tcW w:w="4670" w:type="dxa"/>
            <w:tcBorders>
              <w:top w:val="nil"/>
              <w:left w:val="single" w:sz="8" w:space="0" w:color="auto"/>
              <w:bottom w:val="single" w:sz="12" w:space="0" w:color="auto"/>
              <w:right w:val="single" w:sz="12" w:space="0" w:color="auto"/>
            </w:tcBorders>
            <w:shd w:val="clear" w:color="000000" w:fill="D9D9D9"/>
            <w:noWrap/>
            <w:vAlign w:val="center"/>
            <w:hideMark/>
          </w:tcPr>
          <w:p w:rsidR="00C06DD7" w:rsidRPr="005B6EB1" w:rsidP="00C06DD7" w14:paraId="15F1F104" w14:textId="77777777">
            <w:pPr>
              <w:widowControl/>
              <w:autoSpaceDE/>
              <w:autoSpaceDN/>
              <w:adjustRightInd/>
              <w:rPr>
                <w:b/>
                <w:bCs/>
                <w:color w:val="000000"/>
                <w:sz w:val="22"/>
                <w:szCs w:val="22"/>
              </w:rPr>
            </w:pPr>
            <w:r w:rsidRPr="005B6EB1">
              <w:rPr>
                <w:b/>
                <w:bCs/>
                <w:color w:val="000000"/>
                <w:sz w:val="22"/>
                <w:szCs w:val="22"/>
              </w:rPr>
              <w:t>TOTAL NUMBER OF RESPONSES</w:t>
            </w:r>
          </w:p>
        </w:tc>
        <w:tc>
          <w:tcPr>
            <w:tcW w:w="126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7DB7F2F4" w14:textId="77777777">
            <w:pPr>
              <w:widowControl/>
              <w:autoSpaceDE/>
              <w:autoSpaceDN/>
              <w:adjustRightInd/>
              <w:jc w:val="right"/>
              <w:rPr>
                <w:b/>
                <w:bCs/>
                <w:color w:val="000000"/>
                <w:sz w:val="22"/>
                <w:szCs w:val="22"/>
              </w:rPr>
            </w:pPr>
            <w:r w:rsidRPr="005B6EB1">
              <w:rPr>
                <w:b/>
                <w:bCs/>
                <w:color w:val="000000"/>
                <w:sz w:val="22"/>
                <w:szCs w:val="22"/>
              </w:rPr>
              <w:t>29,086</w:t>
            </w:r>
          </w:p>
        </w:tc>
        <w:tc>
          <w:tcPr>
            <w:tcW w:w="135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14F065F1" w14:textId="77777777">
            <w:pPr>
              <w:widowControl/>
              <w:autoSpaceDE/>
              <w:autoSpaceDN/>
              <w:adjustRightInd/>
              <w:jc w:val="right"/>
              <w:rPr>
                <w:b/>
                <w:bCs/>
                <w:color w:val="000000"/>
                <w:sz w:val="22"/>
                <w:szCs w:val="22"/>
              </w:rPr>
            </w:pPr>
            <w:r w:rsidRPr="005B6EB1">
              <w:rPr>
                <w:b/>
                <w:bCs/>
                <w:color w:val="000000"/>
                <w:sz w:val="22"/>
                <w:szCs w:val="22"/>
              </w:rPr>
              <w:t>51,941</w:t>
            </w:r>
          </w:p>
        </w:tc>
        <w:tc>
          <w:tcPr>
            <w:tcW w:w="108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65838638" w14:textId="77777777">
            <w:pPr>
              <w:widowControl/>
              <w:autoSpaceDE/>
              <w:autoSpaceDN/>
              <w:adjustRightInd/>
              <w:jc w:val="right"/>
              <w:rPr>
                <w:b/>
                <w:bCs/>
                <w:color w:val="000000"/>
                <w:sz w:val="22"/>
                <w:szCs w:val="22"/>
              </w:rPr>
            </w:pPr>
            <w:r w:rsidRPr="005B6EB1">
              <w:rPr>
                <w:b/>
                <w:bCs/>
                <w:color w:val="000000"/>
                <w:sz w:val="22"/>
                <w:szCs w:val="22"/>
              </w:rPr>
              <w:t>39,588</w:t>
            </w:r>
          </w:p>
        </w:tc>
        <w:tc>
          <w:tcPr>
            <w:tcW w:w="126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01C110FA" w14:textId="77777777">
            <w:pPr>
              <w:widowControl/>
              <w:autoSpaceDE/>
              <w:autoSpaceDN/>
              <w:adjustRightInd/>
              <w:jc w:val="right"/>
              <w:rPr>
                <w:b/>
                <w:bCs/>
                <w:color w:val="000000"/>
                <w:sz w:val="22"/>
                <w:szCs w:val="22"/>
              </w:rPr>
            </w:pPr>
            <w:r w:rsidRPr="005B6EB1">
              <w:rPr>
                <w:b/>
                <w:bCs/>
                <w:color w:val="000000"/>
                <w:sz w:val="22"/>
                <w:szCs w:val="22"/>
              </w:rPr>
              <w:t>40,205</w:t>
            </w:r>
          </w:p>
        </w:tc>
      </w:tr>
      <w:tr w14:paraId="1018FDCA" w14:textId="77777777" w:rsidTr="00637CF5">
        <w:tblPrEx>
          <w:tblW w:w="9620" w:type="dxa"/>
          <w:tblLook w:val="04A0"/>
        </w:tblPrEx>
        <w:trPr>
          <w:trHeight w:val="330"/>
        </w:trPr>
        <w:tc>
          <w:tcPr>
            <w:tcW w:w="4670" w:type="dxa"/>
            <w:tcBorders>
              <w:top w:val="nil"/>
              <w:left w:val="single" w:sz="8" w:space="0" w:color="auto"/>
              <w:bottom w:val="single" w:sz="12" w:space="0" w:color="auto"/>
              <w:right w:val="single" w:sz="12" w:space="0" w:color="auto"/>
            </w:tcBorders>
            <w:shd w:val="clear" w:color="000000" w:fill="D9D9D9"/>
            <w:noWrap/>
            <w:vAlign w:val="center"/>
            <w:hideMark/>
          </w:tcPr>
          <w:p w:rsidR="00C06DD7" w:rsidRPr="005B6EB1" w:rsidP="00C06DD7" w14:paraId="47CAC918" w14:textId="77777777">
            <w:pPr>
              <w:widowControl/>
              <w:autoSpaceDE/>
              <w:autoSpaceDN/>
              <w:adjustRightInd/>
              <w:rPr>
                <w:b/>
                <w:bCs/>
                <w:color w:val="000000"/>
                <w:sz w:val="22"/>
                <w:szCs w:val="22"/>
              </w:rPr>
            </w:pPr>
            <w:r w:rsidRPr="005B6EB1">
              <w:rPr>
                <w:b/>
                <w:bCs/>
                <w:color w:val="000000"/>
                <w:sz w:val="22"/>
                <w:szCs w:val="22"/>
              </w:rPr>
              <w:t>NUMBER OF RESPONDENTS</w:t>
            </w:r>
          </w:p>
        </w:tc>
        <w:tc>
          <w:tcPr>
            <w:tcW w:w="126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49917B14" w14:textId="77777777">
            <w:pPr>
              <w:widowControl/>
              <w:autoSpaceDE/>
              <w:autoSpaceDN/>
              <w:adjustRightInd/>
              <w:jc w:val="right"/>
              <w:rPr>
                <w:b/>
                <w:bCs/>
                <w:color w:val="000000"/>
                <w:sz w:val="22"/>
                <w:szCs w:val="22"/>
              </w:rPr>
            </w:pPr>
            <w:r w:rsidRPr="005B6EB1">
              <w:rPr>
                <w:b/>
                <w:bCs/>
                <w:color w:val="000000"/>
                <w:sz w:val="22"/>
                <w:szCs w:val="22"/>
              </w:rPr>
              <w:t>7,774</w:t>
            </w:r>
          </w:p>
        </w:tc>
        <w:tc>
          <w:tcPr>
            <w:tcW w:w="135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6D2B948A" w14:textId="77777777">
            <w:pPr>
              <w:widowControl/>
              <w:autoSpaceDE/>
              <w:autoSpaceDN/>
              <w:adjustRightInd/>
              <w:jc w:val="right"/>
              <w:rPr>
                <w:b/>
                <w:bCs/>
                <w:color w:val="000000"/>
                <w:sz w:val="22"/>
                <w:szCs w:val="22"/>
              </w:rPr>
            </w:pPr>
            <w:r w:rsidRPr="005B6EB1">
              <w:rPr>
                <w:b/>
                <w:bCs/>
                <w:color w:val="000000"/>
                <w:sz w:val="22"/>
                <w:szCs w:val="22"/>
              </w:rPr>
              <w:t>7,774</w:t>
            </w:r>
          </w:p>
        </w:tc>
        <w:tc>
          <w:tcPr>
            <w:tcW w:w="108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3BEE7003" w14:textId="77777777">
            <w:pPr>
              <w:widowControl/>
              <w:autoSpaceDE/>
              <w:autoSpaceDN/>
              <w:adjustRightInd/>
              <w:jc w:val="right"/>
              <w:rPr>
                <w:b/>
                <w:bCs/>
                <w:color w:val="000000"/>
                <w:sz w:val="22"/>
                <w:szCs w:val="22"/>
              </w:rPr>
            </w:pPr>
            <w:r w:rsidRPr="005B6EB1">
              <w:rPr>
                <w:b/>
                <w:bCs/>
                <w:color w:val="000000"/>
                <w:sz w:val="22"/>
                <w:szCs w:val="22"/>
              </w:rPr>
              <w:t>7,774</w:t>
            </w:r>
          </w:p>
        </w:tc>
        <w:tc>
          <w:tcPr>
            <w:tcW w:w="126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454C02EC" w14:textId="77777777">
            <w:pPr>
              <w:widowControl/>
              <w:autoSpaceDE/>
              <w:autoSpaceDN/>
              <w:adjustRightInd/>
              <w:jc w:val="right"/>
              <w:rPr>
                <w:b/>
                <w:bCs/>
                <w:color w:val="000000"/>
                <w:sz w:val="22"/>
                <w:szCs w:val="22"/>
              </w:rPr>
            </w:pPr>
            <w:r w:rsidRPr="005B6EB1">
              <w:rPr>
                <w:b/>
                <w:bCs/>
                <w:color w:val="000000"/>
                <w:sz w:val="22"/>
                <w:szCs w:val="22"/>
              </w:rPr>
              <w:t>7,774</w:t>
            </w:r>
          </w:p>
        </w:tc>
      </w:tr>
    </w:tbl>
    <w:p w:rsidR="005259CD" w:rsidRPr="005B6EB1" w:rsidP="00383A69" w14:paraId="081AED4F" w14:textId="0877090D">
      <w:pPr>
        <w:tabs>
          <w:tab w:val="left" w:pos="360"/>
        </w:tabs>
        <w:ind w:left="360"/>
        <w:rPr>
          <w:szCs w:val="24"/>
        </w:rPr>
      </w:pPr>
    </w:p>
    <w:p w:rsidR="00AF506E" w:rsidP="00383A69" w14:paraId="1EF9B97B" w14:textId="77777777">
      <w:pPr>
        <w:tabs>
          <w:tab w:val="left" w:pos="360"/>
        </w:tabs>
        <w:ind w:left="360"/>
        <w:rPr>
          <w:szCs w:val="24"/>
        </w:rPr>
      </w:pPr>
    </w:p>
    <w:p w:rsidR="001C2381" w:rsidP="00383A69" w14:paraId="0C0EACC5" w14:textId="054ABB22">
      <w:pPr>
        <w:tabs>
          <w:tab w:val="left" w:pos="360"/>
        </w:tabs>
        <w:ind w:left="360"/>
        <w:rPr>
          <w:szCs w:val="24"/>
        </w:rPr>
      </w:pPr>
      <w:r w:rsidRPr="005B6EB1">
        <w:rPr>
          <w:szCs w:val="24"/>
        </w:rPr>
        <w:t xml:space="preserve">Next, </w:t>
      </w:r>
      <w:r w:rsidRPr="005B6EB1" w:rsidR="00F4292F">
        <w:rPr>
          <w:szCs w:val="24"/>
        </w:rPr>
        <w:t xml:space="preserve">Table </w:t>
      </w:r>
      <w:r w:rsidRPr="005B6EB1" w:rsidR="00A968E7">
        <w:rPr>
          <w:szCs w:val="24"/>
        </w:rPr>
        <w:t>3</w:t>
      </w:r>
      <w:r w:rsidRPr="005B6EB1" w:rsidR="00C33AE9">
        <w:rPr>
          <w:szCs w:val="24"/>
        </w:rPr>
        <w:t xml:space="preserve"> presents the </w:t>
      </w:r>
      <w:r w:rsidRPr="005B6EB1">
        <w:rPr>
          <w:szCs w:val="24"/>
        </w:rPr>
        <w:t>resulting estimates of</w:t>
      </w:r>
      <w:r w:rsidRPr="005B6EB1" w:rsidR="00B173D6">
        <w:rPr>
          <w:szCs w:val="24"/>
        </w:rPr>
        <w:t xml:space="preserve"> annualized hour burden for IC-</w:t>
      </w:r>
      <w:r w:rsidRPr="005B6EB1" w:rsidR="00A968E7">
        <w:rPr>
          <w:szCs w:val="24"/>
        </w:rPr>
        <w:t>1</w:t>
      </w:r>
      <w:r w:rsidRPr="005B6EB1" w:rsidR="00C33AE9">
        <w:rPr>
          <w:szCs w:val="24"/>
        </w:rPr>
        <w:t>, based on the number of respon</w:t>
      </w:r>
      <w:r w:rsidRPr="005B6EB1" w:rsidR="00F4292F">
        <w:rPr>
          <w:szCs w:val="24"/>
        </w:rPr>
        <w:t xml:space="preserve">ses by type presented in Table </w:t>
      </w:r>
      <w:r w:rsidRPr="005B6EB1" w:rsidR="00A968E7">
        <w:rPr>
          <w:szCs w:val="24"/>
        </w:rPr>
        <w:t>2</w:t>
      </w:r>
      <w:r w:rsidRPr="005B6EB1" w:rsidR="00C33AE9">
        <w:rPr>
          <w:szCs w:val="24"/>
        </w:rPr>
        <w:t xml:space="preserve">, and the estimated hour burden per </w:t>
      </w:r>
      <w:r w:rsidRPr="005B6EB1">
        <w:rPr>
          <w:szCs w:val="24"/>
        </w:rPr>
        <w:t xml:space="preserve">each type of </w:t>
      </w:r>
      <w:r w:rsidRPr="005B6EB1" w:rsidR="00C33AE9">
        <w:rPr>
          <w:szCs w:val="24"/>
        </w:rPr>
        <w:t xml:space="preserve">response, for each </w:t>
      </w:r>
      <w:r w:rsidRPr="005B6EB1">
        <w:rPr>
          <w:szCs w:val="24"/>
        </w:rPr>
        <w:t>of the three types of responses</w:t>
      </w:r>
      <w:r w:rsidRPr="005B6EB1" w:rsidR="00383A69">
        <w:rPr>
          <w:szCs w:val="24"/>
        </w:rPr>
        <w:t xml:space="preserve">, </w:t>
      </w:r>
      <w:r w:rsidRPr="005B6EB1" w:rsidR="00F1654E">
        <w:rPr>
          <w:szCs w:val="24"/>
        </w:rPr>
        <w:t>presented earlier.</w:t>
      </w:r>
    </w:p>
    <w:p w:rsidR="00AF506E" w:rsidP="00383A69" w14:paraId="159FE822" w14:textId="32991122">
      <w:pPr>
        <w:tabs>
          <w:tab w:val="left" w:pos="360"/>
        </w:tabs>
        <w:ind w:left="360"/>
        <w:rPr>
          <w:szCs w:val="24"/>
        </w:rPr>
      </w:pPr>
    </w:p>
    <w:p w:rsidR="00AF506E" w:rsidP="00383A69" w14:paraId="35330258" w14:textId="00EDBE44">
      <w:pPr>
        <w:tabs>
          <w:tab w:val="left" w:pos="360"/>
        </w:tabs>
        <w:ind w:left="360"/>
        <w:rPr>
          <w:szCs w:val="24"/>
        </w:rPr>
      </w:pPr>
    </w:p>
    <w:p w:rsidR="00AF506E" w:rsidP="00383A69" w14:paraId="3BA8F771" w14:textId="5C29817E">
      <w:pPr>
        <w:tabs>
          <w:tab w:val="left" w:pos="360"/>
        </w:tabs>
        <w:ind w:left="360"/>
        <w:rPr>
          <w:szCs w:val="24"/>
        </w:rPr>
      </w:pPr>
    </w:p>
    <w:p w:rsidR="00AF506E" w:rsidP="00383A69" w14:paraId="3F59A31A" w14:textId="6CD2FE99">
      <w:pPr>
        <w:tabs>
          <w:tab w:val="left" w:pos="360"/>
        </w:tabs>
        <w:ind w:left="360"/>
        <w:rPr>
          <w:szCs w:val="24"/>
        </w:rPr>
      </w:pPr>
    </w:p>
    <w:p w:rsidR="00AF506E" w:rsidP="00383A69" w14:paraId="757E31D5" w14:textId="77777777">
      <w:pPr>
        <w:tabs>
          <w:tab w:val="left" w:pos="360"/>
        </w:tabs>
        <w:ind w:left="360"/>
        <w:rPr>
          <w:szCs w:val="24"/>
        </w:rPr>
      </w:pPr>
    </w:p>
    <w:p w:rsidR="00C52B98" w:rsidP="00383A69" w14:paraId="61C464E0" w14:textId="2AE9C329">
      <w:pPr>
        <w:tabs>
          <w:tab w:val="left" w:pos="360"/>
        </w:tabs>
        <w:ind w:left="360"/>
        <w:rPr>
          <w:szCs w:val="24"/>
        </w:rPr>
      </w:pPr>
    </w:p>
    <w:p w:rsidR="00962525" w:rsidRPr="005B6EB1" w:rsidP="00962525" w14:paraId="5E92D636" w14:textId="2E054B4D">
      <w:pPr>
        <w:pStyle w:val="Caption"/>
        <w:keepNext/>
        <w:keepLines/>
        <w:widowControl/>
        <w:spacing w:after="0"/>
        <w:ind w:left="360"/>
        <w:rPr>
          <w:b/>
          <w:color w:val="auto"/>
          <w:sz w:val="24"/>
          <w:szCs w:val="24"/>
        </w:rPr>
      </w:pPr>
      <w:r w:rsidRPr="005B6EB1">
        <w:rPr>
          <w:b/>
          <w:i w:val="0"/>
          <w:color w:val="auto"/>
          <w:sz w:val="24"/>
          <w:szCs w:val="24"/>
        </w:rPr>
        <w:t xml:space="preserve">Table </w:t>
      </w:r>
      <w:r w:rsidRPr="005B6EB1" w:rsidR="00E16FD3">
        <w:rPr>
          <w:b/>
          <w:i w:val="0"/>
          <w:color w:val="auto"/>
          <w:sz w:val="24"/>
          <w:szCs w:val="24"/>
        </w:rPr>
        <w:t>3</w:t>
      </w:r>
      <w:r w:rsidRPr="005B6EB1">
        <w:rPr>
          <w:b/>
          <w:i w:val="0"/>
          <w:color w:val="auto"/>
          <w:sz w:val="24"/>
          <w:szCs w:val="24"/>
        </w:rPr>
        <w:t xml:space="preserve">. Estimated Annualized </w:t>
      </w:r>
      <w:r w:rsidRPr="005B6EB1" w:rsidR="006955DC">
        <w:rPr>
          <w:b/>
          <w:i w:val="0"/>
          <w:color w:val="auto"/>
          <w:sz w:val="24"/>
          <w:szCs w:val="24"/>
        </w:rPr>
        <w:t xml:space="preserve">Hour </w:t>
      </w:r>
      <w:r w:rsidRPr="005B6EB1" w:rsidR="00B173D6">
        <w:rPr>
          <w:b/>
          <w:i w:val="0"/>
          <w:color w:val="auto"/>
          <w:sz w:val="24"/>
          <w:szCs w:val="24"/>
        </w:rPr>
        <w:t>Burden for IC-</w:t>
      </w:r>
      <w:r w:rsidRPr="005B6EB1" w:rsidR="00A968E7">
        <w:rPr>
          <w:b/>
          <w:i w:val="0"/>
          <w:color w:val="auto"/>
          <w:sz w:val="24"/>
          <w:szCs w:val="24"/>
        </w:rPr>
        <w:t>1</w:t>
      </w:r>
      <w:r w:rsidRPr="005B6EB1">
        <w:rPr>
          <w:b/>
          <w:i w:val="0"/>
          <w:color w:val="auto"/>
          <w:sz w:val="24"/>
          <w:szCs w:val="24"/>
        </w:rPr>
        <w:t xml:space="preserve"> (Training Provider Registration)</w:t>
      </w:r>
    </w:p>
    <w:tbl>
      <w:tblPr>
        <w:tblW w:w="5281" w:type="pct"/>
        <w:tblInd w:w="5" w:type="dxa"/>
        <w:tblLayout w:type="fixed"/>
        <w:tblLook w:val="04A0"/>
      </w:tblPr>
      <w:tblGrid>
        <w:gridCol w:w="4671"/>
        <w:gridCol w:w="1711"/>
        <w:gridCol w:w="1531"/>
        <w:gridCol w:w="1711"/>
        <w:gridCol w:w="236"/>
      </w:tblGrid>
      <w:tr w14:paraId="36E8AC98" w14:textId="77777777" w:rsidTr="00637CF5">
        <w:tblPrEx>
          <w:tblW w:w="5281" w:type="pct"/>
          <w:tblInd w:w="5" w:type="dxa"/>
          <w:tblLayout w:type="fixed"/>
          <w:tblLook w:val="04A0"/>
        </w:tblPrEx>
        <w:trPr>
          <w:gridAfter w:val="1"/>
          <w:wAfter w:w="236" w:type="dxa"/>
          <w:trHeight w:val="915"/>
        </w:trPr>
        <w:tc>
          <w:tcPr>
            <w:tcW w:w="4670" w:type="dxa"/>
            <w:tcBorders>
              <w:top w:val="single" w:sz="12" w:space="0" w:color="auto"/>
              <w:left w:val="single" w:sz="8" w:space="0" w:color="auto"/>
              <w:bottom w:val="single" w:sz="12" w:space="0" w:color="auto"/>
              <w:right w:val="single" w:sz="12" w:space="0" w:color="auto"/>
            </w:tcBorders>
            <w:shd w:val="clear" w:color="000000" w:fill="E0E0E0"/>
            <w:vAlign w:val="center"/>
            <w:hideMark/>
          </w:tcPr>
          <w:p w:rsidR="00670ADE" w:rsidRPr="005B6EB1" w:rsidP="00670ADE" w14:paraId="488CC71B" w14:textId="77777777">
            <w:pPr>
              <w:widowControl/>
              <w:autoSpaceDE/>
              <w:autoSpaceDN/>
              <w:adjustRightInd/>
              <w:jc w:val="center"/>
              <w:rPr>
                <w:b/>
                <w:bCs/>
                <w:color w:val="000000"/>
                <w:sz w:val="22"/>
                <w:szCs w:val="22"/>
              </w:rPr>
            </w:pPr>
            <w:r w:rsidRPr="005B6EB1">
              <w:rPr>
                <w:b/>
                <w:bCs/>
                <w:color w:val="000000"/>
                <w:sz w:val="22"/>
                <w:szCs w:val="22"/>
              </w:rPr>
              <w:t>Type of Activity</w:t>
            </w:r>
          </w:p>
        </w:tc>
        <w:tc>
          <w:tcPr>
            <w:tcW w:w="1710" w:type="dxa"/>
            <w:tcBorders>
              <w:top w:val="single" w:sz="12" w:space="0" w:color="auto"/>
              <w:left w:val="nil"/>
              <w:bottom w:val="single" w:sz="12" w:space="0" w:color="auto"/>
              <w:right w:val="single" w:sz="8" w:space="0" w:color="auto"/>
            </w:tcBorders>
            <w:shd w:val="clear" w:color="000000" w:fill="E0E0E0"/>
            <w:vAlign w:val="center"/>
            <w:hideMark/>
          </w:tcPr>
          <w:p w:rsidR="00670ADE" w:rsidRPr="005B6EB1" w:rsidP="00670ADE" w14:paraId="5BBF29E7" w14:textId="77777777">
            <w:pPr>
              <w:widowControl/>
              <w:autoSpaceDE/>
              <w:autoSpaceDN/>
              <w:adjustRightInd/>
              <w:jc w:val="center"/>
              <w:rPr>
                <w:b/>
                <w:bCs/>
                <w:color w:val="000000"/>
                <w:sz w:val="22"/>
                <w:szCs w:val="22"/>
              </w:rPr>
            </w:pPr>
            <w:r w:rsidRPr="005B6EB1">
              <w:rPr>
                <w:b/>
                <w:bCs/>
                <w:color w:val="000000"/>
                <w:sz w:val="22"/>
                <w:szCs w:val="22"/>
              </w:rPr>
              <w:t>Average Annual Responses</w:t>
            </w:r>
          </w:p>
        </w:tc>
        <w:tc>
          <w:tcPr>
            <w:tcW w:w="1530" w:type="dxa"/>
            <w:tcBorders>
              <w:top w:val="single" w:sz="12" w:space="0" w:color="auto"/>
              <w:left w:val="nil"/>
              <w:bottom w:val="single" w:sz="12" w:space="0" w:color="auto"/>
              <w:right w:val="single" w:sz="8" w:space="0" w:color="auto"/>
            </w:tcBorders>
            <w:shd w:val="clear" w:color="000000" w:fill="E0E0E0"/>
            <w:vAlign w:val="center"/>
            <w:hideMark/>
          </w:tcPr>
          <w:p w:rsidR="00670ADE" w:rsidRPr="005B6EB1" w:rsidP="00670ADE" w14:paraId="4FB76D9D" w14:textId="77777777">
            <w:pPr>
              <w:widowControl/>
              <w:autoSpaceDE/>
              <w:autoSpaceDN/>
              <w:adjustRightInd/>
              <w:jc w:val="center"/>
              <w:rPr>
                <w:b/>
                <w:bCs/>
                <w:color w:val="000000"/>
                <w:sz w:val="22"/>
                <w:szCs w:val="22"/>
              </w:rPr>
            </w:pPr>
            <w:r w:rsidRPr="005B6EB1">
              <w:rPr>
                <w:b/>
                <w:bCs/>
                <w:color w:val="000000"/>
                <w:sz w:val="22"/>
                <w:szCs w:val="22"/>
              </w:rPr>
              <w:t>Burden Hour per response</w:t>
            </w:r>
          </w:p>
        </w:tc>
        <w:tc>
          <w:tcPr>
            <w:tcW w:w="1710" w:type="dxa"/>
            <w:tcBorders>
              <w:top w:val="single" w:sz="12" w:space="0" w:color="auto"/>
              <w:left w:val="nil"/>
              <w:bottom w:val="single" w:sz="12" w:space="0" w:color="auto"/>
              <w:right w:val="single" w:sz="12" w:space="0" w:color="auto"/>
            </w:tcBorders>
            <w:shd w:val="clear" w:color="000000" w:fill="E0E0E0"/>
            <w:vAlign w:val="center"/>
            <w:hideMark/>
          </w:tcPr>
          <w:p w:rsidR="00670ADE" w:rsidRPr="005B6EB1" w:rsidP="00670ADE" w14:paraId="4AF5130D" w14:textId="77777777">
            <w:pPr>
              <w:widowControl/>
              <w:autoSpaceDE/>
              <w:autoSpaceDN/>
              <w:adjustRightInd/>
              <w:jc w:val="center"/>
              <w:rPr>
                <w:b/>
                <w:bCs/>
                <w:color w:val="000000"/>
                <w:sz w:val="22"/>
                <w:szCs w:val="22"/>
              </w:rPr>
            </w:pPr>
            <w:r w:rsidRPr="005B6EB1">
              <w:rPr>
                <w:b/>
                <w:bCs/>
                <w:color w:val="000000"/>
                <w:sz w:val="22"/>
                <w:szCs w:val="22"/>
              </w:rPr>
              <w:t>Estimated Annual Burden Hours</w:t>
            </w:r>
          </w:p>
        </w:tc>
      </w:tr>
      <w:tr w14:paraId="656482E3" w14:textId="77777777" w:rsidTr="00637CF5">
        <w:tblPrEx>
          <w:tblW w:w="5281" w:type="pct"/>
          <w:tblInd w:w="5" w:type="dxa"/>
          <w:tblLayout w:type="fixed"/>
          <w:tblLook w:val="04A0"/>
        </w:tblPrEx>
        <w:trPr>
          <w:gridAfter w:val="1"/>
          <w:wAfter w:w="236" w:type="dxa"/>
          <w:trHeight w:val="315"/>
        </w:trPr>
        <w:tc>
          <w:tcPr>
            <w:tcW w:w="4670" w:type="dxa"/>
            <w:tcBorders>
              <w:top w:val="nil"/>
              <w:left w:val="single" w:sz="8" w:space="0" w:color="auto"/>
              <w:bottom w:val="single" w:sz="8" w:space="0" w:color="auto"/>
              <w:right w:val="single" w:sz="12" w:space="0" w:color="auto"/>
            </w:tcBorders>
            <w:shd w:val="clear" w:color="auto" w:fill="auto"/>
            <w:noWrap/>
            <w:vAlign w:val="center"/>
            <w:hideMark/>
          </w:tcPr>
          <w:p w:rsidR="00670ADE" w:rsidRPr="005B6EB1" w:rsidP="00670ADE" w14:paraId="17321904" w14:textId="77777777">
            <w:pPr>
              <w:widowControl/>
              <w:autoSpaceDE/>
              <w:autoSpaceDN/>
              <w:adjustRightInd/>
              <w:rPr>
                <w:color w:val="000000"/>
                <w:sz w:val="22"/>
                <w:szCs w:val="22"/>
              </w:rPr>
            </w:pPr>
            <w:r w:rsidRPr="005B6EB1">
              <w:rPr>
                <w:color w:val="000000"/>
                <w:sz w:val="22"/>
                <w:szCs w:val="22"/>
              </w:rPr>
              <w:t>Hour Burden for New First-Time Registrations</w:t>
            </w:r>
          </w:p>
        </w:tc>
        <w:tc>
          <w:tcPr>
            <w:tcW w:w="1710" w:type="dxa"/>
            <w:tcBorders>
              <w:top w:val="nil"/>
              <w:left w:val="nil"/>
              <w:bottom w:val="single" w:sz="8" w:space="0" w:color="auto"/>
              <w:right w:val="single" w:sz="8" w:space="0" w:color="auto"/>
            </w:tcBorders>
            <w:shd w:val="clear" w:color="auto" w:fill="auto"/>
            <w:vAlign w:val="center"/>
            <w:hideMark/>
          </w:tcPr>
          <w:p w:rsidR="00670ADE" w:rsidRPr="005B6EB1" w:rsidP="00670ADE" w14:paraId="77F6611A" w14:textId="77777777">
            <w:pPr>
              <w:widowControl/>
              <w:autoSpaceDE/>
              <w:autoSpaceDN/>
              <w:adjustRightInd/>
              <w:jc w:val="right"/>
              <w:rPr>
                <w:color w:val="000000"/>
                <w:sz w:val="22"/>
                <w:szCs w:val="22"/>
              </w:rPr>
            </w:pPr>
            <w:r w:rsidRPr="005B6EB1">
              <w:rPr>
                <w:color w:val="000000"/>
                <w:sz w:val="22"/>
                <w:szCs w:val="22"/>
              </w:rPr>
              <w:t>12,402</w:t>
            </w:r>
          </w:p>
        </w:tc>
        <w:tc>
          <w:tcPr>
            <w:tcW w:w="1530" w:type="dxa"/>
            <w:tcBorders>
              <w:top w:val="nil"/>
              <w:left w:val="nil"/>
              <w:bottom w:val="single" w:sz="8" w:space="0" w:color="auto"/>
              <w:right w:val="single" w:sz="8" w:space="0" w:color="auto"/>
            </w:tcBorders>
            <w:shd w:val="clear" w:color="auto" w:fill="auto"/>
            <w:vAlign w:val="center"/>
            <w:hideMark/>
          </w:tcPr>
          <w:p w:rsidR="00670ADE" w:rsidRPr="005B6EB1" w:rsidP="00670ADE" w14:paraId="41F81A8E" w14:textId="77777777">
            <w:pPr>
              <w:widowControl/>
              <w:autoSpaceDE/>
              <w:autoSpaceDN/>
              <w:adjustRightInd/>
              <w:jc w:val="right"/>
              <w:rPr>
                <w:color w:val="000000"/>
                <w:sz w:val="22"/>
                <w:szCs w:val="22"/>
              </w:rPr>
            </w:pPr>
            <w:r w:rsidRPr="005B6EB1">
              <w:rPr>
                <w:color w:val="000000"/>
                <w:sz w:val="22"/>
                <w:szCs w:val="22"/>
              </w:rPr>
              <w:t>2</w:t>
            </w:r>
          </w:p>
        </w:tc>
        <w:tc>
          <w:tcPr>
            <w:tcW w:w="1710" w:type="dxa"/>
            <w:tcBorders>
              <w:top w:val="nil"/>
              <w:left w:val="nil"/>
              <w:bottom w:val="single" w:sz="8" w:space="0" w:color="auto"/>
              <w:right w:val="single" w:sz="12" w:space="0" w:color="auto"/>
            </w:tcBorders>
            <w:shd w:val="clear" w:color="auto" w:fill="auto"/>
            <w:vAlign w:val="center"/>
            <w:hideMark/>
          </w:tcPr>
          <w:p w:rsidR="00670ADE" w:rsidRPr="005B6EB1" w:rsidP="00670ADE" w14:paraId="661F9A04" w14:textId="77777777">
            <w:pPr>
              <w:widowControl/>
              <w:autoSpaceDE/>
              <w:autoSpaceDN/>
              <w:adjustRightInd/>
              <w:jc w:val="right"/>
              <w:rPr>
                <w:color w:val="000000"/>
                <w:sz w:val="22"/>
                <w:szCs w:val="22"/>
              </w:rPr>
            </w:pPr>
            <w:r w:rsidRPr="005B6EB1">
              <w:rPr>
                <w:color w:val="000000"/>
                <w:sz w:val="22"/>
                <w:szCs w:val="22"/>
              </w:rPr>
              <w:t>24,804</w:t>
            </w:r>
          </w:p>
        </w:tc>
      </w:tr>
      <w:tr w14:paraId="0F740B7C" w14:textId="77777777" w:rsidTr="00637CF5">
        <w:tblPrEx>
          <w:tblW w:w="5281" w:type="pct"/>
          <w:tblInd w:w="5" w:type="dxa"/>
          <w:tblLayout w:type="fixed"/>
          <w:tblLook w:val="04A0"/>
        </w:tblPrEx>
        <w:trPr>
          <w:gridAfter w:val="1"/>
          <w:wAfter w:w="236" w:type="dxa"/>
          <w:trHeight w:val="315"/>
        </w:trPr>
        <w:tc>
          <w:tcPr>
            <w:tcW w:w="4670" w:type="dxa"/>
            <w:vMerge w:val="restart"/>
            <w:tcBorders>
              <w:top w:val="nil"/>
              <w:left w:val="single" w:sz="8" w:space="0" w:color="auto"/>
              <w:bottom w:val="single" w:sz="8" w:space="0" w:color="000000"/>
              <w:right w:val="single" w:sz="12" w:space="0" w:color="auto"/>
            </w:tcBorders>
            <w:shd w:val="clear" w:color="auto" w:fill="auto"/>
            <w:noWrap/>
            <w:vAlign w:val="center"/>
            <w:hideMark/>
          </w:tcPr>
          <w:p w:rsidR="00670ADE" w:rsidRPr="005B6EB1" w:rsidP="00670ADE" w14:paraId="5BFE2CD5" w14:textId="77777777">
            <w:pPr>
              <w:widowControl/>
              <w:autoSpaceDE/>
              <w:autoSpaceDN/>
              <w:adjustRightInd/>
              <w:rPr>
                <w:color w:val="000000"/>
                <w:sz w:val="22"/>
                <w:szCs w:val="22"/>
              </w:rPr>
            </w:pPr>
            <w:r w:rsidRPr="005B6EB1">
              <w:rPr>
                <w:color w:val="000000"/>
                <w:sz w:val="22"/>
                <w:szCs w:val="22"/>
              </w:rPr>
              <w:t>Hour Burden for Biennial Updates of Existing Registration</w:t>
            </w:r>
          </w:p>
        </w:tc>
        <w:tc>
          <w:tcPr>
            <w:tcW w:w="1710" w:type="dxa"/>
            <w:vMerge w:val="restart"/>
            <w:tcBorders>
              <w:top w:val="nil"/>
              <w:left w:val="single" w:sz="12" w:space="0" w:color="auto"/>
              <w:bottom w:val="single" w:sz="8" w:space="0" w:color="000000"/>
              <w:right w:val="single" w:sz="8" w:space="0" w:color="auto"/>
            </w:tcBorders>
            <w:shd w:val="clear" w:color="auto" w:fill="auto"/>
            <w:vAlign w:val="center"/>
            <w:hideMark/>
          </w:tcPr>
          <w:p w:rsidR="00670ADE" w:rsidRPr="005B6EB1" w:rsidP="00670ADE" w14:paraId="410AD693" w14:textId="22583789">
            <w:pPr>
              <w:widowControl/>
              <w:autoSpaceDE/>
              <w:autoSpaceDN/>
              <w:adjustRightInd/>
              <w:jc w:val="right"/>
              <w:rPr>
                <w:color w:val="000000"/>
                <w:sz w:val="22"/>
                <w:szCs w:val="22"/>
              </w:rPr>
            </w:pPr>
            <w:r w:rsidRPr="005B6EB1">
              <w:rPr>
                <w:color w:val="000000"/>
                <w:sz w:val="22"/>
                <w:szCs w:val="22"/>
              </w:rPr>
              <w:t>18</w:t>
            </w:r>
            <w:r w:rsidRPr="005B6EB1" w:rsidR="00621014">
              <w:rPr>
                <w:color w:val="000000"/>
                <w:sz w:val="22"/>
                <w:szCs w:val="22"/>
              </w:rPr>
              <w:t>,</w:t>
            </w:r>
            <w:r w:rsidRPr="005B6EB1">
              <w:rPr>
                <w:color w:val="000000"/>
                <w:sz w:val="22"/>
                <w:szCs w:val="22"/>
              </w:rPr>
              <w:t>761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670ADE" w:rsidRPr="005B6EB1" w:rsidP="00670ADE" w14:paraId="57D68E28" w14:textId="77777777">
            <w:pPr>
              <w:widowControl/>
              <w:autoSpaceDE/>
              <w:autoSpaceDN/>
              <w:adjustRightInd/>
              <w:jc w:val="right"/>
              <w:rPr>
                <w:color w:val="000000"/>
                <w:sz w:val="22"/>
                <w:szCs w:val="22"/>
              </w:rPr>
            </w:pPr>
            <w:r w:rsidRPr="005B6EB1">
              <w:rPr>
                <w:color w:val="000000"/>
                <w:sz w:val="22"/>
                <w:szCs w:val="22"/>
              </w:rPr>
              <w:t>0.75</w:t>
            </w:r>
          </w:p>
        </w:tc>
        <w:tc>
          <w:tcPr>
            <w:tcW w:w="1710" w:type="dxa"/>
            <w:vMerge w:val="restart"/>
            <w:tcBorders>
              <w:top w:val="nil"/>
              <w:left w:val="single" w:sz="8" w:space="0" w:color="auto"/>
              <w:bottom w:val="single" w:sz="8" w:space="0" w:color="000000"/>
              <w:right w:val="single" w:sz="12" w:space="0" w:color="auto"/>
            </w:tcBorders>
            <w:shd w:val="clear" w:color="auto" w:fill="auto"/>
            <w:vAlign w:val="center"/>
            <w:hideMark/>
          </w:tcPr>
          <w:p w:rsidR="00670ADE" w:rsidRPr="005B6EB1" w:rsidP="00670ADE" w14:paraId="5D187CAE" w14:textId="161EF425">
            <w:pPr>
              <w:widowControl/>
              <w:autoSpaceDE/>
              <w:autoSpaceDN/>
              <w:adjustRightInd/>
              <w:jc w:val="right"/>
              <w:rPr>
                <w:color w:val="000000"/>
                <w:sz w:val="22"/>
                <w:szCs w:val="22"/>
              </w:rPr>
            </w:pPr>
            <w:r w:rsidRPr="005B6EB1">
              <w:rPr>
                <w:color w:val="000000"/>
                <w:sz w:val="22"/>
                <w:szCs w:val="22"/>
              </w:rPr>
              <w:t>14</w:t>
            </w:r>
            <w:r w:rsidRPr="005B6EB1" w:rsidR="003857A2">
              <w:rPr>
                <w:color w:val="000000"/>
                <w:sz w:val="22"/>
                <w:szCs w:val="22"/>
              </w:rPr>
              <w:t>,</w:t>
            </w:r>
            <w:r w:rsidRPr="005B6EB1">
              <w:rPr>
                <w:color w:val="000000"/>
                <w:sz w:val="22"/>
                <w:szCs w:val="22"/>
              </w:rPr>
              <w:t>07</w:t>
            </w:r>
            <w:r w:rsidRPr="005B6EB1" w:rsidR="003857A2">
              <w:rPr>
                <w:color w:val="000000"/>
                <w:sz w:val="22"/>
                <w:szCs w:val="22"/>
              </w:rPr>
              <w:t>1</w:t>
            </w:r>
          </w:p>
        </w:tc>
      </w:tr>
      <w:tr w14:paraId="717EE0B6" w14:textId="77777777" w:rsidTr="005B6EB1">
        <w:tblPrEx>
          <w:tblW w:w="5281" w:type="pct"/>
          <w:tblInd w:w="5" w:type="dxa"/>
          <w:tblLayout w:type="fixed"/>
          <w:tblLook w:val="04A0"/>
        </w:tblPrEx>
        <w:trPr>
          <w:trHeight w:val="330"/>
        </w:trPr>
        <w:tc>
          <w:tcPr>
            <w:tcW w:w="4670" w:type="dxa"/>
            <w:vMerge/>
            <w:tcBorders>
              <w:top w:val="nil"/>
              <w:left w:val="single" w:sz="8" w:space="0" w:color="auto"/>
              <w:bottom w:val="single" w:sz="8" w:space="0" w:color="000000"/>
              <w:right w:val="single" w:sz="12" w:space="0" w:color="auto"/>
            </w:tcBorders>
            <w:vAlign w:val="center"/>
            <w:hideMark/>
          </w:tcPr>
          <w:p w:rsidR="00670ADE" w:rsidRPr="005B6EB1" w:rsidP="00670ADE" w14:paraId="71E95994" w14:textId="77777777">
            <w:pPr>
              <w:widowControl/>
              <w:autoSpaceDE/>
              <w:autoSpaceDN/>
              <w:adjustRightInd/>
              <w:rPr>
                <w:color w:val="000000"/>
                <w:sz w:val="22"/>
                <w:szCs w:val="22"/>
              </w:rPr>
            </w:pPr>
          </w:p>
        </w:tc>
        <w:tc>
          <w:tcPr>
            <w:tcW w:w="1710" w:type="dxa"/>
            <w:vMerge/>
            <w:tcBorders>
              <w:top w:val="nil"/>
              <w:left w:val="single" w:sz="12" w:space="0" w:color="auto"/>
              <w:bottom w:val="single" w:sz="8" w:space="0" w:color="000000"/>
              <w:right w:val="single" w:sz="8" w:space="0" w:color="auto"/>
            </w:tcBorders>
            <w:vAlign w:val="center"/>
            <w:hideMark/>
          </w:tcPr>
          <w:p w:rsidR="00670ADE" w:rsidRPr="005B6EB1" w:rsidP="00670ADE" w14:paraId="201E7230" w14:textId="77777777">
            <w:pPr>
              <w:widowControl/>
              <w:autoSpaceDE/>
              <w:autoSpaceDN/>
              <w:adjustRightInd/>
              <w:rPr>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670ADE" w:rsidRPr="005B6EB1" w:rsidP="00670ADE" w14:paraId="4B0F52CF" w14:textId="77777777">
            <w:pPr>
              <w:widowControl/>
              <w:autoSpaceDE/>
              <w:autoSpaceDN/>
              <w:adjustRightInd/>
              <w:rPr>
                <w:color w:val="000000"/>
                <w:sz w:val="22"/>
                <w:szCs w:val="22"/>
              </w:rPr>
            </w:pPr>
          </w:p>
        </w:tc>
        <w:tc>
          <w:tcPr>
            <w:tcW w:w="1710" w:type="dxa"/>
            <w:vMerge/>
            <w:tcBorders>
              <w:top w:val="nil"/>
              <w:left w:val="single" w:sz="8" w:space="0" w:color="auto"/>
              <w:bottom w:val="single" w:sz="8" w:space="0" w:color="000000"/>
              <w:right w:val="single" w:sz="12" w:space="0" w:color="auto"/>
            </w:tcBorders>
            <w:vAlign w:val="center"/>
            <w:hideMark/>
          </w:tcPr>
          <w:p w:rsidR="00670ADE" w:rsidRPr="005B6EB1" w:rsidP="00670ADE" w14:paraId="25E8B1F5" w14:textId="77777777">
            <w:pPr>
              <w:widowControl/>
              <w:autoSpaceDE/>
              <w:autoSpaceDN/>
              <w:adjustRightInd/>
              <w:rPr>
                <w:color w:val="000000"/>
                <w:sz w:val="22"/>
                <w:szCs w:val="22"/>
              </w:rPr>
            </w:pPr>
          </w:p>
        </w:tc>
        <w:tc>
          <w:tcPr>
            <w:tcW w:w="236" w:type="dxa"/>
            <w:tcBorders>
              <w:top w:val="nil"/>
              <w:left w:val="nil"/>
              <w:bottom w:val="nil"/>
              <w:right w:val="nil"/>
            </w:tcBorders>
            <w:shd w:val="clear" w:color="auto" w:fill="auto"/>
            <w:noWrap/>
            <w:vAlign w:val="bottom"/>
            <w:hideMark/>
          </w:tcPr>
          <w:p w:rsidR="00670ADE" w:rsidRPr="005B6EB1" w:rsidP="00670ADE" w14:paraId="6AFFC6EA" w14:textId="77777777">
            <w:pPr>
              <w:widowControl/>
              <w:autoSpaceDE/>
              <w:autoSpaceDN/>
              <w:adjustRightInd/>
              <w:jc w:val="right"/>
              <w:rPr>
                <w:color w:val="000000"/>
                <w:sz w:val="22"/>
                <w:szCs w:val="22"/>
              </w:rPr>
            </w:pPr>
          </w:p>
        </w:tc>
      </w:tr>
      <w:tr w14:paraId="68472D06" w14:textId="77777777" w:rsidTr="005B6EB1">
        <w:tblPrEx>
          <w:tblW w:w="5281" w:type="pct"/>
          <w:tblInd w:w="5" w:type="dxa"/>
          <w:tblLayout w:type="fixed"/>
          <w:tblLook w:val="04A0"/>
        </w:tblPrEx>
        <w:trPr>
          <w:trHeight w:val="930"/>
        </w:trPr>
        <w:tc>
          <w:tcPr>
            <w:tcW w:w="4670" w:type="dxa"/>
            <w:tcBorders>
              <w:top w:val="nil"/>
              <w:left w:val="single" w:sz="8" w:space="0" w:color="auto"/>
              <w:bottom w:val="single" w:sz="12" w:space="0" w:color="auto"/>
              <w:right w:val="single" w:sz="12" w:space="0" w:color="auto"/>
            </w:tcBorders>
            <w:shd w:val="clear" w:color="auto" w:fill="auto"/>
            <w:vAlign w:val="center"/>
            <w:hideMark/>
          </w:tcPr>
          <w:p w:rsidR="00670ADE" w:rsidRPr="005B6EB1" w:rsidP="00670ADE" w14:paraId="2B7FA0ED" w14:textId="77777777">
            <w:pPr>
              <w:widowControl/>
              <w:autoSpaceDE/>
              <w:autoSpaceDN/>
              <w:adjustRightInd/>
              <w:rPr>
                <w:color w:val="000000"/>
                <w:sz w:val="22"/>
                <w:szCs w:val="22"/>
              </w:rPr>
            </w:pPr>
            <w:r w:rsidRPr="005B6EB1">
              <w:rPr>
                <w:color w:val="000000"/>
                <w:sz w:val="22"/>
                <w:szCs w:val="22"/>
              </w:rPr>
              <w:t>Hour Burden for Updates of Existing Registration Due to Change in Key Information</w:t>
            </w:r>
          </w:p>
        </w:tc>
        <w:tc>
          <w:tcPr>
            <w:tcW w:w="1710" w:type="dxa"/>
            <w:tcBorders>
              <w:top w:val="single" w:sz="8" w:space="0" w:color="000000"/>
              <w:left w:val="nil"/>
              <w:bottom w:val="single" w:sz="12" w:space="0" w:color="auto"/>
              <w:right w:val="single" w:sz="4" w:space="0" w:color="auto"/>
            </w:tcBorders>
            <w:shd w:val="clear" w:color="auto" w:fill="auto"/>
            <w:vAlign w:val="center"/>
            <w:hideMark/>
          </w:tcPr>
          <w:p w:rsidR="00670ADE" w:rsidRPr="005B6EB1" w:rsidP="00670ADE" w14:paraId="5A4D72D9" w14:textId="77777777">
            <w:pPr>
              <w:widowControl/>
              <w:autoSpaceDE/>
              <w:autoSpaceDN/>
              <w:adjustRightInd/>
              <w:jc w:val="right"/>
              <w:rPr>
                <w:color w:val="000000"/>
                <w:sz w:val="22"/>
                <w:szCs w:val="22"/>
              </w:rPr>
            </w:pPr>
            <w:r w:rsidRPr="005B6EB1">
              <w:rPr>
                <w:color w:val="000000"/>
                <w:sz w:val="22"/>
                <w:szCs w:val="22"/>
              </w:rPr>
              <w:t>9,042</w:t>
            </w:r>
          </w:p>
        </w:tc>
        <w:tc>
          <w:tcPr>
            <w:tcW w:w="1530" w:type="dxa"/>
            <w:tcBorders>
              <w:top w:val="nil"/>
              <w:left w:val="single" w:sz="4" w:space="0" w:color="auto"/>
              <w:bottom w:val="single" w:sz="12" w:space="0" w:color="auto"/>
              <w:right w:val="single" w:sz="8" w:space="0" w:color="auto"/>
            </w:tcBorders>
            <w:shd w:val="clear" w:color="auto" w:fill="auto"/>
            <w:vAlign w:val="center"/>
            <w:hideMark/>
          </w:tcPr>
          <w:p w:rsidR="00670ADE" w:rsidRPr="005B6EB1" w:rsidP="00670ADE" w14:paraId="683BC4FF" w14:textId="77777777">
            <w:pPr>
              <w:widowControl/>
              <w:autoSpaceDE/>
              <w:autoSpaceDN/>
              <w:adjustRightInd/>
              <w:jc w:val="right"/>
              <w:rPr>
                <w:color w:val="000000"/>
                <w:sz w:val="22"/>
                <w:szCs w:val="22"/>
              </w:rPr>
            </w:pPr>
            <w:r w:rsidRPr="005B6EB1">
              <w:rPr>
                <w:color w:val="000000"/>
                <w:sz w:val="22"/>
                <w:szCs w:val="22"/>
              </w:rPr>
              <w:t>0.25</w:t>
            </w:r>
          </w:p>
        </w:tc>
        <w:tc>
          <w:tcPr>
            <w:tcW w:w="1710" w:type="dxa"/>
            <w:tcBorders>
              <w:top w:val="nil"/>
              <w:left w:val="nil"/>
              <w:bottom w:val="single" w:sz="12" w:space="0" w:color="auto"/>
              <w:right w:val="single" w:sz="12" w:space="0" w:color="auto"/>
            </w:tcBorders>
            <w:shd w:val="clear" w:color="auto" w:fill="auto"/>
            <w:vAlign w:val="center"/>
            <w:hideMark/>
          </w:tcPr>
          <w:p w:rsidR="00670ADE" w:rsidRPr="005B6EB1" w:rsidP="00670ADE" w14:paraId="5801667E" w14:textId="68E346B5">
            <w:pPr>
              <w:widowControl/>
              <w:autoSpaceDE/>
              <w:autoSpaceDN/>
              <w:adjustRightInd/>
              <w:jc w:val="right"/>
              <w:rPr>
                <w:color w:val="000000"/>
                <w:sz w:val="22"/>
                <w:szCs w:val="22"/>
              </w:rPr>
            </w:pPr>
            <w:r w:rsidRPr="005B6EB1">
              <w:rPr>
                <w:color w:val="000000"/>
                <w:sz w:val="22"/>
                <w:szCs w:val="22"/>
              </w:rPr>
              <w:t>2</w:t>
            </w:r>
            <w:r w:rsidRPr="005B6EB1" w:rsidR="003857A2">
              <w:rPr>
                <w:color w:val="000000"/>
                <w:sz w:val="22"/>
                <w:szCs w:val="22"/>
              </w:rPr>
              <w:t>,</w:t>
            </w:r>
            <w:r w:rsidRPr="005B6EB1">
              <w:rPr>
                <w:color w:val="000000"/>
                <w:sz w:val="22"/>
                <w:szCs w:val="22"/>
              </w:rPr>
              <w:t>26</w:t>
            </w:r>
            <w:r w:rsidRPr="005B6EB1" w:rsidR="003857A2">
              <w:rPr>
                <w:color w:val="000000"/>
                <w:sz w:val="22"/>
                <w:szCs w:val="22"/>
              </w:rPr>
              <w:t>1</w:t>
            </w:r>
          </w:p>
        </w:tc>
        <w:tc>
          <w:tcPr>
            <w:tcW w:w="236" w:type="dxa"/>
            <w:vAlign w:val="center"/>
            <w:hideMark/>
          </w:tcPr>
          <w:p w:rsidR="00670ADE" w:rsidRPr="005B6EB1" w:rsidP="00670ADE" w14:paraId="48C5D347" w14:textId="77777777">
            <w:pPr>
              <w:widowControl/>
              <w:autoSpaceDE/>
              <w:autoSpaceDN/>
              <w:adjustRightInd/>
              <w:rPr>
                <w:sz w:val="20"/>
              </w:rPr>
            </w:pPr>
          </w:p>
        </w:tc>
      </w:tr>
      <w:tr w14:paraId="21C74D5E" w14:textId="77777777" w:rsidTr="00637CF5">
        <w:tblPrEx>
          <w:tblW w:w="5281" w:type="pct"/>
          <w:tblInd w:w="5" w:type="dxa"/>
          <w:tblLayout w:type="fixed"/>
          <w:tblLook w:val="04A0"/>
        </w:tblPrEx>
        <w:trPr>
          <w:trHeight w:val="330"/>
        </w:trPr>
        <w:tc>
          <w:tcPr>
            <w:tcW w:w="4670" w:type="dxa"/>
            <w:tcBorders>
              <w:top w:val="nil"/>
              <w:left w:val="single" w:sz="8" w:space="0" w:color="auto"/>
              <w:bottom w:val="single" w:sz="12" w:space="0" w:color="auto"/>
              <w:right w:val="single" w:sz="12" w:space="0" w:color="auto"/>
            </w:tcBorders>
            <w:shd w:val="clear" w:color="000000" w:fill="D9D9D9"/>
            <w:noWrap/>
            <w:vAlign w:val="center"/>
            <w:hideMark/>
          </w:tcPr>
          <w:p w:rsidR="00670ADE" w:rsidRPr="005B6EB1" w:rsidP="00670ADE" w14:paraId="0D971E0B" w14:textId="77777777">
            <w:pPr>
              <w:widowControl/>
              <w:autoSpaceDE/>
              <w:autoSpaceDN/>
              <w:adjustRightInd/>
              <w:rPr>
                <w:b/>
                <w:bCs/>
                <w:color w:val="000000"/>
                <w:sz w:val="22"/>
                <w:szCs w:val="22"/>
              </w:rPr>
            </w:pPr>
            <w:r w:rsidRPr="005B6EB1">
              <w:rPr>
                <w:b/>
                <w:bCs/>
                <w:color w:val="000000"/>
                <w:sz w:val="22"/>
                <w:szCs w:val="22"/>
              </w:rPr>
              <w:t>HOUR BURDEN FOR ALL RESPONSE TYPES</w:t>
            </w:r>
          </w:p>
        </w:tc>
        <w:tc>
          <w:tcPr>
            <w:tcW w:w="1710" w:type="dxa"/>
            <w:tcBorders>
              <w:top w:val="nil"/>
              <w:left w:val="nil"/>
              <w:bottom w:val="single" w:sz="12" w:space="0" w:color="auto"/>
              <w:right w:val="single" w:sz="8" w:space="0" w:color="auto"/>
            </w:tcBorders>
            <w:shd w:val="clear" w:color="000000" w:fill="D9D9D9"/>
            <w:vAlign w:val="center"/>
            <w:hideMark/>
          </w:tcPr>
          <w:p w:rsidR="00670ADE" w:rsidRPr="005B6EB1" w:rsidP="00670ADE" w14:paraId="79683DD2" w14:textId="78196445">
            <w:pPr>
              <w:widowControl/>
              <w:autoSpaceDE/>
              <w:autoSpaceDN/>
              <w:adjustRightInd/>
              <w:jc w:val="right"/>
              <w:rPr>
                <w:b/>
                <w:bCs/>
                <w:color w:val="000000"/>
                <w:sz w:val="22"/>
                <w:szCs w:val="22"/>
              </w:rPr>
            </w:pPr>
            <w:r w:rsidRPr="005B6EB1">
              <w:rPr>
                <w:b/>
                <w:bCs/>
                <w:color w:val="000000"/>
                <w:sz w:val="22"/>
                <w:szCs w:val="22"/>
              </w:rPr>
              <w:t>40,205</w:t>
            </w:r>
          </w:p>
        </w:tc>
        <w:tc>
          <w:tcPr>
            <w:tcW w:w="1530" w:type="dxa"/>
            <w:tcBorders>
              <w:top w:val="nil"/>
              <w:left w:val="nil"/>
              <w:bottom w:val="single" w:sz="12" w:space="0" w:color="auto"/>
              <w:right w:val="single" w:sz="8" w:space="0" w:color="auto"/>
            </w:tcBorders>
            <w:shd w:val="clear" w:color="000000" w:fill="000000"/>
            <w:vAlign w:val="center"/>
            <w:hideMark/>
          </w:tcPr>
          <w:p w:rsidR="00670ADE" w:rsidRPr="005B6EB1" w:rsidP="00670ADE" w14:paraId="2F18997A" w14:textId="77777777">
            <w:pPr>
              <w:widowControl/>
              <w:autoSpaceDE/>
              <w:autoSpaceDN/>
              <w:adjustRightInd/>
              <w:jc w:val="right"/>
              <w:rPr>
                <w:b/>
                <w:bCs/>
                <w:color w:val="000000"/>
                <w:sz w:val="22"/>
                <w:szCs w:val="22"/>
              </w:rPr>
            </w:pPr>
            <w:r w:rsidRPr="005B6EB1">
              <w:rPr>
                <w:b/>
                <w:bCs/>
                <w:color w:val="000000"/>
                <w:sz w:val="22"/>
                <w:szCs w:val="22"/>
              </w:rPr>
              <w:t> </w:t>
            </w:r>
          </w:p>
        </w:tc>
        <w:tc>
          <w:tcPr>
            <w:tcW w:w="1710" w:type="dxa"/>
            <w:tcBorders>
              <w:top w:val="nil"/>
              <w:left w:val="nil"/>
              <w:bottom w:val="single" w:sz="12" w:space="0" w:color="auto"/>
              <w:right w:val="single" w:sz="12" w:space="0" w:color="auto"/>
            </w:tcBorders>
            <w:shd w:val="clear" w:color="000000" w:fill="D9D9D9"/>
            <w:vAlign w:val="center"/>
            <w:hideMark/>
          </w:tcPr>
          <w:p w:rsidR="00670ADE" w:rsidRPr="005B6EB1" w:rsidP="00670ADE" w14:paraId="5DC49E48" w14:textId="77777777">
            <w:pPr>
              <w:widowControl/>
              <w:autoSpaceDE/>
              <w:autoSpaceDN/>
              <w:adjustRightInd/>
              <w:jc w:val="right"/>
              <w:rPr>
                <w:b/>
                <w:bCs/>
                <w:color w:val="000000"/>
                <w:sz w:val="22"/>
                <w:szCs w:val="22"/>
              </w:rPr>
            </w:pPr>
            <w:r w:rsidRPr="005B6EB1">
              <w:rPr>
                <w:b/>
                <w:bCs/>
                <w:color w:val="000000"/>
                <w:sz w:val="22"/>
                <w:szCs w:val="22"/>
              </w:rPr>
              <w:t>41,135</w:t>
            </w:r>
          </w:p>
        </w:tc>
        <w:tc>
          <w:tcPr>
            <w:tcW w:w="236" w:type="dxa"/>
            <w:vAlign w:val="center"/>
            <w:hideMark/>
          </w:tcPr>
          <w:p w:rsidR="00670ADE" w:rsidRPr="005B6EB1" w:rsidP="00670ADE" w14:paraId="5AF91C80" w14:textId="77777777">
            <w:pPr>
              <w:widowControl/>
              <w:autoSpaceDE/>
              <w:autoSpaceDN/>
              <w:adjustRightInd/>
              <w:rPr>
                <w:sz w:val="20"/>
              </w:rPr>
            </w:pPr>
          </w:p>
        </w:tc>
      </w:tr>
    </w:tbl>
    <w:p w:rsidR="008442BB" w:rsidRPr="005B6EB1" w:rsidP="00145EF4" w14:paraId="4FA70AB1" w14:textId="77777777">
      <w:pPr>
        <w:tabs>
          <w:tab w:val="left" w:pos="360"/>
        </w:tabs>
        <w:ind w:left="360"/>
        <w:rPr>
          <w:szCs w:val="24"/>
        </w:rPr>
      </w:pPr>
    </w:p>
    <w:p w:rsidR="00962525" w:rsidRPr="005B6EB1" w:rsidP="002E50B0" w14:paraId="5651FB18" w14:textId="77777777">
      <w:pPr>
        <w:ind w:left="360"/>
      </w:pPr>
      <w:r w:rsidRPr="005B6EB1">
        <w:t xml:space="preserve">Under </w:t>
      </w:r>
      <w:r w:rsidRPr="005B6EB1" w:rsidR="002E50B0">
        <w:t xml:space="preserve">49 </w:t>
      </w:r>
      <w:r w:rsidRPr="005B6EB1">
        <w:t>CFR 380.725, training providers must retain the following documentation and records:</w:t>
      </w:r>
    </w:p>
    <w:p w:rsidR="00EF3432" w:rsidRPr="005B6EB1" w:rsidP="002E50B0" w14:paraId="221ABCE9" w14:textId="77777777">
      <w:pPr>
        <w:ind w:left="360"/>
      </w:pPr>
    </w:p>
    <w:p w:rsidR="00EF3432" w:rsidRPr="005B6EB1" w:rsidP="00EF3432" w14:paraId="76CDED6A" w14:textId="68D50299">
      <w:pPr>
        <w:numPr>
          <w:ilvl w:val="0"/>
          <w:numId w:val="36"/>
        </w:numPr>
      </w:pPr>
      <w:r w:rsidRPr="005B6EB1">
        <w:t>Self-certifications from driver-trainees taking behind-the-wheel (BTW) training that the driver-trainees will comply with other U.S. DOT regulations related to alcohol and controlled substances testing, age,</w:t>
      </w:r>
      <w:r w:rsidR="00263B1F">
        <w:t xml:space="preserve"> licensing,</w:t>
      </w:r>
      <w:r w:rsidRPr="005B6EB1">
        <w:t xml:space="preserve"> medical certification, and driver records (</w:t>
      </w:r>
      <w:r w:rsidR="00263B1F">
        <w:t xml:space="preserve">set forth </w:t>
      </w:r>
      <w:r w:rsidRPr="005B6EB1">
        <w:t>in 49 CFR parts 40, 382, 383, and 391</w:t>
      </w:r>
      <w:r w:rsidR="00263B1F">
        <w:t>, respectively</w:t>
      </w:r>
      <w:r w:rsidRPr="005B6EB1">
        <w:t>).</w:t>
      </w:r>
    </w:p>
    <w:p w:rsidR="00EF3432" w:rsidRPr="005B6EB1" w:rsidP="00EF3432" w14:paraId="5519F33E" w14:textId="77777777">
      <w:pPr>
        <w:numPr>
          <w:ilvl w:val="0"/>
          <w:numId w:val="36"/>
        </w:numPr>
      </w:pPr>
      <w:r w:rsidRPr="005B6EB1">
        <w:t>A copy of the driver-trainee’s commercial learner’s permit</w:t>
      </w:r>
      <w:r w:rsidRPr="005B6EB1" w:rsidR="00125DC6">
        <w:t xml:space="preserve"> (CLP)</w:t>
      </w:r>
      <w:r w:rsidRPr="005B6EB1">
        <w:t xml:space="preserve"> or commercial driver’s license</w:t>
      </w:r>
      <w:r w:rsidRPr="005B6EB1" w:rsidR="001B66EB">
        <w:t xml:space="preserve"> (CDL)</w:t>
      </w:r>
      <w:r w:rsidRPr="005B6EB1">
        <w:t>, as applicable.</w:t>
      </w:r>
    </w:p>
    <w:p w:rsidR="00EF3432" w:rsidRPr="005B6EB1" w:rsidP="00EF3432" w14:paraId="5F95758D" w14:textId="77777777">
      <w:pPr>
        <w:numPr>
          <w:ilvl w:val="0"/>
          <w:numId w:val="36"/>
        </w:numPr>
      </w:pPr>
      <w:r w:rsidRPr="005B6EB1">
        <w:t>Instruc</w:t>
      </w:r>
      <w:r w:rsidRPr="005B6EB1" w:rsidR="007E3940">
        <w:t>tor qualification documentation (copies of instructor CDL and endorsements, etc.).</w:t>
      </w:r>
    </w:p>
    <w:p w:rsidR="00EF3432" w:rsidRPr="005B6EB1" w:rsidP="00EF3432" w14:paraId="03CB8EDF" w14:textId="77777777">
      <w:pPr>
        <w:numPr>
          <w:ilvl w:val="0"/>
          <w:numId w:val="36"/>
        </w:numPr>
      </w:pPr>
      <w:r w:rsidRPr="005B6EB1">
        <w:t>A copy of the current Training Provider Registration information that was submitted to the TPR.</w:t>
      </w:r>
    </w:p>
    <w:p w:rsidR="00EF3432" w:rsidP="00EF3432" w14:paraId="3334C306" w14:textId="007E820A">
      <w:pPr>
        <w:numPr>
          <w:ilvl w:val="0"/>
          <w:numId w:val="36"/>
        </w:numPr>
      </w:pPr>
      <w:r w:rsidRPr="005B6EB1">
        <w:t>Lesson plans for theory and BTW training curricula.</w:t>
      </w:r>
    </w:p>
    <w:p w:rsidR="00263B1F" w:rsidP="00263B1F" w14:paraId="52CEB4B2" w14:textId="77777777">
      <w:pPr>
        <w:numPr>
          <w:ilvl w:val="0"/>
          <w:numId w:val="36"/>
        </w:numPr>
      </w:pPr>
      <w:r>
        <w:t>R</w:t>
      </w:r>
      <w:r w:rsidRPr="004D40AE">
        <w:t xml:space="preserve">ecords of individual entry-level driver training assessments as described in </w:t>
      </w:r>
      <w:hyperlink r:id="rId6" w:history="1">
        <w:r>
          <w:rPr>
            <w:color w:val="0000FF"/>
            <w:u w:val="single"/>
          </w:rPr>
          <w:t>49 CFR</w:t>
        </w:r>
        <w:r w:rsidRPr="004D40AE">
          <w:rPr>
            <w:color w:val="0000FF"/>
            <w:u w:val="single"/>
          </w:rPr>
          <w:t xml:space="preserve"> 380.715</w:t>
        </w:r>
      </w:hyperlink>
      <w:r>
        <w:t>.</w:t>
      </w:r>
      <w:r w:rsidRPr="00C121CE">
        <w:t xml:space="preserve"> </w:t>
      </w:r>
    </w:p>
    <w:p w:rsidR="00263B1F" w:rsidRPr="005B6EB1" w:rsidP="00263B1F" w14:paraId="104F71D5" w14:textId="5EF6FE78">
      <w:pPr>
        <w:numPr>
          <w:ilvl w:val="0"/>
          <w:numId w:val="36"/>
        </w:numPr>
      </w:pPr>
      <w:r>
        <w:t>Documentation of State licensure, registration, or certification verifying that the provider is authorized to provide training in that State, if applicable, as required by 49 CFR 380.719(a)(4).</w:t>
      </w:r>
    </w:p>
    <w:p w:rsidR="00962525" w:rsidRPr="005B6EB1" w:rsidP="00962525" w14:paraId="0A2A97FF" w14:textId="77777777">
      <w:pPr>
        <w:ind w:left="360"/>
      </w:pPr>
    </w:p>
    <w:p w:rsidR="00962525" w:rsidRPr="005B6EB1" w:rsidP="00EF3432" w14:paraId="1F15CACF" w14:textId="2ACA1C58">
      <w:pPr>
        <w:ind w:left="360"/>
      </w:pPr>
      <w:r w:rsidRPr="005B6EB1">
        <w:t>These records must be retained by training providers for 3 years from the date each record is generated or received. FMCSA does not include a component for recordkeeping tasks in the Agency’s IC estimate because the training providers routinely keep records of their student</w:t>
      </w:r>
      <w:r w:rsidRPr="005B6EB1" w:rsidR="005360A3">
        <w:t xml:space="preserve">s </w:t>
      </w:r>
      <w:r w:rsidRPr="005B6EB1" w:rsidR="0039524E">
        <w:t>and employees (instructors)</w:t>
      </w:r>
      <w:r w:rsidRPr="005B6EB1" w:rsidR="007E3940">
        <w:t>.</w:t>
      </w:r>
      <w:r w:rsidRPr="005B6EB1" w:rsidR="005360A3">
        <w:t xml:space="preserve"> </w:t>
      </w:r>
      <w:r w:rsidRPr="005B6EB1">
        <w:t xml:space="preserve">FMCSA </w:t>
      </w:r>
      <w:r w:rsidRPr="005B6EB1" w:rsidR="00361AD9">
        <w:t xml:space="preserve">therefore </w:t>
      </w:r>
      <w:r w:rsidRPr="005B6EB1">
        <w:t>concludes that the</w:t>
      </w:r>
      <w:r w:rsidRPr="005B6EB1" w:rsidR="00BF3DFC">
        <w:t>se</w:t>
      </w:r>
      <w:r w:rsidRPr="005B6EB1">
        <w:t xml:space="preserve"> recordkeeping tasks are “</w:t>
      </w:r>
      <w:r w:rsidRPr="005B6EB1" w:rsidR="00464625">
        <w:t>customary and</w:t>
      </w:r>
      <w:r w:rsidRPr="005B6EB1">
        <w:t xml:space="preserve"> usual business practices,” i.e.</w:t>
      </w:r>
      <w:r w:rsidRPr="005B6EB1" w:rsidR="0039524E">
        <w:t>,</w:t>
      </w:r>
      <w:r w:rsidRPr="005B6EB1">
        <w:t xml:space="preserve"> that they would be undertaken in the normal course of the providers’ businesses in the absence of the </w:t>
      </w:r>
      <w:r w:rsidRPr="005B6EB1" w:rsidR="005360A3">
        <w:t xml:space="preserve">Agency’s training regulations. </w:t>
      </w:r>
      <w:r w:rsidRPr="005B6EB1" w:rsidR="00464625">
        <w:t xml:space="preserve">The </w:t>
      </w:r>
      <w:r w:rsidRPr="005B6EB1" w:rsidR="00BF3DFC">
        <w:t xml:space="preserve">time, effort, and financial resources necessary to comply with a collection of information that would be incurred by persons in the normal course of their activities (e.g., in compiling and maintaining business records) is </w:t>
      </w:r>
      <w:r w:rsidR="00263B1F">
        <w:t xml:space="preserve">therefore </w:t>
      </w:r>
      <w:r w:rsidRPr="005B6EB1" w:rsidR="00BF3DFC">
        <w:t xml:space="preserve">excluded from burden </w:t>
      </w:r>
      <w:r w:rsidR="00463853">
        <w:t>as</w:t>
      </w:r>
      <w:r w:rsidRPr="005B6EB1" w:rsidR="00463853">
        <w:t xml:space="preserve"> </w:t>
      </w:r>
      <w:r w:rsidRPr="005B6EB1" w:rsidR="00BF3DFC">
        <w:t xml:space="preserve">those activities are </w:t>
      </w:r>
      <w:r w:rsidRPr="005B6EB1">
        <w:t xml:space="preserve">usual and customary </w:t>
      </w:r>
      <w:r w:rsidRPr="005B6EB1" w:rsidR="00BF3DFC">
        <w:t>(5 CFR 1320.3(b)(2))</w:t>
      </w:r>
      <w:r w:rsidRPr="005B6EB1">
        <w:t>.</w:t>
      </w:r>
    </w:p>
    <w:p w:rsidR="0059735C" w:rsidRPr="005B6EB1" w:rsidP="00F0156C" w14:paraId="22123161" w14:textId="77777777">
      <w:pPr>
        <w:rPr>
          <w:b/>
        </w:rPr>
      </w:pPr>
    </w:p>
    <w:p w:rsidR="00F0156C" w:rsidRPr="005B6EB1" w:rsidP="00F0156C" w14:paraId="2EFD2956" w14:textId="3793ED3A">
      <w:pPr>
        <w:widowControl/>
        <w:tabs>
          <w:tab w:val="left" w:pos="360"/>
        </w:tabs>
        <w:ind w:left="360"/>
      </w:pPr>
      <w:r w:rsidRPr="005B6EB1">
        <w:t>As noted previously, “cost to respondents” (sometimes referred to as “burden hour cost”) is separate and distinct from “cost burden</w:t>
      </w:r>
      <w:r w:rsidRPr="005B6EB1" w:rsidR="00361AD9">
        <w:t>,</w:t>
      </w:r>
      <w:r w:rsidRPr="005B6EB1">
        <w:t>” which is reported later in Section 13 and represents capital or start-up costs, operation or maintenance costs (such as those for supplies and equipment), or purchases of services resulting from the collection of information.</w:t>
      </w:r>
    </w:p>
    <w:p w:rsidR="00F0156C" w:rsidRPr="005B6EB1" w:rsidP="00F0156C" w14:paraId="41278C94" w14:textId="77777777">
      <w:pPr>
        <w:widowControl/>
        <w:tabs>
          <w:tab w:val="left" w:pos="360"/>
        </w:tabs>
        <w:ind w:left="360"/>
        <w:rPr>
          <w:bCs/>
          <w:szCs w:val="24"/>
        </w:rPr>
      </w:pPr>
    </w:p>
    <w:p w:rsidR="00F0156C" w:rsidRPr="005B6EB1" w:rsidP="00F0156C" w14:paraId="2548D66B" w14:textId="7FD82B78">
      <w:pPr>
        <w:widowControl/>
        <w:tabs>
          <w:tab w:val="left" w:pos="360"/>
        </w:tabs>
        <w:ind w:left="360"/>
        <w:rPr>
          <w:bCs/>
          <w:szCs w:val="24"/>
        </w:rPr>
      </w:pPr>
      <w:r w:rsidRPr="005B6EB1">
        <w:rPr>
          <w:bCs/>
          <w:szCs w:val="24"/>
        </w:rPr>
        <w:t xml:space="preserve">The Standard Occupational Classification (SOC) system used </w:t>
      </w:r>
      <w:r w:rsidRPr="005B6EB1" w:rsidR="008472E1">
        <w:rPr>
          <w:bCs/>
          <w:szCs w:val="24"/>
        </w:rPr>
        <w:t xml:space="preserve">by the </w:t>
      </w:r>
      <w:r w:rsidR="00C52B98">
        <w:rPr>
          <w:bCs/>
          <w:szCs w:val="24"/>
        </w:rPr>
        <w:t>Department of Labor</w:t>
      </w:r>
      <w:r w:rsidR="00B5579C">
        <w:rPr>
          <w:bCs/>
          <w:szCs w:val="24"/>
        </w:rPr>
        <w:t xml:space="preserve"> (DOL)</w:t>
      </w:r>
      <w:r w:rsidR="00C52B98">
        <w:rPr>
          <w:bCs/>
          <w:szCs w:val="24"/>
        </w:rPr>
        <w:t>, Bureau of Labor Statistics</w:t>
      </w:r>
      <w:r w:rsidR="00B5579C">
        <w:rPr>
          <w:bCs/>
          <w:szCs w:val="24"/>
        </w:rPr>
        <w:t xml:space="preserve"> (</w:t>
      </w:r>
      <w:r w:rsidRPr="005B6EB1" w:rsidR="008472E1">
        <w:rPr>
          <w:bCs/>
          <w:szCs w:val="24"/>
        </w:rPr>
        <w:t>BLS</w:t>
      </w:r>
      <w:r w:rsidR="00B5579C">
        <w:rPr>
          <w:bCs/>
          <w:szCs w:val="24"/>
        </w:rPr>
        <w:t>)</w:t>
      </w:r>
      <w:r w:rsidRPr="005B6EB1">
        <w:rPr>
          <w:bCs/>
          <w:szCs w:val="24"/>
        </w:rPr>
        <w:t xml:space="preserve">, in producing occupational employment and wage estimates for their Occupational Employment Statistics (OES) program does not include a SOC code specific to the occupation of entry-level driver trainer or </w:t>
      </w:r>
      <w:r w:rsidRPr="005B6EB1" w:rsidR="00B502B1">
        <w:rPr>
          <w:bCs/>
          <w:szCs w:val="24"/>
        </w:rPr>
        <w:t>CMV</w:t>
      </w:r>
      <w:r w:rsidRPr="005B6EB1">
        <w:rPr>
          <w:bCs/>
          <w:szCs w:val="24"/>
        </w:rPr>
        <w:t xml:space="preserve"> operator trainer. We therefore assume that the occupation most representative of respondents for </w:t>
      </w:r>
      <w:r w:rsidRPr="005B6EB1" w:rsidR="009966FF">
        <w:rPr>
          <w:bCs/>
          <w:szCs w:val="24"/>
        </w:rPr>
        <w:t>IC-</w:t>
      </w:r>
      <w:r w:rsidRPr="005B6EB1" w:rsidR="00C44C36">
        <w:rPr>
          <w:bCs/>
          <w:szCs w:val="24"/>
        </w:rPr>
        <w:t>1</w:t>
      </w:r>
      <w:r w:rsidRPr="005B6EB1" w:rsidR="009966FF">
        <w:rPr>
          <w:bCs/>
          <w:szCs w:val="24"/>
        </w:rPr>
        <w:t xml:space="preserve"> </w:t>
      </w:r>
      <w:r w:rsidRPr="005B6EB1">
        <w:rPr>
          <w:bCs/>
          <w:szCs w:val="24"/>
        </w:rPr>
        <w:t xml:space="preserve">corresponds to the “Vocational Education Teachers, Postsecondary” </w:t>
      </w:r>
      <w:r w:rsidRPr="005B6EB1" w:rsidR="008472E1">
        <w:rPr>
          <w:bCs/>
          <w:szCs w:val="24"/>
        </w:rPr>
        <w:t>SOC</w:t>
      </w:r>
      <w:r w:rsidRPr="005B6EB1">
        <w:rPr>
          <w:bCs/>
          <w:szCs w:val="24"/>
        </w:rPr>
        <w:t xml:space="preserve"> Code 25-1194. According to BLS, this SOC code includes industrial, commercial, and government training instructors, and adult education teachers and instructors who prepare persons to operate industrial machinery and equipment and transportation and communications equipment</w:t>
      </w:r>
      <w:r w:rsidRPr="005B6EB1" w:rsidR="00507D98">
        <w:rPr>
          <w:bCs/>
          <w:szCs w:val="24"/>
        </w:rPr>
        <w:t xml:space="preserve">. </w:t>
      </w:r>
      <w:r w:rsidRPr="005B6EB1">
        <w:rPr>
          <w:bCs/>
          <w:szCs w:val="24"/>
        </w:rPr>
        <w:t xml:space="preserve">Teaching may take place in public or private schools whose primary business is education (for example, a private for-hire CDL training school or a community college offering CDL training programs), or in a school associated with an organization whose primary business is other than education (for example, a motor carrier that has its own in-house </w:t>
      </w:r>
      <w:r w:rsidRPr="005B6EB1" w:rsidR="00CA6031">
        <w:t>ELDT</w:t>
      </w:r>
      <w:r w:rsidRPr="005B6EB1">
        <w:rPr>
          <w:bCs/>
          <w:szCs w:val="24"/>
        </w:rPr>
        <w:t xml:space="preserve"> program). Given that there are several types of </w:t>
      </w:r>
      <w:r w:rsidRPr="005B6EB1" w:rsidR="00CA6031">
        <w:t>ELDT</w:t>
      </w:r>
      <w:r w:rsidRPr="005B6EB1">
        <w:rPr>
          <w:bCs/>
          <w:szCs w:val="24"/>
        </w:rPr>
        <w:t xml:space="preserve"> providers across multiple industries, including but not limited to CDL training schools, educational institutions such as community colleges, motor carriers, owner-operators, transit agencies, school districts with directly operated school bus service, State/local governments, utility companies and rural electric cooperatives, etc., the median hourly wage of Vocational Education Teachers, Postsecondary (SOC Code 25-1194) across all industry sectors as of May 20</w:t>
      </w:r>
      <w:r w:rsidRPr="005B6EB1" w:rsidR="008669C7">
        <w:rPr>
          <w:bCs/>
          <w:szCs w:val="24"/>
        </w:rPr>
        <w:t>21</w:t>
      </w:r>
      <w:r w:rsidRPr="005B6EB1">
        <w:rPr>
          <w:bCs/>
          <w:szCs w:val="24"/>
        </w:rPr>
        <w:t xml:space="preserve"> of $2</w:t>
      </w:r>
      <w:r w:rsidRPr="005B6EB1" w:rsidR="008669C7">
        <w:rPr>
          <w:bCs/>
          <w:szCs w:val="24"/>
        </w:rPr>
        <w:t>8.77</w:t>
      </w:r>
      <w:r w:rsidRPr="005B6EB1">
        <w:rPr>
          <w:bCs/>
          <w:szCs w:val="24"/>
        </w:rPr>
        <w:t xml:space="preserve"> is used here as the appropriate wage rate category for calculating the cost to respondents.</w:t>
      </w:r>
      <w:r>
        <w:rPr>
          <w:bCs/>
          <w:szCs w:val="24"/>
          <w:vertAlign w:val="superscript"/>
        </w:rPr>
        <w:footnoteReference w:id="6"/>
      </w:r>
      <w:r w:rsidRPr="005B6EB1">
        <w:rPr>
          <w:bCs/>
          <w:szCs w:val="24"/>
        </w:rPr>
        <w:t xml:space="preserve"> </w:t>
      </w:r>
    </w:p>
    <w:p w:rsidR="00F0156C" w:rsidRPr="005B6EB1" w:rsidP="00F0156C" w14:paraId="765699BD" w14:textId="77777777">
      <w:pPr>
        <w:widowControl/>
        <w:tabs>
          <w:tab w:val="left" w:pos="360"/>
        </w:tabs>
        <w:ind w:left="360"/>
        <w:rPr>
          <w:bCs/>
          <w:szCs w:val="24"/>
        </w:rPr>
      </w:pPr>
    </w:p>
    <w:p w:rsidR="00F0156C" w:rsidRPr="005B6EB1" w:rsidP="00F0156C" w14:paraId="7354E3D0" w14:textId="15EF874D">
      <w:pPr>
        <w:widowControl/>
        <w:tabs>
          <w:tab w:val="left" w:pos="360"/>
        </w:tabs>
        <w:ind w:left="360"/>
        <w:rPr>
          <w:bCs/>
          <w:szCs w:val="24"/>
        </w:rPr>
      </w:pPr>
      <w:r w:rsidRPr="005B6EB1">
        <w:rPr>
          <w:bCs/>
          <w:szCs w:val="24"/>
        </w:rPr>
        <w:t xml:space="preserve">To arrive at a loaded wage, we first estimated a fringe benefits rate of </w:t>
      </w:r>
      <w:r w:rsidRPr="005B6EB1" w:rsidR="00BA221E">
        <w:rPr>
          <w:bCs/>
          <w:szCs w:val="24"/>
        </w:rPr>
        <w:t>51</w:t>
      </w:r>
      <w:r w:rsidRPr="005B6EB1">
        <w:rPr>
          <w:bCs/>
          <w:szCs w:val="24"/>
        </w:rPr>
        <w:t xml:space="preserve"> percent by dividing the total benefit costs ($14.</w:t>
      </w:r>
      <w:r w:rsidRPr="005B6EB1" w:rsidR="00BA221E">
        <w:rPr>
          <w:bCs/>
          <w:szCs w:val="24"/>
        </w:rPr>
        <w:t>49</w:t>
      </w:r>
      <w:r w:rsidRPr="005B6EB1">
        <w:rPr>
          <w:bCs/>
          <w:szCs w:val="24"/>
        </w:rPr>
        <w:t xml:space="preserve"> per hour) by the wages and salaries ($</w:t>
      </w:r>
      <w:r w:rsidRPr="005B6EB1" w:rsidR="00BA221E">
        <w:rPr>
          <w:bCs/>
          <w:szCs w:val="24"/>
        </w:rPr>
        <w:t>28.40</w:t>
      </w:r>
      <w:r w:rsidRPr="005B6EB1">
        <w:rPr>
          <w:bCs/>
          <w:szCs w:val="24"/>
        </w:rPr>
        <w:t xml:space="preserve"> per hour) for the transportation and warehousing industry.</w:t>
      </w:r>
      <w:r>
        <w:rPr>
          <w:rStyle w:val="FootnoteReference"/>
          <w:bCs/>
          <w:szCs w:val="24"/>
        </w:rPr>
        <w:footnoteReference w:id="7"/>
      </w:r>
      <w:r w:rsidRPr="005B6EB1">
        <w:rPr>
          <w:bCs/>
          <w:szCs w:val="24"/>
        </w:rPr>
        <w:t xml:space="preserve"> We then estimated an overhead rate of 27.4 percent by dividing management and overhead costs ($0.107 per mile) by labor costs ($0.39 per mile) for the trucking industry.</w:t>
      </w:r>
      <w:r>
        <w:rPr>
          <w:rStyle w:val="FootnoteReference"/>
          <w:bCs/>
          <w:szCs w:val="24"/>
        </w:rPr>
        <w:footnoteReference w:id="8"/>
      </w:r>
      <w:r w:rsidRPr="005B6EB1">
        <w:rPr>
          <w:bCs/>
          <w:szCs w:val="24"/>
        </w:rPr>
        <w:t xml:space="preserve"> Using these estimated fringe benefits and overhead rates, we calculated a fully loaded wage rate factor of </w:t>
      </w:r>
      <w:r w:rsidRPr="005B6EB1" w:rsidR="00BD7622">
        <w:rPr>
          <w:bCs/>
          <w:szCs w:val="24"/>
        </w:rPr>
        <w:t>1.9</w:t>
      </w:r>
      <w:r w:rsidRPr="005B6EB1">
        <w:rPr>
          <w:bCs/>
          <w:szCs w:val="24"/>
        </w:rPr>
        <w:t xml:space="preserve"> by multiplying the fringe benefits rate (1+0.5</w:t>
      </w:r>
      <w:r w:rsidRPr="005B6EB1" w:rsidR="00BA221E">
        <w:rPr>
          <w:bCs/>
          <w:szCs w:val="24"/>
        </w:rPr>
        <w:t>1</w:t>
      </w:r>
      <w:r w:rsidRPr="005B6EB1">
        <w:rPr>
          <w:bCs/>
          <w:szCs w:val="24"/>
        </w:rPr>
        <w:t>) by the overhead rate (1+0.274). Finally, multiplying the median hourly base wage of $</w:t>
      </w:r>
      <w:r w:rsidRPr="005B6EB1" w:rsidR="00BD7622">
        <w:rPr>
          <w:bCs/>
          <w:szCs w:val="24"/>
        </w:rPr>
        <w:t>28.77</w:t>
      </w:r>
      <w:r w:rsidRPr="005B6EB1">
        <w:rPr>
          <w:bCs/>
          <w:szCs w:val="24"/>
        </w:rPr>
        <w:t xml:space="preserve"> by this fully loaded wage rate factor results in a fully loaded hourly wage of </w:t>
      </w:r>
      <w:r w:rsidRPr="005B6EB1">
        <w:rPr>
          <w:bCs/>
          <w:szCs w:val="24"/>
        </w:rPr>
        <w:t>$</w:t>
      </w:r>
      <w:r w:rsidRPr="005B6EB1" w:rsidR="00BD7622">
        <w:rPr>
          <w:bCs/>
          <w:szCs w:val="24"/>
        </w:rPr>
        <w:t>54.67</w:t>
      </w:r>
      <w:r w:rsidRPr="005B6EB1">
        <w:rPr>
          <w:bCs/>
          <w:szCs w:val="24"/>
        </w:rPr>
        <w:t>.</w:t>
      </w:r>
      <w:r w:rsidRPr="005B6EB1" w:rsidR="001C2381">
        <w:rPr>
          <w:bCs/>
          <w:szCs w:val="24"/>
        </w:rPr>
        <w:t xml:space="preserve"> The resulting </w:t>
      </w:r>
      <w:r w:rsidRPr="005B6EB1" w:rsidR="00BD7622">
        <w:rPr>
          <w:bCs/>
          <w:szCs w:val="24"/>
        </w:rPr>
        <w:t xml:space="preserve">estimated </w:t>
      </w:r>
      <w:r w:rsidRPr="005B6EB1" w:rsidR="001C2381">
        <w:rPr>
          <w:bCs/>
          <w:szCs w:val="24"/>
        </w:rPr>
        <w:t>ann</w:t>
      </w:r>
      <w:r w:rsidRPr="005B6EB1" w:rsidR="00B173D6">
        <w:rPr>
          <w:bCs/>
          <w:szCs w:val="24"/>
        </w:rPr>
        <w:t>ual cost to respondents for IC-</w:t>
      </w:r>
      <w:r w:rsidRPr="005B6EB1" w:rsidR="00BD7622">
        <w:rPr>
          <w:bCs/>
          <w:szCs w:val="24"/>
        </w:rPr>
        <w:t>1</w:t>
      </w:r>
      <w:r w:rsidRPr="005B6EB1" w:rsidR="001C2381">
        <w:rPr>
          <w:bCs/>
          <w:szCs w:val="24"/>
        </w:rPr>
        <w:t xml:space="preserve"> is </w:t>
      </w:r>
      <w:r w:rsidRPr="005B6EB1" w:rsidR="005A2873">
        <w:rPr>
          <w:bCs/>
          <w:szCs w:val="24"/>
        </w:rPr>
        <w:t>$</w:t>
      </w:r>
      <w:r w:rsidRPr="005B6EB1" w:rsidR="00D803B4">
        <w:rPr>
          <w:bCs/>
          <w:szCs w:val="24"/>
        </w:rPr>
        <w:t>2,248,864</w:t>
      </w:r>
      <w:r w:rsidRPr="005B6EB1" w:rsidR="005A2873">
        <w:rPr>
          <w:bCs/>
          <w:szCs w:val="24"/>
        </w:rPr>
        <w:t xml:space="preserve"> </w:t>
      </w:r>
      <w:r w:rsidRPr="005B6EB1" w:rsidR="001C2381">
        <w:rPr>
          <w:bCs/>
          <w:szCs w:val="24"/>
        </w:rPr>
        <w:t>(</w:t>
      </w:r>
      <w:r w:rsidRPr="005B6EB1" w:rsidR="00D803B4">
        <w:rPr>
          <w:bCs/>
          <w:szCs w:val="24"/>
        </w:rPr>
        <w:t>41,135</w:t>
      </w:r>
      <w:r w:rsidRPr="005B6EB1" w:rsidR="001C2381">
        <w:rPr>
          <w:bCs/>
          <w:szCs w:val="24"/>
        </w:rPr>
        <w:t xml:space="preserve"> annual burden hours </w:t>
      </w:r>
      <w:r w:rsidRPr="005B6EB1" w:rsidR="008A63C3">
        <w:rPr>
          <w:bCs/>
          <w:szCs w:val="24"/>
        </w:rPr>
        <w:t>× $</w:t>
      </w:r>
      <w:r w:rsidRPr="005B6EB1" w:rsidR="00BD7622">
        <w:rPr>
          <w:bCs/>
          <w:szCs w:val="24"/>
        </w:rPr>
        <w:t>54.67</w:t>
      </w:r>
      <w:r w:rsidRPr="005B6EB1" w:rsidR="008A63C3">
        <w:rPr>
          <w:bCs/>
          <w:szCs w:val="24"/>
        </w:rPr>
        <w:t xml:space="preserve"> fully loaded wage rate).</w:t>
      </w:r>
    </w:p>
    <w:p w:rsidR="00145EF4" w:rsidP="00145EF4" w14:paraId="1AB4A205" w14:textId="16EF0B77">
      <w:pPr>
        <w:tabs>
          <w:tab w:val="left" w:pos="360"/>
        </w:tabs>
        <w:ind w:left="360"/>
        <w:rPr>
          <w:szCs w:val="24"/>
        </w:rPr>
      </w:pPr>
    </w:p>
    <w:p w:rsidR="00AF506E" w:rsidP="00145EF4" w14:paraId="4E0F4F4B" w14:textId="77777777">
      <w:pPr>
        <w:tabs>
          <w:tab w:val="left" w:pos="360"/>
        </w:tabs>
        <w:ind w:left="360"/>
        <w:rPr>
          <w:szCs w:val="24"/>
        </w:rPr>
      </w:pPr>
    </w:p>
    <w:p w:rsidR="00AF506E" w:rsidP="00145EF4" w14:paraId="1194DD02" w14:textId="77777777">
      <w:pPr>
        <w:tabs>
          <w:tab w:val="left" w:pos="360"/>
        </w:tabs>
        <w:ind w:left="360"/>
        <w:rPr>
          <w:szCs w:val="24"/>
        </w:rPr>
      </w:pPr>
    </w:p>
    <w:p w:rsidR="009E4B73" w:rsidRPr="005B6EB1" w:rsidP="00145EF4" w14:paraId="1EB84C3F" w14:textId="3C61DE2B">
      <w:pPr>
        <w:tabs>
          <w:tab w:val="left" w:pos="360"/>
        </w:tabs>
        <w:ind w:left="360"/>
        <w:rPr>
          <w:szCs w:val="24"/>
        </w:rPr>
      </w:pPr>
      <w:r w:rsidRPr="005B6EB1">
        <w:rPr>
          <w:szCs w:val="24"/>
        </w:rPr>
        <w:t xml:space="preserve">Table </w:t>
      </w:r>
      <w:r w:rsidRPr="005B6EB1" w:rsidR="00D737CE">
        <w:rPr>
          <w:szCs w:val="24"/>
        </w:rPr>
        <w:t>4</w:t>
      </w:r>
      <w:r w:rsidRPr="005B6EB1" w:rsidR="00E90C5D">
        <w:rPr>
          <w:szCs w:val="24"/>
        </w:rPr>
        <w:t xml:space="preserve"> presents </w:t>
      </w:r>
      <w:r w:rsidRPr="005B6EB1" w:rsidR="00020C9B">
        <w:rPr>
          <w:szCs w:val="24"/>
        </w:rPr>
        <w:t xml:space="preserve">a summary </w:t>
      </w:r>
      <w:r w:rsidRPr="005B6EB1" w:rsidR="00B173D6">
        <w:rPr>
          <w:szCs w:val="24"/>
        </w:rPr>
        <w:t>of the burden estimates for IC-</w:t>
      </w:r>
      <w:r w:rsidRPr="005B6EB1" w:rsidR="00D737CE">
        <w:rPr>
          <w:szCs w:val="24"/>
        </w:rPr>
        <w:t>1</w:t>
      </w:r>
      <w:r w:rsidRPr="005B6EB1" w:rsidR="00020C9B">
        <w:rPr>
          <w:szCs w:val="24"/>
        </w:rPr>
        <w:t>.</w:t>
      </w:r>
    </w:p>
    <w:p w:rsidR="00F02EC3" w:rsidRPr="005B6EB1" w:rsidP="00145EF4" w14:paraId="6B5CB698" w14:textId="77777777">
      <w:pPr>
        <w:tabs>
          <w:tab w:val="left" w:pos="360"/>
        </w:tabs>
        <w:ind w:left="360"/>
        <w:rPr>
          <w:szCs w:val="24"/>
        </w:rPr>
      </w:pPr>
    </w:p>
    <w:p w:rsidR="009E4B73" w:rsidRPr="005B6EB1" w:rsidP="008243C8" w14:paraId="1FB4D14B" w14:textId="56261EAA">
      <w:pPr>
        <w:pStyle w:val="Caption"/>
        <w:keepNext/>
        <w:keepLines/>
        <w:spacing w:after="0"/>
        <w:ind w:left="360"/>
        <w:rPr>
          <w:b/>
          <w:color w:val="auto"/>
          <w:sz w:val="24"/>
          <w:szCs w:val="24"/>
        </w:rPr>
      </w:pPr>
      <w:r w:rsidRPr="005B6EB1">
        <w:rPr>
          <w:b/>
          <w:i w:val="0"/>
          <w:color w:val="auto"/>
          <w:sz w:val="24"/>
          <w:szCs w:val="24"/>
        </w:rPr>
        <w:t xml:space="preserve">Table </w:t>
      </w:r>
      <w:r w:rsidRPr="005B6EB1" w:rsidR="00D737CE">
        <w:rPr>
          <w:b/>
          <w:i w:val="0"/>
          <w:color w:val="auto"/>
          <w:sz w:val="24"/>
          <w:szCs w:val="24"/>
        </w:rPr>
        <w:t>4</w:t>
      </w:r>
      <w:r w:rsidRPr="005B6EB1" w:rsidR="00B173D6">
        <w:rPr>
          <w:b/>
          <w:i w:val="0"/>
          <w:color w:val="auto"/>
          <w:sz w:val="24"/>
          <w:szCs w:val="24"/>
        </w:rPr>
        <w:t>. Summary for IC-</w:t>
      </w:r>
      <w:r w:rsidRPr="005B6EB1" w:rsidR="00D737CE">
        <w:rPr>
          <w:b/>
          <w:i w:val="0"/>
          <w:color w:val="auto"/>
          <w:sz w:val="24"/>
          <w:szCs w:val="24"/>
        </w:rPr>
        <w:t>1</w:t>
      </w:r>
      <w:r w:rsidRPr="005B6EB1">
        <w:rPr>
          <w:b/>
          <w:i w:val="0"/>
          <w:color w:val="auto"/>
          <w:sz w:val="24"/>
          <w:szCs w:val="24"/>
        </w:rPr>
        <w:t xml:space="preserve"> (Training Provider Registration)</w:t>
      </w:r>
    </w:p>
    <w:tbl>
      <w:tblPr>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4"/>
        <w:gridCol w:w="1586"/>
      </w:tblGrid>
      <w:tr w14:paraId="4520EED3" w14:textId="77777777" w:rsidTr="00E627D3">
        <w:tblPrEx>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5294" w:type="dxa"/>
            <w:tcBorders>
              <w:top w:val="single" w:sz="18" w:space="0" w:color="auto"/>
              <w:bottom w:val="single" w:sz="18" w:space="0" w:color="auto"/>
              <w:right w:val="single" w:sz="18" w:space="0" w:color="auto"/>
            </w:tcBorders>
            <w:shd w:val="clear" w:color="000000" w:fill="E0E0E0"/>
            <w:vAlign w:val="bottom"/>
            <w:hideMark/>
          </w:tcPr>
          <w:p w:rsidR="009E4B73" w:rsidRPr="005B6EB1" w:rsidP="008243C8" w14:paraId="76CDF339" w14:textId="77777777">
            <w:pPr>
              <w:keepNext/>
              <w:keepLines/>
              <w:autoSpaceDE/>
              <w:autoSpaceDN/>
              <w:adjustRightInd/>
              <w:jc w:val="center"/>
              <w:rPr>
                <w:b/>
                <w:bCs/>
                <w:sz w:val="22"/>
                <w:szCs w:val="22"/>
              </w:rPr>
            </w:pPr>
            <w:r w:rsidRPr="005B6EB1">
              <w:rPr>
                <w:b/>
                <w:bCs/>
                <w:sz w:val="22"/>
                <w:szCs w:val="22"/>
              </w:rPr>
              <w:t>Summary Item</w:t>
            </w:r>
          </w:p>
        </w:tc>
        <w:tc>
          <w:tcPr>
            <w:tcW w:w="1586" w:type="dxa"/>
            <w:tcBorders>
              <w:top w:val="single" w:sz="18" w:space="0" w:color="auto"/>
              <w:left w:val="single" w:sz="18" w:space="0" w:color="auto"/>
              <w:bottom w:val="single" w:sz="18" w:space="0" w:color="auto"/>
            </w:tcBorders>
            <w:shd w:val="clear" w:color="000000" w:fill="E0E0E0"/>
            <w:vAlign w:val="bottom"/>
            <w:hideMark/>
          </w:tcPr>
          <w:p w:rsidR="009E4B73" w:rsidRPr="005B6EB1" w:rsidP="008243C8" w14:paraId="55F8CEC3" w14:textId="77777777">
            <w:pPr>
              <w:keepNext/>
              <w:keepLines/>
              <w:autoSpaceDE/>
              <w:autoSpaceDN/>
              <w:adjustRightInd/>
              <w:jc w:val="center"/>
              <w:rPr>
                <w:b/>
                <w:bCs/>
                <w:sz w:val="22"/>
                <w:szCs w:val="22"/>
              </w:rPr>
            </w:pPr>
            <w:r w:rsidRPr="005B6EB1">
              <w:rPr>
                <w:b/>
                <w:bCs/>
                <w:sz w:val="22"/>
                <w:szCs w:val="22"/>
              </w:rPr>
              <w:t>Value</w:t>
            </w:r>
          </w:p>
        </w:tc>
      </w:tr>
      <w:tr w14:paraId="637567A0" w14:textId="77777777" w:rsidTr="00E627D3">
        <w:tblPrEx>
          <w:tblW w:w="3679" w:type="pct"/>
          <w:tblInd w:w="355" w:type="dxa"/>
          <w:tblLayout w:type="fixed"/>
          <w:tblLook w:val="04A0"/>
        </w:tblPrEx>
        <w:trPr>
          <w:trHeight w:val="324"/>
        </w:trPr>
        <w:tc>
          <w:tcPr>
            <w:tcW w:w="5294" w:type="dxa"/>
            <w:tcBorders>
              <w:top w:val="single" w:sz="18" w:space="0" w:color="auto"/>
              <w:bottom w:val="single" w:sz="2" w:space="0" w:color="auto"/>
              <w:right w:val="single" w:sz="18" w:space="0" w:color="auto"/>
            </w:tcBorders>
            <w:shd w:val="clear" w:color="auto" w:fill="auto"/>
            <w:noWrap/>
            <w:vAlign w:val="center"/>
          </w:tcPr>
          <w:p w:rsidR="009E4B73" w:rsidRPr="005B6EB1" w:rsidP="008243C8" w14:paraId="1B76E248" w14:textId="77777777">
            <w:pPr>
              <w:keepNext/>
              <w:keepLines/>
              <w:autoSpaceDE/>
              <w:autoSpaceDN/>
              <w:adjustRightInd/>
              <w:rPr>
                <w:iCs/>
                <w:sz w:val="22"/>
                <w:szCs w:val="22"/>
              </w:rPr>
            </w:pPr>
            <w:r w:rsidRPr="005B6EB1">
              <w:rPr>
                <w:iCs/>
                <w:sz w:val="22"/>
                <w:szCs w:val="22"/>
              </w:rPr>
              <w:t>Average Annual Number of Respondents</w:t>
            </w:r>
          </w:p>
        </w:tc>
        <w:tc>
          <w:tcPr>
            <w:tcW w:w="1586" w:type="dxa"/>
            <w:tcBorders>
              <w:top w:val="single" w:sz="18" w:space="0" w:color="auto"/>
              <w:left w:val="single" w:sz="18" w:space="0" w:color="auto"/>
              <w:bottom w:val="single" w:sz="2" w:space="0" w:color="auto"/>
            </w:tcBorders>
            <w:shd w:val="clear" w:color="auto" w:fill="auto"/>
            <w:noWrap/>
            <w:vAlign w:val="center"/>
          </w:tcPr>
          <w:p w:rsidR="009E4B73" w:rsidRPr="005B6EB1" w:rsidP="008243C8" w14:paraId="3AD39E87" w14:textId="212653D7">
            <w:pPr>
              <w:keepNext/>
              <w:keepLines/>
              <w:autoSpaceDE/>
              <w:autoSpaceDN/>
              <w:adjustRightInd/>
              <w:jc w:val="right"/>
              <w:rPr>
                <w:iCs/>
                <w:sz w:val="22"/>
                <w:szCs w:val="22"/>
              </w:rPr>
            </w:pPr>
            <w:r w:rsidRPr="005B6EB1">
              <w:rPr>
                <w:iCs/>
                <w:sz w:val="22"/>
                <w:szCs w:val="22"/>
              </w:rPr>
              <w:t>7,774</w:t>
            </w:r>
          </w:p>
        </w:tc>
      </w:tr>
      <w:tr w14:paraId="2022ADE8"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E627D3" w:rsidRPr="005B6EB1" w:rsidP="00E627D3" w14:paraId="2A154303" w14:textId="77777777">
            <w:pPr>
              <w:keepNext/>
              <w:keepLines/>
              <w:autoSpaceDE/>
              <w:autoSpaceDN/>
              <w:adjustRightInd/>
              <w:rPr>
                <w:sz w:val="22"/>
                <w:szCs w:val="22"/>
              </w:rPr>
            </w:pPr>
            <w:r w:rsidRPr="005B6EB1">
              <w:rPr>
                <w:sz w:val="22"/>
                <w:szCs w:val="22"/>
              </w:rPr>
              <w:t>Average Annual Responses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E627D3" w:rsidRPr="005B6EB1" w:rsidP="00E627D3" w14:paraId="0CB8946C" w14:textId="566B21CA">
            <w:pPr>
              <w:keepNext/>
              <w:keepLines/>
              <w:autoSpaceDE/>
              <w:autoSpaceDN/>
              <w:adjustRightInd/>
              <w:jc w:val="right"/>
              <w:rPr>
                <w:sz w:val="22"/>
                <w:szCs w:val="22"/>
              </w:rPr>
            </w:pPr>
            <w:r w:rsidRPr="005B6EB1">
              <w:rPr>
                <w:color w:val="000000"/>
                <w:sz w:val="22"/>
                <w:szCs w:val="22"/>
              </w:rPr>
              <w:t>40,205</w:t>
            </w:r>
          </w:p>
        </w:tc>
      </w:tr>
      <w:tr w14:paraId="35B8C0B2"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9E4B73" w:rsidRPr="005B6EB1" w:rsidP="008243C8" w14:paraId="6D76595F" w14:textId="77777777">
            <w:pPr>
              <w:keepNext/>
              <w:keepLines/>
              <w:autoSpaceDE/>
              <w:autoSpaceDN/>
              <w:adjustRightInd/>
              <w:rPr>
                <w:sz w:val="22"/>
                <w:szCs w:val="22"/>
              </w:rPr>
            </w:pPr>
            <w:r w:rsidRPr="005B6EB1">
              <w:rPr>
                <w:sz w:val="22"/>
                <w:szCs w:val="22"/>
              </w:rPr>
              <w:t>Average Annual N</w:t>
            </w:r>
            <w:r w:rsidRPr="005B6EB1" w:rsidR="00B32694">
              <w:rPr>
                <w:sz w:val="22"/>
                <w:szCs w:val="22"/>
              </w:rPr>
              <w:t>umber of Responses per Respondent</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9E4B73" w:rsidRPr="005B6EB1" w:rsidP="008243C8" w14:paraId="704F8546" w14:textId="66FC358C">
            <w:pPr>
              <w:keepNext/>
              <w:keepLines/>
              <w:autoSpaceDE/>
              <w:autoSpaceDN/>
              <w:adjustRightInd/>
              <w:jc w:val="right"/>
              <w:rPr>
                <w:sz w:val="22"/>
                <w:szCs w:val="22"/>
              </w:rPr>
            </w:pPr>
            <w:r w:rsidRPr="005B6EB1">
              <w:rPr>
                <w:sz w:val="22"/>
                <w:szCs w:val="22"/>
              </w:rPr>
              <w:t>5.17</w:t>
            </w:r>
          </w:p>
        </w:tc>
      </w:tr>
      <w:tr w14:paraId="3491F8F1"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9E4B73" w:rsidRPr="005B6EB1" w:rsidP="008243C8" w14:paraId="0BC546A8" w14:textId="77777777">
            <w:pPr>
              <w:keepNext/>
              <w:keepLines/>
              <w:autoSpaceDE/>
              <w:autoSpaceDN/>
              <w:adjustRightInd/>
              <w:rPr>
                <w:sz w:val="22"/>
                <w:szCs w:val="22"/>
              </w:rPr>
            </w:pPr>
            <w:r w:rsidRPr="005B6EB1">
              <w:rPr>
                <w:sz w:val="22"/>
                <w:szCs w:val="22"/>
              </w:rPr>
              <w:t>Average Annual Burden Hours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9E4B73" w:rsidRPr="005B6EB1" w:rsidP="00033E10" w14:paraId="2A345447" w14:textId="749F1CAA">
            <w:pPr>
              <w:widowControl/>
              <w:autoSpaceDE/>
              <w:autoSpaceDN/>
              <w:adjustRightInd/>
              <w:jc w:val="right"/>
              <w:rPr>
                <w:color w:val="000000"/>
                <w:sz w:val="22"/>
                <w:szCs w:val="22"/>
              </w:rPr>
            </w:pPr>
            <w:r w:rsidRPr="005B6EB1">
              <w:rPr>
                <w:color w:val="000000"/>
                <w:sz w:val="22"/>
                <w:szCs w:val="22"/>
              </w:rPr>
              <w:t>41,135</w:t>
            </w:r>
          </w:p>
        </w:tc>
      </w:tr>
      <w:tr w14:paraId="603F7C3E"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9E4B73" w:rsidRPr="005B6EB1" w:rsidP="008243C8" w14:paraId="5F080486" w14:textId="77777777">
            <w:pPr>
              <w:keepNext/>
              <w:keepLines/>
              <w:autoSpaceDE/>
              <w:autoSpaceDN/>
              <w:adjustRightInd/>
              <w:rPr>
                <w:sz w:val="22"/>
                <w:szCs w:val="22"/>
              </w:rPr>
            </w:pPr>
            <w:r w:rsidRPr="005B6EB1">
              <w:rPr>
                <w:sz w:val="22"/>
                <w:szCs w:val="22"/>
              </w:rPr>
              <w:t>Average Hours per Response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9E4B73" w:rsidRPr="005B6EB1" w:rsidP="008243C8" w14:paraId="51A273C0" w14:textId="18E33553">
            <w:pPr>
              <w:keepNext/>
              <w:keepLines/>
              <w:autoSpaceDE/>
              <w:autoSpaceDN/>
              <w:adjustRightInd/>
              <w:jc w:val="right"/>
              <w:rPr>
                <w:sz w:val="22"/>
                <w:szCs w:val="22"/>
              </w:rPr>
            </w:pPr>
            <w:r w:rsidRPr="005B6EB1">
              <w:rPr>
                <w:sz w:val="22"/>
                <w:szCs w:val="22"/>
              </w:rPr>
              <w:t>1.02</w:t>
            </w:r>
          </w:p>
        </w:tc>
      </w:tr>
      <w:tr w14:paraId="7856B25A"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9E4B73" w:rsidRPr="005B6EB1" w:rsidP="008243C8" w14:paraId="7E8E3B26" w14:textId="77777777">
            <w:pPr>
              <w:keepNext/>
              <w:keepLines/>
              <w:autoSpaceDE/>
              <w:autoSpaceDN/>
              <w:adjustRightInd/>
              <w:rPr>
                <w:sz w:val="22"/>
                <w:szCs w:val="22"/>
              </w:rPr>
            </w:pPr>
            <w:r w:rsidRPr="005B6EB1">
              <w:rPr>
                <w:sz w:val="22"/>
                <w:szCs w:val="22"/>
              </w:rPr>
              <w:t>Average Annual Cost to Respondents</w:t>
            </w:r>
          </w:p>
          <w:p w:rsidR="00B32694" w:rsidRPr="005B6EB1" w:rsidP="008243C8" w14:paraId="31801ED6" w14:textId="2253ADA0">
            <w:pPr>
              <w:keepNext/>
              <w:keepLines/>
              <w:autoSpaceDE/>
              <w:autoSpaceDN/>
              <w:adjustRightInd/>
              <w:rPr>
                <w:sz w:val="18"/>
                <w:szCs w:val="18"/>
              </w:rPr>
            </w:pPr>
            <w:r w:rsidRPr="005B6EB1">
              <w:rPr>
                <w:sz w:val="18"/>
                <w:szCs w:val="18"/>
              </w:rPr>
              <w:t>(</w:t>
            </w:r>
            <w:r w:rsidRPr="005B6EB1" w:rsidR="00655BB6">
              <w:rPr>
                <w:sz w:val="18"/>
                <w:szCs w:val="18"/>
              </w:rPr>
              <w:t>Burden</w:t>
            </w:r>
            <w:r w:rsidRPr="005B6EB1">
              <w:rPr>
                <w:sz w:val="18"/>
                <w:szCs w:val="18"/>
              </w:rPr>
              <w:t xml:space="preserve"> hours monetized at loaded hourly wage rate)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9E4B73" w:rsidRPr="005B6EB1" w:rsidP="00033E10" w14:paraId="1B2BBF4D" w14:textId="0684B20C">
            <w:pPr>
              <w:widowControl/>
              <w:autoSpaceDE/>
              <w:autoSpaceDN/>
              <w:adjustRightInd/>
              <w:jc w:val="right"/>
              <w:rPr>
                <w:color w:val="000000"/>
                <w:sz w:val="22"/>
                <w:szCs w:val="22"/>
              </w:rPr>
            </w:pPr>
            <w:r w:rsidRPr="005B6EB1">
              <w:rPr>
                <w:color w:val="000000"/>
                <w:sz w:val="22"/>
                <w:szCs w:val="22"/>
              </w:rPr>
              <w:t xml:space="preserve">$     </w:t>
            </w:r>
            <w:r w:rsidRPr="005B6EB1" w:rsidR="00D803B4">
              <w:rPr>
                <w:color w:val="000000"/>
                <w:sz w:val="22"/>
                <w:szCs w:val="22"/>
              </w:rPr>
              <w:t>2,248,864</w:t>
            </w:r>
            <w:r w:rsidRPr="005B6EB1">
              <w:rPr>
                <w:color w:val="000000"/>
                <w:sz w:val="22"/>
                <w:szCs w:val="22"/>
              </w:rPr>
              <w:t xml:space="preserve"> </w:t>
            </w:r>
          </w:p>
        </w:tc>
      </w:tr>
    </w:tbl>
    <w:p w:rsidR="00F02EC3" w:rsidRPr="005B6EB1" w:rsidP="00F02EC3" w14:paraId="297FF927" w14:textId="77777777">
      <w:pPr>
        <w:ind w:left="360"/>
        <w:rPr>
          <w:b/>
          <w:u w:val="single"/>
        </w:rPr>
      </w:pPr>
    </w:p>
    <w:p w:rsidR="00B52E13" w:rsidRPr="005B6EB1" w:rsidP="00F02EC3" w14:paraId="2ED74A1D" w14:textId="2C9AE19E">
      <w:pPr>
        <w:ind w:left="360"/>
        <w:rPr>
          <w:b/>
          <w:u w:val="single"/>
        </w:rPr>
      </w:pPr>
      <w:r w:rsidRPr="005B6EB1">
        <w:rPr>
          <w:b/>
          <w:u w:val="single"/>
        </w:rPr>
        <w:t>IC-</w:t>
      </w:r>
      <w:r w:rsidRPr="005B6EB1" w:rsidR="003950D2">
        <w:rPr>
          <w:b/>
          <w:u w:val="single"/>
        </w:rPr>
        <w:t>2</w:t>
      </w:r>
      <w:r w:rsidRPr="005B6EB1">
        <w:rPr>
          <w:b/>
          <w:u w:val="single"/>
        </w:rPr>
        <w:t>:  Driver Training Certification</w:t>
      </w:r>
      <w:r w:rsidRPr="005B6EB1" w:rsidR="00693CFC">
        <w:rPr>
          <w:b/>
          <w:u w:val="single"/>
        </w:rPr>
        <w:t xml:space="preserve"> Information</w:t>
      </w:r>
      <w:r w:rsidRPr="005B6EB1" w:rsidR="00C75014">
        <w:rPr>
          <w:b/>
          <w:u w:val="single"/>
        </w:rPr>
        <w:t xml:space="preserve"> (under 49 CFR Part 380 Subpart G)</w:t>
      </w:r>
    </w:p>
    <w:p w:rsidR="00B52E13" w:rsidRPr="005B6EB1" w:rsidP="00B173D6" w14:paraId="1442F62E" w14:textId="03B794DA">
      <w:pPr>
        <w:keepNext/>
        <w:keepLines/>
        <w:tabs>
          <w:tab w:val="left" w:pos="360"/>
        </w:tabs>
        <w:ind w:left="360"/>
        <w:rPr>
          <w:szCs w:val="24"/>
        </w:rPr>
      </w:pPr>
    </w:p>
    <w:p w:rsidR="00F02EC3" w:rsidRPr="005B6EB1" w:rsidP="00F02EC3" w14:paraId="1B563014" w14:textId="23089507">
      <w:pPr>
        <w:ind w:left="360"/>
      </w:pPr>
      <w:r w:rsidRPr="005B6EB1">
        <w:t xml:space="preserve">“Driver Training Certification” information will be collected by FMCSA from training providers by means of the TPR. After an individual driver-trainee completes training administered by a training provider listed on the TPR, that training provider must submit the training certification information regarding the driver-trainee to the TPR. </w:t>
      </w:r>
    </w:p>
    <w:p w:rsidR="004369E1" w:rsidRPr="005B6EB1" w:rsidP="00DA7B30" w14:paraId="01B888EB" w14:textId="77777777">
      <w:pPr>
        <w:tabs>
          <w:tab w:val="left" w:pos="360"/>
        </w:tabs>
        <w:ind w:left="360" w:hanging="360"/>
      </w:pPr>
    </w:p>
    <w:p w:rsidR="004220C7" w:rsidRPr="005B6EB1" w:rsidP="004369E1" w14:paraId="3D655FC3" w14:textId="13DBECA1">
      <w:pPr>
        <w:tabs>
          <w:tab w:val="left" w:pos="360"/>
        </w:tabs>
        <w:ind w:left="360"/>
        <w:rPr>
          <w:bCs/>
          <w:szCs w:val="24"/>
        </w:rPr>
      </w:pPr>
      <w:r w:rsidRPr="005B6EB1">
        <w:t xml:space="preserve">Table </w:t>
      </w:r>
      <w:r w:rsidRPr="005B6EB1" w:rsidR="003950D2">
        <w:t>5</w:t>
      </w:r>
      <w:r w:rsidRPr="005B6EB1">
        <w:t xml:space="preserve"> presents the number of</w:t>
      </w:r>
      <w:r w:rsidRPr="005B6EB1" w:rsidR="005A20E3">
        <w:t xml:space="preserve"> “Driver Training Certification” reports submitted to the TPR in 2022</w:t>
      </w:r>
      <w:r w:rsidRPr="005B6EB1" w:rsidR="003950D2">
        <w:t>.</w:t>
      </w:r>
      <w:r w:rsidRPr="005B6EB1" w:rsidR="004369E1">
        <w:t xml:space="preserve"> </w:t>
      </w:r>
    </w:p>
    <w:p w:rsidR="001A283B" w:rsidRPr="005B6EB1" w:rsidP="004369E1" w14:paraId="0A31F19D" w14:textId="390ECEEE">
      <w:pPr>
        <w:tabs>
          <w:tab w:val="left" w:pos="360"/>
        </w:tabs>
        <w:ind w:left="360"/>
        <w:rPr>
          <w:bCs/>
          <w:szCs w:val="24"/>
        </w:rPr>
      </w:pPr>
    </w:p>
    <w:p w:rsidR="000F3F38" w:rsidRPr="005B6EB1" w:rsidP="00662965" w14:paraId="22B0FE96" w14:textId="66595742">
      <w:pPr>
        <w:pStyle w:val="Caption"/>
        <w:keepNext/>
        <w:keepLines/>
        <w:widowControl/>
        <w:spacing w:after="0"/>
        <w:ind w:left="360"/>
        <w:rPr>
          <w:b/>
          <w:color w:val="auto"/>
          <w:szCs w:val="24"/>
        </w:rPr>
      </w:pPr>
      <w:r w:rsidRPr="005B6EB1">
        <w:rPr>
          <w:b/>
          <w:i w:val="0"/>
          <w:color w:val="auto"/>
          <w:sz w:val="24"/>
          <w:szCs w:val="24"/>
        </w:rPr>
        <w:t xml:space="preserve">Table </w:t>
      </w:r>
      <w:r w:rsidRPr="005B6EB1" w:rsidR="003950D2">
        <w:rPr>
          <w:b/>
          <w:i w:val="0"/>
          <w:color w:val="auto"/>
          <w:sz w:val="24"/>
          <w:szCs w:val="24"/>
        </w:rPr>
        <w:t>5</w:t>
      </w:r>
      <w:r w:rsidRPr="005B6EB1">
        <w:rPr>
          <w:b/>
          <w:i w:val="0"/>
          <w:color w:val="auto"/>
          <w:sz w:val="24"/>
          <w:szCs w:val="24"/>
        </w:rPr>
        <w:t xml:space="preserve">. </w:t>
      </w:r>
      <w:r w:rsidRPr="005B6EB1" w:rsidR="005A20E3">
        <w:rPr>
          <w:b/>
          <w:i w:val="0"/>
          <w:color w:val="auto"/>
          <w:sz w:val="24"/>
          <w:szCs w:val="24"/>
        </w:rPr>
        <w:t>Actual Number of Driver Training Certification Reports</w:t>
      </w:r>
    </w:p>
    <w:tbl>
      <w:tblPr>
        <w:tblW w:w="250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4"/>
        <w:gridCol w:w="1236"/>
      </w:tblGrid>
      <w:tr w14:paraId="3ED653E3" w14:textId="77777777" w:rsidTr="00033E10">
        <w:tblPrEx>
          <w:tblW w:w="250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3444" w:type="dxa"/>
            <w:tcBorders>
              <w:top w:val="single" w:sz="18" w:space="0" w:color="auto"/>
              <w:bottom w:val="single" w:sz="18" w:space="0" w:color="auto"/>
              <w:right w:val="single" w:sz="18" w:space="0" w:color="auto"/>
            </w:tcBorders>
            <w:shd w:val="clear" w:color="000000" w:fill="E0E0E0"/>
            <w:vAlign w:val="bottom"/>
            <w:hideMark/>
          </w:tcPr>
          <w:p w:rsidR="003950D2" w:rsidRPr="005B6EB1" w:rsidP="00662965" w14:paraId="7B238772" w14:textId="77777777">
            <w:pPr>
              <w:keepNext/>
              <w:keepLines/>
              <w:widowControl/>
              <w:autoSpaceDE/>
              <w:autoSpaceDN/>
              <w:adjustRightInd/>
              <w:rPr>
                <w:b/>
                <w:bCs/>
              </w:rPr>
            </w:pPr>
            <w:r w:rsidRPr="005B6EB1">
              <w:rPr>
                <w:b/>
                <w:bCs/>
              </w:rPr>
              <w:t> </w:t>
            </w:r>
          </w:p>
        </w:tc>
        <w:tc>
          <w:tcPr>
            <w:tcW w:w="1236" w:type="dxa"/>
            <w:tcBorders>
              <w:top w:val="single" w:sz="18" w:space="0" w:color="auto"/>
              <w:bottom w:val="single" w:sz="18" w:space="0" w:color="auto"/>
              <w:right w:val="single" w:sz="2" w:space="0" w:color="auto"/>
            </w:tcBorders>
            <w:shd w:val="clear" w:color="000000" w:fill="E0E0E0"/>
            <w:vAlign w:val="bottom"/>
          </w:tcPr>
          <w:p w:rsidR="003950D2" w:rsidRPr="005B6EB1" w:rsidP="00662965" w14:paraId="7F6773E7" w14:textId="0F809D36">
            <w:pPr>
              <w:keepNext/>
              <w:keepLines/>
              <w:widowControl/>
              <w:autoSpaceDE/>
              <w:autoSpaceDN/>
              <w:adjustRightInd/>
              <w:jc w:val="center"/>
              <w:rPr>
                <w:b/>
                <w:bCs/>
                <w:sz w:val="22"/>
                <w:szCs w:val="22"/>
              </w:rPr>
            </w:pPr>
            <w:r w:rsidRPr="005B6EB1">
              <w:rPr>
                <w:b/>
                <w:bCs/>
                <w:sz w:val="22"/>
                <w:szCs w:val="22"/>
              </w:rPr>
              <w:t>2022</w:t>
            </w:r>
          </w:p>
        </w:tc>
      </w:tr>
      <w:tr w14:paraId="10EFF177" w14:textId="77777777" w:rsidTr="00637CF5">
        <w:tblPrEx>
          <w:tblW w:w="2502" w:type="pct"/>
          <w:tblInd w:w="355" w:type="dxa"/>
          <w:tblLayout w:type="fixed"/>
          <w:tblLook w:val="04A0"/>
        </w:tblPrEx>
        <w:trPr>
          <w:trHeight w:val="513"/>
        </w:trPr>
        <w:tc>
          <w:tcPr>
            <w:tcW w:w="3444" w:type="dxa"/>
            <w:tcBorders>
              <w:top w:val="single" w:sz="18" w:space="0" w:color="auto"/>
              <w:bottom w:val="single" w:sz="18" w:space="0" w:color="auto"/>
              <w:right w:val="single" w:sz="18" w:space="0" w:color="auto"/>
            </w:tcBorders>
            <w:shd w:val="clear" w:color="auto" w:fill="auto"/>
            <w:noWrap/>
            <w:vAlign w:val="center"/>
            <w:hideMark/>
          </w:tcPr>
          <w:p w:rsidR="003950D2" w:rsidRPr="005B6EB1" w:rsidP="00662965" w14:paraId="3F5D05C1" w14:textId="77777777">
            <w:pPr>
              <w:keepNext/>
              <w:keepLines/>
              <w:widowControl/>
              <w:autoSpaceDE/>
              <w:autoSpaceDN/>
              <w:adjustRightInd/>
              <w:rPr>
                <w:iCs/>
                <w:sz w:val="22"/>
                <w:szCs w:val="22"/>
              </w:rPr>
            </w:pPr>
            <w:r w:rsidRPr="005B6EB1">
              <w:rPr>
                <w:sz w:val="22"/>
                <w:szCs w:val="22"/>
              </w:rPr>
              <w:t>Number of Entry-Level Drivers</w:t>
            </w:r>
          </w:p>
        </w:tc>
        <w:tc>
          <w:tcPr>
            <w:tcW w:w="1236" w:type="dxa"/>
            <w:tcBorders>
              <w:top w:val="single" w:sz="18" w:space="0" w:color="auto"/>
              <w:bottom w:val="single" w:sz="18" w:space="0" w:color="auto"/>
              <w:right w:val="single" w:sz="2" w:space="0" w:color="auto"/>
            </w:tcBorders>
            <w:vAlign w:val="center"/>
          </w:tcPr>
          <w:p w:rsidR="003950D2" w:rsidRPr="005B6EB1" w:rsidP="00662965" w14:paraId="5A37276A" w14:textId="056A851E">
            <w:pPr>
              <w:keepNext/>
              <w:keepLines/>
              <w:widowControl/>
              <w:autoSpaceDE/>
              <w:autoSpaceDN/>
              <w:adjustRightInd/>
              <w:jc w:val="right"/>
              <w:rPr>
                <w:sz w:val="22"/>
                <w:szCs w:val="22"/>
              </w:rPr>
            </w:pPr>
            <w:r w:rsidRPr="005B6EB1">
              <w:rPr>
                <w:sz w:val="22"/>
                <w:szCs w:val="22"/>
              </w:rPr>
              <w:t>471,857</w:t>
            </w:r>
          </w:p>
        </w:tc>
      </w:tr>
    </w:tbl>
    <w:p w:rsidR="006D0723" w:rsidRPr="005B6EB1" w14:paraId="755668DB" w14:textId="7C2DA2E5">
      <w:pPr>
        <w:keepNext/>
        <w:keepLines/>
        <w:tabs>
          <w:tab w:val="left" w:pos="360"/>
        </w:tabs>
        <w:ind w:left="360"/>
        <w:rPr>
          <w:sz w:val="18"/>
          <w:szCs w:val="18"/>
        </w:rPr>
      </w:pPr>
      <w:r w:rsidRPr="005B6EB1">
        <w:rPr>
          <w:b/>
          <w:sz w:val="18"/>
          <w:szCs w:val="18"/>
        </w:rPr>
        <w:t>Source</w:t>
      </w:r>
      <w:r w:rsidRPr="005B6EB1">
        <w:rPr>
          <w:sz w:val="18"/>
          <w:szCs w:val="18"/>
        </w:rPr>
        <w:t xml:space="preserve">: </w:t>
      </w:r>
      <w:r w:rsidRPr="005B6EB1" w:rsidR="00C3213B">
        <w:rPr>
          <w:i/>
          <w:sz w:val="18"/>
          <w:szCs w:val="18"/>
        </w:rPr>
        <w:t>https://tpr.fmcsa.dot.gov/</w:t>
      </w:r>
    </w:p>
    <w:p w:rsidR="000F3F38" w:rsidRPr="005B6EB1" w:rsidP="000F3F38" w14:paraId="2F3393B7" w14:textId="5504DBB2">
      <w:pPr>
        <w:tabs>
          <w:tab w:val="left" w:pos="360"/>
        </w:tabs>
        <w:ind w:left="360"/>
        <w:rPr>
          <w:sz w:val="18"/>
          <w:szCs w:val="18"/>
        </w:rPr>
      </w:pPr>
    </w:p>
    <w:p w:rsidR="005A20E3" w:rsidRPr="005B6EB1" w:rsidP="005A20E3" w14:paraId="530CF946" w14:textId="1AFFE9A0">
      <w:pPr>
        <w:tabs>
          <w:tab w:val="left" w:pos="360"/>
        </w:tabs>
        <w:ind w:left="360"/>
        <w:rPr>
          <w:bCs/>
          <w:szCs w:val="24"/>
        </w:rPr>
      </w:pPr>
      <w:r w:rsidRPr="005B6EB1">
        <w:rPr>
          <w:bCs/>
          <w:szCs w:val="24"/>
        </w:rPr>
        <w:t xml:space="preserve"> The Agency is able to use this information from actual submissions of driver training certification information to the TPR to refine its future estimates of the annual number of reports to be filed. FMCSA assumes that the number of reports filed each year will stay relatively stable, and as such uses the actual 2022 number as its estimate for each of the next three years. As more years pass, FMCSA will be able to refine this estimate using three-year averages.</w:t>
      </w:r>
    </w:p>
    <w:p w:rsidR="00006334" w:rsidRPr="005B6EB1" w:rsidP="0090520D" w14:paraId="446744CA" w14:textId="77777777">
      <w:pPr>
        <w:ind w:left="360"/>
        <w:rPr>
          <w:szCs w:val="24"/>
        </w:rPr>
      </w:pPr>
    </w:p>
    <w:p w:rsidR="004B1295" w:rsidRPr="005B6EB1" w:rsidP="004B1295" w14:paraId="48C6CF53" w14:textId="695236BE">
      <w:pPr>
        <w:pStyle w:val="Caption"/>
        <w:keepNext/>
        <w:keepLines/>
        <w:widowControl/>
        <w:spacing w:after="0"/>
        <w:ind w:left="360"/>
        <w:rPr>
          <w:b/>
          <w:color w:val="auto"/>
          <w:sz w:val="24"/>
          <w:szCs w:val="24"/>
        </w:rPr>
      </w:pPr>
      <w:r w:rsidRPr="005B6EB1">
        <w:rPr>
          <w:b/>
          <w:i w:val="0"/>
          <w:color w:val="auto"/>
          <w:sz w:val="24"/>
          <w:szCs w:val="24"/>
        </w:rPr>
        <w:t>T</w:t>
      </w:r>
      <w:r w:rsidRPr="005B6EB1" w:rsidR="00227758">
        <w:rPr>
          <w:b/>
          <w:i w:val="0"/>
          <w:color w:val="auto"/>
          <w:sz w:val="24"/>
          <w:szCs w:val="24"/>
        </w:rPr>
        <w:t xml:space="preserve">able </w:t>
      </w:r>
      <w:r w:rsidRPr="005B6EB1" w:rsidR="0017416C">
        <w:rPr>
          <w:b/>
          <w:i w:val="0"/>
          <w:color w:val="auto"/>
          <w:sz w:val="24"/>
          <w:szCs w:val="24"/>
        </w:rPr>
        <w:t>6</w:t>
      </w:r>
      <w:r w:rsidRPr="005B6EB1">
        <w:rPr>
          <w:b/>
          <w:i w:val="0"/>
          <w:color w:val="auto"/>
          <w:sz w:val="24"/>
          <w:szCs w:val="24"/>
        </w:rPr>
        <w:t xml:space="preserve">. Estimated Number of </w:t>
      </w:r>
      <w:r w:rsidRPr="005B6EB1" w:rsidR="005A20E3">
        <w:rPr>
          <w:b/>
          <w:i w:val="0"/>
          <w:color w:val="auto"/>
          <w:sz w:val="24"/>
          <w:szCs w:val="24"/>
        </w:rPr>
        <w:t xml:space="preserve">Annual </w:t>
      </w:r>
      <w:r w:rsidRPr="005B6EB1" w:rsidR="0009201D">
        <w:rPr>
          <w:b/>
          <w:i w:val="0"/>
          <w:color w:val="auto"/>
          <w:sz w:val="24"/>
          <w:szCs w:val="24"/>
        </w:rPr>
        <w:t>Responses for IC-</w:t>
      </w:r>
      <w:r w:rsidRPr="005B6EB1" w:rsidR="00507D98">
        <w:rPr>
          <w:b/>
          <w:i w:val="0"/>
          <w:color w:val="auto"/>
          <w:sz w:val="24"/>
          <w:szCs w:val="24"/>
        </w:rPr>
        <w:t>2</w:t>
      </w:r>
      <w:r w:rsidRPr="005B6EB1" w:rsidR="00675613">
        <w:rPr>
          <w:b/>
          <w:i w:val="0"/>
          <w:color w:val="auto"/>
          <w:sz w:val="24"/>
          <w:szCs w:val="24"/>
        </w:rPr>
        <w:t xml:space="preserve"> (Driver </w:t>
      </w:r>
      <w:r w:rsidRPr="005B6EB1">
        <w:rPr>
          <w:b/>
          <w:i w:val="0"/>
          <w:color w:val="auto"/>
          <w:sz w:val="24"/>
          <w:szCs w:val="24"/>
        </w:rPr>
        <w:t xml:space="preserve">Training </w:t>
      </w:r>
      <w:r w:rsidRPr="005B6EB1" w:rsidR="00675613">
        <w:rPr>
          <w:b/>
          <w:i w:val="0"/>
          <w:color w:val="auto"/>
          <w:sz w:val="24"/>
          <w:szCs w:val="24"/>
        </w:rPr>
        <w:t>Certification Information</w:t>
      </w:r>
      <w:r w:rsidRPr="005B6EB1">
        <w:rPr>
          <w:b/>
          <w:i w:val="0"/>
          <w:color w:val="auto"/>
          <w:sz w:val="24"/>
          <w:szCs w:val="24"/>
        </w:rPr>
        <w:t>)</w:t>
      </w:r>
    </w:p>
    <w:tbl>
      <w:tblPr>
        <w:tblW w:w="45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0"/>
        <w:gridCol w:w="2160"/>
      </w:tblGrid>
      <w:tr w14:paraId="2BBEF815" w14:textId="77777777" w:rsidTr="00033E10">
        <w:tblPrEx>
          <w:tblW w:w="45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6300" w:type="dxa"/>
            <w:tcBorders>
              <w:top w:val="single" w:sz="18" w:space="0" w:color="auto"/>
              <w:bottom w:val="single" w:sz="18" w:space="0" w:color="auto"/>
              <w:right w:val="single" w:sz="18" w:space="0" w:color="auto"/>
            </w:tcBorders>
            <w:shd w:val="clear" w:color="000000" w:fill="E0E0E0"/>
            <w:vAlign w:val="bottom"/>
            <w:hideMark/>
          </w:tcPr>
          <w:p w:rsidR="0017416C" w:rsidRPr="005B6EB1" w:rsidP="00464625" w14:paraId="0E0C8A1B" w14:textId="77777777">
            <w:pPr>
              <w:keepNext/>
              <w:keepLines/>
              <w:widowControl/>
              <w:autoSpaceDE/>
              <w:autoSpaceDN/>
              <w:adjustRightInd/>
              <w:jc w:val="center"/>
              <w:rPr>
                <w:b/>
                <w:bCs/>
                <w:sz w:val="22"/>
                <w:szCs w:val="22"/>
              </w:rPr>
            </w:pPr>
            <w:r w:rsidRPr="005B6EB1">
              <w:rPr>
                <w:b/>
                <w:bCs/>
                <w:sz w:val="22"/>
                <w:szCs w:val="22"/>
              </w:rPr>
              <w:t>Type of Activity</w:t>
            </w:r>
          </w:p>
        </w:tc>
        <w:tc>
          <w:tcPr>
            <w:tcW w:w="2160" w:type="dxa"/>
            <w:tcBorders>
              <w:top w:val="single" w:sz="18" w:space="0" w:color="auto"/>
              <w:bottom w:val="single" w:sz="18" w:space="0" w:color="auto"/>
              <w:right w:val="single" w:sz="18" w:space="0" w:color="auto"/>
            </w:tcBorders>
            <w:shd w:val="clear" w:color="000000" w:fill="E0E0E0"/>
            <w:vAlign w:val="bottom"/>
          </w:tcPr>
          <w:p w:rsidR="0017416C" w:rsidRPr="005B6EB1" w:rsidP="00464625" w14:paraId="0C96F00C" w14:textId="0C68E5E6">
            <w:pPr>
              <w:keepNext/>
              <w:keepLines/>
              <w:widowControl/>
              <w:autoSpaceDE/>
              <w:autoSpaceDN/>
              <w:adjustRightInd/>
              <w:jc w:val="center"/>
              <w:rPr>
                <w:b/>
                <w:bCs/>
                <w:sz w:val="22"/>
                <w:szCs w:val="22"/>
              </w:rPr>
            </w:pPr>
            <w:r w:rsidRPr="005B6EB1">
              <w:rPr>
                <w:b/>
                <w:bCs/>
                <w:sz w:val="22"/>
                <w:szCs w:val="22"/>
              </w:rPr>
              <w:t>Annual Response (2023, 2024, 2025)</w:t>
            </w:r>
          </w:p>
        </w:tc>
      </w:tr>
      <w:tr w14:paraId="4F38212E" w14:textId="77777777" w:rsidTr="00033E10">
        <w:tblPrEx>
          <w:tblW w:w="4533" w:type="pct"/>
          <w:tblInd w:w="355" w:type="dxa"/>
          <w:tblLayout w:type="fixed"/>
          <w:tblLook w:val="04A0"/>
        </w:tblPrEx>
        <w:trPr>
          <w:trHeight w:val="504"/>
        </w:trPr>
        <w:tc>
          <w:tcPr>
            <w:tcW w:w="6300" w:type="dxa"/>
            <w:tcBorders>
              <w:top w:val="single" w:sz="18" w:space="0" w:color="auto"/>
              <w:bottom w:val="single" w:sz="2" w:space="0" w:color="auto"/>
              <w:right w:val="single" w:sz="18" w:space="0" w:color="auto"/>
            </w:tcBorders>
            <w:shd w:val="clear" w:color="auto" w:fill="auto"/>
            <w:noWrap/>
            <w:vAlign w:val="center"/>
          </w:tcPr>
          <w:p w:rsidR="0017416C" w:rsidRPr="005B6EB1" w:rsidP="00464625" w14:paraId="584005C9" w14:textId="77777777">
            <w:pPr>
              <w:keepNext/>
              <w:keepLines/>
              <w:widowControl/>
              <w:autoSpaceDE/>
              <w:autoSpaceDN/>
              <w:adjustRightInd/>
              <w:rPr>
                <w:iCs/>
                <w:sz w:val="22"/>
                <w:szCs w:val="22"/>
              </w:rPr>
            </w:pPr>
            <w:r w:rsidRPr="005B6EB1">
              <w:rPr>
                <w:iCs/>
                <w:sz w:val="22"/>
                <w:szCs w:val="22"/>
              </w:rPr>
              <w:t>Number of Submissions of Driver Training Certification Information</w:t>
            </w:r>
          </w:p>
        </w:tc>
        <w:tc>
          <w:tcPr>
            <w:tcW w:w="2160" w:type="dxa"/>
            <w:tcBorders>
              <w:top w:val="single" w:sz="18" w:space="0" w:color="auto"/>
              <w:bottom w:val="single" w:sz="2" w:space="0" w:color="auto"/>
              <w:right w:val="single" w:sz="18" w:space="0" w:color="auto"/>
            </w:tcBorders>
            <w:vAlign w:val="center"/>
          </w:tcPr>
          <w:p w:rsidR="0017416C" w:rsidRPr="005B6EB1" w:rsidP="00464625" w14:paraId="0F518118" w14:textId="48B17BFB">
            <w:pPr>
              <w:keepNext/>
              <w:keepLines/>
              <w:widowControl/>
              <w:autoSpaceDE/>
              <w:autoSpaceDN/>
              <w:adjustRightInd/>
              <w:jc w:val="right"/>
              <w:rPr>
                <w:sz w:val="22"/>
                <w:szCs w:val="22"/>
              </w:rPr>
            </w:pPr>
            <w:r w:rsidRPr="005B6EB1">
              <w:rPr>
                <w:sz w:val="22"/>
                <w:szCs w:val="22"/>
              </w:rPr>
              <w:t>471,857</w:t>
            </w:r>
          </w:p>
        </w:tc>
      </w:tr>
      <w:tr w14:paraId="0632A8D3" w14:textId="77777777" w:rsidTr="00033E10">
        <w:tblPrEx>
          <w:tblW w:w="4533" w:type="pct"/>
          <w:tblInd w:w="355" w:type="dxa"/>
          <w:tblLayout w:type="fixed"/>
          <w:tblLook w:val="04A0"/>
        </w:tblPrEx>
        <w:trPr>
          <w:trHeight w:val="625"/>
        </w:trPr>
        <w:tc>
          <w:tcPr>
            <w:tcW w:w="630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noWrap/>
            <w:vAlign w:val="center"/>
          </w:tcPr>
          <w:p w:rsidR="0017416C" w:rsidRPr="005B6EB1" w:rsidP="00464625" w14:paraId="375DAE83" w14:textId="0DB0FEAB">
            <w:pPr>
              <w:keepNext/>
              <w:keepLines/>
              <w:widowControl/>
              <w:autoSpaceDE/>
              <w:autoSpaceDN/>
              <w:adjustRightInd/>
              <w:rPr>
                <w:b/>
                <w:sz w:val="22"/>
                <w:szCs w:val="22"/>
              </w:rPr>
            </w:pPr>
            <w:r w:rsidRPr="005B6EB1">
              <w:rPr>
                <w:b/>
                <w:sz w:val="22"/>
                <w:szCs w:val="22"/>
              </w:rPr>
              <w:t xml:space="preserve">TOTAL NUMBER OF </w:t>
            </w:r>
            <w:r w:rsidRPr="005B6EB1" w:rsidR="005A20E3">
              <w:rPr>
                <w:b/>
                <w:sz w:val="22"/>
                <w:szCs w:val="22"/>
              </w:rPr>
              <w:t xml:space="preserve">ANNUAL </w:t>
            </w:r>
            <w:r w:rsidRPr="005B6EB1">
              <w:rPr>
                <w:b/>
                <w:sz w:val="22"/>
                <w:szCs w:val="22"/>
              </w:rPr>
              <w:t>RESPONSES</w:t>
            </w:r>
          </w:p>
        </w:tc>
        <w:tc>
          <w:tcPr>
            <w:tcW w:w="216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vAlign w:val="center"/>
          </w:tcPr>
          <w:p w:rsidR="0017416C" w:rsidRPr="005B6EB1" w:rsidP="00464625" w14:paraId="18E08A13" w14:textId="5BEE3395">
            <w:pPr>
              <w:keepNext/>
              <w:keepLines/>
              <w:widowControl/>
              <w:autoSpaceDE/>
              <w:autoSpaceDN/>
              <w:adjustRightInd/>
              <w:jc w:val="right"/>
              <w:rPr>
                <w:b/>
                <w:sz w:val="22"/>
                <w:szCs w:val="22"/>
              </w:rPr>
            </w:pPr>
            <w:r w:rsidRPr="005B6EB1">
              <w:rPr>
                <w:b/>
                <w:sz w:val="22"/>
                <w:szCs w:val="22"/>
              </w:rPr>
              <w:t>471,857</w:t>
            </w:r>
          </w:p>
        </w:tc>
      </w:tr>
      <w:tr w14:paraId="10AAD087" w14:textId="77777777" w:rsidTr="00033E10">
        <w:tblPrEx>
          <w:tblW w:w="4533" w:type="pct"/>
          <w:tblInd w:w="355" w:type="dxa"/>
          <w:tblLayout w:type="fixed"/>
          <w:tblLook w:val="04A0"/>
        </w:tblPrEx>
        <w:trPr>
          <w:trHeight w:val="625"/>
        </w:trPr>
        <w:tc>
          <w:tcPr>
            <w:tcW w:w="630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noWrap/>
            <w:vAlign w:val="center"/>
          </w:tcPr>
          <w:p w:rsidR="0017416C" w:rsidRPr="005B6EB1" w:rsidP="00464625" w14:paraId="60834E23" w14:textId="6700A549">
            <w:pPr>
              <w:keepNext/>
              <w:keepLines/>
              <w:widowControl/>
              <w:autoSpaceDE/>
              <w:autoSpaceDN/>
              <w:adjustRightInd/>
              <w:rPr>
                <w:b/>
                <w:sz w:val="22"/>
                <w:szCs w:val="22"/>
              </w:rPr>
            </w:pPr>
            <w:r w:rsidRPr="005B6EB1">
              <w:rPr>
                <w:b/>
                <w:sz w:val="22"/>
                <w:szCs w:val="22"/>
              </w:rPr>
              <w:t xml:space="preserve">NUMBER OF </w:t>
            </w:r>
            <w:r w:rsidRPr="005B6EB1" w:rsidR="005A20E3">
              <w:rPr>
                <w:b/>
                <w:sz w:val="22"/>
                <w:szCs w:val="22"/>
              </w:rPr>
              <w:t xml:space="preserve">ANNUAL </w:t>
            </w:r>
            <w:r w:rsidRPr="005B6EB1">
              <w:rPr>
                <w:b/>
                <w:sz w:val="22"/>
                <w:szCs w:val="22"/>
              </w:rPr>
              <w:t>RESPONDENTS</w:t>
            </w:r>
          </w:p>
        </w:tc>
        <w:tc>
          <w:tcPr>
            <w:tcW w:w="216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vAlign w:val="center"/>
          </w:tcPr>
          <w:p w:rsidR="0017416C" w:rsidRPr="005B6EB1" w:rsidP="00464625" w14:paraId="1CA8A5CE" w14:textId="7611A7DB">
            <w:pPr>
              <w:keepNext/>
              <w:keepLines/>
              <w:widowControl/>
              <w:autoSpaceDE/>
              <w:autoSpaceDN/>
              <w:adjustRightInd/>
              <w:jc w:val="right"/>
              <w:rPr>
                <w:b/>
                <w:bCs/>
                <w:sz w:val="22"/>
                <w:szCs w:val="22"/>
              </w:rPr>
            </w:pPr>
            <w:r w:rsidRPr="005B6EB1">
              <w:rPr>
                <w:b/>
                <w:bCs/>
                <w:iCs/>
                <w:sz w:val="22"/>
                <w:szCs w:val="22"/>
              </w:rPr>
              <w:t>7,774</w:t>
            </w:r>
          </w:p>
        </w:tc>
      </w:tr>
    </w:tbl>
    <w:p w:rsidR="004B1295" w:rsidRPr="005B6EB1" w:rsidP="00020C9B" w14:paraId="040E8CC2" w14:textId="77777777">
      <w:pPr>
        <w:tabs>
          <w:tab w:val="left" w:pos="360"/>
        </w:tabs>
        <w:ind w:left="360"/>
        <w:rPr>
          <w:szCs w:val="24"/>
        </w:rPr>
      </w:pPr>
    </w:p>
    <w:p w:rsidR="004B1295" w:rsidRPr="005B6EB1" w:rsidP="00BA4DC3" w14:paraId="3D3AAD6B" w14:textId="5874B871">
      <w:pPr>
        <w:ind w:left="360"/>
        <w:rPr>
          <w:bCs/>
          <w:szCs w:val="24"/>
        </w:rPr>
      </w:pPr>
      <w:r w:rsidRPr="005B6EB1">
        <w:t xml:space="preserve">Each submittal of driver training certification information by a training provider for each new entry-level driver is estimated to require 5 minutes. This estimate </w:t>
      </w:r>
      <w:r w:rsidRPr="005B6EB1" w:rsidR="005A20E3">
        <w:t>remains unchanged from the last ICR</w:t>
      </w:r>
      <w:r w:rsidRPr="005B6EB1" w:rsidR="0017416C">
        <w:rPr>
          <w:bCs/>
          <w:szCs w:val="24"/>
        </w:rPr>
        <w:t xml:space="preserve">. </w:t>
      </w:r>
      <w:r w:rsidRPr="005B6EB1" w:rsidR="00F4292F">
        <w:rPr>
          <w:szCs w:val="24"/>
        </w:rPr>
        <w:t xml:space="preserve">Table </w:t>
      </w:r>
      <w:r w:rsidRPr="005B6EB1" w:rsidR="0017416C">
        <w:rPr>
          <w:szCs w:val="24"/>
        </w:rPr>
        <w:t>7</w:t>
      </w:r>
      <w:r w:rsidRPr="005B6EB1" w:rsidR="000678BF">
        <w:rPr>
          <w:szCs w:val="24"/>
        </w:rPr>
        <w:t xml:space="preserve"> presents the resulting estimates of annualized hour burden for IC-</w:t>
      </w:r>
      <w:r w:rsidRPr="005B6EB1" w:rsidR="0017416C">
        <w:rPr>
          <w:szCs w:val="24"/>
        </w:rPr>
        <w:t>2</w:t>
      </w:r>
      <w:r w:rsidRPr="005B6EB1" w:rsidR="000678BF">
        <w:rPr>
          <w:szCs w:val="24"/>
        </w:rPr>
        <w:t>, based on the number o</w:t>
      </w:r>
      <w:r w:rsidRPr="005B6EB1" w:rsidR="00F4292F">
        <w:rPr>
          <w:szCs w:val="24"/>
        </w:rPr>
        <w:t xml:space="preserve">f </w:t>
      </w:r>
      <w:r w:rsidRPr="005B6EB1" w:rsidR="005A20E3">
        <w:rPr>
          <w:szCs w:val="24"/>
        </w:rPr>
        <w:t xml:space="preserve">annual </w:t>
      </w:r>
      <w:r w:rsidRPr="005B6EB1" w:rsidR="00F4292F">
        <w:rPr>
          <w:szCs w:val="24"/>
        </w:rPr>
        <w:t xml:space="preserve">responses presented in Table </w:t>
      </w:r>
      <w:r w:rsidRPr="005B6EB1" w:rsidR="0017416C">
        <w:rPr>
          <w:szCs w:val="24"/>
        </w:rPr>
        <w:t>6</w:t>
      </w:r>
      <w:r w:rsidRPr="005B6EB1" w:rsidR="000678BF">
        <w:rPr>
          <w:szCs w:val="24"/>
        </w:rPr>
        <w:t>, and the estimated hour burden per response of 5 minutes (0.</w:t>
      </w:r>
      <w:r w:rsidRPr="005B6EB1" w:rsidR="00F12819">
        <w:rPr>
          <w:szCs w:val="24"/>
        </w:rPr>
        <w:t>083</w:t>
      </w:r>
      <w:r w:rsidRPr="005B6EB1" w:rsidR="000678BF">
        <w:rPr>
          <w:szCs w:val="24"/>
        </w:rPr>
        <w:t xml:space="preserve"> hours).</w:t>
      </w:r>
    </w:p>
    <w:p w:rsidR="004B1295" w:rsidRPr="005B6EB1" w:rsidP="00020C9B" w14:paraId="0F1BAB87" w14:textId="77777777">
      <w:pPr>
        <w:tabs>
          <w:tab w:val="left" w:pos="360"/>
        </w:tabs>
        <w:ind w:left="360"/>
        <w:rPr>
          <w:szCs w:val="24"/>
        </w:rPr>
      </w:pPr>
    </w:p>
    <w:p w:rsidR="004236F6" w:rsidRPr="005B6EB1" w:rsidP="004236F6" w14:paraId="339022B9" w14:textId="0AF28BC4">
      <w:pPr>
        <w:pStyle w:val="Caption"/>
        <w:keepNext/>
        <w:keepLines/>
        <w:widowControl/>
        <w:spacing w:after="0"/>
        <w:ind w:left="360"/>
        <w:rPr>
          <w:b/>
          <w:color w:val="auto"/>
          <w:sz w:val="24"/>
          <w:szCs w:val="24"/>
        </w:rPr>
      </w:pPr>
      <w:r w:rsidRPr="005B6EB1">
        <w:rPr>
          <w:b/>
          <w:i w:val="0"/>
          <w:color w:val="auto"/>
          <w:sz w:val="24"/>
          <w:szCs w:val="24"/>
        </w:rPr>
        <w:t xml:space="preserve">Table </w:t>
      </w:r>
      <w:r w:rsidRPr="005B6EB1" w:rsidR="0017416C">
        <w:rPr>
          <w:b/>
          <w:i w:val="0"/>
          <w:color w:val="auto"/>
          <w:sz w:val="24"/>
          <w:szCs w:val="24"/>
        </w:rPr>
        <w:t>7</w:t>
      </w:r>
      <w:r w:rsidRPr="005B6EB1">
        <w:rPr>
          <w:b/>
          <w:i w:val="0"/>
          <w:color w:val="auto"/>
          <w:sz w:val="24"/>
          <w:szCs w:val="24"/>
        </w:rPr>
        <w:t xml:space="preserve">. Estimated </w:t>
      </w:r>
      <w:r w:rsidRPr="005B6EB1" w:rsidR="0020504F">
        <w:rPr>
          <w:b/>
          <w:i w:val="0"/>
          <w:color w:val="auto"/>
          <w:sz w:val="24"/>
          <w:szCs w:val="24"/>
        </w:rPr>
        <w:t xml:space="preserve">Annualized Hour Burden </w:t>
      </w:r>
      <w:r w:rsidRPr="005B6EB1">
        <w:rPr>
          <w:b/>
          <w:i w:val="0"/>
          <w:color w:val="auto"/>
          <w:sz w:val="24"/>
          <w:szCs w:val="24"/>
        </w:rPr>
        <w:t>for IC-</w:t>
      </w:r>
      <w:r w:rsidRPr="005B6EB1" w:rsidR="002B1525">
        <w:rPr>
          <w:b/>
          <w:i w:val="0"/>
          <w:color w:val="auto"/>
          <w:sz w:val="24"/>
          <w:szCs w:val="24"/>
        </w:rPr>
        <w:t>2</w:t>
      </w:r>
      <w:r w:rsidRPr="005B6EB1">
        <w:rPr>
          <w:b/>
          <w:i w:val="0"/>
          <w:color w:val="auto"/>
          <w:sz w:val="24"/>
          <w:szCs w:val="24"/>
        </w:rPr>
        <w:t xml:space="preserve"> (Driver Training Certification Information)</w:t>
      </w:r>
    </w:p>
    <w:tbl>
      <w:tblPr>
        <w:tblW w:w="399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0"/>
        <w:gridCol w:w="1320"/>
        <w:gridCol w:w="1495"/>
        <w:gridCol w:w="1495"/>
      </w:tblGrid>
      <w:tr w14:paraId="12C45D6E" w14:textId="77777777" w:rsidTr="00033E10">
        <w:tblPrEx>
          <w:tblW w:w="399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3161" w:type="dxa"/>
            <w:tcBorders>
              <w:top w:val="single" w:sz="18" w:space="0" w:color="auto"/>
              <w:bottom w:val="single" w:sz="18" w:space="0" w:color="auto"/>
              <w:right w:val="single" w:sz="18" w:space="0" w:color="auto"/>
            </w:tcBorders>
            <w:shd w:val="clear" w:color="000000" w:fill="E0E0E0"/>
            <w:vAlign w:val="bottom"/>
            <w:hideMark/>
          </w:tcPr>
          <w:p w:rsidR="0017416C" w:rsidRPr="005B6EB1" w:rsidP="00464625" w14:paraId="3B90F464" w14:textId="77777777">
            <w:pPr>
              <w:keepNext/>
              <w:keepLines/>
              <w:widowControl/>
              <w:autoSpaceDE/>
              <w:autoSpaceDN/>
              <w:adjustRightInd/>
              <w:jc w:val="center"/>
              <w:rPr>
                <w:b/>
                <w:bCs/>
                <w:sz w:val="22"/>
                <w:szCs w:val="22"/>
              </w:rPr>
            </w:pPr>
            <w:r w:rsidRPr="005B6EB1">
              <w:rPr>
                <w:b/>
                <w:bCs/>
                <w:sz w:val="22"/>
                <w:szCs w:val="22"/>
              </w:rPr>
              <w:t>Type of Activity</w:t>
            </w:r>
          </w:p>
        </w:tc>
        <w:tc>
          <w:tcPr>
            <w:tcW w:w="1320" w:type="dxa"/>
            <w:tcBorders>
              <w:top w:val="single" w:sz="18" w:space="0" w:color="auto"/>
              <w:bottom w:val="single" w:sz="18" w:space="0" w:color="auto"/>
              <w:right w:val="single" w:sz="18" w:space="0" w:color="auto"/>
            </w:tcBorders>
            <w:shd w:val="clear" w:color="000000" w:fill="E0E0E0"/>
            <w:vAlign w:val="bottom"/>
          </w:tcPr>
          <w:p w:rsidR="0017416C" w:rsidRPr="005B6EB1" w:rsidP="00033E10" w14:paraId="6D4DF0B4" w14:textId="101AD76F">
            <w:pPr>
              <w:keepNext/>
              <w:keepLines/>
              <w:widowControl/>
              <w:autoSpaceDE/>
              <w:autoSpaceDN/>
              <w:adjustRightInd/>
              <w:rPr>
                <w:b/>
                <w:bCs/>
                <w:sz w:val="22"/>
                <w:szCs w:val="22"/>
              </w:rPr>
            </w:pPr>
            <w:r w:rsidRPr="005B6EB1">
              <w:rPr>
                <w:b/>
                <w:bCs/>
                <w:sz w:val="22"/>
                <w:szCs w:val="22"/>
              </w:rPr>
              <w:t xml:space="preserve">Estimated </w:t>
            </w:r>
            <w:r w:rsidRPr="005B6EB1" w:rsidR="005A20E3">
              <w:rPr>
                <w:b/>
                <w:bCs/>
                <w:sz w:val="22"/>
                <w:szCs w:val="22"/>
              </w:rPr>
              <w:t xml:space="preserve">Annual </w:t>
            </w:r>
            <w:r w:rsidRPr="005B6EB1">
              <w:rPr>
                <w:b/>
                <w:bCs/>
                <w:sz w:val="22"/>
                <w:szCs w:val="22"/>
              </w:rPr>
              <w:t>Responses</w:t>
            </w:r>
          </w:p>
        </w:tc>
        <w:tc>
          <w:tcPr>
            <w:tcW w:w="1495" w:type="dxa"/>
            <w:tcBorders>
              <w:top w:val="single" w:sz="18" w:space="0" w:color="auto"/>
              <w:bottom w:val="single" w:sz="18" w:space="0" w:color="auto"/>
            </w:tcBorders>
            <w:shd w:val="clear" w:color="000000" w:fill="E0E0E0"/>
          </w:tcPr>
          <w:p w:rsidR="0017416C" w:rsidRPr="005B6EB1" w:rsidP="00464625" w14:paraId="5F51D96D" w14:textId="77777777">
            <w:pPr>
              <w:pStyle w:val="FMCSATableHead"/>
              <w:keepNext/>
              <w:spacing w:before="0" w:after="0"/>
              <w:rPr>
                <w:sz w:val="22"/>
                <w:szCs w:val="22"/>
              </w:rPr>
            </w:pPr>
          </w:p>
          <w:p w:rsidR="0017416C" w:rsidRPr="005B6EB1" w:rsidP="00464625" w14:paraId="75C71008" w14:textId="638E25ED">
            <w:pPr>
              <w:pStyle w:val="FMCSATableHead"/>
              <w:keepNext/>
              <w:spacing w:before="0" w:after="0"/>
              <w:rPr>
                <w:sz w:val="22"/>
                <w:szCs w:val="22"/>
              </w:rPr>
            </w:pPr>
            <w:r w:rsidRPr="005B6EB1">
              <w:rPr>
                <w:sz w:val="22"/>
                <w:szCs w:val="22"/>
              </w:rPr>
              <w:t>Burden Hour per response</w:t>
            </w:r>
          </w:p>
        </w:tc>
        <w:tc>
          <w:tcPr>
            <w:tcW w:w="1495" w:type="dxa"/>
            <w:tcBorders>
              <w:top w:val="single" w:sz="18" w:space="0" w:color="auto"/>
              <w:bottom w:val="single" w:sz="18" w:space="0" w:color="auto"/>
              <w:right w:val="single" w:sz="2" w:space="0" w:color="auto"/>
            </w:tcBorders>
            <w:shd w:val="clear" w:color="000000" w:fill="E0E0E0"/>
            <w:vAlign w:val="bottom"/>
          </w:tcPr>
          <w:p w:rsidR="0017416C" w:rsidRPr="005B6EB1" w:rsidP="00464625" w14:paraId="51E9D605" w14:textId="291A8D5A">
            <w:pPr>
              <w:keepNext/>
              <w:keepLines/>
              <w:widowControl/>
              <w:autoSpaceDE/>
              <w:autoSpaceDN/>
              <w:adjustRightInd/>
              <w:jc w:val="center"/>
              <w:rPr>
                <w:b/>
                <w:bCs/>
                <w:sz w:val="22"/>
                <w:szCs w:val="22"/>
              </w:rPr>
            </w:pPr>
            <w:r w:rsidRPr="005B6EB1">
              <w:rPr>
                <w:sz w:val="22"/>
                <w:szCs w:val="22"/>
              </w:rPr>
              <w:t>Estimated Annual Burden Hours</w:t>
            </w:r>
          </w:p>
        </w:tc>
      </w:tr>
      <w:tr w14:paraId="77BDE39E" w14:textId="77777777" w:rsidTr="00033E10">
        <w:tblPrEx>
          <w:tblW w:w="3994" w:type="pct"/>
          <w:tblInd w:w="355" w:type="dxa"/>
          <w:tblLayout w:type="fixed"/>
          <w:tblLook w:val="04A0"/>
        </w:tblPrEx>
        <w:trPr>
          <w:trHeight w:val="504"/>
        </w:trPr>
        <w:tc>
          <w:tcPr>
            <w:tcW w:w="3161" w:type="dxa"/>
            <w:tcBorders>
              <w:top w:val="single" w:sz="18" w:space="0" w:color="auto"/>
              <w:bottom w:val="single" w:sz="2" w:space="0" w:color="auto"/>
              <w:right w:val="single" w:sz="18" w:space="0" w:color="auto"/>
            </w:tcBorders>
            <w:shd w:val="clear" w:color="auto" w:fill="auto"/>
            <w:noWrap/>
            <w:vAlign w:val="center"/>
          </w:tcPr>
          <w:p w:rsidR="0017416C" w:rsidRPr="005B6EB1" w:rsidP="00464625" w14:paraId="1240EFC0" w14:textId="77777777">
            <w:pPr>
              <w:keepNext/>
              <w:keepLines/>
              <w:widowControl/>
              <w:autoSpaceDE/>
              <w:autoSpaceDN/>
              <w:adjustRightInd/>
              <w:rPr>
                <w:iCs/>
                <w:sz w:val="22"/>
                <w:szCs w:val="22"/>
              </w:rPr>
            </w:pPr>
            <w:r w:rsidRPr="005B6EB1">
              <w:rPr>
                <w:iCs/>
                <w:sz w:val="22"/>
                <w:szCs w:val="22"/>
              </w:rPr>
              <w:t>Hour Burden for Submission of Driver Training Certification Information</w:t>
            </w:r>
          </w:p>
        </w:tc>
        <w:tc>
          <w:tcPr>
            <w:tcW w:w="1320" w:type="dxa"/>
            <w:tcBorders>
              <w:top w:val="single" w:sz="18" w:space="0" w:color="auto"/>
              <w:bottom w:val="single" w:sz="2" w:space="0" w:color="auto"/>
              <w:right w:val="single" w:sz="18" w:space="0" w:color="auto"/>
            </w:tcBorders>
            <w:vAlign w:val="center"/>
          </w:tcPr>
          <w:p w:rsidR="0017416C" w:rsidRPr="005B6EB1" w:rsidP="00464625" w14:paraId="79453E43" w14:textId="7AAD7216">
            <w:pPr>
              <w:keepNext/>
              <w:keepLines/>
              <w:widowControl/>
              <w:autoSpaceDE/>
              <w:autoSpaceDN/>
              <w:adjustRightInd/>
              <w:jc w:val="right"/>
              <w:rPr>
                <w:sz w:val="22"/>
                <w:szCs w:val="22"/>
              </w:rPr>
            </w:pPr>
            <w:r w:rsidRPr="005B6EB1">
              <w:rPr>
                <w:sz w:val="22"/>
                <w:szCs w:val="22"/>
              </w:rPr>
              <w:t>471,857</w:t>
            </w:r>
          </w:p>
        </w:tc>
        <w:tc>
          <w:tcPr>
            <w:tcW w:w="1495" w:type="dxa"/>
            <w:tcBorders>
              <w:top w:val="single" w:sz="18" w:space="0" w:color="auto"/>
              <w:bottom w:val="single" w:sz="2" w:space="0" w:color="auto"/>
            </w:tcBorders>
          </w:tcPr>
          <w:p w:rsidR="0017416C" w:rsidRPr="005B6EB1" w:rsidP="0017416C" w14:paraId="60403834" w14:textId="77777777">
            <w:pPr>
              <w:keepNext/>
              <w:keepLines/>
              <w:widowControl/>
              <w:autoSpaceDE/>
              <w:autoSpaceDN/>
              <w:adjustRightInd/>
              <w:jc w:val="both"/>
              <w:rPr>
                <w:iCs/>
                <w:sz w:val="22"/>
                <w:szCs w:val="22"/>
              </w:rPr>
            </w:pPr>
          </w:p>
          <w:p w:rsidR="0017416C" w:rsidRPr="005B6EB1" w:rsidP="00352820" w14:paraId="690CD055" w14:textId="20664311">
            <w:pPr>
              <w:keepNext/>
              <w:keepLines/>
              <w:widowControl/>
              <w:autoSpaceDE/>
              <w:autoSpaceDN/>
              <w:adjustRightInd/>
              <w:jc w:val="right"/>
              <w:rPr>
                <w:iCs/>
                <w:sz w:val="22"/>
                <w:szCs w:val="22"/>
              </w:rPr>
            </w:pPr>
            <w:r w:rsidRPr="005B6EB1">
              <w:rPr>
                <w:iCs/>
                <w:sz w:val="22"/>
                <w:szCs w:val="22"/>
              </w:rPr>
              <w:t>0.083</w:t>
            </w:r>
          </w:p>
        </w:tc>
        <w:tc>
          <w:tcPr>
            <w:tcW w:w="1495" w:type="dxa"/>
            <w:tcBorders>
              <w:top w:val="single" w:sz="18" w:space="0" w:color="auto"/>
              <w:bottom w:val="single" w:sz="2" w:space="0" w:color="auto"/>
              <w:right w:val="single" w:sz="2" w:space="0" w:color="auto"/>
            </w:tcBorders>
            <w:vAlign w:val="center"/>
          </w:tcPr>
          <w:p w:rsidR="0017416C" w:rsidRPr="005B6EB1" w:rsidP="0017416C" w14:paraId="55B77BA0" w14:textId="77777777">
            <w:pPr>
              <w:rPr>
                <w:iCs/>
                <w:sz w:val="22"/>
                <w:szCs w:val="22"/>
              </w:rPr>
            </w:pPr>
          </w:p>
          <w:p w:rsidR="0017416C" w:rsidRPr="005B6EB1" w:rsidP="00033E10" w14:paraId="7A155F6E" w14:textId="20FAEF35">
            <w:pPr>
              <w:jc w:val="right"/>
              <w:rPr>
                <w:iCs/>
                <w:sz w:val="22"/>
                <w:szCs w:val="22"/>
              </w:rPr>
            </w:pPr>
            <w:r w:rsidRPr="005B6EB1">
              <w:rPr>
                <w:iCs/>
                <w:sz w:val="22"/>
                <w:szCs w:val="22"/>
              </w:rPr>
              <w:t>39,164</w:t>
            </w:r>
          </w:p>
          <w:p w:rsidR="0017416C" w:rsidRPr="005B6EB1" w:rsidP="00464625" w14:paraId="70729B54" w14:textId="6AFE9F44">
            <w:pPr>
              <w:keepNext/>
              <w:keepLines/>
              <w:widowControl/>
              <w:autoSpaceDE/>
              <w:autoSpaceDN/>
              <w:adjustRightInd/>
              <w:jc w:val="right"/>
              <w:rPr>
                <w:iCs/>
                <w:sz w:val="22"/>
                <w:szCs w:val="22"/>
              </w:rPr>
            </w:pPr>
          </w:p>
        </w:tc>
      </w:tr>
    </w:tbl>
    <w:p w:rsidR="004B1295" w:rsidRPr="005B6EB1" w:rsidP="00020C9B" w14:paraId="4AD21936" w14:textId="77777777">
      <w:pPr>
        <w:tabs>
          <w:tab w:val="left" w:pos="360"/>
        </w:tabs>
        <w:ind w:left="360"/>
        <w:rPr>
          <w:szCs w:val="24"/>
        </w:rPr>
      </w:pPr>
    </w:p>
    <w:p w:rsidR="00D71E4C" w:rsidRPr="005B6EB1" w:rsidP="006946FE" w14:paraId="791E0D59" w14:textId="53C60457">
      <w:pPr>
        <w:widowControl/>
        <w:tabs>
          <w:tab w:val="left" w:pos="360"/>
        </w:tabs>
        <w:ind w:left="360"/>
      </w:pPr>
      <w:r w:rsidRPr="005B6EB1">
        <w:t xml:space="preserve"> </w:t>
      </w:r>
      <w:r w:rsidRPr="005B6EB1" w:rsidR="006946FE">
        <w:t>“C</w:t>
      </w:r>
      <w:r w:rsidRPr="005B6EB1">
        <w:t>ost to respondents” (sometimes referred to as “burden hour cost”)</w:t>
      </w:r>
      <w:r w:rsidRPr="005B6EB1" w:rsidR="006946FE">
        <w:t xml:space="preserve"> is calculated here for IC-</w:t>
      </w:r>
      <w:r w:rsidRPr="005B6EB1" w:rsidR="0017416C">
        <w:t>2</w:t>
      </w:r>
      <w:r w:rsidRPr="005B6EB1" w:rsidR="006946FE">
        <w:t xml:space="preserve"> in the same manner</w:t>
      </w:r>
      <w:r w:rsidRPr="005B6EB1" w:rsidR="00EF1AB6">
        <w:t xml:space="preserve"> as it was for IC-</w:t>
      </w:r>
      <w:r w:rsidRPr="005B6EB1" w:rsidR="00507D98">
        <w:t>1 and</w:t>
      </w:r>
      <w:r w:rsidRPr="005B6EB1" w:rsidR="006946FE">
        <w:t xml:space="preserve"> utiliz</w:t>
      </w:r>
      <w:r w:rsidRPr="005B6EB1" w:rsidR="00EF1AB6">
        <w:t>es</w:t>
      </w:r>
      <w:r w:rsidRPr="005B6EB1" w:rsidR="006946FE">
        <w:t xml:space="preserve"> the same fully loaded wage rate of $</w:t>
      </w:r>
      <w:r w:rsidRPr="005B6EB1" w:rsidR="0017416C">
        <w:t>54.67</w:t>
      </w:r>
      <w:r w:rsidRPr="005B6EB1" w:rsidR="00EF1AB6">
        <w:t xml:space="preserve"> </w:t>
      </w:r>
      <w:r w:rsidRPr="005B6EB1" w:rsidR="00F54F21">
        <w:t xml:space="preserve">as described </w:t>
      </w:r>
      <w:r w:rsidRPr="005B6EB1" w:rsidR="00B173D6">
        <w:t>above for IC-</w:t>
      </w:r>
      <w:r w:rsidRPr="005B6EB1" w:rsidR="0017416C">
        <w:t>1</w:t>
      </w:r>
      <w:r w:rsidRPr="005B6EB1" w:rsidR="006946FE">
        <w:t xml:space="preserve">. As noted previously, “cost to respondents” is separate and distinct from “cost burden”, which is reported later in Section 13 and represents capital or start-up costs, operation or maintenance costs (such as those for supplies and equipment), or purchases of services resulting from the collection of information. </w:t>
      </w:r>
      <w:r w:rsidRPr="005B6EB1">
        <w:rPr>
          <w:bCs/>
          <w:szCs w:val="24"/>
        </w:rPr>
        <w:t>The average annual cost to respondents for IC-</w:t>
      </w:r>
      <w:r w:rsidRPr="005B6EB1" w:rsidR="0017416C">
        <w:rPr>
          <w:bCs/>
          <w:szCs w:val="24"/>
        </w:rPr>
        <w:t>2</w:t>
      </w:r>
      <w:r w:rsidRPr="005B6EB1">
        <w:rPr>
          <w:bCs/>
          <w:szCs w:val="24"/>
        </w:rPr>
        <w:t xml:space="preserve"> is </w:t>
      </w:r>
      <w:r w:rsidRPr="005B6EB1" w:rsidR="00A71ED4">
        <w:rPr>
          <w:bCs/>
          <w:szCs w:val="24"/>
        </w:rPr>
        <w:t xml:space="preserve">$2,141,103 </w:t>
      </w:r>
      <w:r w:rsidRPr="005B6EB1">
        <w:rPr>
          <w:bCs/>
          <w:szCs w:val="24"/>
        </w:rPr>
        <w:t>(</w:t>
      </w:r>
      <w:r w:rsidRPr="005B6EB1" w:rsidR="00A71ED4">
        <w:rPr>
          <w:bCs/>
          <w:szCs w:val="24"/>
        </w:rPr>
        <w:t>39,164</w:t>
      </w:r>
      <w:r w:rsidRPr="005B6EB1">
        <w:rPr>
          <w:bCs/>
          <w:szCs w:val="24"/>
        </w:rPr>
        <w:t xml:space="preserve"> annual burden hours × $</w:t>
      </w:r>
      <w:r w:rsidRPr="005B6EB1" w:rsidR="0017416C">
        <w:rPr>
          <w:bCs/>
          <w:szCs w:val="24"/>
        </w:rPr>
        <w:t>54.67</w:t>
      </w:r>
      <w:r w:rsidRPr="005B6EB1">
        <w:rPr>
          <w:bCs/>
          <w:szCs w:val="24"/>
        </w:rPr>
        <w:t xml:space="preserve"> fully loaded wage rate).</w:t>
      </w:r>
    </w:p>
    <w:p w:rsidR="00FC3845" w:rsidRPr="005B6EB1" w:rsidP="00020C9B" w14:paraId="10F2FC48" w14:textId="77777777">
      <w:pPr>
        <w:tabs>
          <w:tab w:val="left" w:pos="360"/>
        </w:tabs>
        <w:ind w:left="360"/>
        <w:rPr>
          <w:szCs w:val="24"/>
        </w:rPr>
      </w:pPr>
    </w:p>
    <w:p w:rsidR="00AF506E" w:rsidP="00020C9B" w14:paraId="75FD545E" w14:textId="77777777">
      <w:pPr>
        <w:tabs>
          <w:tab w:val="left" w:pos="360"/>
        </w:tabs>
        <w:ind w:left="360"/>
        <w:rPr>
          <w:szCs w:val="24"/>
        </w:rPr>
      </w:pPr>
    </w:p>
    <w:p w:rsidR="00AF506E" w:rsidP="00020C9B" w14:paraId="504E3E5F" w14:textId="77777777">
      <w:pPr>
        <w:tabs>
          <w:tab w:val="left" w:pos="360"/>
        </w:tabs>
        <w:ind w:left="360"/>
        <w:rPr>
          <w:szCs w:val="24"/>
        </w:rPr>
      </w:pPr>
    </w:p>
    <w:p w:rsidR="00AF506E" w:rsidP="00020C9B" w14:paraId="0F01FC7F" w14:textId="77777777">
      <w:pPr>
        <w:tabs>
          <w:tab w:val="left" w:pos="360"/>
        </w:tabs>
        <w:ind w:left="360"/>
        <w:rPr>
          <w:szCs w:val="24"/>
        </w:rPr>
      </w:pPr>
    </w:p>
    <w:p w:rsidR="00AF506E" w:rsidP="00020C9B" w14:paraId="7007F832" w14:textId="77777777">
      <w:pPr>
        <w:tabs>
          <w:tab w:val="left" w:pos="360"/>
        </w:tabs>
        <w:ind w:left="360"/>
        <w:rPr>
          <w:szCs w:val="24"/>
        </w:rPr>
      </w:pPr>
    </w:p>
    <w:p w:rsidR="00AF506E" w:rsidP="00020C9B" w14:paraId="59502BDD" w14:textId="77777777">
      <w:pPr>
        <w:tabs>
          <w:tab w:val="left" w:pos="360"/>
        </w:tabs>
        <w:ind w:left="360"/>
        <w:rPr>
          <w:szCs w:val="24"/>
        </w:rPr>
      </w:pPr>
    </w:p>
    <w:p w:rsidR="00AF506E" w:rsidP="00020C9B" w14:paraId="314883AE" w14:textId="77777777">
      <w:pPr>
        <w:tabs>
          <w:tab w:val="left" w:pos="360"/>
        </w:tabs>
        <w:ind w:left="360"/>
        <w:rPr>
          <w:szCs w:val="24"/>
        </w:rPr>
      </w:pPr>
    </w:p>
    <w:p w:rsidR="00AF506E" w:rsidP="00020C9B" w14:paraId="33D65D20" w14:textId="77777777">
      <w:pPr>
        <w:tabs>
          <w:tab w:val="left" w:pos="360"/>
        </w:tabs>
        <w:ind w:left="360"/>
        <w:rPr>
          <w:szCs w:val="24"/>
        </w:rPr>
      </w:pPr>
    </w:p>
    <w:p w:rsidR="00AF506E" w:rsidP="00020C9B" w14:paraId="6517FE44" w14:textId="77777777">
      <w:pPr>
        <w:tabs>
          <w:tab w:val="left" w:pos="360"/>
        </w:tabs>
        <w:ind w:left="360"/>
        <w:rPr>
          <w:szCs w:val="24"/>
        </w:rPr>
      </w:pPr>
    </w:p>
    <w:p w:rsidR="00AF506E" w:rsidP="00020C9B" w14:paraId="7A63879B" w14:textId="77777777">
      <w:pPr>
        <w:tabs>
          <w:tab w:val="left" w:pos="360"/>
        </w:tabs>
        <w:ind w:left="360"/>
        <w:rPr>
          <w:szCs w:val="24"/>
        </w:rPr>
      </w:pPr>
    </w:p>
    <w:p w:rsidR="00AF506E" w:rsidP="00020C9B" w14:paraId="25872F63" w14:textId="77777777">
      <w:pPr>
        <w:tabs>
          <w:tab w:val="left" w:pos="360"/>
        </w:tabs>
        <w:ind w:left="360"/>
        <w:rPr>
          <w:szCs w:val="24"/>
        </w:rPr>
      </w:pPr>
    </w:p>
    <w:p w:rsidR="00020C9B" w:rsidRPr="005B6EB1" w:rsidP="00020C9B" w14:paraId="54C50DD4" w14:textId="575651A6">
      <w:pPr>
        <w:tabs>
          <w:tab w:val="left" w:pos="360"/>
        </w:tabs>
        <w:ind w:left="360"/>
        <w:rPr>
          <w:szCs w:val="24"/>
        </w:rPr>
      </w:pPr>
      <w:r w:rsidRPr="005B6EB1">
        <w:rPr>
          <w:szCs w:val="24"/>
        </w:rPr>
        <w:t xml:space="preserve">Table </w:t>
      </w:r>
      <w:r w:rsidRPr="005B6EB1" w:rsidR="0017416C">
        <w:rPr>
          <w:szCs w:val="24"/>
        </w:rPr>
        <w:t>8</w:t>
      </w:r>
      <w:r w:rsidRPr="005B6EB1">
        <w:rPr>
          <w:szCs w:val="24"/>
        </w:rPr>
        <w:t xml:space="preserve"> presents a summary of the burden estimates for IC-</w:t>
      </w:r>
      <w:r w:rsidRPr="005B6EB1" w:rsidR="0017416C">
        <w:rPr>
          <w:szCs w:val="24"/>
        </w:rPr>
        <w:t>2</w:t>
      </w:r>
      <w:r w:rsidRPr="005B6EB1">
        <w:rPr>
          <w:szCs w:val="24"/>
        </w:rPr>
        <w:t>.</w:t>
      </w:r>
    </w:p>
    <w:p w:rsidR="00C07C00" w:rsidRPr="005B6EB1" w:rsidP="00DB1F32" w14:paraId="26B05648" w14:textId="77777777">
      <w:pPr>
        <w:rPr>
          <w:b/>
        </w:rPr>
      </w:pPr>
    </w:p>
    <w:p w:rsidR="00020C9B" w:rsidRPr="005B6EB1" w:rsidP="00020C9B" w14:paraId="55EAE0F2" w14:textId="26061E16">
      <w:pPr>
        <w:pStyle w:val="Caption"/>
        <w:keepNext/>
        <w:keepLines/>
        <w:widowControl/>
        <w:spacing w:after="0"/>
        <w:ind w:left="360"/>
        <w:rPr>
          <w:b/>
          <w:color w:val="auto"/>
          <w:sz w:val="24"/>
          <w:szCs w:val="24"/>
        </w:rPr>
      </w:pPr>
      <w:r w:rsidRPr="005B6EB1">
        <w:rPr>
          <w:b/>
          <w:i w:val="0"/>
          <w:color w:val="auto"/>
          <w:sz w:val="24"/>
          <w:szCs w:val="24"/>
        </w:rPr>
        <w:t xml:space="preserve">Table </w:t>
      </w:r>
      <w:r w:rsidRPr="005B6EB1" w:rsidR="0017416C">
        <w:rPr>
          <w:b/>
          <w:i w:val="0"/>
          <w:color w:val="auto"/>
          <w:sz w:val="24"/>
          <w:szCs w:val="24"/>
        </w:rPr>
        <w:t>8</w:t>
      </w:r>
      <w:r w:rsidRPr="005B6EB1">
        <w:rPr>
          <w:b/>
          <w:i w:val="0"/>
          <w:color w:val="auto"/>
          <w:sz w:val="24"/>
          <w:szCs w:val="24"/>
        </w:rPr>
        <w:t>. Summary for IC-</w:t>
      </w:r>
      <w:r w:rsidRPr="005B6EB1" w:rsidR="0017416C">
        <w:rPr>
          <w:b/>
          <w:i w:val="0"/>
          <w:color w:val="auto"/>
          <w:sz w:val="24"/>
          <w:szCs w:val="24"/>
        </w:rPr>
        <w:t>2</w:t>
      </w:r>
      <w:r w:rsidRPr="005B6EB1">
        <w:rPr>
          <w:b/>
          <w:i w:val="0"/>
          <w:color w:val="auto"/>
          <w:sz w:val="24"/>
          <w:szCs w:val="24"/>
        </w:rPr>
        <w:t xml:space="preserve"> (Driver Training Certification)</w:t>
      </w:r>
    </w:p>
    <w:tbl>
      <w:tblPr>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4"/>
        <w:gridCol w:w="1586"/>
      </w:tblGrid>
      <w:tr w14:paraId="0F537ABF" w14:textId="77777777" w:rsidTr="00985C3E">
        <w:tblPrEx>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5293" w:type="dxa"/>
            <w:tcBorders>
              <w:top w:val="single" w:sz="18" w:space="0" w:color="auto"/>
              <w:bottom w:val="single" w:sz="18" w:space="0" w:color="auto"/>
              <w:right w:val="single" w:sz="18" w:space="0" w:color="auto"/>
            </w:tcBorders>
            <w:shd w:val="clear" w:color="000000" w:fill="E0E0E0"/>
            <w:vAlign w:val="bottom"/>
            <w:hideMark/>
          </w:tcPr>
          <w:p w:rsidR="00020C9B" w:rsidRPr="005B6EB1" w:rsidP="00464625" w14:paraId="2EC4871F" w14:textId="77777777">
            <w:pPr>
              <w:keepNext/>
              <w:keepLines/>
              <w:widowControl/>
              <w:autoSpaceDE/>
              <w:autoSpaceDN/>
              <w:adjustRightInd/>
              <w:jc w:val="center"/>
              <w:rPr>
                <w:b/>
                <w:bCs/>
                <w:sz w:val="22"/>
                <w:szCs w:val="22"/>
              </w:rPr>
            </w:pPr>
            <w:r w:rsidRPr="005B6EB1">
              <w:rPr>
                <w:b/>
                <w:bCs/>
                <w:sz w:val="22"/>
                <w:szCs w:val="22"/>
              </w:rPr>
              <w:t>Summary Item</w:t>
            </w:r>
          </w:p>
        </w:tc>
        <w:tc>
          <w:tcPr>
            <w:tcW w:w="1586" w:type="dxa"/>
            <w:tcBorders>
              <w:top w:val="single" w:sz="18" w:space="0" w:color="auto"/>
              <w:left w:val="single" w:sz="18" w:space="0" w:color="auto"/>
              <w:bottom w:val="single" w:sz="18" w:space="0" w:color="auto"/>
            </w:tcBorders>
            <w:shd w:val="clear" w:color="000000" w:fill="E0E0E0"/>
            <w:vAlign w:val="bottom"/>
            <w:hideMark/>
          </w:tcPr>
          <w:p w:rsidR="00020C9B" w:rsidRPr="005B6EB1" w:rsidP="00464625" w14:paraId="4480769F" w14:textId="77777777">
            <w:pPr>
              <w:keepNext/>
              <w:keepLines/>
              <w:widowControl/>
              <w:autoSpaceDE/>
              <w:autoSpaceDN/>
              <w:adjustRightInd/>
              <w:jc w:val="center"/>
              <w:rPr>
                <w:b/>
                <w:bCs/>
                <w:sz w:val="22"/>
                <w:szCs w:val="22"/>
              </w:rPr>
            </w:pPr>
            <w:r w:rsidRPr="005B6EB1">
              <w:rPr>
                <w:b/>
                <w:bCs/>
                <w:sz w:val="22"/>
                <w:szCs w:val="22"/>
              </w:rPr>
              <w:t>Value</w:t>
            </w:r>
          </w:p>
        </w:tc>
      </w:tr>
      <w:tr w14:paraId="49BAC7FC" w14:textId="77777777" w:rsidTr="00985C3E">
        <w:tblPrEx>
          <w:tblW w:w="3679" w:type="pct"/>
          <w:tblInd w:w="355" w:type="dxa"/>
          <w:tblLayout w:type="fixed"/>
          <w:tblLook w:val="04A0"/>
        </w:tblPrEx>
        <w:trPr>
          <w:trHeight w:val="324"/>
        </w:trPr>
        <w:tc>
          <w:tcPr>
            <w:tcW w:w="5293" w:type="dxa"/>
            <w:tcBorders>
              <w:top w:val="single" w:sz="18" w:space="0" w:color="auto"/>
              <w:bottom w:val="single" w:sz="2" w:space="0" w:color="auto"/>
              <w:right w:val="single" w:sz="18" w:space="0" w:color="auto"/>
            </w:tcBorders>
            <w:shd w:val="clear" w:color="auto" w:fill="auto"/>
            <w:noWrap/>
            <w:vAlign w:val="center"/>
          </w:tcPr>
          <w:p w:rsidR="00020C9B" w:rsidRPr="005B6EB1" w:rsidP="00464625" w14:paraId="1098A1B8" w14:textId="53BD034A">
            <w:pPr>
              <w:keepNext/>
              <w:keepLines/>
              <w:widowControl/>
              <w:autoSpaceDE/>
              <w:autoSpaceDN/>
              <w:adjustRightInd/>
              <w:rPr>
                <w:iCs/>
                <w:sz w:val="22"/>
                <w:szCs w:val="22"/>
              </w:rPr>
            </w:pPr>
            <w:r w:rsidRPr="005B6EB1">
              <w:rPr>
                <w:iCs/>
                <w:sz w:val="22"/>
                <w:szCs w:val="22"/>
              </w:rPr>
              <w:t>Annual Number of Respondents</w:t>
            </w:r>
          </w:p>
        </w:tc>
        <w:tc>
          <w:tcPr>
            <w:tcW w:w="1586" w:type="dxa"/>
            <w:tcBorders>
              <w:top w:val="single" w:sz="18" w:space="0" w:color="auto"/>
              <w:left w:val="single" w:sz="18" w:space="0" w:color="auto"/>
              <w:bottom w:val="single" w:sz="2" w:space="0" w:color="auto"/>
            </w:tcBorders>
            <w:shd w:val="clear" w:color="auto" w:fill="auto"/>
            <w:noWrap/>
            <w:vAlign w:val="center"/>
          </w:tcPr>
          <w:p w:rsidR="00020C9B" w:rsidRPr="005B6EB1" w:rsidP="00464625" w14:paraId="4A80C963" w14:textId="10D4A9BC">
            <w:pPr>
              <w:keepNext/>
              <w:keepLines/>
              <w:widowControl/>
              <w:autoSpaceDE/>
              <w:autoSpaceDN/>
              <w:adjustRightInd/>
              <w:jc w:val="right"/>
              <w:rPr>
                <w:iCs/>
                <w:sz w:val="22"/>
                <w:szCs w:val="22"/>
              </w:rPr>
            </w:pPr>
            <w:r w:rsidRPr="005B6EB1">
              <w:rPr>
                <w:iCs/>
                <w:sz w:val="22"/>
                <w:szCs w:val="22"/>
              </w:rPr>
              <w:t>7,774</w:t>
            </w:r>
          </w:p>
        </w:tc>
      </w:tr>
      <w:tr w14:paraId="1E2DE789" w14:textId="77777777" w:rsidTr="005B6EB1">
        <w:tblPrEx>
          <w:tblW w:w="3679" w:type="pct"/>
          <w:tblInd w:w="355" w:type="dxa"/>
          <w:tblLayout w:type="fixed"/>
          <w:tblLook w:val="04A0"/>
        </w:tblPrEx>
        <w:trPr>
          <w:trHeight w:val="337"/>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1D96F367" w14:textId="088EF095">
            <w:pPr>
              <w:keepNext/>
              <w:keepLines/>
              <w:widowControl/>
              <w:autoSpaceDE/>
              <w:autoSpaceDN/>
              <w:adjustRightInd/>
              <w:rPr>
                <w:sz w:val="22"/>
                <w:szCs w:val="22"/>
              </w:rPr>
            </w:pPr>
            <w:r w:rsidRPr="005B6EB1">
              <w:rPr>
                <w:sz w:val="22"/>
                <w:szCs w:val="22"/>
              </w:rPr>
              <w:t>Annual Responses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A71ED4" w:rsidRPr="005B6EB1" w:rsidP="00033E10" w14:paraId="189F2F1F" w14:textId="2DDF746E">
            <w:pPr>
              <w:jc w:val="right"/>
              <w:rPr>
                <w:sz w:val="22"/>
                <w:szCs w:val="22"/>
              </w:rPr>
            </w:pPr>
            <w:r w:rsidRPr="005B6EB1">
              <w:rPr>
                <w:sz w:val="22"/>
                <w:szCs w:val="22"/>
              </w:rPr>
              <w:t>471,857</w:t>
            </w:r>
          </w:p>
          <w:p w:rsidR="00020C9B" w:rsidRPr="005B6EB1" w:rsidP="00464625" w14:paraId="43047CA0" w14:textId="6EB027A4">
            <w:pPr>
              <w:keepNext/>
              <w:keepLines/>
              <w:widowControl/>
              <w:autoSpaceDE/>
              <w:autoSpaceDN/>
              <w:adjustRightInd/>
              <w:jc w:val="right"/>
              <w:rPr>
                <w:sz w:val="22"/>
                <w:szCs w:val="22"/>
              </w:rPr>
            </w:pPr>
          </w:p>
        </w:tc>
      </w:tr>
      <w:tr w14:paraId="3DBC37E7"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62182B57" w14:textId="76EDC286">
            <w:pPr>
              <w:keepNext/>
              <w:keepLines/>
              <w:widowControl/>
              <w:autoSpaceDE/>
              <w:autoSpaceDN/>
              <w:adjustRightInd/>
              <w:rPr>
                <w:sz w:val="22"/>
                <w:szCs w:val="22"/>
              </w:rPr>
            </w:pPr>
            <w:r w:rsidRPr="005B6EB1">
              <w:rPr>
                <w:sz w:val="22"/>
                <w:szCs w:val="22"/>
              </w:rPr>
              <w:t>Annual Number of Responses per Respondent</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020C9B" w:rsidRPr="005B6EB1" w:rsidP="00464625" w14:paraId="544387C3" w14:textId="49804D3D">
            <w:pPr>
              <w:keepNext/>
              <w:keepLines/>
              <w:widowControl/>
              <w:autoSpaceDE/>
              <w:autoSpaceDN/>
              <w:adjustRightInd/>
              <w:jc w:val="right"/>
              <w:rPr>
                <w:sz w:val="22"/>
                <w:szCs w:val="22"/>
              </w:rPr>
            </w:pPr>
            <w:r w:rsidRPr="005B6EB1">
              <w:rPr>
                <w:sz w:val="22"/>
                <w:szCs w:val="22"/>
              </w:rPr>
              <w:t>60.7</w:t>
            </w:r>
          </w:p>
        </w:tc>
      </w:tr>
      <w:tr w14:paraId="22C9670B"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78B9809E" w14:textId="05548E63">
            <w:pPr>
              <w:keepNext/>
              <w:keepLines/>
              <w:widowControl/>
              <w:autoSpaceDE/>
              <w:autoSpaceDN/>
              <w:adjustRightInd/>
              <w:rPr>
                <w:sz w:val="22"/>
                <w:szCs w:val="22"/>
              </w:rPr>
            </w:pPr>
            <w:r w:rsidRPr="005B6EB1">
              <w:rPr>
                <w:sz w:val="22"/>
                <w:szCs w:val="22"/>
              </w:rPr>
              <w:t>Annual Burden Hours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A71ED4" w:rsidRPr="005B6EB1" w:rsidP="00033E10" w14:paraId="21A0443A" w14:textId="1712BEA4">
            <w:pPr>
              <w:jc w:val="right"/>
              <w:rPr>
                <w:sz w:val="22"/>
                <w:szCs w:val="22"/>
              </w:rPr>
            </w:pPr>
            <w:r w:rsidRPr="005B6EB1">
              <w:rPr>
                <w:sz w:val="22"/>
                <w:szCs w:val="22"/>
              </w:rPr>
              <w:t>39,164</w:t>
            </w:r>
          </w:p>
          <w:p w:rsidR="00020C9B" w:rsidRPr="005B6EB1" w:rsidP="00464625" w14:paraId="7F881638" w14:textId="17E72969">
            <w:pPr>
              <w:keepNext/>
              <w:keepLines/>
              <w:widowControl/>
              <w:autoSpaceDE/>
              <w:autoSpaceDN/>
              <w:adjustRightInd/>
              <w:jc w:val="right"/>
              <w:rPr>
                <w:sz w:val="22"/>
                <w:szCs w:val="22"/>
              </w:rPr>
            </w:pPr>
          </w:p>
        </w:tc>
      </w:tr>
      <w:tr w14:paraId="56A6BE64"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2382DED9" w14:textId="77777777">
            <w:pPr>
              <w:keepNext/>
              <w:keepLines/>
              <w:widowControl/>
              <w:autoSpaceDE/>
              <w:autoSpaceDN/>
              <w:adjustRightInd/>
              <w:rPr>
                <w:sz w:val="22"/>
                <w:szCs w:val="22"/>
              </w:rPr>
            </w:pPr>
            <w:r w:rsidRPr="005B6EB1">
              <w:rPr>
                <w:sz w:val="22"/>
                <w:szCs w:val="22"/>
              </w:rPr>
              <w:t>Average Hours per Response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020C9B" w:rsidRPr="005B6EB1" w:rsidP="00464625" w14:paraId="6EABFA1B" w14:textId="77777777">
            <w:pPr>
              <w:keepNext/>
              <w:keepLines/>
              <w:widowControl/>
              <w:autoSpaceDE/>
              <w:autoSpaceDN/>
              <w:adjustRightInd/>
              <w:jc w:val="right"/>
              <w:rPr>
                <w:sz w:val="22"/>
                <w:szCs w:val="22"/>
              </w:rPr>
            </w:pPr>
            <w:r w:rsidRPr="005B6EB1">
              <w:rPr>
                <w:sz w:val="22"/>
                <w:szCs w:val="22"/>
              </w:rPr>
              <w:t>0.083</w:t>
            </w:r>
          </w:p>
        </w:tc>
      </w:tr>
      <w:tr w14:paraId="21EC0EB6"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55E2E169" w14:textId="77777777">
            <w:pPr>
              <w:keepNext/>
              <w:keepLines/>
              <w:widowControl/>
              <w:autoSpaceDE/>
              <w:autoSpaceDN/>
              <w:adjustRightInd/>
              <w:rPr>
                <w:sz w:val="22"/>
                <w:szCs w:val="22"/>
              </w:rPr>
            </w:pPr>
            <w:r w:rsidRPr="005B6EB1">
              <w:rPr>
                <w:sz w:val="22"/>
                <w:szCs w:val="22"/>
              </w:rPr>
              <w:t>Average Annual Cost to Respondents</w:t>
            </w:r>
          </w:p>
          <w:p w:rsidR="00020C9B" w:rsidRPr="005B6EB1" w:rsidP="00464625" w14:paraId="7BEE663D" w14:textId="37232D06">
            <w:pPr>
              <w:keepNext/>
              <w:keepLines/>
              <w:widowControl/>
              <w:autoSpaceDE/>
              <w:autoSpaceDN/>
              <w:adjustRightInd/>
              <w:rPr>
                <w:sz w:val="18"/>
                <w:szCs w:val="18"/>
              </w:rPr>
            </w:pPr>
            <w:r w:rsidRPr="005B6EB1">
              <w:rPr>
                <w:sz w:val="18"/>
                <w:szCs w:val="18"/>
              </w:rPr>
              <w:t>(</w:t>
            </w:r>
            <w:r w:rsidRPr="005B6EB1" w:rsidR="00655BB6">
              <w:rPr>
                <w:sz w:val="18"/>
                <w:szCs w:val="18"/>
              </w:rPr>
              <w:t>Burden</w:t>
            </w:r>
            <w:r w:rsidRPr="005B6EB1">
              <w:rPr>
                <w:sz w:val="18"/>
                <w:szCs w:val="18"/>
              </w:rPr>
              <w:t xml:space="preserve"> hours monetized at loaded hourly wage rate)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020C9B" w:rsidRPr="005B6EB1" w:rsidP="00464625" w14:paraId="03D51DFC" w14:textId="1A2C5286">
            <w:pPr>
              <w:keepNext/>
              <w:keepLines/>
              <w:widowControl/>
              <w:autoSpaceDE/>
              <w:autoSpaceDN/>
              <w:adjustRightInd/>
              <w:jc w:val="right"/>
              <w:rPr>
                <w:sz w:val="22"/>
                <w:szCs w:val="22"/>
              </w:rPr>
            </w:pPr>
            <w:r w:rsidRPr="005B6EB1">
              <w:rPr>
                <w:sz w:val="22"/>
                <w:szCs w:val="22"/>
              </w:rPr>
              <w:t>$2,141,103</w:t>
            </w:r>
          </w:p>
        </w:tc>
      </w:tr>
    </w:tbl>
    <w:p w:rsidR="00914BCD" w:rsidRPr="005B6EB1" w:rsidP="00C40D3D" w14:paraId="29EC00E7" w14:textId="77777777">
      <w:pPr>
        <w:tabs>
          <w:tab w:val="left" w:pos="360"/>
        </w:tabs>
        <w:ind w:left="360"/>
        <w:rPr>
          <w:szCs w:val="24"/>
        </w:rPr>
      </w:pPr>
    </w:p>
    <w:p w:rsidR="00AF506E" w:rsidP="00C40D3D" w14:paraId="64B519E5" w14:textId="77777777">
      <w:pPr>
        <w:tabs>
          <w:tab w:val="left" w:pos="360"/>
        </w:tabs>
        <w:ind w:left="360"/>
        <w:rPr>
          <w:szCs w:val="24"/>
        </w:rPr>
      </w:pPr>
    </w:p>
    <w:p w:rsidR="00333755" w:rsidRPr="005B6EB1" w:rsidP="00C40D3D" w14:paraId="44881228" w14:textId="4E31B9E3">
      <w:pPr>
        <w:tabs>
          <w:tab w:val="left" w:pos="360"/>
        </w:tabs>
        <w:ind w:left="360"/>
      </w:pPr>
      <w:r w:rsidRPr="005B6EB1">
        <w:rPr>
          <w:szCs w:val="24"/>
        </w:rPr>
        <w:t xml:space="preserve">Finally, Table </w:t>
      </w:r>
      <w:r w:rsidRPr="005B6EB1" w:rsidR="00A71ED4">
        <w:rPr>
          <w:szCs w:val="24"/>
        </w:rPr>
        <w:t xml:space="preserve">9 </w:t>
      </w:r>
      <w:r w:rsidRPr="005B6EB1" w:rsidR="00C40D3D">
        <w:rPr>
          <w:szCs w:val="24"/>
        </w:rPr>
        <w:t xml:space="preserve">presents a summary of the total burden for </w:t>
      </w:r>
      <w:r w:rsidRPr="005B6EB1">
        <w:t>IC-1</w:t>
      </w:r>
      <w:r w:rsidRPr="005B6EB1" w:rsidR="00A71ED4">
        <w:t xml:space="preserve"> and</w:t>
      </w:r>
      <w:r w:rsidRPr="005B6EB1" w:rsidR="00914BCD">
        <w:t xml:space="preserve"> IC-2</w:t>
      </w:r>
      <w:r w:rsidRPr="005B6EB1" w:rsidR="00A71ED4">
        <w:t xml:space="preserve"> comb</w:t>
      </w:r>
      <w:r w:rsidRPr="005B6EB1">
        <w:t>ined</w:t>
      </w:r>
      <w:r w:rsidRPr="005B6EB1" w:rsidR="000E34D6">
        <w:t>.</w:t>
      </w:r>
    </w:p>
    <w:p w:rsidR="00C40D3D" w:rsidRPr="005B6EB1" w:rsidP="00333755" w14:paraId="332D5389" w14:textId="77777777">
      <w:pPr>
        <w:ind w:left="360"/>
      </w:pPr>
    </w:p>
    <w:p w:rsidR="00C40D3D" w:rsidRPr="005B6EB1" w:rsidP="00C40D3D" w14:paraId="6CEA81CA" w14:textId="218B3409">
      <w:pPr>
        <w:pStyle w:val="Caption"/>
        <w:keepNext/>
        <w:keepLines/>
        <w:widowControl/>
        <w:spacing w:after="0"/>
        <w:ind w:left="360"/>
        <w:rPr>
          <w:b/>
          <w:color w:val="auto"/>
          <w:sz w:val="24"/>
          <w:szCs w:val="24"/>
        </w:rPr>
      </w:pPr>
      <w:r w:rsidRPr="005B6EB1">
        <w:rPr>
          <w:b/>
          <w:i w:val="0"/>
          <w:color w:val="auto"/>
          <w:sz w:val="24"/>
          <w:szCs w:val="24"/>
        </w:rPr>
        <w:t xml:space="preserve">Table </w:t>
      </w:r>
      <w:r w:rsidRPr="005B6EB1" w:rsidR="00A71ED4">
        <w:rPr>
          <w:b/>
          <w:i w:val="0"/>
          <w:color w:val="auto"/>
          <w:sz w:val="24"/>
          <w:szCs w:val="24"/>
        </w:rPr>
        <w:t>9</w:t>
      </w:r>
      <w:r w:rsidRPr="005B6EB1">
        <w:rPr>
          <w:b/>
          <w:i w:val="0"/>
          <w:color w:val="auto"/>
          <w:sz w:val="24"/>
          <w:szCs w:val="24"/>
        </w:rPr>
        <w:t>. Summary of Total Burden for IC-1</w:t>
      </w:r>
      <w:r w:rsidRPr="005B6EB1" w:rsidR="00A71ED4">
        <w:rPr>
          <w:b/>
          <w:i w:val="0"/>
          <w:color w:val="auto"/>
          <w:sz w:val="24"/>
          <w:szCs w:val="24"/>
        </w:rPr>
        <w:t xml:space="preserve"> and </w:t>
      </w:r>
      <w:r w:rsidRPr="005B6EB1" w:rsidR="00914BCD">
        <w:rPr>
          <w:b/>
          <w:i w:val="0"/>
          <w:color w:val="auto"/>
          <w:sz w:val="24"/>
          <w:szCs w:val="24"/>
        </w:rPr>
        <w:t>IC-2</w:t>
      </w:r>
    </w:p>
    <w:tbl>
      <w:tblPr>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4"/>
        <w:gridCol w:w="1586"/>
      </w:tblGrid>
      <w:tr w14:paraId="6DF22423" w14:textId="77777777" w:rsidTr="00985C3E">
        <w:tblPrEx>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5293" w:type="dxa"/>
            <w:tcBorders>
              <w:top w:val="single" w:sz="18" w:space="0" w:color="auto"/>
              <w:bottom w:val="single" w:sz="18" w:space="0" w:color="auto"/>
              <w:right w:val="single" w:sz="18" w:space="0" w:color="auto"/>
            </w:tcBorders>
            <w:shd w:val="clear" w:color="000000" w:fill="E0E0E0"/>
            <w:vAlign w:val="bottom"/>
            <w:hideMark/>
          </w:tcPr>
          <w:p w:rsidR="00C40D3D" w:rsidRPr="005B6EB1" w:rsidP="0085687D" w14:paraId="7B82061C" w14:textId="77777777">
            <w:pPr>
              <w:keepNext/>
              <w:keepLines/>
              <w:widowControl/>
              <w:autoSpaceDE/>
              <w:autoSpaceDN/>
              <w:adjustRightInd/>
              <w:jc w:val="center"/>
              <w:rPr>
                <w:b/>
                <w:bCs/>
                <w:sz w:val="22"/>
                <w:szCs w:val="22"/>
              </w:rPr>
            </w:pPr>
            <w:r w:rsidRPr="005B6EB1">
              <w:rPr>
                <w:b/>
                <w:bCs/>
                <w:sz w:val="22"/>
                <w:szCs w:val="22"/>
              </w:rPr>
              <w:t>Summary Item</w:t>
            </w:r>
          </w:p>
        </w:tc>
        <w:tc>
          <w:tcPr>
            <w:tcW w:w="1586" w:type="dxa"/>
            <w:tcBorders>
              <w:top w:val="single" w:sz="18" w:space="0" w:color="auto"/>
              <w:left w:val="single" w:sz="18" w:space="0" w:color="auto"/>
              <w:bottom w:val="single" w:sz="18" w:space="0" w:color="auto"/>
            </w:tcBorders>
            <w:shd w:val="clear" w:color="000000" w:fill="E0E0E0"/>
            <w:vAlign w:val="bottom"/>
            <w:hideMark/>
          </w:tcPr>
          <w:p w:rsidR="00C40D3D" w:rsidRPr="005B6EB1" w:rsidP="0085687D" w14:paraId="46315762" w14:textId="77777777">
            <w:pPr>
              <w:keepNext/>
              <w:keepLines/>
              <w:widowControl/>
              <w:autoSpaceDE/>
              <w:autoSpaceDN/>
              <w:adjustRightInd/>
              <w:jc w:val="center"/>
              <w:rPr>
                <w:b/>
                <w:bCs/>
                <w:sz w:val="22"/>
                <w:szCs w:val="22"/>
              </w:rPr>
            </w:pPr>
            <w:r w:rsidRPr="005B6EB1">
              <w:rPr>
                <w:b/>
                <w:bCs/>
                <w:sz w:val="22"/>
                <w:szCs w:val="22"/>
              </w:rPr>
              <w:t>Value</w:t>
            </w:r>
          </w:p>
        </w:tc>
      </w:tr>
      <w:tr w14:paraId="7057B8CF"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C40D3D" w:rsidRPr="005B6EB1" w:rsidP="0085687D" w14:paraId="7D61553D" w14:textId="77777777">
            <w:pPr>
              <w:keepNext/>
              <w:keepLines/>
              <w:widowControl/>
              <w:autoSpaceDE/>
              <w:autoSpaceDN/>
              <w:adjustRightInd/>
              <w:rPr>
                <w:sz w:val="22"/>
                <w:szCs w:val="22"/>
              </w:rPr>
            </w:pPr>
            <w:r w:rsidRPr="005B6EB1">
              <w:rPr>
                <w:sz w:val="22"/>
                <w:szCs w:val="22"/>
              </w:rPr>
              <w:t>Average Annual Responses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0B123E" w:rsidRPr="005B6EB1" w:rsidP="000B123E" w14:paraId="1A0FEF30" w14:textId="43869D53">
            <w:pPr>
              <w:widowControl/>
              <w:autoSpaceDE/>
              <w:autoSpaceDN/>
              <w:adjustRightInd/>
              <w:jc w:val="right"/>
              <w:rPr>
                <w:color w:val="000000"/>
                <w:sz w:val="22"/>
                <w:szCs w:val="22"/>
              </w:rPr>
            </w:pPr>
            <w:r>
              <w:rPr>
                <w:color w:val="000000"/>
                <w:sz w:val="22"/>
                <w:szCs w:val="22"/>
              </w:rPr>
              <w:t>512,062</w:t>
            </w:r>
          </w:p>
        </w:tc>
      </w:tr>
      <w:tr w14:paraId="450A256C"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C40D3D" w:rsidRPr="005B6EB1" w:rsidP="0085687D" w14:paraId="7059DC20" w14:textId="77777777">
            <w:pPr>
              <w:keepNext/>
              <w:keepLines/>
              <w:widowControl/>
              <w:autoSpaceDE/>
              <w:autoSpaceDN/>
              <w:adjustRightInd/>
              <w:rPr>
                <w:sz w:val="22"/>
                <w:szCs w:val="22"/>
              </w:rPr>
            </w:pPr>
            <w:r w:rsidRPr="005B6EB1">
              <w:rPr>
                <w:sz w:val="22"/>
                <w:szCs w:val="22"/>
              </w:rPr>
              <w:t>Average Annual Burden Hours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C40D3D" w:rsidRPr="005B6EB1" w:rsidP="00033E10" w14:paraId="425EAC70" w14:textId="191F77FB">
            <w:pPr>
              <w:widowControl/>
              <w:autoSpaceDE/>
              <w:autoSpaceDN/>
              <w:adjustRightInd/>
              <w:jc w:val="right"/>
              <w:rPr>
                <w:color w:val="000000"/>
                <w:sz w:val="22"/>
                <w:szCs w:val="22"/>
              </w:rPr>
            </w:pPr>
            <w:r w:rsidRPr="005B6EB1">
              <w:rPr>
                <w:color w:val="000000"/>
                <w:sz w:val="22"/>
                <w:szCs w:val="22"/>
              </w:rPr>
              <w:t>80,299</w:t>
            </w:r>
          </w:p>
        </w:tc>
      </w:tr>
      <w:tr w14:paraId="2E0CF1DD"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C40D3D" w:rsidRPr="005B6EB1" w:rsidP="0085687D" w14:paraId="314A66D1" w14:textId="77777777">
            <w:pPr>
              <w:keepNext/>
              <w:keepLines/>
              <w:widowControl/>
              <w:autoSpaceDE/>
              <w:autoSpaceDN/>
              <w:adjustRightInd/>
              <w:rPr>
                <w:sz w:val="22"/>
                <w:szCs w:val="22"/>
              </w:rPr>
            </w:pPr>
            <w:r w:rsidRPr="005B6EB1">
              <w:rPr>
                <w:sz w:val="22"/>
                <w:szCs w:val="22"/>
              </w:rPr>
              <w:t>Average Annual Cost to Respondents</w:t>
            </w:r>
          </w:p>
          <w:p w:rsidR="00C40D3D" w:rsidRPr="005B6EB1" w:rsidP="0085687D" w14:paraId="0E573DD0" w14:textId="4C9506D2">
            <w:pPr>
              <w:keepNext/>
              <w:keepLines/>
              <w:widowControl/>
              <w:autoSpaceDE/>
              <w:autoSpaceDN/>
              <w:adjustRightInd/>
              <w:rPr>
                <w:sz w:val="18"/>
                <w:szCs w:val="18"/>
              </w:rPr>
            </w:pPr>
            <w:r w:rsidRPr="005B6EB1">
              <w:rPr>
                <w:sz w:val="18"/>
                <w:szCs w:val="18"/>
              </w:rPr>
              <w:t>(</w:t>
            </w:r>
            <w:r w:rsidRPr="005B6EB1" w:rsidR="00655BB6">
              <w:rPr>
                <w:sz w:val="18"/>
                <w:szCs w:val="18"/>
              </w:rPr>
              <w:t>Burden</w:t>
            </w:r>
            <w:r w:rsidRPr="005B6EB1">
              <w:rPr>
                <w:sz w:val="18"/>
                <w:szCs w:val="18"/>
              </w:rPr>
              <w:t xml:space="preserve"> hours monetized at loaded hourly wage rate)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3A2DA8" w:rsidRPr="005B6EB1" w:rsidP="00033E10" w14:paraId="3DB9A38C" w14:textId="674AAA61">
            <w:pPr>
              <w:jc w:val="right"/>
              <w:rPr>
                <w:sz w:val="22"/>
                <w:szCs w:val="22"/>
              </w:rPr>
            </w:pPr>
            <w:r w:rsidRPr="005B6EB1">
              <w:rPr>
                <w:sz w:val="22"/>
                <w:szCs w:val="22"/>
              </w:rPr>
              <w:t>$</w:t>
            </w:r>
            <w:r w:rsidRPr="005B6EB1" w:rsidR="00D803B4">
              <w:rPr>
                <w:sz w:val="22"/>
                <w:szCs w:val="22"/>
              </w:rPr>
              <w:t>4,389,967</w:t>
            </w:r>
            <w:r w:rsidRPr="005B6EB1">
              <w:rPr>
                <w:sz w:val="22"/>
                <w:szCs w:val="22"/>
              </w:rPr>
              <w:t xml:space="preserve"> </w:t>
            </w:r>
          </w:p>
          <w:p w:rsidR="00C40D3D" w:rsidRPr="005B6EB1" w:rsidP="0085687D" w14:paraId="43EB1EE4" w14:textId="2F27FF1F">
            <w:pPr>
              <w:keepNext/>
              <w:keepLines/>
              <w:widowControl/>
              <w:autoSpaceDE/>
              <w:autoSpaceDN/>
              <w:adjustRightInd/>
              <w:jc w:val="right"/>
              <w:rPr>
                <w:sz w:val="22"/>
                <w:szCs w:val="22"/>
              </w:rPr>
            </w:pPr>
          </w:p>
        </w:tc>
      </w:tr>
    </w:tbl>
    <w:p w:rsidR="00C07C00" w:rsidRPr="005B6EB1" w:rsidP="00DB1F32" w14:paraId="41A76761" w14:textId="77777777">
      <w:pPr>
        <w:rPr>
          <w:b/>
        </w:rPr>
      </w:pPr>
    </w:p>
    <w:p w:rsidR="004368D1" w:rsidRPr="005B6EB1" w:rsidP="004368D1" w14:paraId="4E35C1A3" w14:textId="77777777">
      <w:pPr>
        <w:tabs>
          <w:tab w:val="left" w:pos="360"/>
        </w:tabs>
        <w:rPr>
          <w:sz w:val="20"/>
        </w:rPr>
      </w:pPr>
      <w:r w:rsidRPr="005B6EB1">
        <w:rPr>
          <w:b/>
          <w:bCs/>
          <w:szCs w:val="24"/>
        </w:rPr>
        <w:t>13.</w:t>
      </w:r>
      <w:r w:rsidRPr="005B6EB1">
        <w:rPr>
          <w:b/>
          <w:bCs/>
          <w:szCs w:val="24"/>
        </w:rPr>
        <w:tab/>
      </w:r>
      <w:r w:rsidRPr="005B6EB1" w:rsidR="009E0597">
        <w:rPr>
          <w:b/>
          <w:bCs/>
          <w:szCs w:val="24"/>
        </w:rPr>
        <w:t>ESTIMATE OF TOTAL ANNUAL COST</w:t>
      </w:r>
      <w:r w:rsidRPr="005B6EB1">
        <w:rPr>
          <w:b/>
          <w:bCs/>
          <w:szCs w:val="24"/>
        </w:rPr>
        <w:t xml:space="preserve"> BURDEN</w:t>
      </w:r>
      <w:r w:rsidRPr="005B6EB1" w:rsidR="009E0597">
        <w:rPr>
          <w:b/>
          <w:bCs/>
          <w:szCs w:val="24"/>
        </w:rPr>
        <w:br/>
      </w:r>
    </w:p>
    <w:p w:rsidR="007C3B9D" w:rsidRPr="005B6EB1" w:rsidP="007C3B9D" w14:paraId="6E232552" w14:textId="46733AA4">
      <w:pPr>
        <w:tabs>
          <w:tab w:val="left" w:pos="360"/>
        </w:tabs>
        <w:ind w:left="360"/>
      </w:pPr>
      <w:r w:rsidRPr="005B6EB1">
        <w:t xml:space="preserve">FMCSA estimates that there is no cost burden </w:t>
      </w:r>
      <w:r w:rsidRPr="005B6EB1" w:rsidR="007046F0">
        <w:t xml:space="preserve">to </w:t>
      </w:r>
      <w:r w:rsidRPr="005B6EB1">
        <w:t xml:space="preserve">respondents resulting from these requirements </w:t>
      </w:r>
      <w:r w:rsidRPr="005B6EB1" w:rsidR="007B5572">
        <w:t>beyond the hour burden already reflected in Section 12</w:t>
      </w:r>
      <w:r w:rsidRPr="005B6EB1">
        <w:t xml:space="preserve">. With regards to capital </w:t>
      </w:r>
      <w:r w:rsidRPr="005B6EB1" w:rsidR="008D5E8E">
        <w:t>or</w:t>
      </w:r>
      <w:r w:rsidRPr="005B6EB1">
        <w:t xml:space="preserve"> start-up costs, </w:t>
      </w:r>
      <w:r w:rsidRPr="005B6EB1" w:rsidR="001F3AF4">
        <w:t xml:space="preserve">FMCSA believes that virtually all </w:t>
      </w:r>
      <w:r w:rsidRPr="005B6EB1">
        <w:t xml:space="preserve">training providers </w:t>
      </w:r>
      <w:r w:rsidRPr="005B6EB1" w:rsidR="001F3AF4">
        <w:t>own or have</w:t>
      </w:r>
      <w:r w:rsidRPr="005B6EB1">
        <w:t xml:space="preserve"> access to computer technology </w:t>
      </w:r>
      <w:r w:rsidRPr="005B6EB1" w:rsidR="001F3AF4">
        <w:t xml:space="preserve">such as </w:t>
      </w:r>
      <w:r w:rsidRPr="005B6EB1">
        <w:t>a personal computer, tablet device, or smartphone</w:t>
      </w:r>
      <w:r w:rsidRPr="005B6EB1" w:rsidR="001F3AF4">
        <w:t xml:space="preserve">, </w:t>
      </w:r>
      <w:r w:rsidRPr="005B6EB1" w:rsidR="007046F0">
        <w:t>and that access to these types of devices is nearly ubiquitous among both individuals and businesses in the U.S. and would be available as part of customary and usual business or private practices</w:t>
      </w:r>
      <w:r w:rsidRPr="005B6EB1" w:rsidR="002E148F">
        <w:t>,</w:t>
      </w:r>
      <w:r w:rsidRPr="005B6EB1" w:rsidR="007046F0">
        <w:t xml:space="preserve"> thus providing sufficient access to the TPR. </w:t>
      </w:r>
      <w:r w:rsidRPr="005B6EB1" w:rsidR="001F3AF4">
        <w:t xml:space="preserve">Therefore, </w:t>
      </w:r>
      <w:r w:rsidRPr="005B6EB1" w:rsidR="008D5E8E">
        <w:t xml:space="preserve">this collection </w:t>
      </w:r>
      <w:r w:rsidRPr="005B6EB1" w:rsidR="00E401DC">
        <w:t xml:space="preserve">of information </w:t>
      </w:r>
      <w:r w:rsidRPr="005B6EB1" w:rsidR="008D5E8E">
        <w:t xml:space="preserve">would not impose any new cost burden upon respondents for capital or start-up costs associated with the purchase of computers or software. </w:t>
      </w:r>
      <w:r w:rsidRPr="005B6EB1" w:rsidR="007046F0">
        <w:t>There is</w:t>
      </w:r>
      <w:r w:rsidRPr="005B6EB1" w:rsidR="008D5E8E">
        <w:t xml:space="preserve"> also no cost burden </w:t>
      </w:r>
      <w:r w:rsidRPr="005B6EB1" w:rsidR="007046F0">
        <w:t xml:space="preserve">to </w:t>
      </w:r>
      <w:r w:rsidRPr="005B6EB1" w:rsidR="008D5E8E">
        <w:t xml:space="preserve">respondents for operation and maintenance or purchase of services related to </w:t>
      </w:r>
      <w:r w:rsidRPr="005B6EB1" w:rsidR="00160754">
        <w:t>these new requirements</w:t>
      </w:r>
      <w:r w:rsidRPr="005B6EB1" w:rsidR="008D5E8E">
        <w:t>.</w:t>
      </w:r>
      <w:r w:rsidRPr="005B6EB1" w:rsidR="002E148F">
        <w:t xml:space="preserve"> </w:t>
      </w:r>
    </w:p>
    <w:p w:rsidR="00414931" w:rsidRPr="005B6EB1" w14:paraId="6A79AB0A"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CB5516" w:rsidRPr="005B6EB1" w:rsidP="00886E8F" w14:paraId="6A1174F1" w14:textId="77777777">
      <w:pPr>
        <w:tabs>
          <w:tab w:val="left" w:pos="360"/>
        </w:tabs>
        <w:rPr>
          <w:szCs w:val="24"/>
        </w:rPr>
      </w:pPr>
      <w:r w:rsidRPr="005B6EB1">
        <w:rPr>
          <w:b/>
          <w:bCs/>
          <w:szCs w:val="24"/>
        </w:rPr>
        <w:t>14.</w:t>
      </w:r>
      <w:r w:rsidRPr="005B6EB1">
        <w:rPr>
          <w:b/>
          <w:bCs/>
          <w:szCs w:val="24"/>
        </w:rPr>
        <w:tab/>
      </w:r>
      <w:r w:rsidRPr="005B6EB1" w:rsidR="00CB46D4">
        <w:rPr>
          <w:b/>
          <w:bCs/>
          <w:szCs w:val="24"/>
        </w:rPr>
        <w:t>ESTIMATE OF COST TO THE FEDERAL GOVERNMENT</w:t>
      </w:r>
      <w:r w:rsidRPr="005B6EB1" w:rsidR="00CB46D4">
        <w:rPr>
          <w:b/>
          <w:szCs w:val="24"/>
        </w:rPr>
        <w:br/>
      </w:r>
    </w:p>
    <w:p w:rsidR="0029486F" w:rsidRPr="005B6EB1" w:rsidP="0007327A" w14:paraId="2DA437AC" w14:textId="3089A263">
      <w:pPr>
        <w:pStyle w:val="NormalWeb"/>
        <w:widowControl w:val="0"/>
        <w:autoSpaceDE w:val="0"/>
        <w:autoSpaceDN w:val="0"/>
        <w:adjustRightInd w:val="0"/>
        <w:spacing w:before="0" w:beforeAutospacing="0" w:after="0" w:afterAutospacing="0"/>
        <w:ind w:left="360"/>
        <w:outlineLvl w:val="0"/>
        <w:rPr>
          <w:rFonts w:ascii="Times New Roman" w:eastAsia="Times New Roman" w:hAnsi="Times New Roman" w:cs="Times New Roman"/>
          <w:szCs w:val="20"/>
        </w:rPr>
      </w:pPr>
      <w:r w:rsidRPr="005B6EB1">
        <w:rPr>
          <w:rFonts w:ascii="Times New Roman" w:eastAsia="Times New Roman" w:hAnsi="Times New Roman" w:cs="Times New Roman"/>
          <w:szCs w:val="20"/>
        </w:rPr>
        <w:t xml:space="preserve">The Federal government will incur costs </w:t>
      </w:r>
      <w:r w:rsidRPr="005B6EB1" w:rsidR="00F052D1">
        <w:rPr>
          <w:rFonts w:ascii="Times New Roman" w:eastAsia="Times New Roman" w:hAnsi="Times New Roman" w:cs="Times New Roman"/>
          <w:szCs w:val="20"/>
        </w:rPr>
        <w:t xml:space="preserve">resulting from this ICR </w:t>
      </w:r>
      <w:r w:rsidRPr="005B6EB1">
        <w:rPr>
          <w:rFonts w:ascii="Times New Roman" w:eastAsia="Times New Roman" w:hAnsi="Times New Roman" w:cs="Times New Roman"/>
          <w:szCs w:val="20"/>
        </w:rPr>
        <w:t xml:space="preserve">related to the maintenance of the </w:t>
      </w:r>
      <w:r w:rsidRPr="005B6EB1" w:rsidR="008472E1">
        <w:rPr>
          <w:rFonts w:ascii="Times New Roman" w:eastAsia="Times New Roman" w:hAnsi="Times New Roman" w:cs="Times New Roman"/>
          <w:szCs w:val="20"/>
        </w:rPr>
        <w:t>TPR</w:t>
      </w:r>
      <w:r w:rsidRPr="005B6EB1">
        <w:rPr>
          <w:rFonts w:ascii="Times New Roman" w:eastAsia="Times New Roman" w:hAnsi="Times New Roman" w:cs="Times New Roman"/>
          <w:szCs w:val="20"/>
        </w:rPr>
        <w:t xml:space="preserve">. </w:t>
      </w:r>
      <w:r w:rsidRPr="005B6EB1" w:rsidR="00451A19">
        <w:rPr>
          <w:rFonts w:ascii="Times New Roman" w:eastAsia="Times New Roman" w:hAnsi="Times New Roman" w:cs="Times New Roman"/>
          <w:szCs w:val="20"/>
        </w:rPr>
        <w:t xml:space="preserve">The TPR </w:t>
      </w:r>
      <w:r w:rsidRPr="005B6EB1" w:rsidR="005A20E3">
        <w:rPr>
          <w:rFonts w:ascii="Times New Roman" w:eastAsia="Times New Roman" w:hAnsi="Times New Roman" w:cs="Times New Roman"/>
          <w:szCs w:val="20"/>
        </w:rPr>
        <w:t>is</w:t>
      </w:r>
      <w:r w:rsidRPr="005B6EB1" w:rsidR="00451A19">
        <w:rPr>
          <w:rFonts w:ascii="Times New Roman" w:eastAsia="Times New Roman" w:hAnsi="Times New Roman" w:cs="Times New Roman"/>
          <w:szCs w:val="20"/>
        </w:rPr>
        <w:t xml:space="preserve"> an online</w:t>
      </w:r>
      <w:r w:rsidRPr="005B6EB1" w:rsidR="00DD67C1">
        <w:rPr>
          <w:rFonts w:ascii="Times New Roman" w:eastAsia="Times New Roman" w:hAnsi="Times New Roman" w:cs="Times New Roman"/>
          <w:szCs w:val="20"/>
        </w:rPr>
        <w:t>,</w:t>
      </w:r>
      <w:r w:rsidRPr="005B6EB1" w:rsidR="00451A19">
        <w:rPr>
          <w:rFonts w:ascii="Times New Roman" w:eastAsia="Times New Roman" w:hAnsi="Times New Roman" w:cs="Times New Roman"/>
          <w:szCs w:val="20"/>
        </w:rPr>
        <w:t xml:space="preserve"> web-based information system that training providers must use to submit information to FMCSA to ensure that they meet the new training provider </w:t>
      </w:r>
      <w:r w:rsidRPr="005B6EB1" w:rsidR="00451A19">
        <w:rPr>
          <w:rFonts w:ascii="Times New Roman" w:eastAsia="Times New Roman" w:hAnsi="Times New Roman" w:cs="Times New Roman"/>
          <w:szCs w:val="20"/>
        </w:rPr>
        <w:t>eligibility requirements and can therefore be listed on the TPR. In addition, after an individual driver-trainee completes training administered by a training provider listed on the TPR, that training provider must submit training certification information regarding the driver-trainee to the TPR.</w:t>
      </w:r>
    </w:p>
    <w:p w:rsidR="0029486F" w:rsidRPr="005B6EB1" w:rsidP="0007327A" w14:paraId="1D17D2C4" w14:textId="77777777">
      <w:pPr>
        <w:pStyle w:val="NormalWeb"/>
        <w:widowControl w:val="0"/>
        <w:autoSpaceDE w:val="0"/>
        <w:autoSpaceDN w:val="0"/>
        <w:adjustRightInd w:val="0"/>
        <w:spacing w:before="0" w:beforeAutospacing="0" w:after="0" w:afterAutospacing="0"/>
        <w:ind w:left="360"/>
        <w:outlineLvl w:val="0"/>
        <w:rPr>
          <w:rFonts w:ascii="Times New Roman" w:eastAsia="Times New Roman" w:hAnsi="Times New Roman" w:cs="Times New Roman"/>
          <w:szCs w:val="20"/>
        </w:rPr>
      </w:pPr>
    </w:p>
    <w:p w:rsidR="00451A19" w:rsidRPr="005B6EB1" w:rsidP="00D76919" w14:paraId="3AC01EC4" w14:textId="23971B46">
      <w:pPr>
        <w:pStyle w:val="NormalWeb"/>
        <w:widowControl w:val="0"/>
        <w:autoSpaceDE w:val="0"/>
        <w:autoSpaceDN w:val="0"/>
        <w:adjustRightInd w:val="0"/>
        <w:spacing w:before="0" w:beforeAutospacing="0" w:after="0" w:afterAutospacing="0"/>
        <w:ind w:left="360"/>
        <w:outlineLvl w:val="0"/>
        <w:rPr>
          <w:rFonts w:ascii="Times New Roman" w:eastAsia="Times New Roman" w:hAnsi="Times New Roman" w:cs="Times New Roman"/>
          <w:szCs w:val="20"/>
        </w:rPr>
      </w:pPr>
      <w:r w:rsidRPr="005B6EB1">
        <w:rPr>
          <w:rFonts w:ascii="Times New Roman" w:eastAsia="Times New Roman" w:hAnsi="Times New Roman" w:cs="Times New Roman"/>
          <w:szCs w:val="20"/>
        </w:rPr>
        <w:t xml:space="preserve">The estimates of recurring annual costs are based on experience with previous information system development efforts by FMCSA. </w:t>
      </w:r>
      <w:r w:rsidRPr="005B6EB1" w:rsidR="00F052D1">
        <w:rPr>
          <w:rFonts w:ascii="Times New Roman" w:eastAsia="Times New Roman" w:hAnsi="Times New Roman" w:cs="Times New Roman"/>
          <w:szCs w:val="20"/>
        </w:rPr>
        <w:t>Based on this analysis, the average annual cost to the Federal government of this ICR is estimated to be $1.</w:t>
      </w:r>
      <w:r w:rsidRPr="005B6EB1" w:rsidR="00AF7390">
        <w:rPr>
          <w:rFonts w:ascii="Times New Roman" w:eastAsia="Times New Roman" w:hAnsi="Times New Roman" w:cs="Times New Roman"/>
          <w:szCs w:val="20"/>
        </w:rPr>
        <w:t>6</w:t>
      </w:r>
      <w:r w:rsidRPr="005B6EB1" w:rsidR="00F052D1">
        <w:rPr>
          <w:rFonts w:ascii="Times New Roman" w:eastAsia="Times New Roman" w:hAnsi="Times New Roman" w:cs="Times New Roman"/>
          <w:szCs w:val="20"/>
        </w:rPr>
        <w:t xml:space="preserve"> million</w:t>
      </w:r>
      <w:r w:rsidRPr="005B6EB1" w:rsidR="000C7814">
        <w:rPr>
          <w:rFonts w:ascii="Times New Roman" w:eastAsia="Times New Roman" w:hAnsi="Times New Roman" w:cs="Times New Roman"/>
          <w:szCs w:val="20"/>
        </w:rPr>
        <w:t xml:space="preserve"> annually</w:t>
      </w:r>
      <w:r w:rsidRPr="005B6EB1" w:rsidR="00AF7390">
        <w:rPr>
          <w:rFonts w:ascii="Times New Roman" w:eastAsia="Times New Roman" w:hAnsi="Times New Roman" w:cs="Times New Roman"/>
          <w:szCs w:val="20"/>
        </w:rPr>
        <w:t xml:space="preserve">. </w:t>
      </w:r>
    </w:p>
    <w:p w:rsidR="00E85FE4" w:rsidRPr="005B6EB1" w:rsidP="001C2B34" w14:paraId="77690590" w14:textId="77777777">
      <w:pPr>
        <w:pStyle w:val="NormalWeb"/>
        <w:widowControl w:val="0"/>
        <w:autoSpaceDE w:val="0"/>
        <w:autoSpaceDN w:val="0"/>
        <w:adjustRightInd w:val="0"/>
        <w:spacing w:before="0" w:beforeAutospacing="0" w:after="0" w:afterAutospacing="0"/>
        <w:outlineLvl w:val="0"/>
        <w:rPr>
          <w:rFonts w:ascii="Times New Roman" w:eastAsia="Times New Roman" w:hAnsi="Times New Roman" w:cs="Times New Roman"/>
          <w:szCs w:val="20"/>
        </w:rPr>
      </w:pPr>
    </w:p>
    <w:p w:rsidR="00373407" w:rsidRPr="005B6EB1" w:rsidP="00373407" w14:paraId="130766A4" w14:textId="77777777">
      <w:pPr>
        <w:tabs>
          <w:tab w:val="left" w:pos="360"/>
        </w:tabs>
        <w:rPr>
          <w:bCs/>
          <w:color w:val="FF0000"/>
          <w:szCs w:val="24"/>
        </w:rPr>
      </w:pPr>
      <w:r w:rsidRPr="005B6EB1">
        <w:rPr>
          <w:b/>
          <w:bCs/>
          <w:szCs w:val="24"/>
        </w:rPr>
        <w:t>15.</w:t>
      </w:r>
      <w:r w:rsidRPr="005B6EB1">
        <w:rPr>
          <w:b/>
          <w:bCs/>
          <w:szCs w:val="24"/>
        </w:rPr>
        <w:tab/>
      </w:r>
      <w:r w:rsidRPr="005B6EB1" w:rsidR="00E24314">
        <w:rPr>
          <w:b/>
          <w:bCs/>
          <w:szCs w:val="24"/>
        </w:rPr>
        <w:t>EXPLANATION OF PROGRAM CHANGES OR ADJUSTMENTS</w:t>
      </w:r>
      <w:r w:rsidRPr="005B6EB1" w:rsidR="00E24314">
        <w:rPr>
          <w:bCs/>
          <w:color w:val="FF0000"/>
          <w:szCs w:val="24"/>
          <w:u w:val="single"/>
        </w:rPr>
        <w:br/>
      </w:r>
    </w:p>
    <w:p w:rsidR="00373407" w:rsidRPr="005B6EB1" w:rsidP="000C7814" w14:paraId="1DF968D6" w14:textId="78C66928">
      <w:pPr>
        <w:ind w:left="360"/>
        <w:rPr>
          <w:bCs/>
        </w:rPr>
      </w:pPr>
      <w:r w:rsidRPr="005B6EB1">
        <w:rPr>
          <w:bCs/>
        </w:rPr>
        <w:t>Table 1</w:t>
      </w:r>
      <w:r w:rsidRPr="005B6EB1" w:rsidR="00736510">
        <w:rPr>
          <w:bCs/>
        </w:rPr>
        <w:t>0</w:t>
      </w:r>
      <w:r w:rsidRPr="005B6EB1">
        <w:rPr>
          <w:bCs/>
        </w:rPr>
        <w:t xml:space="preserve"> presents the burden for the currently approved information collection, the new burden estimates from this </w:t>
      </w:r>
      <w:r w:rsidRPr="005B6EB1" w:rsidR="00F53C1C">
        <w:rPr>
          <w:bCs/>
        </w:rPr>
        <w:t>renewal</w:t>
      </w:r>
      <w:r w:rsidRPr="005B6EB1">
        <w:rPr>
          <w:bCs/>
        </w:rPr>
        <w:t xml:space="preserve">, and the resulting total change in burden from the currently approved information collection to this </w:t>
      </w:r>
      <w:r w:rsidRPr="005B6EB1" w:rsidR="00F53C1C">
        <w:rPr>
          <w:bCs/>
        </w:rPr>
        <w:t>renewal</w:t>
      </w:r>
      <w:r w:rsidRPr="005B6EB1">
        <w:rPr>
          <w:bCs/>
        </w:rPr>
        <w:t>.</w:t>
      </w:r>
      <w:r w:rsidRPr="005B6EB1" w:rsidR="00657D75">
        <w:rPr>
          <w:bCs/>
        </w:rPr>
        <w:t xml:space="preserve"> </w:t>
      </w:r>
      <w:r w:rsidRPr="005B6EB1" w:rsidR="000C7814">
        <w:rPr>
          <w:bCs/>
        </w:rPr>
        <w:t>Both the annual number of responses</w:t>
      </w:r>
      <w:r w:rsidRPr="005B6EB1" w:rsidR="00736510">
        <w:rPr>
          <w:bCs/>
        </w:rPr>
        <w:t>,</w:t>
      </w:r>
      <w:r w:rsidRPr="005B6EB1" w:rsidR="000C7814">
        <w:rPr>
          <w:bCs/>
        </w:rPr>
        <w:t xml:space="preserve"> the annual burden hours</w:t>
      </w:r>
      <w:r w:rsidRPr="005B6EB1" w:rsidR="00736510">
        <w:rPr>
          <w:bCs/>
        </w:rPr>
        <w:t xml:space="preserve"> and the annual cost burden</w:t>
      </w:r>
      <w:r w:rsidRPr="005B6EB1" w:rsidR="000C7814">
        <w:rPr>
          <w:bCs/>
        </w:rPr>
        <w:t xml:space="preserve"> increased due to </w:t>
      </w:r>
      <w:r w:rsidRPr="005B6EB1" w:rsidR="000C7814">
        <w:t xml:space="preserve">the use of improved and </w:t>
      </w:r>
      <w:r w:rsidR="00263B1F">
        <w:t>updated</w:t>
      </w:r>
      <w:r w:rsidRPr="005B6EB1" w:rsidR="000C7814">
        <w:t xml:space="preserve"> estimates of the number of training provider organizations, training locations and entry-level drivers in the calculation of the burden. </w:t>
      </w:r>
    </w:p>
    <w:p w:rsidR="001C2EAD" w:rsidRPr="005B6EB1" w:rsidP="001C2EAD" w14:paraId="6672DE00" w14:textId="47C565DB">
      <w:pPr>
        <w:pStyle w:val="BodyText"/>
        <w:keepNext/>
        <w:keepLines/>
        <w:widowControl/>
        <w:ind w:left="360"/>
        <w:rPr>
          <w:color w:val="auto"/>
        </w:rPr>
      </w:pPr>
    </w:p>
    <w:tbl>
      <w:tblPr>
        <w:tblW w:w="9543" w:type="dxa"/>
        <w:tblInd w:w="470" w:type="dxa"/>
        <w:tblLayout w:type="fixed"/>
        <w:tblLook w:val="04A0"/>
      </w:tblPr>
      <w:tblGrid>
        <w:gridCol w:w="5850"/>
        <w:gridCol w:w="1263"/>
        <w:gridCol w:w="990"/>
        <w:gridCol w:w="1440"/>
      </w:tblGrid>
      <w:tr w14:paraId="5BB783F3" w14:textId="77777777" w:rsidTr="003F03FE">
        <w:tblPrEx>
          <w:tblW w:w="9543" w:type="dxa"/>
          <w:tblInd w:w="470" w:type="dxa"/>
          <w:tblLayout w:type="fixed"/>
          <w:tblLook w:val="04A0"/>
        </w:tblPrEx>
        <w:trPr>
          <w:trHeight w:val="300"/>
        </w:trPr>
        <w:tc>
          <w:tcPr>
            <w:tcW w:w="9543" w:type="dxa"/>
            <w:gridSpan w:val="4"/>
            <w:tcBorders>
              <w:top w:val="nil"/>
              <w:left w:val="nil"/>
              <w:bottom w:val="nil"/>
              <w:right w:val="nil"/>
            </w:tcBorders>
            <w:shd w:val="clear" w:color="auto" w:fill="auto"/>
            <w:noWrap/>
            <w:vAlign w:val="center"/>
            <w:hideMark/>
          </w:tcPr>
          <w:p w:rsidR="00352820" w:rsidRPr="005B6EB1" w:rsidP="00352820" w14:paraId="0C70BAB6" w14:textId="77777777">
            <w:pPr>
              <w:widowControl/>
              <w:autoSpaceDE/>
              <w:autoSpaceDN/>
              <w:adjustRightInd/>
              <w:ind w:firstLine="440" w:firstLineChars="200"/>
              <w:rPr>
                <w:b/>
                <w:bCs/>
                <w:sz w:val="22"/>
                <w:szCs w:val="22"/>
              </w:rPr>
            </w:pPr>
            <w:r w:rsidRPr="005B6EB1">
              <w:rPr>
                <w:b/>
                <w:bCs/>
                <w:sz w:val="22"/>
                <w:szCs w:val="22"/>
              </w:rPr>
              <w:t>Table 10. Total Change in Burden from Currently Approved Collection of Information</w:t>
            </w:r>
          </w:p>
        </w:tc>
      </w:tr>
      <w:tr w14:paraId="315D2845" w14:textId="77777777" w:rsidTr="003F03FE">
        <w:tblPrEx>
          <w:tblW w:w="9543" w:type="dxa"/>
          <w:tblInd w:w="470" w:type="dxa"/>
          <w:tblLayout w:type="fixed"/>
          <w:tblLook w:val="04A0"/>
        </w:tblPrEx>
        <w:trPr>
          <w:trHeight w:val="860"/>
        </w:trPr>
        <w:tc>
          <w:tcPr>
            <w:tcW w:w="5850" w:type="dxa"/>
            <w:tcBorders>
              <w:top w:val="single" w:sz="12" w:space="0" w:color="auto"/>
              <w:left w:val="single" w:sz="8" w:space="0" w:color="auto"/>
              <w:bottom w:val="single" w:sz="12" w:space="0" w:color="auto"/>
              <w:right w:val="single" w:sz="8" w:space="0" w:color="auto"/>
            </w:tcBorders>
            <w:shd w:val="clear" w:color="000000" w:fill="E0E0E0"/>
            <w:vAlign w:val="center"/>
            <w:hideMark/>
          </w:tcPr>
          <w:p w:rsidR="00352820" w:rsidRPr="005B6EB1" w:rsidP="00352820" w14:paraId="2A4DE515" w14:textId="77777777">
            <w:pPr>
              <w:widowControl/>
              <w:autoSpaceDE/>
              <w:autoSpaceDN/>
              <w:adjustRightInd/>
              <w:jc w:val="center"/>
              <w:rPr>
                <w:b/>
                <w:bCs/>
                <w:color w:val="000000"/>
                <w:sz w:val="22"/>
                <w:szCs w:val="22"/>
              </w:rPr>
            </w:pPr>
            <w:r w:rsidRPr="005B6EB1">
              <w:rPr>
                <w:b/>
                <w:bCs/>
                <w:color w:val="000000"/>
                <w:sz w:val="22"/>
                <w:szCs w:val="22"/>
              </w:rPr>
              <w:t>Information Collection Version</w:t>
            </w:r>
          </w:p>
        </w:tc>
        <w:tc>
          <w:tcPr>
            <w:tcW w:w="1263" w:type="dxa"/>
            <w:tcBorders>
              <w:top w:val="single" w:sz="12" w:space="0" w:color="auto"/>
              <w:left w:val="nil"/>
              <w:bottom w:val="single" w:sz="12" w:space="0" w:color="auto"/>
              <w:right w:val="single" w:sz="8" w:space="0" w:color="auto"/>
            </w:tcBorders>
            <w:shd w:val="clear" w:color="000000" w:fill="E0E0E0"/>
            <w:vAlign w:val="center"/>
            <w:hideMark/>
          </w:tcPr>
          <w:p w:rsidR="00352820" w:rsidRPr="005B6EB1" w:rsidP="00352820" w14:paraId="095A2E60" w14:textId="77777777">
            <w:pPr>
              <w:widowControl/>
              <w:autoSpaceDE/>
              <w:autoSpaceDN/>
              <w:adjustRightInd/>
              <w:jc w:val="center"/>
              <w:rPr>
                <w:b/>
                <w:bCs/>
                <w:color w:val="000000"/>
                <w:sz w:val="22"/>
                <w:szCs w:val="22"/>
              </w:rPr>
            </w:pPr>
            <w:r w:rsidRPr="005B6EB1">
              <w:rPr>
                <w:b/>
                <w:bCs/>
                <w:sz w:val="22"/>
                <w:szCs w:val="22"/>
              </w:rPr>
              <w:t>Annual Number of Responses</w:t>
            </w:r>
          </w:p>
        </w:tc>
        <w:tc>
          <w:tcPr>
            <w:tcW w:w="990" w:type="dxa"/>
            <w:tcBorders>
              <w:top w:val="single" w:sz="12" w:space="0" w:color="auto"/>
              <w:left w:val="nil"/>
              <w:bottom w:val="single" w:sz="12" w:space="0" w:color="auto"/>
              <w:right w:val="single" w:sz="8" w:space="0" w:color="auto"/>
            </w:tcBorders>
            <w:shd w:val="clear" w:color="000000" w:fill="E0E0E0"/>
            <w:vAlign w:val="center"/>
            <w:hideMark/>
          </w:tcPr>
          <w:p w:rsidR="00352820" w:rsidRPr="005B6EB1" w:rsidP="00352820" w14:paraId="63B1C0E3" w14:textId="77777777">
            <w:pPr>
              <w:widowControl/>
              <w:autoSpaceDE/>
              <w:autoSpaceDN/>
              <w:adjustRightInd/>
              <w:jc w:val="center"/>
              <w:rPr>
                <w:b/>
                <w:bCs/>
                <w:color w:val="000000"/>
                <w:sz w:val="22"/>
                <w:szCs w:val="22"/>
              </w:rPr>
            </w:pPr>
            <w:r w:rsidRPr="005B6EB1">
              <w:rPr>
                <w:b/>
                <w:bCs/>
                <w:sz w:val="22"/>
                <w:szCs w:val="22"/>
              </w:rPr>
              <w:t>Annual Burden Hours</w:t>
            </w:r>
          </w:p>
        </w:tc>
        <w:tc>
          <w:tcPr>
            <w:tcW w:w="1440" w:type="dxa"/>
            <w:tcBorders>
              <w:top w:val="single" w:sz="12" w:space="0" w:color="auto"/>
              <w:left w:val="nil"/>
              <w:bottom w:val="single" w:sz="12" w:space="0" w:color="auto"/>
              <w:right w:val="single" w:sz="8" w:space="0" w:color="auto"/>
            </w:tcBorders>
            <w:shd w:val="clear" w:color="000000" w:fill="E0E0E0"/>
            <w:vAlign w:val="center"/>
            <w:hideMark/>
          </w:tcPr>
          <w:p w:rsidR="00352820" w:rsidRPr="005B6EB1" w:rsidP="00352820" w14:paraId="35419E28" w14:textId="77777777">
            <w:pPr>
              <w:widowControl/>
              <w:autoSpaceDE/>
              <w:autoSpaceDN/>
              <w:adjustRightInd/>
              <w:jc w:val="center"/>
              <w:rPr>
                <w:b/>
                <w:bCs/>
                <w:color w:val="000000"/>
                <w:sz w:val="22"/>
                <w:szCs w:val="22"/>
              </w:rPr>
            </w:pPr>
            <w:r w:rsidRPr="005B6EB1">
              <w:rPr>
                <w:b/>
                <w:bCs/>
                <w:sz w:val="22"/>
                <w:szCs w:val="22"/>
              </w:rPr>
              <w:t>Annual Cost Burden</w:t>
            </w:r>
          </w:p>
        </w:tc>
      </w:tr>
      <w:tr w14:paraId="20375D8E" w14:textId="77777777" w:rsidTr="003F03FE">
        <w:tblPrEx>
          <w:tblW w:w="9543" w:type="dxa"/>
          <w:tblInd w:w="470" w:type="dxa"/>
          <w:tblLayout w:type="fixed"/>
          <w:tblLook w:val="04A0"/>
        </w:tblPrEx>
        <w:trPr>
          <w:trHeight w:val="310"/>
        </w:trPr>
        <w:tc>
          <w:tcPr>
            <w:tcW w:w="5850" w:type="dxa"/>
            <w:tcBorders>
              <w:top w:val="nil"/>
              <w:left w:val="single" w:sz="8" w:space="0" w:color="auto"/>
              <w:bottom w:val="single" w:sz="8" w:space="0" w:color="auto"/>
              <w:right w:val="single" w:sz="8" w:space="0" w:color="auto"/>
            </w:tcBorders>
            <w:shd w:val="clear" w:color="000000" w:fill="FFFFFF"/>
            <w:vAlign w:val="center"/>
            <w:hideMark/>
          </w:tcPr>
          <w:p w:rsidR="00352820" w:rsidRPr="005B6EB1" w:rsidP="00352820" w14:paraId="5DDE9A55" w14:textId="77777777">
            <w:pPr>
              <w:widowControl/>
              <w:autoSpaceDE/>
              <w:autoSpaceDN/>
              <w:adjustRightInd/>
              <w:ind w:firstLine="220" w:firstLineChars="100"/>
              <w:rPr>
                <w:color w:val="000000"/>
                <w:sz w:val="22"/>
                <w:szCs w:val="22"/>
              </w:rPr>
            </w:pPr>
            <w:r w:rsidRPr="005B6EB1">
              <w:rPr>
                <w:sz w:val="22"/>
                <w:szCs w:val="22"/>
              </w:rPr>
              <w:t>Currently Approved under OMB Control Number 2126-0028</w:t>
            </w:r>
          </w:p>
        </w:tc>
        <w:tc>
          <w:tcPr>
            <w:tcW w:w="1263" w:type="dxa"/>
            <w:tcBorders>
              <w:top w:val="nil"/>
              <w:left w:val="nil"/>
              <w:bottom w:val="single" w:sz="8" w:space="0" w:color="auto"/>
              <w:right w:val="single" w:sz="8" w:space="0" w:color="auto"/>
            </w:tcBorders>
            <w:shd w:val="clear" w:color="000000" w:fill="FFFFFF"/>
            <w:vAlign w:val="center"/>
            <w:hideMark/>
          </w:tcPr>
          <w:p w:rsidR="00352820" w:rsidRPr="005B6EB1" w:rsidP="00352820" w14:paraId="3FD3A2B8" w14:textId="77777777">
            <w:pPr>
              <w:widowControl/>
              <w:autoSpaceDE/>
              <w:autoSpaceDN/>
              <w:adjustRightInd/>
              <w:jc w:val="right"/>
              <w:rPr>
                <w:color w:val="000000"/>
                <w:sz w:val="22"/>
                <w:szCs w:val="22"/>
              </w:rPr>
            </w:pPr>
            <w:r w:rsidRPr="005B6EB1">
              <w:rPr>
                <w:sz w:val="22"/>
                <w:szCs w:val="22"/>
              </w:rPr>
              <w:t>399,340</w:t>
            </w:r>
          </w:p>
        </w:tc>
        <w:tc>
          <w:tcPr>
            <w:tcW w:w="990" w:type="dxa"/>
            <w:tcBorders>
              <w:top w:val="nil"/>
              <w:left w:val="nil"/>
              <w:bottom w:val="single" w:sz="8" w:space="0" w:color="auto"/>
              <w:right w:val="single" w:sz="8" w:space="0" w:color="auto"/>
            </w:tcBorders>
            <w:shd w:val="clear" w:color="000000" w:fill="FFFFFF"/>
            <w:vAlign w:val="center"/>
            <w:hideMark/>
          </w:tcPr>
          <w:p w:rsidR="00352820" w:rsidRPr="005B6EB1" w:rsidP="00352820" w14:paraId="35163FA4" w14:textId="77777777">
            <w:pPr>
              <w:widowControl/>
              <w:autoSpaceDE/>
              <w:autoSpaceDN/>
              <w:adjustRightInd/>
              <w:jc w:val="right"/>
              <w:rPr>
                <w:color w:val="000000"/>
                <w:sz w:val="22"/>
                <w:szCs w:val="22"/>
              </w:rPr>
            </w:pPr>
            <w:r w:rsidRPr="005B6EB1">
              <w:rPr>
                <w:sz w:val="22"/>
                <w:szCs w:val="22"/>
              </w:rPr>
              <w:t>67,276</w:t>
            </w:r>
          </w:p>
        </w:tc>
        <w:tc>
          <w:tcPr>
            <w:tcW w:w="1440" w:type="dxa"/>
            <w:tcBorders>
              <w:top w:val="nil"/>
              <w:left w:val="nil"/>
              <w:bottom w:val="single" w:sz="8" w:space="0" w:color="auto"/>
              <w:right w:val="single" w:sz="8" w:space="0" w:color="auto"/>
            </w:tcBorders>
            <w:shd w:val="clear" w:color="000000" w:fill="FFFFFF"/>
            <w:vAlign w:val="center"/>
            <w:hideMark/>
          </w:tcPr>
          <w:p w:rsidR="00352820" w:rsidRPr="005B6EB1" w:rsidP="00352820" w14:paraId="31944567" w14:textId="72ACCDE9">
            <w:pPr>
              <w:widowControl/>
              <w:autoSpaceDE/>
              <w:autoSpaceDN/>
              <w:adjustRightInd/>
              <w:jc w:val="right"/>
              <w:rPr>
                <w:color w:val="000000"/>
                <w:sz w:val="22"/>
                <w:szCs w:val="22"/>
              </w:rPr>
            </w:pPr>
            <w:r w:rsidRPr="005B6EB1">
              <w:rPr>
                <w:sz w:val="22"/>
                <w:szCs w:val="22"/>
              </w:rPr>
              <w:t>$3,079,487</w:t>
            </w:r>
          </w:p>
        </w:tc>
      </w:tr>
      <w:tr w14:paraId="63527BFD" w14:textId="77777777" w:rsidTr="003F03FE">
        <w:tblPrEx>
          <w:tblW w:w="9543" w:type="dxa"/>
          <w:tblInd w:w="470" w:type="dxa"/>
          <w:tblLayout w:type="fixed"/>
          <w:tblLook w:val="04A0"/>
        </w:tblPrEx>
        <w:trPr>
          <w:trHeight w:val="300"/>
        </w:trPr>
        <w:tc>
          <w:tcPr>
            <w:tcW w:w="5850" w:type="dxa"/>
            <w:tcBorders>
              <w:top w:val="nil"/>
              <w:left w:val="single" w:sz="8" w:space="0" w:color="auto"/>
              <w:bottom w:val="single" w:sz="12" w:space="0" w:color="auto"/>
              <w:right w:val="single" w:sz="8" w:space="0" w:color="auto"/>
            </w:tcBorders>
            <w:shd w:val="clear" w:color="000000" w:fill="FFFFFF"/>
            <w:vAlign w:val="center"/>
            <w:hideMark/>
          </w:tcPr>
          <w:p w:rsidR="00352820" w:rsidRPr="005B6EB1" w:rsidP="00352820" w14:paraId="070CE1F6" w14:textId="77777777">
            <w:pPr>
              <w:widowControl/>
              <w:autoSpaceDE/>
              <w:autoSpaceDN/>
              <w:adjustRightInd/>
              <w:ind w:firstLine="220" w:firstLineChars="100"/>
              <w:rPr>
                <w:color w:val="000000"/>
                <w:sz w:val="22"/>
                <w:szCs w:val="22"/>
              </w:rPr>
            </w:pPr>
            <w:r w:rsidRPr="005B6EB1">
              <w:rPr>
                <w:sz w:val="22"/>
                <w:szCs w:val="22"/>
              </w:rPr>
              <w:t>Revised Estimates</w:t>
            </w:r>
          </w:p>
        </w:tc>
        <w:tc>
          <w:tcPr>
            <w:tcW w:w="1263" w:type="dxa"/>
            <w:tcBorders>
              <w:top w:val="nil"/>
              <w:left w:val="nil"/>
              <w:bottom w:val="single" w:sz="12" w:space="0" w:color="auto"/>
              <w:right w:val="single" w:sz="8" w:space="0" w:color="auto"/>
            </w:tcBorders>
            <w:shd w:val="clear" w:color="000000" w:fill="FFFFFF"/>
            <w:vAlign w:val="center"/>
            <w:hideMark/>
          </w:tcPr>
          <w:p w:rsidR="00352820" w:rsidRPr="005B6EB1" w:rsidP="00352820" w14:paraId="144557E3" w14:textId="72097017">
            <w:pPr>
              <w:widowControl/>
              <w:autoSpaceDE/>
              <w:autoSpaceDN/>
              <w:adjustRightInd/>
              <w:jc w:val="right"/>
              <w:rPr>
                <w:color w:val="000000"/>
                <w:sz w:val="22"/>
                <w:szCs w:val="22"/>
              </w:rPr>
            </w:pPr>
            <w:r>
              <w:rPr>
                <w:sz w:val="22"/>
                <w:szCs w:val="22"/>
              </w:rPr>
              <w:t>512,062</w:t>
            </w:r>
          </w:p>
        </w:tc>
        <w:tc>
          <w:tcPr>
            <w:tcW w:w="990" w:type="dxa"/>
            <w:tcBorders>
              <w:top w:val="nil"/>
              <w:left w:val="nil"/>
              <w:bottom w:val="single" w:sz="12" w:space="0" w:color="auto"/>
              <w:right w:val="single" w:sz="8" w:space="0" w:color="auto"/>
            </w:tcBorders>
            <w:shd w:val="clear" w:color="000000" w:fill="FFFFFF"/>
            <w:vAlign w:val="center"/>
            <w:hideMark/>
          </w:tcPr>
          <w:p w:rsidR="00352820" w:rsidRPr="005B6EB1" w:rsidP="00352820" w14:paraId="434957D0" w14:textId="3D898009">
            <w:pPr>
              <w:widowControl/>
              <w:autoSpaceDE/>
              <w:autoSpaceDN/>
              <w:adjustRightInd/>
              <w:jc w:val="right"/>
              <w:rPr>
                <w:color w:val="000000"/>
                <w:sz w:val="22"/>
                <w:szCs w:val="22"/>
              </w:rPr>
            </w:pPr>
            <w:r w:rsidRPr="005B6EB1">
              <w:rPr>
                <w:sz w:val="22"/>
                <w:szCs w:val="22"/>
              </w:rPr>
              <w:t>80,299</w:t>
            </w:r>
          </w:p>
        </w:tc>
        <w:tc>
          <w:tcPr>
            <w:tcW w:w="1440" w:type="dxa"/>
            <w:tcBorders>
              <w:top w:val="nil"/>
              <w:left w:val="nil"/>
              <w:bottom w:val="single" w:sz="12" w:space="0" w:color="auto"/>
              <w:right w:val="single" w:sz="8" w:space="0" w:color="auto"/>
            </w:tcBorders>
            <w:shd w:val="clear" w:color="000000" w:fill="FFFFFF"/>
            <w:vAlign w:val="center"/>
            <w:hideMark/>
          </w:tcPr>
          <w:p w:rsidR="00352820" w:rsidRPr="005B6EB1" w:rsidP="00722E8C" w14:paraId="6FBA90D0" w14:textId="5F01B042">
            <w:pPr>
              <w:widowControl/>
              <w:autoSpaceDE/>
              <w:autoSpaceDN/>
              <w:adjustRightInd/>
              <w:jc w:val="right"/>
              <w:rPr>
                <w:sz w:val="22"/>
                <w:szCs w:val="22"/>
              </w:rPr>
            </w:pPr>
            <w:r w:rsidRPr="005B6EB1">
              <w:rPr>
                <w:sz w:val="22"/>
                <w:szCs w:val="22"/>
              </w:rPr>
              <w:t>$</w:t>
            </w:r>
            <w:r w:rsidRPr="005B6EB1" w:rsidR="00722E8C">
              <w:rPr>
                <w:sz w:val="22"/>
                <w:szCs w:val="22"/>
              </w:rPr>
              <w:t>4,389,967</w:t>
            </w:r>
            <w:r w:rsidRPr="005B6EB1">
              <w:rPr>
                <w:sz w:val="22"/>
                <w:szCs w:val="22"/>
              </w:rPr>
              <w:t xml:space="preserve">  </w:t>
            </w:r>
          </w:p>
        </w:tc>
      </w:tr>
      <w:tr w14:paraId="09D5C4B3" w14:textId="77777777" w:rsidTr="003F03FE">
        <w:tblPrEx>
          <w:tblW w:w="9543" w:type="dxa"/>
          <w:tblInd w:w="470" w:type="dxa"/>
          <w:tblLayout w:type="fixed"/>
          <w:tblLook w:val="04A0"/>
        </w:tblPrEx>
        <w:trPr>
          <w:trHeight w:val="580"/>
        </w:trPr>
        <w:tc>
          <w:tcPr>
            <w:tcW w:w="5850" w:type="dxa"/>
            <w:tcBorders>
              <w:top w:val="nil"/>
              <w:left w:val="single" w:sz="8" w:space="0" w:color="auto"/>
              <w:bottom w:val="single" w:sz="12" w:space="0" w:color="auto"/>
              <w:right w:val="single" w:sz="8" w:space="0" w:color="auto"/>
            </w:tcBorders>
            <w:shd w:val="clear" w:color="000000" w:fill="FFFFFF"/>
            <w:vAlign w:val="center"/>
            <w:hideMark/>
          </w:tcPr>
          <w:p w:rsidR="00352820" w:rsidRPr="005B6EB1" w:rsidP="00352820" w14:paraId="6E6B7FA2" w14:textId="77777777">
            <w:pPr>
              <w:widowControl/>
              <w:autoSpaceDE/>
              <w:autoSpaceDN/>
              <w:adjustRightInd/>
              <w:rPr>
                <w:b/>
                <w:bCs/>
                <w:color w:val="000000"/>
                <w:sz w:val="22"/>
                <w:szCs w:val="22"/>
              </w:rPr>
            </w:pPr>
            <w:r w:rsidRPr="005B6EB1">
              <w:rPr>
                <w:b/>
                <w:bCs/>
                <w:sz w:val="22"/>
                <w:szCs w:val="22"/>
              </w:rPr>
              <w:t>Total Change in Burden from the Currently Approved Collection of Information</w:t>
            </w:r>
          </w:p>
        </w:tc>
        <w:tc>
          <w:tcPr>
            <w:tcW w:w="1263" w:type="dxa"/>
            <w:tcBorders>
              <w:top w:val="nil"/>
              <w:left w:val="nil"/>
              <w:bottom w:val="single" w:sz="12" w:space="0" w:color="auto"/>
              <w:right w:val="single" w:sz="8" w:space="0" w:color="auto"/>
            </w:tcBorders>
            <w:shd w:val="clear" w:color="000000" w:fill="FFFFFF"/>
            <w:vAlign w:val="center"/>
            <w:hideMark/>
          </w:tcPr>
          <w:p w:rsidR="00352820" w:rsidRPr="005B6EB1" w:rsidP="00352820" w14:paraId="2D0C6B2E" w14:textId="6D0931FB">
            <w:pPr>
              <w:widowControl/>
              <w:autoSpaceDE/>
              <w:autoSpaceDN/>
              <w:adjustRightInd/>
              <w:jc w:val="right"/>
              <w:rPr>
                <w:b/>
                <w:bCs/>
                <w:color w:val="000000"/>
                <w:sz w:val="22"/>
                <w:szCs w:val="22"/>
              </w:rPr>
            </w:pPr>
            <w:r w:rsidRPr="005B6EB1">
              <w:rPr>
                <w:b/>
                <w:bCs/>
                <w:sz w:val="22"/>
                <w:szCs w:val="22"/>
              </w:rPr>
              <w:t>+</w:t>
            </w:r>
            <w:r w:rsidR="003D107B">
              <w:rPr>
                <w:b/>
                <w:bCs/>
                <w:sz w:val="22"/>
                <w:szCs w:val="22"/>
              </w:rPr>
              <w:t>112,722</w:t>
            </w:r>
          </w:p>
        </w:tc>
        <w:tc>
          <w:tcPr>
            <w:tcW w:w="990" w:type="dxa"/>
            <w:tcBorders>
              <w:top w:val="nil"/>
              <w:left w:val="nil"/>
              <w:bottom w:val="single" w:sz="12" w:space="0" w:color="auto"/>
              <w:right w:val="single" w:sz="8" w:space="0" w:color="auto"/>
            </w:tcBorders>
            <w:shd w:val="clear" w:color="000000" w:fill="FFFFFF"/>
            <w:vAlign w:val="center"/>
            <w:hideMark/>
          </w:tcPr>
          <w:p w:rsidR="00352820" w:rsidRPr="005B6EB1" w:rsidP="00352820" w14:paraId="50788AF8" w14:textId="7ED62202">
            <w:pPr>
              <w:widowControl/>
              <w:autoSpaceDE/>
              <w:autoSpaceDN/>
              <w:adjustRightInd/>
              <w:jc w:val="right"/>
              <w:rPr>
                <w:b/>
                <w:bCs/>
                <w:color w:val="000000"/>
                <w:sz w:val="22"/>
                <w:szCs w:val="22"/>
              </w:rPr>
            </w:pPr>
            <w:r w:rsidRPr="005B6EB1">
              <w:rPr>
                <w:b/>
                <w:bCs/>
                <w:sz w:val="22"/>
                <w:szCs w:val="22"/>
              </w:rPr>
              <w:t>+</w:t>
            </w:r>
            <w:r w:rsidRPr="005B6EB1" w:rsidR="00722E8C">
              <w:rPr>
                <w:b/>
                <w:bCs/>
                <w:sz w:val="22"/>
                <w:szCs w:val="22"/>
              </w:rPr>
              <w:t>13,023</w:t>
            </w:r>
          </w:p>
        </w:tc>
        <w:tc>
          <w:tcPr>
            <w:tcW w:w="1440" w:type="dxa"/>
            <w:tcBorders>
              <w:top w:val="nil"/>
              <w:left w:val="nil"/>
              <w:bottom w:val="single" w:sz="12" w:space="0" w:color="auto"/>
              <w:right w:val="single" w:sz="8" w:space="0" w:color="auto"/>
            </w:tcBorders>
            <w:shd w:val="clear" w:color="000000" w:fill="FFFFFF"/>
            <w:vAlign w:val="center"/>
            <w:hideMark/>
          </w:tcPr>
          <w:p w:rsidR="00736510" w:rsidRPr="005B6EB1" w:rsidP="00352820" w14:paraId="722B05F4" w14:textId="67D646F7">
            <w:pPr>
              <w:widowControl/>
              <w:autoSpaceDE/>
              <w:autoSpaceDN/>
              <w:adjustRightInd/>
              <w:jc w:val="right"/>
              <w:rPr>
                <w:b/>
                <w:bCs/>
                <w:sz w:val="22"/>
                <w:szCs w:val="22"/>
              </w:rPr>
            </w:pPr>
          </w:p>
          <w:p w:rsidR="00736510" w:rsidRPr="005B6EB1" w:rsidP="00736510" w14:paraId="570E6F6C" w14:textId="77E3B370">
            <w:pPr>
              <w:widowControl/>
              <w:autoSpaceDE/>
              <w:autoSpaceDN/>
              <w:adjustRightInd/>
              <w:jc w:val="right"/>
              <w:rPr>
                <w:b/>
                <w:bCs/>
                <w:color w:val="000000"/>
                <w:sz w:val="22"/>
                <w:szCs w:val="22"/>
              </w:rPr>
            </w:pPr>
            <w:r w:rsidRPr="005B6EB1">
              <w:rPr>
                <w:b/>
                <w:bCs/>
                <w:color w:val="000000"/>
                <w:sz w:val="22"/>
                <w:szCs w:val="22"/>
              </w:rPr>
              <w:t>+$</w:t>
            </w:r>
            <w:r w:rsidRPr="005B6EB1" w:rsidR="00722E8C">
              <w:rPr>
                <w:b/>
                <w:bCs/>
                <w:color w:val="000000"/>
                <w:sz w:val="22"/>
                <w:szCs w:val="22"/>
              </w:rPr>
              <w:t>1,310,480</w:t>
            </w:r>
          </w:p>
          <w:p w:rsidR="00352820" w:rsidRPr="005B6EB1" w:rsidP="00352820" w14:paraId="3B781BF8" w14:textId="501FE1EC">
            <w:pPr>
              <w:widowControl/>
              <w:autoSpaceDE/>
              <w:autoSpaceDN/>
              <w:adjustRightInd/>
              <w:jc w:val="right"/>
              <w:rPr>
                <w:b/>
                <w:bCs/>
                <w:color w:val="000000"/>
                <w:sz w:val="22"/>
                <w:szCs w:val="22"/>
              </w:rPr>
            </w:pPr>
            <w:r w:rsidRPr="005B6EB1">
              <w:rPr>
                <w:b/>
                <w:bCs/>
                <w:sz w:val="22"/>
                <w:szCs w:val="22"/>
              </w:rPr>
              <w:t xml:space="preserve"> </w:t>
            </w:r>
          </w:p>
        </w:tc>
      </w:tr>
    </w:tbl>
    <w:p w:rsidR="001C2EAD" w:rsidRPr="005B6EB1" w:rsidP="006A7AC4" w14:paraId="3D428D78" w14:textId="77777777">
      <w:pPr>
        <w:ind w:left="360"/>
        <w:rPr>
          <w:bCs/>
          <w:szCs w:val="24"/>
        </w:rPr>
      </w:pPr>
    </w:p>
    <w:p w:rsidR="00373407" w:rsidRPr="005B6EB1" w:rsidP="00FC56DA" w14:paraId="3D3A1195" w14:textId="4C5B4A8E">
      <w:pPr>
        <w:widowControl/>
        <w:ind w:left="360"/>
        <w:rPr>
          <w:bCs/>
        </w:rPr>
      </w:pPr>
      <w:r w:rsidRPr="005B6EB1">
        <w:rPr>
          <w:bCs/>
        </w:rPr>
        <w:t xml:space="preserve">Next, the Agency differentiates the total change in burden that is presented in Table </w:t>
      </w:r>
      <w:r w:rsidRPr="005B6EB1" w:rsidR="00227758">
        <w:rPr>
          <w:bCs/>
        </w:rPr>
        <w:t>1</w:t>
      </w:r>
      <w:r w:rsidRPr="005B6EB1">
        <w:rPr>
          <w:bCs/>
        </w:rPr>
        <w:t xml:space="preserve"> into the program change portion, and the adjustment change portion. </w:t>
      </w:r>
      <w:r w:rsidRPr="005B6EB1" w:rsidR="000C7814">
        <w:rPr>
          <w:bCs/>
        </w:rPr>
        <w:t xml:space="preserve">The burden increases are due to adjustments in agency estimates due to </w:t>
      </w:r>
      <w:r w:rsidRPr="005B6EB1">
        <w:rPr>
          <w:bCs/>
        </w:rPr>
        <w:t>the availability of new or improved data</w:t>
      </w:r>
      <w:r w:rsidRPr="005B6EB1" w:rsidR="000C7814">
        <w:rPr>
          <w:bCs/>
        </w:rPr>
        <w:t>.</w:t>
      </w:r>
      <w:r w:rsidRPr="005B6EB1" w:rsidR="00736510">
        <w:rPr>
          <w:bCs/>
        </w:rPr>
        <w:t xml:space="preserve"> These are shown in Table 11.</w:t>
      </w:r>
    </w:p>
    <w:p w:rsidR="00657D75" w:rsidRPr="005B6EB1" w:rsidP="006A7AC4" w14:paraId="1CDFCD6F" w14:textId="77777777">
      <w:pPr>
        <w:ind w:left="360"/>
        <w:rPr>
          <w:bCs/>
          <w:szCs w:val="24"/>
        </w:rPr>
      </w:pPr>
    </w:p>
    <w:p w:rsidR="001C2EAD" w:rsidRPr="005B6EB1" w:rsidP="001C2EAD" w14:paraId="4C70346F" w14:textId="33FB7735">
      <w:pPr>
        <w:pStyle w:val="BodyText"/>
        <w:keepNext/>
        <w:keepLines/>
        <w:widowControl/>
        <w:ind w:left="360"/>
        <w:rPr>
          <w:color w:val="auto"/>
        </w:rPr>
      </w:pPr>
      <w:r w:rsidRPr="005B6EB1">
        <w:rPr>
          <w:b/>
          <w:color w:val="auto"/>
          <w:sz w:val="22"/>
          <w:szCs w:val="22"/>
        </w:rPr>
        <w:t xml:space="preserve">Table </w:t>
      </w:r>
      <w:r w:rsidRPr="005B6EB1" w:rsidR="003B011B">
        <w:rPr>
          <w:b/>
          <w:color w:val="auto"/>
          <w:sz w:val="22"/>
          <w:szCs w:val="22"/>
        </w:rPr>
        <w:t>1</w:t>
      </w:r>
      <w:r w:rsidRPr="005B6EB1" w:rsidR="00352820">
        <w:rPr>
          <w:b/>
          <w:color w:val="auto"/>
          <w:sz w:val="22"/>
          <w:szCs w:val="22"/>
        </w:rPr>
        <w:t>1</w:t>
      </w:r>
      <w:r w:rsidRPr="005B6EB1">
        <w:rPr>
          <w:b/>
          <w:color w:val="auto"/>
          <w:sz w:val="22"/>
          <w:szCs w:val="22"/>
        </w:rPr>
        <w:t>. Changes Due to Agency Discretion and Adjustment in Agency Estimate</w:t>
      </w:r>
    </w:p>
    <w:tbl>
      <w:tblPr>
        <w:tblW w:w="8543" w:type="dxa"/>
        <w:tblInd w:w="357" w:type="dxa"/>
        <w:tblLook w:val="04A0"/>
      </w:tblPr>
      <w:tblGrid>
        <w:gridCol w:w="3683"/>
        <w:gridCol w:w="1710"/>
        <w:gridCol w:w="1620"/>
        <w:gridCol w:w="1530"/>
      </w:tblGrid>
      <w:tr w14:paraId="1FDDB399" w14:textId="77777777" w:rsidTr="00985C3E">
        <w:tblPrEx>
          <w:tblW w:w="8543" w:type="dxa"/>
          <w:tblInd w:w="357" w:type="dxa"/>
          <w:tblLook w:val="04A0"/>
        </w:tblPrEx>
        <w:trPr>
          <w:trHeight w:val="1125"/>
        </w:trPr>
        <w:tc>
          <w:tcPr>
            <w:tcW w:w="3683" w:type="dxa"/>
            <w:tcBorders>
              <w:top w:val="single" w:sz="18" w:space="0" w:color="auto"/>
              <w:left w:val="single" w:sz="2" w:space="0" w:color="auto"/>
              <w:bottom w:val="single" w:sz="18" w:space="0" w:color="auto"/>
              <w:right w:val="single" w:sz="4" w:space="0" w:color="auto"/>
            </w:tcBorders>
            <w:shd w:val="clear" w:color="000000" w:fill="E0E0E0"/>
            <w:vAlign w:val="bottom"/>
            <w:hideMark/>
          </w:tcPr>
          <w:p w:rsidR="001C2EAD" w:rsidRPr="005B6EB1" w:rsidP="00464625" w14:paraId="0798645D" w14:textId="77777777">
            <w:pPr>
              <w:keepNext/>
              <w:keepLines/>
              <w:widowControl/>
              <w:autoSpaceDE/>
              <w:autoSpaceDN/>
              <w:adjustRightInd/>
              <w:jc w:val="center"/>
              <w:rPr>
                <w:b/>
                <w:bCs/>
                <w:sz w:val="22"/>
                <w:szCs w:val="22"/>
              </w:rPr>
            </w:pPr>
            <w:r w:rsidRPr="005B6EB1">
              <w:rPr>
                <w:b/>
                <w:bCs/>
                <w:sz w:val="22"/>
                <w:szCs w:val="22"/>
              </w:rPr>
              <w:t>Component of Total Change</w:t>
            </w:r>
          </w:p>
        </w:tc>
        <w:tc>
          <w:tcPr>
            <w:tcW w:w="1710" w:type="dxa"/>
            <w:tcBorders>
              <w:top w:val="single" w:sz="18" w:space="0" w:color="auto"/>
              <w:left w:val="nil"/>
              <w:bottom w:val="single" w:sz="18" w:space="0" w:color="auto"/>
              <w:right w:val="single" w:sz="4" w:space="0" w:color="auto"/>
            </w:tcBorders>
            <w:shd w:val="clear" w:color="000000" w:fill="E0E0E0"/>
            <w:vAlign w:val="bottom"/>
            <w:hideMark/>
          </w:tcPr>
          <w:p w:rsidR="001C2EAD" w:rsidRPr="005B6EB1" w:rsidP="00464625" w14:paraId="7C4EF5AF" w14:textId="77777777">
            <w:pPr>
              <w:keepNext/>
              <w:keepLines/>
              <w:widowControl/>
              <w:autoSpaceDE/>
              <w:autoSpaceDN/>
              <w:adjustRightInd/>
              <w:jc w:val="center"/>
              <w:rPr>
                <w:b/>
                <w:bCs/>
                <w:sz w:val="22"/>
                <w:szCs w:val="22"/>
              </w:rPr>
            </w:pPr>
            <w:r w:rsidRPr="005B6EB1">
              <w:rPr>
                <w:b/>
                <w:bCs/>
                <w:sz w:val="22"/>
                <w:szCs w:val="22"/>
              </w:rPr>
              <w:t>Change in Annual Number of Responses</w:t>
            </w:r>
          </w:p>
        </w:tc>
        <w:tc>
          <w:tcPr>
            <w:tcW w:w="1620" w:type="dxa"/>
            <w:tcBorders>
              <w:top w:val="single" w:sz="18" w:space="0" w:color="auto"/>
              <w:left w:val="nil"/>
              <w:bottom w:val="single" w:sz="18" w:space="0" w:color="auto"/>
              <w:right w:val="single" w:sz="4" w:space="0" w:color="auto"/>
            </w:tcBorders>
            <w:shd w:val="clear" w:color="000000" w:fill="E0E0E0"/>
            <w:vAlign w:val="bottom"/>
            <w:hideMark/>
          </w:tcPr>
          <w:p w:rsidR="001C2EAD" w:rsidRPr="005B6EB1" w:rsidP="00464625" w14:paraId="7C3439B9" w14:textId="77777777">
            <w:pPr>
              <w:keepNext/>
              <w:keepLines/>
              <w:widowControl/>
              <w:autoSpaceDE/>
              <w:autoSpaceDN/>
              <w:adjustRightInd/>
              <w:jc w:val="center"/>
              <w:rPr>
                <w:b/>
                <w:bCs/>
                <w:sz w:val="22"/>
                <w:szCs w:val="22"/>
              </w:rPr>
            </w:pPr>
            <w:r w:rsidRPr="005B6EB1">
              <w:rPr>
                <w:b/>
                <w:bCs/>
                <w:sz w:val="22"/>
                <w:szCs w:val="22"/>
              </w:rPr>
              <w:t>Change in Annual Burden Hours</w:t>
            </w:r>
          </w:p>
        </w:tc>
        <w:tc>
          <w:tcPr>
            <w:tcW w:w="1530" w:type="dxa"/>
            <w:tcBorders>
              <w:top w:val="single" w:sz="18" w:space="0" w:color="auto"/>
              <w:left w:val="nil"/>
              <w:bottom w:val="single" w:sz="18" w:space="0" w:color="auto"/>
              <w:right w:val="single" w:sz="2" w:space="0" w:color="auto"/>
            </w:tcBorders>
            <w:shd w:val="clear" w:color="000000" w:fill="E0E0E0"/>
            <w:vAlign w:val="bottom"/>
            <w:hideMark/>
          </w:tcPr>
          <w:p w:rsidR="001C2EAD" w:rsidRPr="005B6EB1" w:rsidP="00464625" w14:paraId="7A9777D9" w14:textId="77777777">
            <w:pPr>
              <w:keepNext/>
              <w:keepLines/>
              <w:widowControl/>
              <w:autoSpaceDE/>
              <w:autoSpaceDN/>
              <w:adjustRightInd/>
              <w:jc w:val="center"/>
              <w:rPr>
                <w:b/>
                <w:bCs/>
                <w:sz w:val="22"/>
                <w:szCs w:val="22"/>
              </w:rPr>
            </w:pPr>
            <w:r w:rsidRPr="005B6EB1">
              <w:rPr>
                <w:b/>
                <w:bCs/>
                <w:sz w:val="22"/>
                <w:szCs w:val="22"/>
              </w:rPr>
              <w:t>Change in Annual Cost Burden</w:t>
            </w:r>
          </w:p>
        </w:tc>
      </w:tr>
      <w:tr w14:paraId="1A1CCE3D" w14:textId="77777777" w:rsidTr="00985C3E">
        <w:tblPrEx>
          <w:tblW w:w="8543" w:type="dxa"/>
          <w:tblInd w:w="357" w:type="dxa"/>
          <w:tblLook w:val="04A0"/>
        </w:tblPrEx>
        <w:trPr>
          <w:trHeight w:val="528"/>
        </w:trPr>
        <w:tc>
          <w:tcPr>
            <w:tcW w:w="3683" w:type="dxa"/>
            <w:tcBorders>
              <w:top w:val="single" w:sz="18" w:space="0" w:color="auto"/>
              <w:left w:val="single" w:sz="2" w:space="0" w:color="auto"/>
              <w:bottom w:val="single" w:sz="4" w:space="0" w:color="auto"/>
              <w:right w:val="single" w:sz="4" w:space="0" w:color="auto"/>
            </w:tcBorders>
            <w:shd w:val="clear" w:color="000000" w:fill="FFFFFF"/>
            <w:vAlign w:val="center"/>
            <w:hideMark/>
          </w:tcPr>
          <w:p w:rsidR="00352820" w:rsidRPr="005B6EB1" w:rsidP="00352820" w14:paraId="173FC07D" w14:textId="77777777">
            <w:pPr>
              <w:keepNext/>
              <w:keepLines/>
              <w:widowControl/>
              <w:autoSpaceDE/>
              <w:autoSpaceDN/>
              <w:adjustRightInd/>
              <w:rPr>
                <w:b/>
                <w:bCs/>
                <w:sz w:val="22"/>
                <w:szCs w:val="22"/>
              </w:rPr>
            </w:pPr>
            <w:r w:rsidRPr="005B6EB1">
              <w:rPr>
                <w:b/>
                <w:bCs/>
                <w:sz w:val="22"/>
                <w:szCs w:val="22"/>
              </w:rPr>
              <w:t>Total Change in Burden from the Currently Approved Collection of Information</w:t>
            </w:r>
          </w:p>
        </w:tc>
        <w:tc>
          <w:tcPr>
            <w:tcW w:w="1710" w:type="dxa"/>
            <w:tcBorders>
              <w:top w:val="single" w:sz="18" w:space="0" w:color="auto"/>
              <w:left w:val="nil"/>
              <w:bottom w:val="single" w:sz="4" w:space="0" w:color="auto"/>
              <w:right w:val="single" w:sz="4" w:space="0" w:color="auto"/>
            </w:tcBorders>
            <w:shd w:val="clear" w:color="000000" w:fill="FFFFFF"/>
            <w:vAlign w:val="center"/>
          </w:tcPr>
          <w:p w:rsidR="00352820" w:rsidRPr="005B6EB1" w:rsidP="00352820" w14:paraId="03C82EF7" w14:textId="1294A365">
            <w:pPr>
              <w:keepNext/>
              <w:keepLines/>
              <w:widowControl/>
              <w:autoSpaceDE/>
              <w:autoSpaceDN/>
              <w:adjustRightInd/>
              <w:jc w:val="right"/>
              <w:rPr>
                <w:b/>
                <w:bCs/>
                <w:sz w:val="22"/>
                <w:szCs w:val="22"/>
              </w:rPr>
            </w:pPr>
            <w:r>
              <w:rPr>
                <w:b/>
                <w:bCs/>
                <w:sz w:val="22"/>
                <w:szCs w:val="22"/>
              </w:rPr>
              <w:t>112,722</w:t>
            </w:r>
          </w:p>
        </w:tc>
        <w:tc>
          <w:tcPr>
            <w:tcW w:w="1620" w:type="dxa"/>
            <w:tcBorders>
              <w:top w:val="single" w:sz="18" w:space="0" w:color="auto"/>
              <w:left w:val="nil"/>
              <w:bottom w:val="single" w:sz="4" w:space="0" w:color="auto"/>
              <w:right w:val="single" w:sz="4" w:space="0" w:color="auto"/>
            </w:tcBorders>
            <w:shd w:val="clear" w:color="000000" w:fill="FFFFFF"/>
            <w:vAlign w:val="center"/>
          </w:tcPr>
          <w:p w:rsidR="00352820" w:rsidRPr="005B6EB1" w:rsidP="00352820" w14:paraId="31BE6C02" w14:textId="2B57274D">
            <w:pPr>
              <w:keepNext/>
              <w:keepLines/>
              <w:widowControl/>
              <w:autoSpaceDE/>
              <w:autoSpaceDN/>
              <w:adjustRightInd/>
              <w:jc w:val="right"/>
              <w:rPr>
                <w:b/>
                <w:bCs/>
                <w:sz w:val="22"/>
                <w:szCs w:val="22"/>
              </w:rPr>
            </w:pPr>
            <w:r w:rsidRPr="005B6EB1">
              <w:rPr>
                <w:b/>
                <w:bCs/>
                <w:sz w:val="22"/>
                <w:szCs w:val="22"/>
              </w:rPr>
              <w:t>13,023</w:t>
            </w:r>
          </w:p>
        </w:tc>
        <w:tc>
          <w:tcPr>
            <w:tcW w:w="1530" w:type="dxa"/>
            <w:tcBorders>
              <w:top w:val="single" w:sz="18" w:space="0" w:color="auto"/>
              <w:left w:val="nil"/>
              <w:bottom w:val="single" w:sz="4" w:space="0" w:color="auto"/>
              <w:right w:val="single" w:sz="2" w:space="0" w:color="auto"/>
            </w:tcBorders>
            <w:shd w:val="clear" w:color="000000" w:fill="FFFFFF"/>
            <w:vAlign w:val="center"/>
          </w:tcPr>
          <w:p w:rsidR="00736510" w:rsidRPr="005B6EB1" w:rsidP="00736510" w14:paraId="71133986" w14:textId="77777777">
            <w:pPr>
              <w:widowControl/>
              <w:autoSpaceDE/>
              <w:autoSpaceDN/>
              <w:adjustRightInd/>
              <w:jc w:val="right"/>
              <w:rPr>
                <w:b/>
                <w:bCs/>
                <w:color w:val="000000"/>
                <w:sz w:val="22"/>
                <w:szCs w:val="22"/>
              </w:rPr>
            </w:pPr>
          </w:p>
          <w:p w:rsidR="00736510" w:rsidRPr="005B6EB1" w:rsidP="00736510" w14:paraId="69869C2B" w14:textId="498B73D6">
            <w:pPr>
              <w:widowControl/>
              <w:autoSpaceDE/>
              <w:autoSpaceDN/>
              <w:adjustRightInd/>
              <w:jc w:val="right"/>
              <w:rPr>
                <w:b/>
                <w:bCs/>
                <w:color w:val="000000"/>
                <w:sz w:val="22"/>
                <w:szCs w:val="22"/>
              </w:rPr>
            </w:pPr>
            <w:r w:rsidRPr="005B6EB1">
              <w:rPr>
                <w:b/>
                <w:bCs/>
                <w:color w:val="000000"/>
                <w:sz w:val="22"/>
                <w:szCs w:val="22"/>
              </w:rPr>
              <w:t>$</w:t>
            </w:r>
            <w:r w:rsidRPr="005B6EB1" w:rsidR="00722E8C">
              <w:rPr>
                <w:b/>
                <w:bCs/>
                <w:color w:val="000000"/>
                <w:sz w:val="22"/>
                <w:szCs w:val="22"/>
              </w:rPr>
              <w:t>1,310,480</w:t>
            </w:r>
          </w:p>
          <w:p w:rsidR="00352820" w:rsidRPr="005B6EB1" w:rsidP="00352820" w14:paraId="71425DFE" w14:textId="580F99A8">
            <w:pPr>
              <w:keepNext/>
              <w:keepLines/>
              <w:widowControl/>
              <w:autoSpaceDE/>
              <w:autoSpaceDN/>
              <w:adjustRightInd/>
              <w:jc w:val="right"/>
              <w:rPr>
                <w:b/>
                <w:bCs/>
                <w:sz w:val="22"/>
                <w:szCs w:val="22"/>
              </w:rPr>
            </w:pPr>
          </w:p>
        </w:tc>
      </w:tr>
      <w:tr w14:paraId="1F68865B" w14:textId="77777777" w:rsidTr="00985C3E">
        <w:tblPrEx>
          <w:tblW w:w="8543" w:type="dxa"/>
          <w:tblInd w:w="357" w:type="dxa"/>
          <w:tblLook w:val="04A0"/>
        </w:tblPrEx>
        <w:trPr>
          <w:trHeight w:val="288"/>
        </w:trPr>
        <w:tc>
          <w:tcPr>
            <w:tcW w:w="3683" w:type="dxa"/>
            <w:tcBorders>
              <w:top w:val="nil"/>
              <w:left w:val="single" w:sz="2" w:space="0" w:color="auto"/>
              <w:bottom w:val="single" w:sz="4" w:space="0" w:color="auto"/>
              <w:right w:val="single" w:sz="4" w:space="0" w:color="auto"/>
            </w:tcBorders>
            <w:shd w:val="clear" w:color="auto" w:fill="auto"/>
            <w:noWrap/>
            <w:vAlign w:val="center"/>
          </w:tcPr>
          <w:p w:rsidR="001C2EAD" w:rsidRPr="005B6EB1" w:rsidP="00464625" w14:paraId="5E20C277" w14:textId="77777777">
            <w:pPr>
              <w:keepNext/>
              <w:keepLines/>
              <w:widowControl/>
              <w:autoSpaceDE/>
              <w:autoSpaceDN/>
              <w:adjustRightInd/>
              <w:ind w:left="247"/>
              <w:rPr>
                <w:sz w:val="22"/>
                <w:szCs w:val="22"/>
              </w:rPr>
            </w:pPr>
            <w:r w:rsidRPr="005B6EB1">
              <w:rPr>
                <w:sz w:val="22"/>
                <w:szCs w:val="22"/>
              </w:rPr>
              <w:t>Program Change due to Agency Discretion</w:t>
            </w:r>
          </w:p>
        </w:tc>
        <w:tc>
          <w:tcPr>
            <w:tcW w:w="1710" w:type="dxa"/>
            <w:tcBorders>
              <w:top w:val="nil"/>
              <w:left w:val="nil"/>
              <w:bottom w:val="single" w:sz="4" w:space="0" w:color="auto"/>
              <w:right w:val="single" w:sz="4" w:space="0" w:color="auto"/>
            </w:tcBorders>
            <w:shd w:val="clear" w:color="auto" w:fill="auto"/>
            <w:noWrap/>
            <w:vAlign w:val="center"/>
          </w:tcPr>
          <w:p w:rsidR="001C2EAD" w:rsidRPr="005B6EB1" w:rsidP="00464625" w14:paraId="29D133F0" w14:textId="662F9008">
            <w:pPr>
              <w:keepNext/>
              <w:keepLines/>
              <w:widowControl/>
              <w:autoSpaceDE/>
              <w:autoSpaceDN/>
              <w:adjustRightInd/>
              <w:jc w:val="right"/>
              <w:rPr>
                <w:sz w:val="22"/>
                <w:szCs w:val="22"/>
              </w:rPr>
            </w:pPr>
            <w:r w:rsidRPr="005B6EB1">
              <w:rPr>
                <w:sz w:val="22"/>
                <w:szCs w:val="22"/>
              </w:rPr>
              <w:t>0</w:t>
            </w:r>
          </w:p>
        </w:tc>
        <w:tc>
          <w:tcPr>
            <w:tcW w:w="1620" w:type="dxa"/>
            <w:tcBorders>
              <w:top w:val="nil"/>
              <w:left w:val="nil"/>
              <w:bottom w:val="single" w:sz="4" w:space="0" w:color="auto"/>
              <w:right w:val="single" w:sz="4" w:space="0" w:color="auto"/>
            </w:tcBorders>
            <w:shd w:val="clear" w:color="auto" w:fill="auto"/>
            <w:noWrap/>
            <w:vAlign w:val="center"/>
          </w:tcPr>
          <w:p w:rsidR="001C2EAD" w:rsidRPr="005B6EB1" w:rsidP="00464625" w14:paraId="59C23675" w14:textId="49B5649D">
            <w:pPr>
              <w:keepNext/>
              <w:keepLines/>
              <w:widowControl/>
              <w:autoSpaceDE/>
              <w:autoSpaceDN/>
              <w:adjustRightInd/>
              <w:jc w:val="right"/>
              <w:rPr>
                <w:sz w:val="22"/>
                <w:szCs w:val="22"/>
              </w:rPr>
            </w:pPr>
            <w:r w:rsidRPr="005B6EB1">
              <w:rPr>
                <w:sz w:val="22"/>
                <w:szCs w:val="22"/>
              </w:rPr>
              <w:t>0</w:t>
            </w:r>
          </w:p>
        </w:tc>
        <w:tc>
          <w:tcPr>
            <w:tcW w:w="1530" w:type="dxa"/>
            <w:tcBorders>
              <w:top w:val="nil"/>
              <w:left w:val="nil"/>
              <w:bottom w:val="single" w:sz="4" w:space="0" w:color="auto"/>
              <w:right w:val="single" w:sz="2" w:space="0" w:color="auto"/>
            </w:tcBorders>
            <w:shd w:val="clear" w:color="auto" w:fill="auto"/>
            <w:noWrap/>
            <w:vAlign w:val="center"/>
          </w:tcPr>
          <w:p w:rsidR="001C2EAD" w:rsidRPr="005B6EB1" w:rsidP="00464625" w14:paraId="0AB01028" w14:textId="77777777">
            <w:pPr>
              <w:keepNext/>
              <w:keepLines/>
              <w:widowControl/>
              <w:autoSpaceDE/>
              <w:autoSpaceDN/>
              <w:adjustRightInd/>
              <w:jc w:val="right"/>
              <w:rPr>
                <w:sz w:val="22"/>
                <w:szCs w:val="22"/>
              </w:rPr>
            </w:pPr>
            <w:r w:rsidRPr="005B6EB1">
              <w:rPr>
                <w:sz w:val="22"/>
                <w:szCs w:val="22"/>
              </w:rPr>
              <w:t>$0</w:t>
            </w:r>
          </w:p>
        </w:tc>
      </w:tr>
      <w:tr w14:paraId="771CF16D" w14:textId="77777777" w:rsidTr="00465DE5">
        <w:tblPrEx>
          <w:tblW w:w="8543" w:type="dxa"/>
          <w:tblInd w:w="357" w:type="dxa"/>
          <w:tblLook w:val="04A0"/>
        </w:tblPrEx>
        <w:trPr>
          <w:trHeight w:val="288"/>
        </w:trPr>
        <w:tc>
          <w:tcPr>
            <w:tcW w:w="3683" w:type="dxa"/>
            <w:tcBorders>
              <w:top w:val="single" w:sz="4" w:space="0" w:color="auto"/>
              <w:left w:val="single" w:sz="2" w:space="0" w:color="auto"/>
              <w:bottom w:val="single" w:sz="18" w:space="0" w:color="auto"/>
              <w:right w:val="single" w:sz="4" w:space="0" w:color="auto"/>
            </w:tcBorders>
            <w:shd w:val="clear" w:color="auto" w:fill="auto"/>
            <w:noWrap/>
            <w:vAlign w:val="center"/>
            <w:hideMark/>
          </w:tcPr>
          <w:p w:rsidR="001C2EAD" w:rsidRPr="005B6EB1" w:rsidP="00464625" w14:paraId="07F710E7" w14:textId="77777777">
            <w:pPr>
              <w:keepNext/>
              <w:keepLines/>
              <w:widowControl/>
              <w:autoSpaceDE/>
              <w:autoSpaceDN/>
              <w:adjustRightInd/>
              <w:ind w:left="247"/>
              <w:rPr>
                <w:sz w:val="22"/>
                <w:szCs w:val="22"/>
              </w:rPr>
            </w:pPr>
            <w:r w:rsidRPr="005B6EB1">
              <w:rPr>
                <w:sz w:val="22"/>
                <w:szCs w:val="22"/>
              </w:rPr>
              <w:t>Change due to Adjustment in Agency Estimate</w:t>
            </w:r>
          </w:p>
        </w:tc>
        <w:tc>
          <w:tcPr>
            <w:tcW w:w="1710" w:type="dxa"/>
            <w:tcBorders>
              <w:top w:val="single" w:sz="4" w:space="0" w:color="auto"/>
              <w:left w:val="nil"/>
              <w:bottom w:val="single" w:sz="18" w:space="0" w:color="auto"/>
              <w:right w:val="single" w:sz="4" w:space="0" w:color="auto"/>
            </w:tcBorders>
            <w:shd w:val="clear" w:color="auto" w:fill="auto"/>
            <w:noWrap/>
            <w:vAlign w:val="center"/>
          </w:tcPr>
          <w:p w:rsidR="001C2EAD" w:rsidRPr="005B6EB1" w:rsidP="00464625" w14:paraId="2C50181B" w14:textId="30C6D21A">
            <w:pPr>
              <w:keepNext/>
              <w:keepLines/>
              <w:widowControl/>
              <w:autoSpaceDE/>
              <w:autoSpaceDN/>
              <w:adjustRightInd/>
              <w:jc w:val="right"/>
              <w:rPr>
                <w:sz w:val="22"/>
                <w:szCs w:val="22"/>
              </w:rPr>
            </w:pPr>
            <w:r>
              <w:rPr>
                <w:sz w:val="22"/>
                <w:szCs w:val="22"/>
              </w:rPr>
              <w:t>112,722</w:t>
            </w:r>
          </w:p>
        </w:tc>
        <w:tc>
          <w:tcPr>
            <w:tcW w:w="1620" w:type="dxa"/>
            <w:tcBorders>
              <w:top w:val="single" w:sz="4" w:space="0" w:color="auto"/>
              <w:left w:val="nil"/>
              <w:bottom w:val="single" w:sz="18" w:space="0" w:color="auto"/>
              <w:right w:val="single" w:sz="4" w:space="0" w:color="auto"/>
            </w:tcBorders>
            <w:shd w:val="clear" w:color="auto" w:fill="auto"/>
            <w:noWrap/>
            <w:vAlign w:val="center"/>
          </w:tcPr>
          <w:p w:rsidR="001C2EAD" w:rsidRPr="005B6EB1" w:rsidP="00464625" w14:paraId="17B98167" w14:textId="2702558D">
            <w:pPr>
              <w:keepNext/>
              <w:keepLines/>
              <w:widowControl/>
              <w:autoSpaceDE/>
              <w:autoSpaceDN/>
              <w:adjustRightInd/>
              <w:jc w:val="right"/>
              <w:rPr>
                <w:sz w:val="22"/>
                <w:szCs w:val="22"/>
              </w:rPr>
            </w:pPr>
            <w:r w:rsidRPr="005B6EB1">
              <w:rPr>
                <w:sz w:val="22"/>
                <w:szCs w:val="22"/>
              </w:rPr>
              <w:t>13,023</w:t>
            </w:r>
          </w:p>
        </w:tc>
        <w:tc>
          <w:tcPr>
            <w:tcW w:w="1530" w:type="dxa"/>
            <w:tcBorders>
              <w:top w:val="single" w:sz="4" w:space="0" w:color="auto"/>
              <w:left w:val="nil"/>
              <w:bottom w:val="single" w:sz="18" w:space="0" w:color="auto"/>
              <w:right w:val="single" w:sz="2" w:space="0" w:color="auto"/>
            </w:tcBorders>
            <w:shd w:val="clear" w:color="auto" w:fill="auto"/>
            <w:noWrap/>
            <w:vAlign w:val="center"/>
            <w:hideMark/>
          </w:tcPr>
          <w:p w:rsidR="00736510" w:rsidRPr="005B6EB1" w:rsidP="00736510" w14:paraId="5DD6862D" w14:textId="1F98BCAB">
            <w:pPr>
              <w:widowControl/>
              <w:autoSpaceDE/>
              <w:autoSpaceDN/>
              <w:adjustRightInd/>
              <w:jc w:val="right"/>
              <w:rPr>
                <w:color w:val="000000"/>
                <w:sz w:val="22"/>
                <w:szCs w:val="22"/>
              </w:rPr>
            </w:pPr>
            <w:r w:rsidRPr="005B6EB1">
              <w:rPr>
                <w:color w:val="000000"/>
                <w:sz w:val="22"/>
                <w:szCs w:val="22"/>
              </w:rPr>
              <w:t>$</w:t>
            </w:r>
            <w:r w:rsidRPr="005B6EB1" w:rsidR="00722E8C">
              <w:rPr>
                <w:color w:val="000000"/>
                <w:sz w:val="22"/>
                <w:szCs w:val="22"/>
              </w:rPr>
              <w:t>1,310,480</w:t>
            </w:r>
          </w:p>
          <w:p w:rsidR="001C2EAD" w:rsidRPr="005B6EB1" w:rsidP="00464625" w14:paraId="42A60BBC" w14:textId="0992BFD8">
            <w:pPr>
              <w:keepNext/>
              <w:keepLines/>
              <w:widowControl/>
              <w:autoSpaceDE/>
              <w:autoSpaceDN/>
              <w:adjustRightInd/>
              <w:jc w:val="right"/>
              <w:rPr>
                <w:sz w:val="22"/>
                <w:szCs w:val="22"/>
              </w:rPr>
            </w:pPr>
          </w:p>
        </w:tc>
      </w:tr>
    </w:tbl>
    <w:p w:rsidR="00373407" w:rsidP="006A7AC4" w14:paraId="2C66E367" w14:textId="1B99159E">
      <w:pPr>
        <w:ind w:left="360"/>
        <w:rPr>
          <w:bCs/>
          <w:szCs w:val="24"/>
        </w:rPr>
      </w:pPr>
    </w:p>
    <w:p w:rsidR="00C52B98" w:rsidRPr="005B6EB1" w:rsidP="006A7AC4" w14:paraId="7F7EADD9" w14:textId="77777777">
      <w:pPr>
        <w:ind w:left="360"/>
        <w:rPr>
          <w:bCs/>
          <w:szCs w:val="24"/>
        </w:rPr>
      </w:pPr>
    </w:p>
    <w:p w:rsidR="001B772F" w:rsidRPr="005B6EB1" w:rsidP="001B772F" w14:paraId="28FFBD1F" w14:textId="77777777">
      <w:pPr>
        <w:tabs>
          <w:tab w:val="left" w:pos="360"/>
        </w:tabs>
      </w:pPr>
      <w:r w:rsidRPr="005B6EB1">
        <w:rPr>
          <w:b/>
          <w:bCs/>
        </w:rPr>
        <w:t>16.</w:t>
      </w:r>
      <w:r w:rsidRPr="005B6EB1">
        <w:rPr>
          <w:b/>
          <w:bCs/>
        </w:rPr>
        <w:tab/>
      </w:r>
      <w:r w:rsidRPr="005B6EB1" w:rsidR="00E24314">
        <w:rPr>
          <w:b/>
          <w:bCs/>
        </w:rPr>
        <w:t>PUBLICATION OF RESULTS OF DATA COLLECTION</w:t>
      </w:r>
      <w:r w:rsidRPr="005B6EB1" w:rsidR="00E24314">
        <w:rPr>
          <w:b/>
        </w:rPr>
        <w:br/>
      </w:r>
    </w:p>
    <w:p w:rsidR="00263B1F" w:rsidRPr="005B6EB1" w:rsidP="00263B1F" w14:paraId="4A85FFED" w14:textId="77777777">
      <w:pPr>
        <w:ind w:left="360"/>
      </w:pPr>
      <w:r>
        <w:t>T</w:t>
      </w:r>
      <w:r w:rsidRPr="005B6EB1">
        <w:t>he training provider's legal name</w:t>
      </w:r>
      <w:r>
        <w:t xml:space="preserve"> and</w:t>
      </w:r>
      <w:r w:rsidRPr="005B6EB1">
        <w:t xml:space="preserve"> location</w:t>
      </w:r>
      <w:r>
        <w:t xml:space="preserve"> will be publicly available in the TPR. If the training provider chooses, it may also make its</w:t>
      </w:r>
      <w:r w:rsidRPr="005B6EB1">
        <w:t xml:space="preserve"> phone number, website address, and the type of ELDT publicly available. </w:t>
      </w:r>
    </w:p>
    <w:p w:rsidR="009E2F2D" w:rsidRPr="005B6EB1" w:rsidP="001B772F" w14:paraId="08C5DFB6" w14:textId="77777777">
      <w:pPr>
        <w:ind w:left="360"/>
      </w:pPr>
    </w:p>
    <w:p w:rsidR="00185064" w:rsidRPr="005B6EB1" w:rsidP="00185064" w14:paraId="2A23FEFE" w14:textId="77777777">
      <w:pPr>
        <w:pStyle w:val="BodyText3"/>
        <w:tabs>
          <w:tab w:val="clear" w:pos="-1440"/>
          <w:tab w:val="clear" w:pos="-720"/>
          <w:tab w:val="clear" w:pos="0"/>
          <w:tab w:val="clear" w:pos="288"/>
          <w:tab w:val="left" w:pos="360"/>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hanging="360"/>
        <w:rPr>
          <w:bCs/>
          <w:color w:val="auto"/>
          <w:szCs w:val="20"/>
        </w:rPr>
      </w:pPr>
      <w:r w:rsidRPr="005B6EB1">
        <w:rPr>
          <w:b/>
          <w:bCs/>
          <w:color w:val="auto"/>
          <w:szCs w:val="20"/>
        </w:rPr>
        <w:t>17.</w:t>
      </w:r>
      <w:r w:rsidRPr="005B6EB1">
        <w:rPr>
          <w:b/>
          <w:bCs/>
          <w:color w:val="auto"/>
          <w:szCs w:val="20"/>
        </w:rPr>
        <w:tab/>
      </w:r>
      <w:r w:rsidRPr="005B6EB1" w:rsidR="00E24314">
        <w:rPr>
          <w:b/>
          <w:bCs/>
          <w:color w:val="auto"/>
          <w:szCs w:val="20"/>
        </w:rPr>
        <w:t>APPROVAL FOR NOT DISPLAYING THE EXPIRATION DATE OF OMB APPROVAL</w:t>
      </w:r>
      <w:r w:rsidRPr="005B6EB1" w:rsidR="00E24314">
        <w:rPr>
          <w:bCs/>
          <w:color w:val="auto"/>
          <w:szCs w:val="20"/>
          <w:u w:val="single"/>
        </w:rPr>
        <w:br/>
      </w:r>
    </w:p>
    <w:p w:rsidR="002D4BEF" w:rsidRPr="005B6EB1" w:rsidP="001B772F" w14:paraId="41FA20C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color w:val="auto"/>
          <w:szCs w:val="20"/>
        </w:rPr>
      </w:pPr>
      <w:r w:rsidRPr="005B6EB1">
        <w:rPr>
          <w:color w:val="auto"/>
        </w:rPr>
        <w:t>Not applicable.</w:t>
      </w:r>
      <w:r w:rsidRPr="005B6EB1">
        <w:rPr>
          <w:color w:val="auto"/>
          <w:szCs w:val="20"/>
        </w:rPr>
        <w:t xml:space="preserve"> </w:t>
      </w:r>
    </w:p>
    <w:p w:rsidR="00E24314" w:rsidRPr="005B6EB1" w:rsidP="009E2F2D" w14:paraId="33C754B8" w14:textId="77777777">
      <w:pPr>
        <w:rPr>
          <w:bCs/>
          <w:szCs w:val="24"/>
          <w:u w:val="single"/>
        </w:rPr>
      </w:pPr>
    </w:p>
    <w:p w:rsidR="00185064" w:rsidRPr="005B6EB1" w:rsidP="00185064" w14:paraId="0109F110" w14:textId="77777777">
      <w:pPr>
        <w:tabs>
          <w:tab w:val="left" w:pos="360"/>
        </w:tabs>
        <w:rPr>
          <w:szCs w:val="24"/>
        </w:rPr>
      </w:pPr>
      <w:r w:rsidRPr="005B6EB1">
        <w:rPr>
          <w:b/>
          <w:bCs/>
          <w:szCs w:val="24"/>
        </w:rPr>
        <w:t>18.</w:t>
      </w:r>
      <w:r w:rsidRPr="005B6EB1">
        <w:rPr>
          <w:b/>
          <w:bCs/>
          <w:szCs w:val="24"/>
        </w:rPr>
        <w:tab/>
      </w:r>
      <w:r w:rsidRPr="005B6EB1" w:rsidR="00E24314">
        <w:rPr>
          <w:b/>
          <w:bCs/>
          <w:szCs w:val="24"/>
        </w:rPr>
        <w:t>EXCEPTIONS TO CERTIFICATION STATEMENT</w:t>
      </w:r>
      <w:r w:rsidRPr="005B6EB1" w:rsidR="00E24314">
        <w:rPr>
          <w:b/>
          <w:bCs/>
        </w:rPr>
        <w:br/>
      </w:r>
    </w:p>
    <w:p w:rsidR="0049288A" w:rsidRPr="005B6EB1" w:rsidP="0049288A" w14:paraId="75719A99" w14:textId="77777777">
      <w:pPr>
        <w:ind w:left="360"/>
        <w:rPr>
          <w:szCs w:val="24"/>
        </w:rPr>
      </w:pPr>
      <w:r w:rsidRPr="005B6EB1">
        <w:rPr>
          <w:szCs w:val="24"/>
        </w:rPr>
        <w:t>There are no exceptions to the certification statement.</w:t>
      </w:r>
    </w:p>
    <w:p w:rsidR="0049288A" w:rsidRPr="005B6EB1" w:rsidP="0049288A" w14:paraId="2244CABC" w14:textId="77777777">
      <w:pPr>
        <w:ind w:left="360"/>
        <w:jc w:val="center"/>
        <w:rPr>
          <w:b/>
        </w:rPr>
      </w:pPr>
      <w:r w:rsidRPr="005B6EB1">
        <w:rPr>
          <w:szCs w:val="24"/>
        </w:rPr>
        <w:br w:type="page"/>
      </w:r>
      <w:r w:rsidRPr="005B6EB1">
        <w:rPr>
          <w:b/>
        </w:rPr>
        <w:t>ATTACHMENTS</w:t>
      </w:r>
    </w:p>
    <w:p w:rsidR="0049288A" w:rsidRPr="005B6EB1" w:rsidP="0049288A" w14:paraId="44224392" w14:textId="77777777">
      <w:pPr>
        <w:widowControl/>
        <w:rPr>
          <w:szCs w:val="24"/>
        </w:rPr>
      </w:pPr>
    </w:p>
    <w:p w:rsidR="0085687D" w:rsidRPr="005B6EB1" w:rsidP="0049288A" w14:paraId="7187177F" w14:textId="46577013">
      <w:pPr>
        <w:widowControl/>
        <w:numPr>
          <w:ilvl w:val="0"/>
          <w:numId w:val="37"/>
        </w:numPr>
        <w:autoSpaceDE/>
        <w:autoSpaceDN/>
        <w:adjustRightInd/>
      </w:pPr>
      <w:r w:rsidRPr="005B6EB1">
        <w:t xml:space="preserve">49 CFR Part 380. </w:t>
      </w:r>
      <w:r w:rsidRPr="005B6EB1" w:rsidR="009071D9">
        <w:t>“</w:t>
      </w:r>
      <w:r w:rsidRPr="005B6EB1">
        <w:t>Special Training Requirements.</w:t>
      </w:r>
      <w:r w:rsidRPr="005B6EB1" w:rsidR="009071D9">
        <w:t>”</w:t>
      </w:r>
    </w:p>
    <w:p w:rsidR="00171B93" w:rsidRPr="005B6EB1" w:rsidP="00171B93" w14:paraId="5399BC12" w14:textId="75E98B73">
      <w:pPr>
        <w:widowControl/>
        <w:numPr>
          <w:ilvl w:val="0"/>
          <w:numId w:val="37"/>
        </w:numPr>
        <w:autoSpaceDE/>
        <w:autoSpaceDN/>
        <w:adjustRightInd/>
      </w:pPr>
      <w:r w:rsidRPr="005B6EB1">
        <w:t xml:space="preserve">Moving Ahead for Progress in the 21st Century Act (MAP–21). Pub. L. 112–141, 126 Stat. 405, 791. </w:t>
      </w:r>
      <w:r w:rsidRPr="005B6EB1" w:rsidR="009071D9">
        <w:t>July 6, 2012.</w:t>
      </w:r>
    </w:p>
    <w:p w:rsidR="005B6EB1" w:rsidRPr="005B6EB1" w:rsidP="005B6EB1" w14:paraId="24ED6EE1" w14:textId="7DE65863">
      <w:pPr>
        <w:widowControl/>
        <w:numPr>
          <w:ilvl w:val="0"/>
          <w:numId w:val="37"/>
        </w:numPr>
        <w:autoSpaceDE/>
        <w:autoSpaceDN/>
        <w:adjustRightInd/>
      </w:pPr>
      <w:r w:rsidRPr="005B6EB1">
        <w:t>Training Provider Registration information collection questions</w:t>
      </w:r>
    </w:p>
    <w:p w:rsidR="005B6EB1" w:rsidRPr="005B6EB1" w:rsidP="005B6EB1" w14:paraId="1B97ADA6" w14:textId="04315999">
      <w:pPr>
        <w:widowControl/>
        <w:numPr>
          <w:ilvl w:val="0"/>
          <w:numId w:val="37"/>
        </w:numPr>
        <w:autoSpaceDE/>
        <w:autoSpaceDN/>
        <w:adjustRightInd/>
      </w:pPr>
      <w:r w:rsidRPr="005B6EB1">
        <w:t>Driver Training Certification questions</w:t>
      </w:r>
    </w:p>
    <w:p w:rsidR="00171B93" w:rsidRPr="005B6EB1" w:rsidP="00171B93" w14:paraId="18070001" w14:textId="77777777">
      <w:pPr>
        <w:widowControl/>
        <w:numPr>
          <w:ilvl w:val="0"/>
          <w:numId w:val="37"/>
        </w:numPr>
        <w:autoSpaceDE/>
        <w:autoSpaceDN/>
        <w:adjustRightInd/>
      </w:pPr>
      <w:r w:rsidRPr="005B6EB1">
        <w:t>Government Paperwork Elimination Act (GPEA). Pub. L. 105-277, Title XVII. October 21, 1998.</w:t>
      </w:r>
    </w:p>
    <w:p w:rsidR="00445C33" w:rsidRPr="005B6EB1" w:rsidP="00171B93" w14:paraId="5F97EDEB" w14:textId="77777777">
      <w:pPr>
        <w:widowControl/>
        <w:numPr>
          <w:ilvl w:val="0"/>
          <w:numId w:val="37"/>
        </w:numPr>
        <w:autoSpaceDE/>
        <w:autoSpaceDN/>
        <w:adjustRightInd/>
      </w:pPr>
      <w:r w:rsidRPr="005B6EB1">
        <w:t>60-day Federal Register Notice.</w:t>
      </w:r>
    </w:p>
    <w:p w:rsidR="00445C33" w:rsidRPr="005B6EB1" w:rsidP="00171B93" w14:paraId="628F3C1E" w14:textId="77777777">
      <w:pPr>
        <w:widowControl/>
        <w:numPr>
          <w:ilvl w:val="0"/>
          <w:numId w:val="37"/>
        </w:numPr>
        <w:autoSpaceDE/>
        <w:autoSpaceDN/>
        <w:adjustRightInd/>
      </w:pPr>
      <w:r w:rsidRPr="005B6EB1">
        <w:t>30-day Federal Register Notice.</w:t>
      </w:r>
    </w:p>
    <w:p w:rsidR="0049288A" w:rsidRPr="005B6EB1" w:rsidP="0049288A" w14:paraId="2C022C62" w14:textId="19B3BA41">
      <w:pPr>
        <w:widowControl/>
        <w:numPr>
          <w:ilvl w:val="0"/>
          <w:numId w:val="37"/>
        </w:numPr>
        <w:autoSpaceDE/>
        <w:autoSpaceDN/>
        <w:adjustRightInd/>
      </w:pPr>
      <w:r w:rsidRPr="005B6EB1">
        <w:t>Privacy Act of 1974</w:t>
      </w:r>
      <w:r w:rsidRPr="005B6EB1" w:rsidR="00171B93">
        <w:t xml:space="preserve">. </w:t>
      </w:r>
      <w:r w:rsidRPr="005B6EB1">
        <w:t>5 U.S.C. § 552a, Pub. L. 93-579, 88 Stat. 1897</w:t>
      </w:r>
      <w:r w:rsidRPr="005B6EB1" w:rsidR="00171B93">
        <w:t xml:space="preserve">. </w:t>
      </w:r>
      <w:r w:rsidRPr="005B6EB1">
        <w:t xml:space="preserve">December </w:t>
      </w:r>
      <w:r w:rsidRPr="005B6EB1" w:rsidR="00171B93">
        <w:t>31, 1974</w:t>
      </w:r>
      <w:r w:rsidRPr="005B6EB1">
        <w:t>.</w:t>
      </w:r>
    </w:p>
    <w:p w:rsidR="0049288A" w:rsidRPr="005B6EB1" w:rsidP="0049288A" w14:paraId="6A6D6B23" w14:textId="77777777">
      <w:pPr>
        <w:pStyle w:val="MC-PREAcronymList"/>
        <w:tabs>
          <w:tab w:val="left" w:pos="1620"/>
        </w:tabs>
        <w:spacing w:after="0"/>
      </w:pPr>
    </w:p>
    <w:p w:rsidR="0049288A" w:rsidRPr="005B6EB1" w:rsidP="0049288A" w14:paraId="02B41F1F" w14:textId="77777777">
      <w:pPr>
        <w:pStyle w:val="MC-PREAcronymList"/>
        <w:tabs>
          <w:tab w:val="left" w:pos="1620"/>
        </w:tabs>
        <w:spacing w:after="0"/>
      </w:pPr>
    </w:p>
    <w:p w:rsidR="00171B93" w:rsidRPr="005B6EB1" w:rsidP="00171B93" w14:paraId="531A8FF9" w14:textId="77777777">
      <w:pPr>
        <w:widowControl/>
      </w:pPr>
    </w:p>
    <w:p w:rsidR="007C2AE1" w:rsidRPr="005B6EB1" w:rsidP="009670AA" w14:paraId="3D1227A4" w14:textId="77777777">
      <w:pPr>
        <w:pStyle w:val="NormalWeb"/>
        <w:spacing w:before="0" w:beforeAutospacing="0" w:after="0" w:afterAutospacing="0"/>
      </w:pPr>
    </w:p>
    <w:p w:rsidR="001B772F" w:rsidRPr="005B6EB1" w:rsidP="001B772F" w14:paraId="7C87836F" w14:textId="77777777">
      <w:pPr>
        <w:pStyle w:val="Title"/>
        <w:widowControl/>
        <w:outlineLvl w:val="0"/>
      </w:pPr>
      <w:r w:rsidRPr="005B6EB1">
        <w:br w:type="page"/>
      </w:r>
      <w:r w:rsidRPr="005B6EB1">
        <w:t>ACRONYMS LIST</w:t>
      </w:r>
    </w:p>
    <w:p w:rsidR="001B772F" w:rsidRPr="005B6EB1" w:rsidP="001B772F" w14:paraId="75CA36C0" w14:textId="77777777">
      <w:pPr>
        <w:widowControl/>
        <w:rPr>
          <w:szCs w:val="24"/>
        </w:rPr>
      </w:pPr>
    </w:p>
    <w:p w:rsidR="001B772F" w:rsidRPr="005B6EB1" w:rsidP="00872707" w14:paraId="69A366A6" w14:textId="77777777">
      <w:pPr>
        <w:pStyle w:val="MC-PREAcronymList"/>
        <w:tabs>
          <w:tab w:val="left" w:pos="1620"/>
        </w:tabs>
        <w:spacing w:after="0" w:line="264" w:lineRule="auto"/>
      </w:pPr>
      <w:bookmarkStart w:id="5" w:name="_Toc356932241"/>
      <w:bookmarkStart w:id="6" w:name="_Toc404688747"/>
      <w:r w:rsidRPr="005B6EB1">
        <w:t>BLS</w:t>
      </w:r>
      <w:r w:rsidRPr="005B6EB1">
        <w:tab/>
        <w:t>Bureau of Labor Statistics</w:t>
      </w:r>
    </w:p>
    <w:p w:rsidR="0095685C" w:rsidRPr="005B6EB1" w:rsidP="00872707" w14:paraId="3CA5D4BB" w14:textId="77777777">
      <w:pPr>
        <w:pStyle w:val="MC-PREAcronymList"/>
        <w:tabs>
          <w:tab w:val="left" w:pos="1620"/>
        </w:tabs>
        <w:spacing w:after="0" w:line="264" w:lineRule="auto"/>
      </w:pPr>
      <w:r w:rsidRPr="005B6EB1">
        <w:t>BTW</w:t>
      </w:r>
      <w:r w:rsidRPr="005B6EB1">
        <w:tab/>
        <w:t>Behind-the-Wheel</w:t>
      </w:r>
    </w:p>
    <w:p w:rsidR="0095685C" w:rsidRPr="005B6EB1" w:rsidP="00872707" w14:paraId="40DEEF63" w14:textId="77777777">
      <w:pPr>
        <w:pStyle w:val="MC-PREAcronymList"/>
        <w:tabs>
          <w:tab w:val="left" w:pos="1620"/>
        </w:tabs>
        <w:spacing w:after="0" w:line="264" w:lineRule="auto"/>
      </w:pPr>
      <w:r w:rsidRPr="005B6EB1">
        <w:t>CDL</w:t>
      </w:r>
      <w:r w:rsidRPr="005B6EB1">
        <w:tab/>
        <w:t>Commercial Driver’s License</w:t>
      </w:r>
    </w:p>
    <w:p w:rsidR="001B772F" w:rsidRPr="005B6EB1" w:rsidP="00872707" w14:paraId="4392808E" w14:textId="77777777">
      <w:pPr>
        <w:pStyle w:val="MC-PREAcronymList"/>
        <w:tabs>
          <w:tab w:val="left" w:pos="1620"/>
        </w:tabs>
        <w:spacing w:after="0" w:line="264" w:lineRule="auto"/>
      </w:pPr>
      <w:r w:rsidRPr="005B6EB1">
        <w:t>CFR</w:t>
      </w:r>
      <w:r w:rsidRPr="005B6EB1">
        <w:tab/>
        <w:t>Code of Federal Regulations</w:t>
      </w:r>
    </w:p>
    <w:p w:rsidR="00943304" w:rsidRPr="005B6EB1" w:rsidP="00872707" w14:paraId="665AAE63" w14:textId="77777777">
      <w:pPr>
        <w:pStyle w:val="MC-PREAcronymList"/>
        <w:tabs>
          <w:tab w:val="left" w:pos="1620"/>
        </w:tabs>
        <w:spacing w:after="0" w:line="264" w:lineRule="auto"/>
      </w:pPr>
      <w:r w:rsidRPr="005B6EB1">
        <w:t>CLP</w:t>
      </w:r>
      <w:r w:rsidRPr="005B6EB1">
        <w:tab/>
        <w:t>Commercial Learner’s Permit</w:t>
      </w:r>
    </w:p>
    <w:p w:rsidR="001B772F" w:rsidRPr="005B6EB1" w:rsidP="00872707" w14:paraId="3FE0EDE5" w14:textId="77777777">
      <w:pPr>
        <w:pStyle w:val="MC-PREAcronymList"/>
        <w:tabs>
          <w:tab w:val="left" w:pos="1620"/>
        </w:tabs>
        <w:spacing w:after="0" w:line="264" w:lineRule="auto"/>
      </w:pPr>
      <w:r w:rsidRPr="005B6EB1">
        <w:t>CMV</w:t>
      </w:r>
      <w:r w:rsidRPr="005B6EB1">
        <w:tab/>
        <w:t>Commercial Motor Vehicle</w:t>
      </w:r>
    </w:p>
    <w:p w:rsidR="0060755C" w:rsidRPr="005B6EB1" w:rsidP="00872707" w14:paraId="244523F2" w14:textId="0B8C214E">
      <w:pPr>
        <w:pStyle w:val="MC-PREAcronymList"/>
        <w:tabs>
          <w:tab w:val="left" w:pos="1620"/>
        </w:tabs>
        <w:spacing w:after="0" w:line="264" w:lineRule="auto"/>
      </w:pPr>
      <w:r w:rsidRPr="005B6EB1">
        <w:t>CVTA</w:t>
      </w:r>
      <w:r w:rsidRPr="005B6EB1">
        <w:tab/>
        <w:t>Commercial Vehicle Training Association</w:t>
      </w:r>
    </w:p>
    <w:p w:rsidR="001B772F" w:rsidRPr="005B6EB1" w:rsidP="00872707" w14:paraId="3313538B" w14:textId="0FA767C8">
      <w:pPr>
        <w:pStyle w:val="MC-PREAcronymList"/>
        <w:tabs>
          <w:tab w:val="left" w:pos="1620"/>
        </w:tabs>
        <w:spacing w:after="0" w:line="264" w:lineRule="auto"/>
      </w:pPr>
      <w:r w:rsidRPr="005B6EB1">
        <w:t>DOL</w:t>
      </w:r>
      <w:r w:rsidRPr="005B6EB1">
        <w:tab/>
        <w:t>Department of Labor</w:t>
      </w:r>
    </w:p>
    <w:p w:rsidR="001B772F" w:rsidRPr="005B6EB1" w:rsidP="00872707" w14:paraId="0778BDD0" w14:textId="77777777">
      <w:pPr>
        <w:pStyle w:val="MC-PREAcronymList"/>
        <w:tabs>
          <w:tab w:val="left" w:pos="1620"/>
        </w:tabs>
        <w:spacing w:after="0" w:line="264" w:lineRule="auto"/>
      </w:pPr>
      <w:r w:rsidRPr="005B6EB1">
        <w:t>DOT</w:t>
      </w:r>
      <w:r w:rsidRPr="005B6EB1">
        <w:tab/>
        <w:t>Department of Transportation</w:t>
      </w:r>
    </w:p>
    <w:p w:rsidR="001B772F" w:rsidRPr="005B6EB1" w:rsidP="00872707" w14:paraId="3E167E86" w14:textId="77777777">
      <w:pPr>
        <w:pStyle w:val="MC-PREAcronymList"/>
        <w:tabs>
          <w:tab w:val="left" w:pos="1620"/>
        </w:tabs>
        <w:spacing w:after="0" w:line="264" w:lineRule="auto"/>
      </w:pPr>
      <w:r w:rsidRPr="005B6EB1">
        <w:t>ECEC</w:t>
      </w:r>
      <w:r w:rsidRPr="005B6EB1">
        <w:tab/>
        <w:t>Employer Costs for Employee Compensation</w:t>
      </w:r>
    </w:p>
    <w:p w:rsidR="009C0A86" w:rsidRPr="005B6EB1" w:rsidP="00872707" w14:paraId="0000A9BC" w14:textId="77777777">
      <w:pPr>
        <w:pStyle w:val="MC-PREAcronymList"/>
        <w:tabs>
          <w:tab w:val="left" w:pos="1620"/>
        </w:tabs>
        <w:spacing w:after="0" w:line="264" w:lineRule="auto"/>
      </w:pPr>
      <w:r w:rsidRPr="005B6EB1">
        <w:t>ELDT</w:t>
      </w:r>
      <w:r w:rsidRPr="005B6EB1">
        <w:tab/>
        <w:t>Entry-Level Driver Training</w:t>
      </w:r>
    </w:p>
    <w:p w:rsidR="009C0A86" w:rsidRPr="005B6EB1" w:rsidP="00872707" w14:paraId="347C369D" w14:textId="77777777">
      <w:pPr>
        <w:pStyle w:val="MC-PREAcronymList"/>
        <w:tabs>
          <w:tab w:val="left" w:pos="1620"/>
        </w:tabs>
        <w:spacing w:after="0" w:line="264" w:lineRule="auto"/>
      </w:pPr>
      <w:r w:rsidRPr="005B6EB1">
        <w:t>ELDTAC</w:t>
      </w:r>
      <w:r w:rsidRPr="005B6EB1">
        <w:tab/>
        <w:t>Entry-Level Driver Training Advisory Committee</w:t>
      </w:r>
    </w:p>
    <w:p w:rsidR="009C4742" w:rsidRPr="005B6EB1" w:rsidP="00872707" w14:paraId="69034A9B" w14:textId="41CF1482">
      <w:pPr>
        <w:pStyle w:val="MC-PREAcronymList"/>
        <w:tabs>
          <w:tab w:val="left" w:pos="1620"/>
        </w:tabs>
        <w:spacing w:after="0" w:line="264" w:lineRule="auto"/>
      </w:pPr>
      <w:r w:rsidRPr="005B6EB1">
        <w:t>FHWA</w:t>
      </w:r>
      <w:r w:rsidRPr="005B6EB1">
        <w:tab/>
        <w:t>Federal Highway Administration</w:t>
      </w:r>
    </w:p>
    <w:p w:rsidR="004054A4" w:rsidRPr="005B6EB1" w:rsidP="00872707" w14:paraId="1C47EA0C" w14:textId="3DF4879C">
      <w:pPr>
        <w:pStyle w:val="MC-PREAcronymList"/>
        <w:tabs>
          <w:tab w:val="left" w:pos="1620"/>
        </w:tabs>
        <w:spacing w:after="0" w:line="264" w:lineRule="auto"/>
      </w:pPr>
      <w:r w:rsidRPr="005B6EB1">
        <w:t>FIPPs</w:t>
      </w:r>
      <w:r w:rsidRPr="005B6EB1">
        <w:tab/>
        <w:t>Fair Information Practice Principles</w:t>
      </w:r>
    </w:p>
    <w:p w:rsidR="001B772F" w:rsidRPr="005B6EB1" w:rsidP="00872707" w14:paraId="0DEA9ACA" w14:textId="77777777">
      <w:pPr>
        <w:pStyle w:val="MC-PREAcronymList"/>
        <w:tabs>
          <w:tab w:val="left" w:pos="1620"/>
        </w:tabs>
        <w:spacing w:after="0" w:line="264" w:lineRule="auto"/>
      </w:pPr>
      <w:r w:rsidRPr="005B6EB1">
        <w:t>FMCSA</w:t>
      </w:r>
      <w:r w:rsidRPr="005B6EB1">
        <w:tab/>
        <w:t>Federal Motor Carrier Safety Administration</w:t>
      </w:r>
    </w:p>
    <w:p w:rsidR="001B772F" w:rsidRPr="005B6EB1" w:rsidP="00872707" w14:paraId="7C40F558" w14:textId="77777777">
      <w:pPr>
        <w:pStyle w:val="MC-PREAcronymList"/>
        <w:tabs>
          <w:tab w:val="left" w:pos="1620"/>
        </w:tabs>
        <w:spacing w:after="0" w:line="264" w:lineRule="auto"/>
      </w:pPr>
      <w:r w:rsidRPr="005B6EB1">
        <w:t>FR</w:t>
      </w:r>
      <w:r w:rsidRPr="005B6EB1">
        <w:tab/>
        <w:t>Federal Register</w:t>
      </w:r>
    </w:p>
    <w:p w:rsidR="00EA6AD5" w:rsidRPr="005B6EB1" w:rsidP="00872707" w14:paraId="6311397C" w14:textId="77777777">
      <w:pPr>
        <w:pStyle w:val="MC-PREAcronymList"/>
        <w:tabs>
          <w:tab w:val="left" w:pos="1620"/>
        </w:tabs>
        <w:spacing w:after="0" w:line="264" w:lineRule="auto"/>
      </w:pPr>
      <w:r w:rsidRPr="005B6EB1">
        <w:t>GPEA</w:t>
      </w:r>
      <w:r w:rsidRPr="005B6EB1">
        <w:tab/>
        <w:t>Government Paperwork Elimination Act</w:t>
      </w:r>
    </w:p>
    <w:p w:rsidR="001B772F" w:rsidRPr="005B6EB1" w:rsidP="00872707" w14:paraId="26D74874" w14:textId="77777777">
      <w:pPr>
        <w:pStyle w:val="MC-PREAcronymList"/>
        <w:tabs>
          <w:tab w:val="left" w:pos="1620"/>
        </w:tabs>
        <w:spacing w:after="0" w:line="264" w:lineRule="auto"/>
      </w:pPr>
      <w:r w:rsidRPr="005B6EB1">
        <w:t>GSA</w:t>
      </w:r>
      <w:r w:rsidRPr="005B6EB1">
        <w:tab/>
        <w:t>General Services Administration</w:t>
      </w:r>
    </w:p>
    <w:p w:rsidR="001B772F" w:rsidRPr="005B6EB1" w:rsidP="00872707" w14:paraId="2C034E07" w14:textId="77777777">
      <w:pPr>
        <w:pStyle w:val="MC-PREAcronymList"/>
        <w:tabs>
          <w:tab w:val="left" w:pos="1620"/>
        </w:tabs>
        <w:spacing w:after="0" w:line="264" w:lineRule="auto"/>
      </w:pPr>
      <w:r w:rsidRPr="005B6EB1">
        <w:t>IC</w:t>
      </w:r>
      <w:r w:rsidRPr="005B6EB1">
        <w:tab/>
        <w:t>Information Collection</w:t>
      </w:r>
    </w:p>
    <w:p w:rsidR="001B772F" w:rsidRPr="005B6EB1" w:rsidP="00872707" w14:paraId="15D52BC0" w14:textId="77777777">
      <w:pPr>
        <w:pStyle w:val="MC-PREAcronymList"/>
        <w:tabs>
          <w:tab w:val="left" w:pos="1620"/>
        </w:tabs>
        <w:spacing w:after="0" w:line="264" w:lineRule="auto"/>
      </w:pPr>
      <w:r w:rsidRPr="005B6EB1">
        <w:t>ICR</w:t>
      </w:r>
      <w:r w:rsidRPr="005B6EB1">
        <w:tab/>
        <w:t>Information Collection Request</w:t>
      </w:r>
    </w:p>
    <w:p w:rsidR="005E4FAE" w:rsidRPr="005B6EB1" w:rsidP="00872707" w14:paraId="2890A486" w14:textId="7089247D">
      <w:pPr>
        <w:pStyle w:val="MC-PREAcronymList"/>
        <w:tabs>
          <w:tab w:val="left" w:pos="1620"/>
        </w:tabs>
        <w:spacing w:after="0" w:line="264" w:lineRule="auto"/>
      </w:pPr>
      <w:r w:rsidRPr="005B6EB1">
        <w:t>IFR</w:t>
      </w:r>
      <w:r w:rsidRPr="005B6EB1">
        <w:tab/>
        <w:t>Interim Final Rule</w:t>
      </w:r>
    </w:p>
    <w:p w:rsidR="009C4742" w:rsidRPr="005B6EB1" w:rsidP="00872707" w14:paraId="37F9AAD2" w14:textId="04193E2E">
      <w:pPr>
        <w:pStyle w:val="MC-PREAcronymList"/>
        <w:tabs>
          <w:tab w:val="left" w:pos="1620"/>
        </w:tabs>
        <w:spacing w:after="0" w:line="264" w:lineRule="auto"/>
      </w:pPr>
      <w:r w:rsidRPr="005B6EB1">
        <w:t>ISTEA</w:t>
      </w:r>
      <w:r w:rsidRPr="005B6EB1">
        <w:tab/>
        <w:t>Intermodal Surface Transportation Efficiency Act of 1991</w:t>
      </w:r>
    </w:p>
    <w:p w:rsidR="0095685C" w:rsidRPr="005B6EB1" w:rsidP="00872707" w14:paraId="2DFC29FC" w14:textId="743F35A3">
      <w:pPr>
        <w:pStyle w:val="MC-PREAcronymList"/>
        <w:tabs>
          <w:tab w:val="left" w:pos="1620"/>
        </w:tabs>
        <w:spacing w:after="0" w:line="264" w:lineRule="auto"/>
      </w:pPr>
      <w:r w:rsidRPr="005B6EB1">
        <w:t>MAP-21</w:t>
      </w:r>
      <w:r w:rsidRPr="005B6EB1">
        <w:tab/>
      </w:r>
      <w:r w:rsidRPr="005B6EB1" w:rsidR="00943304">
        <w:t>Moving Ahead for Progress in the 21</w:t>
      </w:r>
      <w:r w:rsidRPr="005B6EB1" w:rsidR="00943304">
        <w:rPr>
          <w:vertAlign w:val="superscript"/>
        </w:rPr>
        <w:t>st</w:t>
      </w:r>
      <w:r w:rsidRPr="005B6EB1" w:rsidR="00943304">
        <w:t xml:space="preserve"> Century Act</w:t>
      </w:r>
    </w:p>
    <w:p w:rsidR="004D7D64" w:rsidRPr="005B6EB1" w:rsidP="00872707" w14:paraId="3DE37C18" w14:textId="77777777">
      <w:pPr>
        <w:pStyle w:val="MC-PREAcronymList"/>
        <w:tabs>
          <w:tab w:val="left" w:pos="1620"/>
        </w:tabs>
        <w:spacing w:after="0" w:line="264" w:lineRule="auto"/>
      </w:pPr>
      <w:r w:rsidRPr="005B6EB1">
        <w:t>NOA</w:t>
      </w:r>
      <w:r w:rsidRPr="005B6EB1">
        <w:tab/>
        <w:t>Notice of Action</w:t>
      </w:r>
    </w:p>
    <w:p w:rsidR="001B772F" w:rsidRPr="005B6EB1" w:rsidP="00872707" w14:paraId="5B1C6C80" w14:textId="77777777">
      <w:pPr>
        <w:pStyle w:val="MC-PREAcronymList"/>
        <w:tabs>
          <w:tab w:val="left" w:pos="1620"/>
        </w:tabs>
        <w:spacing w:after="0" w:line="264" w:lineRule="auto"/>
      </w:pPr>
      <w:r w:rsidRPr="005B6EB1">
        <w:t>NPRM</w:t>
      </w:r>
      <w:r w:rsidRPr="005B6EB1">
        <w:tab/>
        <w:t>Notice of Proposed Rulemaking</w:t>
      </w:r>
    </w:p>
    <w:p w:rsidR="001B772F" w:rsidRPr="005B6EB1" w:rsidP="00872707" w14:paraId="6C7B44C9" w14:textId="77777777">
      <w:pPr>
        <w:pStyle w:val="MC-PREAcronymList"/>
        <w:tabs>
          <w:tab w:val="left" w:pos="1620"/>
        </w:tabs>
        <w:spacing w:after="0" w:line="264" w:lineRule="auto"/>
      </w:pPr>
      <w:r w:rsidRPr="005B6EB1">
        <w:t>OES</w:t>
      </w:r>
      <w:r w:rsidRPr="005B6EB1">
        <w:tab/>
        <w:t>Occupational Employment Statistics</w:t>
      </w:r>
    </w:p>
    <w:p w:rsidR="001B772F" w:rsidRPr="005B6EB1" w:rsidP="00872707" w14:paraId="500ACE80" w14:textId="77777777">
      <w:pPr>
        <w:pStyle w:val="MC-PREAcronymList"/>
        <w:tabs>
          <w:tab w:val="left" w:pos="1620"/>
        </w:tabs>
        <w:spacing w:after="0" w:line="264" w:lineRule="auto"/>
      </w:pPr>
      <w:r w:rsidRPr="005B6EB1">
        <w:t>OIRA</w:t>
      </w:r>
      <w:r w:rsidRPr="005B6EB1">
        <w:tab/>
        <w:t>Office of Information and Regulatory Affairs</w:t>
      </w:r>
    </w:p>
    <w:p w:rsidR="001B772F" w:rsidRPr="005B6EB1" w:rsidP="00872707" w14:paraId="49A0EB87" w14:textId="77777777">
      <w:pPr>
        <w:pStyle w:val="MC-PREAcronymList"/>
        <w:tabs>
          <w:tab w:val="left" w:pos="1620"/>
        </w:tabs>
        <w:spacing w:after="0" w:line="264" w:lineRule="auto"/>
      </w:pPr>
      <w:r w:rsidRPr="005B6EB1">
        <w:t>OMB</w:t>
      </w:r>
      <w:r w:rsidRPr="005B6EB1">
        <w:tab/>
        <w:t>Office of Management and Budget</w:t>
      </w:r>
    </w:p>
    <w:p w:rsidR="00FF7E7E" w:rsidRPr="005B6EB1" w:rsidP="00872707" w14:paraId="3D786A84" w14:textId="77777777">
      <w:pPr>
        <w:pStyle w:val="MC-PREAcronymList"/>
        <w:tabs>
          <w:tab w:val="left" w:pos="1620"/>
        </w:tabs>
        <w:spacing w:after="0" w:line="264" w:lineRule="auto"/>
      </w:pPr>
      <w:r w:rsidRPr="005B6EB1">
        <w:t>PIA</w:t>
      </w:r>
      <w:r w:rsidRPr="005B6EB1">
        <w:tab/>
        <w:t>Privacy Impact Assessment</w:t>
      </w:r>
    </w:p>
    <w:p w:rsidR="00FF7E7E" w:rsidRPr="005B6EB1" w:rsidP="00872707" w14:paraId="4F9B26F0" w14:textId="77777777">
      <w:pPr>
        <w:pStyle w:val="MC-PREAcronymList"/>
        <w:tabs>
          <w:tab w:val="left" w:pos="1620"/>
        </w:tabs>
        <w:spacing w:after="0" w:line="264" w:lineRule="auto"/>
      </w:pPr>
      <w:r w:rsidRPr="005B6EB1">
        <w:t>PII</w:t>
      </w:r>
      <w:r w:rsidRPr="005B6EB1">
        <w:tab/>
      </w:r>
      <w:r w:rsidRPr="005B6EB1">
        <w:rPr>
          <w:bCs/>
        </w:rPr>
        <w:t>Personally Identifiable Information</w:t>
      </w:r>
    </w:p>
    <w:p w:rsidR="001B772F" w:rsidRPr="005B6EB1" w:rsidP="00872707" w14:paraId="0E31AEFD" w14:textId="77777777">
      <w:pPr>
        <w:pStyle w:val="MC-PREAcronymList"/>
        <w:tabs>
          <w:tab w:val="left" w:pos="1620"/>
        </w:tabs>
        <w:spacing w:after="0" w:line="264" w:lineRule="auto"/>
      </w:pPr>
      <w:r w:rsidRPr="005B6EB1">
        <w:t>PRA</w:t>
      </w:r>
      <w:r w:rsidRPr="005B6EB1">
        <w:tab/>
        <w:t>Paperwork Reduction Act</w:t>
      </w:r>
    </w:p>
    <w:p w:rsidR="00F25229" w:rsidRPr="005B6EB1" w:rsidP="00872707" w14:paraId="2312E5AC" w14:textId="77777777">
      <w:pPr>
        <w:pStyle w:val="MC-PREAcronymList"/>
        <w:tabs>
          <w:tab w:val="left" w:pos="1620"/>
        </w:tabs>
        <w:spacing w:after="0" w:line="264" w:lineRule="auto"/>
      </w:pPr>
      <w:r w:rsidRPr="005B6EB1">
        <w:t>RIN</w:t>
      </w:r>
      <w:r w:rsidRPr="005B6EB1">
        <w:tab/>
        <w:t>Regulation Identifier Number</w:t>
      </w:r>
    </w:p>
    <w:p w:rsidR="001B772F" w:rsidRPr="005B6EB1" w:rsidP="00872707" w14:paraId="2701AF15" w14:textId="77777777">
      <w:pPr>
        <w:pStyle w:val="MC-PREAcronymList"/>
        <w:tabs>
          <w:tab w:val="left" w:pos="1620"/>
        </w:tabs>
        <w:spacing w:after="0" w:line="264" w:lineRule="auto"/>
      </w:pPr>
      <w:r w:rsidRPr="005B6EB1">
        <w:t>RISC</w:t>
      </w:r>
      <w:r w:rsidRPr="005B6EB1">
        <w:tab/>
        <w:t>Regulatory Information Service Center</w:t>
      </w:r>
    </w:p>
    <w:p w:rsidR="001B772F" w:rsidRPr="005B6EB1" w:rsidP="00872707" w14:paraId="06A689EE" w14:textId="77777777">
      <w:pPr>
        <w:pStyle w:val="MC-PREAcronymList"/>
        <w:tabs>
          <w:tab w:val="left" w:pos="1620"/>
        </w:tabs>
        <w:spacing w:after="0" w:line="264" w:lineRule="auto"/>
      </w:pPr>
      <w:r w:rsidRPr="005B6EB1">
        <w:t>ROCIS</w:t>
      </w:r>
      <w:r w:rsidRPr="005B6EB1">
        <w:tab/>
        <w:t>RISC and OIRA Consolidated Information System</w:t>
      </w:r>
    </w:p>
    <w:p w:rsidR="00F25229" w:rsidRPr="005B6EB1" w:rsidP="00872707" w14:paraId="3E062602" w14:textId="77777777">
      <w:pPr>
        <w:pStyle w:val="MC-PREAcronymList"/>
        <w:tabs>
          <w:tab w:val="left" w:pos="1620"/>
        </w:tabs>
        <w:spacing w:after="0" w:line="264" w:lineRule="auto"/>
      </w:pPr>
      <w:r w:rsidRPr="005B6EB1">
        <w:t>SDLA</w:t>
      </w:r>
      <w:r w:rsidRPr="005B6EB1">
        <w:tab/>
        <w:t>State Driver</w:t>
      </w:r>
      <w:r w:rsidRPr="005B6EB1" w:rsidR="009B2249">
        <w:t>s</w:t>
      </w:r>
      <w:r w:rsidRPr="005B6EB1">
        <w:t xml:space="preserve"> Licensing Agency</w:t>
      </w:r>
    </w:p>
    <w:p w:rsidR="001B772F" w:rsidRPr="005B6EB1" w:rsidP="00872707" w14:paraId="0CECFD8F" w14:textId="77777777">
      <w:pPr>
        <w:pStyle w:val="MC-PREAcronymList"/>
        <w:tabs>
          <w:tab w:val="left" w:pos="1620"/>
        </w:tabs>
        <w:spacing w:after="0" w:line="264" w:lineRule="auto"/>
      </w:pPr>
      <w:r w:rsidRPr="005B6EB1">
        <w:t>SOC</w:t>
      </w:r>
      <w:r w:rsidRPr="005B6EB1">
        <w:tab/>
        <w:t>Standard Occupational Classification</w:t>
      </w:r>
    </w:p>
    <w:p w:rsidR="00EA6AD5" w:rsidRPr="005B6EB1" w:rsidP="00872707" w14:paraId="7AC820D3" w14:textId="77777777">
      <w:pPr>
        <w:pStyle w:val="MC-PREAcronymList"/>
        <w:tabs>
          <w:tab w:val="left" w:pos="1620"/>
        </w:tabs>
        <w:spacing w:after="0" w:line="264" w:lineRule="auto"/>
      </w:pPr>
      <w:r w:rsidRPr="005B6EB1">
        <w:t>SORN</w:t>
      </w:r>
      <w:r w:rsidRPr="005B6EB1">
        <w:tab/>
        <w:t>System of Records Notice</w:t>
      </w:r>
    </w:p>
    <w:p w:rsidR="00F25229" w:rsidRPr="005B6EB1" w:rsidP="00872707" w14:paraId="6AA04299" w14:textId="77777777">
      <w:pPr>
        <w:pStyle w:val="MC-PREAcronymList"/>
        <w:tabs>
          <w:tab w:val="left" w:pos="1620"/>
        </w:tabs>
        <w:spacing w:after="0" w:line="264" w:lineRule="auto"/>
      </w:pPr>
      <w:r w:rsidRPr="005B6EB1">
        <w:t>TPR</w:t>
      </w:r>
      <w:r w:rsidRPr="005B6EB1">
        <w:tab/>
        <w:t>Training Provider Registry</w:t>
      </w:r>
    </w:p>
    <w:p w:rsidR="001B772F" w:rsidRPr="005B6EB1" w:rsidP="00872707" w14:paraId="2127E2D7" w14:textId="77777777">
      <w:pPr>
        <w:pStyle w:val="MC-PREAcronymList"/>
        <w:tabs>
          <w:tab w:val="left" w:pos="1620"/>
        </w:tabs>
        <w:spacing w:after="0" w:line="264" w:lineRule="auto"/>
      </w:pPr>
      <w:r w:rsidRPr="005B6EB1">
        <w:t>U.S.C.</w:t>
      </w:r>
      <w:r w:rsidRPr="005B6EB1">
        <w:tab/>
        <w:t>United States Code</w:t>
      </w:r>
    </w:p>
    <w:bookmarkEnd w:id="5"/>
    <w:bookmarkEnd w:id="6"/>
    <w:p w:rsidR="0049288A" w:rsidRPr="00917A7A" w:rsidP="00872707" w14:paraId="1236243B" w14:textId="77777777">
      <w:pPr>
        <w:pStyle w:val="MC-PREAcronymList"/>
        <w:tabs>
          <w:tab w:val="left" w:pos="1620"/>
        </w:tabs>
        <w:spacing w:after="0" w:line="264" w:lineRule="auto"/>
      </w:pPr>
      <w:r w:rsidRPr="005B6EB1">
        <w:t>U</w:t>
      </w:r>
      <w:r w:rsidRPr="005B6EB1" w:rsidR="004054A4">
        <w:t>.</w:t>
      </w:r>
      <w:r w:rsidRPr="005B6EB1">
        <w:t>S</w:t>
      </w:r>
      <w:r w:rsidRPr="005B6EB1" w:rsidR="004054A4">
        <w:t xml:space="preserve">. </w:t>
      </w:r>
      <w:r w:rsidRPr="005B6EB1">
        <w:t>DOT</w:t>
      </w:r>
      <w:r w:rsidRPr="005B6EB1">
        <w:tab/>
        <w:t>United States Department of Transportation</w:t>
      </w:r>
    </w:p>
    <w:sectPr w:rsidSect="007C2AE1">
      <w:footerReference w:type="default" r:id="rId7"/>
      <w:footnotePr>
        <w:numRestart w:val="eachSect"/>
      </w:footnotePr>
      <w:endnotePr>
        <w:numFmt w:val="decimal"/>
      </w:endnotePr>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B7D" w14:paraId="2D873AB8" w14:textId="4810A906">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94A01">
      <w:rPr>
        <w:rStyle w:val="PageNumber"/>
        <w:noProof/>
      </w:rPr>
      <w:t>12</w:t>
    </w:r>
    <w:r>
      <w:rPr>
        <w:rStyle w:val="PageNumber"/>
      </w:rPr>
      <w:fldChar w:fldCharType="end"/>
    </w:r>
  </w:p>
  <w:p w:rsidR="00096B7D" w14:paraId="37E46F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3C2C" w14:paraId="258A4FF5" w14:textId="77777777">
      <w:r>
        <w:separator/>
      </w:r>
    </w:p>
  </w:footnote>
  <w:footnote w:type="continuationSeparator" w:id="1">
    <w:p w:rsidR="00B83C2C" w14:paraId="5B858927" w14:textId="77777777">
      <w:r>
        <w:continuationSeparator/>
      </w:r>
    </w:p>
  </w:footnote>
  <w:footnote w:id="2">
    <w:p w:rsidR="00096B7D" w:rsidRPr="008442BB" w:rsidP="00AD57B2" w14:paraId="7E0C854A" w14:textId="1412ECDD">
      <w:pPr>
        <w:pStyle w:val="FootnoteText"/>
      </w:pPr>
      <w:r w:rsidRPr="008442BB">
        <w:rPr>
          <w:rStyle w:val="FootnoteReference"/>
        </w:rPr>
        <w:footnoteRef/>
      </w:r>
      <w:r w:rsidRPr="008442BB">
        <w:t xml:space="preserve"> </w:t>
      </w:r>
      <w:r w:rsidRPr="008442BB">
        <w:rPr>
          <w:i/>
          <w:szCs w:val="18"/>
        </w:rPr>
        <w:t>Regulatory Evaluation of Minimum Training Requirements for Entry-Level Commercial Motor Vehicle Operators Final Rule</w:t>
      </w:r>
      <w:r w:rsidRPr="008442BB">
        <w:rPr>
          <w:szCs w:val="18"/>
        </w:rPr>
        <w:t>. Section 5: Regulatory Flexibility Analysis. Docket ID FMCSA-2007-27748-1291. Available at:  https://www.regulations.gov/contentStreamer?documentId=FMCSA-2007-27748-1291&amp;attachmentNumber=1&amp; conte</w:t>
      </w:r>
      <w:r>
        <w:rPr>
          <w:szCs w:val="18"/>
        </w:rPr>
        <w:t>n</w:t>
      </w:r>
      <w:r w:rsidRPr="008442BB">
        <w:rPr>
          <w:szCs w:val="18"/>
        </w:rPr>
        <w:t>tType=pdf (accessed May 6, 2019).</w:t>
      </w:r>
    </w:p>
  </w:footnote>
  <w:footnote w:id="3">
    <w:p w:rsidR="00096B7D" w:rsidRPr="008442BB" w:rsidP="00B32D87" w14:paraId="4162702D" w14:textId="77777777">
      <w:pPr>
        <w:pStyle w:val="FootnoteText"/>
      </w:pPr>
      <w:r w:rsidRPr="008442BB">
        <w:rPr>
          <w:rStyle w:val="FootnoteReference"/>
        </w:rPr>
        <w:footnoteRef/>
      </w:r>
      <w:r w:rsidRPr="008442BB">
        <w:t xml:space="preserve"> U.S. Department of Transportation. </w:t>
      </w:r>
      <w:r w:rsidRPr="008442BB">
        <w:rPr>
          <w:i/>
        </w:rPr>
        <w:t>Privacy Impact Assessment. Federal Motor Carrier Safety Administration (FMCSA) Final Rule, Minimum Training Requirements for Entry-Level Commercial Motor Vehicle Operators</w:t>
      </w:r>
      <w:r w:rsidRPr="008442BB">
        <w:t xml:space="preserve">. </w:t>
      </w:r>
      <w:r w:rsidRPr="008442BB">
        <w:rPr>
          <w:szCs w:val="18"/>
        </w:rPr>
        <w:t xml:space="preserve">Docket ID FMCSA-2007-27748-1408. Available at: https://www.regulations.gov/contentStreamer?documentId=FMCSA-2007-27748-1408&amp;attachmentNumber=1&amp;contentType=pdf </w:t>
      </w:r>
      <w:r w:rsidRPr="008442BB">
        <w:t>(accessed May 6, 2019).</w:t>
      </w:r>
    </w:p>
  </w:footnote>
  <w:footnote w:id="4">
    <w:p w:rsidR="00096B7D" w:rsidP="00B32D87" w14:paraId="787657C5" w14:textId="77777777">
      <w:pPr>
        <w:pStyle w:val="FootnoteText"/>
      </w:pPr>
      <w:r w:rsidRPr="008442BB">
        <w:rPr>
          <w:rStyle w:val="FootnoteReference"/>
        </w:rPr>
        <w:footnoteRef/>
      </w:r>
      <w:r w:rsidRPr="008442BB">
        <w:t xml:space="preserve"> U.S. Department of Transportation. </w:t>
      </w:r>
      <w:r w:rsidRPr="008442BB">
        <w:rPr>
          <w:i/>
        </w:rPr>
        <w:t>Privacy Impact Assessment. Federal Motor Carrier Safety Administration (FMCSA) Final Rule, Minimum Training Requirements for Entry-Level Commercial Motor Vehicle Operators</w:t>
      </w:r>
      <w:r w:rsidRPr="008442BB">
        <w:t>. Available at:  https://www.transportation.gov/sites/dot.gov/files/docs/Privacy%20-%20FMCSA%20-%20ELDT%20Rule%20-%20PIA%20-%20020117.pdf (accessed May 6, 2019).</w:t>
      </w:r>
    </w:p>
  </w:footnote>
  <w:footnote w:id="5">
    <w:p w:rsidR="00096B7D" w:rsidP="00172C3B" w14:paraId="32CEBA27" w14:textId="77777777">
      <w:pPr>
        <w:pStyle w:val="FootnoteText"/>
      </w:pPr>
      <w:r>
        <w:rPr>
          <w:rStyle w:val="FootnoteReference"/>
        </w:rPr>
        <w:footnoteRef/>
      </w:r>
      <w:r>
        <w:t xml:space="preserve"> U.S. General Services Administration (GSA), Regulatory Information Service Center (RISC). “ROCIS How To Guide for Agency Users of the Information Collection Request (ICR) Module. September 1, 2017. </w:t>
      </w:r>
      <w:r w:rsidRPr="000B3547">
        <w:t>Appendix A: Disaggregating Information Collection Requests (ICRs) into Information Collections (ICs)</w:t>
      </w:r>
      <w:r>
        <w:t xml:space="preserve">. Pages 109-114. Available at: </w:t>
      </w:r>
      <w:r w:rsidRPr="000B3547">
        <w:t>https://www.rocis.gov/rocis/jsp3/common/ROCIS_HOW_TO_Guide_for_AGENCY_Users_of_ICR_Module-090117.pdf</w:t>
      </w:r>
      <w:r>
        <w:t xml:space="preserve"> (accessed September 25, 2019).</w:t>
      </w:r>
    </w:p>
  </w:footnote>
  <w:footnote w:id="6">
    <w:p w:rsidR="00096B7D" w:rsidRPr="008442BB" w:rsidP="00F0156C" w14:paraId="1817A667" w14:textId="3226F888">
      <w:pPr>
        <w:pStyle w:val="FootnoteText"/>
      </w:pPr>
      <w:r w:rsidRPr="008442BB">
        <w:rPr>
          <w:rStyle w:val="FootnoteReference"/>
        </w:rPr>
        <w:footnoteRef/>
      </w:r>
      <w:r w:rsidRPr="008442BB">
        <w:t xml:space="preserve"> U.S. Department of Labor (DOL), Bureau of Labor Statistics (BLS). “Occupational Employment Statistics (OES). National Occupational Employment and Wage Estimates. Vocational Education Teachers, Postsecondary (SOC Code 25-1194). May </w:t>
      </w:r>
      <w:r w:rsidRPr="008442BB" w:rsidR="008669C7">
        <w:t>20</w:t>
      </w:r>
      <w:r w:rsidR="008669C7">
        <w:t>21</w:t>
      </w:r>
      <w:r w:rsidRPr="008442BB">
        <w:t xml:space="preserve">.” March </w:t>
      </w:r>
      <w:r w:rsidR="008669C7">
        <w:t>31, 2022</w:t>
      </w:r>
      <w:r w:rsidRPr="008442BB">
        <w:t xml:space="preserve">. Available at: https://www.bls.gov/oes/current/oes251194.htm (accessed </w:t>
      </w:r>
      <w:r w:rsidR="008669C7">
        <w:t>January 8, 2023</w:t>
      </w:r>
      <w:r w:rsidRPr="008442BB">
        <w:t>).</w:t>
      </w:r>
    </w:p>
  </w:footnote>
  <w:footnote w:id="7">
    <w:p w:rsidR="00096B7D" w:rsidRPr="008442BB" w:rsidP="00F0156C" w14:paraId="5E578DAA" w14:textId="53169209">
      <w:pPr>
        <w:pStyle w:val="FootnoteText"/>
      </w:pPr>
      <w:r w:rsidRPr="008442BB">
        <w:rPr>
          <w:rStyle w:val="FootnoteReference"/>
        </w:rPr>
        <w:footnoteRef/>
      </w:r>
      <w:r w:rsidRPr="008442BB">
        <w:rPr>
          <w:vertAlign w:val="superscript"/>
        </w:rPr>
        <w:t xml:space="preserve"> </w:t>
      </w:r>
      <w:r w:rsidRPr="008442BB">
        <w:t xml:space="preserve">U.S. Department of Labor (DOL), Bureau of Labor Statistics (BLS). “Employer Costs for Employee Compensation (ECEC). </w:t>
      </w:r>
      <w:r w:rsidR="00BA221E">
        <w:t>September 2022</w:t>
      </w:r>
      <w:r w:rsidRPr="008442BB">
        <w:t xml:space="preserve">.” Table </w:t>
      </w:r>
      <w:r w:rsidR="00BA221E">
        <w:t>6</w:t>
      </w:r>
      <w:r w:rsidRPr="008442BB">
        <w:t xml:space="preserve">, “Transportation and Warehousing.” </w:t>
      </w:r>
      <w:r w:rsidR="00BA221E">
        <w:t>December 15, 2022</w:t>
      </w:r>
      <w:r w:rsidRPr="008442BB">
        <w:t xml:space="preserve">. Available at: </w:t>
      </w:r>
      <w:r w:rsidRPr="00BA221E" w:rsidR="00BA221E">
        <w:t xml:space="preserve">https://www.bls.gov/news.release/pdf/ecec.pdf </w:t>
      </w:r>
      <w:r w:rsidRPr="008442BB">
        <w:t xml:space="preserve">(accessed </w:t>
      </w:r>
      <w:r w:rsidR="00BA221E">
        <w:t>January 8, 2023</w:t>
      </w:r>
      <w:r w:rsidRPr="008442BB">
        <w:t>).</w:t>
      </w:r>
    </w:p>
  </w:footnote>
  <w:footnote w:id="8">
    <w:p w:rsidR="00096B7D" w:rsidRPr="00A834E9" w:rsidP="00F0156C" w14:paraId="5FE2A133" w14:textId="77777777">
      <w:pPr>
        <w:pStyle w:val="FootnoteText"/>
      </w:pPr>
      <w:r w:rsidRPr="008442BB">
        <w:rPr>
          <w:rStyle w:val="FootnoteReference"/>
        </w:rPr>
        <w:footnoteRef/>
      </w:r>
      <w:r w:rsidRPr="008442BB">
        <w:rPr>
          <w:vertAlign w:val="superscript"/>
        </w:rPr>
        <w:t xml:space="preserve"> </w:t>
      </w:r>
      <w:r w:rsidRPr="008442BB">
        <w:t>Mark Berwick and Mohammad Farooq of the Upper Great Plains Transportation Institute, North Dakota State University, August 2003. "Truck Costing Model for Transportation Managers", pages 41, 43, and 45. Available at: https://www.mountain-plains.org/pubs/pdf/MPC03-152.pdf (accessed May 6,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CB4B2F"/>
    <w:multiLevelType w:val="hybridMultilevel"/>
    <w:tmpl w:val="CCE0317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E2A68AB"/>
    <w:multiLevelType w:val="hybridMultilevel"/>
    <w:tmpl w:val="834EA4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558648F"/>
    <w:multiLevelType w:val="hybridMultilevel"/>
    <w:tmpl w:val="D152B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0F60BCB"/>
    <w:multiLevelType w:val="hybridMultilevel"/>
    <w:tmpl w:val="267827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E2D73D3"/>
    <w:multiLevelType w:val="hybridMultilevel"/>
    <w:tmpl w:val="41782B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193321">
    <w:abstractNumId w:val="2"/>
  </w:num>
  <w:num w:numId="2" w16cid:durableId="2002537447">
    <w:abstractNumId w:val="7"/>
  </w:num>
  <w:num w:numId="3" w16cid:durableId="2041006687">
    <w:abstractNumId w:val="9"/>
  </w:num>
  <w:num w:numId="4" w16cid:durableId="1044258338">
    <w:abstractNumId w:val="31"/>
  </w:num>
  <w:num w:numId="5" w16cid:durableId="535001539">
    <w:abstractNumId w:val="29"/>
  </w:num>
  <w:num w:numId="6" w16cid:durableId="798571234">
    <w:abstractNumId w:val="12"/>
  </w:num>
  <w:num w:numId="7" w16cid:durableId="1854421478">
    <w:abstractNumId w:val="28"/>
  </w:num>
  <w:num w:numId="8" w16cid:durableId="771246872">
    <w:abstractNumId w:val="18"/>
  </w:num>
  <w:num w:numId="9" w16cid:durableId="1348026112">
    <w:abstractNumId w:val="6"/>
  </w:num>
  <w:num w:numId="10" w16cid:durableId="1835685814">
    <w:abstractNumId w:val="8"/>
  </w:num>
  <w:num w:numId="11" w16cid:durableId="40058804">
    <w:abstractNumId w:val="21"/>
  </w:num>
  <w:num w:numId="12" w16cid:durableId="1168404678">
    <w:abstractNumId w:val="11"/>
  </w:num>
  <w:num w:numId="13" w16cid:durableId="1713112283">
    <w:abstractNumId w:val="35"/>
  </w:num>
  <w:num w:numId="14" w16cid:durableId="1676035763">
    <w:abstractNumId w:val="34"/>
  </w:num>
  <w:num w:numId="15" w16cid:durableId="518811987">
    <w:abstractNumId w:val="25"/>
  </w:num>
  <w:num w:numId="16" w16cid:durableId="1473866673">
    <w:abstractNumId w:val="19"/>
  </w:num>
  <w:num w:numId="17" w16cid:durableId="1073816966">
    <w:abstractNumId w:val="20"/>
  </w:num>
  <w:num w:numId="18" w16cid:durableId="1756053084">
    <w:abstractNumId w:val="36"/>
  </w:num>
  <w:num w:numId="19" w16cid:durableId="101918344">
    <w:abstractNumId w:val="15"/>
  </w:num>
  <w:num w:numId="20" w16cid:durableId="1560094798">
    <w:abstractNumId w:val="0"/>
  </w:num>
  <w:num w:numId="21" w16cid:durableId="78605136">
    <w:abstractNumId w:val="4"/>
  </w:num>
  <w:num w:numId="22" w16cid:durableId="314573804">
    <w:abstractNumId w:val="26"/>
  </w:num>
  <w:num w:numId="23" w16cid:durableId="1430814233">
    <w:abstractNumId w:val="27"/>
  </w:num>
  <w:num w:numId="24" w16cid:durableId="1893534694">
    <w:abstractNumId w:val="32"/>
  </w:num>
  <w:num w:numId="25" w16cid:durableId="1040520978">
    <w:abstractNumId w:val="1"/>
  </w:num>
  <w:num w:numId="26" w16cid:durableId="1574074988">
    <w:abstractNumId w:val="23"/>
  </w:num>
  <w:num w:numId="27" w16cid:durableId="653609272">
    <w:abstractNumId w:val="5"/>
  </w:num>
  <w:num w:numId="28" w16cid:durableId="1545094681">
    <w:abstractNumId w:val="30"/>
  </w:num>
  <w:num w:numId="29" w16cid:durableId="1125005625">
    <w:abstractNumId w:val="33"/>
  </w:num>
  <w:num w:numId="30" w16cid:durableId="971641847">
    <w:abstractNumId w:val="14"/>
  </w:num>
  <w:num w:numId="31" w16cid:durableId="2093618650">
    <w:abstractNumId w:val="37"/>
  </w:num>
  <w:num w:numId="32" w16cid:durableId="87897569">
    <w:abstractNumId w:val="24"/>
  </w:num>
  <w:num w:numId="33" w16cid:durableId="977492950">
    <w:abstractNumId w:val="17"/>
  </w:num>
  <w:num w:numId="34" w16cid:durableId="1534154743">
    <w:abstractNumId w:val="22"/>
  </w:num>
  <w:num w:numId="35" w16cid:durableId="1034236804">
    <w:abstractNumId w:val="16"/>
  </w:num>
  <w:num w:numId="36" w16cid:durableId="827408513">
    <w:abstractNumId w:val="10"/>
  </w:num>
  <w:num w:numId="37" w16cid:durableId="165370329">
    <w:abstractNumId w:val="3"/>
  </w:num>
  <w:num w:numId="38" w16cid:durableId="1888565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035B"/>
    <w:rsid w:val="00003747"/>
    <w:rsid w:val="00006334"/>
    <w:rsid w:val="000077B3"/>
    <w:rsid w:val="000077BC"/>
    <w:rsid w:val="00010830"/>
    <w:rsid w:val="00011056"/>
    <w:rsid w:val="00012017"/>
    <w:rsid w:val="00015ECD"/>
    <w:rsid w:val="00016437"/>
    <w:rsid w:val="00016DD3"/>
    <w:rsid w:val="0002036B"/>
    <w:rsid w:val="00020C9B"/>
    <w:rsid w:val="00021C3A"/>
    <w:rsid w:val="0002478B"/>
    <w:rsid w:val="00024AF3"/>
    <w:rsid w:val="000266D1"/>
    <w:rsid w:val="00027F61"/>
    <w:rsid w:val="00030975"/>
    <w:rsid w:val="00030E18"/>
    <w:rsid w:val="00030F06"/>
    <w:rsid w:val="000315B2"/>
    <w:rsid w:val="00031F06"/>
    <w:rsid w:val="00033E10"/>
    <w:rsid w:val="00034439"/>
    <w:rsid w:val="000346EE"/>
    <w:rsid w:val="00034F28"/>
    <w:rsid w:val="00036B0D"/>
    <w:rsid w:val="000378E9"/>
    <w:rsid w:val="00041797"/>
    <w:rsid w:val="00042166"/>
    <w:rsid w:val="00043E7C"/>
    <w:rsid w:val="00045CFB"/>
    <w:rsid w:val="00046126"/>
    <w:rsid w:val="00046786"/>
    <w:rsid w:val="000468F7"/>
    <w:rsid w:val="0004749E"/>
    <w:rsid w:val="0004754B"/>
    <w:rsid w:val="00051B7F"/>
    <w:rsid w:val="0005295B"/>
    <w:rsid w:val="00055402"/>
    <w:rsid w:val="00056420"/>
    <w:rsid w:val="000578F8"/>
    <w:rsid w:val="00060104"/>
    <w:rsid w:val="00060A6A"/>
    <w:rsid w:val="0006173C"/>
    <w:rsid w:val="000624E8"/>
    <w:rsid w:val="00062556"/>
    <w:rsid w:val="0006582F"/>
    <w:rsid w:val="000668E8"/>
    <w:rsid w:val="00067577"/>
    <w:rsid w:val="000678BF"/>
    <w:rsid w:val="00070C2C"/>
    <w:rsid w:val="0007327A"/>
    <w:rsid w:val="00074D26"/>
    <w:rsid w:val="000769B7"/>
    <w:rsid w:val="00077397"/>
    <w:rsid w:val="00080686"/>
    <w:rsid w:val="0008270D"/>
    <w:rsid w:val="00082CF5"/>
    <w:rsid w:val="00084F91"/>
    <w:rsid w:val="00087750"/>
    <w:rsid w:val="00090CE8"/>
    <w:rsid w:val="00090F4B"/>
    <w:rsid w:val="00091731"/>
    <w:rsid w:val="00091746"/>
    <w:rsid w:val="00091794"/>
    <w:rsid w:val="00091CFD"/>
    <w:rsid w:val="0009201D"/>
    <w:rsid w:val="00096223"/>
    <w:rsid w:val="00096B7D"/>
    <w:rsid w:val="00097D59"/>
    <w:rsid w:val="000A10DE"/>
    <w:rsid w:val="000A52D5"/>
    <w:rsid w:val="000A7BC5"/>
    <w:rsid w:val="000B123E"/>
    <w:rsid w:val="000B1979"/>
    <w:rsid w:val="000B2D28"/>
    <w:rsid w:val="000B3547"/>
    <w:rsid w:val="000C7814"/>
    <w:rsid w:val="000D095F"/>
    <w:rsid w:val="000D1072"/>
    <w:rsid w:val="000D10FB"/>
    <w:rsid w:val="000D1640"/>
    <w:rsid w:val="000D55DD"/>
    <w:rsid w:val="000D6D39"/>
    <w:rsid w:val="000E1D35"/>
    <w:rsid w:val="000E3469"/>
    <w:rsid w:val="000E34D6"/>
    <w:rsid w:val="000F2FB4"/>
    <w:rsid w:val="000F3F38"/>
    <w:rsid w:val="000F7272"/>
    <w:rsid w:val="00101A4C"/>
    <w:rsid w:val="00103851"/>
    <w:rsid w:val="00104B5C"/>
    <w:rsid w:val="001054E7"/>
    <w:rsid w:val="00105E02"/>
    <w:rsid w:val="00105F8E"/>
    <w:rsid w:val="001116AE"/>
    <w:rsid w:val="00113704"/>
    <w:rsid w:val="0011623D"/>
    <w:rsid w:val="001171DA"/>
    <w:rsid w:val="00120BEF"/>
    <w:rsid w:val="0012271C"/>
    <w:rsid w:val="001238CB"/>
    <w:rsid w:val="00125DC6"/>
    <w:rsid w:val="00126876"/>
    <w:rsid w:val="001276C9"/>
    <w:rsid w:val="0013188C"/>
    <w:rsid w:val="00131CAE"/>
    <w:rsid w:val="00132F9A"/>
    <w:rsid w:val="0013676E"/>
    <w:rsid w:val="00136F8A"/>
    <w:rsid w:val="00140D3B"/>
    <w:rsid w:val="001424C7"/>
    <w:rsid w:val="00144D87"/>
    <w:rsid w:val="00145EF4"/>
    <w:rsid w:val="00147049"/>
    <w:rsid w:val="00150E7C"/>
    <w:rsid w:val="00152C82"/>
    <w:rsid w:val="00155CBF"/>
    <w:rsid w:val="001579F7"/>
    <w:rsid w:val="00160754"/>
    <w:rsid w:val="00165690"/>
    <w:rsid w:val="0016696E"/>
    <w:rsid w:val="00166997"/>
    <w:rsid w:val="00171B93"/>
    <w:rsid w:val="00172C3B"/>
    <w:rsid w:val="0017416C"/>
    <w:rsid w:val="00174897"/>
    <w:rsid w:val="00174AF0"/>
    <w:rsid w:val="0017541B"/>
    <w:rsid w:val="0017628C"/>
    <w:rsid w:val="00184C7F"/>
    <w:rsid w:val="00185064"/>
    <w:rsid w:val="00185361"/>
    <w:rsid w:val="0018588D"/>
    <w:rsid w:val="00186FB3"/>
    <w:rsid w:val="00187993"/>
    <w:rsid w:val="0019051A"/>
    <w:rsid w:val="001955D2"/>
    <w:rsid w:val="00195C94"/>
    <w:rsid w:val="00196273"/>
    <w:rsid w:val="001A283B"/>
    <w:rsid w:val="001A3674"/>
    <w:rsid w:val="001A3AB0"/>
    <w:rsid w:val="001A404D"/>
    <w:rsid w:val="001A7119"/>
    <w:rsid w:val="001A76F7"/>
    <w:rsid w:val="001B002B"/>
    <w:rsid w:val="001B0374"/>
    <w:rsid w:val="001B48AB"/>
    <w:rsid w:val="001B66EB"/>
    <w:rsid w:val="001B772F"/>
    <w:rsid w:val="001C182A"/>
    <w:rsid w:val="001C2381"/>
    <w:rsid w:val="001C2B34"/>
    <w:rsid w:val="001C2B37"/>
    <w:rsid w:val="001C2EAD"/>
    <w:rsid w:val="001C37BF"/>
    <w:rsid w:val="001C40AA"/>
    <w:rsid w:val="001D05F9"/>
    <w:rsid w:val="001D1030"/>
    <w:rsid w:val="001D1A99"/>
    <w:rsid w:val="001D1F40"/>
    <w:rsid w:val="001D4111"/>
    <w:rsid w:val="001D5FDB"/>
    <w:rsid w:val="001D651F"/>
    <w:rsid w:val="001D7302"/>
    <w:rsid w:val="001E00D7"/>
    <w:rsid w:val="001E3A2A"/>
    <w:rsid w:val="001E3E75"/>
    <w:rsid w:val="001E4F69"/>
    <w:rsid w:val="001E5B1F"/>
    <w:rsid w:val="001F07F6"/>
    <w:rsid w:val="001F3AF4"/>
    <w:rsid w:val="001F56BF"/>
    <w:rsid w:val="001F6F6C"/>
    <w:rsid w:val="001F71C8"/>
    <w:rsid w:val="00202CAC"/>
    <w:rsid w:val="0020504F"/>
    <w:rsid w:val="00207DF3"/>
    <w:rsid w:val="0021075E"/>
    <w:rsid w:val="002139E0"/>
    <w:rsid w:val="00217192"/>
    <w:rsid w:val="0021737F"/>
    <w:rsid w:val="0022097E"/>
    <w:rsid w:val="00220EAE"/>
    <w:rsid w:val="00220F59"/>
    <w:rsid w:val="00221C4A"/>
    <w:rsid w:val="002249EB"/>
    <w:rsid w:val="00226A86"/>
    <w:rsid w:val="00227758"/>
    <w:rsid w:val="00234F20"/>
    <w:rsid w:val="00235F8B"/>
    <w:rsid w:val="0023622E"/>
    <w:rsid w:val="00236708"/>
    <w:rsid w:val="00237BA1"/>
    <w:rsid w:val="002403D3"/>
    <w:rsid w:val="00241776"/>
    <w:rsid w:val="00243D50"/>
    <w:rsid w:val="00245C29"/>
    <w:rsid w:val="00246DBA"/>
    <w:rsid w:val="0024792E"/>
    <w:rsid w:val="00252D2B"/>
    <w:rsid w:val="00252DED"/>
    <w:rsid w:val="002545FD"/>
    <w:rsid w:val="00261A46"/>
    <w:rsid w:val="00262F68"/>
    <w:rsid w:val="00263084"/>
    <w:rsid w:val="00263B1F"/>
    <w:rsid w:val="002643A2"/>
    <w:rsid w:val="00266B68"/>
    <w:rsid w:val="00270CE5"/>
    <w:rsid w:val="00270FE9"/>
    <w:rsid w:val="002749B5"/>
    <w:rsid w:val="00276C1F"/>
    <w:rsid w:val="00280715"/>
    <w:rsid w:val="00280B7E"/>
    <w:rsid w:val="002831FF"/>
    <w:rsid w:val="002843E2"/>
    <w:rsid w:val="00284A3E"/>
    <w:rsid w:val="00285B6C"/>
    <w:rsid w:val="002877FB"/>
    <w:rsid w:val="002904FF"/>
    <w:rsid w:val="0029295F"/>
    <w:rsid w:val="00293DDD"/>
    <w:rsid w:val="0029422F"/>
    <w:rsid w:val="0029486F"/>
    <w:rsid w:val="00294A9A"/>
    <w:rsid w:val="00297638"/>
    <w:rsid w:val="00297E93"/>
    <w:rsid w:val="002A09F3"/>
    <w:rsid w:val="002A1EEF"/>
    <w:rsid w:val="002A3355"/>
    <w:rsid w:val="002A5030"/>
    <w:rsid w:val="002A57C7"/>
    <w:rsid w:val="002A7162"/>
    <w:rsid w:val="002B0589"/>
    <w:rsid w:val="002B1525"/>
    <w:rsid w:val="002B49CE"/>
    <w:rsid w:val="002B7B62"/>
    <w:rsid w:val="002C2258"/>
    <w:rsid w:val="002C27C7"/>
    <w:rsid w:val="002C2A2F"/>
    <w:rsid w:val="002C72FA"/>
    <w:rsid w:val="002D115C"/>
    <w:rsid w:val="002D2206"/>
    <w:rsid w:val="002D4BEF"/>
    <w:rsid w:val="002D7313"/>
    <w:rsid w:val="002D7530"/>
    <w:rsid w:val="002E0674"/>
    <w:rsid w:val="002E148F"/>
    <w:rsid w:val="002E342F"/>
    <w:rsid w:val="002E3AF6"/>
    <w:rsid w:val="002E3BA1"/>
    <w:rsid w:val="002E45BF"/>
    <w:rsid w:val="002E4717"/>
    <w:rsid w:val="002E4A35"/>
    <w:rsid w:val="002E50B0"/>
    <w:rsid w:val="002E546D"/>
    <w:rsid w:val="002E6C9D"/>
    <w:rsid w:val="002F3A81"/>
    <w:rsid w:val="002F403F"/>
    <w:rsid w:val="002F454E"/>
    <w:rsid w:val="002F4FFC"/>
    <w:rsid w:val="002F55E8"/>
    <w:rsid w:val="002F6582"/>
    <w:rsid w:val="002F67DD"/>
    <w:rsid w:val="0030283B"/>
    <w:rsid w:val="00303C93"/>
    <w:rsid w:val="00306305"/>
    <w:rsid w:val="00311056"/>
    <w:rsid w:val="00311284"/>
    <w:rsid w:val="0031358A"/>
    <w:rsid w:val="0031384A"/>
    <w:rsid w:val="00321061"/>
    <w:rsid w:val="003227E6"/>
    <w:rsid w:val="0032350B"/>
    <w:rsid w:val="00323CDB"/>
    <w:rsid w:val="003269BE"/>
    <w:rsid w:val="003270C7"/>
    <w:rsid w:val="00327216"/>
    <w:rsid w:val="003306FA"/>
    <w:rsid w:val="003314D7"/>
    <w:rsid w:val="00333755"/>
    <w:rsid w:val="00334914"/>
    <w:rsid w:val="0033609B"/>
    <w:rsid w:val="0033704F"/>
    <w:rsid w:val="003379C8"/>
    <w:rsid w:val="0034332D"/>
    <w:rsid w:val="00343E47"/>
    <w:rsid w:val="00346352"/>
    <w:rsid w:val="003470AB"/>
    <w:rsid w:val="00352820"/>
    <w:rsid w:val="0035381A"/>
    <w:rsid w:val="00353C80"/>
    <w:rsid w:val="00361AD9"/>
    <w:rsid w:val="00361C7F"/>
    <w:rsid w:val="0036391E"/>
    <w:rsid w:val="00373407"/>
    <w:rsid w:val="00374E36"/>
    <w:rsid w:val="00380257"/>
    <w:rsid w:val="00383A69"/>
    <w:rsid w:val="00383E94"/>
    <w:rsid w:val="003849BE"/>
    <w:rsid w:val="00384E13"/>
    <w:rsid w:val="003857A2"/>
    <w:rsid w:val="0039070C"/>
    <w:rsid w:val="003907F0"/>
    <w:rsid w:val="00391D3D"/>
    <w:rsid w:val="00392B13"/>
    <w:rsid w:val="00392B28"/>
    <w:rsid w:val="00394379"/>
    <w:rsid w:val="00394E60"/>
    <w:rsid w:val="003950D2"/>
    <w:rsid w:val="0039524E"/>
    <w:rsid w:val="00395D35"/>
    <w:rsid w:val="0039601D"/>
    <w:rsid w:val="00396B6D"/>
    <w:rsid w:val="003A00C5"/>
    <w:rsid w:val="003A0F6C"/>
    <w:rsid w:val="003A2DA8"/>
    <w:rsid w:val="003A3A7F"/>
    <w:rsid w:val="003A7EB8"/>
    <w:rsid w:val="003B011B"/>
    <w:rsid w:val="003B10FC"/>
    <w:rsid w:val="003B2A1A"/>
    <w:rsid w:val="003B3E62"/>
    <w:rsid w:val="003B415F"/>
    <w:rsid w:val="003B6215"/>
    <w:rsid w:val="003B7971"/>
    <w:rsid w:val="003C52E8"/>
    <w:rsid w:val="003D0291"/>
    <w:rsid w:val="003D107B"/>
    <w:rsid w:val="003D1ADF"/>
    <w:rsid w:val="003D1F79"/>
    <w:rsid w:val="003D326C"/>
    <w:rsid w:val="003D477F"/>
    <w:rsid w:val="003D5118"/>
    <w:rsid w:val="003D550F"/>
    <w:rsid w:val="003D585D"/>
    <w:rsid w:val="003D6C44"/>
    <w:rsid w:val="003E10B5"/>
    <w:rsid w:val="003E67D0"/>
    <w:rsid w:val="003E7432"/>
    <w:rsid w:val="003F03FE"/>
    <w:rsid w:val="00400696"/>
    <w:rsid w:val="00400AF1"/>
    <w:rsid w:val="00401E8F"/>
    <w:rsid w:val="004054A4"/>
    <w:rsid w:val="00407E96"/>
    <w:rsid w:val="00411B0D"/>
    <w:rsid w:val="00414931"/>
    <w:rsid w:val="004149F4"/>
    <w:rsid w:val="0041783D"/>
    <w:rsid w:val="004202BF"/>
    <w:rsid w:val="00421807"/>
    <w:rsid w:val="004220C7"/>
    <w:rsid w:val="004236F6"/>
    <w:rsid w:val="0042437F"/>
    <w:rsid w:val="004259F9"/>
    <w:rsid w:val="00425FDB"/>
    <w:rsid w:val="00426EF7"/>
    <w:rsid w:val="00427F10"/>
    <w:rsid w:val="00430A60"/>
    <w:rsid w:val="00432AF7"/>
    <w:rsid w:val="00434BF2"/>
    <w:rsid w:val="004368D1"/>
    <w:rsid w:val="004369E1"/>
    <w:rsid w:val="0043735E"/>
    <w:rsid w:val="00444D8A"/>
    <w:rsid w:val="00445C33"/>
    <w:rsid w:val="004463D4"/>
    <w:rsid w:val="0045027D"/>
    <w:rsid w:val="004510BE"/>
    <w:rsid w:val="00451A19"/>
    <w:rsid w:val="00452DB0"/>
    <w:rsid w:val="004538BB"/>
    <w:rsid w:val="00453C0B"/>
    <w:rsid w:val="004562B5"/>
    <w:rsid w:val="0045673C"/>
    <w:rsid w:val="00457135"/>
    <w:rsid w:val="00460AAD"/>
    <w:rsid w:val="00463853"/>
    <w:rsid w:val="00464625"/>
    <w:rsid w:val="00465DE5"/>
    <w:rsid w:val="00470720"/>
    <w:rsid w:val="0047280B"/>
    <w:rsid w:val="00472BF4"/>
    <w:rsid w:val="00473634"/>
    <w:rsid w:val="004745E8"/>
    <w:rsid w:val="00480D9C"/>
    <w:rsid w:val="0048101A"/>
    <w:rsid w:val="00481ACF"/>
    <w:rsid w:val="004843C2"/>
    <w:rsid w:val="004857B8"/>
    <w:rsid w:val="0049240B"/>
    <w:rsid w:val="0049255F"/>
    <w:rsid w:val="0049288A"/>
    <w:rsid w:val="004932B6"/>
    <w:rsid w:val="0049354C"/>
    <w:rsid w:val="00493826"/>
    <w:rsid w:val="0049423C"/>
    <w:rsid w:val="00494C26"/>
    <w:rsid w:val="0049529A"/>
    <w:rsid w:val="004972A1"/>
    <w:rsid w:val="004A5092"/>
    <w:rsid w:val="004A58DC"/>
    <w:rsid w:val="004A6F8E"/>
    <w:rsid w:val="004B0003"/>
    <w:rsid w:val="004B04BC"/>
    <w:rsid w:val="004B0535"/>
    <w:rsid w:val="004B07D8"/>
    <w:rsid w:val="004B0D0C"/>
    <w:rsid w:val="004B1295"/>
    <w:rsid w:val="004B1631"/>
    <w:rsid w:val="004B3ADB"/>
    <w:rsid w:val="004C07C0"/>
    <w:rsid w:val="004C35C4"/>
    <w:rsid w:val="004C4BD0"/>
    <w:rsid w:val="004C4D05"/>
    <w:rsid w:val="004C51CB"/>
    <w:rsid w:val="004C5571"/>
    <w:rsid w:val="004C60F6"/>
    <w:rsid w:val="004C737E"/>
    <w:rsid w:val="004C79E0"/>
    <w:rsid w:val="004D1DB2"/>
    <w:rsid w:val="004D3937"/>
    <w:rsid w:val="004D39F3"/>
    <w:rsid w:val="004D3A53"/>
    <w:rsid w:val="004D40AE"/>
    <w:rsid w:val="004D421F"/>
    <w:rsid w:val="004D4C39"/>
    <w:rsid w:val="004D6FA7"/>
    <w:rsid w:val="004D7D64"/>
    <w:rsid w:val="004E283A"/>
    <w:rsid w:val="004E571D"/>
    <w:rsid w:val="004E73B7"/>
    <w:rsid w:val="004F0E0B"/>
    <w:rsid w:val="004F0F9C"/>
    <w:rsid w:val="004F11FB"/>
    <w:rsid w:val="004F268C"/>
    <w:rsid w:val="004F7AC2"/>
    <w:rsid w:val="004F7FE0"/>
    <w:rsid w:val="00500F5F"/>
    <w:rsid w:val="0050796E"/>
    <w:rsid w:val="00507D98"/>
    <w:rsid w:val="00507ED1"/>
    <w:rsid w:val="00507F68"/>
    <w:rsid w:val="005114C1"/>
    <w:rsid w:val="005117C3"/>
    <w:rsid w:val="00515433"/>
    <w:rsid w:val="00515DC4"/>
    <w:rsid w:val="00516F2F"/>
    <w:rsid w:val="00520607"/>
    <w:rsid w:val="00521F97"/>
    <w:rsid w:val="0052202A"/>
    <w:rsid w:val="00522E24"/>
    <w:rsid w:val="005235AD"/>
    <w:rsid w:val="00524B1D"/>
    <w:rsid w:val="00524D4C"/>
    <w:rsid w:val="005259CD"/>
    <w:rsid w:val="005268E2"/>
    <w:rsid w:val="005314F6"/>
    <w:rsid w:val="00535107"/>
    <w:rsid w:val="005358F7"/>
    <w:rsid w:val="005360A3"/>
    <w:rsid w:val="00537537"/>
    <w:rsid w:val="0054111F"/>
    <w:rsid w:val="00541425"/>
    <w:rsid w:val="005421D0"/>
    <w:rsid w:val="005440A8"/>
    <w:rsid w:val="0054720C"/>
    <w:rsid w:val="00551300"/>
    <w:rsid w:val="0055372E"/>
    <w:rsid w:val="00553C5E"/>
    <w:rsid w:val="00553D4A"/>
    <w:rsid w:val="005541CA"/>
    <w:rsid w:val="005548D1"/>
    <w:rsid w:val="00555D2A"/>
    <w:rsid w:val="0055628D"/>
    <w:rsid w:val="00557018"/>
    <w:rsid w:val="00557D50"/>
    <w:rsid w:val="005612EB"/>
    <w:rsid w:val="00561FDB"/>
    <w:rsid w:val="00562DEF"/>
    <w:rsid w:val="005632BA"/>
    <w:rsid w:val="00563401"/>
    <w:rsid w:val="00563CA3"/>
    <w:rsid w:val="00565D4D"/>
    <w:rsid w:val="00565E1E"/>
    <w:rsid w:val="00565F7D"/>
    <w:rsid w:val="005674DB"/>
    <w:rsid w:val="00572912"/>
    <w:rsid w:val="00575915"/>
    <w:rsid w:val="00576690"/>
    <w:rsid w:val="0058156E"/>
    <w:rsid w:val="00584307"/>
    <w:rsid w:val="00585BF6"/>
    <w:rsid w:val="00586976"/>
    <w:rsid w:val="0058721C"/>
    <w:rsid w:val="00587D7F"/>
    <w:rsid w:val="005910F3"/>
    <w:rsid w:val="00591F9F"/>
    <w:rsid w:val="00593444"/>
    <w:rsid w:val="00594A01"/>
    <w:rsid w:val="0059735C"/>
    <w:rsid w:val="005A20E3"/>
    <w:rsid w:val="005A2873"/>
    <w:rsid w:val="005A2E12"/>
    <w:rsid w:val="005A3315"/>
    <w:rsid w:val="005A367E"/>
    <w:rsid w:val="005A426A"/>
    <w:rsid w:val="005A48F1"/>
    <w:rsid w:val="005A4D54"/>
    <w:rsid w:val="005A5A30"/>
    <w:rsid w:val="005A7CDF"/>
    <w:rsid w:val="005B2085"/>
    <w:rsid w:val="005B288A"/>
    <w:rsid w:val="005B50CD"/>
    <w:rsid w:val="005B63F0"/>
    <w:rsid w:val="005B6759"/>
    <w:rsid w:val="005B6EB1"/>
    <w:rsid w:val="005C1336"/>
    <w:rsid w:val="005C2B17"/>
    <w:rsid w:val="005C6E3C"/>
    <w:rsid w:val="005D109D"/>
    <w:rsid w:val="005D1B24"/>
    <w:rsid w:val="005D4438"/>
    <w:rsid w:val="005D581F"/>
    <w:rsid w:val="005D6204"/>
    <w:rsid w:val="005D7459"/>
    <w:rsid w:val="005D7DC4"/>
    <w:rsid w:val="005E0B09"/>
    <w:rsid w:val="005E4467"/>
    <w:rsid w:val="005E4DDC"/>
    <w:rsid w:val="005E4FAE"/>
    <w:rsid w:val="005E50B1"/>
    <w:rsid w:val="005E5157"/>
    <w:rsid w:val="005E69DF"/>
    <w:rsid w:val="005E6D95"/>
    <w:rsid w:val="005F2DB2"/>
    <w:rsid w:val="005F557E"/>
    <w:rsid w:val="00600FC4"/>
    <w:rsid w:val="00605D49"/>
    <w:rsid w:val="00606E62"/>
    <w:rsid w:val="00607376"/>
    <w:rsid w:val="0060755C"/>
    <w:rsid w:val="00610AE1"/>
    <w:rsid w:val="00612677"/>
    <w:rsid w:val="00613141"/>
    <w:rsid w:val="006146B9"/>
    <w:rsid w:val="00615D51"/>
    <w:rsid w:val="00621014"/>
    <w:rsid w:val="006228FE"/>
    <w:rsid w:val="00624690"/>
    <w:rsid w:val="00625EC7"/>
    <w:rsid w:val="00626004"/>
    <w:rsid w:val="00631961"/>
    <w:rsid w:val="00632C91"/>
    <w:rsid w:val="00634636"/>
    <w:rsid w:val="00636789"/>
    <w:rsid w:val="00637CF5"/>
    <w:rsid w:val="0064095F"/>
    <w:rsid w:val="006410C1"/>
    <w:rsid w:val="00646309"/>
    <w:rsid w:val="006507DF"/>
    <w:rsid w:val="00651FEA"/>
    <w:rsid w:val="00652DE0"/>
    <w:rsid w:val="00655BB6"/>
    <w:rsid w:val="00655D89"/>
    <w:rsid w:val="00656E8B"/>
    <w:rsid w:val="00657D75"/>
    <w:rsid w:val="00661D1E"/>
    <w:rsid w:val="00662965"/>
    <w:rsid w:val="00665E8F"/>
    <w:rsid w:val="0066768D"/>
    <w:rsid w:val="006702C2"/>
    <w:rsid w:val="006704F2"/>
    <w:rsid w:val="00670ADE"/>
    <w:rsid w:val="00673737"/>
    <w:rsid w:val="00675613"/>
    <w:rsid w:val="006767A6"/>
    <w:rsid w:val="006772FE"/>
    <w:rsid w:val="00677BF7"/>
    <w:rsid w:val="00677D42"/>
    <w:rsid w:val="00682FB0"/>
    <w:rsid w:val="00683818"/>
    <w:rsid w:val="00686EE0"/>
    <w:rsid w:val="006902A7"/>
    <w:rsid w:val="00690E47"/>
    <w:rsid w:val="00691819"/>
    <w:rsid w:val="00692140"/>
    <w:rsid w:val="00692382"/>
    <w:rsid w:val="00693380"/>
    <w:rsid w:val="00693CFC"/>
    <w:rsid w:val="006946FE"/>
    <w:rsid w:val="00694E8D"/>
    <w:rsid w:val="006955DC"/>
    <w:rsid w:val="006961A7"/>
    <w:rsid w:val="006A206C"/>
    <w:rsid w:val="006A45F8"/>
    <w:rsid w:val="006A4AB2"/>
    <w:rsid w:val="006A4C69"/>
    <w:rsid w:val="006A597A"/>
    <w:rsid w:val="006A759B"/>
    <w:rsid w:val="006A7AC4"/>
    <w:rsid w:val="006B0B50"/>
    <w:rsid w:val="006B3B4B"/>
    <w:rsid w:val="006B5B2B"/>
    <w:rsid w:val="006B5C1D"/>
    <w:rsid w:val="006B5EB3"/>
    <w:rsid w:val="006B6E5B"/>
    <w:rsid w:val="006B73DF"/>
    <w:rsid w:val="006B7A37"/>
    <w:rsid w:val="006C0912"/>
    <w:rsid w:val="006C1951"/>
    <w:rsid w:val="006C348E"/>
    <w:rsid w:val="006C4D03"/>
    <w:rsid w:val="006C714E"/>
    <w:rsid w:val="006C75BF"/>
    <w:rsid w:val="006D0001"/>
    <w:rsid w:val="006D0723"/>
    <w:rsid w:val="006D1205"/>
    <w:rsid w:val="006D5EC4"/>
    <w:rsid w:val="006E0380"/>
    <w:rsid w:val="006E0EA4"/>
    <w:rsid w:val="006E379C"/>
    <w:rsid w:val="006E37FF"/>
    <w:rsid w:val="006E50BB"/>
    <w:rsid w:val="006E51C3"/>
    <w:rsid w:val="006F191C"/>
    <w:rsid w:val="006F2736"/>
    <w:rsid w:val="006F3360"/>
    <w:rsid w:val="006F3950"/>
    <w:rsid w:val="006F4C45"/>
    <w:rsid w:val="00701B09"/>
    <w:rsid w:val="007031D0"/>
    <w:rsid w:val="007036CA"/>
    <w:rsid w:val="007045CC"/>
    <w:rsid w:val="007046F0"/>
    <w:rsid w:val="00704773"/>
    <w:rsid w:val="00704CEC"/>
    <w:rsid w:val="007056CE"/>
    <w:rsid w:val="0070648B"/>
    <w:rsid w:val="00707428"/>
    <w:rsid w:val="00712033"/>
    <w:rsid w:val="007135C5"/>
    <w:rsid w:val="0071454F"/>
    <w:rsid w:val="007153B4"/>
    <w:rsid w:val="00716610"/>
    <w:rsid w:val="00720A9F"/>
    <w:rsid w:val="00722E8C"/>
    <w:rsid w:val="007233D8"/>
    <w:rsid w:val="007247A8"/>
    <w:rsid w:val="00726588"/>
    <w:rsid w:val="007278ED"/>
    <w:rsid w:val="00727E7B"/>
    <w:rsid w:val="0073234B"/>
    <w:rsid w:val="00732E80"/>
    <w:rsid w:val="0073366E"/>
    <w:rsid w:val="00736510"/>
    <w:rsid w:val="00744983"/>
    <w:rsid w:val="00746516"/>
    <w:rsid w:val="00752191"/>
    <w:rsid w:val="007532C3"/>
    <w:rsid w:val="007533B3"/>
    <w:rsid w:val="007540F8"/>
    <w:rsid w:val="00754FAD"/>
    <w:rsid w:val="00756E22"/>
    <w:rsid w:val="00756ECD"/>
    <w:rsid w:val="007650D7"/>
    <w:rsid w:val="00766697"/>
    <w:rsid w:val="00770FAE"/>
    <w:rsid w:val="007720B3"/>
    <w:rsid w:val="00773EAB"/>
    <w:rsid w:val="007743A2"/>
    <w:rsid w:val="0077669E"/>
    <w:rsid w:val="00776E3C"/>
    <w:rsid w:val="007811BF"/>
    <w:rsid w:val="007821E7"/>
    <w:rsid w:val="00782519"/>
    <w:rsid w:val="00786B2E"/>
    <w:rsid w:val="00787E92"/>
    <w:rsid w:val="007901E9"/>
    <w:rsid w:val="00793FDE"/>
    <w:rsid w:val="00795B01"/>
    <w:rsid w:val="007A410B"/>
    <w:rsid w:val="007A6DA2"/>
    <w:rsid w:val="007A7CE8"/>
    <w:rsid w:val="007A7F06"/>
    <w:rsid w:val="007B290B"/>
    <w:rsid w:val="007B34C4"/>
    <w:rsid w:val="007B5572"/>
    <w:rsid w:val="007B620F"/>
    <w:rsid w:val="007B772B"/>
    <w:rsid w:val="007C25FA"/>
    <w:rsid w:val="007C2AE1"/>
    <w:rsid w:val="007C37FC"/>
    <w:rsid w:val="007C3B9D"/>
    <w:rsid w:val="007C65BC"/>
    <w:rsid w:val="007C76FE"/>
    <w:rsid w:val="007C7896"/>
    <w:rsid w:val="007D2B58"/>
    <w:rsid w:val="007D333D"/>
    <w:rsid w:val="007D3FFD"/>
    <w:rsid w:val="007D568D"/>
    <w:rsid w:val="007D6072"/>
    <w:rsid w:val="007D6550"/>
    <w:rsid w:val="007D7176"/>
    <w:rsid w:val="007D7F86"/>
    <w:rsid w:val="007E17DE"/>
    <w:rsid w:val="007E3849"/>
    <w:rsid w:val="007E3940"/>
    <w:rsid w:val="007E3D9E"/>
    <w:rsid w:val="007E4F81"/>
    <w:rsid w:val="007E631C"/>
    <w:rsid w:val="007E6494"/>
    <w:rsid w:val="007F207F"/>
    <w:rsid w:val="007F503C"/>
    <w:rsid w:val="007F57EB"/>
    <w:rsid w:val="007F612C"/>
    <w:rsid w:val="00803224"/>
    <w:rsid w:val="008060DD"/>
    <w:rsid w:val="008108A6"/>
    <w:rsid w:val="00810CB5"/>
    <w:rsid w:val="0081481B"/>
    <w:rsid w:val="008159CF"/>
    <w:rsid w:val="0081739B"/>
    <w:rsid w:val="0081787C"/>
    <w:rsid w:val="00821168"/>
    <w:rsid w:val="008223F9"/>
    <w:rsid w:val="00823EC6"/>
    <w:rsid w:val="008243C8"/>
    <w:rsid w:val="008245EF"/>
    <w:rsid w:val="00830F5D"/>
    <w:rsid w:val="0083413F"/>
    <w:rsid w:val="008341C6"/>
    <w:rsid w:val="00834ACC"/>
    <w:rsid w:val="00834EF8"/>
    <w:rsid w:val="00835B0D"/>
    <w:rsid w:val="008436B8"/>
    <w:rsid w:val="008442BB"/>
    <w:rsid w:val="0084431D"/>
    <w:rsid w:val="00844E89"/>
    <w:rsid w:val="008458ED"/>
    <w:rsid w:val="00845BF5"/>
    <w:rsid w:val="008472E1"/>
    <w:rsid w:val="00851BBF"/>
    <w:rsid w:val="00851BED"/>
    <w:rsid w:val="008543D4"/>
    <w:rsid w:val="00855857"/>
    <w:rsid w:val="0085687D"/>
    <w:rsid w:val="00856A5B"/>
    <w:rsid w:val="00865425"/>
    <w:rsid w:val="008654E3"/>
    <w:rsid w:val="008661C7"/>
    <w:rsid w:val="008669C7"/>
    <w:rsid w:val="00866A41"/>
    <w:rsid w:val="008701F2"/>
    <w:rsid w:val="00872707"/>
    <w:rsid w:val="00872ACA"/>
    <w:rsid w:val="00872E0E"/>
    <w:rsid w:val="00873AC4"/>
    <w:rsid w:val="008745B8"/>
    <w:rsid w:val="00877BA6"/>
    <w:rsid w:val="00880613"/>
    <w:rsid w:val="0088086F"/>
    <w:rsid w:val="00880F2C"/>
    <w:rsid w:val="00886E8F"/>
    <w:rsid w:val="008909AF"/>
    <w:rsid w:val="008912F9"/>
    <w:rsid w:val="0089256B"/>
    <w:rsid w:val="00892C40"/>
    <w:rsid w:val="00897A6D"/>
    <w:rsid w:val="008A27B4"/>
    <w:rsid w:val="008A3402"/>
    <w:rsid w:val="008A3CAE"/>
    <w:rsid w:val="008A5028"/>
    <w:rsid w:val="008A63C3"/>
    <w:rsid w:val="008B0C5D"/>
    <w:rsid w:val="008B1364"/>
    <w:rsid w:val="008B5870"/>
    <w:rsid w:val="008B593B"/>
    <w:rsid w:val="008C002E"/>
    <w:rsid w:val="008C054C"/>
    <w:rsid w:val="008C0FA1"/>
    <w:rsid w:val="008C16A7"/>
    <w:rsid w:val="008C3A7A"/>
    <w:rsid w:val="008C683A"/>
    <w:rsid w:val="008D1212"/>
    <w:rsid w:val="008D16EA"/>
    <w:rsid w:val="008D1708"/>
    <w:rsid w:val="008D2216"/>
    <w:rsid w:val="008D2450"/>
    <w:rsid w:val="008D34A3"/>
    <w:rsid w:val="008D37EA"/>
    <w:rsid w:val="008D4792"/>
    <w:rsid w:val="008D5619"/>
    <w:rsid w:val="008D5E8E"/>
    <w:rsid w:val="008D67BA"/>
    <w:rsid w:val="008D6830"/>
    <w:rsid w:val="008D7B9A"/>
    <w:rsid w:val="008E17F2"/>
    <w:rsid w:val="008E2ADB"/>
    <w:rsid w:val="008E4E78"/>
    <w:rsid w:val="008E7BAE"/>
    <w:rsid w:val="008F120E"/>
    <w:rsid w:val="008F227F"/>
    <w:rsid w:val="008F2CDB"/>
    <w:rsid w:val="008F3230"/>
    <w:rsid w:val="008F69E6"/>
    <w:rsid w:val="008F6FFE"/>
    <w:rsid w:val="00900321"/>
    <w:rsid w:val="00902DFA"/>
    <w:rsid w:val="0090520D"/>
    <w:rsid w:val="009054A9"/>
    <w:rsid w:val="009067F5"/>
    <w:rsid w:val="009071D9"/>
    <w:rsid w:val="0091203D"/>
    <w:rsid w:val="009128BB"/>
    <w:rsid w:val="00914BCD"/>
    <w:rsid w:val="0091655D"/>
    <w:rsid w:val="00916AF8"/>
    <w:rsid w:val="00917982"/>
    <w:rsid w:val="00917A7A"/>
    <w:rsid w:val="009229EB"/>
    <w:rsid w:val="0092300C"/>
    <w:rsid w:val="009238F9"/>
    <w:rsid w:val="00924BC6"/>
    <w:rsid w:val="0092632D"/>
    <w:rsid w:val="00926785"/>
    <w:rsid w:val="00927A22"/>
    <w:rsid w:val="00933472"/>
    <w:rsid w:val="00933E97"/>
    <w:rsid w:val="009364EE"/>
    <w:rsid w:val="00937516"/>
    <w:rsid w:val="009402C9"/>
    <w:rsid w:val="00940BD2"/>
    <w:rsid w:val="00940EDE"/>
    <w:rsid w:val="00943304"/>
    <w:rsid w:val="00943EC1"/>
    <w:rsid w:val="00945604"/>
    <w:rsid w:val="00945692"/>
    <w:rsid w:val="00946826"/>
    <w:rsid w:val="00946FC0"/>
    <w:rsid w:val="00947465"/>
    <w:rsid w:val="00950B28"/>
    <w:rsid w:val="0095195C"/>
    <w:rsid w:val="00953CFD"/>
    <w:rsid w:val="0095457A"/>
    <w:rsid w:val="009547A3"/>
    <w:rsid w:val="0095553A"/>
    <w:rsid w:val="009562E5"/>
    <w:rsid w:val="0095685C"/>
    <w:rsid w:val="00961586"/>
    <w:rsid w:val="00962525"/>
    <w:rsid w:val="00963B6C"/>
    <w:rsid w:val="00964ED2"/>
    <w:rsid w:val="00965D4C"/>
    <w:rsid w:val="009670AA"/>
    <w:rsid w:val="00967829"/>
    <w:rsid w:val="00971622"/>
    <w:rsid w:val="00971BD5"/>
    <w:rsid w:val="009720F8"/>
    <w:rsid w:val="00974889"/>
    <w:rsid w:val="00975FC9"/>
    <w:rsid w:val="00976C92"/>
    <w:rsid w:val="009772A1"/>
    <w:rsid w:val="00977870"/>
    <w:rsid w:val="009812B8"/>
    <w:rsid w:val="00981FCD"/>
    <w:rsid w:val="00984E53"/>
    <w:rsid w:val="00985C3E"/>
    <w:rsid w:val="0099377A"/>
    <w:rsid w:val="009966FF"/>
    <w:rsid w:val="0099681C"/>
    <w:rsid w:val="009A0DC0"/>
    <w:rsid w:val="009A7866"/>
    <w:rsid w:val="009B0E34"/>
    <w:rsid w:val="009B2249"/>
    <w:rsid w:val="009B2F6B"/>
    <w:rsid w:val="009B43EC"/>
    <w:rsid w:val="009C0A86"/>
    <w:rsid w:val="009C29F8"/>
    <w:rsid w:val="009C33E6"/>
    <w:rsid w:val="009C3484"/>
    <w:rsid w:val="009C3856"/>
    <w:rsid w:val="009C4742"/>
    <w:rsid w:val="009D02BA"/>
    <w:rsid w:val="009D10F5"/>
    <w:rsid w:val="009D1941"/>
    <w:rsid w:val="009D2996"/>
    <w:rsid w:val="009D4F42"/>
    <w:rsid w:val="009D4F72"/>
    <w:rsid w:val="009D5120"/>
    <w:rsid w:val="009D7866"/>
    <w:rsid w:val="009E0597"/>
    <w:rsid w:val="009E0720"/>
    <w:rsid w:val="009E0E2C"/>
    <w:rsid w:val="009E2F2D"/>
    <w:rsid w:val="009E43F8"/>
    <w:rsid w:val="009E4B73"/>
    <w:rsid w:val="009F2324"/>
    <w:rsid w:val="009F2CB2"/>
    <w:rsid w:val="00A005C5"/>
    <w:rsid w:val="00A016AB"/>
    <w:rsid w:val="00A030B5"/>
    <w:rsid w:val="00A06128"/>
    <w:rsid w:val="00A06846"/>
    <w:rsid w:val="00A073F0"/>
    <w:rsid w:val="00A07853"/>
    <w:rsid w:val="00A17F26"/>
    <w:rsid w:val="00A21A2B"/>
    <w:rsid w:val="00A257E7"/>
    <w:rsid w:val="00A26291"/>
    <w:rsid w:val="00A27571"/>
    <w:rsid w:val="00A302E1"/>
    <w:rsid w:val="00A31EF0"/>
    <w:rsid w:val="00A32000"/>
    <w:rsid w:val="00A33AF9"/>
    <w:rsid w:val="00A367E6"/>
    <w:rsid w:val="00A42CB3"/>
    <w:rsid w:val="00A45437"/>
    <w:rsid w:val="00A45DF9"/>
    <w:rsid w:val="00A46681"/>
    <w:rsid w:val="00A46FB9"/>
    <w:rsid w:val="00A47427"/>
    <w:rsid w:val="00A50966"/>
    <w:rsid w:val="00A50FAA"/>
    <w:rsid w:val="00A54F83"/>
    <w:rsid w:val="00A54FEF"/>
    <w:rsid w:val="00A602F8"/>
    <w:rsid w:val="00A613EE"/>
    <w:rsid w:val="00A61865"/>
    <w:rsid w:val="00A701F1"/>
    <w:rsid w:val="00A71BB4"/>
    <w:rsid w:val="00A71ED4"/>
    <w:rsid w:val="00A72E59"/>
    <w:rsid w:val="00A750C4"/>
    <w:rsid w:val="00A81D8C"/>
    <w:rsid w:val="00A834E9"/>
    <w:rsid w:val="00A8458D"/>
    <w:rsid w:val="00A845C5"/>
    <w:rsid w:val="00A85765"/>
    <w:rsid w:val="00A86367"/>
    <w:rsid w:val="00A86382"/>
    <w:rsid w:val="00A9212E"/>
    <w:rsid w:val="00A92AE3"/>
    <w:rsid w:val="00A965DF"/>
    <w:rsid w:val="00A968E7"/>
    <w:rsid w:val="00A97640"/>
    <w:rsid w:val="00A97936"/>
    <w:rsid w:val="00A97D75"/>
    <w:rsid w:val="00AA535D"/>
    <w:rsid w:val="00AA5FE2"/>
    <w:rsid w:val="00AB3BCA"/>
    <w:rsid w:val="00AB3CDD"/>
    <w:rsid w:val="00AC10B1"/>
    <w:rsid w:val="00AC3217"/>
    <w:rsid w:val="00AC6A29"/>
    <w:rsid w:val="00AC6EA7"/>
    <w:rsid w:val="00AC7C2B"/>
    <w:rsid w:val="00AC7F26"/>
    <w:rsid w:val="00AD208E"/>
    <w:rsid w:val="00AD4169"/>
    <w:rsid w:val="00AD4378"/>
    <w:rsid w:val="00AD550C"/>
    <w:rsid w:val="00AD57B2"/>
    <w:rsid w:val="00AE132F"/>
    <w:rsid w:val="00AE1642"/>
    <w:rsid w:val="00AE18CF"/>
    <w:rsid w:val="00AE235A"/>
    <w:rsid w:val="00AE4E34"/>
    <w:rsid w:val="00AE5C79"/>
    <w:rsid w:val="00AE7EC2"/>
    <w:rsid w:val="00AF06B5"/>
    <w:rsid w:val="00AF3DBC"/>
    <w:rsid w:val="00AF4775"/>
    <w:rsid w:val="00AF506E"/>
    <w:rsid w:val="00AF636E"/>
    <w:rsid w:val="00AF7390"/>
    <w:rsid w:val="00AF73A0"/>
    <w:rsid w:val="00AF7C3D"/>
    <w:rsid w:val="00B003EB"/>
    <w:rsid w:val="00B00C44"/>
    <w:rsid w:val="00B01092"/>
    <w:rsid w:val="00B02EC3"/>
    <w:rsid w:val="00B0336C"/>
    <w:rsid w:val="00B034EF"/>
    <w:rsid w:val="00B05323"/>
    <w:rsid w:val="00B061DC"/>
    <w:rsid w:val="00B062D4"/>
    <w:rsid w:val="00B10083"/>
    <w:rsid w:val="00B11D8B"/>
    <w:rsid w:val="00B148D8"/>
    <w:rsid w:val="00B14F56"/>
    <w:rsid w:val="00B151B7"/>
    <w:rsid w:val="00B15512"/>
    <w:rsid w:val="00B162A8"/>
    <w:rsid w:val="00B16469"/>
    <w:rsid w:val="00B16B1B"/>
    <w:rsid w:val="00B16B28"/>
    <w:rsid w:val="00B173D6"/>
    <w:rsid w:val="00B2051C"/>
    <w:rsid w:val="00B20F2F"/>
    <w:rsid w:val="00B217D0"/>
    <w:rsid w:val="00B22478"/>
    <w:rsid w:val="00B231C1"/>
    <w:rsid w:val="00B233B8"/>
    <w:rsid w:val="00B267DD"/>
    <w:rsid w:val="00B306C1"/>
    <w:rsid w:val="00B31F1D"/>
    <w:rsid w:val="00B32097"/>
    <w:rsid w:val="00B32694"/>
    <w:rsid w:val="00B32D87"/>
    <w:rsid w:val="00B335F1"/>
    <w:rsid w:val="00B34286"/>
    <w:rsid w:val="00B36D0C"/>
    <w:rsid w:val="00B36DFE"/>
    <w:rsid w:val="00B40972"/>
    <w:rsid w:val="00B43FA6"/>
    <w:rsid w:val="00B44260"/>
    <w:rsid w:val="00B44DBE"/>
    <w:rsid w:val="00B47172"/>
    <w:rsid w:val="00B47786"/>
    <w:rsid w:val="00B502B1"/>
    <w:rsid w:val="00B52E13"/>
    <w:rsid w:val="00B53370"/>
    <w:rsid w:val="00B540EF"/>
    <w:rsid w:val="00B5579C"/>
    <w:rsid w:val="00B557A7"/>
    <w:rsid w:val="00B566BD"/>
    <w:rsid w:val="00B5702F"/>
    <w:rsid w:val="00B60A04"/>
    <w:rsid w:val="00B635DE"/>
    <w:rsid w:val="00B64ED5"/>
    <w:rsid w:val="00B6692F"/>
    <w:rsid w:val="00B701F2"/>
    <w:rsid w:val="00B70741"/>
    <w:rsid w:val="00B71ED4"/>
    <w:rsid w:val="00B731F5"/>
    <w:rsid w:val="00B74E9C"/>
    <w:rsid w:val="00B75AF6"/>
    <w:rsid w:val="00B76BB3"/>
    <w:rsid w:val="00B76E73"/>
    <w:rsid w:val="00B774A0"/>
    <w:rsid w:val="00B80228"/>
    <w:rsid w:val="00B83C2C"/>
    <w:rsid w:val="00B8451C"/>
    <w:rsid w:val="00B85E69"/>
    <w:rsid w:val="00B87EBE"/>
    <w:rsid w:val="00B9162C"/>
    <w:rsid w:val="00B97360"/>
    <w:rsid w:val="00BA09BD"/>
    <w:rsid w:val="00BA221E"/>
    <w:rsid w:val="00BA38B0"/>
    <w:rsid w:val="00BA4DC3"/>
    <w:rsid w:val="00BA5594"/>
    <w:rsid w:val="00BA590F"/>
    <w:rsid w:val="00BB0254"/>
    <w:rsid w:val="00BB2ED3"/>
    <w:rsid w:val="00BB33B2"/>
    <w:rsid w:val="00BB5395"/>
    <w:rsid w:val="00BB5C72"/>
    <w:rsid w:val="00BC27AB"/>
    <w:rsid w:val="00BC70C3"/>
    <w:rsid w:val="00BD2B6D"/>
    <w:rsid w:val="00BD3F66"/>
    <w:rsid w:val="00BD7229"/>
    <w:rsid w:val="00BD7622"/>
    <w:rsid w:val="00BD7D81"/>
    <w:rsid w:val="00BE48A4"/>
    <w:rsid w:val="00BE5EBC"/>
    <w:rsid w:val="00BE6030"/>
    <w:rsid w:val="00BE6C9B"/>
    <w:rsid w:val="00BE6F02"/>
    <w:rsid w:val="00BE78DB"/>
    <w:rsid w:val="00BF37B4"/>
    <w:rsid w:val="00BF3AF7"/>
    <w:rsid w:val="00BF3DFC"/>
    <w:rsid w:val="00BF5DDB"/>
    <w:rsid w:val="00C01AC1"/>
    <w:rsid w:val="00C0364F"/>
    <w:rsid w:val="00C04332"/>
    <w:rsid w:val="00C06DD7"/>
    <w:rsid w:val="00C07C00"/>
    <w:rsid w:val="00C07DC9"/>
    <w:rsid w:val="00C10898"/>
    <w:rsid w:val="00C112C7"/>
    <w:rsid w:val="00C121CE"/>
    <w:rsid w:val="00C12C8A"/>
    <w:rsid w:val="00C14920"/>
    <w:rsid w:val="00C14DF2"/>
    <w:rsid w:val="00C14F1F"/>
    <w:rsid w:val="00C15763"/>
    <w:rsid w:val="00C1605B"/>
    <w:rsid w:val="00C230E4"/>
    <w:rsid w:val="00C234EF"/>
    <w:rsid w:val="00C23BBB"/>
    <w:rsid w:val="00C30AE8"/>
    <w:rsid w:val="00C31F0C"/>
    <w:rsid w:val="00C3213B"/>
    <w:rsid w:val="00C33AE9"/>
    <w:rsid w:val="00C33F07"/>
    <w:rsid w:val="00C40D3D"/>
    <w:rsid w:val="00C41C9B"/>
    <w:rsid w:val="00C4338B"/>
    <w:rsid w:val="00C44C36"/>
    <w:rsid w:val="00C475CE"/>
    <w:rsid w:val="00C51F51"/>
    <w:rsid w:val="00C51F97"/>
    <w:rsid w:val="00C52B98"/>
    <w:rsid w:val="00C619F5"/>
    <w:rsid w:val="00C62F5D"/>
    <w:rsid w:val="00C63CF5"/>
    <w:rsid w:val="00C674B4"/>
    <w:rsid w:val="00C67A6A"/>
    <w:rsid w:val="00C740B1"/>
    <w:rsid w:val="00C74F00"/>
    <w:rsid w:val="00C75014"/>
    <w:rsid w:val="00C757CE"/>
    <w:rsid w:val="00C75ED1"/>
    <w:rsid w:val="00C8134C"/>
    <w:rsid w:val="00C81BE3"/>
    <w:rsid w:val="00C82A9E"/>
    <w:rsid w:val="00C84BC5"/>
    <w:rsid w:val="00C84CDB"/>
    <w:rsid w:val="00C86A66"/>
    <w:rsid w:val="00C87F67"/>
    <w:rsid w:val="00C94FED"/>
    <w:rsid w:val="00C96C88"/>
    <w:rsid w:val="00CA1915"/>
    <w:rsid w:val="00CA25E4"/>
    <w:rsid w:val="00CA29EE"/>
    <w:rsid w:val="00CA3042"/>
    <w:rsid w:val="00CA3651"/>
    <w:rsid w:val="00CA41BD"/>
    <w:rsid w:val="00CA4736"/>
    <w:rsid w:val="00CA57B3"/>
    <w:rsid w:val="00CA5C05"/>
    <w:rsid w:val="00CA6031"/>
    <w:rsid w:val="00CA6BF8"/>
    <w:rsid w:val="00CB0371"/>
    <w:rsid w:val="00CB0AEA"/>
    <w:rsid w:val="00CB0CA0"/>
    <w:rsid w:val="00CB1EB0"/>
    <w:rsid w:val="00CB2FBF"/>
    <w:rsid w:val="00CB4367"/>
    <w:rsid w:val="00CB46D4"/>
    <w:rsid w:val="00CB5516"/>
    <w:rsid w:val="00CB675B"/>
    <w:rsid w:val="00CB7512"/>
    <w:rsid w:val="00CC40F3"/>
    <w:rsid w:val="00CC62F3"/>
    <w:rsid w:val="00CD4CC4"/>
    <w:rsid w:val="00CD5462"/>
    <w:rsid w:val="00CD5FC9"/>
    <w:rsid w:val="00CD62C4"/>
    <w:rsid w:val="00CD7543"/>
    <w:rsid w:val="00CE0CA4"/>
    <w:rsid w:val="00CE1C0D"/>
    <w:rsid w:val="00CF2070"/>
    <w:rsid w:val="00CF213B"/>
    <w:rsid w:val="00CF2CD8"/>
    <w:rsid w:val="00D0033A"/>
    <w:rsid w:val="00D01140"/>
    <w:rsid w:val="00D016A5"/>
    <w:rsid w:val="00D04F51"/>
    <w:rsid w:val="00D07157"/>
    <w:rsid w:val="00D1027D"/>
    <w:rsid w:val="00D1270E"/>
    <w:rsid w:val="00D14592"/>
    <w:rsid w:val="00D14F90"/>
    <w:rsid w:val="00D1594B"/>
    <w:rsid w:val="00D15BE9"/>
    <w:rsid w:val="00D17961"/>
    <w:rsid w:val="00D17C7F"/>
    <w:rsid w:val="00D20D95"/>
    <w:rsid w:val="00D21CB9"/>
    <w:rsid w:val="00D22A0A"/>
    <w:rsid w:val="00D241AD"/>
    <w:rsid w:val="00D24597"/>
    <w:rsid w:val="00D25CD3"/>
    <w:rsid w:val="00D27C52"/>
    <w:rsid w:val="00D323C7"/>
    <w:rsid w:val="00D324F8"/>
    <w:rsid w:val="00D418A1"/>
    <w:rsid w:val="00D423FE"/>
    <w:rsid w:val="00D43B5B"/>
    <w:rsid w:val="00D43D26"/>
    <w:rsid w:val="00D44D2D"/>
    <w:rsid w:val="00D454F7"/>
    <w:rsid w:val="00D4795E"/>
    <w:rsid w:val="00D50318"/>
    <w:rsid w:val="00D51230"/>
    <w:rsid w:val="00D518BC"/>
    <w:rsid w:val="00D52811"/>
    <w:rsid w:val="00D52CF0"/>
    <w:rsid w:val="00D5529D"/>
    <w:rsid w:val="00D565C5"/>
    <w:rsid w:val="00D567D2"/>
    <w:rsid w:val="00D569BA"/>
    <w:rsid w:val="00D569DC"/>
    <w:rsid w:val="00D6053C"/>
    <w:rsid w:val="00D7005E"/>
    <w:rsid w:val="00D706E5"/>
    <w:rsid w:val="00D71D15"/>
    <w:rsid w:val="00D71E4C"/>
    <w:rsid w:val="00D736EC"/>
    <w:rsid w:val="00D737CE"/>
    <w:rsid w:val="00D745EE"/>
    <w:rsid w:val="00D76919"/>
    <w:rsid w:val="00D803B4"/>
    <w:rsid w:val="00D805EF"/>
    <w:rsid w:val="00D83AFC"/>
    <w:rsid w:val="00D841D8"/>
    <w:rsid w:val="00D85B87"/>
    <w:rsid w:val="00D86636"/>
    <w:rsid w:val="00D92F02"/>
    <w:rsid w:val="00D94B33"/>
    <w:rsid w:val="00D9563F"/>
    <w:rsid w:val="00D961BC"/>
    <w:rsid w:val="00D97BDA"/>
    <w:rsid w:val="00DA56FB"/>
    <w:rsid w:val="00DA61F0"/>
    <w:rsid w:val="00DA6A6E"/>
    <w:rsid w:val="00DA7884"/>
    <w:rsid w:val="00DA7B30"/>
    <w:rsid w:val="00DB0570"/>
    <w:rsid w:val="00DB1F32"/>
    <w:rsid w:val="00DB269A"/>
    <w:rsid w:val="00DB616C"/>
    <w:rsid w:val="00DB69D8"/>
    <w:rsid w:val="00DC03DC"/>
    <w:rsid w:val="00DC44D4"/>
    <w:rsid w:val="00DD07BB"/>
    <w:rsid w:val="00DD1FDA"/>
    <w:rsid w:val="00DD2489"/>
    <w:rsid w:val="00DD25EB"/>
    <w:rsid w:val="00DD5C66"/>
    <w:rsid w:val="00DD67C1"/>
    <w:rsid w:val="00DE048A"/>
    <w:rsid w:val="00DE21CE"/>
    <w:rsid w:val="00DE25AF"/>
    <w:rsid w:val="00DE51EA"/>
    <w:rsid w:val="00DE5247"/>
    <w:rsid w:val="00DE686A"/>
    <w:rsid w:val="00DF0A62"/>
    <w:rsid w:val="00DF21C4"/>
    <w:rsid w:val="00DF2971"/>
    <w:rsid w:val="00DF66E9"/>
    <w:rsid w:val="00E00CAC"/>
    <w:rsid w:val="00E01439"/>
    <w:rsid w:val="00E01F5F"/>
    <w:rsid w:val="00E119D0"/>
    <w:rsid w:val="00E11F9B"/>
    <w:rsid w:val="00E140DC"/>
    <w:rsid w:val="00E16FD3"/>
    <w:rsid w:val="00E204D5"/>
    <w:rsid w:val="00E24314"/>
    <w:rsid w:val="00E2447F"/>
    <w:rsid w:val="00E24554"/>
    <w:rsid w:val="00E24840"/>
    <w:rsid w:val="00E260AB"/>
    <w:rsid w:val="00E2763F"/>
    <w:rsid w:val="00E27D4B"/>
    <w:rsid w:val="00E30E3D"/>
    <w:rsid w:val="00E31EAE"/>
    <w:rsid w:val="00E35CFD"/>
    <w:rsid w:val="00E36FD7"/>
    <w:rsid w:val="00E401DC"/>
    <w:rsid w:val="00E43036"/>
    <w:rsid w:val="00E47B29"/>
    <w:rsid w:val="00E50831"/>
    <w:rsid w:val="00E51C63"/>
    <w:rsid w:val="00E53464"/>
    <w:rsid w:val="00E54462"/>
    <w:rsid w:val="00E5694D"/>
    <w:rsid w:val="00E615CC"/>
    <w:rsid w:val="00E621C5"/>
    <w:rsid w:val="00E62581"/>
    <w:rsid w:val="00E627D3"/>
    <w:rsid w:val="00E63532"/>
    <w:rsid w:val="00E63EF0"/>
    <w:rsid w:val="00E6422B"/>
    <w:rsid w:val="00E65712"/>
    <w:rsid w:val="00E65B51"/>
    <w:rsid w:val="00E66C39"/>
    <w:rsid w:val="00E67184"/>
    <w:rsid w:val="00E674CF"/>
    <w:rsid w:val="00E72979"/>
    <w:rsid w:val="00E739D1"/>
    <w:rsid w:val="00E73C11"/>
    <w:rsid w:val="00E74FB2"/>
    <w:rsid w:val="00E76523"/>
    <w:rsid w:val="00E76C16"/>
    <w:rsid w:val="00E80394"/>
    <w:rsid w:val="00E8092E"/>
    <w:rsid w:val="00E831BB"/>
    <w:rsid w:val="00E838A3"/>
    <w:rsid w:val="00E85FE4"/>
    <w:rsid w:val="00E90C5D"/>
    <w:rsid w:val="00E9148B"/>
    <w:rsid w:val="00E91762"/>
    <w:rsid w:val="00E91EC6"/>
    <w:rsid w:val="00E939B3"/>
    <w:rsid w:val="00E94F1B"/>
    <w:rsid w:val="00E95E13"/>
    <w:rsid w:val="00EA08F9"/>
    <w:rsid w:val="00EA1B02"/>
    <w:rsid w:val="00EA2A7F"/>
    <w:rsid w:val="00EA3853"/>
    <w:rsid w:val="00EA6AD5"/>
    <w:rsid w:val="00EB1090"/>
    <w:rsid w:val="00EB12C4"/>
    <w:rsid w:val="00EB3FE4"/>
    <w:rsid w:val="00EB6018"/>
    <w:rsid w:val="00EC6272"/>
    <w:rsid w:val="00ED4492"/>
    <w:rsid w:val="00ED484C"/>
    <w:rsid w:val="00ED51AC"/>
    <w:rsid w:val="00ED5D24"/>
    <w:rsid w:val="00EE2EA8"/>
    <w:rsid w:val="00EE315A"/>
    <w:rsid w:val="00EE459C"/>
    <w:rsid w:val="00EE4739"/>
    <w:rsid w:val="00EE4FFE"/>
    <w:rsid w:val="00EE53C7"/>
    <w:rsid w:val="00EF06DD"/>
    <w:rsid w:val="00EF1AB6"/>
    <w:rsid w:val="00EF2DBC"/>
    <w:rsid w:val="00EF3293"/>
    <w:rsid w:val="00EF3432"/>
    <w:rsid w:val="00EF52BE"/>
    <w:rsid w:val="00EF52E4"/>
    <w:rsid w:val="00F00448"/>
    <w:rsid w:val="00F00C6C"/>
    <w:rsid w:val="00F0156C"/>
    <w:rsid w:val="00F0196C"/>
    <w:rsid w:val="00F0224E"/>
    <w:rsid w:val="00F02691"/>
    <w:rsid w:val="00F02757"/>
    <w:rsid w:val="00F02EC3"/>
    <w:rsid w:val="00F052D1"/>
    <w:rsid w:val="00F053B6"/>
    <w:rsid w:val="00F066EB"/>
    <w:rsid w:val="00F10F3E"/>
    <w:rsid w:val="00F110A5"/>
    <w:rsid w:val="00F12819"/>
    <w:rsid w:val="00F12F4F"/>
    <w:rsid w:val="00F135C9"/>
    <w:rsid w:val="00F13AAA"/>
    <w:rsid w:val="00F13D50"/>
    <w:rsid w:val="00F15486"/>
    <w:rsid w:val="00F16482"/>
    <w:rsid w:val="00F1654E"/>
    <w:rsid w:val="00F20F98"/>
    <w:rsid w:val="00F23BB6"/>
    <w:rsid w:val="00F25229"/>
    <w:rsid w:val="00F25893"/>
    <w:rsid w:val="00F30DC9"/>
    <w:rsid w:val="00F32090"/>
    <w:rsid w:val="00F32836"/>
    <w:rsid w:val="00F358A1"/>
    <w:rsid w:val="00F36D3D"/>
    <w:rsid w:val="00F36DD6"/>
    <w:rsid w:val="00F4084A"/>
    <w:rsid w:val="00F4292F"/>
    <w:rsid w:val="00F42E7F"/>
    <w:rsid w:val="00F43837"/>
    <w:rsid w:val="00F447D3"/>
    <w:rsid w:val="00F44F3F"/>
    <w:rsid w:val="00F4719B"/>
    <w:rsid w:val="00F5018D"/>
    <w:rsid w:val="00F528EE"/>
    <w:rsid w:val="00F5318F"/>
    <w:rsid w:val="00F53C1C"/>
    <w:rsid w:val="00F53FB7"/>
    <w:rsid w:val="00F54F21"/>
    <w:rsid w:val="00F54F6E"/>
    <w:rsid w:val="00F60D5E"/>
    <w:rsid w:val="00F62E4B"/>
    <w:rsid w:val="00F631A5"/>
    <w:rsid w:val="00F635FD"/>
    <w:rsid w:val="00F6360F"/>
    <w:rsid w:val="00F65396"/>
    <w:rsid w:val="00F67966"/>
    <w:rsid w:val="00F709E3"/>
    <w:rsid w:val="00F70F27"/>
    <w:rsid w:val="00F72DF3"/>
    <w:rsid w:val="00F77A82"/>
    <w:rsid w:val="00F77AAC"/>
    <w:rsid w:val="00F80FD4"/>
    <w:rsid w:val="00F81480"/>
    <w:rsid w:val="00F81C71"/>
    <w:rsid w:val="00F84663"/>
    <w:rsid w:val="00F86A4A"/>
    <w:rsid w:val="00F87E9B"/>
    <w:rsid w:val="00F917F0"/>
    <w:rsid w:val="00F91D47"/>
    <w:rsid w:val="00F92057"/>
    <w:rsid w:val="00F92133"/>
    <w:rsid w:val="00F92FFC"/>
    <w:rsid w:val="00F938BA"/>
    <w:rsid w:val="00F96036"/>
    <w:rsid w:val="00F96E4F"/>
    <w:rsid w:val="00F97605"/>
    <w:rsid w:val="00FA01BD"/>
    <w:rsid w:val="00FA0BCE"/>
    <w:rsid w:val="00FA153C"/>
    <w:rsid w:val="00FA1D73"/>
    <w:rsid w:val="00FA3DEA"/>
    <w:rsid w:val="00FA3FA2"/>
    <w:rsid w:val="00FA5DA7"/>
    <w:rsid w:val="00FB0367"/>
    <w:rsid w:val="00FB3B23"/>
    <w:rsid w:val="00FB5580"/>
    <w:rsid w:val="00FB566D"/>
    <w:rsid w:val="00FB584B"/>
    <w:rsid w:val="00FC0939"/>
    <w:rsid w:val="00FC2D2E"/>
    <w:rsid w:val="00FC3845"/>
    <w:rsid w:val="00FC4A5D"/>
    <w:rsid w:val="00FC56DA"/>
    <w:rsid w:val="00FC7BBF"/>
    <w:rsid w:val="00FD2ABA"/>
    <w:rsid w:val="00FD3445"/>
    <w:rsid w:val="00FD7842"/>
    <w:rsid w:val="00FE0220"/>
    <w:rsid w:val="00FE0873"/>
    <w:rsid w:val="00FE16BE"/>
    <w:rsid w:val="00FE3B6F"/>
    <w:rsid w:val="00FE5895"/>
    <w:rsid w:val="00FE5C46"/>
    <w:rsid w:val="00FE60BC"/>
    <w:rsid w:val="00FE7177"/>
    <w:rsid w:val="00FE7574"/>
    <w:rsid w:val="00FE7843"/>
    <w:rsid w:val="00FE7BC8"/>
    <w:rsid w:val="00FE7FAC"/>
    <w:rsid w:val="00FF1158"/>
    <w:rsid w:val="00FF193D"/>
    <w:rsid w:val="00FF2751"/>
    <w:rsid w:val="00FF3DBD"/>
    <w:rsid w:val="00FF41DA"/>
    <w:rsid w:val="00FF4E79"/>
    <w:rsid w:val="00FF7380"/>
    <w:rsid w:val="00FF7E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F67DAA"/>
  <w15:chartTrackingRefBased/>
  <w15:docId w15:val="{5420CD50-CDFA-4F05-A130-2C6D3E3B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772F"/>
    <w:pPr>
      <w:widowControl w:val="0"/>
      <w:autoSpaceDE w:val="0"/>
      <w:autoSpaceDN w:val="0"/>
      <w:adjustRightInd w:val="0"/>
    </w:pPr>
    <w:rPr>
      <w:sz w:val="24"/>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Cs w:val="24"/>
      <w:u w:val="single"/>
    </w:rPr>
  </w:style>
  <w:style w:type="paragraph" w:styleId="Subtitle">
    <w:name w:val="Subtitle"/>
    <w:basedOn w:val="Normal"/>
    <w:link w:val="SubtitleChar"/>
    <w:qFormat/>
    <w:rPr>
      <w:b/>
      <w:bCs/>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C07C00"/>
    <w:rPr>
      <w:sz w:val="18"/>
    </w:rPr>
  </w:style>
  <w:style w:type="character" w:customStyle="1" w:styleId="FootnoteTextChar">
    <w:name w:val="Footnote Text Char"/>
    <w:link w:val="FootnoteText"/>
    <w:uiPriority w:val="99"/>
    <w:rsid w:val="00C07C00"/>
    <w:rPr>
      <w:sz w:val="18"/>
    </w:rPr>
  </w:style>
  <w:style w:type="character" w:styleId="FootnoteReference">
    <w:name w:val="footnote reference"/>
    <w:uiPriority w:val="99"/>
    <w:rsid w:val="007B620F"/>
    <w:rPr>
      <w:vertAlign w:val="superscript"/>
    </w:rPr>
  </w:style>
  <w:style w:type="character" w:customStyle="1" w:styleId="FooterChar">
    <w:name w:val="Footer Char"/>
    <w:link w:val="Footer"/>
    <w:uiPriority w:val="99"/>
    <w:rsid w:val="007C2AE1"/>
    <w:rPr>
      <w:rFonts w:ascii="Letter Gothic 12cpi" w:hAnsi="Letter Gothic 12cpi"/>
    </w:rPr>
  </w:style>
  <w:style w:type="paragraph" w:customStyle="1" w:styleId="MC-PREAcronymList">
    <w:name w:val="MC-PRE Acronym List"/>
    <w:basedOn w:val="Normal"/>
    <w:rsid w:val="001B772F"/>
    <w:pPr>
      <w:widowControl/>
      <w:autoSpaceDE/>
      <w:autoSpaceDN/>
      <w:adjustRightInd/>
      <w:spacing w:after="60"/>
    </w:pPr>
    <w:rPr>
      <w:rFonts w:eastAsia="Calibri"/>
      <w:szCs w:val="24"/>
    </w:rPr>
  </w:style>
  <w:style w:type="paragraph" w:customStyle="1" w:styleId="1AutoList39">
    <w:name w:val="1AutoList39"/>
    <w:rsid w:val="001F56BF"/>
    <w:pPr>
      <w:widowControl w:val="0"/>
      <w:autoSpaceDE w:val="0"/>
      <w:autoSpaceDN w:val="0"/>
      <w:adjustRightInd w:val="0"/>
    </w:pPr>
    <w:rPr>
      <w:sz w:val="24"/>
      <w:szCs w:val="24"/>
    </w:rPr>
  </w:style>
  <w:style w:type="paragraph" w:styleId="Caption">
    <w:name w:val="caption"/>
    <w:basedOn w:val="Normal"/>
    <w:next w:val="Normal"/>
    <w:unhideWhenUsed/>
    <w:qFormat/>
    <w:rsid w:val="00974889"/>
    <w:pPr>
      <w:spacing w:after="200"/>
    </w:pPr>
    <w:rPr>
      <w:i/>
      <w:iCs/>
      <w:color w:val="44546A"/>
      <w:sz w:val="18"/>
      <w:szCs w:val="18"/>
    </w:rPr>
  </w:style>
  <w:style w:type="paragraph" w:customStyle="1" w:styleId="FMCSATableHead">
    <w:name w:val="FMCSA Table Head"/>
    <w:uiPriority w:val="99"/>
    <w:rsid w:val="00B267DD"/>
    <w:pPr>
      <w:keepLines/>
      <w:widowControl w:val="0"/>
      <w:spacing w:before="60" w:after="60"/>
      <w:jc w:val="center"/>
    </w:pPr>
    <w:rPr>
      <w:b/>
      <w:szCs w:val="24"/>
    </w:rPr>
  </w:style>
  <w:style w:type="character" w:styleId="CommentReference">
    <w:name w:val="annotation reference"/>
    <w:basedOn w:val="DefaultParagraphFont"/>
    <w:rsid w:val="00DD67C1"/>
    <w:rPr>
      <w:sz w:val="16"/>
      <w:szCs w:val="16"/>
    </w:rPr>
  </w:style>
  <w:style w:type="paragraph" w:styleId="CommentText">
    <w:name w:val="annotation text"/>
    <w:basedOn w:val="Normal"/>
    <w:link w:val="CommentTextChar"/>
    <w:rsid w:val="00DD67C1"/>
    <w:rPr>
      <w:sz w:val="20"/>
    </w:rPr>
  </w:style>
  <w:style w:type="character" w:customStyle="1" w:styleId="CommentTextChar">
    <w:name w:val="Comment Text Char"/>
    <w:basedOn w:val="DefaultParagraphFont"/>
    <w:link w:val="CommentText"/>
    <w:rsid w:val="00DD67C1"/>
  </w:style>
  <w:style w:type="paragraph" w:styleId="CommentSubject">
    <w:name w:val="annotation subject"/>
    <w:basedOn w:val="CommentText"/>
    <w:next w:val="CommentText"/>
    <w:link w:val="CommentSubjectChar"/>
    <w:rsid w:val="00DD67C1"/>
    <w:rPr>
      <w:b/>
      <w:bCs/>
    </w:rPr>
  </w:style>
  <w:style w:type="character" w:customStyle="1" w:styleId="CommentSubjectChar">
    <w:name w:val="Comment Subject Char"/>
    <w:basedOn w:val="CommentTextChar"/>
    <w:link w:val="CommentSubject"/>
    <w:rsid w:val="00DD67C1"/>
    <w:rPr>
      <w:b/>
      <w:bCs/>
    </w:rPr>
  </w:style>
  <w:style w:type="character" w:customStyle="1" w:styleId="SubtitleChar">
    <w:name w:val="Subtitle Char"/>
    <w:basedOn w:val="DefaultParagraphFont"/>
    <w:link w:val="Subtitle"/>
    <w:rsid w:val="00033E10"/>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49/section-380.71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EF4F0-C5A5-4D16-8BDF-B575C6AC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18</Pages>
  <Words>6360</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robert.armstrong@dot.gov</dc:creator>
  <cp:lastModifiedBy>Oliver, Roxane (FMCSA)</cp:lastModifiedBy>
  <cp:revision>3</cp:revision>
  <cp:lastPrinted>2020-02-11T19:20:00Z</cp:lastPrinted>
  <dcterms:created xsi:type="dcterms:W3CDTF">2024-02-27T14:52:00Z</dcterms:created>
  <dcterms:modified xsi:type="dcterms:W3CDTF">2024-02-27T20:13:00Z</dcterms:modified>
</cp:coreProperties>
</file>