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2AD2" w:rsidP="007962B7" w14:paraId="6E182E5B" w14:textId="77777777">
      <w:pPr>
        <w:suppressAutoHyphens/>
        <w:spacing w:after="240"/>
        <w:jc w:val="center"/>
        <w:rPr>
          <w:b/>
          <w:bCs/>
          <w:sz w:val="24"/>
          <w:szCs w:val="24"/>
        </w:rPr>
      </w:pPr>
      <w:r w:rsidRPr="007962B7">
        <w:rPr>
          <w:b/>
          <w:bCs/>
          <w:sz w:val="24"/>
          <w:szCs w:val="24"/>
        </w:rPr>
        <w:t>SUPPORTING STATEMENT FOR NEW AND REVISED INFORMATION COLLECTIONS</w:t>
      </w:r>
    </w:p>
    <w:p w:rsidR="00294C7A" w:rsidRPr="00685FA7" w:rsidP="00294C7A" w14:paraId="4FA81A2D" w14:textId="77777777">
      <w:pPr>
        <w:suppressAutoHyphens/>
        <w:spacing w:after="240"/>
        <w:jc w:val="center"/>
        <w:rPr>
          <w:b/>
          <w:bCs/>
          <w:sz w:val="24"/>
          <w:szCs w:val="24"/>
        </w:rPr>
      </w:pPr>
      <w:r w:rsidRPr="00685FA7">
        <w:rPr>
          <w:b/>
          <w:bCs/>
          <w:sz w:val="24"/>
          <w:szCs w:val="24"/>
        </w:rPr>
        <w:t>Clearing Exemption for Certain Swaps Entered into by Cooperatives</w:t>
      </w:r>
    </w:p>
    <w:p w:rsidR="00294C7A" w:rsidRPr="00294C7A" w:rsidP="00294C7A" w14:paraId="7F0109CF" w14:textId="77777777">
      <w:pPr>
        <w:suppressAutoHyphens/>
        <w:spacing w:after="240"/>
        <w:jc w:val="center"/>
        <w:rPr>
          <w:b/>
          <w:bCs/>
          <w:sz w:val="24"/>
          <w:szCs w:val="24"/>
        </w:rPr>
      </w:pPr>
      <w:r w:rsidRPr="00294C7A">
        <w:rPr>
          <w:b/>
          <w:bCs/>
          <w:sz w:val="24"/>
          <w:szCs w:val="24"/>
        </w:rPr>
        <w:t>OMB CONTROL NUMBER 3038-0102</w:t>
      </w:r>
    </w:p>
    <w:p w:rsidR="00294C7A" w:rsidRPr="00294C7A" w:rsidP="00294C7A" w14:paraId="65E245C1" w14:textId="77777777">
      <w:pPr>
        <w:suppressAutoHyphens/>
        <w:spacing w:after="240"/>
        <w:jc w:val="center"/>
        <w:rPr>
          <w:b/>
          <w:bCs/>
          <w:sz w:val="24"/>
          <w:szCs w:val="24"/>
        </w:rPr>
      </w:pPr>
      <w:r w:rsidRPr="00294C7A">
        <w:rPr>
          <w:b/>
          <w:bCs/>
          <w:sz w:val="24"/>
          <w:szCs w:val="24"/>
        </w:rPr>
        <w:t>Rule 50.51 (Exemption for Cooperatives)</w:t>
      </w:r>
    </w:p>
    <w:p w:rsidR="00294C7A" w:rsidRPr="007962B7" w:rsidP="00294C7A" w14:paraId="1F9ABE15" w14:textId="349AEB2F">
      <w:pPr>
        <w:suppressAutoHyphens/>
        <w:spacing w:after="240"/>
        <w:rPr>
          <w:b/>
          <w:bCs/>
          <w:sz w:val="24"/>
          <w:szCs w:val="24"/>
        </w:rPr>
      </w:pPr>
      <w:r w:rsidRPr="00294C7A">
        <w:rPr>
          <w:b/>
          <w:bCs/>
          <w:sz w:val="24"/>
          <w:szCs w:val="24"/>
        </w:rPr>
        <w:t>Justification</w:t>
      </w:r>
    </w:p>
    <w:p w:rsidR="003B2AD2" w:rsidRPr="00212703" w:rsidP="007962B7" w14:paraId="51F37A5B" w14:textId="77777777">
      <w:pPr>
        <w:tabs>
          <w:tab w:val="left" w:pos="-720"/>
          <w:tab w:val="left" w:pos="0"/>
        </w:tabs>
        <w:suppressAutoHyphens/>
        <w:spacing w:after="240"/>
        <w:ind w:left="720" w:hanging="720"/>
        <w:rPr>
          <w:b/>
          <w:sz w:val="24"/>
          <w:szCs w:val="24"/>
        </w:rPr>
      </w:pPr>
      <w:r w:rsidRPr="00212703">
        <w:rPr>
          <w:b/>
          <w:sz w:val="24"/>
          <w:szCs w:val="24"/>
        </w:rPr>
        <w:t>1.</w:t>
      </w:r>
      <w:r w:rsidRPr="00212703">
        <w:rPr>
          <w:b/>
          <w:sz w:val="24"/>
          <w:szCs w:val="24"/>
        </w:rPr>
        <w:tab/>
      </w:r>
      <w:r w:rsidRPr="00212703">
        <w:rPr>
          <w:b/>
          <w:sz w:val="24"/>
          <w:szCs w:val="24"/>
          <w:u w:val="single"/>
        </w:rPr>
        <w:t>Explain the circumstances that make the collection of informati</w:t>
      </w:r>
      <w:r w:rsidRPr="00212703" w:rsidR="000E15DF">
        <w:rPr>
          <w:b/>
          <w:sz w:val="24"/>
          <w:szCs w:val="24"/>
          <w:u w:val="single"/>
        </w:rPr>
        <w:t>on necessary</w:t>
      </w:r>
      <w:r w:rsidRPr="00212703">
        <w:rPr>
          <w:b/>
          <w:sz w:val="24"/>
          <w:szCs w:val="24"/>
          <w:u w:val="single"/>
        </w:rPr>
        <w:t>.  Identify any legal or administrative requirements that necessitate the collection.  Attach a copy of the appropriate section of each statute and regulation mandating or authorizing the collection of information</w:t>
      </w:r>
      <w:r w:rsidRPr="00212703">
        <w:rPr>
          <w:b/>
          <w:sz w:val="24"/>
          <w:szCs w:val="24"/>
        </w:rPr>
        <w:t>.</w:t>
      </w:r>
    </w:p>
    <w:p w:rsidR="000A2601" w:rsidRPr="000A2601" w:rsidP="007962B7" w14:paraId="5FA3A4B3" w14:textId="77777777">
      <w:pPr>
        <w:tabs>
          <w:tab w:val="left" w:pos="-720"/>
        </w:tabs>
        <w:suppressAutoHyphens/>
        <w:spacing w:after="240"/>
        <w:ind w:left="720"/>
        <w:rPr>
          <w:sz w:val="24"/>
          <w:szCs w:val="24"/>
        </w:rPr>
      </w:pPr>
      <w:r w:rsidRPr="000A2601">
        <w:rPr>
          <w:sz w:val="24"/>
          <w:szCs w:val="24"/>
        </w:rPr>
        <w:t>The Dodd-Frank Wall Street Reform and Consumer Protection Act (“Dodd-Frank Act”) amended Section 2(h)(1) of the Commodity Exchange Act (“CEA”)</w:t>
      </w:r>
      <w:r>
        <w:rPr>
          <w:rStyle w:val="FootnoteReference"/>
          <w:sz w:val="24"/>
          <w:szCs w:val="24"/>
        </w:rPr>
        <w:footnoteReference w:id="2"/>
      </w:r>
      <w:r w:rsidRPr="000A2601">
        <w:rPr>
          <w:sz w:val="24"/>
          <w:szCs w:val="24"/>
        </w:rPr>
        <w:t xml:space="preserve"> to </w:t>
      </w:r>
      <w:r w:rsidRPr="000A2601">
        <w:rPr>
          <w:bCs/>
          <w:color w:val="000000"/>
          <w:sz w:val="24"/>
          <w:szCs w:val="24"/>
        </w:rPr>
        <w:t xml:space="preserve">provide that </w:t>
      </w:r>
      <w:r w:rsidRPr="000A2601">
        <w:rPr>
          <w:sz w:val="24"/>
          <w:szCs w:val="24"/>
        </w:rPr>
        <w:t>it shall be unlawful for any person to engage in a swap unless that person submits such swap for clearing to a derivatives clearing organization if the swap is required to be cleared</w:t>
      </w:r>
      <w:r w:rsidRPr="000A2601">
        <w:rPr>
          <w:bCs/>
          <w:color w:val="000000"/>
          <w:sz w:val="24"/>
          <w:szCs w:val="24"/>
        </w:rPr>
        <w:t xml:space="preserve">.  Section 2(h)(7) of the CEA, as added by the Dodd-Frank Act, also provides that a swap otherwise subject to the clearing requirement is eligible for an elective exception from clearing if </w:t>
      </w:r>
      <w:r w:rsidRPr="000A2601">
        <w:rPr>
          <w:sz w:val="24"/>
          <w:szCs w:val="24"/>
        </w:rPr>
        <w:t xml:space="preserve">one party to the swap is not a financial entity, is using swaps to hedge or mitigate commercial risk, and notifies the </w:t>
      </w:r>
      <w:r>
        <w:rPr>
          <w:sz w:val="24"/>
          <w:szCs w:val="24"/>
        </w:rPr>
        <w:t>Commodity Futures Trading Commission (“Commission”)</w:t>
      </w:r>
      <w:r w:rsidRPr="000A2601">
        <w:rPr>
          <w:sz w:val="24"/>
          <w:szCs w:val="24"/>
        </w:rPr>
        <w:t>, in a manner set forth by the Commission, how it generally meets its financial obligations associated with entering into non-cleared swaps</w:t>
      </w:r>
      <w:r>
        <w:rPr>
          <w:sz w:val="24"/>
          <w:szCs w:val="24"/>
        </w:rPr>
        <w:t xml:space="preserve"> (the “end-user exception”)</w:t>
      </w:r>
      <w:r w:rsidRPr="000A2601">
        <w:rPr>
          <w:sz w:val="24"/>
          <w:szCs w:val="24"/>
        </w:rPr>
        <w:t>.</w:t>
      </w:r>
    </w:p>
    <w:p w:rsidR="000A2601" w:rsidP="004C4974" w14:paraId="1FC66C4A" w14:textId="54E384AB">
      <w:pPr>
        <w:tabs>
          <w:tab w:val="left" w:pos="-720"/>
        </w:tabs>
        <w:suppressAutoHyphens/>
        <w:spacing w:after="240"/>
        <w:ind w:left="720"/>
        <w:rPr>
          <w:sz w:val="24"/>
          <w:szCs w:val="24"/>
        </w:rPr>
      </w:pPr>
      <w:r>
        <w:rPr>
          <w:sz w:val="24"/>
          <w:szCs w:val="24"/>
        </w:rPr>
        <w:t>The Commission recognized</w:t>
      </w:r>
      <w:r w:rsidR="00B27261">
        <w:rPr>
          <w:sz w:val="24"/>
          <w:szCs w:val="24"/>
        </w:rPr>
        <w:t xml:space="preserve"> that cooperatives</w:t>
      </w:r>
      <w:r w:rsidR="00120C32">
        <w:rPr>
          <w:sz w:val="24"/>
          <w:szCs w:val="24"/>
        </w:rPr>
        <w:t xml:space="preserve"> not otherwise eligible for the end-user exception</w:t>
      </w:r>
      <w:r w:rsidR="00B27261">
        <w:rPr>
          <w:sz w:val="24"/>
          <w:szCs w:val="24"/>
        </w:rPr>
        <w:t xml:space="preserve"> often act on behalf of members that are non-financial entities or small financial institutions, and have a member ownership structure that merits the pass-through of the end-user exception</w:t>
      </w:r>
      <w:r>
        <w:rPr>
          <w:sz w:val="24"/>
          <w:szCs w:val="24"/>
        </w:rPr>
        <w:t xml:space="preserve">.  On </w:t>
      </w:r>
      <w:r w:rsidR="00223B9C">
        <w:rPr>
          <w:sz w:val="24"/>
          <w:szCs w:val="24"/>
        </w:rPr>
        <w:t>August 13, 2013</w:t>
      </w:r>
      <w:r w:rsidR="00120C32">
        <w:rPr>
          <w:sz w:val="24"/>
          <w:szCs w:val="24"/>
        </w:rPr>
        <w:t xml:space="preserve">, the Commission adopted </w:t>
      </w:r>
      <w:r w:rsidR="00223B9C">
        <w:rPr>
          <w:sz w:val="24"/>
          <w:szCs w:val="24"/>
        </w:rPr>
        <w:t>an e</w:t>
      </w:r>
      <w:r w:rsidR="00120C32">
        <w:rPr>
          <w:sz w:val="24"/>
          <w:szCs w:val="24"/>
        </w:rPr>
        <w:t>xemption from</w:t>
      </w:r>
      <w:r>
        <w:rPr>
          <w:sz w:val="24"/>
          <w:szCs w:val="24"/>
        </w:rPr>
        <w:t xml:space="preserve"> the swap clearing requirement for cooperatives under Commission regulation 50.51.</w:t>
      </w:r>
      <w:r>
        <w:rPr>
          <w:vertAlign w:val="superscript"/>
        </w:rPr>
        <w:footnoteReference w:id="3"/>
      </w:r>
      <w:r>
        <w:rPr>
          <w:sz w:val="24"/>
          <w:szCs w:val="24"/>
        </w:rPr>
        <w:t xml:space="preserve">  </w:t>
      </w:r>
      <w:r w:rsidR="00B27261">
        <w:rPr>
          <w:sz w:val="24"/>
          <w:szCs w:val="24"/>
        </w:rPr>
        <w:t xml:space="preserve">The </w:t>
      </w:r>
      <w:r w:rsidR="00C408BB">
        <w:rPr>
          <w:sz w:val="24"/>
          <w:szCs w:val="24"/>
        </w:rPr>
        <w:t xml:space="preserve">cooperative exemption rule </w:t>
      </w:r>
      <w:r w:rsidR="00D96C1B">
        <w:rPr>
          <w:sz w:val="24"/>
          <w:szCs w:val="24"/>
        </w:rPr>
        <w:t xml:space="preserve">allows for certain cooperatives to </w:t>
      </w:r>
      <w:r w:rsidR="00C408BB">
        <w:rPr>
          <w:sz w:val="24"/>
          <w:szCs w:val="24"/>
        </w:rPr>
        <w:t xml:space="preserve">elect not to clear certain swaps subject </w:t>
      </w:r>
      <w:r w:rsidR="00D96C1B">
        <w:rPr>
          <w:sz w:val="24"/>
          <w:szCs w:val="24"/>
        </w:rPr>
        <w:t>to the clearing requirement.</w:t>
      </w:r>
    </w:p>
    <w:p w:rsidR="003B2AD2" w:rsidRPr="006B6BAC" w:rsidP="000F3332" w14:paraId="04636DFF" w14:textId="2EEC95E0">
      <w:pPr>
        <w:tabs>
          <w:tab w:val="left" w:pos="-720"/>
        </w:tabs>
        <w:suppressAutoHyphens/>
        <w:spacing w:after="240"/>
        <w:ind w:left="720"/>
        <w:rPr>
          <w:sz w:val="24"/>
          <w:szCs w:val="24"/>
        </w:rPr>
      </w:pPr>
      <w:r>
        <w:rPr>
          <w:sz w:val="24"/>
          <w:szCs w:val="24"/>
        </w:rPr>
        <w:t xml:space="preserve">This supporting statement concerns the renewal of the existing collection of information required by Commission regulation 50.51.  </w:t>
      </w:r>
      <w:r w:rsidRPr="00D96C1B" w:rsidR="00D07CBE">
        <w:rPr>
          <w:sz w:val="24"/>
          <w:szCs w:val="24"/>
        </w:rPr>
        <w:t>The</w:t>
      </w:r>
      <w:r w:rsidRPr="00D07CBE" w:rsidR="00D07CBE">
        <w:rPr>
          <w:sz w:val="24"/>
          <w:szCs w:val="24"/>
        </w:rPr>
        <w:t xml:space="preserve"> information that </w:t>
      </w:r>
      <w:r w:rsidR="0005024A">
        <w:rPr>
          <w:sz w:val="24"/>
          <w:szCs w:val="24"/>
        </w:rPr>
        <w:t>has been</w:t>
      </w:r>
      <w:r w:rsidRPr="00D07CBE" w:rsidR="00D07CBE">
        <w:rPr>
          <w:sz w:val="24"/>
          <w:szCs w:val="24"/>
        </w:rPr>
        <w:t xml:space="preserve"> collected is necessar</w:t>
      </w:r>
      <w:r w:rsidR="008C4031">
        <w:rPr>
          <w:sz w:val="24"/>
          <w:szCs w:val="24"/>
        </w:rPr>
        <w:t xml:space="preserve">y </w:t>
      </w:r>
      <w:r w:rsidR="00B27261">
        <w:rPr>
          <w:sz w:val="24"/>
          <w:szCs w:val="24"/>
        </w:rPr>
        <w:t xml:space="preserve">to monitor the use of </w:t>
      </w:r>
      <w:r w:rsidR="008E3844">
        <w:rPr>
          <w:sz w:val="24"/>
          <w:szCs w:val="24"/>
        </w:rPr>
        <w:t xml:space="preserve">the cooperative exemption to the </w:t>
      </w:r>
      <w:r w:rsidR="003C00A5">
        <w:rPr>
          <w:sz w:val="24"/>
          <w:szCs w:val="24"/>
        </w:rPr>
        <w:t xml:space="preserve">swap </w:t>
      </w:r>
      <w:r w:rsidR="008E3844">
        <w:rPr>
          <w:sz w:val="24"/>
          <w:szCs w:val="24"/>
        </w:rPr>
        <w:t xml:space="preserve">clearing requirement.  </w:t>
      </w:r>
      <w:r w:rsidR="0081275E">
        <w:rPr>
          <w:sz w:val="24"/>
          <w:szCs w:val="24"/>
        </w:rPr>
        <w:t xml:space="preserve">In addition, this collection of information provides the Commission with data about exempt cooperatives’ use of swaps to hedge or mitigate commercial risk.  </w:t>
      </w:r>
      <w:r w:rsidR="00F32E79">
        <w:rPr>
          <w:sz w:val="24"/>
          <w:szCs w:val="24"/>
        </w:rPr>
        <w:t>This information is</w:t>
      </w:r>
      <w:r w:rsidR="008E3844">
        <w:rPr>
          <w:sz w:val="24"/>
          <w:szCs w:val="24"/>
        </w:rPr>
        <w:t xml:space="preserve"> reported</w:t>
      </w:r>
      <w:r w:rsidR="00223B9C">
        <w:rPr>
          <w:sz w:val="24"/>
          <w:szCs w:val="24"/>
        </w:rPr>
        <w:t xml:space="preserve"> to a swap data repository (“SDR”) or directly to the Commission</w:t>
      </w:r>
      <w:r w:rsidR="008E3844">
        <w:rPr>
          <w:sz w:val="24"/>
          <w:szCs w:val="24"/>
        </w:rPr>
        <w:t xml:space="preserve"> </w:t>
      </w:r>
      <w:r w:rsidR="00F32E79">
        <w:rPr>
          <w:sz w:val="24"/>
          <w:szCs w:val="24"/>
        </w:rPr>
        <w:t>under</w:t>
      </w:r>
      <w:r w:rsidR="00C408BB">
        <w:rPr>
          <w:sz w:val="24"/>
          <w:szCs w:val="24"/>
        </w:rPr>
        <w:t xml:space="preserve"> </w:t>
      </w:r>
      <w:r w:rsidR="00D96C1B">
        <w:rPr>
          <w:sz w:val="24"/>
          <w:szCs w:val="24"/>
        </w:rPr>
        <w:t xml:space="preserve">the reporting requirements </w:t>
      </w:r>
      <w:r w:rsidR="00F32E79">
        <w:rPr>
          <w:sz w:val="24"/>
          <w:szCs w:val="24"/>
        </w:rPr>
        <w:t>in</w:t>
      </w:r>
      <w:r w:rsidR="0005024A">
        <w:rPr>
          <w:sz w:val="24"/>
          <w:szCs w:val="24"/>
        </w:rPr>
        <w:t xml:space="preserve"> </w:t>
      </w:r>
      <w:r w:rsidR="000E15DF">
        <w:rPr>
          <w:sz w:val="24"/>
          <w:szCs w:val="24"/>
        </w:rPr>
        <w:t>Regulation 50.50(b)</w:t>
      </w:r>
      <w:r w:rsidRPr="00D07CBE" w:rsidR="00D07CBE">
        <w:rPr>
          <w:sz w:val="24"/>
          <w:szCs w:val="24"/>
        </w:rPr>
        <w:t>.</w:t>
      </w:r>
    </w:p>
    <w:p w:rsidR="007962B7" w:rsidP="007962B7" w14:paraId="4B2118DA" w14:textId="77777777">
      <w:pPr>
        <w:tabs>
          <w:tab w:val="left" w:pos="-720"/>
        </w:tabs>
        <w:suppressAutoHyphens/>
        <w:spacing w:after="240"/>
        <w:ind w:left="720" w:hanging="720"/>
        <w:rPr>
          <w:b/>
          <w:sz w:val="24"/>
          <w:szCs w:val="24"/>
        </w:rPr>
      </w:pPr>
      <w:r w:rsidRPr="00212703">
        <w:rPr>
          <w:b/>
          <w:sz w:val="24"/>
          <w:szCs w:val="24"/>
        </w:rPr>
        <w:t>2.</w:t>
      </w:r>
      <w:r w:rsidRPr="00212703">
        <w:rPr>
          <w:b/>
          <w:sz w:val="24"/>
          <w:szCs w:val="24"/>
        </w:rPr>
        <w:tab/>
      </w:r>
      <w:r w:rsidRPr="00212703">
        <w:rPr>
          <w:b/>
          <w:sz w:val="24"/>
          <w:szCs w:val="24"/>
          <w:u w:val="single"/>
        </w:rPr>
        <w:t>Indicate how, by whom, and for what purpose the dat</w:t>
      </w:r>
      <w:r w:rsidRPr="00212703" w:rsidR="009D3548">
        <w:rPr>
          <w:b/>
          <w:sz w:val="24"/>
          <w:szCs w:val="24"/>
          <w:u w:val="single"/>
        </w:rPr>
        <w:t>a</w:t>
      </w:r>
      <w:r w:rsidRPr="00212703">
        <w:rPr>
          <w:b/>
          <w:sz w:val="24"/>
          <w:szCs w:val="24"/>
          <w:u w:val="single"/>
        </w:rPr>
        <w:t xml:space="preserve"> would be used.  Except for a new collection, indicate the actual use the agency has made of the information received from the current collection</w:t>
      </w:r>
      <w:r w:rsidRPr="00212703">
        <w:rPr>
          <w:b/>
          <w:sz w:val="24"/>
          <w:szCs w:val="24"/>
        </w:rPr>
        <w:t>.</w:t>
      </w:r>
    </w:p>
    <w:p w:rsidR="00EE6F54" w:rsidRPr="00212703" w:rsidP="007962B7" w14:paraId="49CDFB83" w14:textId="0569522B">
      <w:pPr>
        <w:tabs>
          <w:tab w:val="left" w:pos="-720"/>
        </w:tabs>
        <w:suppressAutoHyphens/>
        <w:spacing w:after="240"/>
        <w:ind w:left="720"/>
        <w:rPr>
          <w:b/>
          <w:sz w:val="24"/>
          <w:szCs w:val="24"/>
        </w:rPr>
      </w:pPr>
      <w:r w:rsidRPr="00212703">
        <w:rPr>
          <w:sz w:val="24"/>
          <w:szCs w:val="24"/>
        </w:rPr>
        <w:t xml:space="preserve">Since the Commission adopted </w:t>
      </w:r>
      <w:r w:rsidRPr="00212703" w:rsidR="003C00A5">
        <w:rPr>
          <w:sz w:val="24"/>
          <w:szCs w:val="24"/>
        </w:rPr>
        <w:t xml:space="preserve">Commission regulation </w:t>
      </w:r>
      <w:r w:rsidRPr="00212703">
        <w:rPr>
          <w:sz w:val="24"/>
          <w:szCs w:val="24"/>
        </w:rPr>
        <w:t>50.51 in 2013, t</w:t>
      </w:r>
      <w:r w:rsidRPr="00212703" w:rsidR="00E61873">
        <w:rPr>
          <w:sz w:val="24"/>
          <w:szCs w:val="24"/>
        </w:rPr>
        <w:t xml:space="preserve">he information </w:t>
      </w:r>
      <w:r w:rsidRPr="00212703">
        <w:rPr>
          <w:sz w:val="24"/>
          <w:szCs w:val="24"/>
        </w:rPr>
        <w:t xml:space="preserve">has been </w:t>
      </w:r>
      <w:r w:rsidRPr="00212703" w:rsidR="00511614">
        <w:rPr>
          <w:sz w:val="24"/>
          <w:szCs w:val="24"/>
        </w:rPr>
        <w:t>reported to</w:t>
      </w:r>
      <w:r w:rsidRPr="00212703" w:rsidR="00BF469F">
        <w:rPr>
          <w:sz w:val="24"/>
          <w:szCs w:val="24"/>
        </w:rPr>
        <w:t xml:space="preserve"> </w:t>
      </w:r>
      <w:r w:rsidRPr="00212703" w:rsidR="002B0CCF">
        <w:rPr>
          <w:sz w:val="24"/>
          <w:szCs w:val="24"/>
        </w:rPr>
        <w:t xml:space="preserve">registered </w:t>
      </w:r>
      <w:r w:rsidRPr="00212703" w:rsidR="00BF469F">
        <w:rPr>
          <w:sz w:val="24"/>
          <w:szCs w:val="24"/>
        </w:rPr>
        <w:t>SDRs and</w:t>
      </w:r>
      <w:r w:rsidRPr="00212703" w:rsidR="00E61873">
        <w:rPr>
          <w:sz w:val="24"/>
          <w:szCs w:val="24"/>
        </w:rPr>
        <w:t xml:space="preserve"> analyzed by Commission </w:t>
      </w:r>
      <w:r w:rsidRPr="00212703" w:rsidR="00EF6F69">
        <w:rPr>
          <w:sz w:val="24"/>
          <w:szCs w:val="24"/>
        </w:rPr>
        <w:t xml:space="preserve">staff </w:t>
      </w:r>
      <w:r w:rsidRPr="00212703" w:rsidR="00E61873">
        <w:rPr>
          <w:sz w:val="24"/>
          <w:szCs w:val="24"/>
        </w:rPr>
        <w:t xml:space="preserve">to determine whether </w:t>
      </w:r>
      <w:r w:rsidRPr="00212703" w:rsidR="00D96C1B">
        <w:rPr>
          <w:sz w:val="24"/>
          <w:szCs w:val="24"/>
        </w:rPr>
        <w:t>cooperative</w:t>
      </w:r>
      <w:r w:rsidRPr="00212703" w:rsidR="00BF469F">
        <w:rPr>
          <w:sz w:val="24"/>
          <w:szCs w:val="24"/>
        </w:rPr>
        <w:t>s</w:t>
      </w:r>
      <w:r w:rsidRPr="00212703" w:rsidR="00D96C1B">
        <w:rPr>
          <w:sz w:val="24"/>
          <w:szCs w:val="24"/>
        </w:rPr>
        <w:t xml:space="preserve"> claiming the exemption </w:t>
      </w:r>
      <w:r w:rsidRPr="00212703" w:rsidR="00BF469F">
        <w:rPr>
          <w:sz w:val="24"/>
          <w:szCs w:val="24"/>
        </w:rPr>
        <w:t>are</w:t>
      </w:r>
      <w:r w:rsidRPr="00212703" w:rsidR="00D96C1B">
        <w:rPr>
          <w:sz w:val="24"/>
          <w:szCs w:val="24"/>
        </w:rPr>
        <w:t xml:space="preserve"> doing so appropriately</w:t>
      </w:r>
      <w:r w:rsidRPr="00212703" w:rsidR="00E61873">
        <w:rPr>
          <w:sz w:val="24"/>
          <w:szCs w:val="24"/>
        </w:rPr>
        <w:t>.</w:t>
      </w:r>
    </w:p>
    <w:p w:rsidR="006C6E3E" w:rsidP="007962B7" w14:paraId="1448D7B6" w14:textId="3481E3DC">
      <w:pPr>
        <w:tabs>
          <w:tab w:val="left" w:pos="-720"/>
          <w:tab w:val="left" w:pos="0"/>
        </w:tabs>
        <w:suppressAutoHyphens/>
        <w:spacing w:after="240"/>
        <w:ind w:left="720" w:hanging="720"/>
        <w:rPr>
          <w:sz w:val="24"/>
          <w:szCs w:val="24"/>
          <w:u w:val="single"/>
        </w:rPr>
      </w:pPr>
      <w:r w:rsidRPr="00212703">
        <w:rPr>
          <w:b/>
          <w:sz w:val="24"/>
          <w:szCs w:val="24"/>
        </w:rPr>
        <w:t>3.</w:t>
      </w:r>
      <w:r w:rsidRPr="00212703">
        <w:rPr>
          <w:b/>
          <w:sz w:val="24"/>
          <w:szCs w:val="24"/>
        </w:rPr>
        <w:tab/>
      </w:r>
      <w:r w:rsidRPr="00212703">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E54F5">
        <w:rPr>
          <w:b/>
          <w:sz w:val="24"/>
          <w:szCs w:val="24"/>
        </w:rPr>
        <w:t>.</w:t>
      </w:r>
    </w:p>
    <w:p w:rsidR="00EE6F54" w:rsidRPr="00212703" w:rsidP="000D7B05" w14:paraId="49881917" w14:textId="13393035">
      <w:pPr>
        <w:tabs>
          <w:tab w:val="left" w:pos="-720"/>
          <w:tab w:val="left" w:pos="0"/>
        </w:tabs>
        <w:suppressAutoHyphens/>
        <w:spacing w:after="240"/>
        <w:ind w:left="720"/>
        <w:rPr>
          <w:b/>
          <w:sz w:val="24"/>
          <w:szCs w:val="24"/>
        </w:rPr>
      </w:pPr>
      <w:r w:rsidRPr="00F71008">
        <w:rPr>
          <w:sz w:val="24"/>
          <w:szCs w:val="24"/>
        </w:rPr>
        <w:t>All of the information collection requirements involve the use of certain electronic collection protocols, such as downloadable forms, email, and the internet.  All required submissions may be submitted electronically.</w:t>
      </w:r>
    </w:p>
    <w:p w:rsidR="003B2AD2" w:rsidRPr="00212703" w:rsidP="007962B7" w14:paraId="05375523" w14:textId="77777777">
      <w:pPr>
        <w:tabs>
          <w:tab w:val="left" w:pos="-720"/>
          <w:tab w:val="left" w:pos="0"/>
        </w:tabs>
        <w:suppressAutoHyphens/>
        <w:spacing w:after="240"/>
        <w:ind w:left="720" w:hanging="720"/>
        <w:rPr>
          <w:b/>
          <w:sz w:val="24"/>
          <w:szCs w:val="24"/>
        </w:rPr>
      </w:pPr>
      <w:r w:rsidRPr="00212703">
        <w:rPr>
          <w:b/>
          <w:sz w:val="24"/>
          <w:szCs w:val="24"/>
        </w:rPr>
        <w:t>4.</w:t>
      </w:r>
      <w:r w:rsidRPr="00212703">
        <w:rPr>
          <w:b/>
          <w:sz w:val="24"/>
          <w:szCs w:val="24"/>
        </w:rPr>
        <w:tab/>
      </w:r>
      <w:r w:rsidRPr="00212703">
        <w:rPr>
          <w:b/>
          <w:sz w:val="24"/>
          <w:szCs w:val="24"/>
          <w:u w:val="single"/>
        </w:rPr>
        <w:t>Describe efforts to identify duplication.  Show specifically why any similar information already available cannot be used or modified for use for the purposes described in Item 2 above</w:t>
      </w:r>
      <w:r w:rsidRPr="00212703">
        <w:rPr>
          <w:b/>
          <w:sz w:val="24"/>
          <w:szCs w:val="24"/>
        </w:rPr>
        <w:t>.</w:t>
      </w:r>
    </w:p>
    <w:p w:rsidR="00EE6F54" w:rsidRPr="00212703" w:rsidP="000D7B05" w14:paraId="1568C0EF" w14:textId="0715E3C0">
      <w:pPr>
        <w:tabs>
          <w:tab w:val="left" w:pos="-720"/>
          <w:tab w:val="left" w:pos="0"/>
        </w:tabs>
        <w:suppressAutoHyphens/>
        <w:spacing w:after="240"/>
        <w:ind w:left="720"/>
        <w:rPr>
          <w:b/>
          <w:sz w:val="24"/>
          <w:szCs w:val="24"/>
        </w:rPr>
      </w:pPr>
      <w:r>
        <w:rPr>
          <w:sz w:val="24"/>
          <w:szCs w:val="24"/>
        </w:rPr>
        <w:t>The required information is not already collected by the Commission for any other purpose, nor is it collected by any other agency, no</w:t>
      </w:r>
      <w:r w:rsidR="009D3548">
        <w:rPr>
          <w:sz w:val="24"/>
          <w:szCs w:val="24"/>
        </w:rPr>
        <w:t>r</w:t>
      </w:r>
      <w:r>
        <w:rPr>
          <w:sz w:val="24"/>
          <w:szCs w:val="24"/>
        </w:rPr>
        <w:t xml:space="preserve"> is the information available for public disclosure through any other source.</w:t>
      </w:r>
    </w:p>
    <w:p w:rsidR="003B2AD2" w:rsidRPr="00212703" w:rsidP="007962B7" w14:paraId="6EBE542F" w14:textId="77777777">
      <w:pPr>
        <w:tabs>
          <w:tab w:val="left" w:pos="-720"/>
          <w:tab w:val="left" w:pos="0"/>
        </w:tabs>
        <w:suppressAutoHyphens/>
        <w:spacing w:after="240"/>
        <w:ind w:left="720" w:hanging="720"/>
        <w:rPr>
          <w:b/>
          <w:sz w:val="24"/>
          <w:szCs w:val="24"/>
        </w:rPr>
      </w:pPr>
      <w:r w:rsidRPr="00212703">
        <w:rPr>
          <w:b/>
          <w:sz w:val="24"/>
          <w:szCs w:val="24"/>
        </w:rPr>
        <w:t>5.</w:t>
      </w:r>
      <w:r w:rsidRPr="00212703">
        <w:rPr>
          <w:b/>
          <w:sz w:val="24"/>
          <w:szCs w:val="24"/>
        </w:rPr>
        <w:tab/>
      </w:r>
      <w:r w:rsidRPr="00212703">
        <w:rPr>
          <w:b/>
          <w:sz w:val="24"/>
          <w:szCs w:val="24"/>
          <w:u w:val="single"/>
        </w:rPr>
        <w:t>If the collection of information involves small business or other small entities (Item 5 of OMB F</w:t>
      </w:r>
      <w:r w:rsidRPr="00212703" w:rsidR="004501ED">
        <w:rPr>
          <w:b/>
          <w:sz w:val="24"/>
          <w:szCs w:val="24"/>
          <w:u w:val="single"/>
        </w:rPr>
        <w:t>or</w:t>
      </w:r>
      <w:r w:rsidRPr="00212703">
        <w:rPr>
          <w:b/>
          <w:sz w:val="24"/>
          <w:szCs w:val="24"/>
          <w:u w:val="single"/>
        </w:rPr>
        <w:t>m 83-I), describe the methods used to minimize burden</w:t>
      </w:r>
      <w:r w:rsidRPr="00212703">
        <w:rPr>
          <w:b/>
          <w:sz w:val="24"/>
          <w:szCs w:val="24"/>
        </w:rPr>
        <w:t>.</w:t>
      </w:r>
    </w:p>
    <w:p w:rsidR="00EE6F54" w:rsidRPr="00212703" w:rsidP="000D7B05" w14:paraId="47EFE3D5" w14:textId="1A6CBD12">
      <w:pPr>
        <w:tabs>
          <w:tab w:val="left" w:pos="-720"/>
          <w:tab w:val="left" w:pos="0"/>
        </w:tabs>
        <w:suppressAutoHyphens/>
        <w:spacing w:after="240"/>
        <w:ind w:left="1440" w:hanging="720"/>
        <w:rPr>
          <w:b/>
          <w:sz w:val="24"/>
          <w:szCs w:val="24"/>
        </w:rPr>
      </w:pPr>
      <w:r>
        <w:rPr>
          <w:sz w:val="24"/>
          <w:szCs w:val="24"/>
        </w:rPr>
        <w:t>T</w:t>
      </w:r>
      <w:r w:rsidR="00B27261">
        <w:rPr>
          <w:sz w:val="24"/>
          <w:szCs w:val="24"/>
        </w:rPr>
        <w:t xml:space="preserve">he required information does not involve any small </w:t>
      </w:r>
      <w:r w:rsidR="001313D2">
        <w:rPr>
          <w:sz w:val="24"/>
          <w:szCs w:val="24"/>
        </w:rPr>
        <w:t xml:space="preserve">businesses or </w:t>
      </w:r>
      <w:r w:rsidRPr="00C408BB" w:rsidR="001313D2">
        <w:rPr>
          <w:sz w:val="24"/>
          <w:szCs w:val="24"/>
        </w:rPr>
        <w:t>other small entities</w:t>
      </w:r>
      <w:r w:rsidRPr="00C408BB" w:rsidR="00B27261">
        <w:rPr>
          <w:sz w:val="24"/>
          <w:szCs w:val="24"/>
        </w:rPr>
        <w:t>.</w:t>
      </w:r>
    </w:p>
    <w:p w:rsidR="006C6E3E" w:rsidP="007962B7" w14:paraId="1247C4DD" w14:textId="589E1B4D">
      <w:pPr>
        <w:tabs>
          <w:tab w:val="left" w:pos="-720"/>
          <w:tab w:val="left" w:pos="0"/>
        </w:tabs>
        <w:suppressAutoHyphens/>
        <w:spacing w:after="240"/>
        <w:ind w:left="720" w:hanging="720"/>
        <w:rPr>
          <w:sz w:val="24"/>
          <w:szCs w:val="24"/>
        </w:rPr>
      </w:pPr>
      <w:r w:rsidRPr="00212703">
        <w:rPr>
          <w:b/>
          <w:sz w:val="24"/>
          <w:szCs w:val="24"/>
        </w:rPr>
        <w:t>6.</w:t>
      </w:r>
      <w:r w:rsidRPr="00212703">
        <w:rPr>
          <w:b/>
          <w:sz w:val="24"/>
          <w:szCs w:val="24"/>
        </w:rPr>
        <w:tab/>
      </w:r>
      <w:r w:rsidRPr="00212703">
        <w:rPr>
          <w:b/>
          <w:sz w:val="24"/>
          <w:szCs w:val="24"/>
          <w:u w:val="single"/>
        </w:rPr>
        <w:t>Describe the consequence to the Federal Program or policy</w:t>
      </w:r>
      <w:r w:rsidRPr="00212703" w:rsidR="00EF6F69">
        <w:rPr>
          <w:b/>
          <w:sz w:val="24"/>
          <w:szCs w:val="24"/>
          <w:u w:val="single"/>
        </w:rPr>
        <w:t xml:space="preserve"> </w:t>
      </w:r>
      <w:r w:rsidRPr="00212703">
        <w:rPr>
          <w:b/>
          <w:sz w:val="24"/>
          <w:szCs w:val="24"/>
          <w:u w:val="single"/>
        </w:rPr>
        <w:t>activities if the collection were conducted less frequently as well as any technical or legal</w:t>
      </w:r>
      <w:r w:rsidRPr="003B2AD2">
        <w:rPr>
          <w:sz w:val="24"/>
          <w:szCs w:val="24"/>
          <w:u w:val="single"/>
        </w:rPr>
        <w:t xml:space="preserve"> </w:t>
      </w:r>
      <w:r w:rsidRPr="00212703">
        <w:rPr>
          <w:b/>
          <w:sz w:val="24"/>
          <w:szCs w:val="24"/>
          <w:u w:val="single"/>
        </w:rPr>
        <w:t>obstacles to reducing burden</w:t>
      </w:r>
      <w:r w:rsidRPr="00212703">
        <w:rPr>
          <w:b/>
          <w:sz w:val="24"/>
          <w:szCs w:val="24"/>
        </w:rPr>
        <w:t>.</w:t>
      </w:r>
    </w:p>
    <w:p w:rsidR="006B6BAC" w:rsidRPr="003B2AD2" w:rsidP="000D7B05" w14:paraId="4FC714E8" w14:textId="7DC686B1">
      <w:pPr>
        <w:tabs>
          <w:tab w:val="left" w:pos="-720"/>
          <w:tab w:val="left" w:pos="0"/>
        </w:tabs>
        <w:suppressAutoHyphens/>
        <w:spacing w:after="240"/>
        <w:ind w:left="720"/>
        <w:rPr>
          <w:sz w:val="24"/>
          <w:szCs w:val="24"/>
        </w:rPr>
      </w:pPr>
      <w:r>
        <w:rPr>
          <w:sz w:val="24"/>
          <w:szCs w:val="24"/>
        </w:rPr>
        <w:t xml:space="preserve">Less frequent collection of information may lead to an inability for the Commission to adequately monitor whether appropriate entities are selecting the exempt cooperative status and whether the swaps </w:t>
      </w:r>
      <w:r w:rsidR="00C408BB">
        <w:rPr>
          <w:sz w:val="24"/>
          <w:szCs w:val="24"/>
        </w:rPr>
        <w:t>for which the exemption is being elected meet the requirements</w:t>
      </w:r>
      <w:r>
        <w:rPr>
          <w:sz w:val="24"/>
          <w:szCs w:val="24"/>
        </w:rPr>
        <w:t xml:space="preserve"> in the rule</w:t>
      </w:r>
      <w:r w:rsidRPr="00B35608" w:rsidR="00B35608">
        <w:rPr>
          <w:sz w:val="24"/>
          <w:szCs w:val="24"/>
        </w:rPr>
        <w:t>.</w:t>
      </w:r>
      <w:r>
        <w:rPr>
          <w:sz w:val="24"/>
          <w:szCs w:val="24"/>
        </w:rPr>
        <w:t xml:space="preserve"> </w:t>
      </w:r>
      <w:r w:rsidR="00BA3915">
        <w:rPr>
          <w:sz w:val="24"/>
          <w:szCs w:val="24"/>
        </w:rPr>
        <w:t xml:space="preserve"> </w:t>
      </w:r>
      <w:r>
        <w:rPr>
          <w:sz w:val="24"/>
          <w:szCs w:val="24"/>
        </w:rPr>
        <w:t xml:space="preserve">The rule </w:t>
      </w:r>
      <w:r w:rsidR="00C408BB">
        <w:rPr>
          <w:sz w:val="24"/>
          <w:szCs w:val="24"/>
        </w:rPr>
        <w:t>is flexible as to reporting.</w:t>
      </w:r>
      <w:r>
        <w:rPr>
          <w:sz w:val="24"/>
          <w:szCs w:val="24"/>
        </w:rPr>
        <w:t xml:space="preserve"> </w:t>
      </w:r>
      <w:r w:rsidR="00C408BB">
        <w:rPr>
          <w:sz w:val="24"/>
          <w:szCs w:val="24"/>
        </w:rPr>
        <w:t xml:space="preserve"> F</w:t>
      </w:r>
      <w:r>
        <w:rPr>
          <w:sz w:val="24"/>
          <w:szCs w:val="24"/>
        </w:rPr>
        <w:t xml:space="preserve">irst, it is within the discretion of the entity to select the exempt cooperative status and second, once selected, the entity may choose whether to report </w:t>
      </w:r>
      <w:r w:rsidR="00C408BB">
        <w:rPr>
          <w:sz w:val="24"/>
          <w:szCs w:val="24"/>
        </w:rPr>
        <w:t xml:space="preserve">the information required (other than that the exemption is being elected for a particular swap) </w:t>
      </w:r>
      <w:r>
        <w:rPr>
          <w:sz w:val="24"/>
          <w:szCs w:val="24"/>
        </w:rPr>
        <w:t>on a swap-by-swap or annual basis.</w:t>
      </w:r>
    </w:p>
    <w:p w:rsidR="003B2AD2" w:rsidRPr="003B2AD2" w:rsidP="000D7B05" w14:paraId="168589B2" w14:textId="2C9317F0">
      <w:pPr>
        <w:tabs>
          <w:tab w:val="left" w:pos="-720"/>
          <w:tab w:val="left" w:pos="0"/>
        </w:tabs>
        <w:suppressAutoHyphens/>
        <w:spacing w:after="240"/>
        <w:ind w:left="720" w:hanging="720"/>
        <w:rPr>
          <w:sz w:val="24"/>
          <w:szCs w:val="24"/>
        </w:rPr>
      </w:pPr>
      <w:r w:rsidRPr="00212703">
        <w:rPr>
          <w:b/>
          <w:sz w:val="24"/>
          <w:szCs w:val="24"/>
        </w:rPr>
        <w:t>7.</w:t>
      </w:r>
      <w:r w:rsidRPr="00212703">
        <w:rPr>
          <w:b/>
          <w:sz w:val="24"/>
          <w:szCs w:val="24"/>
        </w:rPr>
        <w:tab/>
      </w:r>
      <w:r w:rsidRPr="00212703">
        <w:rPr>
          <w:b/>
          <w:sz w:val="24"/>
          <w:szCs w:val="24"/>
          <w:u w:val="single"/>
        </w:rPr>
        <w:t>Explain any special circumstances that require the collection to be conducted in a manner</w:t>
      </w:r>
      <w:r w:rsidRPr="00212703">
        <w:rPr>
          <w:b/>
          <w:sz w:val="24"/>
          <w:szCs w:val="24"/>
        </w:rPr>
        <w:t>:</w:t>
      </w:r>
    </w:p>
    <w:p w:rsidR="003B2AD2" w:rsidRPr="00212703" w:rsidP="007962B7" w14:paraId="1C002418" w14:textId="77777777">
      <w:pPr>
        <w:tabs>
          <w:tab w:val="left" w:pos="-720"/>
          <w:tab w:val="left" w:pos="0"/>
          <w:tab w:val="left" w:pos="720"/>
        </w:tabs>
        <w:suppressAutoHyphens/>
        <w:spacing w:after="240"/>
        <w:ind w:left="1440" w:hanging="1440"/>
        <w:rPr>
          <w:b/>
          <w:sz w:val="24"/>
          <w:szCs w:val="24"/>
          <w:u w:val="single"/>
        </w:rPr>
      </w:pPr>
      <w:r w:rsidRPr="003B2AD2">
        <w:rPr>
          <w:sz w:val="24"/>
          <w:szCs w:val="24"/>
        </w:rPr>
        <w:tab/>
        <w:t>-</w:t>
      </w:r>
      <w:r w:rsidRPr="003B2AD2">
        <w:rPr>
          <w:sz w:val="24"/>
          <w:szCs w:val="24"/>
        </w:rPr>
        <w:tab/>
      </w:r>
      <w:r w:rsidRPr="00212703">
        <w:rPr>
          <w:b/>
          <w:sz w:val="24"/>
          <w:szCs w:val="24"/>
          <w:u w:val="single"/>
        </w:rPr>
        <w:t>requiring respondents to report information to the agency more often than quarterly;</w:t>
      </w:r>
    </w:p>
    <w:p w:rsidR="00B40F48" w:rsidP="007962B7" w14:paraId="1DB1B278" w14:textId="1351FA5B">
      <w:pPr>
        <w:tabs>
          <w:tab w:val="left" w:pos="-720"/>
        </w:tabs>
        <w:suppressAutoHyphens/>
        <w:spacing w:after="240"/>
        <w:ind w:left="1440"/>
        <w:rPr>
          <w:sz w:val="24"/>
          <w:szCs w:val="24"/>
        </w:rPr>
      </w:pPr>
      <w:r w:rsidRPr="00B35608">
        <w:rPr>
          <w:sz w:val="24"/>
          <w:szCs w:val="24"/>
        </w:rPr>
        <w:t>The regulations</w:t>
      </w:r>
      <w:r w:rsidR="00C408BB">
        <w:rPr>
          <w:sz w:val="24"/>
          <w:szCs w:val="24"/>
        </w:rPr>
        <w:t xml:space="preserve"> require reporting of the election of the clearing exemption for each swap for which the exemption is elected.  For all other information, the regulations</w:t>
      </w:r>
      <w:r w:rsidR="00865966">
        <w:rPr>
          <w:sz w:val="24"/>
          <w:szCs w:val="24"/>
        </w:rPr>
        <w:t xml:space="preserve"> allow, but do not require, an exempt cooperative to report on a swap-by-swap, rather than an annual, basis</w:t>
      </w:r>
      <w:r w:rsidR="00EF6F69">
        <w:rPr>
          <w:sz w:val="24"/>
          <w:szCs w:val="24"/>
        </w:rPr>
        <w:t>.</w:t>
      </w:r>
    </w:p>
    <w:p w:rsidR="003B2AD2" w:rsidRPr="003B2AD2" w:rsidP="000D7B05" w14:paraId="51A51EA4" w14:textId="15430BFA">
      <w:pPr>
        <w:tabs>
          <w:tab w:val="left" w:pos="-720"/>
        </w:tabs>
        <w:suppressAutoHyphens/>
        <w:spacing w:after="240"/>
        <w:ind w:left="1440"/>
        <w:rPr>
          <w:sz w:val="24"/>
          <w:szCs w:val="24"/>
        </w:rPr>
      </w:pPr>
      <w:r>
        <w:rPr>
          <w:sz w:val="24"/>
          <w:szCs w:val="24"/>
        </w:rPr>
        <w:t xml:space="preserve">Commission staff expects that the number of exempt cooperatives filing an annual versus a swap-by-swap form electing the exemption from the clearing requirement may change each year.  Based on observations, </w:t>
      </w:r>
      <w:r w:rsidR="001B185B">
        <w:rPr>
          <w:sz w:val="24"/>
          <w:szCs w:val="24"/>
        </w:rPr>
        <w:t>more cooperatives choose to file an annual election form rather than a swap-by-swap form</w:t>
      </w:r>
      <w:r>
        <w:rPr>
          <w:sz w:val="24"/>
          <w:szCs w:val="24"/>
        </w:rPr>
        <w:t xml:space="preserve">.  </w:t>
      </w:r>
      <w:r w:rsidR="001B185B">
        <w:rPr>
          <w:sz w:val="24"/>
          <w:szCs w:val="24"/>
        </w:rPr>
        <w:t>Without the reporting required under Commission regulation 50.51, by reference to Commission regulation 50.50(b), the Commission would not be able to adequately monitor and prevent abuse of the cooperative exemption to the Commission’s swap clearing requirement.</w:t>
      </w:r>
    </w:p>
    <w:p w:rsidR="006C6E3E" w:rsidP="007962B7" w14:paraId="6C8DE06F" w14:textId="482F2F4A">
      <w:pPr>
        <w:tabs>
          <w:tab w:val="left" w:pos="-720"/>
          <w:tab w:val="left" w:pos="0"/>
          <w:tab w:val="left" w:pos="720"/>
        </w:tabs>
        <w:suppressAutoHyphens/>
        <w:spacing w:after="240"/>
        <w:ind w:left="1440" w:hanging="1440"/>
        <w:rPr>
          <w:sz w:val="24"/>
          <w:szCs w:val="24"/>
          <w:u w:val="single"/>
        </w:rPr>
      </w:pPr>
      <w:r w:rsidRPr="003B2AD2">
        <w:rPr>
          <w:sz w:val="24"/>
          <w:szCs w:val="24"/>
        </w:rPr>
        <w:tab/>
        <w:t>-</w:t>
      </w:r>
      <w:r w:rsidRPr="003B2AD2">
        <w:rPr>
          <w:sz w:val="24"/>
          <w:szCs w:val="24"/>
        </w:rPr>
        <w:tab/>
      </w:r>
      <w:r w:rsidRPr="00212703">
        <w:rPr>
          <w:b/>
          <w:sz w:val="24"/>
          <w:szCs w:val="24"/>
          <w:u w:val="single"/>
        </w:rPr>
        <w:t>requiring respondents to prepare a written response to a collection of information in fewer than 30 days after receipt of it:</w:t>
      </w:r>
    </w:p>
    <w:p w:rsidR="00B35608" w:rsidRPr="00B35608" w:rsidP="00255E8C" w14:paraId="71C4A8AC" w14:textId="37F0D33F">
      <w:pPr>
        <w:tabs>
          <w:tab w:val="left" w:pos="-720"/>
          <w:tab w:val="left" w:pos="0"/>
          <w:tab w:val="left" w:pos="720"/>
        </w:tabs>
        <w:suppressAutoHyphens/>
        <w:spacing w:after="240"/>
        <w:ind w:left="1440"/>
        <w:rPr>
          <w:sz w:val="24"/>
          <w:szCs w:val="24"/>
        </w:rPr>
      </w:pPr>
      <w:r>
        <w:rPr>
          <w:sz w:val="24"/>
          <w:szCs w:val="24"/>
        </w:rPr>
        <w:t>This regulation does not impose a deadline</w:t>
      </w:r>
      <w:r w:rsidR="00EF6F69">
        <w:rPr>
          <w:sz w:val="24"/>
          <w:szCs w:val="24"/>
        </w:rPr>
        <w:t>.</w:t>
      </w:r>
      <w:r w:rsidR="00310673">
        <w:rPr>
          <w:sz w:val="24"/>
          <w:szCs w:val="24"/>
        </w:rPr>
        <w:t xml:space="preserve">  </w:t>
      </w:r>
      <w:r w:rsidR="00DF3580">
        <w:rPr>
          <w:sz w:val="24"/>
          <w:szCs w:val="24"/>
        </w:rPr>
        <w:t>Commission regulation</w:t>
      </w:r>
      <w:r w:rsidR="00445211">
        <w:rPr>
          <w:sz w:val="24"/>
          <w:szCs w:val="24"/>
        </w:rPr>
        <w:t>s</w:t>
      </w:r>
      <w:r w:rsidR="00310673">
        <w:rPr>
          <w:sz w:val="24"/>
          <w:szCs w:val="24"/>
        </w:rPr>
        <w:t xml:space="preserve"> require reporting of the election of the clearing exemption for each swap for which the exemption is elected</w:t>
      </w:r>
      <w:r w:rsidR="00B46CEC">
        <w:rPr>
          <w:sz w:val="24"/>
          <w:szCs w:val="24"/>
        </w:rPr>
        <w:t>, on a swap-by-swap or annual basis</w:t>
      </w:r>
      <w:r w:rsidR="00310673">
        <w:rPr>
          <w:sz w:val="24"/>
          <w:szCs w:val="24"/>
        </w:rPr>
        <w:t>.</w:t>
      </w:r>
    </w:p>
    <w:p w:rsidR="006C6E3E" w:rsidP="007962B7" w14:paraId="11201502" w14:textId="50F5E8E1">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212703">
        <w:rPr>
          <w:b/>
          <w:sz w:val="24"/>
          <w:szCs w:val="24"/>
          <w:u w:val="single"/>
        </w:rPr>
        <w:t>requiring respondents to submit more tha</w:t>
      </w:r>
      <w:r w:rsidRPr="00212703" w:rsidR="00C408BB">
        <w:rPr>
          <w:b/>
          <w:sz w:val="24"/>
          <w:szCs w:val="24"/>
          <w:u w:val="single"/>
        </w:rPr>
        <w:t>n</w:t>
      </w:r>
      <w:r w:rsidRPr="00212703">
        <w:rPr>
          <w:b/>
          <w:sz w:val="24"/>
          <w:szCs w:val="24"/>
          <w:u w:val="single"/>
        </w:rPr>
        <w:t xml:space="preserve"> an original and two copies of any document</w:t>
      </w:r>
      <w:r w:rsidRPr="00212703">
        <w:rPr>
          <w:b/>
          <w:sz w:val="24"/>
          <w:szCs w:val="24"/>
        </w:rPr>
        <w:t>;</w:t>
      </w:r>
    </w:p>
    <w:p w:rsidR="006C6E3E" w:rsidRPr="003B2AD2" w:rsidP="00255E8C" w14:paraId="16D29571" w14:textId="04E2DFAC">
      <w:pPr>
        <w:tabs>
          <w:tab w:val="left" w:pos="-720"/>
          <w:tab w:val="left" w:pos="0"/>
          <w:tab w:val="left" w:pos="720"/>
        </w:tabs>
        <w:suppressAutoHyphens/>
        <w:spacing w:after="240"/>
        <w:ind w:left="1440"/>
        <w:rPr>
          <w:sz w:val="24"/>
          <w:szCs w:val="24"/>
        </w:rPr>
      </w:pPr>
      <w:r>
        <w:rPr>
          <w:sz w:val="24"/>
          <w:szCs w:val="24"/>
        </w:rPr>
        <w:t xml:space="preserve">Exempt cooperatives </w:t>
      </w:r>
      <w:r w:rsidRPr="00B35608" w:rsidR="00B35608">
        <w:rPr>
          <w:sz w:val="24"/>
          <w:szCs w:val="24"/>
        </w:rPr>
        <w:t>are required to submit only single copies of documents.</w:t>
      </w:r>
    </w:p>
    <w:p w:rsidR="006C6E3E" w:rsidP="007962B7" w14:paraId="6AD591DE" w14:textId="4D9E84D1">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212703">
        <w:rPr>
          <w:b/>
          <w:sz w:val="24"/>
          <w:szCs w:val="24"/>
          <w:u w:val="single"/>
        </w:rPr>
        <w:t>requiring respondents to retain records other than health, medical, government contract, grant-in-aid, or tax records, for more than three years</w:t>
      </w:r>
      <w:r w:rsidRPr="00212703">
        <w:rPr>
          <w:b/>
          <w:sz w:val="24"/>
          <w:szCs w:val="24"/>
        </w:rPr>
        <w:t>;</w:t>
      </w:r>
    </w:p>
    <w:p w:rsidR="003B2AD2" w:rsidRPr="003B2AD2" w:rsidP="000D7B05" w14:paraId="1101C14C" w14:textId="7FDD18B7">
      <w:pPr>
        <w:tabs>
          <w:tab w:val="left" w:pos="-720"/>
        </w:tabs>
        <w:suppressAutoHyphens/>
        <w:spacing w:after="240"/>
        <w:ind w:left="1440"/>
        <w:rPr>
          <w:sz w:val="24"/>
          <w:szCs w:val="24"/>
        </w:rPr>
      </w:pPr>
      <w:r>
        <w:rPr>
          <w:sz w:val="24"/>
          <w:szCs w:val="24"/>
        </w:rPr>
        <w:t>None</w:t>
      </w:r>
      <w:r w:rsidRPr="00B35608">
        <w:rPr>
          <w:sz w:val="24"/>
          <w:szCs w:val="24"/>
        </w:rPr>
        <w:t>.</w:t>
      </w:r>
    </w:p>
    <w:p w:rsidR="006C6E3E" w:rsidP="007962B7" w14:paraId="2BEF97F7" w14:textId="7CE6C515">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212703">
        <w:rPr>
          <w:b/>
          <w:sz w:val="24"/>
          <w:szCs w:val="24"/>
          <w:u w:val="single"/>
        </w:rPr>
        <w:t>in connection with a statistical survey, that is not designed to produce valid and reliable results that can be generalized to the universe of study</w:t>
      </w:r>
      <w:r w:rsidRPr="00212703">
        <w:rPr>
          <w:b/>
          <w:sz w:val="24"/>
          <w:szCs w:val="24"/>
        </w:rPr>
        <w:t>;</w:t>
      </w:r>
    </w:p>
    <w:p w:rsidR="003B2AD2" w:rsidRPr="003B2AD2" w:rsidP="00255E8C" w14:paraId="6D41EF3C" w14:textId="5D7D991A">
      <w:pPr>
        <w:tabs>
          <w:tab w:val="left" w:pos="-720"/>
          <w:tab w:val="left" w:pos="0"/>
          <w:tab w:val="left" w:pos="720"/>
        </w:tabs>
        <w:suppressAutoHyphens/>
        <w:spacing w:after="240"/>
        <w:ind w:left="1440"/>
        <w:rPr>
          <w:sz w:val="24"/>
          <w:szCs w:val="24"/>
        </w:rPr>
      </w:pPr>
      <w:r>
        <w:rPr>
          <w:sz w:val="24"/>
          <w:szCs w:val="24"/>
        </w:rPr>
        <w:t>No statistical surveys are involved.</w:t>
      </w:r>
    </w:p>
    <w:p w:rsidR="00F658F1" w:rsidP="007962B7" w14:paraId="7B82EF80" w14:textId="669B12C4">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2F5708">
        <w:rPr>
          <w:b/>
          <w:sz w:val="24"/>
          <w:szCs w:val="24"/>
          <w:u w:val="single"/>
        </w:rPr>
        <w:t>requiring the use of a statistical data classification that has not been reviewed and approved by OMB</w:t>
      </w:r>
      <w:r w:rsidRPr="002F5708">
        <w:rPr>
          <w:b/>
          <w:sz w:val="24"/>
          <w:szCs w:val="24"/>
        </w:rPr>
        <w:t>;</w:t>
      </w:r>
    </w:p>
    <w:p w:rsidR="00F658F1" w:rsidRPr="003B2AD2" w:rsidP="00255E8C" w14:paraId="692B09B8" w14:textId="2C13720B">
      <w:pPr>
        <w:tabs>
          <w:tab w:val="left" w:pos="-720"/>
          <w:tab w:val="left" w:pos="0"/>
          <w:tab w:val="left" w:pos="720"/>
        </w:tabs>
        <w:suppressAutoHyphens/>
        <w:spacing w:after="240"/>
        <w:ind w:left="1440"/>
        <w:rPr>
          <w:sz w:val="24"/>
          <w:szCs w:val="24"/>
        </w:rPr>
      </w:pPr>
      <w:r>
        <w:rPr>
          <w:sz w:val="24"/>
          <w:szCs w:val="24"/>
        </w:rPr>
        <w:t>The requirements do not involve use of any statistical data classification.</w:t>
      </w:r>
    </w:p>
    <w:p w:rsidR="00F658F1" w:rsidP="007962B7" w14:paraId="099AC93F" w14:textId="464ED2D8">
      <w:pPr>
        <w:tabs>
          <w:tab w:val="left" w:pos="-720"/>
          <w:tab w:val="left" w:pos="0"/>
          <w:tab w:val="left" w:pos="720"/>
        </w:tabs>
        <w:suppressAutoHyphens/>
        <w:spacing w:after="240"/>
        <w:ind w:left="1440" w:hanging="1440"/>
        <w:rPr>
          <w:sz w:val="24"/>
          <w:szCs w:val="24"/>
          <w:u w:val="single"/>
        </w:rPr>
      </w:pPr>
      <w:r w:rsidRPr="003B2AD2">
        <w:rPr>
          <w:sz w:val="24"/>
          <w:szCs w:val="24"/>
        </w:rPr>
        <w:tab/>
        <w:t>-</w:t>
      </w:r>
      <w:r w:rsidRPr="003B2AD2">
        <w:rPr>
          <w:sz w:val="24"/>
          <w:szCs w:val="24"/>
        </w:rPr>
        <w:tab/>
      </w:r>
      <w:r w:rsidRPr="002F5708">
        <w:rPr>
          <w:b/>
          <w:sz w:val="24"/>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3B2AD2" w:rsidRPr="003B2AD2" w:rsidP="00255E8C" w14:paraId="0672C38B" w14:textId="40CE3323">
      <w:pPr>
        <w:tabs>
          <w:tab w:val="left" w:pos="-720"/>
          <w:tab w:val="left" w:pos="0"/>
          <w:tab w:val="left" w:pos="720"/>
        </w:tabs>
        <w:suppressAutoHyphens/>
        <w:spacing w:after="240"/>
        <w:ind w:left="1440"/>
        <w:rPr>
          <w:sz w:val="24"/>
          <w:szCs w:val="24"/>
        </w:rPr>
      </w:pPr>
      <w:r>
        <w:rPr>
          <w:sz w:val="24"/>
          <w:szCs w:val="24"/>
        </w:rPr>
        <w:t>The requirements do not involve a pledge of confidentiality regarding the collection of data</w:t>
      </w:r>
      <w:r w:rsidR="00F771AF">
        <w:rPr>
          <w:sz w:val="24"/>
          <w:szCs w:val="24"/>
        </w:rPr>
        <w:t xml:space="preserve"> that is not supported by statutory authority</w:t>
      </w:r>
      <w:r>
        <w:rPr>
          <w:sz w:val="24"/>
          <w:szCs w:val="24"/>
        </w:rPr>
        <w:t>.</w:t>
      </w:r>
    </w:p>
    <w:p w:rsidR="00F658F1" w:rsidP="007962B7" w14:paraId="3765492A" w14:textId="45F01424">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2F5708">
        <w:rPr>
          <w:b/>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2F5708">
        <w:rPr>
          <w:b/>
          <w:sz w:val="24"/>
          <w:szCs w:val="24"/>
        </w:rPr>
        <w:t>.</w:t>
      </w:r>
    </w:p>
    <w:p w:rsidR="00EE6F54" w:rsidRPr="003B2AD2" w:rsidP="00255E8C" w14:paraId="0413DC96" w14:textId="3A431672">
      <w:pPr>
        <w:tabs>
          <w:tab w:val="left" w:pos="-720"/>
          <w:tab w:val="left" w:pos="0"/>
          <w:tab w:val="left" w:pos="720"/>
        </w:tabs>
        <w:suppressAutoHyphens/>
        <w:spacing w:after="240"/>
        <w:ind w:left="1440"/>
        <w:rPr>
          <w:sz w:val="24"/>
          <w:szCs w:val="24"/>
        </w:rPr>
      </w:pPr>
      <w:r>
        <w:rPr>
          <w:sz w:val="24"/>
          <w:szCs w:val="24"/>
        </w:rPr>
        <w:t xml:space="preserve">The </w:t>
      </w:r>
      <w:r w:rsidR="00310673">
        <w:rPr>
          <w:sz w:val="24"/>
          <w:szCs w:val="24"/>
        </w:rPr>
        <w:t xml:space="preserve">Commission </w:t>
      </w:r>
      <w:r>
        <w:rPr>
          <w:sz w:val="24"/>
          <w:szCs w:val="24"/>
        </w:rPr>
        <w:t>has procedures to protect the confidentiality of a</w:t>
      </w:r>
      <w:r w:rsidR="00C05A80">
        <w:rPr>
          <w:sz w:val="24"/>
          <w:szCs w:val="24"/>
        </w:rPr>
        <w:t xml:space="preserve"> respondent</w:t>
      </w:r>
      <w:r>
        <w:rPr>
          <w:sz w:val="24"/>
          <w:szCs w:val="24"/>
        </w:rPr>
        <w:t>’s information set forth in</w:t>
      </w:r>
      <w:r w:rsidRPr="00B3166D">
        <w:rPr>
          <w:sz w:val="24"/>
          <w:szCs w:val="24"/>
        </w:rPr>
        <w:t xml:space="preserve"> </w:t>
      </w:r>
      <w:r w:rsidRPr="00B3166D" w:rsidR="00B3166D">
        <w:rPr>
          <w:sz w:val="24"/>
          <w:szCs w:val="24"/>
        </w:rPr>
        <w:t>the Commission’s regulations at parts 145 and 147 of title 17 of the Code of Federal Regulations</w:t>
      </w:r>
      <w:r>
        <w:rPr>
          <w:sz w:val="24"/>
          <w:szCs w:val="24"/>
        </w:rPr>
        <w:t xml:space="preserve">. </w:t>
      </w:r>
      <w:r w:rsidR="008C6AD1">
        <w:rPr>
          <w:sz w:val="24"/>
          <w:szCs w:val="24"/>
        </w:rPr>
        <w:t xml:space="preserve"> Information submitted under Commission regulation 50.51</w:t>
      </w:r>
      <w:r w:rsidRPr="008C6AD1" w:rsidR="008C6AD1">
        <w:rPr>
          <w:sz w:val="24"/>
          <w:szCs w:val="24"/>
        </w:rPr>
        <w:t xml:space="preserve"> is protected by these provisions in the CEA to the maximum extent allowed.</w:t>
      </w:r>
    </w:p>
    <w:p w:rsidR="00EA44FD" w:rsidRPr="002F5708" w:rsidP="007962B7" w14:paraId="318B46AE" w14:textId="7FBCF5FC">
      <w:pPr>
        <w:tabs>
          <w:tab w:val="left" w:pos="-720"/>
          <w:tab w:val="left" w:pos="0"/>
        </w:tabs>
        <w:suppressAutoHyphens/>
        <w:spacing w:after="240"/>
        <w:ind w:left="720" w:hanging="720"/>
        <w:rPr>
          <w:b/>
          <w:sz w:val="24"/>
          <w:szCs w:val="24"/>
          <w:u w:val="single"/>
        </w:rPr>
      </w:pPr>
      <w:r w:rsidRPr="003B2AD2">
        <w:rPr>
          <w:sz w:val="24"/>
          <w:szCs w:val="24"/>
        </w:rPr>
        <w:t>8.</w:t>
      </w:r>
      <w:r w:rsidRPr="003B2AD2">
        <w:rPr>
          <w:sz w:val="24"/>
          <w:szCs w:val="24"/>
        </w:rPr>
        <w:tab/>
      </w:r>
      <w:r w:rsidRPr="002F5708">
        <w:rPr>
          <w:b/>
          <w:sz w:val="24"/>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6AD1" w:rsidRPr="002F5708" w:rsidP="007962B7" w14:paraId="3029ED43" w14:textId="53CD3ED4">
      <w:pPr>
        <w:tabs>
          <w:tab w:val="left" w:pos="-720"/>
          <w:tab w:val="left" w:pos="0"/>
        </w:tabs>
        <w:suppressAutoHyphens/>
        <w:spacing w:after="240"/>
        <w:ind w:left="720" w:hanging="720"/>
        <w:rPr>
          <w:b/>
          <w:sz w:val="24"/>
          <w:szCs w:val="24"/>
          <w:u w:val="single"/>
        </w:rPr>
      </w:pPr>
      <w:r w:rsidRPr="002F5708">
        <w:rPr>
          <w:b/>
          <w:sz w:val="24"/>
          <w:szCs w:val="24"/>
        </w:rPr>
        <w:tab/>
      </w:r>
      <w:r w:rsidRPr="002F5708">
        <w:rPr>
          <w:b/>
          <w:sz w:val="24"/>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C6AD1" w:rsidRPr="003B2AD2" w:rsidP="00255E8C" w14:paraId="6D18824C" w14:textId="7ED67288">
      <w:pPr>
        <w:tabs>
          <w:tab w:val="left" w:pos="-720"/>
        </w:tabs>
        <w:suppressAutoHyphens/>
        <w:spacing w:after="240"/>
        <w:ind w:left="720"/>
        <w:rPr>
          <w:sz w:val="24"/>
          <w:szCs w:val="24"/>
          <w:u w:val="single"/>
        </w:rPr>
      </w:pPr>
      <w:r w:rsidRPr="002F5708">
        <w:rPr>
          <w:b/>
          <w:sz w:val="24"/>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2F5708">
        <w:rPr>
          <w:b/>
          <w:sz w:val="24"/>
          <w:szCs w:val="24"/>
        </w:rPr>
        <w:t>.</w:t>
      </w:r>
    </w:p>
    <w:p w:rsidR="0044499B" w:rsidRPr="00EE6F54" w:rsidP="009D4A62" w14:paraId="03A99A50" w14:textId="737628D4">
      <w:pPr>
        <w:tabs>
          <w:tab w:val="left" w:pos="-720"/>
          <w:tab w:val="left" w:pos="0"/>
          <w:tab w:val="left" w:pos="720"/>
        </w:tabs>
        <w:suppressAutoHyphens/>
        <w:spacing w:after="240"/>
        <w:ind w:left="720"/>
        <w:rPr>
          <w:rStyle w:val="CommentReference"/>
          <w:sz w:val="24"/>
          <w:szCs w:val="24"/>
        </w:rPr>
      </w:pPr>
      <w:r w:rsidRPr="00304A91">
        <w:rPr>
          <w:sz w:val="24"/>
          <w:szCs w:val="24"/>
        </w:rPr>
        <w:t xml:space="preserve">On </w:t>
      </w:r>
      <w:r w:rsidR="009328CC">
        <w:rPr>
          <w:sz w:val="24"/>
          <w:szCs w:val="24"/>
        </w:rPr>
        <w:t xml:space="preserve">July 31, </w:t>
      </w:r>
      <w:r w:rsidRPr="00304A91">
        <w:rPr>
          <w:sz w:val="24"/>
          <w:szCs w:val="24"/>
        </w:rPr>
        <w:t xml:space="preserve">2025, the Commission published in the Federal Register notice of the proposed revision and extension of this information collection and provided 60 days for public comment on the proposed revision and extension, 90 FR </w:t>
      </w:r>
      <w:r w:rsidR="0017032C">
        <w:rPr>
          <w:sz w:val="24"/>
          <w:szCs w:val="24"/>
        </w:rPr>
        <w:t>36028</w:t>
      </w:r>
      <w:r w:rsidRPr="00304A91" w:rsidR="0017032C">
        <w:rPr>
          <w:sz w:val="24"/>
          <w:szCs w:val="24"/>
        </w:rPr>
        <w:t xml:space="preserve"> </w:t>
      </w:r>
      <w:r w:rsidRPr="00304A91">
        <w:rPr>
          <w:sz w:val="24"/>
          <w:szCs w:val="24"/>
        </w:rPr>
        <w:t>(“60-Day Notice”).  The Commission did not receive any relevant comments on the 60-Day Notice.</w:t>
      </w:r>
    </w:p>
    <w:p w:rsidR="003B2AD2" w:rsidRPr="002F5708" w:rsidP="007962B7" w14:paraId="1C91B3D9" w14:textId="77777777">
      <w:pPr>
        <w:tabs>
          <w:tab w:val="left" w:pos="-720"/>
          <w:tab w:val="left" w:pos="0"/>
        </w:tabs>
        <w:suppressAutoHyphens/>
        <w:spacing w:after="240"/>
        <w:ind w:left="720" w:hanging="720"/>
        <w:rPr>
          <w:b/>
          <w:sz w:val="24"/>
          <w:szCs w:val="24"/>
        </w:rPr>
      </w:pPr>
      <w:r w:rsidRPr="002F5708">
        <w:rPr>
          <w:b/>
          <w:sz w:val="24"/>
          <w:szCs w:val="24"/>
        </w:rPr>
        <w:t>9.</w:t>
      </w:r>
      <w:r w:rsidRPr="002F5708">
        <w:rPr>
          <w:b/>
          <w:sz w:val="24"/>
          <w:szCs w:val="24"/>
        </w:rPr>
        <w:tab/>
      </w:r>
      <w:r w:rsidRPr="002F5708">
        <w:rPr>
          <w:b/>
          <w:sz w:val="24"/>
          <w:szCs w:val="24"/>
          <w:u w:val="single"/>
        </w:rPr>
        <w:t>Explain any decision to provide any payment or gift to respondents, other than remuneration of contractors or grantees</w:t>
      </w:r>
      <w:r w:rsidRPr="002F5708">
        <w:rPr>
          <w:b/>
          <w:sz w:val="24"/>
          <w:szCs w:val="24"/>
        </w:rPr>
        <w:t>.</w:t>
      </w:r>
    </w:p>
    <w:p w:rsidR="00EE6F54" w:rsidRPr="002F5708" w:rsidP="005C3395" w14:paraId="159B9723" w14:textId="1030080A">
      <w:pPr>
        <w:tabs>
          <w:tab w:val="left" w:pos="-720"/>
        </w:tabs>
        <w:suppressAutoHyphens/>
        <w:spacing w:after="240"/>
        <w:ind w:left="720"/>
        <w:rPr>
          <w:b/>
          <w:sz w:val="24"/>
          <w:szCs w:val="24"/>
        </w:rPr>
      </w:pPr>
      <w:r>
        <w:rPr>
          <w:sz w:val="24"/>
          <w:szCs w:val="24"/>
        </w:rPr>
        <w:t>This question does not apply.</w:t>
      </w:r>
    </w:p>
    <w:p w:rsidR="00F658F1" w:rsidP="007962B7" w14:paraId="1B9F2627" w14:textId="508B76D8">
      <w:pPr>
        <w:tabs>
          <w:tab w:val="left" w:pos="-720"/>
          <w:tab w:val="left" w:pos="0"/>
        </w:tabs>
        <w:suppressAutoHyphens/>
        <w:spacing w:after="240"/>
        <w:ind w:left="720" w:hanging="720"/>
        <w:rPr>
          <w:sz w:val="24"/>
          <w:szCs w:val="24"/>
        </w:rPr>
      </w:pPr>
      <w:r w:rsidRPr="002F5708">
        <w:rPr>
          <w:b/>
          <w:sz w:val="24"/>
          <w:szCs w:val="24"/>
        </w:rPr>
        <w:t>10.</w:t>
      </w:r>
      <w:r w:rsidRPr="002F5708">
        <w:rPr>
          <w:b/>
          <w:sz w:val="24"/>
          <w:szCs w:val="24"/>
        </w:rPr>
        <w:tab/>
      </w:r>
      <w:r w:rsidRPr="002F5708">
        <w:rPr>
          <w:b/>
          <w:sz w:val="24"/>
          <w:szCs w:val="24"/>
          <w:u w:val="single"/>
        </w:rPr>
        <w:t>Describe any assurance of confidentiality provided to respondents and the basis for the assurance in statute, regulations, or agency policy</w:t>
      </w:r>
      <w:r w:rsidRPr="002F5708">
        <w:rPr>
          <w:b/>
          <w:sz w:val="24"/>
          <w:szCs w:val="24"/>
        </w:rPr>
        <w:t>.</w:t>
      </w:r>
    </w:p>
    <w:p w:rsidR="003B2AD2" w:rsidRPr="002F5708" w:rsidP="005C3395" w14:paraId="3D3021F7" w14:textId="3C3496B9">
      <w:pPr>
        <w:tabs>
          <w:tab w:val="left" w:pos="-720"/>
        </w:tabs>
        <w:suppressAutoHyphens/>
        <w:spacing w:after="240"/>
        <w:ind w:left="720"/>
        <w:rPr>
          <w:b/>
          <w:sz w:val="24"/>
          <w:szCs w:val="24"/>
        </w:rPr>
      </w:pPr>
      <w:r w:rsidRPr="00B3166D">
        <w:rPr>
          <w:sz w:val="24"/>
          <w:szCs w:val="24"/>
        </w:rPr>
        <w:t>The Commission does not provide respondents with an assurance of confidentiality</w:t>
      </w:r>
      <w:r w:rsidR="00A074A9">
        <w:rPr>
          <w:sz w:val="24"/>
          <w:szCs w:val="24"/>
        </w:rPr>
        <w:t xml:space="preserve"> beyond that prov</w:t>
      </w:r>
      <w:r w:rsidR="00356C98">
        <w:rPr>
          <w:sz w:val="24"/>
          <w:szCs w:val="24"/>
        </w:rPr>
        <w:t>ided by applicable law</w:t>
      </w:r>
      <w:r w:rsidRPr="00B3166D">
        <w:rPr>
          <w:sz w:val="24"/>
          <w:szCs w:val="24"/>
        </w:rPr>
        <w:t xml:space="preserve">.  The Commission fully complies with section 8(a)(1) of the </w:t>
      </w:r>
      <w:r w:rsidR="001B41AF">
        <w:rPr>
          <w:sz w:val="24"/>
          <w:szCs w:val="24"/>
        </w:rPr>
        <w:t>CEA</w:t>
      </w:r>
      <w:r w:rsidRPr="00B3166D">
        <w:rPr>
          <w:sz w:val="24"/>
          <w:szCs w:val="24"/>
        </w:rPr>
        <w:t xml:space="preserve">, which strictly prohibits the Commission, unless specifically </w:t>
      </w:r>
      <w:r w:rsidRPr="00B3166D">
        <w:rPr>
          <w:sz w:val="24"/>
          <w:szCs w:val="24"/>
        </w:rPr>
        <w:t xml:space="preserve">authorized by the </w:t>
      </w:r>
      <w:r w:rsidR="001B41AF">
        <w:rPr>
          <w:sz w:val="24"/>
          <w:szCs w:val="24"/>
        </w:rPr>
        <w:t>CEA</w:t>
      </w:r>
      <w:r w:rsidRPr="00B3166D">
        <w:rPr>
          <w:sz w:val="24"/>
          <w:szCs w:val="24"/>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F658F1" w:rsidP="007962B7" w14:paraId="128023E2" w14:textId="1AA259BE">
      <w:pPr>
        <w:tabs>
          <w:tab w:val="left" w:pos="-720"/>
        </w:tabs>
        <w:suppressAutoHyphens/>
        <w:spacing w:after="240"/>
        <w:ind w:left="720" w:hanging="720"/>
        <w:rPr>
          <w:sz w:val="24"/>
          <w:szCs w:val="24"/>
        </w:rPr>
      </w:pPr>
      <w:r w:rsidRPr="002F5708">
        <w:rPr>
          <w:b/>
          <w:sz w:val="24"/>
          <w:szCs w:val="24"/>
        </w:rPr>
        <w:t>11.</w:t>
      </w:r>
      <w:r w:rsidRPr="002F5708">
        <w:rPr>
          <w:b/>
          <w:sz w:val="24"/>
          <w:szCs w:val="24"/>
        </w:rPr>
        <w:tab/>
      </w:r>
      <w:r w:rsidRPr="002F5708">
        <w:rPr>
          <w:b/>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2F5708">
        <w:rPr>
          <w:b/>
          <w:sz w:val="24"/>
          <w:szCs w:val="24"/>
        </w:rPr>
        <w:t>.</w:t>
      </w:r>
    </w:p>
    <w:p w:rsidR="003B2AD2" w:rsidRPr="002F5708" w:rsidP="005F5C03" w14:paraId="2153EF75" w14:textId="4AD741F8">
      <w:pPr>
        <w:tabs>
          <w:tab w:val="left" w:pos="-720"/>
        </w:tabs>
        <w:suppressAutoHyphens/>
        <w:spacing w:after="240"/>
        <w:ind w:left="720"/>
        <w:rPr>
          <w:b/>
          <w:sz w:val="24"/>
          <w:szCs w:val="24"/>
        </w:rPr>
      </w:pPr>
      <w:r>
        <w:rPr>
          <w:sz w:val="24"/>
          <w:szCs w:val="24"/>
        </w:rPr>
        <w:t>This question does not apply.  None of the required information is sensitive, as that term is used in Question 11.</w:t>
      </w:r>
    </w:p>
    <w:p w:rsidR="003B2AD2" w:rsidRPr="003B2AD2" w:rsidP="005F5C03" w14:paraId="6903D9EB" w14:textId="679FB081">
      <w:pPr>
        <w:tabs>
          <w:tab w:val="left" w:pos="-720"/>
          <w:tab w:val="left" w:pos="0"/>
        </w:tabs>
        <w:suppressAutoHyphens/>
        <w:spacing w:after="240"/>
        <w:ind w:left="720" w:hanging="720"/>
        <w:rPr>
          <w:sz w:val="24"/>
          <w:szCs w:val="24"/>
        </w:rPr>
      </w:pPr>
      <w:r w:rsidRPr="002F5708">
        <w:rPr>
          <w:b/>
          <w:sz w:val="24"/>
          <w:szCs w:val="24"/>
        </w:rPr>
        <w:t>12.</w:t>
      </w:r>
      <w:r w:rsidRPr="002F5708">
        <w:rPr>
          <w:b/>
          <w:sz w:val="24"/>
          <w:szCs w:val="24"/>
        </w:rPr>
        <w:tab/>
      </w:r>
      <w:r w:rsidRPr="002F5708">
        <w:rPr>
          <w:b/>
          <w:sz w:val="24"/>
          <w:szCs w:val="24"/>
          <w:u w:val="single"/>
        </w:rPr>
        <w:t>Provide estimates of the hour burden of the collection of information.  The Statement should</w:t>
      </w:r>
      <w:r w:rsidRPr="002F5708">
        <w:rPr>
          <w:b/>
          <w:sz w:val="24"/>
          <w:szCs w:val="24"/>
        </w:rPr>
        <w:t>:</w:t>
      </w:r>
    </w:p>
    <w:p w:rsidR="003B2AD2" w:rsidRPr="002F5708" w:rsidP="005F5C03" w14:paraId="5228A1D2" w14:textId="5B1AA83C">
      <w:pPr>
        <w:tabs>
          <w:tab w:val="left" w:pos="-720"/>
          <w:tab w:val="left" w:pos="0"/>
          <w:tab w:val="left" w:pos="720"/>
        </w:tabs>
        <w:suppressAutoHyphens/>
        <w:spacing w:after="240"/>
        <w:ind w:left="1440" w:hanging="1440"/>
        <w:rPr>
          <w:b/>
          <w:sz w:val="24"/>
          <w:szCs w:val="24"/>
        </w:rPr>
      </w:pPr>
      <w:r w:rsidRPr="003B2AD2">
        <w:rPr>
          <w:sz w:val="24"/>
          <w:szCs w:val="24"/>
        </w:rPr>
        <w:tab/>
        <w:t>-</w:t>
      </w:r>
      <w:r w:rsidRPr="003B2AD2">
        <w:rPr>
          <w:sz w:val="24"/>
          <w:szCs w:val="24"/>
        </w:rPr>
        <w:tab/>
      </w:r>
      <w:r w:rsidRPr="002F5708">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B2AD2" w:rsidRPr="002F5708" w:rsidP="005F5C03" w14:paraId="2F00EC51" w14:textId="6C7C48D5">
      <w:pPr>
        <w:tabs>
          <w:tab w:val="left" w:pos="-720"/>
          <w:tab w:val="left" w:pos="0"/>
          <w:tab w:val="left" w:pos="720"/>
        </w:tabs>
        <w:suppressAutoHyphens/>
        <w:spacing w:after="240"/>
        <w:ind w:left="1440" w:hanging="1440"/>
        <w:rPr>
          <w:b/>
          <w:sz w:val="24"/>
          <w:szCs w:val="24"/>
        </w:rPr>
      </w:pPr>
      <w:r w:rsidRPr="002F5708">
        <w:rPr>
          <w:b/>
          <w:sz w:val="24"/>
          <w:szCs w:val="24"/>
        </w:rPr>
        <w:tab/>
        <w:t>-</w:t>
      </w:r>
      <w:r w:rsidRPr="002F5708">
        <w:rPr>
          <w:b/>
          <w:sz w:val="24"/>
          <w:szCs w:val="24"/>
        </w:rPr>
        <w:tab/>
        <w:t>If the request for approval covers more than one form, provide separate hour burden estimates for each form and aggregate the hour burdens in Item 13 of OMB Form 83-I.</w:t>
      </w:r>
    </w:p>
    <w:p w:rsidR="007C3CD2" w:rsidP="007962B7" w14:paraId="4F38DF35" w14:textId="44503B27">
      <w:pPr>
        <w:tabs>
          <w:tab w:val="left" w:pos="-720"/>
          <w:tab w:val="left" w:pos="0"/>
          <w:tab w:val="left" w:pos="720"/>
        </w:tabs>
        <w:suppressAutoHyphens/>
        <w:spacing w:after="240"/>
        <w:ind w:left="1440" w:hanging="1440"/>
        <w:rPr>
          <w:sz w:val="24"/>
          <w:szCs w:val="24"/>
        </w:rPr>
      </w:pPr>
      <w:r w:rsidRPr="002F5708">
        <w:rPr>
          <w:b/>
          <w:sz w:val="24"/>
          <w:szCs w:val="24"/>
        </w:rPr>
        <w:tab/>
        <w:t>-</w:t>
      </w:r>
      <w:r w:rsidRPr="002F5708">
        <w:rPr>
          <w:b/>
          <w:sz w:val="24"/>
          <w:szCs w:val="24"/>
        </w:rPr>
        <w:tab/>
        <w:t>Provide estimates of annualized cost to respondents for the hours burdens for collections of information, identifying and using appropriate wage rate categories.  The cost of contracting ou</w:t>
      </w:r>
      <w:r w:rsidRPr="002F5708" w:rsidR="00780244">
        <w:rPr>
          <w:b/>
          <w:sz w:val="24"/>
          <w:szCs w:val="24"/>
        </w:rPr>
        <w:t>t</w:t>
      </w:r>
      <w:r w:rsidRPr="002F5708">
        <w:rPr>
          <w:b/>
          <w:sz w:val="24"/>
          <w:szCs w:val="24"/>
        </w:rPr>
        <w:t xml:space="preserve"> or paying outside parties for information collection activities should not be included here.  Instead, this cost should be included in Item 13.</w:t>
      </w:r>
    </w:p>
    <w:p w:rsidR="00B96FBF" w:rsidP="007962B7" w14:paraId="19777B7B" w14:textId="30F29B7E">
      <w:pPr>
        <w:pStyle w:val="FootnoteText"/>
        <w:spacing w:after="240"/>
        <w:ind w:left="720"/>
        <w:rPr>
          <w:sz w:val="24"/>
          <w:szCs w:val="24"/>
        </w:rPr>
      </w:pPr>
      <w:r w:rsidRPr="00D921B8">
        <w:rPr>
          <w:i/>
          <w:sz w:val="24"/>
          <w:szCs w:val="24"/>
        </w:rPr>
        <w:t>See</w:t>
      </w:r>
      <w:r>
        <w:rPr>
          <w:sz w:val="24"/>
          <w:szCs w:val="24"/>
        </w:rPr>
        <w:t xml:space="preserve"> Attachment A.</w:t>
      </w:r>
    </w:p>
    <w:p w:rsidR="008C402B" w:rsidP="007962B7" w14:paraId="17C8CD91" w14:textId="73216D86">
      <w:pPr>
        <w:pStyle w:val="FootnoteText"/>
        <w:spacing w:after="240"/>
        <w:ind w:left="720"/>
        <w:rPr>
          <w:sz w:val="24"/>
          <w:szCs w:val="24"/>
        </w:rPr>
      </w:pPr>
      <w:bookmarkStart w:id="0" w:name="_Hlk108788412"/>
      <w:r>
        <w:rPr>
          <w:sz w:val="24"/>
          <w:szCs w:val="24"/>
        </w:rPr>
        <w:t>Commission staff</w:t>
      </w:r>
      <w:r w:rsidRPr="00532416">
        <w:rPr>
          <w:sz w:val="24"/>
          <w:szCs w:val="24"/>
        </w:rPr>
        <w:t xml:space="preserve"> estimates that </w:t>
      </w:r>
      <w:r w:rsidRPr="00FB75B8">
        <w:rPr>
          <w:sz w:val="24"/>
          <w:szCs w:val="24"/>
        </w:rPr>
        <w:t>25</w:t>
      </w:r>
      <w:r w:rsidRPr="00532416">
        <w:rPr>
          <w:sz w:val="24"/>
          <w:szCs w:val="24"/>
        </w:rPr>
        <w:t xml:space="preserve"> respondents </w:t>
      </w:r>
      <w:r>
        <w:rPr>
          <w:sz w:val="24"/>
          <w:szCs w:val="24"/>
        </w:rPr>
        <w:t>will each file one response</w:t>
      </w:r>
      <w:r w:rsidRPr="00532416">
        <w:rPr>
          <w:sz w:val="24"/>
          <w:szCs w:val="24"/>
        </w:rPr>
        <w:t xml:space="preserve"> annually.</w:t>
      </w:r>
      <w:r>
        <w:rPr>
          <w:sz w:val="24"/>
          <w:szCs w:val="24"/>
        </w:rPr>
        <w:t xml:space="preserve">  After reviewing SDR data </w:t>
      </w:r>
      <w:r w:rsidR="00315B13">
        <w:rPr>
          <w:sz w:val="24"/>
          <w:szCs w:val="24"/>
        </w:rPr>
        <w:t>dating back to 2016</w:t>
      </w:r>
      <w:r>
        <w:rPr>
          <w:sz w:val="24"/>
          <w:szCs w:val="24"/>
        </w:rPr>
        <w:t xml:space="preserve">, </w:t>
      </w:r>
      <w:r w:rsidR="00387DBA">
        <w:rPr>
          <w:sz w:val="24"/>
          <w:szCs w:val="24"/>
        </w:rPr>
        <w:t xml:space="preserve">Commission staff </w:t>
      </w:r>
      <w:r w:rsidR="00960024">
        <w:rPr>
          <w:sz w:val="24"/>
          <w:szCs w:val="24"/>
        </w:rPr>
        <w:t xml:space="preserve">has </w:t>
      </w:r>
      <w:r w:rsidR="00DF176B">
        <w:rPr>
          <w:sz w:val="24"/>
          <w:szCs w:val="24"/>
        </w:rPr>
        <w:t>estimated</w:t>
      </w:r>
      <w:r w:rsidR="006C0FE3">
        <w:rPr>
          <w:sz w:val="24"/>
          <w:szCs w:val="24"/>
        </w:rPr>
        <w:t xml:space="preserve"> </w:t>
      </w:r>
      <w:r w:rsidR="00960024">
        <w:rPr>
          <w:sz w:val="24"/>
          <w:szCs w:val="24"/>
        </w:rPr>
        <w:t xml:space="preserve">approximately </w:t>
      </w:r>
      <w:r w:rsidRPr="00AA64EC" w:rsidR="00960024">
        <w:rPr>
          <w:sz w:val="24"/>
          <w:szCs w:val="24"/>
        </w:rPr>
        <w:t>25</w:t>
      </w:r>
      <w:r>
        <w:rPr>
          <w:sz w:val="24"/>
          <w:szCs w:val="24"/>
        </w:rPr>
        <w:t xml:space="preserve"> cooperatives </w:t>
      </w:r>
      <w:r w:rsidR="00BD7270">
        <w:rPr>
          <w:sz w:val="24"/>
          <w:szCs w:val="24"/>
        </w:rPr>
        <w:t>would qualify as respondents to this collection of information</w:t>
      </w:r>
      <w:r>
        <w:rPr>
          <w:sz w:val="24"/>
          <w:szCs w:val="24"/>
        </w:rPr>
        <w:t xml:space="preserve">.  </w:t>
      </w:r>
      <w:r w:rsidR="00387DBA">
        <w:rPr>
          <w:sz w:val="24"/>
          <w:szCs w:val="24"/>
        </w:rPr>
        <w:t>Commission staff</w:t>
      </w:r>
      <w:r w:rsidR="0086458F">
        <w:rPr>
          <w:sz w:val="24"/>
          <w:szCs w:val="24"/>
        </w:rPr>
        <w:t xml:space="preserve"> based this estimate on </w:t>
      </w:r>
      <w:r w:rsidR="005944D3">
        <w:rPr>
          <w:sz w:val="24"/>
          <w:szCs w:val="24"/>
        </w:rPr>
        <w:t xml:space="preserve">end-user exception reports available from </w:t>
      </w:r>
      <w:r w:rsidR="007D03BD">
        <w:rPr>
          <w:sz w:val="24"/>
          <w:szCs w:val="24"/>
        </w:rPr>
        <w:t>an SDR</w:t>
      </w:r>
      <w:r w:rsidR="00810FEF">
        <w:rPr>
          <w:sz w:val="24"/>
          <w:szCs w:val="24"/>
        </w:rPr>
        <w:t xml:space="preserve">—which </w:t>
      </w:r>
      <w:r w:rsidR="00A36EE2">
        <w:rPr>
          <w:sz w:val="24"/>
          <w:szCs w:val="24"/>
        </w:rPr>
        <w:t>provide</w:t>
      </w:r>
      <w:r w:rsidR="006653BE">
        <w:rPr>
          <w:sz w:val="24"/>
          <w:szCs w:val="24"/>
        </w:rPr>
        <w:t>s</w:t>
      </w:r>
      <w:r w:rsidR="00A36EE2">
        <w:rPr>
          <w:sz w:val="24"/>
          <w:szCs w:val="24"/>
        </w:rPr>
        <w:t xml:space="preserve"> information on cooperative exemption elections</w:t>
      </w:r>
      <w:r w:rsidR="00810FEF">
        <w:rPr>
          <w:sz w:val="24"/>
          <w:szCs w:val="24"/>
        </w:rPr>
        <w:t>—</w:t>
      </w:r>
      <w:r w:rsidR="00D67F91">
        <w:rPr>
          <w:sz w:val="24"/>
          <w:szCs w:val="24"/>
        </w:rPr>
        <w:t>as well as historical trends observed by the Commission</w:t>
      </w:r>
      <w:r w:rsidR="005944D3">
        <w:rPr>
          <w:sz w:val="24"/>
          <w:szCs w:val="24"/>
        </w:rPr>
        <w:t>.</w:t>
      </w:r>
      <w:r w:rsidR="00387DBA">
        <w:rPr>
          <w:sz w:val="24"/>
          <w:szCs w:val="24"/>
        </w:rPr>
        <w:t xml:space="preserve">  </w:t>
      </w:r>
      <w:bookmarkEnd w:id="0"/>
      <w:r w:rsidR="00565E92">
        <w:rPr>
          <w:sz w:val="24"/>
          <w:szCs w:val="24"/>
        </w:rPr>
        <w:t xml:space="preserve">This estimate is </w:t>
      </w:r>
      <w:r w:rsidR="00565E92">
        <w:rPr>
          <w:sz w:val="24"/>
          <w:szCs w:val="24"/>
        </w:rPr>
        <w:t>unchanged from the current request for OMB approval of information collection under OMB 3038-0102.</w:t>
      </w:r>
    </w:p>
    <w:p w:rsidR="00E350AC" w:rsidP="007962B7" w14:paraId="62FD4FAB" w14:textId="180DBE2D">
      <w:pPr>
        <w:pStyle w:val="FootnoteText"/>
        <w:spacing w:after="240"/>
        <w:ind w:left="720"/>
        <w:rPr>
          <w:sz w:val="24"/>
          <w:szCs w:val="24"/>
        </w:rPr>
      </w:pPr>
      <w:r>
        <w:rPr>
          <w:sz w:val="24"/>
          <w:szCs w:val="24"/>
        </w:rPr>
        <w:t>Each response is expected to require approximately one hour.  The Commission expects that it may take an exempt cooperative between 30 minutes and 90 minutes to fill out the annual election form.  This estimate is unchanged from the original request for OMB approval of information collection under OMB 3038-0102.  Based on this range, the Commission estimates that each of the 25 respondents will spend one hour preparing and submitting the annual form electing the cooperative exemption from the swap clearing requirement.  The average hourly burden of one hour is in line with Commission’s previous estimate and estimates in information collection notices for the end</w:t>
      </w:r>
      <w:r w:rsidR="00020BAE">
        <w:rPr>
          <w:sz w:val="24"/>
          <w:szCs w:val="24"/>
        </w:rPr>
        <w:t xml:space="preserve">-user exception </w:t>
      </w:r>
      <w:r>
        <w:rPr>
          <w:sz w:val="24"/>
          <w:szCs w:val="24"/>
        </w:rPr>
        <w:t>and inter-affiliate exemption.</w:t>
      </w:r>
    </w:p>
    <w:p w:rsidR="003B2AD2" w:rsidP="00AE5814" w14:paraId="5B912873" w14:textId="7C05970D">
      <w:pPr>
        <w:pStyle w:val="FootnoteText"/>
        <w:spacing w:after="240"/>
        <w:ind w:left="720"/>
        <w:rPr>
          <w:sz w:val="24"/>
          <w:szCs w:val="24"/>
        </w:rPr>
      </w:pPr>
      <w:r>
        <w:rPr>
          <w:sz w:val="24"/>
          <w:szCs w:val="24"/>
        </w:rPr>
        <w:t xml:space="preserve">The total annual hour burden for this information collection is estimated to be 25 hours, in aggregate, for all respondents.  </w:t>
      </w:r>
      <w:r w:rsidR="00E350AC">
        <w:rPr>
          <w:sz w:val="24"/>
          <w:szCs w:val="24"/>
        </w:rPr>
        <w:t>The</w:t>
      </w:r>
      <w:r w:rsidR="007F1474">
        <w:rPr>
          <w:sz w:val="24"/>
          <w:szCs w:val="24"/>
        </w:rPr>
        <w:t xml:space="preserve"> estimate</w:t>
      </w:r>
      <w:r w:rsidR="00E350AC">
        <w:rPr>
          <w:sz w:val="24"/>
          <w:szCs w:val="24"/>
        </w:rPr>
        <w:t>d</w:t>
      </w:r>
      <w:r w:rsidR="007F1474">
        <w:rPr>
          <w:sz w:val="24"/>
          <w:szCs w:val="24"/>
        </w:rPr>
        <w:t xml:space="preserve"> </w:t>
      </w:r>
      <w:r w:rsidR="00E350AC">
        <w:rPr>
          <w:sz w:val="24"/>
          <w:szCs w:val="24"/>
        </w:rPr>
        <w:t xml:space="preserve">total annual hour burden </w:t>
      </w:r>
      <w:r>
        <w:rPr>
          <w:sz w:val="24"/>
          <w:szCs w:val="24"/>
        </w:rPr>
        <w:t xml:space="preserve">assumes that </w:t>
      </w:r>
      <w:r w:rsidR="001A6028">
        <w:rPr>
          <w:sz w:val="24"/>
          <w:szCs w:val="24"/>
        </w:rPr>
        <w:t>approximately two-thirds of exempt cooperatives will file a report on a</w:t>
      </w:r>
      <w:r>
        <w:rPr>
          <w:sz w:val="24"/>
          <w:szCs w:val="24"/>
        </w:rPr>
        <w:t>n annual election form to an SDR indicating tha</w:t>
      </w:r>
      <w:r w:rsidR="001A6028">
        <w:rPr>
          <w:sz w:val="24"/>
          <w:szCs w:val="24"/>
        </w:rPr>
        <w:t>t they are</w:t>
      </w:r>
      <w:r>
        <w:rPr>
          <w:sz w:val="24"/>
          <w:szCs w:val="24"/>
        </w:rPr>
        <w:t xml:space="preserve"> electing the cooperative exemption to the swap clearing requirement</w:t>
      </w:r>
      <w:r w:rsidR="00387DBA">
        <w:rPr>
          <w:sz w:val="24"/>
          <w:szCs w:val="24"/>
        </w:rPr>
        <w:t xml:space="preserve">.  </w:t>
      </w:r>
      <w:r w:rsidR="001A6028">
        <w:rPr>
          <w:sz w:val="24"/>
          <w:szCs w:val="24"/>
        </w:rPr>
        <w:t xml:space="preserve">The estimated total annual hour burden assumes that the remaining one-third of exempt cooperatives will file a report on a swap-by-swap election form to an SDR electing the cooperative exemption.  </w:t>
      </w:r>
      <w:r w:rsidR="00387DBA">
        <w:rPr>
          <w:sz w:val="24"/>
          <w:szCs w:val="24"/>
        </w:rPr>
        <w:t>The number of swap transactions entered into by an exempt cooperative should not change the hourly burden estimate if the exempt cooperative files an annual election form.</w:t>
      </w:r>
      <w:r w:rsidR="00322800">
        <w:rPr>
          <w:sz w:val="24"/>
          <w:szCs w:val="24"/>
        </w:rPr>
        <w:t xml:space="preserve">  </w:t>
      </w:r>
      <w:r w:rsidRPr="00AA64EC" w:rsidR="001A6028">
        <w:rPr>
          <w:sz w:val="24"/>
          <w:szCs w:val="24"/>
        </w:rPr>
        <w:t xml:space="preserve">Based on </w:t>
      </w:r>
      <w:r w:rsidRPr="00AA64EC" w:rsidR="005944D3">
        <w:rPr>
          <w:sz w:val="24"/>
          <w:szCs w:val="24"/>
        </w:rPr>
        <w:t xml:space="preserve">historical </w:t>
      </w:r>
      <w:r w:rsidRPr="00AA64EC" w:rsidR="001A6028">
        <w:rPr>
          <w:sz w:val="24"/>
          <w:szCs w:val="24"/>
        </w:rPr>
        <w:t xml:space="preserve">SDR data observed, </w:t>
      </w:r>
      <w:r w:rsidRPr="00AA64EC" w:rsidR="00322800">
        <w:rPr>
          <w:sz w:val="24"/>
          <w:szCs w:val="24"/>
        </w:rPr>
        <w:t>exempt cooperatives choosing to file a report on the swap-by-swap election form do not submit more than one form per year.</w:t>
      </w:r>
      <w:r w:rsidR="00322800">
        <w:rPr>
          <w:sz w:val="24"/>
          <w:szCs w:val="24"/>
        </w:rPr>
        <w:t xml:space="preserve">  </w:t>
      </w:r>
      <w:r w:rsidR="009E0521">
        <w:rPr>
          <w:sz w:val="24"/>
          <w:szCs w:val="24"/>
        </w:rPr>
        <w:t xml:space="preserve">Commission staff notes that the two forms contain the same information and would require staff at an exempt cooperative to gather the same amount of information.  </w:t>
      </w:r>
      <w:r w:rsidR="00322800">
        <w:rPr>
          <w:sz w:val="24"/>
          <w:szCs w:val="24"/>
        </w:rPr>
        <w:t>Commission staff expects that the annual burden of one hour will be consistent regardless of the type of election form filed because exempt cooperatives are expected to file only one form per year.</w:t>
      </w:r>
    </w:p>
    <w:p w:rsidR="007A4F64" w:rsidRPr="003E69AB" w:rsidP="007962B7" w14:paraId="0A9EEE05" w14:textId="5FC9B226">
      <w:pPr>
        <w:spacing w:after="240"/>
        <w:ind w:left="720"/>
        <w:rPr>
          <w:sz w:val="24"/>
          <w:szCs w:val="24"/>
        </w:rPr>
      </w:pPr>
      <w:bookmarkStart w:id="1" w:name="_Hlk110325545"/>
      <w:r w:rsidRPr="003E69AB">
        <w:rPr>
          <w:sz w:val="24"/>
          <w:szCs w:val="24"/>
        </w:rPr>
        <w:t xml:space="preserve">The estimated average burden cost is $328.77 per hour.  In arriving at a wage rate for the hourly costs imposed, Commission staff used the May 2024 National Occupational Employment and Wage Estimates Report produced by the U.S. Bureau of Labor Statistics (“BLS”), available at </w:t>
      </w:r>
      <w:r w:rsidRPr="003E69AB">
        <w:rPr>
          <w:i/>
          <w:iCs/>
          <w:sz w:val="24"/>
          <w:szCs w:val="24"/>
        </w:rPr>
        <w:t>https://www.bls.gov/oes/current/oes_stru.htm</w:t>
      </w:r>
      <w:r w:rsidRPr="003E69AB">
        <w:rPr>
          <w:sz w:val="24"/>
          <w:szCs w:val="24"/>
        </w:rPr>
        <w:t xml:space="preserve">.  The wage rate used is a composite (blended) wage rate that averages the mean hourly wages of an employee employed in the </w:t>
      </w:r>
      <w:r w:rsidR="00CF60B0">
        <w:rPr>
          <w:sz w:val="24"/>
          <w:szCs w:val="24"/>
        </w:rPr>
        <w:t>“</w:t>
      </w:r>
      <w:r w:rsidRPr="003E69AB">
        <w:rPr>
          <w:sz w:val="24"/>
          <w:szCs w:val="24"/>
        </w:rPr>
        <w:t>Securities, Commodity Contracts, and Other Financial and Investments and Related Activities</w:t>
      </w:r>
      <w:r w:rsidR="00CF60B0">
        <w:rPr>
          <w:sz w:val="24"/>
          <w:szCs w:val="24"/>
        </w:rPr>
        <w:t>”</w:t>
      </w:r>
      <w:r w:rsidRPr="003E69AB">
        <w:rPr>
          <w:sz w:val="24"/>
          <w:szCs w:val="24"/>
        </w:rPr>
        <w:t xml:space="preserve"> Industry under the following relevant occupation codes: 23-1011, </w:t>
      </w:r>
      <w:r w:rsidR="00CF60B0">
        <w:rPr>
          <w:sz w:val="24"/>
          <w:szCs w:val="24"/>
        </w:rPr>
        <w:t>“</w:t>
      </w:r>
      <w:r w:rsidRPr="003E69AB">
        <w:rPr>
          <w:sz w:val="24"/>
          <w:szCs w:val="24"/>
        </w:rPr>
        <w:t>Lawyers</w:t>
      </w:r>
      <w:r w:rsidR="00CF60B0">
        <w:rPr>
          <w:sz w:val="24"/>
          <w:szCs w:val="24"/>
        </w:rPr>
        <w:t>”</w:t>
      </w:r>
      <w:r w:rsidRPr="003E69AB">
        <w:rPr>
          <w:sz w:val="24"/>
          <w:szCs w:val="24"/>
        </w:rPr>
        <w:t xml:space="preserve">; 11-3031, </w:t>
      </w:r>
      <w:r w:rsidR="00CF60B0">
        <w:rPr>
          <w:sz w:val="24"/>
          <w:szCs w:val="24"/>
        </w:rPr>
        <w:t>“</w:t>
      </w:r>
      <w:r w:rsidRPr="003E69AB">
        <w:rPr>
          <w:sz w:val="24"/>
          <w:szCs w:val="24"/>
        </w:rPr>
        <w:t>Financial Managers</w:t>
      </w:r>
      <w:r w:rsidR="00CF60B0">
        <w:rPr>
          <w:sz w:val="24"/>
          <w:szCs w:val="24"/>
        </w:rPr>
        <w:t>”</w:t>
      </w:r>
      <w:r w:rsidRPr="003E69AB">
        <w:rPr>
          <w:sz w:val="24"/>
          <w:szCs w:val="24"/>
        </w:rPr>
        <w:t xml:space="preserve">; and 15-1252, </w:t>
      </w:r>
      <w:r w:rsidR="00CF60B0">
        <w:rPr>
          <w:sz w:val="24"/>
          <w:szCs w:val="24"/>
        </w:rPr>
        <w:t>“</w:t>
      </w:r>
      <w:r w:rsidRPr="003E69AB">
        <w:rPr>
          <w:sz w:val="24"/>
          <w:szCs w:val="24"/>
        </w:rPr>
        <w:t>Software Developers.</w:t>
      </w:r>
      <w:r w:rsidR="00CF60B0">
        <w:rPr>
          <w:sz w:val="24"/>
          <w:szCs w:val="24"/>
        </w:rPr>
        <w:t>”</w:t>
      </w:r>
    </w:p>
    <w:p w:rsidR="009D5DBC" w:rsidP="00AE5814" w14:paraId="58849075" w14:textId="4C9B14B9">
      <w:pPr>
        <w:spacing w:after="240"/>
        <w:ind w:left="720"/>
        <w:rPr>
          <w:sz w:val="24"/>
          <w:szCs w:val="24"/>
        </w:rPr>
      </w:pPr>
      <w:r w:rsidRPr="003E69AB">
        <w:rPr>
          <w:sz w:val="24"/>
          <w:szCs w:val="24"/>
        </w:rPr>
        <w:t>The mean hourly wage for each category is calculated by first obtaining the mean annual salary from the BLS data.  A</w:t>
      </w:r>
      <w:r w:rsidRPr="003E69AB">
        <w:rPr>
          <w:rStyle w:val="normaltextrun"/>
          <w:sz w:val="24"/>
          <w:szCs w:val="24"/>
          <w:shd w:val="clear" w:color="auto" w:fill="FFFFFF"/>
        </w:rPr>
        <w:t>ccording</w:t>
      </w:r>
      <w:r w:rsidR="00A274A9">
        <w:rPr>
          <w:rStyle w:val="normaltextrun"/>
          <w:sz w:val="24"/>
          <w:szCs w:val="24"/>
          <w:shd w:val="clear" w:color="auto" w:fill="FFFFFF"/>
        </w:rPr>
        <w:t xml:space="preserve"> </w:t>
      </w:r>
      <w:r w:rsidRPr="003E69AB">
        <w:rPr>
          <w:rStyle w:val="normaltextrun"/>
          <w:sz w:val="24"/>
          <w:szCs w:val="24"/>
          <w:shd w:val="clear" w:color="auto" w:fill="FFFFFF"/>
        </w:rPr>
        <w:t>to the May 2024 BLS data, the</w:t>
      </w:r>
      <w:r w:rsidR="00A274A9">
        <w:rPr>
          <w:rStyle w:val="normaltextrun"/>
          <w:sz w:val="24"/>
          <w:szCs w:val="24"/>
          <w:shd w:val="clear" w:color="auto" w:fill="FFFFFF"/>
        </w:rPr>
        <w:t xml:space="preserve"> </w:t>
      </w:r>
      <w:r w:rsidRPr="003E69AB">
        <w:rPr>
          <w:rStyle w:val="normaltextrun"/>
          <w:sz w:val="24"/>
          <w:szCs w:val="24"/>
          <w:shd w:val="clear" w:color="auto" w:fill="FFFFFF"/>
        </w:rPr>
        <w:t>mean annual salary for</w:t>
      </w:r>
      <w:r w:rsidR="00A274A9">
        <w:rPr>
          <w:rStyle w:val="normaltextrun"/>
          <w:sz w:val="24"/>
          <w:szCs w:val="24"/>
          <w:shd w:val="clear" w:color="auto" w:fill="FFFFFF"/>
        </w:rPr>
        <w:t xml:space="preserve"> </w:t>
      </w:r>
      <w:r w:rsidRPr="003E69AB">
        <w:rPr>
          <w:rStyle w:val="normaltextrun"/>
          <w:sz w:val="24"/>
          <w:szCs w:val="24"/>
          <w:shd w:val="clear" w:color="auto" w:fill="FFFFFF"/>
        </w:rPr>
        <w:t>the category “Lawyers” (occupation code 23-1011) within the industry “Securities, Commodity Contracts, and Other Financial Investments and Related Activities,” is $266,940.</w:t>
      </w:r>
      <w:r w:rsidR="0099778B">
        <w:rPr>
          <w:rStyle w:val="normaltextrun"/>
          <w:sz w:val="24"/>
          <w:szCs w:val="24"/>
          <w:shd w:val="clear" w:color="auto" w:fill="FFFFFF"/>
        </w:rPr>
        <w:t xml:space="preserve">  </w:t>
      </w:r>
      <w:r w:rsidRPr="003E69AB">
        <w:rPr>
          <w:rStyle w:val="normaltextrun"/>
          <w:i/>
          <w:iCs/>
          <w:sz w:val="24"/>
          <w:szCs w:val="24"/>
          <w:shd w:val="clear" w:color="auto" w:fill="FFFFFF"/>
        </w:rPr>
        <w:t xml:space="preserve">See </w:t>
      </w:r>
      <w:hyperlink r:id="rId6" w:anchor="/industry/523000" w:history="1">
        <w:r w:rsidRPr="003E69AB">
          <w:rPr>
            <w:rStyle w:val="Hyperlink"/>
            <w:sz w:val="24"/>
            <w:szCs w:val="24"/>
            <w:shd w:val="clear" w:color="auto" w:fill="FFFFFF"/>
          </w:rPr>
          <w:t>https://data.bls.gov/oes/#/industry/523000</w:t>
        </w:r>
      </w:hyperlink>
      <w:r w:rsidRPr="003E69AB">
        <w:rPr>
          <w:sz w:val="24"/>
          <w:szCs w:val="24"/>
          <w:shd w:val="clear" w:color="auto" w:fill="FFFFFF"/>
        </w:rPr>
        <w:t xml:space="preserve">.  </w:t>
      </w:r>
      <w:r w:rsidRPr="003E69AB">
        <w:rPr>
          <w:rStyle w:val="normaltextrun"/>
          <w:sz w:val="24"/>
          <w:szCs w:val="24"/>
          <w:shd w:val="clear" w:color="auto" w:fill="FFFFFF"/>
        </w:rPr>
        <w:t>This mean annual salary is (a)</w:t>
      </w:r>
      <w:r w:rsidRPr="003E69AB" w:rsidR="00586040">
        <w:rPr>
          <w:rStyle w:val="normaltextrun"/>
          <w:sz w:val="24"/>
          <w:szCs w:val="24"/>
          <w:shd w:val="clear" w:color="auto" w:fill="FFFFFF"/>
        </w:rPr>
        <w:t> </w:t>
      </w:r>
      <w:r w:rsidRPr="003E69AB">
        <w:rPr>
          <w:rStyle w:val="normaltextrun"/>
          <w:sz w:val="24"/>
          <w:szCs w:val="24"/>
          <w:shd w:val="clear" w:color="auto" w:fill="FFFFFF"/>
        </w:rPr>
        <w:t>divided by 1800 work</w:t>
      </w:r>
      <w:r w:rsidR="00F2264C">
        <w:rPr>
          <w:rStyle w:val="normaltextrun"/>
          <w:sz w:val="24"/>
          <w:szCs w:val="24"/>
          <w:shd w:val="clear" w:color="auto" w:fill="FFFFFF"/>
        </w:rPr>
        <w:t xml:space="preserve"> </w:t>
      </w:r>
      <w:r w:rsidRPr="003E69AB">
        <w:rPr>
          <w:rStyle w:val="normaltextrun"/>
          <w:sz w:val="24"/>
          <w:szCs w:val="24"/>
          <w:shd w:val="clear" w:color="auto" w:fill="FFFFFF"/>
        </w:rPr>
        <w:t>hours in a year to account for sick leave and</w:t>
      </w:r>
      <w:r w:rsidR="00F2264C">
        <w:rPr>
          <w:rStyle w:val="normaltextrun"/>
          <w:sz w:val="24"/>
          <w:szCs w:val="24"/>
          <w:shd w:val="clear" w:color="auto" w:fill="FFFFFF"/>
        </w:rPr>
        <w:t xml:space="preserve"> </w:t>
      </w:r>
      <w:r w:rsidRPr="003E69AB">
        <w:rPr>
          <w:rStyle w:val="normaltextrun"/>
          <w:sz w:val="24"/>
          <w:szCs w:val="24"/>
          <w:shd w:val="clear" w:color="auto" w:fill="FFFFFF"/>
        </w:rPr>
        <w:t>vacations, (b) multiplied by 2.5 to account for</w:t>
      </w:r>
      <w:r w:rsidR="00F2264C">
        <w:rPr>
          <w:rStyle w:val="normaltextrun"/>
          <w:sz w:val="24"/>
          <w:szCs w:val="24"/>
          <w:shd w:val="clear" w:color="auto" w:fill="FFFFFF"/>
        </w:rPr>
        <w:t xml:space="preserve"> </w:t>
      </w:r>
      <w:r w:rsidRPr="003E69AB">
        <w:rPr>
          <w:rStyle w:val="normaltextrun"/>
          <w:sz w:val="24"/>
          <w:szCs w:val="24"/>
          <w:shd w:val="clear" w:color="auto" w:fill="FFFFFF"/>
        </w:rPr>
        <w:t>retirement, health, and other benefits or compensation, as well as for</w:t>
      </w:r>
      <w:r w:rsidR="00586040">
        <w:rPr>
          <w:rStyle w:val="normaltextrun"/>
          <w:sz w:val="24"/>
          <w:szCs w:val="24"/>
          <w:shd w:val="clear" w:color="auto" w:fill="FFFFFF"/>
        </w:rPr>
        <w:t xml:space="preserve"> </w:t>
      </w:r>
      <w:r w:rsidRPr="003E69AB">
        <w:rPr>
          <w:rStyle w:val="normaltextrun"/>
          <w:sz w:val="24"/>
          <w:szCs w:val="24"/>
          <w:shd w:val="clear" w:color="auto" w:fill="FFFFFF"/>
        </w:rPr>
        <w:t>office space, computer equipment support, and</w:t>
      </w:r>
      <w:r w:rsidR="00586040">
        <w:rPr>
          <w:rStyle w:val="normaltextrun"/>
          <w:sz w:val="24"/>
          <w:szCs w:val="24"/>
          <w:shd w:val="clear" w:color="auto" w:fill="FFFFFF"/>
        </w:rPr>
        <w:t xml:space="preserve"> </w:t>
      </w:r>
      <w:r w:rsidRPr="003E69AB">
        <w:rPr>
          <w:rStyle w:val="normaltextrun"/>
          <w:sz w:val="24"/>
          <w:szCs w:val="24"/>
          <w:shd w:val="clear" w:color="auto" w:fill="FFFFFF"/>
        </w:rPr>
        <w:t>human resources support,</w:t>
      </w:r>
      <w:r w:rsidR="00586040">
        <w:rPr>
          <w:rStyle w:val="normaltextrun"/>
          <w:sz w:val="24"/>
          <w:szCs w:val="24"/>
          <w:shd w:val="clear" w:color="auto" w:fill="FFFFFF"/>
        </w:rPr>
        <w:t xml:space="preserve"> </w:t>
      </w:r>
      <w:r w:rsidRPr="003E69AB">
        <w:rPr>
          <w:rStyle w:val="normaltextrun"/>
          <w:sz w:val="24"/>
          <w:szCs w:val="24"/>
          <w:shd w:val="clear" w:color="auto" w:fill="FFFFFF"/>
        </w:rPr>
        <w:t>and (c)</w:t>
      </w:r>
      <w:r w:rsidR="00586040">
        <w:rPr>
          <w:rStyle w:val="normaltextrun"/>
          <w:sz w:val="24"/>
          <w:szCs w:val="24"/>
          <w:shd w:val="clear" w:color="auto" w:fill="FFFFFF"/>
        </w:rPr>
        <w:t xml:space="preserve"> </w:t>
      </w:r>
      <w:r w:rsidRPr="003E69AB">
        <w:rPr>
          <w:rStyle w:val="normaltextrun"/>
          <w:sz w:val="24"/>
          <w:szCs w:val="24"/>
          <w:shd w:val="clear" w:color="auto" w:fill="FFFFFF"/>
        </w:rPr>
        <w:t>further multiplied by</w:t>
      </w:r>
      <w:r w:rsidR="00586040">
        <w:rPr>
          <w:rStyle w:val="normaltextrun"/>
          <w:sz w:val="24"/>
          <w:szCs w:val="24"/>
          <w:shd w:val="clear" w:color="auto" w:fill="FFFFFF"/>
        </w:rPr>
        <w:t xml:space="preserve"> </w:t>
      </w:r>
      <w:r w:rsidRPr="003E69AB">
        <w:rPr>
          <w:rStyle w:val="normaltextrun"/>
          <w:sz w:val="24"/>
          <w:szCs w:val="24"/>
          <w:shd w:val="clear" w:color="auto" w:fill="FFFFFF"/>
        </w:rPr>
        <w:t>1.02167</w:t>
      </w:r>
      <w:r w:rsidR="00586040">
        <w:rPr>
          <w:rStyle w:val="normaltextrun"/>
          <w:sz w:val="24"/>
          <w:szCs w:val="24"/>
          <w:shd w:val="clear" w:color="auto" w:fill="FFFFFF"/>
        </w:rPr>
        <w:t xml:space="preserve"> </w:t>
      </w:r>
      <w:r w:rsidRPr="003E69AB">
        <w:rPr>
          <w:rStyle w:val="normaltextrun"/>
          <w:sz w:val="24"/>
          <w:szCs w:val="24"/>
          <w:shd w:val="clear" w:color="auto" w:fill="FFFFFF"/>
        </w:rPr>
        <w:t xml:space="preserve">to account for the change in the </w:t>
      </w:r>
      <w:r w:rsidRPr="003E69AB">
        <w:rPr>
          <w:rStyle w:val="normaltextrun"/>
          <w:sz w:val="24"/>
          <w:szCs w:val="24"/>
          <w:shd w:val="clear" w:color="auto" w:fill="FFFFFF"/>
        </w:rPr>
        <w:t>Consumer Price Index for Urban Wage-Earners and Clerical Workers (not seasonally adjusted) from</w:t>
      </w:r>
      <w:r w:rsidR="00586040">
        <w:rPr>
          <w:rStyle w:val="normaltextrun"/>
          <w:sz w:val="24"/>
          <w:szCs w:val="24"/>
          <w:shd w:val="clear" w:color="auto" w:fill="FFFFFF"/>
        </w:rPr>
        <w:t xml:space="preserve"> </w:t>
      </w:r>
      <w:r w:rsidRPr="003E69AB">
        <w:rPr>
          <w:rStyle w:val="normaltextrun"/>
          <w:sz w:val="24"/>
          <w:szCs w:val="24"/>
          <w:shd w:val="clear" w:color="auto" w:fill="FFFFFF"/>
        </w:rPr>
        <w:t>308.163 in May 2024 to 314.839 in May 2025.  The resulting mean hourly wage is $378.78.  The process is repeated for Financial Managers (whose mean annual salary is $262,470) and Software Developers (whose mean annual salary is $165,680), yielding hourly wages of $372.44 and $235.10 respectively.  The average of the three categories is $328.77.  Accordingly, t</w:t>
      </w:r>
      <w:r w:rsidRPr="003E69AB">
        <w:rPr>
          <w:sz w:val="24"/>
          <w:szCs w:val="24"/>
        </w:rPr>
        <w:t>he Commission is increasing its estimated average burden hour cost from $89.01 to $328.77.</w:t>
      </w:r>
      <w:bookmarkEnd w:id="1"/>
    </w:p>
    <w:p w:rsidR="003B2AD2" w:rsidRPr="002F5708" w:rsidP="00AE5814" w14:paraId="4AA976E0" w14:textId="04BB6D00">
      <w:pPr>
        <w:tabs>
          <w:tab w:val="left" w:pos="-720"/>
          <w:tab w:val="left" w:pos="0"/>
          <w:tab w:val="left" w:pos="720"/>
        </w:tabs>
        <w:suppressAutoHyphens/>
        <w:spacing w:after="240"/>
        <w:ind w:left="720"/>
        <w:rPr>
          <w:b/>
          <w:sz w:val="24"/>
          <w:szCs w:val="24"/>
        </w:rPr>
      </w:pPr>
      <w:r>
        <w:rPr>
          <w:sz w:val="24"/>
          <w:szCs w:val="24"/>
        </w:rPr>
        <w:t>The total annual cost burden to respondents based on this collection of information is approximately $</w:t>
      </w:r>
      <w:r w:rsidRPr="003E69AB" w:rsidR="00906A72">
        <w:rPr>
          <w:sz w:val="24"/>
          <w:szCs w:val="24"/>
        </w:rPr>
        <w:t>8,219</w:t>
      </w:r>
      <w:r>
        <w:rPr>
          <w:sz w:val="24"/>
          <w:szCs w:val="24"/>
        </w:rPr>
        <w:t>.</w:t>
      </w:r>
    </w:p>
    <w:p w:rsidR="003B2AD2" w:rsidRPr="003B2AD2" w:rsidP="00AE5814" w14:paraId="24F109CA" w14:textId="5C0000C2">
      <w:pPr>
        <w:tabs>
          <w:tab w:val="left" w:pos="-720"/>
          <w:tab w:val="left" w:pos="0"/>
        </w:tabs>
        <w:suppressAutoHyphens/>
        <w:spacing w:after="240"/>
        <w:ind w:left="720" w:hanging="720"/>
        <w:rPr>
          <w:sz w:val="24"/>
          <w:szCs w:val="24"/>
        </w:rPr>
      </w:pPr>
      <w:r w:rsidRPr="002F5708">
        <w:rPr>
          <w:b/>
          <w:sz w:val="24"/>
          <w:szCs w:val="24"/>
        </w:rPr>
        <w:t>13.</w:t>
      </w:r>
      <w:r w:rsidRPr="002F5708">
        <w:rPr>
          <w:b/>
          <w:sz w:val="24"/>
          <w:szCs w:val="24"/>
        </w:rPr>
        <w:tab/>
      </w:r>
      <w:r w:rsidRPr="002F5708">
        <w:rPr>
          <w:b/>
          <w:sz w:val="24"/>
          <w:szCs w:val="24"/>
          <w:u w:val="single"/>
        </w:rPr>
        <w:t xml:space="preserve">Provide an estimate of the total annual cost burden to respondents or </w:t>
      </w:r>
      <w:r w:rsidRPr="002F5708" w:rsidR="00D77B3F">
        <w:rPr>
          <w:b/>
          <w:sz w:val="24"/>
          <w:szCs w:val="24"/>
          <w:u w:val="single"/>
        </w:rPr>
        <w:t>record keepers</w:t>
      </w:r>
      <w:r w:rsidRPr="002F5708">
        <w:rPr>
          <w:b/>
          <w:sz w:val="24"/>
          <w:szCs w:val="24"/>
          <w:u w:val="single"/>
        </w:rPr>
        <w:t xml:space="preserve"> resulting f</w:t>
      </w:r>
      <w:r w:rsidRPr="002F5708" w:rsidR="00CE5FA4">
        <w:rPr>
          <w:b/>
          <w:sz w:val="24"/>
          <w:szCs w:val="24"/>
          <w:u w:val="single"/>
        </w:rPr>
        <w:t>r</w:t>
      </w:r>
      <w:r w:rsidRPr="002F5708">
        <w:rPr>
          <w:b/>
          <w:sz w:val="24"/>
          <w:szCs w:val="24"/>
          <w:u w:val="single"/>
        </w:rPr>
        <w:t>om the collection of information.  (Do not include the cost of any hour burden shown in Items 12 and 14)</w:t>
      </w:r>
      <w:r w:rsidRPr="002F5708">
        <w:rPr>
          <w:b/>
          <w:sz w:val="24"/>
          <w:szCs w:val="24"/>
        </w:rPr>
        <w:t>.</w:t>
      </w:r>
    </w:p>
    <w:p w:rsidR="003B2AD2" w:rsidRPr="002F5708" w:rsidP="00AE5814" w14:paraId="0C0AF2B6" w14:textId="48A92880">
      <w:pPr>
        <w:tabs>
          <w:tab w:val="left" w:pos="-720"/>
          <w:tab w:val="left" w:pos="0"/>
          <w:tab w:val="left" w:pos="720"/>
        </w:tabs>
        <w:suppressAutoHyphens/>
        <w:spacing w:after="240"/>
        <w:ind w:left="1440" w:hanging="1440"/>
        <w:rPr>
          <w:b/>
          <w:sz w:val="24"/>
          <w:szCs w:val="24"/>
        </w:rPr>
      </w:pPr>
      <w:r w:rsidRPr="003B2AD2">
        <w:rPr>
          <w:sz w:val="24"/>
          <w:szCs w:val="24"/>
        </w:rPr>
        <w:tab/>
        <w:t>-</w:t>
      </w:r>
      <w:r w:rsidRPr="003B2AD2">
        <w:rPr>
          <w:sz w:val="24"/>
          <w:szCs w:val="24"/>
        </w:rPr>
        <w:tab/>
      </w:r>
      <w:r w:rsidRPr="002F5708">
        <w:rPr>
          <w:b/>
          <w:sz w:val="24"/>
          <w:szCs w:val="24"/>
          <w:u w:val="single"/>
        </w:rPr>
        <w:t xml:space="preserve">The cost estimate should be split into two components; </w:t>
      </w:r>
      <w:r w:rsidR="00AE5814">
        <w:rPr>
          <w:b/>
          <w:sz w:val="24"/>
          <w:szCs w:val="24"/>
          <w:u w:val="single"/>
        </w:rPr>
        <w:t xml:space="preserve"> </w:t>
      </w:r>
      <w:r w:rsidRPr="002F5708">
        <w:rPr>
          <w:b/>
          <w:sz w:val="24"/>
          <w:szCs w:val="24"/>
          <w:u w:val="single"/>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w:t>
      </w:r>
      <w:r w:rsidRPr="005270DE">
        <w:rPr>
          <w:sz w:val="24"/>
          <w:szCs w:val="24"/>
          <w:u w:val="single"/>
        </w:rPr>
        <w:t xml:space="preserve"> </w:t>
      </w:r>
      <w:r w:rsidRPr="002F5708">
        <w:rPr>
          <w:b/>
          <w:sz w:val="24"/>
          <w:szCs w:val="24"/>
          <w:u w:val="single"/>
        </w:rPr>
        <w:t>which costs will be incurred.  Capital and start-up costs include, among other items, preparations for collecting information such as purchasing computers and software, monitoring, sampling, drilling and testing equipment, and record storage facilities.</w:t>
      </w:r>
    </w:p>
    <w:p w:rsidR="003B2AD2" w:rsidRPr="003B2AD2" w:rsidP="00AE5814" w14:paraId="7E6E150F" w14:textId="0B543DEC">
      <w:pPr>
        <w:tabs>
          <w:tab w:val="left" w:pos="-720"/>
          <w:tab w:val="left" w:pos="0"/>
          <w:tab w:val="left" w:pos="720"/>
        </w:tabs>
        <w:suppressAutoHyphens/>
        <w:spacing w:after="240"/>
        <w:ind w:left="1440" w:hanging="1440"/>
        <w:rPr>
          <w:sz w:val="24"/>
          <w:szCs w:val="24"/>
        </w:rPr>
      </w:pPr>
      <w:r w:rsidRPr="002F5708">
        <w:rPr>
          <w:b/>
          <w:sz w:val="24"/>
          <w:szCs w:val="24"/>
        </w:rPr>
        <w:tab/>
        <w:t>-</w:t>
      </w:r>
      <w:r w:rsidRPr="002F5708">
        <w:rPr>
          <w:b/>
          <w:sz w:val="24"/>
          <w:szCs w:val="24"/>
        </w:rPr>
        <w:tab/>
      </w:r>
      <w:r w:rsidRPr="002F5708">
        <w:rPr>
          <w:b/>
          <w:sz w:val="24"/>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3B2AD2" w:rsidP="00AE5814" w14:paraId="699CE588" w14:textId="1ADEAAE7">
      <w:pPr>
        <w:tabs>
          <w:tab w:val="left" w:pos="-720"/>
          <w:tab w:val="left" w:pos="0"/>
          <w:tab w:val="left" w:pos="720"/>
        </w:tabs>
        <w:suppressAutoHyphens/>
        <w:spacing w:after="240"/>
        <w:ind w:left="1440" w:hanging="1440"/>
        <w:rPr>
          <w:sz w:val="24"/>
          <w:szCs w:val="24"/>
        </w:rPr>
      </w:pPr>
      <w:r w:rsidRPr="003B2AD2">
        <w:rPr>
          <w:sz w:val="24"/>
          <w:szCs w:val="24"/>
        </w:rPr>
        <w:tab/>
        <w:t>-</w:t>
      </w:r>
      <w:r w:rsidRPr="003B2AD2">
        <w:rPr>
          <w:sz w:val="24"/>
          <w:szCs w:val="24"/>
        </w:rPr>
        <w:tab/>
      </w:r>
      <w:r w:rsidRPr="002F5708">
        <w:rPr>
          <w:b/>
          <w:sz w:val="24"/>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2AD2" w:rsidRPr="002F5708" w:rsidP="00DA7496" w14:paraId="03F73E5C" w14:textId="4081CE6F">
      <w:pPr>
        <w:pStyle w:val="FootnoteText"/>
        <w:spacing w:after="240"/>
        <w:ind w:left="720"/>
        <w:rPr>
          <w:b/>
          <w:sz w:val="24"/>
          <w:szCs w:val="24"/>
        </w:rPr>
      </w:pPr>
      <w:r w:rsidRPr="00B848CD">
        <w:rPr>
          <w:sz w:val="24"/>
          <w:szCs w:val="24"/>
        </w:rPr>
        <w:t xml:space="preserve">The Commission does not expect any capital or start-up costs, or operational or maintenance costs associated with the renewal of this collection of information.  </w:t>
      </w:r>
      <w:r w:rsidR="00021891">
        <w:rPr>
          <w:sz w:val="24"/>
          <w:szCs w:val="24"/>
        </w:rPr>
        <w:t xml:space="preserve">The </w:t>
      </w:r>
      <w:r w:rsidR="00021891">
        <w:rPr>
          <w:sz w:val="24"/>
          <w:szCs w:val="24"/>
        </w:rPr>
        <w:t xml:space="preserve">Commission does not anticipate any additional cost burdens to respondents </w:t>
      </w:r>
      <w:r w:rsidR="00B65A01">
        <w:rPr>
          <w:sz w:val="24"/>
          <w:szCs w:val="24"/>
        </w:rPr>
        <w:t>other than</w:t>
      </w:r>
      <w:r w:rsidR="00021891">
        <w:rPr>
          <w:sz w:val="24"/>
          <w:szCs w:val="24"/>
        </w:rPr>
        <w:t xml:space="preserve"> the hourly costs estimated in Question 12.</w:t>
      </w:r>
    </w:p>
    <w:p w:rsidR="007C3CD2" w:rsidP="007962B7" w14:paraId="4B7D9352" w14:textId="3C4E65B4">
      <w:pPr>
        <w:tabs>
          <w:tab w:val="left" w:pos="-720"/>
        </w:tabs>
        <w:suppressAutoHyphens/>
        <w:spacing w:after="240"/>
        <w:ind w:left="720" w:hanging="720"/>
        <w:rPr>
          <w:sz w:val="24"/>
          <w:szCs w:val="24"/>
        </w:rPr>
      </w:pPr>
      <w:r w:rsidRPr="002F5708">
        <w:rPr>
          <w:b/>
          <w:sz w:val="24"/>
          <w:szCs w:val="24"/>
        </w:rPr>
        <w:t>14.</w:t>
      </w:r>
      <w:r w:rsidRPr="002F5708">
        <w:rPr>
          <w:b/>
          <w:sz w:val="24"/>
          <w:szCs w:val="24"/>
        </w:rPr>
        <w:tab/>
      </w:r>
      <w:r w:rsidRPr="002F5708">
        <w:rPr>
          <w:b/>
          <w:sz w:val="24"/>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C3CD2" w:rsidRPr="00DE0A8E" w:rsidP="00DA7496" w14:paraId="554D8308" w14:textId="770123B4">
      <w:pPr>
        <w:pStyle w:val="FootnoteText"/>
        <w:spacing w:after="240"/>
        <w:ind w:left="720"/>
        <w:rPr>
          <w:sz w:val="24"/>
          <w:szCs w:val="24"/>
        </w:rPr>
      </w:pPr>
      <w:r>
        <w:rPr>
          <w:sz w:val="24"/>
          <w:szCs w:val="24"/>
        </w:rPr>
        <w:t xml:space="preserve">No </w:t>
      </w:r>
      <w:r w:rsidR="00591827">
        <w:rPr>
          <w:sz w:val="24"/>
          <w:szCs w:val="24"/>
        </w:rPr>
        <w:t>additional costs</w:t>
      </w:r>
      <w:r>
        <w:rPr>
          <w:sz w:val="24"/>
          <w:szCs w:val="24"/>
        </w:rPr>
        <w:t xml:space="preserve"> to the Federal Government </w:t>
      </w:r>
      <w:r w:rsidR="004F71C1">
        <w:rPr>
          <w:sz w:val="24"/>
          <w:szCs w:val="24"/>
        </w:rPr>
        <w:t>will</w:t>
      </w:r>
      <w:r w:rsidR="00591827">
        <w:rPr>
          <w:sz w:val="24"/>
          <w:szCs w:val="24"/>
        </w:rPr>
        <w:t xml:space="preserve"> r</w:t>
      </w:r>
      <w:r>
        <w:rPr>
          <w:sz w:val="24"/>
          <w:szCs w:val="24"/>
        </w:rPr>
        <w:t>esult from the renewal of this collection of information.</w:t>
      </w:r>
    </w:p>
    <w:p w:rsidR="00F16678" w:rsidP="007962B7" w14:paraId="7795B16C" w14:textId="34CD373C">
      <w:pPr>
        <w:tabs>
          <w:tab w:val="left" w:pos="-720"/>
          <w:tab w:val="left" w:pos="0"/>
        </w:tabs>
        <w:suppressAutoHyphens/>
        <w:spacing w:after="240"/>
        <w:ind w:left="720" w:hanging="720"/>
        <w:rPr>
          <w:sz w:val="24"/>
          <w:szCs w:val="24"/>
        </w:rPr>
      </w:pPr>
      <w:r w:rsidRPr="002F5708">
        <w:rPr>
          <w:b/>
          <w:sz w:val="24"/>
          <w:szCs w:val="24"/>
        </w:rPr>
        <w:t>15.</w:t>
      </w:r>
      <w:r w:rsidRPr="002F5708">
        <w:rPr>
          <w:b/>
          <w:sz w:val="24"/>
          <w:szCs w:val="24"/>
        </w:rPr>
        <w:tab/>
      </w:r>
      <w:r w:rsidRPr="002F5708">
        <w:rPr>
          <w:b/>
          <w:sz w:val="24"/>
          <w:szCs w:val="24"/>
          <w:u w:val="single"/>
        </w:rPr>
        <w:t>Explain the reasons for any program changes or adjustments reported in Items 13 or 14 of the OMB Form 83-I</w:t>
      </w:r>
      <w:r w:rsidRPr="002F5708">
        <w:rPr>
          <w:b/>
          <w:sz w:val="24"/>
          <w:szCs w:val="24"/>
        </w:rPr>
        <w:t>.</w:t>
      </w:r>
    </w:p>
    <w:p w:rsidR="003B2AD2" w:rsidRPr="00DA7496" w:rsidP="00DA7496" w14:paraId="44C483B4" w14:textId="6166E42B">
      <w:pPr>
        <w:pStyle w:val="FootnoteText"/>
        <w:spacing w:after="240"/>
        <w:ind w:left="720"/>
        <w:rPr>
          <w:sz w:val="24"/>
          <w:szCs w:val="24"/>
        </w:rPr>
      </w:pPr>
      <w:bookmarkStart w:id="2" w:name="_Hlk109109397"/>
      <w:r>
        <w:rPr>
          <w:sz w:val="24"/>
          <w:szCs w:val="24"/>
        </w:rPr>
        <w:t>There are no program changes or adjustments</w:t>
      </w:r>
      <w:r w:rsidR="0086023D">
        <w:rPr>
          <w:sz w:val="24"/>
          <w:szCs w:val="24"/>
        </w:rPr>
        <w:t xml:space="preserve">. </w:t>
      </w:r>
      <w:bookmarkEnd w:id="2"/>
      <w:r w:rsidR="00DA7496">
        <w:rPr>
          <w:sz w:val="24"/>
          <w:szCs w:val="24"/>
        </w:rPr>
        <w:t xml:space="preserve"> </w:t>
      </w:r>
      <w:r w:rsidR="0086023D">
        <w:rPr>
          <w:sz w:val="24"/>
          <w:szCs w:val="24"/>
        </w:rPr>
        <w:t>The Commission anticipates that there will continue to be approximately 25 eligible respondents</w:t>
      </w:r>
      <w:r w:rsidR="00DB3C05">
        <w:rPr>
          <w:sz w:val="24"/>
          <w:szCs w:val="24"/>
        </w:rPr>
        <w:t>,</w:t>
      </w:r>
      <w:r w:rsidR="0086023D">
        <w:rPr>
          <w:sz w:val="24"/>
          <w:szCs w:val="24"/>
        </w:rPr>
        <w:t xml:space="preserve"> and the hourly burden will remain the same as in the </w:t>
      </w:r>
      <w:r w:rsidR="00780D55">
        <w:rPr>
          <w:sz w:val="24"/>
          <w:szCs w:val="24"/>
        </w:rPr>
        <w:t xml:space="preserve">2022 </w:t>
      </w:r>
      <w:r w:rsidR="0086023D">
        <w:rPr>
          <w:sz w:val="24"/>
          <w:szCs w:val="24"/>
        </w:rPr>
        <w:t>renewal.</w:t>
      </w:r>
      <w:r w:rsidR="00A1458F">
        <w:rPr>
          <w:sz w:val="24"/>
          <w:szCs w:val="24"/>
        </w:rPr>
        <w:t xml:space="preserve">  The Commission has also </w:t>
      </w:r>
      <w:r w:rsidR="00022D30">
        <w:rPr>
          <w:sz w:val="24"/>
          <w:szCs w:val="24"/>
        </w:rPr>
        <w:t xml:space="preserve">revised </w:t>
      </w:r>
      <w:r w:rsidR="00A1458F">
        <w:rPr>
          <w:sz w:val="24"/>
          <w:szCs w:val="24"/>
        </w:rPr>
        <w:t xml:space="preserve">its estimate of annual hourly labor costs based upon </w:t>
      </w:r>
      <w:r w:rsidR="00957B13">
        <w:rPr>
          <w:sz w:val="24"/>
          <w:szCs w:val="24"/>
        </w:rPr>
        <w:t xml:space="preserve">updated </w:t>
      </w:r>
      <w:r w:rsidR="00A1458F">
        <w:rPr>
          <w:sz w:val="24"/>
          <w:szCs w:val="24"/>
        </w:rPr>
        <w:t xml:space="preserve">BLS </w:t>
      </w:r>
      <w:r w:rsidR="009642C3">
        <w:rPr>
          <w:sz w:val="24"/>
          <w:szCs w:val="24"/>
        </w:rPr>
        <w:t>wage rates.</w:t>
      </w:r>
    </w:p>
    <w:p w:rsidR="00F16678" w:rsidP="007962B7" w14:paraId="34371035" w14:textId="6108295F">
      <w:pPr>
        <w:tabs>
          <w:tab w:val="left" w:pos="-720"/>
          <w:tab w:val="left" w:pos="0"/>
        </w:tabs>
        <w:suppressAutoHyphens/>
        <w:spacing w:after="240"/>
        <w:ind w:left="720" w:hanging="720"/>
        <w:rPr>
          <w:sz w:val="24"/>
          <w:szCs w:val="24"/>
        </w:rPr>
      </w:pPr>
      <w:r w:rsidRPr="002F5708">
        <w:rPr>
          <w:b/>
          <w:sz w:val="24"/>
          <w:szCs w:val="24"/>
        </w:rPr>
        <w:t>16.</w:t>
      </w:r>
      <w:r w:rsidRPr="002F5708">
        <w:rPr>
          <w:b/>
          <w:sz w:val="24"/>
          <w:szCs w:val="24"/>
        </w:rPr>
        <w:tab/>
      </w:r>
      <w:r w:rsidRPr="002F5708">
        <w:rPr>
          <w:b/>
          <w:sz w:val="24"/>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2F5708">
        <w:rPr>
          <w:b/>
          <w:sz w:val="24"/>
          <w:szCs w:val="24"/>
        </w:rPr>
        <w:t>.</w:t>
      </w:r>
    </w:p>
    <w:p w:rsidR="00EE6F54" w:rsidRPr="002F5708" w:rsidP="00DA7496" w14:paraId="1BC090EE" w14:textId="2C4A1622">
      <w:pPr>
        <w:pStyle w:val="FootnoteText"/>
        <w:spacing w:after="240"/>
        <w:ind w:left="720"/>
        <w:rPr>
          <w:b/>
          <w:sz w:val="24"/>
          <w:szCs w:val="24"/>
        </w:rPr>
      </w:pPr>
      <w:r>
        <w:rPr>
          <w:sz w:val="24"/>
          <w:szCs w:val="24"/>
        </w:rPr>
        <w:t>This question does not apply.</w:t>
      </w:r>
    </w:p>
    <w:p w:rsidR="00F16678" w:rsidP="007962B7" w14:paraId="112AFE2B" w14:textId="59D235B0">
      <w:pPr>
        <w:tabs>
          <w:tab w:val="left" w:pos="-720"/>
          <w:tab w:val="left" w:pos="0"/>
        </w:tabs>
        <w:suppressAutoHyphens/>
        <w:spacing w:after="240"/>
        <w:ind w:left="720" w:hanging="720"/>
        <w:rPr>
          <w:sz w:val="24"/>
          <w:szCs w:val="24"/>
        </w:rPr>
      </w:pPr>
      <w:r w:rsidRPr="002F5708">
        <w:rPr>
          <w:b/>
          <w:sz w:val="24"/>
          <w:szCs w:val="24"/>
        </w:rPr>
        <w:t>17.</w:t>
      </w:r>
      <w:r w:rsidRPr="002F5708">
        <w:rPr>
          <w:b/>
          <w:sz w:val="24"/>
          <w:szCs w:val="24"/>
        </w:rPr>
        <w:tab/>
      </w:r>
      <w:r w:rsidRPr="002F5708">
        <w:rPr>
          <w:b/>
          <w:sz w:val="24"/>
          <w:szCs w:val="24"/>
          <w:u w:val="single"/>
        </w:rPr>
        <w:t>If seeking approval to not display the expiration date for OMB approval of the information collection, explain the reasons that display would be inappropriate</w:t>
      </w:r>
      <w:r w:rsidRPr="002F5708">
        <w:rPr>
          <w:b/>
          <w:sz w:val="24"/>
          <w:szCs w:val="24"/>
        </w:rPr>
        <w:t>.</w:t>
      </w:r>
    </w:p>
    <w:p w:rsidR="00EE6F54" w:rsidRPr="002F5708" w:rsidP="00DA7496" w14:paraId="04BE9941" w14:textId="27E64C17">
      <w:pPr>
        <w:pStyle w:val="FootnoteText"/>
        <w:spacing w:after="240"/>
        <w:ind w:left="720"/>
        <w:rPr>
          <w:b/>
          <w:sz w:val="24"/>
          <w:szCs w:val="24"/>
        </w:rPr>
      </w:pPr>
      <w:r>
        <w:rPr>
          <w:sz w:val="24"/>
          <w:szCs w:val="24"/>
        </w:rPr>
        <w:t>This question does not apply.</w:t>
      </w:r>
    </w:p>
    <w:p w:rsidR="00B43FA7" w:rsidP="007962B7" w14:paraId="604D5E5E" w14:textId="46D23383">
      <w:pPr>
        <w:tabs>
          <w:tab w:val="left" w:pos="-720"/>
          <w:tab w:val="left" w:pos="0"/>
        </w:tabs>
        <w:suppressAutoHyphens/>
        <w:spacing w:after="240"/>
        <w:ind w:left="720" w:hanging="720"/>
        <w:rPr>
          <w:sz w:val="24"/>
          <w:szCs w:val="24"/>
        </w:rPr>
      </w:pPr>
      <w:r w:rsidRPr="002F5708">
        <w:rPr>
          <w:b/>
          <w:sz w:val="24"/>
          <w:szCs w:val="24"/>
        </w:rPr>
        <w:t>18.</w:t>
      </w:r>
      <w:r w:rsidRPr="002F5708">
        <w:rPr>
          <w:b/>
          <w:sz w:val="24"/>
          <w:szCs w:val="24"/>
        </w:rPr>
        <w:tab/>
      </w:r>
      <w:r w:rsidRPr="002F5708">
        <w:rPr>
          <w:b/>
          <w:sz w:val="24"/>
          <w:szCs w:val="24"/>
          <w:u w:val="single"/>
        </w:rPr>
        <w:t xml:space="preserve">Explain each exception to the certification statement identified in Item 19, </w:t>
      </w:r>
      <w:r w:rsidR="005A7D6E">
        <w:rPr>
          <w:b/>
          <w:sz w:val="24"/>
          <w:szCs w:val="24"/>
          <w:u w:val="single"/>
        </w:rPr>
        <w:t>“</w:t>
      </w:r>
      <w:r w:rsidRPr="002F5708">
        <w:rPr>
          <w:b/>
          <w:sz w:val="24"/>
          <w:szCs w:val="24"/>
          <w:u w:val="single"/>
        </w:rPr>
        <w:t>Certification for Paperwork Reduction Act Submissions,</w:t>
      </w:r>
      <w:r w:rsidR="005A7D6E">
        <w:rPr>
          <w:b/>
          <w:sz w:val="24"/>
          <w:szCs w:val="24"/>
          <w:u w:val="single"/>
        </w:rPr>
        <w:t>”</w:t>
      </w:r>
      <w:r w:rsidRPr="002F5708">
        <w:rPr>
          <w:b/>
          <w:sz w:val="24"/>
          <w:szCs w:val="24"/>
          <w:u w:val="single"/>
        </w:rPr>
        <w:t xml:space="preserve"> of OMB Form 83-I</w:t>
      </w:r>
      <w:r w:rsidRPr="002F5708">
        <w:rPr>
          <w:b/>
          <w:sz w:val="24"/>
          <w:szCs w:val="24"/>
        </w:rPr>
        <w:t>.</w:t>
      </w:r>
    </w:p>
    <w:p w:rsidR="0036383B" w:rsidP="005A7D6E" w14:paraId="7661C5E1" w14:textId="77777777">
      <w:pPr>
        <w:pStyle w:val="FootnoteText"/>
        <w:spacing w:after="240"/>
        <w:ind w:left="720"/>
        <w:rPr>
          <w:sz w:val="24"/>
          <w:szCs w:val="24"/>
        </w:rPr>
        <w:sectPr w:rsidSect="00242D86">
          <w:headerReference w:type="default" r:id="rId7"/>
          <w:footnotePr>
            <w:numRestart w:val="eachSect"/>
          </w:footnotePr>
          <w:type w:val="continuous"/>
          <w:pgSz w:w="12240" w:h="15840"/>
          <w:pgMar w:top="1440" w:right="1440" w:bottom="1440" w:left="1440" w:header="720" w:footer="720" w:gutter="0"/>
          <w:cols w:space="720"/>
        </w:sectPr>
      </w:pPr>
      <w:r>
        <w:rPr>
          <w:sz w:val="24"/>
          <w:szCs w:val="24"/>
        </w:rPr>
        <w:t>This question does not apply.</w:t>
      </w:r>
    </w:p>
    <w:p w:rsidR="00AA11E8" w:rsidRPr="00242D86" w:rsidP="00242D86" w14:paraId="65D6688F" w14:textId="77777777">
      <w:pPr>
        <w:spacing w:after="240"/>
        <w:jc w:val="center"/>
        <w:rPr>
          <w:b/>
          <w:bCs/>
          <w:sz w:val="24"/>
          <w:szCs w:val="24"/>
          <w:u w:val="single"/>
        </w:rPr>
      </w:pPr>
      <w:r w:rsidRPr="00242D86">
        <w:rPr>
          <w:b/>
          <w:bCs/>
          <w:sz w:val="24"/>
          <w:szCs w:val="24"/>
          <w:u w:val="single"/>
        </w:rPr>
        <w:t>Attachment A</w:t>
      </w:r>
    </w:p>
    <w:p w:rsidR="00242D86" w:rsidP="00242D86" w14:paraId="08BE2C16" w14:textId="66407196">
      <w:pPr>
        <w:spacing w:after="240"/>
        <w:jc w:val="center"/>
        <w:rPr>
          <w:sz w:val="24"/>
          <w:szCs w:val="24"/>
        </w:rPr>
      </w:pPr>
      <w:r w:rsidRPr="00242D86">
        <w:rPr>
          <w:sz w:val="24"/>
          <w:szCs w:val="24"/>
        </w:rPr>
        <w:t>Clearing Exemptions for Certain Swaps Entered into by Cooperatives</w:t>
      </w:r>
    </w:p>
    <w:p w:rsidR="00242D86" w:rsidRPr="00242D86" w:rsidP="00242D86" w14:paraId="18306326" w14:textId="68B1D17A">
      <w:pPr>
        <w:spacing w:after="240"/>
        <w:jc w:val="center"/>
        <w:rPr>
          <w:sz w:val="24"/>
          <w:szCs w:val="24"/>
        </w:rPr>
      </w:pPr>
      <w:r w:rsidRPr="00242D86">
        <w:rPr>
          <w:sz w:val="24"/>
          <w:szCs w:val="24"/>
        </w:rPr>
        <w:t>OMB CONTROL NUMBER 3038-0102</w:t>
      </w:r>
    </w:p>
    <w:p w:rsidR="00242D86" w:rsidRPr="00242D86" w:rsidP="00242D86" w14:paraId="1358637A" w14:textId="77777777">
      <w:pPr>
        <w:spacing w:after="240"/>
        <w:jc w:val="center"/>
        <w:rPr>
          <w:sz w:val="24"/>
          <w:szCs w:val="24"/>
        </w:rPr>
      </w:pPr>
      <w:r w:rsidRPr="00242D86">
        <w:rPr>
          <w:sz w:val="24"/>
          <w:szCs w:val="24"/>
        </w:rPr>
        <w:t>Rule 50.51 (Exemption for Cooperatives)</w:t>
      </w:r>
    </w:p>
    <w:p w:rsidR="00FC66B5" w:rsidP="00242D86" w14:paraId="2907421B" w14:textId="40ECFB6A">
      <w:pPr>
        <w:spacing w:after="360"/>
        <w:jc w:val="center"/>
        <w:rPr>
          <w:sz w:val="24"/>
          <w:szCs w:val="24"/>
        </w:rPr>
      </w:pPr>
      <w:r w:rsidRPr="00242D86">
        <w:rPr>
          <w:sz w:val="24"/>
          <w:szCs w:val="24"/>
        </w:rPr>
        <w:t>Reporting Costs for the Estimated 25 Exempt Cooperatives</w:t>
      </w:r>
    </w:p>
    <w:tbl>
      <w:tblPr>
        <w:tblW w:w="5911"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5"/>
        <w:gridCol w:w="1239"/>
        <w:gridCol w:w="1161"/>
        <w:gridCol w:w="1016"/>
        <w:gridCol w:w="1161"/>
        <w:gridCol w:w="1017"/>
        <w:gridCol w:w="1161"/>
        <w:gridCol w:w="1061"/>
        <w:gridCol w:w="872"/>
        <w:gridCol w:w="1061"/>
      </w:tblGrid>
      <w:tr w14:paraId="52EE49A3" w14:textId="77777777" w:rsidTr="00242D86">
        <w:tblPrEx>
          <w:tblW w:w="5911"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27"/>
        </w:trPr>
        <w:tc>
          <w:tcPr>
            <w:tcW w:w="590" w:type="pct"/>
          </w:tcPr>
          <w:p w:rsidR="00702110" w:rsidRPr="00702110" w:rsidP="00696DC0" w14:paraId="167FDE87" w14:textId="77777777">
            <w:pPr>
              <w:tabs>
                <w:tab w:val="left" w:pos="-720"/>
                <w:tab w:val="left" w:pos="0"/>
              </w:tabs>
              <w:suppressAutoHyphens/>
              <w:jc w:val="center"/>
            </w:pPr>
            <w:r w:rsidRPr="00702110">
              <w:t>1.</w:t>
            </w:r>
          </w:p>
          <w:p w:rsidR="00702110" w:rsidRPr="00702110" w:rsidP="00696DC0" w14:paraId="428896EB" w14:textId="77777777">
            <w:pPr>
              <w:tabs>
                <w:tab w:val="left" w:pos="-720"/>
                <w:tab w:val="left" w:pos="0"/>
              </w:tabs>
              <w:suppressAutoHyphens/>
              <w:jc w:val="center"/>
            </w:pPr>
            <w:r w:rsidRPr="00702110">
              <w:t>Regulation(s)</w:t>
            </w:r>
          </w:p>
        </w:tc>
        <w:tc>
          <w:tcPr>
            <w:tcW w:w="560" w:type="pct"/>
          </w:tcPr>
          <w:p w:rsidR="00702110" w:rsidRPr="00702110" w:rsidP="00696DC0" w14:paraId="0D127FDA" w14:textId="77777777">
            <w:pPr>
              <w:tabs>
                <w:tab w:val="left" w:pos="-720"/>
                <w:tab w:val="left" w:pos="0"/>
              </w:tabs>
              <w:suppressAutoHyphens/>
              <w:jc w:val="center"/>
            </w:pPr>
            <w:r w:rsidRPr="00702110">
              <w:t>2.</w:t>
            </w:r>
          </w:p>
          <w:p w:rsidR="00702110" w:rsidRPr="00702110" w:rsidP="00696DC0" w14:paraId="19BF96CE" w14:textId="77777777">
            <w:pPr>
              <w:tabs>
                <w:tab w:val="left" w:pos="-720"/>
                <w:tab w:val="left" w:pos="0"/>
              </w:tabs>
              <w:suppressAutoHyphens/>
              <w:jc w:val="center"/>
            </w:pPr>
            <w:r w:rsidRPr="00702110">
              <w:t xml:space="preserve">Estimated Number of Respondents </w:t>
            </w:r>
          </w:p>
          <w:p w:rsidR="00702110" w:rsidRPr="00702110" w:rsidP="00696DC0" w14:paraId="660910AF" w14:textId="77777777">
            <w:pPr>
              <w:tabs>
                <w:tab w:val="left" w:pos="-720"/>
                <w:tab w:val="left" w:pos="0"/>
              </w:tabs>
              <w:suppressAutoHyphens/>
              <w:jc w:val="center"/>
            </w:pPr>
          </w:p>
        </w:tc>
        <w:tc>
          <w:tcPr>
            <w:tcW w:w="525" w:type="pct"/>
          </w:tcPr>
          <w:p w:rsidR="00702110" w:rsidRPr="00702110" w:rsidP="00696DC0" w14:paraId="04D1FE17" w14:textId="77777777">
            <w:pPr>
              <w:tabs>
                <w:tab w:val="left" w:pos="-720"/>
                <w:tab w:val="left" w:pos="0"/>
              </w:tabs>
              <w:suppressAutoHyphens/>
              <w:jc w:val="center"/>
            </w:pPr>
            <w:r w:rsidRPr="00702110">
              <w:t>3.</w:t>
            </w:r>
          </w:p>
          <w:p w:rsidR="00702110" w:rsidRPr="00702110" w:rsidP="00696DC0" w14:paraId="070D7D25" w14:textId="77777777">
            <w:pPr>
              <w:tabs>
                <w:tab w:val="left" w:pos="-720"/>
                <w:tab w:val="left" w:pos="0"/>
              </w:tabs>
              <w:suppressAutoHyphens/>
              <w:jc w:val="center"/>
            </w:pPr>
            <w:r w:rsidRPr="00702110">
              <w:t>Estimated Number of Reports by Each Respondent</w:t>
            </w:r>
          </w:p>
        </w:tc>
        <w:tc>
          <w:tcPr>
            <w:tcW w:w="460" w:type="pct"/>
          </w:tcPr>
          <w:p w:rsidR="00702110" w:rsidRPr="00702110" w:rsidP="00696DC0" w14:paraId="2B869E2E" w14:textId="77777777">
            <w:pPr>
              <w:tabs>
                <w:tab w:val="left" w:pos="-720"/>
                <w:tab w:val="left" w:pos="0"/>
              </w:tabs>
              <w:suppressAutoHyphens/>
              <w:jc w:val="center"/>
            </w:pPr>
            <w:r w:rsidRPr="00702110">
              <w:t>4.</w:t>
            </w:r>
          </w:p>
          <w:p w:rsidR="00702110" w:rsidRPr="00702110" w:rsidP="0075690C" w14:paraId="666F04DA" w14:textId="77777777">
            <w:pPr>
              <w:tabs>
                <w:tab w:val="left" w:pos="-720"/>
                <w:tab w:val="left" w:pos="0"/>
              </w:tabs>
              <w:suppressAutoHyphens/>
              <w:spacing w:after="240"/>
              <w:jc w:val="center"/>
            </w:pPr>
            <w:r w:rsidRPr="00702110">
              <w:t>Estimated Average Number of Burden Hours per Response</w:t>
            </w:r>
          </w:p>
        </w:tc>
        <w:tc>
          <w:tcPr>
            <w:tcW w:w="525" w:type="pct"/>
          </w:tcPr>
          <w:p w:rsidR="00702110" w:rsidRPr="00702110" w:rsidP="00696DC0" w14:paraId="4C1A1D99" w14:textId="77777777">
            <w:pPr>
              <w:tabs>
                <w:tab w:val="left" w:pos="-720"/>
                <w:tab w:val="left" w:pos="0"/>
              </w:tabs>
              <w:suppressAutoHyphens/>
              <w:jc w:val="center"/>
            </w:pPr>
            <w:r w:rsidRPr="00702110">
              <w:t>5.</w:t>
            </w:r>
          </w:p>
          <w:p w:rsidR="00702110" w:rsidRPr="00702110" w:rsidP="00696DC0" w14:paraId="20EE60D5" w14:textId="641AF5AE">
            <w:pPr>
              <w:tabs>
                <w:tab w:val="left" w:pos="-720"/>
                <w:tab w:val="left" w:pos="0"/>
              </w:tabs>
              <w:suppressAutoHyphens/>
              <w:jc w:val="center"/>
            </w:pPr>
            <w:r w:rsidRPr="00702110">
              <w:t>Annual Number of Burden Hours per Respondent</w:t>
            </w:r>
          </w:p>
          <w:p w:rsidR="00702110" w:rsidRPr="00702110" w:rsidP="00696DC0" w14:paraId="74059495" w14:textId="626B591F">
            <w:pPr>
              <w:tabs>
                <w:tab w:val="left" w:pos="-720"/>
                <w:tab w:val="left" w:pos="0"/>
              </w:tabs>
              <w:suppressAutoHyphens/>
              <w:jc w:val="center"/>
            </w:pPr>
            <w:r w:rsidRPr="00702110">
              <w:t>(3</w:t>
            </w:r>
            <w:r w:rsidR="00DB229C">
              <w:t>×</w:t>
            </w:r>
            <w:r w:rsidRPr="00702110">
              <w:t>4)</w:t>
            </w:r>
          </w:p>
        </w:tc>
        <w:tc>
          <w:tcPr>
            <w:tcW w:w="460" w:type="pct"/>
          </w:tcPr>
          <w:p w:rsidR="00702110" w:rsidRPr="00702110" w:rsidP="00696DC0" w14:paraId="152203BB" w14:textId="77777777">
            <w:pPr>
              <w:tabs>
                <w:tab w:val="left" w:pos="-720"/>
                <w:tab w:val="left" w:pos="0"/>
              </w:tabs>
              <w:suppressAutoHyphens/>
              <w:jc w:val="center"/>
            </w:pPr>
            <w:r w:rsidRPr="00702110">
              <w:t xml:space="preserve">6. </w:t>
            </w:r>
          </w:p>
          <w:p w:rsidR="00702110" w:rsidRPr="00702110" w:rsidP="00696DC0" w14:paraId="54F5CA1D" w14:textId="77777777">
            <w:pPr>
              <w:tabs>
                <w:tab w:val="left" w:pos="-720"/>
                <w:tab w:val="left" w:pos="0"/>
              </w:tabs>
              <w:suppressAutoHyphens/>
              <w:jc w:val="center"/>
            </w:pPr>
            <w:r w:rsidRPr="00702110">
              <w:t>Estimated Average Burden Hour Cost</w:t>
            </w:r>
          </w:p>
          <w:p w:rsidR="00702110" w:rsidRPr="00702110" w:rsidP="00696DC0" w14:paraId="7457A8AD" w14:textId="77777777">
            <w:pPr>
              <w:tabs>
                <w:tab w:val="left" w:pos="-720"/>
                <w:tab w:val="left" w:pos="0"/>
              </w:tabs>
              <w:suppressAutoHyphens/>
              <w:jc w:val="center"/>
            </w:pPr>
          </w:p>
        </w:tc>
        <w:tc>
          <w:tcPr>
            <w:tcW w:w="525" w:type="pct"/>
          </w:tcPr>
          <w:p w:rsidR="00702110" w:rsidRPr="00702110" w:rsidP="00696DC0" w14:paraId="61EEF57F" w14:textId="77777777">
            <w:pPr>
              <w:jc w:val="center"/>
              <w:rPr>
                <w:rFonts w:eastAsia="Calibri"/>
              </w:rPr>
            </w:pPr>
            <w:r w:rsidRPr="00702110">
              <w:rPr>
                <w:rFonts w:eastAsia="Calibri"/>
              </w:rPr>
              <w:t>7.</w:t>
            </w:r>
          </w:p>
          <w:p w:rsidR="00702110" w:rsidRPr="00702110" w:rsidP="00696DC0" w14:paraId="274D04B2" w14:textId="77777777">
            <w:pPr>
              <w:jc w:val="center"/>
              <w:rPr>
                <w:rFonts w:eastAsia="Calibri"/>
              </w:rPr>
            </w:pPr>
            <w:r w:rsidRPr="00702110">
              <w:rPr>
                <w:rFonts w:eastAsia="Calibri"/>
              </w:rPr>
              <w:t>Total Average Hour Burden Cost Per Respondent</w:t>
            </w:r>
          </w:p>
          <w:p w:rsidR="00702110" w:rsidRPr="00702110" w:rsidP="00696DC0" w14:paraId="50B9E84B" w14:textId="35E27541">
            <w:pPr>
              <w:jc w:val="center"/>
              <w:rPr>
                <w:rFonts w:eastAsia="Calibri"/>
              </w:rPr>
            </w:pPr>
            <w:r w:rsidRPr="00702110">
              <w:rPr>
                <w:rFonts w:eastAsia="Calibri"/>
              </w:rPr>
              <w:t>(5</w:t>
            </w:r>
            <w:r w:rsidR="00DB229C">
              <w:t>×</w:t>
            </w:r>
            <w:r w:rsidRPr="00702110">
              <w:rPr>
                <w:rFonts w:eastAsia="Calibri"/>
              </w:rPr>
              <w:t>6)</w:t>
            </w:r>
          </w:p>
        </w:tc>
        <w:tc>
          <w:tcPr>
            <w:tcW w:w="480" w:type="pct"/>
          </w:tcPr>
          <w:p w:rsidR="00702110" w:rsidRPr="00702110" w:rsidP="00696DC0" w14:paraId="071177F7" w14:textId="77777777">
            <w:pPr>
              <w:tabs>
                <w:tab w:val="left" w:pos="-720"/>
                <w:tab w:val="left" w:pos="0"/>
              </w:tabs>
              <w:suppressAutoHyphens/>
              <w:jc w:val="center"/>
            </w:pPr>
            <w:r w:rsidRPr="00702110">
              <w:t>8.</w:t>
            </w:r>
          </w:p>
          <w:p w:rsidR="00702110" w:rsidRPr="00702110" w:rsidP="00696DC0" w14:paraId="4433F5BA" w14:textId="77777777">
            <w:pPr>
              <w:tabs>
                <w:tab w:val="left" w:pos="-720"/>
                <w:tab w:val="left" w:pos="0"/>
              </w:tabs>
              <w:suppressAutoHyphens/>
              <w:jc w:val="center"/>
            </w:pPr>
            <w:r w:rsidRPr="00702110">
              <w:t>Total Annual</w:t>
            </w:r>
          </w:p>
          <w:p w:rsidR="00702110" w:rsidRPr="00702110" w:rsidP="00696DC0" w14:paraId="1866C6DA" w14:textId="77777777">
            <w:pPr>
              <w:tabs>
                <w:tab w:val="left" w:pos="-720"/>
                <w:tab w:val="left" w:pos="0"/>
              </w:tabs>
              <w:suppressAutoHyphens/>
              <w:jc w:val="center"/>
            </w:pPr>
            <w:r w:rsidRPr="00702110">
              <w:t>Responses</w:t>
            </w:r>
          </w:p>
          <w:p w:rsidR="00702110" w:rsidRPr="00702110" w:rsidP="00696DC0" w14:paraId="39E74A59" w14:textId="3AD82F22">
            <w:pPr>
              <w:tabs>
                <w:tab w:val="left" w:pos="-720"/>
                <w:tab w:val="left" w:pos="0"/>
              </w:tabs>
              <w:suppressAutoHyphens/>
              <w:jc w:val="center"/>
            </w:pPr>
            <w:r w:rsidRPr="00702110">
              <w:t>(2</w:t>
            </w:r>
            <w:r w:rsidR="00DB229C">
              <w:t>×</w:t>
            </w:r>
            <w:r w:rsidRPr="00702110">
              <w:t>3)</w:t>
            </w:r>
          </w:p>
        </w:tc>
        <w:tc>
          <w:tcPr>
            <w:tcW w:w="394" w:type="pct"/>
          </w:tcPr>
          <w:p w:rsidR="00702110" w:rsidRPr="00702110" w:rsidP="00696DC0" w14:paraId="791C182A" w14:textId="77777777">
            <w:pPr>
              <w:tabs>
                <w:tab w:val="left" w:pos="-720"/>
                <w:tab w:val="left" w:pos="0"/>
              </w:tabs>
              <w:suppressAutoHyphens/>
              <w:jc w:val="center"/>
            </w:pPr>
            <w:r w:rsidRPr="00702110">
              <w:t>9.</w:t>
            </w:r>
          </w:p>
          <w:p w:rsidR="00702110" w:rsidRPr="00702110" w:rsidP="00696DC0" w14:paraId="45D7E94F" w14:textId="77777777">
            <w:pPr>
              <w:tabs>
                <w:tab w:val="left" w:pos="-720"/>
                <w:tab w:val="left" w:pos="0"/>
              </w:tabs>
              <w:suppressAutoHyphens/>
              <w:jc w:val="center"/>
            </w:pPr>
            <w:r w:rsidRPr="00702110">
              <w:t>Total Annual  Number of Burden Hours</w:t>
            </w:r>
          </w:p>
          <w:p w:rsidR="00702110" w:rsidRPr="00702110" w:rsidP="00696DC0" w14:paraId="071E64D4" w14:textId="2B148615">
            <w:pPr>
              <w:tabs>
                <w:tab w:val="left" w:pos="-720"/>
                <w:tab w:val="left" w:pos="0"/>
              </w:tabs>
              <w:suppressAutoHyphens/>
              <w:jc w:val="center"/>
            </w:pPr>
            <w:r w:rsidRPr="00702110">
              <w:t>(2</w:t>
            </w:r>
            <w:r w:rsidR="000F0755">
              <w:t>×</w:t>
            </w:r>
            <w:r w:rsidRPr="00702110">
              <w:t>5)</w:t>
            </w:r>
          </w:p>
        </w:tc>
        <w:tc>
          <w:tcPr>
            <w:tcW w:w="480" w:type="pct"/>
          </w:tcPr>
          <w:p w:rsidR="00702110" w:rsidRPr="00702110" w:rsidP="00696DC0" w14:paraId="340EC66C" w14:textId="77777777">
            <w:pPr>
              <w:tabs>
                <w:tab w:val="left" w:pos="-720"/>
                <w:tab w:val="left" w:pos="0"/>
              </w:tabs>
              <w:suppressAutoHyphens/>
              <w:jc w:val="center"/>
            </w:pPr>
            <w:r w:rsidRPr="00702110">
              <w:t>10.</w:t>
            </w:r>
          </w:p>
          <w:p w:rsidR="00702110" w:rsidRPr="00702110" w:rsidP="00696DC0" w14:paraId="35DEF9EC" w14:textId="77777777">
            <w:pPr>
              <w:tabs>
                <w:tab w:val="left" w:pos="-720"/>
                <w:tab w:val="left" w:pos="0"/>
              </w:tabs>
              <w:suppressAutoHyphens/>
              <w:jc w:val="center"/>
            </w:pPr>
            <w:r w:rsidRPr="00702110">
              <w:t>Total Annual Burden Hour Cost of All Responses</w:t>
            </w:r>
          </w:p>
          <w:p w:rsidR="00702110" w:rsidRPr="00702110" w:rsidP="00696DC0" w14:paraId="4626A0A9" w14:textId="23748ACA">
            <w:pPr>
              <w:tabs>
                <w:tab w:val="left" w:pos="-720"/>
                <w:tab w:val="left" w:pos="0"/>
              </w:tabs>
              <w:suppressAutoHyphens/>
              <w:jc w:val="center"/>
            </w:pPr>
            <w:r w:rsidRPr="00702110">
              <w:t>(6</w:t>
            </w:r>
            <w:r w:rsidR="000F0755">
              <w:t>×</w:t>
            </w:r>
            <w:r w:rsidRPr="00702110">
              <w:t>9)</w:t>
            </w:r>
          </w:p>
        </w:tc>
      </w:tr>
      <w:tr w14:paraId="7E90C9BB" w14:textId="77777777" w:rsidTr="00242D86">
        <w:tblPrEx>
          <w:tblW w:w="5911" w:type="pct"/>
          <w:tblInd w:w="-702" w:type="dxa"/>
          <w:tblLook w:val="04A0"/>
        </w:tblPrEx>
        <w:trPr>
          <w:trHeight w:val="977"/>
        </w:trPr>
        <w:tc>
          <w:tcPr>
            <w:tcW w:w="590" w:type="pct"/>
            <w:vAlign w:val="center"/>
          </w:tcPr>
          <w:p w:rsidR="00702110" w:rsidRPr="00702110" w:rsidP="007D19B6" w14:paraId="1A8BCEAE" w14:textId="77777777">
            <w:pPr>
              <w:tabs>
                <w:tab w:val="left" w:pos="-720"/>
                <w:tab w:val="left" w:pos="0"/>
              </w:tabs>
              <w:suppressAutoHyphens/>
              <w:jc w:val="center"/>
            </w:pPr>
            <w:r w:rsidRPr="00702110">
              <w:t>50.5</w:t>
            </w:r>
            <w:r w:rsidR="007D19B6">
              <w:t>1</w:t>
            </w:r>
            <w:r w:rsidRPr="00702110">
              <w:t>(c)</w:t>
            </w:r>
          </w:p>
        </w:tc>
        <w:tc>
          <w:tcPr>
            <w:tcW w:w="560" w:type="pct"/>
            <w:vAlign w:val="center"/>
          </w:tcPr>
          <w:p w:rsidR="00702110" w:rsidRPr="00702110" w:rsidP="00702110" w14:paraId="0084A23C" w14:textId="77777777">
            <w:pPr>
              <w:tabs>
                <w:tab w:val="left" w:pos="-720"/>
                <w:tab w:val="left" w:pos="0"/>
              </w:tabs>
              <w:suppressAutoHyphens/>
              <w:jc w:val="center"/>
            </w:pPr>
            <w:r>
              <w:t>2</w:t>
            </w:r>
            <w:r w:rsidRPr="00702110">
              <w:t>5</w:t>
            </w:r>
            <w:r>
              <w:rPr>
                <w:rStyle w:val="FootnoteReference"/>
              </w:rPr>
              <w:footnoteReference w:id="4"/>
            </w:r>
          </w:p>
        </w:tc>
        <w:tc>
          <w:tcPr>
            <w:tcW w:w="525" w:type="pct"/>
            <w:vAlign w:val="center"/>
          </w:tcPr>
          <w:p w:rsidR="00702110" w:rsidRPr="00702110" w:rsidP="009C5379" w14:paraId="7B509409" w14:textId="77777777">
            <w:pPr>
              <w:tabs>
                <w:tab w:val="left" w:pos="-720"/>
                <w:tab w:val="left" w:pos="0"/>
              </w:tabs>
              <w:suppressAutoHyphens/>
              <w:jc w:val="center"/>
            </w:pPr>
            <w:r>
              <w:t>1</w:t>
            </w:r>
          </w:p>
        </w:tc>
        <w:tc>
          <w:tcPr>
            <w:tcW w:w="460" w:type="pct"/>
            <w:vAlign w:val="center"/>
          </w:tcPr>
          <w:p w:rsidR="00702110" w:rsidRPr="00702110" w:rsidP="009C5379" w14:paraId="5D4C1EF8" w14:textId="77777777">
            <w:pPr>
              <w:tabs>
                <w:tab w:val="left" w:pos="-720"/>
                <w:tab w:val="left" w:pos="0"/>
              </w:tabs>
              <w:suppressAutoHyphens/>
              <w:jc w:val="center"/>
            </w:pPr>
            <w:r w:rsidRPr="00702110">
              <w:t>1</w:t>
            </w:r>
          </w:p>
        </w:tc>
        <w:tc>
          <w:tcPr>
            <w:tcW w:w="525" w:type="pct"/>
            <w:vAlign w:val="center"/>
          </w:tcPr>
          <w:p w:rsidR="00702110" w:rsidRPr="00702110" w:rsidP="00DC08F5" w14:paraId="4C4D05A8" w14:textId="77777777">
            <w:pPr>
              <w:tabs>
                <w:tab w:val="left" w:pos="-720"/>
                <w:tab w:val="left" w:pos="0"/>
              </w:tabs>
              <w:suppressAutoHyphens/>
              <w:jc w:val="center"/>
            </w:pPr>
            <w:r>
              <w:t>1</w:t>
            </w:r>
          </w:p>
        </w:tc>
        <w:tc>
          <w:tcPr>
            <w:tcW w:w="460" w:type="pct"/>
            <w:vAlign w:val="center"/>
          </w:tcPr>
          <w:p w:rsidR="00702110" w:rsidRPr="0034081C" w:rsidP="00FE2AE7" w14:paraId="41DED7A5" w14:textId="2330C92D">
            <w:pPr>
              <w:tabs>
                <w:tab w:val="left" w:pos="-720"/>
                <w:tab w:val="left" w:pos="0"/>
              </w:tabs>
              <w:suppressAutoHyphens/>
              <w:jc w:val="center"/>
            </w:pPr>
            <w:r w:rsidRPr="0034081C">
              <w:t>$</w:t>
            </w:r>
            <w:r>
              <w:t>328</w:t>
            </w:r>
            <w:r w:rsidR="00221142">
              <w:t>.</w:t>
            </w:r>
            <w:r>
              <w:t>77</w:t>
            </w:r>
            <w:r>
              <w:rPr>
                <w:vertAlign w:val="superscript"/>
              </w:rPr>
              <w:footnoteReference w:id="5"/>
            </w:r>
          </w:p>
        </w:tc>
        <w:tc>
          <w:tcPr>
            <w:tcW w:w="525" w:type="pct"/>
            <w:vAlign w:val="center"/>
          </w:tcPr>
          <w:p w:rsidR="00702110" w:rsidRPr="0034081C" w:rsidP="00702110" w14:paraId="1D03B813" w14:textId="21A2806B">
            <w:pPr>
              <w:jc w:val="center"/>
              <w:rPr>
                <w:rFonts w:eastAsia="Calibri"/>
              </w:rPr>
            </w:pPr>
            <w:r w:rsidRPr="0034081C">
              <w:rPr>
                <w:rFonts w:eastAsia="Calibri"/>
              </w:rPr>
              <w:t>$</w:t>
            </w:r>
            <w:r w:rsidR="00221142">
              <w:rPr>
                <w:rFonts w:eastAsia="Calibri"/>
              </w:rPr>
              <w:t>328.77</w:t>
            </w:r>
          </w:p>
        </w:tc>
        <w:tc>
          <w:tcPr>
            <w:tcW w:w="480" w:type="pct"/>
            <w:vAlign w:val="center"/>
          </w:tcPr>
          <w:p w:rsidR="00702110" w:rsidRPr="0034081C" w:rsidP="00702110" w14:paraId="32B9704B" w14:textId="77777777">
            <w:pPr>
              <w:tabs>
                <w:tab w:val="left" w:pos="-720"/>
                <w:tab w:val="left" w:pos="0"/>
              </w:tabs>
              <w:suppressAutoHyphens/>
              <w:jc w:val="center"/>
            </w:pPr>
            <w:r>
              <w:t>25</w:t>
            </w:r>
          </w:p>
        </w:tc>
        <w:tc>
          <w:tcPr>
            <w:tcW w:w="394" w:type="pct"/>
            <w:vAlign w:val="center"/>
          </w:tcPr>
          <w:p w:rsidR="00702110" w:rsidRPr="0034081C" w:rsidP="00702110" w14:paraId="0F15BA5A" w14:textId="77777777">
            <w:pPr>
              <w:tabs>
                <w:tab w:val="left" w:pos="-720"/>
                <w:tab w:val="left" w:pos="0"/>
              </w:tabs>
              <w:suppressAutoHyphens/>
              <w:jc w:val="center"/>
            </w:pPr>
            <w:r>
              <w:t>25</w:t>
            </w:r>
          </w:p>
        </w:tc>
        <w:tc>
          <w:tcPr>
            <w:tcW w:w="480" w:type="pct"/>
            <w:vAlign w:val="center"/>
          </w:tcPr>
          <w:p w:rsidR="00702110" w:rsidRPr="0034081C" w:rsidP="008710B2" w14:paraId="4F9ABEA6" w14:textId="72253DC5">
            <w:pPr>
              <w:tabs>
                <w:tab w:val="left" w:pos="-720"/>
                <w:tab w:val="left" w:pos="0"/>
              </w:tabs>
              <w:suppressAutoHyphens/>
              <w:jc w:val="center"/>
            </w:pPr>
            <w:r w:rsidRPr="0034081C">
              <w:t>$</w:t>
            </w:r>
            <w:r w:rsidR="00D50C32">
              <w:t>8,219</w:t>
            </w:r>
          </w:p>
        </w:tc>
      </w:tr>
    </w:tbl>
    <w:p w:rsidR="00DF7898" w:rsidP="0036383B" w14:paraId="6DE892EA" w14:textId="77777777">
      <w:pPr>
        <w:rPr>
          <w:sz w:val="24"/>
          <w:szCs w:val="24"/>
        </w:rPr>
      </w:pPr>
    </w:p>
    <w:sectPr w:rsidSect="0036383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A3B1D" w:rsidP="00E4276D" w14:paraId="7635F39A" w14:textId="77777777">
      <w:r>
        <w:separator/>
      </w:r>
    </w:p>
  </w:footnote>
  <w:footnote w:type="continuationSeparator" w:id="1">
    <w:p w:rsidR="004A3B1D" w:rsidP="00E4276D" w14:paraId="419B4D23" w14:textId="77777777">
      <w:r>
        <w:continuationSeparator/>
      </w:r>
    </w:p>
  </w:footnote>
  <w:footnote w:id="2">
    <w:p w:rsidR="00E0726F" w:rsidRPr="00311769" w:rsidP="00C15365" w14:paraId="76B5FEBA" w14:textId="2E3BCCEA">
      <w:pPr>
        <w:pStyle w:val="FootnoteText"/>
        <w:spacing w:after="120"/>
        <w:rPr>
          <w:i/>
        </w:rPr>
      </w:pPr>
      <w:r w:rsidRPr="00311769">
        <w:rPr>
          <w:rStyle w:val="FootnoteReference"/>
        </w:rPr>
        <w:footnoteRef/>
      </w:r>
      <w:r w:rsidRPr="00311769">
        <w:t xml:space="preserve"> 7 U.S.C. 1 </w:t>
      </w:r>
      <w:r w:rsidRPr="00311769">
        <w:rPr>
          <w:i/>
        </w:rPr>
        <w:t>et seq.</w:t>
      </w:r>
    </w:p>
  </w:footnote>
  <w:footnote w:id="3">
    <w:p w:rsidR="00E0726F" w:rsidRPr="00311769" w:rsidP="00C15365" w14:paraId="1DFDC94D" w14:textId="40B2932B">
      <w:pPr>
        <w:pStyle w:val="FootnoteText"/>
        <w:spacing w:after="120"/>
      </w:pPr>
      <w:r w:rsidRPr="00311769">
        <w:rPr>
          <w:rStyle w:val="FootnoteReference"/>
        </w:rPr>
        <w:footnoteRef/>
      </w:r>
      <w:r w:rsidRPr="00311769">
        <w:t xml:space="preserve"> Clearing Exemption for Certain Swaps Entered into by Cooperatives, 78 FR 52286 (Aug. 22, 2013).</w:t>
      </w:r>
    </w:p>
  </w:footnote>
  <w:footnote w:id="4">
    <w:p w:rsidR="00702110" w:rsidRPr="00311769" w:rsidP="00C15365" w14:paraId="6B424D79" w14:textId="1A62F1C9">
      <w:pPr>
        <w:pStyle w:val="FootnoteText"/>
        <w:spacing w:after="120"/>
      </w:pPr>
      <w:r w:rsidRPr="00311769">
        <w:rPr>
          <w:rStyle w:val="FootnoteReference"/>
        </w:rPr>
        <w:footnoteRef/>
      </w:r>
      <w:r w:rsidRPr="00311769">
        <w:t xml:space="preserve"> </w:t>
      </w:r>
      <w:r w:rsidRPr="00311769" w:rsidR="007D19B6">
        <w:t>The estimated number of respondents is based on the number of entities electing the exempt coo</w:t>
      </w:r>
      <w:r w:rsidRPr="00311769" w:rsidR="0034081C">
        <w:t xml:space="preserve">perative status in filings </w:t>
      </w:r>
      <w:r w:rsidRPr="00311769" w:rsidR="00201207">
        <w:t xml:space="preserve">submitted to one of the Commission’s registered </w:t>
      </w:r>
      <w:r w:rsidRPr="00311769" w:rsidR="0034081C">
        <w:t>SDR</w:t>
      </w:r>
      <w:r w:rsidRPr="00311769" w:rsidR="00201207">
        <w:t>s</w:t>
      </w:r>
      <w:r w:rsidRPr="00311769" w:rsidR="0034081C">
        <w:t>.  Based on the number of entities that elected the cooperative exemption to the clearing requirement, the Commission believes that approximately 25 entities that are eligible for the cooperative exemption</w:t>
      </w:r>
      <w:r w:rsidRPr="00311769" w:rsidR="0074044A">
        <w:t>,</w:t>
      </w:r>
      <w:r w:rsidRPr="00311769" w:rsidR="0034081C">
        <w:t xml:space="preserve"> as outlined in Commission regulation 50.51</w:t>
      </w:r>
      <w:r w:rsidRPr="00311769" w:rsidR="0074044A">
        <w:t>,</w:t>
      </w:r>
      <w:r w:rsidRPr="00311769" w:rsidR="0034081C">
        <w:t xml:space="preserve"> are entering into swaps </w:t>
      </w:r>
      <w:r w:rsidRPr="00311769" w:rsidR="0074044A">
        <w:t xml:space="preserve">and </w:t>
      </w:r>
      <w:r w:rsidRPr="00311769" w:rsidR="00843EE7">
        <w:t>electing</w:t>
      </w:r>
      <w:r w:rsidRPr="00311769" w:rsidR="0074044A">
        <w:t xml:space="preserve"> the exemption to the clearing requirement.</w:t>
      </w:r>
    </w:p>
  </w:footnote>
  <w:footnote w:id="5">
    <w:p w:rsidR="00777650" w:rsidRPr="00A70E56" w:rsidP="00C15365" w14:paraId="45F5C7FF" w14:textId="4EE05B55">
      <w:r w:rsidRPr="00A70E56">
        <w:rPr>
          <w:rStyle w:val="FootnoteReference"/>
        </w:rPr>
        <w:footnoteRef/>
      </w:r>
      <w:r w:rsidRPr="00A70E56">
        <w:t xml:space="preserve"> In arriving at a wage rate for the hourly costs imposed, Commission staff used the May 2024 National Occupational Employment and Wage Estimates Report produced by the U.S. Bureau of Labor Statistics (“BLS”), available at </w:t>
      </w:r>
      <w:r w:rsidRPr="00A70E56">
        <w:rPr>
          <w:i/>
          <w:iCs/>
        </w:rPr>
        <w:t>https://www.bls.gov/oes/current/oes_stru.htm</w:t>
      </w:r>
      <w:r w:rsidRPr="00A70E56">
        <w:t xml:space="preserve">.  The wage rate used is a composite (blended) wage rate that averages the mean hourly wages of an employee employed in the Securities, Commodity Contracts, and Other Financial and Investments and Related Activities Industry under the following relevant occupation codes: </w:t>
      </w:r>
      <w:r w:rsidR="00705275">
        <w:t xml:space="preserve"> </w:t>
      </w:r>
      <w:r w:rsidRPr="00A70E56">
        <w:t>23-1011, Lawyers; 11-3031, Financial Managers; and 15-1252, Software Developers.</w:t>
      </w:r>
      <w:r>
        <w:t xml:space="preserve">  </w:t>
      </w:r>
      <w:r w:rsidRPr="00A70E56">
        <w:t>The mean hourly wage for each category is calculated by first obtaining the mean annual salary from the BLS data.  A</w:t>
      </w:r>
      <w:r w:rsidRPr="00A70E56">
        <w:rPr>
          <w:rStyle w:val="normaltextrun"/>
          <w:shd w:val="clear" w:color="auto" w:fill="FFFFFF"/>
        </w:rPr>
        <w:t>ccording</w:t>
      </w:r>
      <w:r w:rsidR="00705275">
        <w:rPr>
          <w:rStyle w:val="normaltextrun"/>
          <w:shd w:val="clear" w:color="auto" w:fill="FFFFFF"/>
        </w:rPr>
        <w:t xml:space="preserve"> </w:t>
      </w:r>
      <w:r w:rsidRPr="00A70E56">
        <w:rPr>
          <w:rStyle w:val="normaltextrun"/>
          <w:shd w:val="clear" w:color="auto" w:fill="FFFFFF"/>
        </w:rPr>
        <w:t>to the May 2024 BLS data, the</w:t>
      </w:r>
      <w:r w:rsidR="00705275">
        <w:rPr>
          <w:rStyle w:val="normaltextrun"/>
          <w:shd w:val="clear" w:color="auto" w:fill="FFFFFF"/>
        </w:rPr>
        <w:t xml:space="preserve"> </w:t>
      </w:r>
      <w:r w:rsidRPr="00A70E56">
        <w:rPr>
          <w:rStyle w:val="normaltextrun"/>
          <w:shd w:val="clear" w:color="auto" w:fill="FFFFFF"/>
        </w:rPr>
        <w:t>mean annual salary for the category “Lawyers” (occupation code 23-1011) within the industry “Securities, Commodity Contracts, and Other Financial Investments and Related Activities,” is $266,940.</w:t>
      </w:r>
      <w:r w:rsidR="004E21A2">
        <w:rPr>
          <w:rStyle w:val="normaltextrun"/>
          <w:shd w:val="clear" w:color="auto" w:fill="FFFFFF"/>
        </w:rPr>
        <w:t xml:space="preserve">  </w:t>
      </w:r>
      <w:r w:rsidRPr="00A70E56">
        <w:rPr>
          <w:rStyle w:val="normaltextrun"/>
          <w:i/>
          <w:iCs/>
          <w:shd w:val="clear" w:color="auto" w:fill="FFFFFF"/>
        </w:rPr>
        <w:t xml:space="preserve">See </w:t>
      </w:r>
      <w:hyperlink r:id="rId1" w:anchor="/industry/523000" w:history="1">
        <w:r w:rsidRPr="00A70E56">
          <w:rPr>
            <w:rStyle w:val="Hyperlink"/>
            <w:shd w:val="clear" w:color="auto" w:fill="FFFFFF"/>
          </w:rPr>
          <w:t>https://data.bls.gov/oes/#/industry/523000</w:t>
        </w:r>
      </w:hyperlink>
      <w:r w:rsidRPr="00A70E56">
        <w:rPr>
          <w:shd w:val="clear" w:color="auto" w:fill="FFFFFF"/>
        </w:rPr>
        <w:t xml:space="preserve">.  </w:t>
      </w:r>
      <w:r w:rsidRPr="00A70E56">
        <w:rPr>
          <w:rStyle w:val="normaltextrun"/>
          <w:shd w:val="clear" w:color="auto" w:fill="FFFFFF"/>
        </w:rPr>
        <w:t>This mean annual salary is (a)</w:t>
      </w:r>
      <w:r w:rsidR="00705275">
        <w:rPr>
          <w:rStyle w:val="normaltextrun"/>
          <w:shd w:val="clear" w:color="auto" w:fill="FFFFFF"/>
        </w:rPr>
        <w:t xml:space="preserve"> </w:t>
      </w:r>
      <w:r w:rsidRPr="00A70E56">
        <w:rPr>
          <w:rStyle w:val="normaltextrun"/>
          <w:shd w:val="clear" w:color="auto" w:fill="FFFFFF"/>
        </w:rPr>
        <w:t>divided by 1800 work</w:t>
      </w:r>
      <w:r w:rsidR="004E21A2">
        <w:rPr>
          <w:rStyle w:val="normaltextrun"/>
          <w:shd w:val="clear" w:color="auto" w:fill="FFFFFF"/>
        </w:rPr>
        <w:t xml:space="preserve"> </w:t>
      </w:r>
      <w:r w:rsidRPr="00A70E56">
        <w:rPr>
          <w:rStyle w:val="normaltextrun"/>
          <w:shd w:val="clear" w:color="auto" w:fill="FFFFFF"/>
        </w:rPr>
        <w:t>hours in a year to account for sick leave and</w:t>
      </w:r>
      <w:r w:rsidR="00705275">
        <w:rPr>
          <w:rStyle w:val="normaltextrun"/>
          <w:shd w:val="clear" w:color="auto" w:fill="FFFFFF"/>
        </w:rPr>
        <w:t xml:space="preserve"> </w:t>
      </w:r>
      <w:r w:rsidRPr="00A70E56">
        <w:rPr>
          <w:rStyle w:val="normaltextrun"/>
          <w:shd w:val="clear" w:color="auto" w:fill="FFFFFF"/>
        </w:rPr>
        <w:t>vacations, (b) multiplied by 2.5 to account for</w:t>
      </w:r>
      <w:r w:rsidR="00705275">
        <w:rPr>
          <w:rStyle w:val="normaltextrun"/>
          <w:shd w:val="clear" w:color="auto" w:fill="FFFFFF"/>
        </w:rPr>
        <w:t xml:space="preserve"> </w:t>
      </w:r>
      <w:r w:rsidRPr="00A70E56">
        <w:rPr>
          <w:rStyle w:val="normaltextrun"/>
          <w:shd w:val="clear" w:color="auto" w:fill="FFFFFF"/>
        </w:rPr>
        <w:t>retirement, health, and other benefits or compensation, as well as for</w:t>
      </w:r>
      <w:r w:rsidR="00705275">
        <w:rPr>
          <w:rStyle w:val="normaltextrun"/>
          <w:shd w:val="clear" w:color="auto" w:fill="FFFFFF"/>
        </w:rPr>
        <w:t xml:space="preserve"> </w:t>
      </w:r>
      <w:r w:rsidRPr="00A70E56">
        <w:rPr>
          <w:rStyle w:val="normaltextrun"/>
          <w:shd w:val="clear" w:color="auto" w:fill="FFFFFF"/>
        </w:rPr>
        <w:t>office space, computer equipment support, and</w:t>
      </w:r>
      <w:r w:rsidR="00705275">
        <w:rPr>
          <w:rStyle w:val="normaltextrun"/>
          <w:shd w:val="clear" w:color="auto" w:fill="FFFFFF"/>
        </w:rPr>
        <w:t xml:space="preserve"> </w:t>
      </w:r>
      <w:r w:rsidRPr="00A70E56">
        <w:rPr>
          <w:rStyle w:val="normaltextrun"/>
          <w:shd w:val="clear" w:color="auto" w:fill="FFFFFF"/>
        </w:rPr>
        <w:t>human resources support,</w:t>
      </w:r>
      <w:r w:rsidR="00705275">
        <w:rPr>
          <w:rStyle w:val="normaltextrun"/>
          <w:shd w:val="clear" w:color="auto" w:fill="FFFFFF"/>
        </w:rPr>
        <w:t xml:space="preserve"> </w:t>
      </w:r>
      <w:r w:rsidRPr="00A70E56">
        <w:rPr>
          <w:rStyle w:val="normaltextrun"/>
          <w:shd w:val="clear" w:color="auto" w:fill="FFFFFF"/>
        </w:rPr>
        <w:t>and (c)</w:t>
      </w:r>
      <w:r w:rsidR="00705275">
        <w:rPr>
          <w:rStyle w:val="normaltextrun"/>
          <w:shd w:val="clear" w:color="auto" w:fill="FFFFFF"/>
        </w:rPr>
        <w:t xml:space="preserve"> </w:t>
      </w:r>
      <w:r w:rsidRPr="00A70E56">
        <w:rPr>
          <w:rStyle w:val="normaltextrun"/>
          <w:shd w:val="clear" w:color="auto" w:fill="FFFFFF"/>
        </w:rPr>
        <w:t>further multiplied by</w:t>
      </w:r>
      <w:r w:rsidR="00705275">
        <w:rPr>
          <w:rStyle w:val="normaltextrun"/>
          <w:shd w:val="clear" w:color="auto" w:fill="FFFFFF"/>
        </w:rPr>
        <w:t xml:space="preserve"> </w:t>
      </w:r>
      <w:r w:rsidRPr="00A70E56">
        <w:rPr>
          <w:rStyle w:val="normaltextrun"/>
          <w:shd w:val="clear" w:color="auto" w:fill="FFFFFF"/>
        </w:rPr>
        <w:t>1.02167</w:t>
      </w:r>
      <w:r w:rsidR="00705275">
        <w:rPr>
          <w:rStyle w:val="normaltextrun"/>
          <w:shd w:val="clear" w:color="auto" w:fill="FFFFFF"/>
        </w:rPr>
        <w:t xml:space="preserve"> </w:t>
      </w:r>
      <w:r w:rsidRPr="00A70E56">
        <w:rPr>
          <w:rStyle w:val="normaltextrun"/>
          <w:shd w:val="clear" w:color="auto" w:fill="FFFFFF"/>
        </w:rPr>
        <w:t>to account for the change in the Consumer Price Index for Urban Wage-Earners and Clerical Workers (not seasonally adjusted) from</w:t>
      </w:r>
      <w:r w:rsidR="00705275">
        <w:rPr>
          <w:rStyle w:val="normaltextrun"/>
          <w:shd w:val="clear" w:color="auto" w:fill="FFFFFF"/>
        </w:rPr>
        <w:t xml:space="preserve"> </w:t>
      </w:r>
      <w:r w:rsidRPr="00A70E56">
        <w:rPr>
          <w:rStyle w:val="normaltextrun"/>
          <w:shd w:val="clear" w:color="auto" w:fill="FFFFFF"/>
        </w:rPr>
        <w:t>308.163 in May 2024 to 314.839 in May 2025.  The resulting mean hourly wage is $378.78.  The process is repeated for Financial Managers (whose mean annual salary is $262,470) and Software Developers (whose mean annual salary is $165,680), yielding hourly wages of $372.44 and $235.10 respectively.  The average of the three categories</w:t>
      </w:r>
      <w:r>
        <w:rPr>
          <w:rStyle w:val="normaltextrun"/>
          <w:shd w:val="clear" w:color="auto" w:fill="FFFFFF"/>
        </w:rPr>
        <w:t xml:space="preserve">, in turn, </w:t>
      </w:r>
      <w:r w:rsidRPr="00A70E56">
        <w:rPr>
          <w:rStyle w:val="normaltextrun"/>
          <w:shd w:val="clear" w:color="auto" w:fill="FFFFFF"/>
        </w:rPr>
        <w:t>is $328.77.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1E8C" w:rsidRPr="00711E8C" w:rsidP="00711E8C" w14:paraId="52EFB05E" w14:textId="77777777">
    <w:pPr>
      <w:pStyle w:val="Heade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numRestart w:val="eachSect"/>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2E"/>
    <w:rsid w:val="00000206"/>
    <w:rsid w:val="00001EAC"/>
    <w:rsid w:val="00002676"/>
    <w:rsid w:val="00004000"/>
    <w:rsid w:val="00007D19"/>
    <w:rsid w:val="0001093E"/>
    <w:rsid w:val="00020BAE"/>
    <w:rsid w:val="00021891"/>
    <w:rsid w:val="00022D30"/>
    <w:rsid w:val="00047B07"/>
    <w:rsid w:val="0005024A"/>
    <w:rsid w:val="000507DF"/>
    <w:rsid w:val="0006194B"/>
    <w:rsid w:val="00071AEC"/>
    <w:rsid w:val="000759D5"/>
    <w:rsid w:val="000830B6"/>
    <w:rsid w:val="00083C8C"/>
    <w:rsid w:val="000864FC"/>
    <w:rsid w:val="000A2018"/>
    <w:rsid w:val="000A20A8"/>
    <w:rsid w:val="000A2601"/>
    <w:rsid w:val="000A5EB2"/>
    <w:rsid w:val="000B1162"/>
    <w:rsid w:val="000B124C"/>
    <w:rsid w:val="000B5473"/>
    <w:rsid w:val="000B57A1"/>
    <w:rsid w:val="000B5968"/>
    <w:rsid w:val="000C3CA4"/>
    <w:rsid w:val="000C5F96"/>
    <w:rsid w:val="000D05AF"/>
    <w:rsid w:val="000D398A"/>
    <w:rsid w:val="000D6DF9"/>
    <w:rsid w:val="000D7B05"/>
    <w:rsid w:val="000E045E"/>
    <w:rsid w:val="000E15DF"/>
    <w:rsid w:val="000E48CE"/>
    <w:rsid w:val="000E6674"/>
    <w:rsid w:val="000F0755"/>
    <w:rsid w:val="000F0DFA"/>
    <w:rsid w:val="000F3332"/>
    <w:rsid w:val="000F7451"/>
    <w:rsid w:val="001013A4"/>
    <w:rsid w:val="001054E9"/>
    <w:rsid w:val="0010598E"/>
    <w:rsid w:val="00110321"/>
    <w:rsid w:val="00120B2B"/>
    <w:rsid w:val="00120C32"/>
    <w:rsid w:val="00121749"/>
    <w:rsid w:val="001313D2"/>
    <w:rsid w:val="00131E39"/>
    <w:rsid w:val="00142190"/>
    <w:rsid w:val="00142AC2"/>
    <w:rsid w:val="00147A39"/>
    <w:rsid w:val="00153C2A"/>
    <w:rsid w:val="00160536"/>
    <w:rsid w:val="001609A9"/>
    <w:rsid w:val="0017032C"/>
    <w:rsid w:val="00170446"/>
    <w:rsid w:val="001724A3"/>
    <w:rsid w:val="00177153"/>
    <w:rsid w:val="00177C2F"/>
    <w:rsid w:val="001822DB"/>
    <w:rsid w:val="00182FED"/>
    <w:rsid w:val="00197B4C"/>
    <w:rsid w:val="001A45EE"/>
    <w:rsid w:val="001A586F"/>
    <w:rsid w:val="001A6028"/>
    <w:rsid w:val="001B185B"/>
    <w:rsid w:val="001B2795"/>
    <w:rsid w:val="001B41AF"/>
    <w:rsid w:val="001B54CB"/>
    <w:rsid w:val="001B54E1"/>
    <w:rsid w:val="001C1C00"/>
    <w:rsid w:val="001D2104"/>
    <w:rsid w:val="001D384C"/>
    <w:rsid w:val="001D6BB4"/>
    <w:rsid w:val="001F28FE"/>
    <w:rsid w:val="001F6747"/>
    <w:rsid w:val="00201207"/>
    <w:rsid w:val="00203926"/>
    <w:rsid w:val="00204EF2"/>
    <w:rsid w:val="002071B9"/>
    <w:rsid w:val="00212703"/>
    <w:rsid w:val="00221142"/>
    <w:rsid w:val="00223B9C"/>
    <w:rsid w:val="00224B06"/>
    <w:rsid w:val="00230919"/>
    <w:rsid w:val="002324F5"/>
    <w:rsid w:val="002330A9"/>
    <w:rsid w:val="00234BAB"/>
    <w:rsid w:val="00236B73"/>
    <w:rsid w:val="0023743A"/>
    <w:rsid w:val="00237CCF"/>
    <w:rsid w:val="00242D86"/>
    <w:rsid w:val="00250B64"/>
    <w:rsid w:val="002541D8"/>
    <w:rsid w:val="00255E8C"/>
    <w:rsid w:val="00264E0A"/>
    <w:rsid w:val="00276F84"/>
    <w:rsid w:val="00287DC9"/>
    <w:rsid w:val="002921BF"/>
    <w:rsid w:val="00293673"/>
    <w:rsid w:val="00294C7A"/>
    <w:rsid w:val="002A745E"/>
    <w:rsid w:val="002B0CCF"/>
    <w:rsid w:val="002B5DAC"/>
    <w:rsid w:val="002C2670"/>
    <w:rsid w:val="002C2EE8"/>
    <w:rsid w:val="002C408F"/>
    <w:rsid w:val="002D68DC"/>
    <w:rsid w:val="002E1007"/>
    <w:rsid w:val="002E4548"/>
    <w:rsid w:val="002F101F"/>
    <w:rsid w:val="002F5708"/>
    <w:rsid w:val="00304A91"/>
    <w:rsid w:val="00310673"/>
    <w:rsid w:val="00311769"/>
    <w:rsid w:val="00315B13"/>
    <w:rsid w:val="00322800"/>
    <w:rsid w:val="00325C2A"/>
    <w:rsid w:val="003345A4"/>
    <w:rsid w:val="0034081C"/>
    <w:rsid w:val="003466D0"/>
    <w:rsid w:val="003476E2"/>
    <w:rsid w:val="00355B9F"/>
    <w:rsid w:val="00355E8D"/>
    <w:rsid w:val="00356C98"/>
    <w:rsid w:val="0036383B"/>
    <w:rsid w:val="00384ED7"/>
    <w:rsid w:val="00387DBA"/>
    <w:rsid w:val="00394B10"/>
    <w:rsid w:val="003A59AD"/>
    <w:rsid w:val="003A6989"/>
    <w:rsid w:val="003B2AD2"/>
    <w:rsid w:val="003B2F4F"/>
    <w:rsid w:val="003B3038"/>
    <w:rsid w:val="003B786B"/>
    <w:rsid w:val="003C00A5"/>
    <w:rsid w:val="003D4F81"/>
    <w:rsid w:val="003E69AB"/>
    <w:rsid w:val="004018D5"/>
    <w:rsid w:val="00405065"/>
    <w:rsid w:val="00411D9E"/>
    <w:rsid w:val="00415F61"/>
    <w:rsid w:val="00416CFE"/>
    <w:rsid w:val="00433003"/>
    <w:rsid w:val="0044499B"/>
    <w:rsid w:val="00445211"/>
    <w:rsid w:val="00445603"/>
    <w:rsid w:val="004501ED"/>
    <w:rsid w:val="004525DB"/>
    <w:rsid w:val="00454DBC"/>
    <w:rsid w:val="00462437"/>
    <w:rsid w:val="004656B5"/>
    <w:rsid w:val="00466087"/>
    <w:rsid w:val="00475E91"/>
    <w:rsid w:val="00482651"/>
    <w:rsid w:val="00490103"/>
    <w:rsid w:val="00490847"/>
    <w:rsid w:val="00494C85"/>
    <w:rsid w:val="00496C53"/>
    <w:rsid w:val="00497205"/>
    <w:rsid w:val="004A0DC8"/>
    <w:rsid w:val="004A2524"/>
    <w:rsid w:val="004A3B1D"/>
    <w:rsid w:val="004B11AE"/>
    <w:rsid w:val="004B25D6"/>
    <w:rsid w:val="004C4974"/>
    <w:rsid w:val="004C57C5"/>
    <w:rsid w:val="004C7DDB"/>
    <w:rsid w:val="004D311F"/>
    <w:rsid w:val="004D50AA"/>
    <w:rsid w:val="004D5AC3"/>
    <w:rsid w:val="004E1DEA"/>
    <w:rsid w:val="004E21A2"/>
    <w:rsid w:val="004E7452"/>
    <w:rsid w:val="004F71C1"/>
    <w:rsid w:val="00511614"/>
    <w:rsid w:val="00521AB5"/>
    <w:rsid w:val="005238C9"/>
    <w:rsid w:val="005270DE"/>
    <w:rsid w:val="0052755F"/>
    <w:rsid w:val="00530097"/>
    <w:rsid w:val="00532416"/>
    <w:rsid w:val="00536685"/>
    <w:rsid w:val="00544796"/>
    <w:rsid w:val="00547503"/>
    <w:rsid w:val="005475E0"/>
    <w:rsid w:val="00562110"/>
    <w:rsid w:val="00565E92"/>
    <w:rsid w:val="00586040"/>
    <w:rsid w:val="005861A5"/>
    <w:rsid w:val="00591827"/>
    <w:rsid w:val="005944D3"/>
    <w:rsid w:val="005A1F71"/>
    <w:rsid w:val="005A7D6E"/>
    <w:rsid w:val="005B08F0"/>
    <w:rsid w:val="005C01DA"/>
    <w:rsid w:val="005C3395"/>
    <w:rsid w:val="005D6961"/>
    <w:rsid w:val="005F4D77"/>
    <w:rsid w:val="005F5C03"/>
    <w:rsid w:val="0060611F"/>
    <w:rsid w:val="006133D3"/>
    <w:rsid w:val="00616BF3"/>
    <w:rsid w:val="00622594"/>
    <w:rsid w:val="0063348F"/>
    <w:rsid w:val="0064179E"/>
    <w:rsid w:val="006537C1"/>
    <w:rsid w:val="00656CBE"/>
    <w:rsid w:val="00662448"/>
    <w:rsid w:val="006646A5"/>
    <w:rsid w:val="00665315"/>
    <w:rsid w:val="006653BE"/>
    <w:rsid w:val="006677CF"/>
    <w:rsid w:val="00672F02"/>
    <w:rsid w:val="00685FA7"/>
    <w:rsid w:val="00695E3E"/>
    <w:rsid w:val="00696DC0"/>
    <w:rsid w:val="006A005E"/>
    <w:rsid w:val="006A070C"/>
    <w:rsid w:val="006A0B94"/>
    <w:rsid w:val="006A115E"/>
    <w:rsid w:val="006A24E1"/>
    <w:rsid w:val="006B35E0"/>
    <w:rsid w:val="006B6BAC"/>
    <w:rsid w:val="006C0FE3"/>
    <w:rsid w:val="006C1469"/>
    <w:rsid w:val="006C6E3E"/>
    <w:rsid w:val="006D03A1"/>
    <w:rsid w:val="006D208E"/>
    <w:rsid w:val="006D3CF1"/>
    <w:rsid w:val="006D5642"/>
    <w:rsid w:val="006F08F9"/>
    <w:rsid w:val="006F7C63"/>
    <w:rsid w:val="00700C85"/>
    <w:rsid w:val="00702110"/>
    <w:rsid w:val="00702903"/>
    <w:rsid w:val="00703BEA"/>
    <w:rsid w:val="00705275"/>
    <w:rsid w:val="00711BD3"/>
    <w:rsid w:val="00711E8C"/>
    <w:rsid w:val="007146C4"/>
    <w:rsid w:val="0071726D"/>
    <w:rsid w:val="00724EA4"/>
    <w:rsid w:val="0072647E"/>
    <w:rsid w:val="0072725D"/>
    <w:rsid w:val="0073237A"/>
    <w:rsid w:val="0073275F"/>
    <w:rsid w:val="0073792E"/>
    <w:rsid w:val="0074044A"/>
    <w:rsid w:val="00747C5E"/>
    <w:rsid w:val="00751BAA"/>
    <w:rsid w:val="00753770"/>
    <w:rsid w:val="00753797"/>
    <w:rsid w:val="00755F35"/>
    <w:rsid w:val="0075690C"/>
    <w:rsid w:val="00756D2D"/>
    <w:rsid w:val="00757DE3"/>
    <w:rsid w:val="007623EE"/>
    <w:rsid w:val="00764DF8"/>
    <w:rsid w:val="00770C7B"/>
    <w:rsid w:val="00777650"/>
    <w:rsid w:val="00780244"/>
    <w:rsid w:val="00780D55"/>
    <w:rsid w:val="007866C5"/>
    <w:rsid w:val="007924EE"/>
    <w:rsid w:val="00792625"/>
    <w:rsid w:val="00792988"/>
    <w:rsid w:val="007962B7"/>
    <w:rsid w:val="007A0AD8"/>
    <w:rsid w:val="007A2D0B"/>
    <w:rsid w:val="007A4F64"/>
    <w:rsid w:val="007C3CD2"/>
    <w:rsid w:val="007C5F2E"/>
    <w:rsid w:val="007D03BD"/>
    <w:rsid w:val="007D19B6"/>
    <w:rsid w:val="007D1E2D"/>
    <w:rsid w:val="007D2D43"/>
    <w:rsid w:val="007E0DBE"/>
    <w:rsid w:val="007F1474"/>
    <w:rsid w:val="00801686"/>
    <w:rsid w:val="00803360"/>
    <w:rsid w:val="00803DCE"/>
    <w:rsid w:val="00810FEF"/>
    <w:rsid w:val="0081275E"/>
    <w:rsid w:val="00814B2D"/>
    <w:rsid w:val="00832191"/>
    <w:rsid w:val="008360F1"/>
    <w:rsid w:val="008362B4"/>
    <w:rsid w:val="00836992"/>
    <w:rsid w:val="00837D47"/>
    <w:rsid w:val="0084081F"/>
    <w:rsid w:val="008433A8"/>
    <w:rsid w:val="00843EE7"/>
    <w:rsid w:val="00850675"/>
    <w:rsid w:val="008512A9"/>
    <w:rsid w:val="0085752F"/>
    <w:rsid w:val="0086023D"/>
    <w:rsid w:val="0086458F"/>
    <w:rsid w:val="00865966"/>
    <w:rsid w:val="00867B40"/>
    <w:rsid w:val="008710B2"/>
    <w:rsid w:val="00875F2C"/>
    <w:rsid w:val="00875F58"/>
    <w:rsid w:val="008A0EBC"/>
    <w:rsid w:val="008B0220"/>
    <w:rsid w:val="008B489C"/>
    <w:rsid w:val="008C2B5E"/>
    <w:rsid w:val="008C402B"/>
    <w:rsid w:val="008C4031"/>
    <w:rsid w:val="008C6AD1"/>
    <w:rsid w:val="008D3990"/>
    <w:rsid w:val="008E3844"/>
    <w:rsid w:val="008E7CF9"/>
    <w:rsid w:val="00901963"/>
    <w:rsid w:val="00906A72"/>
    <w:rsid w:val="00906F82"/>
    <w:rsid w:val="0091716C"/>
    <w:rsid w:val="00926CA6"/>
    <w:rsid w:val="00926D44"/>
    <w:rsid w:val="009328CC"/>
    <w:rsid w:val="009337D8"/>
    <w:rsid w:val="0093749C"/>
    <w:rsid w:val="00952FA8"/>
    <w:rsid w:val="00957B13"/>
    <w:rsid w:val="00960024"/>
    <w:rsid w:val="009642C3"/>
    <w:rsid w:val="00965E80"/>
    <w:rsid w:val="00975126"/>
    <w:rsid w:val="009752E1"/>
    <w:rsid w:val="009876D1"/>
    <w:rsid w:val="009905E0"/>
    <w:rsid w:val="00992D03"/>
    <w:rsid w:val="00993ECE"/>
    <w:rsid w:val="00994E80"/>
    <w:rsid w:val="0099778B"/>
    <w:rsid w:val="009A1D74"/>
    <w:rsid w:val="009A54CF"/>
    <w:rsid w:val="009B0764"/>
    <w:rsid w:val="009C0CFC"/>
    <w:rsid w:val="009C5379"/>
    <w:rsid w:val="009D3548"/>
    <w:rsid w:val="009D3704"/>
    <w:rsid w:val="009D4A62"/>
    <w:rsid w:val="009D5DBC"/>
    <w:rsid w:val="009E0521"/>
    <w:rsid w:val="009E1139"/>
    <w:rsid w:val="009E58F2"/>
    <w:rsid w:val="009F63B0"/>
    <w:rsid w:val="009F76E9"/>
    <w:rsid w:val="00A064AA"/>
    <w:rsid w:val="00A06FBF"/>
    <w:rsid w:val="00A074A9"/>
    <w:rsid w:val="00A1458F"/>
    <w:rsid w:val="00A274A9"/>
    <w:rsid w:val="00A32D4D"/>
    <w:rsid w:val="00A36EE2"/>
    <w:rsid w:val="00A50712"/>
    <w:rsid w:val="00A51A8C"/>
    <w:rsid w:val="00A52D73"/>
    <w:rsid w:val="00A571EB"/>
    <w:rsid w:val="00A67B34"/>
    <w:rsid w:val="00A70E56"/>
    <w:rsid w:val="00A73E96"/>
    <w:rsid w:val="00A74F7F"/>
    <w:rsid w:val="00A83618"/>
    <w:rsid w:val="00AA11E8"/>
    <w:rsid w:val="00AA3711"/>
    <w:rsid w:val="00AA3740"/>
    <w:rsid w:val="00AA64EC"/>
    <w:rsid w:val="00AA6FC6"/>
    <w:rsid w:val="00AC7600"/>
    <w:rsid w:val="00AD4D91"/>
    <w:rsid w:val="00AE5814"/>
    <w:rsid w:val="00AF263D"/>
    <w:rsid w:val="00AF6815"/>
    <w:rsid w:val="00B07391"/>
    <w:rsid w:val="00B1237F"/>
    <w:rsid w:val="00B251E5"/>
    <w:rsid w:val="00B27261"/>
    <w:rsid w:val="00B315F4"/>
    <w:rsid w:val="00B3166D"/>
    <w:rsid w:val="00B318D1"/>
    <w:rsid w:val="00B31DBA"/>
    <w:rsid w:val="00B35608"/>
    <w:rsid w:val="00B35F42"/>
    <w:rsid w:val="00B40F48"/>
    <w:rsid w:val="00B43611"/>
    <w:rsid w:val="00B43FA7"/>
    <w:rsid w:val="00B46CA3"/>
    <w:rsid w:val="00B46CEC"/>
    <w:rsid w:val="00B522B0"/>
    <w:rsid w:val="00B52807"/>
    <w:rsid w:val="00B648B5"/>
    <w:rsid w:val="00B65A01"/>
    <w:rsid w:val="00B66DFD"/>
    <w:rsid w:val="00B73C7B"/>
    <w:rsid w:val="00B81173"/>
    <w:rsid w:val="00B848CD"/>
    <w:rsid w:val="00B86C58"/>
    <w:rsid w:val="00B950E3"/>
    <w:rsid w:val="00B963A6"/>
    <w:rsid w:val="00B96FBF"/>
    <w:rsid w:val="00BA06AD"/>
    <w:rsid w:val="00BA250E"/>
    <w:rsid w:val="00BA3915"/>
    <w:rsid w:val="00BA67D8"/>
    <w:rsid w:val="00BA76D3"/>
    <w:rsid w:val="00BC30B5"/>
    <w:rsid w:val="00BC4497"/>
    <w:rsid w:val="00BD537A"/>
    <w:rsid w:val="00BD7270"/>
    <w:rsid w:val="00BF0949"/>
    <w:rsid w:val="00BF2CB0"/>
    <w:rsid w:val="00BF469F"/>
    <w:rsid w:val="00C05A80"/>
    <w:rsid w:val="00C05FBC"/>
    <w:rsid w:val="00C06B23"/>
    <w:rsid w:val="00C15365"/>
    <w:rsid w:val="00C1545D"/>
    <w:rsid w:val="00C21468"/>
    <w:rsid w:val="00C24A59"/>
    <w:rsid w:val="00C256AE"/>
    <w:rsid w:val="00C25FED"/>
    <w:rsid w:val="00C408BB"/>
    <w:rsid w:val="00C5025F"/>
    <w:rsid w:val="00C55A6E"/>
    <w:rsid w:val="00C63867"/>
    <w:rsid w:val="00C72D99"/>
    <w:rsid w:val="00C755C1"/>
    <w:rsid w:val="00C80D6E"/>
    <w:rsid w:val="00C8750E"/>
    <w:rsid w:val="00C96722"/>
    <w:rsid w:val="00CA2F32"/>
    <w:rsid w:val="00CA35C5"/>
    <w:rsid w:val="00CC442D"/>
    <w:rsid w:val="00CC623F"/>
    <w:rsid w:val="00CC738B"/>
    <w:rsid w:val="00CE1F65"/>
    <w:rsid w:val="00CE5FA4"/>
    <w:rsid w:val="00CF49E6"/>
    <w:rsid w:val="00CF583A"/>
    <w:rsid w:val="00CF60B0"/>
    <w:rsid w:val="00D07CBE"/>
    <w:rsid w:val="00D126B8"/>
    <w:rsid w:val="00D1464B"/>
    <w:rsid w:val="00D203AB"/>
    <w:rsid w:val="00D2086F"/>
    <w:rsid w:val="00D22225"/>
    <w:rsid w:val="00D242AD"/>
    <w:rsid w:val="00D405C9"/>
    <w:rsid w:val="00D50144"/>
    <w:rsid w:val="00D50C32"/>
    <w:rsid w:val="00D51844"/>
    <w:rsid w:val="00D57F3E"/>
    <w:rsid w:val="00D65249"/>
    <w:rsid w:val="00D67F91"/>
    <w:rsid w:val="00D77B3F"/>
    <w:rsid w:val="00D82066"/>
    <w:rsid w:val="00D84CA3"/>
    <w:rsid w:val="00D921B8"/>
    <w:rsid w:val="00D923CF"/>
    <w:rsid w:val="00D96C1B"/>
    <w:rsid w:val="00D97CD7"/>
    <w:rsid w:val="00DA0FB0"/>
    <w:rsid w:val="00DA7496"/>
    <w:rsid w:val="00DB229C"/>
    <w:rsid w:val="00DB2891"/>
    <w:rsid w:val="00DB3C05"/>
    <w:rsid w:val="00DB7197"/>
    <w:rsid w:val="00DC08F5"/>
    <w:rsid w:val="00DC4CC5"/>
    <w:rsid w:val="00DD5643"/>
    <w:rsid w:val="00DE0A8E"/>
    <w:rsid w:val="00DE54F5"/>
    <w:rsid w:val="00DF176B"/>
    <w:rsid w:val="00DF3580"/>
    <w:rsid w:val="00DF7898"/>
    <w:rsid w:val="00E0726F"/>
    <w:rsid w:val="00E26C78"/>
    <w:rsid w:val="00E350AC"/>
    <w:rsid w:val="00E4276D"/>
    <w:rsid w:val="00E45DEF"/>
    <w:rsid w:val="00E51177"/>
    <w:rsid w:val="00E61873"/>
    <w:rsid w:val="00E94075"/>
    <w:rsid w:val="00EA44FD"/>
    <w:rsid w:val="00EA589C"/>
    <w:rsid w:val="00EB6921"/>
    <w:rsid w:val="00EC4518"/>
    <w:rsid w:val="00ED2807"/>
    <w:rsid w:val="00ED6501"/>
    <w:rsid w:val="00EE265F"/>
    <w:rsid w:val="00EE2B59"/>
    <w:rsid w:val="00EE6F54"/>
    <w:rsid w:val="00EE7F3B"/>
    <w:rsid w:val="00EF6F69"/>
    <w:rsid w:val="00F037D4"/>
    <w:rsid w:val="00F045A7"/>
    <w:rsid w:val="00F16678"/>
    <w:rsid w:val="00F20FEC"/>
    <w:rsid w:val="00F210E4"/>
    <w:rsid w:val="00F2264C"/>
    <w:rsid w:val="00F32E79"/>
    <w:rsid w:val="00F365F3"/>
    <w:rsid w:val="00F3705C"/>
    <w:rsid w:val="00F42E76"/>
    <w:rsid w:val="00F53E3F"/>
    <w:rsid w:val="00F5646D"/>
    <w:rsid w:val="00F5756D"/>
    <w:rsid w:val="00F658F1"/>
    <w:rsid w:val="00F71008"/>
    <w:rsid w:val="00F72A57"/>
    <w:rsid w:val="00F74F5A"/>
    <w:rsid w:val="00F771AF"/>
    <w:rsid w:val="00F83F4A"/>
    <w:rsid w:val="00F8499F"/>
    <w:rsid w:val="00F86C2A"/>
    <w:rsid w:val="00F9338E"/>
    <w:rsid w:val="00FB40C0"/>
    <w:rsid w:val="00FB46C0"/>
    <w:rsid w:val="00FB560B"/>
    <w:rsid w:val="00FB75B8"/>
    <w:rsid w:val="00FC0897"/>
    <w:rsid w:val="00FC66B5"/>
    <w:rsid w:val="00FD0FDE"/>
    <w:rsid w:val="00FD1473"/>
    <w:rsid w:val="00FD697B"/>
    <w:rsid w:val="00FE2A9D"/>
    <w:rsid w:val="00FE2AE7"/>
    <w:rsid w:val="00FE3976"/>
    <w:rsid w:val="00FE7D5E"/>
    <w:rsid w:val="00FF53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2660D"/>
  <w15:chartTrackingRefBased/>
  <w15:docId w15:val="{2AF86E6D-174E-47D6-9B2B-05893B82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Narrow" w:hAnsi="Arial Narro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Main">
    <w:name w:val="AR Main"/>
    <w:basedOn w:val="Normal"/>
    <w:pPr>
      <w:tabs>
        <w:tab w:val="right" w:pos="9360"/>
      </w:tabs>
      <w:suppressAutoHyphens/>
      <w:jc w:val="both"/>
    </w:pPr>
    <w:rPr>
      <w:rFonts w:ascii="Arial" w:hAnsi="Arial"/>
      <w:b/>
      <w:i/>
      <w:spacing w:val="-3"/>
      <w:sz w:val="36"/>
    </w:rPr>
  </w:style>
  <w:style w:type="paragraph" w:customStyle="1" w:styleId="ARSecondLevel">
    <w:name w:val="AR Second Level"/>
    <w:basedOn w:val="Normal"/>
    <w:pPr>
      <w:tabs>
        <w:tab w:val="right" w:pos="9360"/>
      </w:tabs>
      <w:suppressAutoHyphens/>
      <w:jc w:val="both"/>
    </w:pPr>
    <w:rPr>
      <w:rFonts w:ascii="Arial" w:hAnsi="Arial"/>
      <w:b/>
      <w:spacing w:val="-3"/>
      <w:sz w:val="28"/>
    </w:rPr>
  </w:style>
  <w:style w:type="paragraph" w:customStyle="1" w:styleId="ARThirdLevel">
    <w:name w:val="AR Third Level"/>
    <w:basedOn w:val="Normal"/>
    <w:pPr>
      <w:tabs>
        <w:tab w:val="right" w:pos="9360"/>
      </w:tabs>
      <w:suppressAutoHyphens/>
      <w:jc w:val="both"/>
    </w:pPr>
    <w:rPr>
      <w:rFonts w:ascii="Arial" w:hAnsi="Arial"/>
      <w:b/>
      <w:spacing w:val="-3"/>
      <w:sz w:val="24"/>
    </w:rPr>
  </w:style>
  <w:style w:type="paragraph" w:customStyle="1" w:styleId="ARFourthLevel">
    <w:name w:val="AR Fourth Level"/>
    <w:basedOn w:val="Normal"/>
    <w:pPr>
      <w:tabs>
        <w:tab w:val="right" w:pos="9360"/>
      </w:tabs>
      <w:suppressAutoHyphens/>
      <w:jc w:val="both"/>
    </w:pPr>
    <w:rPr>
      <w:rFonts w:ascii="Arial" w:hAnsi="Arial"/>
      <w:b/>
      <w:smallCaps/>
      <w:spacing w:val="-3"/>
      <w:sz w:val="24"/>
    </w:rPr>
  </w:style>
  <w:style w:type="paragraph" w:customStyle="1" w:styleId="ARcasetitle">
    <w:name w:val="AR case title"/>
    <w:basedOn w:val="Normal"/>
    <w:pPr>
      <w:tabs>
        <w:tab w:val="right" w:pos="9360"/>
      </w:tabs>
      <w:suppressAutoHyphens/>
      <w:jc w:val="both"/>
    </w:pPr>
    <w:rPr>
      <w:b/>
      <w:i/>
      <w:spacing w:val="-3"/>
      <w:sz w:val="24"/>
    </w:rPr>
  </w:style>
  <w:style w:type="paragraph" w:styleId="Title">
    <w:name w:val="Title"/>
    <w:basedOn w:val="Normal"/>
    <w:qFormat/>
    <w:pPr>
      <w:jc w:val="center"/>
    </w:pPr>
    <w:rPr>
      <w:rFonts w:ascii="Arial" w:hAnsi="Arial"/>
      <w:b/>
      <w:sz w:val="24"/>
    </w:rPr>
  </w:style>
  <w:style w:type="paragraph" w:styleId="DocumentMap">
    <w:name w:val="Document Map"/>
    <w:basedOn w:val="Normal"/>
    <w:semiHidden/>
    <w:rsid w:val="007C5F2E"/>
    <w:pPr>
      <w:shd w:val="clear" w:color="auto" w:fill="000080"/>
    </w:pPr>
    <w:rPr>
      <w:rFonts w:ascii="Tahoma" w:hAnsi="Tahoma" w:cs="Tahoma"/>
    </w:rPr>
  </w:style>
  <w:style w:type="table" w:styleId="TableGrid">
    <w:name w:val="Table Grid"/>
    <w:basedOn w:val="TableNormal"/>
    <w:rsid w:val="00FC6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D3548"/>
    <w:rPr>
      <w:sz w:val="16"/>
      <w:szCs w:val="16"/>
    </w:rPr>
  </w:style>
  <w:style w:type="paragraph" w:styleId="CommentText">
    <w:name w:val="annotation text"/>
    <w:basedOn w:val="Normal"/>
    <w:link w:val="CommentTextChar"/>
    <w:uiPriority w:val="99"/>
    <w:rsid w:val="009D3548"/>
  </w:style>
  <w:style w:type="character" w:customStyle="1" w:styleId="CommentTextChar">
    <w:name w:val="Comment Text Char"/>
    <w:basedOn w:val="DefaultParagraphFont"/>
    <w:link w:val="CommentText"/>
    <w:uiPriority w:val="99"/>
    <w:rsid w:val="009D3548"/>
  </w:style>
  <w:style w:type="paragraph" w:styleId="CommentSubject">
    <w:name w:val="annotation subject"/>
    <w:basedOn w:val="CommentText"/>
    <w:next w:val="CommentText"/>
    <w:link w:val="CommentSubjectChar"/>
    <w:rsid w:val="009D3548"/>
    <w:rPr>
      <w:b/>
      <w:bCs/>
    </w:rPr>
  </w:style>
  <w:style w:type="character" w:customStyle="1" w:styleId="CommentSubjectChar">
    <w:name w:val="Comment Subject Char"/>
    <w:link w:val="CommentSubject"/>
    <w:rsid w:val="009D3548"/>
    <w:rPr>
      <w:b/>
      <w:bCs/>
    </w:rPr>
  </w:style>
  <w:style w:type="paragraph" w:styleId="BalloonText">
    <w:name w:val="Balloon Text"/>
    <w:basedOn w:val="Normal"/>
    <w:link w:val="BalloonTextChar"/>
    <w:rsid w:val="009D3548"/>
    <w:rPr>
      <w:rFonts w:ascii="Tahoma" w:hAnsi="Tahoma" w:cs="Tahoma"/>
      <w:sz w:val="16"/>
      <w:szCs w:val="16"/>
    </w:rPr>
  </w:style>
  <w:style w:type="character" w:customStyle="1" w:styleId="BalloonTextChar">
    <w:name w:val="Balloon Text Char"/>
    <w:link w:val="BalloonText"/>
    <w:rsid w:val="009D3548"/>
    <w:rPr>
      <w:rFonts w:ascii="Tahoma" w:hAnsi="Tahoma" w:cs="Tahoma"/>
      <w:sz w:val="16"/>
      <w:szCs w:val="16"/>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rsid w:val="00E4276D"/>
    <w:rPr>
      <w:rFonts w:eastAsia="Calibri"/>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rsid w:val="00E4276D"/>
    <w:rPr>
      <w:rFonts w:eastAsia="Calibri"/>
    </w:rPr>
  </w:style>
  <w:style w:type="character" w:styleId="FootnoteReference">
    <w:name w:val="footnote reference"/>
    <w:aliases w:val="Style 16,Style 19,Style 35,fr"/>
    <w:rsid w:val="00E4276D"/>
    <w:rPr>
      <w:rFonts w:cs="Times New Roman"/>
      <w:vertAlign w:val="superscript"/>
    </w:rPr>
  </w:style>
  <w:style w:type="paragraph" w:styleId="Header">
    <w:name w:val="header"/>
    <w:basedOn w:val="Normal"/>
    <w:link w:val="HeaderChar"/>
    <w:rsid w:val="00711E8C"/>
    <w:pPr>
      <w:tabs>
        <w:tab w:val="center" w:pos="4680"/>
        <w:tab w:val="right" w:pos="9360"/>
      </w:tabs>
    </w:pPr>
  </w:style>
  <w:style w:type="character" w:customStyle="1" w:styleId="HeaderChar">
    <w:name w:val="Header Char"/>
    <w:basedOn w:val="DefaultParagraphFont"/>
    <w:link w:val="Header"/>
    <w:rsid w:val="00711E8C"/>
  </w:style>
  <w:style w:type="paragraph" w:styleId="Footer">
    <w:name w:val="footer"/>
    <w:basedOn w:val="Normal"/>
    <w:link w:val="FooterChar"/>
    <w:rsid w:val="00711E8C"/>
    <w:pPr>
      <w:tabs>
        <w:tab w:val="center" w:pos="4680"/>
        <w:tab w:val="right" w:pos="9360"/>
      </w:tabs>
    </w:pPr>
  </w:style>
  <w:style w:type="character" w:customStyle="1" w:styleId="FooterChar">
    <w:name w:val="Footer Char"/>
    <w:basedOn w:val="DefaultParagraphFont"/>
    <w:link w:val="Footer"/>
    <w:rsid w:val="00711E8C"/>
  </w:style>
  <w:style w:type="paragraph" w:styleId="Revision">
    <w:name w:val="Revision"/>
    <w:hidden/>
    <w:uiPriority w:val="99"/>
    <w:semiHidden/>
    <w:rsid w:val="000864FC"/>
  </w:style>
  <w:style w:type="character" w:styleId="Hyperlink">
    <w:name w:val="Hyperlink"/>
    <w:rsid w:val="00DD5643"/>
    <w:rPr>
      <w:color w:val="0563C1"/>
      <w:u w:val="single"/>
    </w:rPr>
  </w:style>
  <w:style w:type="character" w:styleId="UnresolvedMention">
    <w:name w:val="Unresolved Mention"/>
    <w:uiPriority w:val="99"/>
    <w:semiHidden/>
    <w:unhideWhenUsed/>
    <w:rsid w:val="00DD5643"/>
    <w:rPr>
      <w:color w:val="605E5C"/>
      <w:shd w:val="clear" w:color="auto" w:fill="E1DFDD"/>
    </w:rPr>
  </w:style>
  <w:style w:type="paragraph" w:customStyle="1" w:styleId="RightPar4">
    <w:name w:val="Right Par 4"/>
    <w:rsid w:val="007A4F64"/>
    <w:pPr>
      <w:tabs>
        <w:tab w:val="left" w:pos="-720"/>
        <w:tab w:val="left" w:pos="0"/>
        <w:tab w:val="left" w:pos="720"/>
        <w:tab w:val="left" w:pos="1440"/>
        <w:tab w:val="left" w:pos="2160"/>
        <w:tab w:val="decimal" w:pos="2880"/>
      </w:tabs>
      <w:suppressAutoHyphens/>
      <w:ind w:left="2880"/>
    </w:pPr>
    <w:rPr>
      <w:rFonts w:ascii="Courier" w:hAnsi="Courier"/>
      <w:sz w:val="24"/>
    </w:rPr>
  </w:style>
  <w:style w:type="character" w:customStyle="1" w:styleId="normaltextrun">
    <w:name w:val="normaltextrun"/>
    <w:basedOn w:val="DefaultParagraphFont"/>
    <w:rsid w:val="007A4F64"/>
  </w:style>
  <w:style w:type="character" w:styleId="FollowedHyperlink">
    <w:name w:val="FollowedHyperlink"/>
    <w:basedOn w:val="DefaultParagraphFont"/>
    <w:rsid w:val="007A4F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data.bls.gov/oes/"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573E-AA0A-4F3E-A3BD-C8F880C32688}">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18</TotalTime>
  <Pages>9</Pages>
  <Words>3288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Schmelzer</dc:creator>
  <cp:lastModifiedBy>Office of the General Counsel</cp:lastModifiedBy>
  <cp:revision>10</cp:revision>
  <dcterms:created xsi:type="dcterms:W3CDTF">2025-11-24T22:15:00Z</dcterms:created>
  <dcterms:modified xsi:type="dcterms:W3CDTF">2025-12-01T16:20:00Z</dcterms:modified>
</cp:coreProperties>
</file>