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316DC" w:rsidRPr="00A832A7" w:rsidP="00E316DC" w14:paraId="1936A259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sz w:val="24"/>
          <w:szCs w:val="24"/>
        </w:rPr>
      </w:pPr>
      <w:r w:rsidRPr="00A832A7">
        <w:rPr>
          <w:sz w:val="24"/>
          <w:szCs w:val="24"/>
        </w:rPr>
        <w:t>National Credit Union Administration</w:t>
      </w:r>
    </w:p>
    <w:p w:rsidR="00A832A7" w:rsidRPr="00E316DC" w:rsidP="006C1A5B" w14:paraId="5FFEF63D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 w:rsidRPr="00E316DC">
        <w:rPr>
          <w:b/>
          <w:sz w:val="24"/>
          <w:szCs w:val="24"/>
        </w:rPr>
        <w:t>SUPPORTING STATEMENT</w:t>
      </w:r>
      <w:r w:rsidRPr="00E316DC" w:rsidR="006C1A5B">
        <w:rPr>
          <w:b/>
          <w:sz w:val="24"/>
          <w:szCs w:val="24"/>
        </w:rPr>
        <w:t xml:space="preserve"> </w:t>
      </w:r>
    </w:p>
    <w:p w:rsidR="00A832A7" w:rsidP="006C1A5B" w14:paraId="53396E0E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</w:p>
    <w:p w:rsidR="00E62E07" w:rsidRPr="003E0093" w:rsidP="006C1A5B" w14:paraId="5D3FFE81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 w:rsidRPr="003E0093">
        <w:rPr>
          <w:b/>
          <w:sz w:val="24"/>
          <w:szCs w:val="24"/>
        </w:rPr>
        <w:t>Authorization Agreement for Electronic Funds Transfers Payments</w:t>
      </w:r>
    </w:p>
    <w:p w:rsidR="00E62E07" w:rsidRPr="003E0093" w:rsidP="006C1A5B" w14:paraId="7B137885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 w:rsidRPr="003E0093">
        <w:rPr>
          <w:b/>
          <w:sz w:val="24"/>
          <w:szCs w:val="24"/>
        </w:rPr>
        <w:t>(Automated Clearinghouse Program Data Form)</w:t>
      </w:r>
    </w:p>
    <w:p w:rsidR="006C1A5B" w:rsidRPr="003E0093" w:rsidP="006C1A5B" w14:paraId="35038878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OMB No. </w:t>
      </w:r>
      <w:r w:rsidRPr="003E0093">
        <w:rPr>
          <w:b/>
          <w:sz w:val="24"/>
          <w:szCs w:val="24"/>
        </w:rPr>
        <w:t>3133-0135</w:t>
      </w:r>
    </w:p>
    <w:p w:rsidR="00E62E07" w:rsidRPr="003E0093" w:rsidP="00E62E07" w14:paraId="63972AB3" w14:textId="77777777">
      <w:pPr>
        <w:widowControl w:val="0"/>
        <w:tabs>
          <w:tab w:val="left" w:pos="0"/>
          <w:tab w:val="left" w:pos="1098"/>
          <w:tab w:val="right" w:pos="8204"/>
        </w:tabs>
        <w:jc w:val="center"/>
        <w:rPr>
          <w:b/>
          <w:sz w:val="24"/>
          <w:szCs w:val="24"/>
        </w:rPr>
      </w:pPr>
    </w:p>
    <w:p w:rsidR="006C1A5B" w:rsidRPr="003E0093" w:rsidP="00A832A7" w14:paraId="394DFD54" w14:textId="77777777">
      <w:pPr>
        <w:widowControl w:val="0"/>
        <w:tabs>
          <w:tab w:val="left" w:pos="720"/>
          <w:tab w:val="right" w:pos="8204"/>
        </w:tabs>
        <w:ind w:left="720" w:hanging="720"/>
        <w:rPr>
          <w:b/>
          <w:sz w:val="24"/>
          <w:szCs w:val="24"/>
        </w:rPr>
      </w:pPr>
      <w:r w:rsidRPr="003E0093">
        <w:rPr>
          <w:b/>
          <w:sz w:val="24"/>
          <w:szCs w:val="24"/>
        </w:rPr>
        <w:t>A.</w:t>
      </w:r>
      <w:r w:rsidRPr="003E0093">
        <w:rPr>
          <w:b/>
          <w:sz w:val="24"/>
          <w:szCs w:val="24"/>
        </w:rPr>
        <w:tab/>
        <w:t>JUSTIFICATION</w:t>
      </w:r>
    </w:p>
    <w:p w:rsidR="006C1A5B" w:rsidRPr="003E0093" w:rsidP="00A832A7" w14:paraId="7FFC535B" w14:textId="77777777">
      <w:pPr>
        <w:widowControl w:val="0"/>
        <w:tabs>
          <w:tab w:val="left" w:pos="720"/>
          <w:tab w:val="right" w:pos="2959"/>
        </w:tabs>
        <w:ind w:left="720" w:hanging="720"/>
        <w:rPr>
          <w:b/>
          <w:sz w:val="24"/>
          <w:szCs w:val="24"/>
        </w:rPr>
      </w:pPr>
    </w:p>
    <w:p w:rsidR="006C1A5B" w:rsidRPr="003E0093" w:rsidP="00A832A7" w14:paraId="0E16D414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3E0093" w:rsidR="00B10CE6">
        <w:rPr>
          <w:b/>
          <w:sz w:val="24"/>
          <w:szCs w:val="24"/>
        </w:rPr>
        <w:t>ircumstances that make the collection of</w:t>
      </w:r>
      <w:r w:rsidR="00B10CE6">
        <w:rPr>
          <w:b/>
          <w:sz w:val="24"/>
          <w:szCs w:val="24"/>
        </w:rPr>
        <w:t xml:space="preserve"> </w:t>
      </w:r>
      <w:r w:rsidRPr="003E0093" w:rsidR="00B10CE6">
        <w:rPr>
          <w:b/>
          <w:sz w:val="24"/>
          <w:szCs w:val="24"/>
        </w:rPr>
        <w:t xml:space="preserve">information necessary. </w:t>
      </w:r>
      <w:r w:rsidR="006F12DE">
        <w:rPr>
          <w:b/>
          <w:sz w:val="24"/>
          <w:szCs w:val="24"/>
        </w:rPr>
        <w:t xml:space="preserve"> </w:t>
      </w:r>
    </w:p>
    <w:p w:rsidR="006C1A5B" w:rsidRPr="003E0093" w:rsidP="00A832A7" w14:paraId="1CD2CD39" w14:textId="77777777">
      <w:pPr>
        <w:widowControl w:val="0"/>
        <w:tabs>
          <w:tab w:val="left" w:pos="720"/>
          <w:tab w:val="right" w:pos="7816"/>
        </w:tabs>
        <w:ind w:left="720" w:hanging="720"/>
        <w:rPr>
          <w:b/>
          <w:sz w:val="24"/>
          <w:szCs w:val="24"/>
        </w:rPr>
      </w:pPr>
    </w:p>
    <w:p w:rsidR="006C1A5B" w:rsidRPr="003E0093" w:rsidP="00A832A7" w14:paraId="5E17C1E5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>
        <w:rPr>
          <w:sz w:val="24"/>
          <w:szCs w:val="24"/>
        </w:rPr>
        <w:t xml:space="preserve">The National Credit Union Administration is required under the Debt Collection Improvement Act of 1996 </w:t>
      </w:r>
      <w:r w:rsidR="002449BC">
        <w:rPr>
          <w:sz w:val="24"/>
          <w:szCs w:val="24"/>
        </w:rPr>
        <w:t>(</w:t>
      </w:r>
      <w:r w:rsidR="002449BC">
        <w:rPr>
          <w:sz w:val="24"/>
          <w:szCs w:val="24"/>
        </w:rPr>
        <w:t>Pub.L</w:t>
      </w:r>
      <w:r w:rsidR="002449BC">
        <w:rPr>
          <w:sz w:val="24"/>
          <w:szCs w:val="24"/>
        </w:rPr>
        <w:t xml:space="preserve"> 104-134; 31 U.S.C. 3701) </w:t>
      </w:r>
      <w:r w:rsidRPr="003E0093">
        <w:rPr>
          <w:sz w:val="24"/>
          <w:szCs w:val="24"/>
        </w:rPr>
        <w:t xml:space="preserve">to issue payments to credit unions and all other entities electronically effective </w:t>
      </w:r>
      <w:smartTag w:uri="urn:schemas-microsoft-com:office:smarttags" w:element="date">
        <w:smartTagPr>
          <w:attr w:name="Day" w:val="2"/>
          <w:attr w:name="Month" w:val="1"/>
          <w:attr w:name="Year" w:val="1999"/>
          <w:attr w:name="ls" w:val="trans"/>
        </w:smartTagPr>
        <w:r w:rsidRPr="003E0093">
          <w:rPr>
            <w:sz w:val="24"/>
            <w:szCs w:val="24"/>
          </w:rPr>
          <w:t>January 2, 1999</w:t>
        </w:r>
      </w:smartTag>
      <w:r w:rsidRPr="003E0093">
        <w:rPr>
          <w:sz w:val="24"/>
          <w:szCs w:val="24"/>
        </w:rPr>
        <w:t>.</w:t>
      </w:r>
      <w:r w:rsidR="000850D6">
        <w:rPr>
          <w:sz w:val="24"/>
          <w:szCs w:val="24"/>
        </w:rPr>
        <w:t xml:space="preserve">  NCUA needs this collection of information to maintain up-to-date and accurate electronic payment </w:t>
      </w:r>
      <w:r w:rsidR="001D2559">
        <w:rPr>
          <w:sz w:val="24"/>
          <w:szCs w:val="24"/>
        </w:rPr>
        <w:t>data</w:t>
      </w:r>
      <w:r w:rsidR="000850D6">
        <w:rPr>
          <w:sz w:val="24"/>
          <w:szCs w:val="24"/>
        </w:rPr>
        <w:t xml:space="preserve"> for new and existing credit unions.</w:t>
      </w:r>
      <w:r w:rsidR="001D2559">
        <w:rPr>
          <w:sz w:val="24"/>
          <w:szCs w:val="24"/>
        </w:rPr>
        <w:t xml:space="preserve">  </w:t>
      </w:r>
      <w:r w:rsidRPr="003A40C1" w:rsidR="001D2559">
        <w:rPr>
          <w:sz w:val="24"/>
          <w:szCs w:val="24"/>
        </w:rPr>
        <w:t>It is essential that electronic data is accurate and up-to-date for all credit unions.</w:t>
      </w:r>
    </w:p>
    <w:p w:rsidR="006C1A5B" w:rsidRPr="003E0093" w:rsidP="00A832A7" w14:paraId="50766540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69173A24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E0093" w:rsidR="00B10CE6">
        <w:rPr>
          <w:b/>
          <w:sz w:val="24"/>
          <w:szCs w:val="24"/>
        </w:rPr>
        <w:t xml:space="preserve">urpose </w:t>
      </w:r>
      <w:r>
        <w:rPr>
          <w:b/>
          <w:sz w:val="24"/>
          <w:szCs w:val="24"/>
        </w:rPr>
        <w:t>and use of information collection</w:t>
      </w:r>
      <w:r w:rsidRPr="003E0093" w:rsidR="00B10CE6">
        <w:rPr>
          <w:b/>
          <w:sz w:val="24"/>
          <w:szCs w:val="24"/>
        </w:rPr>
        <w:t xml:space="preserve">. </w:t>
      </w:r>
      <w:r w:rsidR="006F12DE">
        <w:rPr>
          <w:b/>
          <w:sz w:val="24"/>
          <w:szCs w:val="24"/>
        </w:rPr>
        <w:t xml:space="preserve"> </w:t>
      </w:r>
    </w:p>
    <w:p w:rsidR="006C1A5B" w:rsidRPr="003E0093" w:rsidP="00A832A7" w14:paraId="3B1E5484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6C1A5B" w:rsidRPr="003E0093" w:rsidP="00A832A7" w14:paraId="159D12D7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6130E3">
        <w:rPr>
          <w:sz w:val="24"/>
          <w:szCs w:val="24"/>
        </w:rPr>
        <w:t xml:space="preserve">NCUA </w:t>
      </w:r>
      <w:r w:rsidR="002449BC">
        <w:rPr>
          <w:sz w:val="24"/>
          <w:szCs w:val="24"/>
        </w:rPr>
        <w:t>use</w:t>
      </w:r>
      <w:r w:rsidR="00C72E05">
        <w:rPr>
          <w:sz w:val="24"/>
          <w:szCs w:val="24"/>
        </w:rPr>
        <w:t>s</w:t>
      </w:r>
      <w:r w:rsidR="002449BC">
        <w:rPr>
          <w:sz w:val="24"/>
          <w:szCs w:val="24"/>
        </w:rPr>
        <w:t xml:space="preserve"> the information</w:t>
      </w:r>
      <w:r w:rsidR="00671BA4">
        <w:rPr>
          <w:sz w:val="24"/>
          <w:szCs w:val="24"/>
        </w:rPr>
        <w:t>,</w:t>
      </w:r>
      <w:r w:rsidR="002449BC">
        <w:rPr>
          <w:sz w:val="24"/>
          <w:szCs w:val="24"/>
        </w:rPr>
        <w:t xml:space="preserve"> provided </w:t>
      </w:r>
      <w:r w:rsidR="0034584B">
        <w:rPr>
          <w:sz w:val="24"/>
          <w:szCs w:val="24"/>
        </w:rPr>
        <w:t xml:space="preserve">by its </w:t>
      </w:r>
      <w:r w:rsidR="006B0F18">
        <w:rPr>
          <w:sz w:val="24"/>
          <w:szCs w:val="24"/>
        </w:rPr>
        <w:t>federally insured credit unions (FICU</w:t>
      </w:r>
      <w:r w:rsidR="00C72E05">
        <w:rPr>
          <w:sz w:val="24"/>
          <w:szCs w:val="24"/>
        </w:rPr>
        <w:t>s</w:t>
      </w:r>
      <w:r w:rsidR="006B0F18">
        <w:rPr>
          <w:sz w:val="24"/>
          <w:szCs w:val="24"/>
        </w:rPr>
        <w:t>)</w:t>
      </w:r>
      <w:r w:rsidR="00671BA4">
        <w:rPr>
          <w:sz w:val="24"/>
          <w:szCs w:val="24"/>
        </w:rPr>
        <w:t>,</w:t>
      </w:r>
      <w:r w:rsidR="0034584B">
        <w:rPr>
          <w:sz w:val="24"/>
          <w:szCs w:val="24"/>
        </w:rPr>
        <w:t xml:space="preserve"> </w:t>
      </w:r>
      <w:r w:rsidR="002449BC">
        <w:rPr>
          <w:sz w:val="24"/>
          <w:szCs w:val="24"/>
        </w:rPr>
        <w:t xml:space="preserve">on the </w:t>
      </w:r>
      <w:r w:rsidRPr="0034584B" w:rsidR="002449BC">
        <w:rPr>
          <w:i/>
          <w:sz w:val="24"/>
          <w:szCs w:val="24"/>
        </w:rPr>
        <w:t xml:space="preserve">Authorization Agreement for Electronic Funds Transfer Payments </w:t>
      </w:r>
      <w:r w:rsidR="002449BC">
        <w:rPr>
          <w:sz w:val="24"/>
          <w:szCs w:val="24"/>
        </w:rPr>
        <w:t xml:space="preserve">form </w:t>
      </w:r>
      <w:r w:rsidRPr="003E0093">
        <w:rPr>
          <w:sz w:val="24"/>
          <w:szCs w:val="24"/>
        </w:rPr>
        <w:t xml:space="preserve">to update </w:t>
      </w:r>
      <w:r w:rsidR="0034584B">
        <w:rPr>
          <w:sz w:val="24"/>
          <w:szCs w:val="24"/>
        </w:rPr>
        <w:t>their</w:t>
      </w:r>
      <w:r w:rsidRPr="003E0093">
        <w:rPr>
          <w:sz w:val="24"/>
          <w:szCs w:val="24"/>
        </w:rPr>
        <w:t xml:space="preserve"> electronic routing and transit </w:t>
      </w:r>
      <w:r w:rsidRPr="003E0093" w:rsidR="006130E3">
        <w:rPr>
          <w:sz w:val="24"/>
          <w:szCs w:val="24"/>
        </w:rPr>
        <w:t xml:space="preserve">database </w:t>
      </w:r>
      <w:r w:rsidRPr="003E0093">
        <w:rPr>
          <w:sz w:val="24"/>
          <w:szCs w:val="24"/>
        </w:rPr>
        <w:t>to enable transmittal of funds and payments.</w:t>
      </w:r>
      <w:r w:rsidRPr="003E0093" w:rsidR="00AC0292">
        <w:rPr>
          <w:sz w:val="24"/>
          <w:szCs w:val="24"/>
        </w:rPr>
        <w:t xml:space="preserve">  </w:t>
      </w:r>
      <w:r w:rsidRPr="003E0093" w:rsidR="00C82815">
        <w:rPr>
          <w:sz w:val="24"/>
          <w:szCs w:val="24"/>
        </w:rPr>
        <w:t xml:space="preserve">Current collection of information </w:t>
      </w:r>
      <w:r w:rsidR="00C82815">
        <w:rPr>
          <w:sz w:val="24"/>
          <w:szCs w:val="24"/>
        </w:rPr>
        <w:t xml:space="preserve">for this data </w:t>
      </w:r>
      <w:r w:rsidRPr="003E0093" w:rsidR="00C82815">
        <w:rPr>
          <w:sz w:val="24"/>
          <w:szCs w:val="24"/>
        </w:rPr>
        <w:t xml:space="preserve">are limited to newly-chartered credit unions that come into our system and current </w:t>
      </w:r>
      <w:r w:rsidR="006B0F18">
        <w:rPr>
          <w:sz w:val="24"/>
          <w:szCs w:val="24"/>
        </w:rPr>
        <w:t>FICU</w:t>
      </w:r>
      <w:r w:rsidR="00C72E05">
        <w:rPr>
          <w:sz w:val="24"/>
          <w:szCs w:val="24"/>
        </w:rPr>
        <w:t>s</w:t>
      </w:r>
      <w:r w:rsidRPr="003E0093" w:rsidR="00C82815">
        <w:rPr>
          <w:sz w:val="24"/>
          <w:szCs w:val="24"/>
        </w:rPr>
        <w:t xml:space="preserve"> that have changed their </w:t>
      </w:r>
      <w:r w:rsidR="00C82815">
        <w:rPr>
          <w:sz w:val="24"/>
          <w:szCs w:val="24"/>
        </w:rPr>
        <w:t>electronic payment information</w:t>
      </w:r>
      <w:r w:rsidR="00DC69CB">
        <w:rPr>
          <w:sz w:val="24"/>
          <w:szCs w:val="24"/>
        </w:rPr>
        <w:t>.</w:t>
      </w:r>
      <w:r w:rsidRPr="003E0093" w:rsidR="00C82815">
        <w:rPr>
          <w:sz w:val="24"/>
          <w:szCs w:val="24"/>
        </w:rPr>
        <w:t xml:space="preserve"> </w:t>
      </w:r>
      <w:r w:rsidR="00DC69CB">
        <w:rPr>
          <w:sz w:val="24"/>
          <w:szCs w:val="24"/>
        </w:rPr>
        <w:t xml:space="preserve"> An optional convenience to </w:t>
      </w:r>
      <w:r w:rsidR="00B75786">
        <w:rPr>
          <w:sz w:val="24"/>
          <w:szCs w:val="24"/>
        </w:rPr>
        <w:t>FICU</w:t>
      </w:r>
      <w:r w:rsidR="00C72E05">
        <w:rPr>
          <w:sz w:val="24"/>
          <w:szCs w:val="24"/>
        </w:rPr>
        <w:t>s</w:t>
      </w:r>
      <w:r w:rsidR="00DC69CB">
        <w:rPr>
          <w:sz w:val="24"/>
          <w:szCs w:val="24"/>
        </w:rPr>
        <w:t xml:space="preserve"> is to elect to use Pay.gov to </w:t>
      </w:r>
      <w:r w:rsidR="00B75786">
        <w:rPr>
          <w:sz w:val="24"/>
          <w:szCs w:val="24"/>
        </w:rPr>
        <w:t xml:space="preserve">electronically </w:t>
      </w:r>
      <w:r w:rsidR="00DC69CB">
        <w:rPr>
          <w:sz w:val="24"/>
          <w:szCs w:val="24"/>
        </w:rPr>
        <w:t>transmit</w:t>
      </w:r>
      <w:r w:rsidR="00B75786">
        <w:rPr>
          <w:sz w:val="24"/>
          <w:szCs w:val="24"/>
        </w:rPr>
        <w:t xml:space="preserve"> payments to NCUA</w:t>
      </w:r>
      <w:r w:rsidR="00C72E05">
        <w:rPr>
          <w:sz w:val="24"/>
          <w:szCs w:val="24"/>
        </w:rPr>
        <w:t xml:space="preserve"> and</w:t>
      </w:r>
      <w:r w:rsidR="00B75786">
        <w:rPr>
          <w:sz w:val="24"/>
          <w:szCs w:val="24"/>
        </w:rPr>
        <w:t xml:space="preserve"> the National Credit Union Share Insurance Fund (NCUSIF).</w:t>
      </w:r>
    </w:p>
    <w:p w:rsidR="006C1A5B" w:rsidRPr="003E0093" w:rsidP="00A832A7" w14:paraId="45E86F23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00FC71ED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Use of information technology</w:t>
      </w:r>
      <w:r w:rsidRPr="003E0093" w:rsidR="00B10CE6">
        <w:rPr>
          <w:b/>
          <w:sz w:val="24"/>
          <w:szCs w:val="24"/>
        </w:rPr>
        <w:t>.</w:t>
      </w:r>
    </w:p>
    <w:p w:rsidR="006C1A5B" w:rsidRPr="00A832A7" w:rsidP="00A832A7" w14:paraId="6FAB4D43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C66D11" w:rsidP="00A832A7" w14:paraId="19BFFE14" w14:textId="77777777">
      <w:pPr>
        <w:widowControl w:val="0"/>
        <w:tabs>
          <w:tab w:val="left" w:pos="720"/>
          <w:tab w:val="right" w:pos="8204"/>
        </w:tabs>
        <w:ind w:left="720" w:hanging="720"/>
        <w:rPr>
          <w:sz w:val="24"/>
          <w:szCs w:val="24"/>
        </w:rPr>
      </w:pPr>
      <w:r w:rsidRPr="00A832A7">
        <w:rPr>
          <w:sz w:val="24"/>
          <w:szCs w:val="24"/>
        </w:rPr>
        <w:tab/>
      </w:r>
      <w:r w:rsidRPr="00A832A7" w:rsidR="00BE6DE5">
        <w:rPr>
          <w:sz w:val="24"/>
          <w:szCs w:val="24"/>
        </w:rPr>
        <w:t xml:space="preserve">The </w:t>
      </w:r>
      <w:r w:rsidRPr="00A832A7" w:rsidR="00BE6DE5">
        <w:rPr>
          <w:i/>
          <w:sz w:val="24"/>
          <w:szCs w:val="24"/>
        </w:rPr>
        <w:t xml:space="preserve">Authorization Agreement for Electronic Funds Transfer Payments </w:t>
      </w:r>
      <w:r w:rsidR="0034584B">
        <w:rPr>
          <w:sz w:val="24"/>
          <w:szCs w:val="24"/>
        </w:rPr>
        <w:t xml:space="preserve">form </w:t>
      </w:r>
      <w:r w:rsidRPr="00A832A7" w:rsidR="00BE6DE5">
        <w:rPr>
          <w:sz w:val="24"/>
          <w:szCs w:val="24"/>
        </w:rPr>
        <w:t>is currently available on NCUA</w:t>
      </w:r>
      <w:r w:rsidR="00883A0E">
        <w:rPr>
          <w:sz w:val="24"/>
          <w:szCs w:val="24"/>
        </w:rPr>
        <w:t>’s</w:t>
      </w:r>
      <w:r w:rsidRPr="00A832A7" w:rsidR="00BE6DE5">
        <w:rPr>
          <w:sz w:val="24"/>
          <w:szCs w:val="24"/>
        </w:rPr>
        <w:t xml:space="preserve"> website</w:t>
      </w:r>
      <w:r w:rsidR="005475DC">
        <w:rPr>
          <w:sz w:val="24"/>
          <w:szCs w:val="24"/>
        </w:rPr>
        <w:t xml:space="preserve"> (</w:t>
      </w:r>
      <w:hyperlink r:id="rId9" w:history="1">
        <w:r w:rsidRPr="005475DC" w:rsidR="005475DC">
          <w:rPr>
            <w:rStyle w:val="Hyperlink"/>
            <w:sz w:val="24"/>
            <w:szCs w:val="24"/>
          </w:rPr>
          <w:t>https://www.ncua.gov/files/publications/authorization-agreement.pdf</w:t>
        </w:r>
      </w:hyperlink>
      <w:r w:rsidR="005475DC">
        <w:rPr>
          <w:sz w:val="24"/>
          <w:szCs w:val="24"/>
        </w:rPr>
        <w:t>)</w:t>
      </w:r>
      <w:r w:rsidRPr="00A832A7" w:rsidR="00BE6DE5">
        <w:rPr>
          <w:sz w:val="24"/>
          <w:szCs w:val="24"/>
        </w:rPr>
        <w:t xml:space="preserve"> for download.  </w:t>
      </w:r>
      <w:r w:rsidRPr="00DC290A" w:rsidR="00BE6DE5">
        <w:rPr>
          <w:sz w:val="24"/>
          <w:szCs w:val="24"/>
        </w:rPr>
        <w:t xml:space="preserve">This form can be sent back to NCUA via fax </w:t>
      </w:r>
      <w:r w:rsidRPr="00DC290A" w:rsidR="00637065">
        <w:rPr>
          <w:sz w:val="24"/>
          <w:szCs w:val="24"/>
        </w:rPr>
        <w:t xml:space="preserve">or email </w:t>
      </w:r>
      <w:r w:rsidRPr="00DC290A" w:rsidR="00BE6DE5">
        <w:rPr>
          <w:sz w:val="24"/>
          <w:szCs w:val="24"/>
        </w:rPr>
        <w:t xml:space="preserve">for input into </w:t>
      </w:r>
      <w:r w:rsidRPr="00DC290A" w:rsidR="00637065">
        <w:rPr>
          <w:sz w:val="24"/>
          <w:szCs w:val="24"/>
        </w:rPr>
        <w:t xml:space="preserve">Delphi, the accounting system </w:t>
      </w:r>
      <w:r w:rsidRPr="00DC290A" w:rsidR="00B97B79">
        <w:rPr>
          <w:sz w:val="24"/>
          <w:szCs w:val="24"/>
        </w:rPr>
        <w:t>that the agency use</w:t>
      </w:r>
      <w:r w:rsidRPr="00DC290A" w:rsidR="00DC290A">
        <w:rPr>
          <w:sz w:val="24"/>
          <w:szCs w:val="24"/>
        </w:rPr>
        <w:t>s</w:t>
      </w:r>
      <w:r w:rsidRPr="00DC290A" w:rsidR="00B97B79">
        <w:rPr>
          <w:sz w:val="24"/>
          <w:szCs w:val="24"/>
        </w:rPr>
        <w:t xml:space="preserve"> to make payments to vendors. The system has limited access and only authorize</w:t>
      </w:r>
      <w:r w:rsidRPr="00DC290A" w:rsidR="00DC290A">
        <w:rPr>
          <w:sz w:val="24"/>
          <w:szCs w:val="24"/>
        </w:rPr>
        <w:t>d</w:t>
      </w:r>
      <w:r w:rsidRPr="00DC290A" w:rsidR="00B97B79">
        <w:rPr>
          <w:sz w:val="24"/>
          <w:szCs w:val="24"/>
        </w:rPr>
        <w:t xml:space="preserve"> employees can access the information.</w:t>
      </w:r>
    </w:p>
    <w:p w:rsidR="00A832A7" w:rsidRPr="00A832A7" w:rsidP="00A832A7" w14:paraId="7582F225" w14:textId="77777777">
      <w:pPr>
        <w:widowControl w:val="0"/>
        <w:tabs>
          <w:tab w:val="left" w:pos="720"/>
          <w:tab w:val="right" w:pos="8204"/>
        </w:tabs>
        <w:ind w:left="720" w:hanging="720"/>
        <w:rPr>
          <w:b/>
          <w:sz w:val="24"/>
          <w:szCs w:val="24"/>
        </w:rPr>
      </w:pPr>
      <w:r w:rsidRPr="00A832A7">
        <w:rPr>
          <w:sz w:val="24"/>
          <w:szCs w:val="24"/>
        </w:rPr>
        <w:t xml:space="preserve"> </w:t>
      </w:r>
    </w:p>
    <w:p w:rsidR="006C1A5B" w:rsidRPr="00A832A7" w:rsidP="00A832A7" w14:paraId="3B906E14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A832A7" w:rsidR="00B10CE6">
        <w:rPr>
          <w:b/>
          <w:sz w:val="24"/>
          <w:szCs w:val="24"/>
        </w:rPr>
        <w:t>uplication</w:t>
      </w:r>
      <w:r>
        <w:rPr>
          <w:b/>
          <w:sz w:val="24"/>
          <w:szCs w:val="24"/>
        </w:rPr>
        <w:t xml:space="preserve"> of information</w:t>
      </w:r>
      <w:r w:rsidRPr="00A832A7" w:rsidR="00B10CE6">
        <w:rPr>
          <w:b/>
          <w:sz w:val="24"/>
          <w:szCs w:val="24"/>
        </w:rPr>
        <w:t xml:space="preserve">. </w:t>
      </w:r>
    </w:p>
    <w:p w:rsidR="006C1A5B" w:rsidRPr="00A832A7" w:rsidP="00A832A7" w14:paraId="2EDBB9D4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E316DC" w:rsidP="00E316DC" w14:paraId="3E74B536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6C1A5B">
        <w:rPr>
          <w:sz w:val="24"/>
          <w:szCs w:val="24"/>
        </w:rPr>
        <w:t>The information collection of electronic routing and transit data from credit unions is unique to each credit union</w:t>
      </w:r>
      <w:r w:rsidRPr="003E0093" w:rsidR="006130E3">
        <w:rPr>
          <w:sz w:val="24"/>
          <w:szCs w:val="24"/>
        </w:rPr>
        <w:t xml:space="preserve">.  </w:t>
      </w:r>
      <w:r w:rsidRPr="003E0093" w:rsidR="00751688">
        <w:rPr>
          <w:sz w:val="24"/>
          <w:szCs w:val="24"/>
        </w:rPr>
        <w:t xml:space="preserve">This information must be collected directly </w:t>
      </w:r>
      <w:r w:rsidRPr="003E0093" w:rsidR="001D2559">
        <w:rPr>
          <w:sz w:val="24"/>
          <w:szCs w:val="24"/>
        </w:rPr>
        <w:t xml:space="preserve">from each credit union </w:t>
      </w:r>
      <w:r w:rsidR="00DA25D9">
        <w:rPr>
          <w:sz w:val="24"/>
          <w:szCs w:val="24"/>
        </w:rPr>
        <w:t xml:space="preserve">and authorized </w:t>
      </w:r>
      <w:r w:rsidRPr="003E0093" w:rsidR="001D2559">
        <w:rPr>
          <w:sz w:val="24"/>
          <w:szCs w:val="24"/>
        </w:rPr>
        <w:t xml:space="preserve">to </w:t>
      </w:r>
      <w:r w:rsidR="001D2559">
        <w:rPr>
          <w:sz w:val="24"/>
          <w:szCs w:val="24"/>
        </w:rPr>
        <w:t>ensure accuracy of electronic payment data when payments to a specific credit union are required.</w:t>
      </w:r>
    </w:p>
    <w:p w:rsidR="00E316DC" w:rsidP="00E316DC" w14:paraId="1E589F21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E316DC" w14:paraId="48DD658B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Effort to reduce burden on </w:t>
      </w:r>
      <w:r w:rsidRPr="003E0093">
        <w:rPr>
          <w:b/>
          <w:sz w:val="24"/>
          <w:szCs w:val="24"/>
        </w:rPr>
        <w:t>small entities.</w:t>
      </w:r>
    </w:p>
    <w:p w:rsidR="006C1A5B" w:rsidRPr="003E0093" w:rsidP="00A832A7" w14:paraId="708D53F2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78DA4B92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447C6B">
        <w:rPr>
          <w:sz w:val="24"/>
          <w:szCs w:val="24"/>
        </w:rPr>
        <w:t xml:space="preserve">The collection of this information </w:t>
      </w:r>
      <w:r w:rsidRPr="003E0093" w:rsidR="00751688">
        <w:rPr>
          <w:sz w:val="24"/>
          <w:szCs w:val="24"/>
        </w:rPr>
        <w:t>does not have any additional impact on small business or other small entities.</w:t>
      </w:r>
      <w:r w:rsidR="002255BA">
        <w:rPr>
          <w:sz w:val="24"/>
          <w:szCs w:val="24"/>
        </w:rPr>
        <w:t xml:space="preserve"> </w:t>
      </w:r>
      <w:r w:rsidR="00DA25D9">
        <w:rPr>
          <w:sz w:val="24"/>
          <w:szCs w:val="24"/>
        </w:rPr>
        <w:t>The same information is required from all credit unions insured by the NCUSIF.</w:t>
      </w:r>
      <w:r w:rsidR="00E316DC">
        <w:rPr>
          <w:sz w:val="24"/>
          <w:szCs w:val="24"/>
        </w:rPr>
        <w:t xml:space="preserve"> </w:t>
      </w:r>
    </w:p>
    <w:p w:rsidR="00E62E07" w:rsidRPr="003E0093" w:rsidP="00A832A7" w14:paraId="6992062A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B10CE6" w:rsidP="00A832A7" w14:paraId="22036947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Consequences of not conducting the collection</w:t>
      </w:r>
      <w:r w:rsidRPr="003E0093">
        <w:rPr>
          <w:b/>
          <w:sz w:val="24"/>
          <w:szCs w:val="24"/>
        </w:rPr>
        <w:t>.</w:t>
      </w:r>
    </w:p>
    <w:p w:rsidR="006C1A5B" w:rsidRPr="003E0093" w:rsidP="00A832A7" w14:paraId="77EA9178" w14:textId="77777777">
      <w:pPr>
        <w:tabs>
          <w:tab w:val="left" w:pos="720"/>
        </w:tabs>
        <w:overflowPunct/>
        <w:ind w:left="720" w:hanging="720"/>
        <w:textAlignment w:val="auto"/>
        <w:rPr>
          <w:b/>
          <w:sz w:val="24"/>
          <w:szCs w:val="24"/>
        </w:rPr>
      </w:pPr>
    </w:p>
    <w:p w:rsidR="00447C6B" w:rsidRPr="003E0093" w:rsidP="00A832A7" w14:paraId="7CDBB023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2449BC">
        <w:rPr>
          <w:sz w:val="24"/>
          <w:szCs w:val="24"/>
        </w:rPr>
        <w:t>If t</w:t>
      </w:r>
      <w:r w:rsidR="002255BA">
        <w:rPr>
          <w:sz w:val="24"/>
          <w:szCs w:val="24"/>
        </w:rPr>
        <w:t>his information collection is not conducted</w:t>
      </w:r>
      <w:r w:rsidRPr="003E0093" w:rsidR="002449BC">
        <w:rPr>
          <w:sz w:val="24"/>
          <w:szCs w:val="24"/>
        </w:rPr>
        <w:t>, NCUA will not be able to make payment</w:t>
      </w:r>
      <w:r w:rsidR="00C72E05">
        <w:rPr>
          <w:sz w:val="24"/>
          <w:szCs w:val="24"/>
        </w:rPr>
        <w:t>s</w:t>
      </w:r>
      <w:r w:rsidRPr="003E0093" w:rsidR="002449BC">
        <w:rPr>
          <w:sz w:val="24"/>
          <w:szCs w:val="24"/>
        </w:rPr>
        <w:t xml:space="preserve"> electronically through the Automated Clearing House (ACH) and will be in non-compliance with the Debt Collection Improvement Act of 1996.</w:t>
      </w:r>
      <w:r w:rsidR="00C82815">
        <w:rPr>
          <w:sz w:val="24"/>
          <w:szCs w:val="24"/>
        </w:rPr>
        <w:t xml:space="preserve"> </w:t>
      </w:r>
      <w:r w:rsidR="001D2559">
        <w:rPr>
          <w:sz w:val="24"/>
          <w:szCs w:val="24"/>
        </w:rPr>
        <w:t xml:space="preserve"> </w:t>
      </w:r>
    </w:p>
    <w:p w:rsidR="006C1A5B" w:rsidRPr="003E0093" w:rsidP="00A832A7" w14:paraId="13011F2F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2D161A47" w14:textId="77777777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Inconsistencies with guidelines in</w:t>
      </w:r>
      <w:r w:rsidRPr="003E0093">
        <w:rPr>
          <w:b/>
          <w:sz w:val="24"/>
          <w:szCs w:val="24"/>
        </w:rPr>
        <w:t xml:space="preserve"> 5 CFR 1320.5(d)(2).</w:t>
      </w:r>
    </w:p>
    <w:p w:rsidR="006C1A5B" w:rsidRPr="003E0093" w:rsidP="00A832A7" w14:paraId="43FAE538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0B385D81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3E0093" w:rsidR="009179C3">
        <w:rPr>
          <w:sz w:val="24"/>
          <w:szCs w:val="24"/>
        </w:rPr>
        <w:t>This collection of information is conducted in a manner consistent with guidelines in 5 CFR 1320.5(d)(2).</w:t>
      </w:r>
      <w:r w:rsidRPr="003E0093" w:rsidR="00447C6B">
        <w:rPr>
          <w:sz w:val="24"/>
          <w:szCs w:val="24"/>
        </w:rPr>
        <w:t xml:space="preserve">  </w:t>
      </w:r>
    </w:p>
    <w:p w:rsidR="006C1A5B" w:rsidRPr="003E0093" w:rsidP="00A832A7" w14:paraId="0C67CE45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0560ED95" w14:textId="77777777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Efforts to consult with person outside </w:t>
      </w:r>
      <w:r w:rsidR="00BB5948">
        <w:rPr>
          <w:b/>
          <w:sz w:val="24"/>
          <w:szCs w:val="24"/>
        </w:rPr>
        <w:t xml:space="preserve">the agency. </w:t>
      </w:r>
    </w:p>
    <w:p w:rsidR="006C1A5B" w:rsidRPr="003E0093" w:rsidP="00A832A7" w14:paraId="72872FAA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1E0908" w:rsidP="00DC290A" w14:paraId="473C71FC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1E0908" w:rsidR="00A04375">
        <w:rPr>
          <w:sz w:val="24"/>
          <w:szCs w:val="24"/>
        </w:rPr>
        <w:t>A 60-day notice was published in the Federal Register</w:t>
      </w:r>
      <w:r w:rsidRPr="001E0908" w:rsidR="001E0908">
        <w:rPr>
          <w:sz w:val="24"/>
          <w:szCs w:val="24"/>
        </w:rPr>
        <w:t xml:space="preserve"> on April 3, 2020 at 85 FR 19030</w:t>
      </w:r>
      <w:r w:rsidRPr="001E0908" w:rsidR="00A04375">
        <w:rPr>
          <w:sz w:val="24"/>
          <w:szCs w:val="24"/>
        </w:rPr>
        <w:t>, soliciting comments from the public. No public comments were received in respo</w:t>
      </w:r>
      <w:r w:rsidRPr="001E0908" w:rsidR="001E0908">
        <w:rPr>
          <w:sz w:val="24"/>
          <w:szCs w:val="24"/>
        </w:rPr>
        <w:t>nse to this notice</w:t>
      </w:r>
      <w:r w:rsidRPr="001E0908" w:rsidR="00A04375">
        <w:rPr>
          <w:sz w:val="24"/>
          <w:szCs w:val="24"/>
        </w:rPr>
        <w:t>.</w:t>
      </w:r>
    </w:p>
    <w:p w:rsidR="006C1A5B" w:rsidRPr="003E0093" w:rsidP="00A832A7" w14:paraId="74EDB9AB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5EF8CF41" w14:textId="77777777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E0093">
        <w:rPr>
          <w:b/>
          <w:sz w:val="24"/>
          <w:szCs w:val="24"/>
        </w:rPr>
        <w:t>ayment or gift to respondents.</w:t>
      </w:r>
    </w:p>
    <w:p w:rsidR="006C1A5B" w:rsidRPr="003E0093" w:rsidP="00A832A7" w14:paraId="0A33CD74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P="00A832A7" w14:paraId="005D90A5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10CE6">
        <w:rPr>
          <w:sz w:val="24"/>
          <w:szCs w:val="24"/>
        </w:rPr>
        <w:t xml:space="preserve">NCUA does </w:t>
      </w:r>
      <w:r w:rsidRPr="003E0093" w:rsidR="00447C6B">
        <w:rPr>
          <w:sz w:val="24"/>
          <w:szCs w:val="24"/>
        </w:rPr>
        <w:t>not provide any type of payments or gifts to respondents</w:t>
      </w:r>
      <w:r w:rsidR="00B10CE6">
        <w:rPr>
          <w:sz w:val="24"/>
          <w:szCs w:val="24"/>
        </w:rPr>
        <w:t xml:space="preserve"> for the collection of information</w:t>
      </w:r>
      <w:r w:rsidRPr="003E0093" w:rsidR="00447C6B">
        <w:rPr>
          <w:sz w:val="24"/>
          <w:szCs w:val="24"/>
        </w:rPr>
        <w:t xml:space="preserve">.  </w:t>
      </w:r>
    </w:p>
    <w:p w:rsidR="000B7794" w:rsidRPr="003E0093" w:rsidP="00A832A7" w14:paraId="2082B195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50E357FA" w14:textId="77777777">
      <w:pPr>
        <w:widowControl w:val="0"/>
        <w:tabs>
          <w:tab w:val="left" w:pos="720"/>
        </w:tabs>
        <w:ind w:left="720" w:hanging="720"/>
        <w:rPr>
          <w:vanish/>
          <w:sz w:val="24"/>
          <w:szCs w:val="24"/>
        </w:rPr>
      </w:pPr>
    </w:p>
    <w:p w:rsidR="006C1A5B" w:rsidRPr="003E0093" w:rsidP="00A832A7" w14:paraId="3CB2F88C" w14:textId="77777777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E0093">
        <w:rPr>
          <w:b/>
          <w:sz w:val="24"/>
          <w:szCs w:val="24"/>
        </w:rPr>
        <w:t>ssurance of confide</w:t>
      </w:r>
      <w:r w:rsidR="002D6696">
        <w:rPr>
          <w:b/>
          <w:sz w:val="24"/>
          <w:szCs w:val="24"/>
        </w:rPr>
        <w:t>ntiality</w:t>
      </w:r>
      <w:r w:rsidRPr="003E0093">
        <w:rPr>
          <w:b/>
          <w:sz w:val="24"/>
          <w:szCs w:val="24"/>
        </w:rPr>
        <w:t>.</w:t>
      </w:r>
    </w:p>
    <w:p w:rsidR="006C1A5B" w:rsidRPr="003E0093" w:rsidP="00A832A7" w14:paraId="38F5EDD3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6C1A5B" w:rsidRPr="003E0093" w:rsidP="00A832A7" w14:paraId="4DB17EC2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E5726">
        <w:rPr>
          <w:sz w:val="24"/>
          <w:szCs w:val="24"/>
        </w:rPr>
        <w:t>There is no assurance of confidentiality other than those provided by law.</w:t>
      </w:r>
    </w:p>
    <w:p w:rsidR="006C1A5B" w:rsidRPr="003E0093" w:rsidP="00A832A7" w14:paraId="2D58C0C7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40E86623" w14:textId="77777777">
      <w:pPr>
        <w:widowControl w:val="0"/>
        <w:numPr>
          <w:ilvl w:val="0"/>
          <w:numId w:val="5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Pr="003E0093">
        <w:rPr>
          <w:b/>
          <w:sz w:val="24"/>
          <w:szCs w:val="24"/>
        </w:rPr>
        <w:t>uestion</w:t>
      </w:r>
      <w:r>
        <w:rPr>
          <w:b/>
          <w:sz w:val="24"/>
          <w:szCs w:val="24"/>
        </w:rPr>
        <w:t>s</w:t>
      </w:r>
      <w:r w:rsidRPr="003E0093">
        <w:rPr>
          <w:b/>
          <w:sz w:val="24"/>
          <w:szCs w:val="24"/>
        </w:rPr>
        <w:t xml:space="preserve"> of a sensitive nature.</w:t>
      </w:r>
    </w:p>
    <w:p w:rsidR="006C1A5B" w:rsidRPr="003E0093" w:rsidP="00A832A7" w14:paraId="2EA3305F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6C1A5B" w:rsidRPr="003E0093" w:rsidP="00DA25D9" w14:paraId="45837651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DA25D9">
        <w:rPr>
          <w:sz w:val="24"/>
          <w:szCs w:val="24"/>
        </w:rPr>
        <w:t>No personally identifiable information (PII) is collected</w:t>
      </w:r>
      <w:r w:rsidR="00C66D11">
        <w:rPr>
          <w:sz w:val="24"/>
          <w:szCs w:val="24"/>
        </w:rPr>
        <w:t>.</w:t>
      </w:r>
    </w:p>
    <w:p w:rsidR="006C1A5B" w:rsidRPr="003E0093" w:rsidP="00A832A7" w14:paraId="5F5ED80B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2D6696" w:rsidRPr="00466CC5" w:rsidP="002D6696" w14:paraId="5492F6EF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Burden of </w:t>
      </w:r>
      <w:r w:rsidRPr="003E0093" w:rsidR="00B10CE6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collection</w:t>
      </w:r>
      <w:r w:rsidRPr="003E0093" w:rsidR="00B10CE6">
        <w:rPr>
          <w:b/>
          <w:sz w:val="24"/>
          <w:szCs w:val="24"/>
        </w:rPr>
        <w:t>.</w:t>
      </w:r>
    </w:p>
    <w:p w:rsidR="002D6696" w:rsidP="002D6696" w14:paraId="25181FF8" w14:textId="77777777">
      <w:pPr>
        <w:rPr>
          <w:rFonts w:ascii="Arial" w:hAnsi="Arial" w:cs="Arial"/>
          <w:bCs/>
          <w:color w:val="0066FF"/>
          <w:sz w:val="18"/>
          <w:szCs w:val="18"/>
        </w:rPr>
      </w:pPr>
    </w:p>
    <w:p w:rsidR="00466CC5" w:rsidRPr="002D6696" w:rsidP="002D6696" w14:paraId="298F2B36" w14:textId="77777777">
      <w:pPr>
        <w:rPr>
          <w:rFonts w:ascii="Arial" w:hAnsi="Arial" w:cs="Arial"/>
          <w:bCs/>
          <w:color w:val="0066FF"/>
          <w:sz w:val="18"/>
          <w:szCs w:val="18"/>
        </w:rPr>
      </w:pPr>
    </w:p>
    <w:p w:rsidR="006C1A5B" w:rsidP="009A7658" w14:paraId="74798058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  <w:r w:rsidRPr="00A832A7">
        <w:rPr>
          <w:sz w:val="24"/>
          <w:szCs w:val="24"/>
        </w:rPr>
        <w:tab/>
      </w:r>
      <w:r w:rsidRPr="003E0093">
        <w:rPr>
          <w:sz w:val="24"/>
          <w:szCs w:val="24"/>
        </w:rPr>
        <w:t>The cost to the respondent is low since the information is readily known and available</w:t>
      </w:r>
      <w:r w:rsidR="006809AC">
        <w:rPr>
          <w:sz w:val="24"/>
          <w:szCs w:val="24"/>
        </w:rPr>
        <w:t xml:space="preserve">.  </w:t>
      </w:r>
      <w:r w:rsidRPr="003E0093" w:rsidR="009179C3">
        <w:rPr>
          <w:sz w:val="24"/>
          <w:szCs w:val="24"/>
        </w:rPr>
        <w:t>This collection of information is only required from newly-chartered credit unions or existing credit unions that have changed their depository information.</w:t>
      </w:r>
      <w:r w:rsidRPr="003E0093">
        <w:rPr>
          <w:sz w:val="24"/>
          <w:szCs w:val="24"/>
        </w:rPr>
        <w:t xml:space="preserve">  </w:t>
      </w:r>
      <w:r w:rsidR="008E71D2">
        <w:rPr>
          <w:sz w:val="24"/>
          <w:szCs w:val="24"/>
        </w:rPr>
        <w:t xml:space="preserve">NCUA maintains </w:t>
      </w:r>
      <w:r w:rsidRPr="003E0093" w:rsidR="008E71D2">
        <w:rPr>
          <w:sz w:val="24"/>
          <w:szCs w:val="24"/>
        </w:rPr>
        <w:t>the information f</w:t>
      </w:r>
      <w:r w:rsidR="00E41B6C">
        <w:rPr>
          <w:sz w:val="24"/>
          <w:szCs w:val="24"/>
        </w:rPr>
        <w:t>or</w:t>
      </w:r>
      <w:r w:rsidRPr="003E0093" w:rsidR="008E71D2">
        <w:rPr>
          <w:sz w:val="24"/>
          <w:szCs w:val="24"/>
        </w:rPr>
        <w:t xml:space="preserve"> all credit unions that can use ACH</w:t>
      </w:r>
      <w:r w:rsidRPr="003E0093" w:rsidR="006809AC">
        <w:rPr>
          <w:sz w:val="24"/>
          <w:szCs w:val="24"/>
        </w:rPr>
        <w:t>.</w:t>
      </w:r>
      <w:r w:rsidR="008E71D2">
        <w:rPr>
          <w:sz w:val="24"/>
          <w:szCs w:val="24"/>
        </w:rPr>
        <w:t xml:space="preserve">  </w:t>
      </w:r>
      <w:r w:rsidRPr="003E0093">
        <w:rPr>
          <w:sz w:val="24"/>
          <w:szCs w:val="24"/>
        </w:rPr>
        <w:t>Based on the current credit union population and the time it would take to read, understand, and complete</w:t>
      </w:r>
      <w:r w:rsidRPr="003E0093" w:rsidR="009179C3">
        <w:rPr>
          <w:sz w:val="24"/>
          <w:szCs w:val="24"/>
        </w:rPr>
        <w:t xml:space="preserve"> </w:t>
      </w:r>
      <w:r w:rsidRPr="003E0093">
        <w:rPr>
          <w:sz w:val="24"/>
          <w:szCs w:val="24"/>
        </w:rPr>
        <w:t xml:space="preserve">the form, the estimated hour burden </w:t>
      </w:r>
      <w:r w:rsidR="005F2B34">
        <w:rPr>
          <w:sz w:val="24"/>
          <w:szCs w:val="24"/>
        </w:rPr>
        <w:t xml:space="preserve">is as </w:t>
      </w:r>
      <w:r w:rsidRPr="003E0093">
        <w:rPr>
          <w:sz w:val="24"/>
          <w:szCs w:val="24"/>
        </w:rPr>
        <w:t>follows:</w:t>
      </w:r>
      <w:r w:rsidRPr="003E0093" w:rsidR="00447C6B">
        <w:rPr>
          <w:sz w:val="24"/>
          <w:szCs w:val="24"/>
        </w:rPr>
        <w:br/>
      </w:r>
    </w:p>
    <w:tbl>
      <w:tblPr>
        <w:tblW w:w="783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440"/>
        <w:gridCol w:w="1350"/>
        <w:gridCol w:w="1800"/>
      </w:tblGrid>
      <w:tr w14:paraId="33A063ED" w14:textId="77777777" w:rsidTr="00384397">
        <w:tblPrEx>
          <w:tblW w:w="7830" w:type="dxa"/>
          <w:tblInd w:w="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620" w:type="dxa"/>
            <w:shd w:val="clear" w:color="auto" w:fill="auto"/>
            <w:vAlign w:val="center"/>
          </w:tcPr>
          <w:p w:rsidR="00384397" w:rsidRPr="00333AF0" w:rsidP="00333AF0" w14:paraId="743DA5FA" w14:textId="77777777">
            <w:pPr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# Respondents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4397" w:rsidRPr="00333AF0" w:rsidP="00333AF0" w14:paraId="7C156B51" w14:textId="77777777">
            <w:pPr>
              <w:ind w:left="-18"/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# Responses per Respondents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84397" w:rsidRPr="00333AF0" w:rsidP="00333AF0" w14:paraId="5CC2FA3C" w14:textId="77777777">
            <w:pPr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Total Annual Responses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4397" w:rsidRPr="00333AF0" w:rsidP="00333AF0" w14:paraId="3F06BAB8" w14:textId="77777777">
            <w:pPr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Hours per Response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4397" w:rsidRPr="00333AF0" w:rsidP="00333AF0" w14:paraId="00360668" w14:textId="77777777">
            <w:pPr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Total Annual Burden Hours</w:t>
            </w:r>
          </w:p>
        </w:tc>
      </w:tr>
      <w:tr w14:paraId="6EF30078" w14:textId="77777777" w:rsidTr="00384397">
        <w:tblPrEx>
          <w:tblW w:w="7830" w:type="dxa"/>
          <w:tblInd w:w="918" w:type="dxa"/>
          <w:tblLayout w:type="fixed"/>
          <w:tblLook w:val="04A0"/>
        </w:tblPrEx>
        <w:trPr>
          <w:trHeight w:val="467"/>
        </w:trPr>
        <w:tc>
          <w:tcPr>
            <w:tcW w:w="1620" w:type="dxa"/>
            <w:shd w:val="clear" w:color="auto" w:fill="auto"/>
            <w:vAlign w:val="center"/>
          </w:tcPr>
          <w:p w:rsidR="00384397" w:rsidRPr="00333AF0" w:rsidP="00333AF0" w14:paraId="2B265204" w14:textId="77777777">
            <w:pPr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4397" w:rsidRPr="00333AF0" w:rsidP="00333AF0" w14:paraId="78254049" w14:textId="77777777">
            <w:pPr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84397" w:rsidRPr="00333AF0" w:rsidP="00333AF0" w14:paraId="482032BF" w14:textId="77777777">
            <w:pPr>
              <w:ind w:left="-18"/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4397" w:rsidRPr="00333AF0" w:rsidP="00333AF0" w14:paraId="1647978A" w14:textId="77777777">
            <w:pPr>
              <w:ind w:left="-18"/>
              <w:jc w:val="center"/>
              <w:rPr>
                <w:rFonts w:ascii="Arial" w:eastAsia="Calibri" w:hAnsi="Arial" w:cs="Arial"/>
              </w:rPr>
            </w:pPr>
            <w:r w:rsidRPr="00333AF0">
              <w:rPr>
                <w:rFonts w:ascii="Arial" w:eastAsia="Calibri" w:hAnsi="Arial" w:cs="Arial"/>
              </w:rPr>
              <w:t>0.25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4397" w:rsidRPr="00333AF0" w:rsidP="00333AF0" w14:paraId="538D4DEB" w14:textId="77777777">
            <w:pPr>
              <w:ind w:left="-1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</w:tr>
    </w:tbl>
    <w:p w:rsidR="00384397" w:rsidRPr="003E0093" w:rsidP="00A832A7" w14:paraId="0DB9A97D" w14:textId="77777777">
      <w:pPr>
        <w:widowControl w:val="0"/>
        <w:tabs>
          <w:tab w:val="left" w:pos="720"/>
          <w:tab w:val="left" w:pos="3109"/>
          <w:tab w:val="left" w:pos="5284"/>
          <w:tab w:val="right" w:pos="7986"/>
          <w:tab w:val="right" w:pos="8136"/>
        </w:tabs>
        <w:ind w:left="720" w:hanging="720"/>
        <w:rPr>
          <w:sz w:val="24"/>
          <w:szCs w:val="24"/>
        </w:rPr>
      </w:pPr>
    </w:p>
    <w:p w:rsidR="006C1A5B" w:rsidRPr="003E0093" w:rsidP="00A832A7" w14:paraId="26A7E45F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Capital start-up or on-going operation and maintenance costs</w:t>
      </w:r>
      <w:r w:rsidRPr="003E0093">
        <w:rPr>
          <w:b/>
          <w:sz w:val="24"/>
          <w:szCs w:val="24"/>
        </w:rPr>
        <w:t>.</w:t>
      </w:r>
    </w:p>
    <w:p w:rsidR="006C1A5B" w:rsidRPr="003E0093" w:rsidP="00A832A7" w14:paraId="11F0E0B0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6C1A5B" w:rsidRPr="003E0093" w:rsidP="001A5558" w14:paraId="60E8810C" w14:textId="77777777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There is no capital/start-up or maintenance costs.</w:t>
      </w:r>
    </w:p>
    <w:p w:rsidR="00E62E07" w:rsidRPr="003E0093" w:rsidP="003A2888" w14:paraId="52ABA3A4" w14:textId="77777777">
      <w:pPr>
        <w:tabs>
          <w:tab w:val="left" w:pos="720"/>
        </w:tabs>
        <w:overflowPunct/>
        <w:ind w:left="720" w:hanging="720"/>
        <w:textAlignment w:val="auto"/>
        <w:rPr>
          <w:b/>
          <w:sz w:val="24"/>
          <w:szCs w:val="24"/>
        </w:rPr>
      </w:pPr>
    </w:p>
    <w:p w:rsidR="006C1A5B" w:rsidRPr="003E0093" w:rsidP="003A2888" w14:paraId="1DB1B534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E0093">
        <w:rPr>
          <w:b/>
          <w:sz w:val="24"/>
          <w:szCs w:val="24"/>
        </w:rPr>
        <w:t>nnualized cost</w:t>
      </w:r>
      <w:r w:rsidR="00B10CE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 </w:t>
      </w:r>
      <w:r w:rsidRPr="003E0093">
        <w:rPr>
          <w:b/>
          <w:sz w:val="24"/>
          <w:szCs w:val="24"/>
        </w:rPr>
        <w:t>Federal government.</w:t>
      </w:r>
    </w:p>
    <w:p w:rsidR="006C1A5B" w:rsidRPr="003E0093" w:rsidP="003A2888" w14:paraId="45815193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6C1A5B" w:rsidRPr="003E0093" w:rsidP="003A2888" w14:paraId="0D234B66" w14:textId="77777777">
      <w:pPr>
        <w:widowControl w:val="0"/>
        <w:tabs>
          <w:tab w:val="left" w:pos="720"/>
          <w:tab w:val="left" w:pos="5076"/>
          <w:tab w:val="right" w:pos="8290"/>
        </w:tabs>
        <w:ind w:left="720"/>
        <w:rPr>
          <w:sz w:val="24"/>
          <w:szCs w:val="24"/>
        </w:rPr>
      </w:pPr>
      <w:r w:rsidRPr="003A2888">
        <w:rPr>
          <w:sz w:val="24"/>
          <w:szCs w:val="24"/>
        </w:rPr>
        <w:t>A</w:t>
      </w:r>
      <w:r w:rsidRPr="003A2888" w:rsidR="005F2B34">
        <w:rPr>
          <w:sz w:val="24"/>
          <w:szCs w:val="24"/>
        </w:rPr>
        <w:t xml:space="preserve">n accountant </w:t>
      </w:r>
      <w:r w:rsidRPr="003A2888">
        <w:rPr>
          <w:sz w:val="24"/>
          <w:szCs w:val="24"/>
        </w:rPr>
        <w:t xml:space="preserve">is estimated to spend 15 minutes per form to review and enter or update the information in the database.  The estimated cost to the Federal government is </w:t>
      </w:r>
      <w:r w:rsidRPr="003A2888" w:rsidR="00A85F95">
        <w:rPr>
          <w:sz w:val="24"/>
          <w:szCs w:val="24"/>
        </w:rPr>
        <w:t>$</w:t>
      </w:r>
      <w:r w:rsidR="00D02250">
        <w:rPr>
          <w:sz w:val="24"/>
          <w:szCs w:val="24"/>
        </w:rPr>
        <w:t>2</w:t>
      </w:r>
      <w:r w:rsidRPr="003A2888">
        <w:rPr>
          <w:sz w:val="24"/>
          <w:szCs w:val="24"/>
        </w:rPr>
        <w:t>,</w:t>
      </w:r>
      <w:r w:rsidR="00D02250">
        <w:rPr>
          <w:sz w:val="24"/>
          <w:szCs w:val="24"/>
        </w:rPr>
        <w:t>120</w:t>
      </w:r>
      <w:r w:rsidRPr="003A2888" w:rsidR="00A85F95">
        <w:rPr>
          <w:sz w:val="24"/>
          <w:szCs w:val="24"/>
        </w:rPr>
        <w:t xml:space="preserve">.00 (100 </w:t>
      </w:r>
      <w:r w:rsidR="00D02250">
        <w:rPr>
          <w:sz w:val="24"/>
          <w:szCs w:val="24"/>
        </w:rPr>
        <w:t>responses x 0.25 = 25 hrs. x $84.80 [CU-13</w:t>
      </w:r>
      <w:r w:rsidRPr="003A2888" w:rsidR="00A85F95">
        <w:rPr>
          <w:sz w:val="24"/>
          <w:szCs w:val="24"/>
        </w:rPr>
        <w:t>]).</w:t>
      </w:r>
    </w:p>
    <w:p w:rsidR="006C1A5B" w:rsidRPr="003E0093" w:rsidP="003A2888" w14:paraId="1E10371D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3A2888" w14:paraId="6F1F09B5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Changes in burden</w:t>
      </w:r>
      <w:r w:rsidR="00AA777C">
        <w:rPr>
          <w:b/>
          <w:sz w:val="24"/>
          <w:szCs w:val="24"/>
        </w:rPr>
        <w:t>.</w:t>
      </w:r>
      <w:r w:rsidRPr="003E0093">
        <w:rPr>
          <w:b/>
          <w:sz w:val="24"/>
          <w:szCs w:val="24"/>
        </w:rPr>
        <w:t xml:space="preserve"> </w:t>
      </w:r>
    </w:p>
    <w:p w:rsidR="006C1A5B" w:rsidRPr="003E0093" w:rsidP="0018086B" w14:paraId="14C44B1C" w14:textId="77777777">
      <w:pPr>
        <w:widowControl w:val="0"/>
        <w:tabs>
          <w:tab w:val="left" w:pos="720"/>
        </w:tabs>
        <w:rPr>
          <w:sz w:val="24"/>
          <w:szCs w:val="24"/>
        </w:rPr>
      </w:pPr>
    </w:p>
    <w:p w:rsidR="001A5558" w:rsidRPr="001A5558" w:rsidP="003A2888" w14:paraId="49822971" w14:textId="77777777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This is an extension of a currently approved collections</w:t>
      </w:r>
      <w:r w:rsidR="003524A1">
        <w:rPr>
          <w:sz w:val="24"/>
          <w:szCs w:val="24"/>
        </w:rPr>
        <w:t>.</w:t>
      </w:r>
      <w:r>
        <w:rPr>
          <w:sz w:val="24"/>
          <w:szCs w:val="24"/>
        </w:rPr>
        <w:t xml:space="preserve">  Adjustments to the number of respondents</w:t>
      </w:r>
      <w:r>
        <w:rPr>
          <w:sz w:val="24"/>
          <w:szCs w:val="24"/>
        </w:rPr>
        <w:t xml:space="preserve"> </w:t>
      </w:r>
      <w:r w:rsidR="003A2888">
        <w:rPr>
          <w:sz w:val="24"/>
          <w:szCs w:val="24"/>
        </w:rPr>
        <w:t>have been made</w:t>
      </w:r>
      <w:r w:rsidRPr="001A5558">
        <w:rPr>
          <w:sz w:val="24"/>
          <w:szCs w:val="24"/>
        </w:rPr>
        <w:t xml:space="preserve"> to reflect only submissions made by new</w:t>
      </w:r>
      <w:r w:rsidR="0018086B">
        <w:rPr>
          <w:sz w:val="24"/>
          <w:szCs w:val="24"/>
        </w:rPr>
        <w:t>-chartered credit unions</w:t>
      </w:r>
      <w:r w:rsidRPr="001A5558">
        <w:rPr>
          <w:sz w:val="24"/>
          <w:szCs w:val="24"/>
        </w:rPr>
        <w:t xml:space="preserve"> or</w:t>
      </w:r>
      <w:r w:rsidR="0018086B">
        <w:rPr>
          <w:sz w:val="24"/>
          <w:szCs w:val="24"/>
        </w:rPr>
        <w:t xml:space="preserve"> current</w:t>
      </w:r>
      <w:r w:rsidRPr="001A5558">
        <w:rPr>
          <w:sz w:val="24"/>
          <w:szCs w:val="24"/>
        </w:rPr>
        <w:t xml:space="preserve"> F</w:t>
      </w:r>
      <w:r w:rsidR="0018086B">
        <w:rPr>
          <w:sz w:val="24"/>
          <w:szCs w:val="24"/>
        </w:rPr>
        <w:t>I</w:t>
      </w:r>
      <w:r w:rsidRPr="001A5558">
        <w:rPr>
          <w:sz w:val="24"/>
          <w:szCs w:val="24"/>
        </w:rPr>
        <w:t>CU</w:t>
      </w:r>
      <w:r w:rsidR="0018086B">
        <w:rPr>
          <w:sz w:val="24"/>
          <w:szCs w:val="24"/>
        </w:rPr>
        <w:t>s</w:t>
      </w:r>
      <w:r w:rsidRPr="001A5558">
        <w:rPr>
          <w:sz w:val="24"/>
          <w:szCs w:val="24"/>
        </w:rPr>
        <w:t xml:space="preserve"> requesting changes to their account information.</w:t>
      </w:r>
    </w:p>
    <w:p w:rsidR="00305ACB" w:rsidRPr="003E0093" w:rsidP="00A832A7" w14:paraId="217CBDB4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6C1A5B" w:rsidRPr="003E0093" w:rsidP="00A832A7" w14:paraId="49865A36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collection planned for statistical purposes</w:t>
      </w:r>
      <w:r w:rsidRPr="003E0093">
        <w:rPr>
          <w:b/>
          <w:sz w:val="24"/>
          <w:szCs w:val="24"/>
        </w:rPr>
        <w:t>.</w:t>
      </w:r>
    </w:p>
    <w:p w:rsidR="00E62E07" w:rsidRPr="003E0093" w:rsidP="00A832A7" w14:paraId="423FAFD2" w14:textId="77777777">
      <w:pPr>
        <w:widowControl w:val="0"/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6C1A5B" w:rsidRPr="003E0093" w:rsidP="001A5558" w14:paraId="2048DBD7" w14:textId="77777777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 information is not planned for publication.</w:t>
      </w:r>
    </w:p>
    <w:p w:rsidR="006C1A5B" w:rsidP="00A832A7" w14:paraId="262684B3" w14:textId="77777777">
      <w:pPr>
        <w:tabs>
          <w:tab w:val="left" w:pos="720"/>
        </w:tabs>
        <w:ind w:left="720" w:hanging="720"/>
        <w:rPr>
          <w:rFonts w:ascii="Arial" w:hAnsi="Arial"/>
        </w:rPr>
      </w:pPr>
    </w:p>
    <w:p w:rsidR="002A397E" w:rsidRPr="003E0093" w:rsidP="00A832A7" w14:paraId="2EBD8658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Request</w:t>
      </w:r>
      <w:r w:rsidR="00804FDF">
        <w:rPr>
          <w:b/>
          <w:sz w:val="24"/>
          <w:szCs w:val="24"/>
        </w:rPr>
        <w:t xml:space="preserve"> non-</w:t>
      </w:r>
      <w:r w:rsidRPr="003E0093">
        <w:rPr>
          <w:b/>
          <w:sz w:val="24"/>
          <w:szCs w:val="24"/>
        </w:rPr>
        <w:t>display the expiration</w:t>
      </w:r>
      <w:r>
        <w:rPr>
          <w:b/>
          <w:sz w:val="24"/>
          <w:szCs w:val="24"/>
        </w:rPr>
        <w:t xml:space="preserve"> </w:t>
      </w:r>
      <w:r w:rsidR="00804FDF">
        <w:rPr>
          <w:b/>
          <w:sz w:val="24"/>
          <w:szCs w:val="24"/>
        </w:rPr>
        <w:t>date of the</w:t>
      </w:r>
      <w:r w:rsidRPr="003E0093">
        <w:rPr>
          <w:b/>
          <w:sz w:val="24"/>
          <w:szCs w:val="24"/>
        </w:rPr>
        <w:t xml:space="preserve"> OMB </w:t>
      </w:r>
      <w:r>
        <w:rPr>
          <w:b/>
          <w:sz w:val="24"/>
          <w:szCs w:val="24"/>
        </w:rPr>
        <w:t xml:space="preserve">control number. </w:t>
      </w:r>
    </w:p>
    <w:p w:rsidR="002A397E" w:rsidRPr="001A5558" w:rsidP="00A832A7" w14:paraId="37D7A41A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1A5558" w:rsidRPr="001A5558" w:rsidP="001A5558" w14:paraId="66BF53E2" w14:textId="77777777">
      <w:pPr>
        <w:ind w:left="720"/>
        <w:rPr>
          <w:sz w:val="24"/>
          <w:szCs w:val="24"/>
        </w:rPr>
      </w:pPr>
      <w:r>
        <w:rPr>
          <w:sz w:val="24"/>
          <w:szCs w:val="24"/>
        </w:rPr>
        <w:t>The OMB control number and expiration date associated with this PRA submission will be displayed on the Federal Government’s electroni</w:t>
      </w:r>
      <w:r w:rsidR="00DC290A">
        <w:rPr>
          <w:sz w:val="24"/>
          <w:szCs w:val="24"/>
        </w:rPr>
        <w:t>c PRA docket at www.reginfo.gov</w:t>
      </w:r>
      <w:r w:rsidRPr="001A5558">
        <w:rPr>
          <w:sz w:val="24"/>
          <w:szCs w:val="24"/>
        </w:rPr>
        <w:t>.</w:t>
      </w:r>
    </w:p>
    <w:p w:rsidR="002A397E" w:rsidRPr="001A5558" w:rsidP="00A832A7" w14:paraId="5501E828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2A397E" w:rsidP="00A832A7" w14:paraId="45342551" w14:textId="77777777">
      <w:pPr>
        <w:numPr>
          <w:ilvl w:val="0"/>
          <w:numId w:val="5"/>
        </w:numPr>
        <w:tabs>
          <w:tab w:val="left" w:pos="720"/>
        </w:tabs>
        <w:overflowPunct/>
        <w:ind w:hanging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Exceptions to C</w:t>
      </w:r>
      <w:r w:rsidRPr="003E0093">
        <w:rPr>
          <w:b/>
          <w:sz w:val="24"/>
          <w:szCs w:val="24"/>
        </w:rPr>
        <w:t>ertification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 Paperwork Reduction Act Submissions</w:t>
      </w:r>
      <w:r w:rsidRPr="003E0093">
        <w:rPr>
          <w:b/>
          <w:sz w:val="24"/>
          <w:szCs w:val="24"/>
        </w:rPr>
        <w:t>.</w:t>
      </w:r>
    </w:p>
    <w:p w:rsidR="002A397E" w:rsidRPr="003E0093" w:rsidP="00A832A7" w14:paraId="7C8865A5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2A397E" w:rsidP="001A5558" w14:paraId="17B06740" w14:textId="77777777">
      <w:pPr>
        <w:widowControl w:val="0"/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There are no</w:t>
      </w:r>
      <w:r>
        <w:rPr>
          <w:sz w:val="24"/>
          <w:szCs w:val="24"/>
        </w:rPr>
        <w:t xml:space="preserve"> exception to the certification </w:t>
      </w:r>
      <w:r>
        <w:rPr>
          <w:sz w:val="24"/>
          <w:szCs w:val="24"/>
        </w:rPr>
        <w:t>statement</w:t>
      </w:r>
      <w:r>
        <w:rPr>
          <w:sz w:val="24"/>
          <w:szCs w:val="24"/>
        </w:rPr>
        <w:t>.</w:t>
      </w:r>
    </w:p>
    <w:p w:rsidR="00BB5948" w:rsidP="00A832A7" w14:paraId="6575C2E9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p w:rsidR="00BB5948" w:rsidRPr="003B2A00" w:rsidP="00BB5948" w14:paraId="71C35B7A" w14:textId="77777777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BB5948" w:rsidRPr="00167DBD" w:rsidP="00BB5948" w14:paraId="6E995AAB" w14:textId="77777777">
      <w:pPr>
        <w:tabs>
          <w:tab w:val="left" w:pos="-1440"/>
          <w:tab w:val="left" w:pos="720"/>
        </w:tabs>
        <w:ind w:left="720" w:hanging="720"/>
        <w:rPr>
          <w:b/>
          <w:sz w:val="24"/>
          <w:szCs w:val="24"/>
          <w:u w:val="single"/>
        </w:rPr>
      </w:pPr>
      <w:r w:rsidRPr="00167DBD">
        <w:rPr>
          <w:b/>
          <w:sz w:val="24"/>
          <w:szCs w:val="24"/>
        </w:rPr>
        <w:t>B.</w:t>
      </w:r>
      <w:r w:rsidRPr="00167DBD">
        <w:rPr>
          <w:b/>
          <w:sz w:val="24"/>
          <w:szCs w:val="24"/>
        </w:rPr>
        <w:tab/>
      </w:r>
      <w:r w:rsidRPr="00167DBD">
        <w:rPr>
          <w:b/>
          <w:sz w:val="24"/>
          <w:szCs w:val="24"/>
          <w:u w:val="single"/>
        </w:rPr>
        <w:t>COLLE</w:t>
      </w:r>
      <w:r w:rsidR="004522A1">
        <w:rPr>
          <w:b/>
          <w:sz w:val="24"/>
          <w:szCs w:val="24"/>
          <w:u w:val="single"/>
        </w:rPr>
        <w:t>C</w:t>
      </w:r>
      <w:r w:rsidRPr="00167DBD">
        <w:rPr>
          <w:b/>
          <w:sz w:val="24"/>
          <w:szCs w:val="24"/>
          <w:u w:val="single"/>
        </w:rPr>
        <w:t>TIONS OF INFORMATION EMPLOYING STATISTICAL METHODS</w:t>
      </w:r>
    </w:p>
    <w:p w:rsidR="00BB5948" w:rsidRPr="00167DBD" w:rsidP="00BB5948" w14:paraId="0C383C00" w14:textId="77777777">
      <w:pPr>
        <w:tabs>
          <w:tab w:val="left" w:pos="720"/>
        </w:tabs>
        <w:ind w:left="720" w:hanging="720"/>
        <w:rPr>
          <w:sz w:val="24"/>
          <w:szCs w:val="24"/>
          <w:u w:val="single"/>
        </w:rPr>
      </w:pPr>
    </w:p>
    <w:p w:rsidR="00BB5948" w:rsidRPr="00167DBD" w:rsidP="00BB5948" w14:paraId="64627270" w14:textId="77777777">
      <w:pPr>
        <w:tabs>
          <w:tab w:val="left" w:pos="720"/>
        </w:tabs>
        <w:ind w:left="720" w:hanging="720"/>
        <w:rPr>
          <w:sz w:val="24"/>
          <w:szCs w:val="24"/>
        </w:rPr>
      </w:pPr>
      <w:r w:rsidRPr="00167DBD">
        <w:rPr>
          <w:sz w:val="24"/>
          <w:szCs w:val="24"/>
        </w:rPr>
        <w:tab/>
        <w:t>This collection does not employ statistical methods.</w:t>
      </w:r>
    </w:p>
    <w:p w:rsidR="00BB5948" w:rsidRPr="003E0093" w:rsidP="00A832A7" w14:paraId="2FCD137F" w14:textId="77777777">
      <w:pPr>
        <w:widowControl w:val="0"/>
        <w:tabs>
          <w:tab w:val="left" w:pos="720"/>
        </w:tabs>
        <w:ind w:left="720" w:hanging="720"/>
        <w:rPr>
          <w:sz w:val="24"/>
          <w:szCs w:val="24"/>
        </w:rPr>
      </w:pPr>
    </w:p>
    <w:sectPr w:rsidSect="00A832A7">
      <w:footerReference w:type="default" r:id="rId10"/>
      <w:pgSz w:w="12240" w:h="15840" w:code="1"/>
      <w:pgMar w:top="1440" w:right="1440" w:bottom="1440" w:left="1440" w:header="720" w:footer="720" w:gutter="0"/>
      <w:paperSrc w:first="1" w:other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12DE" w:rsidRPr="006F12DE" w14:paraId="4993E2CF" w14:textId="0674519C">
    <w:pPr>
      <w:pStyle w:val="Footer"/>
      <w:rPr>
        <w:sz w:val="24"/>
        <w:szCs w:val="24"/>
      </w:rPr>
    </w:pPr>
    <w:r w:rsidRPr="006F12DE">
      <w:rPr>
        <w:i/>
      </w:rPr>
      <w:t xml:space="preserve">OMB </w:t>
    </w:r>
    <w:r w:rsidR="005F2B34">
      <w:rPr>
        <w:i/>
      </w:rPr>
      <w:t xml:space="preserve">No. </w:t>
    </w:r>
    <w:r w:rsidRPr="006F12DE">
      <w:rPr>
        <w:i/>
      </w:rPr>
      <w:t>3133-0135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6F12DE">
      <w:rPr>
        <w:sz w:val="24"/>
        <w:szCs w:val="24"/>
      </w:rPr>
      <w:fldChar w:fldCharType="begin"/>
    </w:r>
    <w:r w:rsidRPr="006F12DE">
      <w:rPr>
        <w:sz w:val="24"/>
        <w:szCs w:val="24"/>
      </w:rPr>
      <w:instrText xml:space="preserve"> PAGE   \* MERGEFORMAT </w:instrText>
    </w:r>
    <w:r w:rsidRPr="006F12DE">
      <w:rPr>
        <w:sz w:val="24"/>
        <w:szCs w:val="24"/>
      </w:rPr>
      <w:fldChar w:fldCharType="separate"/>
    </w:r>
    <w:r w:rsidR="00EB4AFB">
      <w:rPr>
        <w:noProof/>
        <w:sz w:val="24"/>
        <w:szCs w:val="24"/>
      </w:rPr>
      <w:t>3</w:t>
    </w:r>
    <w:r w:rsidRPr="006F12DE">
      <w:rPr>
        <w:noProof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3C7E3050"/>
    <w:lvl w:ilvl="0">
      <w:start w:val="0"/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2005F97"/>
    <w:multiLevelType w:val="hybridMultilevel"/>
    <w:tmpl w:val="DE3A19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53BDD"/>
    <w:multiLevelType w:val="hybridMultilevel"/>
    <w:tmpl w:val="E708D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B05CA"/>
    <w:multiLevelType w:val="hybridMultilevel"/>
    <w:tmpl w:val="EB4A264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7E3019"/>
    <w:multiLevelType w:val="hybridMultilevel"/>
    <w:tmpl w:val="FC5AC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25BC1"/>
    <w:multiLevelType w:val="hybridMultilevel"/>
    <w:tmpl w:val="8F5054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AE6AB2"/>
    <w:multiLevelType w:val="hybridMultilevel"/>
    <w:tmpl w:val="555E8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14AC9"/>
    <w:multiLevelType w:val="hybridMultilevel"/>
    <w:tmpl w:val="E328F4C2"/>
    <w:lvl w:ilvl="0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9061E7E"/>
    <w:multiLevelType w:val="hybridMultilevel"/>
    <w:tmpl w:val="0D52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54345">
    <w:abstractNumId w:val="7"/>
  </w:num>
  <w:num w:numId="2" w16cid:durableId="1342659820">
    <w:abstractNumId w:val="2"/>
  </w:num>
  <w:num w:numId="3" w16cid:durableId="1438478191">
    <w:abstractNumId w:val="5"/>
  </w:num>
  <w:num w:numId="4" w16cid:durableId="1348556624">
    <w:abstractNumId w:val="6"/>
  </w:num>
  <w:num w:numId="5" w16cid:durableId="375128865">
    <w:abstractNumId w:val="3"/>
  </w:num>
  <w:num w:numId="6" w16cid:durableId="12165150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552473838">
    <w:abstractNumId w:val="9"/>
  </w:num>
  <w:num w:numId="8" w16cid:durableId="486360005">
    <w:abstractNumId w:val="0"/>
    <w:lvlOverride w:ilvl="0">
      <w:lvl w:ilvl="0">
        <w:start w:val="0"/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9" w16cid:durableId="464008370">
    <w:abstractNumId w:val="4"/>
  </w:num>
  <w:num w:numId="10" w16cid:durableId="1814710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5B"/>
    <w:rsid w:val="0002111E"/>
    <w:rsid w:val="000211BD"/>
    <w:rsid w:val="0008435D"/>
    <w:rsid w:val="000850D6"/>
    <w:rsid w:val="000A55BB"/>
    <w:rsid w:val="000B7794"/>
    <w:rsid w:val="00167DBD"/>
    <w:rsid w:val="00173C6A"/>
    <w:rsid w:val="0018086B"/>
    <w:rsid w:val="00195CD3"/>
    <w:rsid w:val="001A3CDF"/>
    <w:rsid w:val="001A5558"/>
    <w:rsid w:val="001D2559"/>
    <w:rsid w:val="001D2BC6"/>
    <w:rsid w:val="001E0908"/>
    <w:rsid w:val="001E793D"/>
    <w:rsid w:val="00211F24"/>
    <w:rsid w:val="00224FAF"/>
    <w:rsid w:val="002255BA"/>
    <w:rsid w:val="002449BC"/>
    <w:rsid w:val="002548E8"/>
    <w:rsid w:val="00264912"/>
    <w:rsid w:val="002A397E"/>
    <w:rsid w:val="002B42A4"/>
    <w:rsid w:val="002C3930"/>
    <w:rsid w:val="002D2BD4"/>
    <w:rsid w:val="002D6696"/>
    <w:rsid w:val="00305ACB"/>
    <w:rsid w:val="00306F8B"/>
    <w:rsid w:val="00330BE9"/>
    <w:rsid w:val="00333AF0"/>
    <w:rsid w:val="0033477E"/>
    <w:rsid w:val="0034584B"/>
    <w:rsid w:val="003524A1"/>
    <w:rsid w:val="00380CFD"/>
    <w:rsid w:val="00384397"/>
    <w:rsid w:val="003A2888"/>
    <w:rsid w:val="003A40C1"/>
    <w:rsid w:val="003B1367"/>
    <w:rsid w:val="003B2A00"/>
    <w:rsid w:val="003B2E5A"/>
    <w:rsid w:val="003E0093"/>
    <w:rsid w:val="00425637"/>
    <w:rsid w:val="00437C2E"/>
    <w:rsid w:val="00447C6B"/>
    <w:rsid w:val="004522A1"/>
    <w:rsid w:val="00462932"/>
    <w:rsid w:val="00466CC5"/>
    <w:rsid w:val="00492144"/>
    <w:rsid w:val="004D6D84"/>
    <w:rsid w:val="00510AA4"/>
    <w:rsid w:val="00520C6A"/>
    <w:rsid w:val="0052461E"/>
    <w:rsid w:val="005475DC"/>
    <w:rsid w:val="005632A1"/>
    <w:rsid w:val="005C1A19"/>
    <w:rsid w:val="005C4C42"/>
    <w:rsid w:val="005F269D"/>
    <w:rsid w:val="005F2B34"/>
    <w:rsid w:val="005F6657"/>
    <w:rsid w:val="006130E3"/>
    <w:rsid w:val="0063110B"/>
    <w:rsid w:val="00637065"/>
    <w:rsid w:val="006459F0"/>
    <w:rsid w:val="00671BA4"/>
    <w:rsid w:val="006809AC"/>
    <w:rsid w:val="006864C8"/>
    <w:rsid w:val="006B0F18"/>
    <w:rsid w:val="006C0268"/>
    <w:rsid w:val="006C0B29"/>
    <w:rsid w:val="006C1A5B"/>
    <w:rsid w:val="006F12DE"/>
    <w:rsid w:val="006F130B"/>
    <w:rsid w:val="00710F9D"/>
    <w:rsid w:val="0074709C"/>
    <w:rsid w:val="00751688"/>
    <w:rsid w:val="007E772C"/>
    <w:rsid w:val="0080127E"/>
    <w:rsid w:val="00804FDF"/>
    <w:rsid w:val="008717BB"/>
    <w:rsid w:val="00883A0E"/>
    <w:rsid w:val="00893C9F"/>
    <w:rsid w:val="008C740A"/>
    <w:rsid w:val="008E71D2"/>
    <w:rsid w:val="009179C3"/>
    <w:rsid w:val="00934170"/>
    <w:rsid w:val="0094317D"/>
    <w:rsid w:val="00947794"/>
    <w:rsid w:val="009A7658"/>
    <w:rsid w:val="009B33A6"/>
    <w:rsid w:val="00A04375"/>
    <w:rsid w:val="00A54725"/>
    <w:rsid w:val="00A568E6"/>
    <w:rsid w:val="00A56D9A"/>
    <w:rsid w:val="00A57371"/>
    <w:rsid w:val="00A81C4F"/>
    <w:rsid w:val="00A832A7"/>
    <w:rsid w:val="00A834E1"/>
    <w:rsid w:val="00A85F95"/>
    <w:rsid w:val="00AA777C"/>
    <w:rsid w:val="00AC0292"/>
    <w:rsid w:val="00AC1FF8"/>
    <w:rsid w:val="00B10CE6"/>
    <w:rsid w:val="00B75786"/>
    <w:rsid w:val="00B911CD"/>
    <w:rsid w:val="00B9505B"/>
    <w:rsid w:val="00B97B79"/>
    <w:rsid w:val="00BB5948"/>
    <w:rsid w:val="00BE5726"/>
    <w:rsid w:val="00BE6DE5"/>
    <w:rsid w:val="00C1244D"/>
    <w:rsid w:val="00C276B4"/>
    <w:rsid w:val="00C66D11"/>
    <w:rsid w:val="00C72E05"/>
    <w:rsid w:val="00C82815"/>
    <w:rsid w:val="00CB7CDE"/>
    <w:rsid w:val="00D02250"/>
    <w:rsid w:val="00D31930"/>
    <w:rsid w:val="00D35296"/>
    <w:rsid w:val="00D45ED4"/>
    <w:rsid w:val="00D56B53"/>
    <w:rsid w:val="00DA25D9"/>
    <w:rsid w:val="00DC0402"/>
    <w:rsid w:val="00DC290A"/>
    <w:rsid w:val="00DC69CB"/>
    <w:rsid w:val="00DD1667"/>
    <w:rsid w:val="00E316DC"/>
    <w:rsid w:val="00E34C62"/>
    <w:rsid w:val="00E41B6C"/>
    <w:rsid w:val="00E62E07"/>
    <w:rsid w:val="00E8124F"/>
    <w:rsid w:val="00EA308D"/>
    <w:rsid w:val="00EB27EC"/>
    <w:rsid w:val="00EB4AFB"/>
    <w:rsid w:val="00ED2B3D"/>
    <w:rsid w:val="00F02399"/>
    <w:rsid w:val="00F372E0"/>
    <w:rsid w:val="00F46F0B"/>
    <w:rsid w:val="00F80772"/>
    <w:rsid w:val="00F8207A"/>
    <w:rsid w:val="00FA3C73"/>
    <w:rsid w:val="00FB15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7FECCB"/>
  <w15:chartTrackingRefBased/>
  <w15:docId w15:val="{DDBD974F-2BB3-44BB-B2A1-265AF9B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0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0AA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12DE"/>
  </w:style>
  <w:style w:type="character" w:styleId="CommentReference">
    <w:name w:val="annotation reference"/>
    <w:rsid w:val="00C828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815"/>
  </w:style>
  <w:style w:type="character" w:customStyle="1" w:styleId="CommentTextChar">
    <w:name w:val="Comment Text Char"/>
    <w:basedOn w:val="DefaultParagraphFont"/>
    <w:link w:val="CommentText"/>
    <w:rsid w:val="00C82815"/>
  </w:style>
  <w:style w:type="paragraph" w:styleId="CommentSubject">
    <w:name w:val="annotation subject"/>
    <w:basedOn w:val="CommentText"/>
    <w:next w:val="CommentText"/>
    <w:link w:val="CommentSubjectChar"/>
    <w:rsid w:val="00C82815"/>
    <w:rPr>
      <w:b/>
      <w:bCs/>
    </w:rPr>
  </w:style>
  <w:style w:type="character" w:customStyle="1" w:styleId="CommentSubjectChar">
    <w:name w:val="Comment Subject Char"/>
    <w:link w:val="CommentSubject"/>
    <w:rsid w:val="00C82815"/>
    <w:rPr>
      <w:b/>
      <w:bCs/>
    </w:rPr>
  </w:style>
  <w:style w:type="table" w:styleId="TableGrid">
    <w:name w:val="Table Grid"/>
    <w:basedOn w:val="TableNormal"/>
    <w:uiPriority w:val="39"/>
    <w:rsid w:val="006C02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E316DC"/>
    <w:pPr>
      <w:overflowPunct/>
      <w:autoSpaceDE/>
      <w:autoSpaceDN/>
      <w:adjustRightInd/>
      <w:spacing w:after="120" w:line="480" w:lineRule="auto"/>
      <w:ind w:left="360"/>
      <w:textAlignment w:val="auto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sid w:val="00E316DC"/>
    <w:rPr>
      <w:sz w:val="24"/>
      <w:szCs w:val="24"/>
    </w:rPr>
  </w:style>
  <w:style w:type="paragraph" w:customStyle="1" w:styleId="Level1">
    <w:name w:val="Level 1"/>
    <w:basedOn w:val="Normal"/>
    <w:rsid w:val="00E316DC"/>
    <w:pPr>
      <w:widowControl w:val="0"/>
      <w:numPr>
        <w:numId w:val="6"/>
      </w:numPr>
      <w:overflowPunct/>
      <w:ind w:left="474" w:hanging="186"/>
      <w:textAlignment w:val="auto"/>
      <w:outlineLvl w:val="0"/>
    </w:pPr>
    <w:rPr>
      <w:sz w:val="24"/>
      <w:szCs w:val="24"/>
    </w:rPr>
  </w:style>
  <w:style w:type="paragraph" w:customStyle="1" w:styleId="Level2">
    <w:name w:val="Level 2"/>
    <w:basedOn w:val="Normal"/>
    <w:rsid w:val="00E316DC"/>
    <w:pPr>
      <w:widowControl w:val="0"/>
      <w:overflowPunct/>
      <w:ind w:left="722" w:hanging="361"/>
      <w:textAlignment w:val="auto"/>
    </w:pPr>
    <w:rPr>
      <w:sz w:val="24"/>
      <w:szCs w:val="24"/>
    </w:rPr>
  </w:style>
  <w:style w:type="character" w:styleId="Hyperlink">
    <w:name w:val="Hyperlink"/>
    <w:rsid w:val="005475DC"/>
    <w:rPr>
      <w:color w:val="0563C1"/>
      <w:u w:val="single"/>
    </w:rPr>
  </w:style>
  <w:style w:type="character" w:styleId="FollowedHyperlink">
    <w:name w:val="FollowedHyperlink"/>
    <w:rsid w:val="00883A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ncua.gov/files/publications/authorization-agreement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20_or_x0020_F_x003f_ xmlns="3ea56344-e6f1-4d68-b27f-fda586fbce6c">Final</D_x0020_or_x0020_F_x003f_>
    <PRA_x0020_Request_x0020_Type xmlns="3ea56344-e6f1-4d68-b27f-fda586fbce6c">Extension</PRA_x0020_Request_x0020_Type>
    <OMB_x0020_Expiration_x0020_Date xmlns="3ea56344-e6f1-4d68-b27f-fda586fbce6c">2020-06-30T04:00:00+00:00</OMB_x0020_Expiration_x0020_Date>
    <Date1 xmlns="3ea56344-e6f1-4d68-b27f-fda586fbce6c">2017-03-31T04:00:00+00:00</Date1>
    <PRA_x0020_Status xmlns="3ea56344-e6f1-4d68-b27f-fda586fbce6c">Approved</PRA_x0020_Status>
    <Form_x0020_No. xmlns="0d78573e-a0f5-4493-b684-0d1db760dd90" xsi:nil="true"/>
    <Requiring_x0020_Activity xmlns="87893fa0-2686-4088-86e9-48d7d07258e3">OCFO</Requiring_x0020_Activity>
    <PRA_x0020_POC xmlns="3ea56344-e6f1-4d68-b27f-fda586fbce6c">
      <UserInfo>
        <DisplayName>Yip, Joanne W</DisplayName>
        <AccountId>1387</AccountId>
        <AccountType/>
      </UserInfo>
    </PRA_x0020_POC>
    <TriggerFlag xmlns="0d78573e-a0f5-4493-b684-0d1db760dd90" xsi:nil="true"/>
    <OMB_x0020_No. xmlns="0d78573e-a0f5-4493-b684-0d1db760dd90">3133-0135</OMB_x0020_No.>
    <Reg xmlns="3ea56344-e6f1-4d68-b27f-fda586fbce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pporting Statement" ma:contentTypeID="0x0101003F62F64E8BC28345909BC2037B65158F0100575D3864973BE743BD7602542BF628DA" ma:contentTypeVersion="14" ma:contentTypeDescription="" ma:contentTypeScope="" ma:versionID="fe4829b535a6b8252de03d6cf5784606">
  <xsd:schema xmlns:xsd="http://www.w3.org/2001/XMLSchema" xmlns:xs="http://www.w3.org/2001/XMLSchema" xmlns:p="http://schemas.microsoft.com/office/2006/metadata/properties" xmlns:ns2="3ea56344-e6f1-4d68-b27f-fda586fbce6c" xmlns:ns3="0d78573e-a0f5-4493-b684-0d1db760dd90" xmlns:ns4="87893fa0-2686-4088-86e9-48d7d07258e3" targetNamespace="http://schemas.microsoft.com/office/2006/metadata/properties" ma:root="true" ma:fieldsID="f190a850ec2a6da1b9be7669de656ae1" ns2:_="" ns3:_="" ns4:_="">
    <xsd:import namespace="3ea56344-e6f1-4d68-b27f-fda586fbce6c"/>
    <xsd:import namespace="0d78573e-a0f5-4493-b684-0d1db760dd90"/>
    <xsd:import namespace="87893fa0-2686-4088-86e9-48d7d07258e3"/>
    <xsd:element name="properties">
      <xsd:complexType>
        <xsd:sequence>
          <xsd:element name="documentManagement">
            <xsd:complexType>
              <xsd:all>
                <xsd:element ref="ns2:D_x0020_or_x0020_F_x003f_" minOccurs="0"/>
                <xsd:element ref="ns3:Form_x0020_No." minOccurs="0"/>
                <xsd:element ref="ns2:Date1" minOccurs="0"/>
                <xsd:element ref="ns2:PRA_x0020_POC" minOccurs="0"/>
                <xsd:element ref="ns2:OMB_x0020_Expiration_x0020_Date" minOccurs="0"/>
                <xsd:element ref="ns4:Requiring_x0020_Activity" minOccurs="0"/>
                <xsd:element ref="ns2:PRA_x0020_Status" minOccurs="0"/>
                <xsd:element ref="ns2:PRA_x0020_Request_x0020_Type" minOccurs="0"/>
                <xsd:element ref="ns3:OMB_x0020_No." minOccurs="0"/>
                <xsd:element ref="ns2:Reg" minOccurs="0"/>
                <xsd:element ref="ns3:Trigger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344-e6f1-4d68-b27f-fda586fbce6c" elementFormDefault="qualified">
    <xsd:import namespace="http://schemas.microsoft.com/office/2006/documentManagement/types"/>
    <xsd:import namespace="http://schemas.microsoft.com/office/infopath/2007/PartnerControls"/>
    <xsd:element name="D_x0020_or_x0020_F_x003f_" ma:index="8" nillable="true" ma:displayName="Draft or Final?" ma:default="Draft" ma:format="Dropdown" ma:internalName="D_x0020_or_x0020_F_x003F_" ma:readOnly="false">
      <xsd:simpleType>
        <xsd:restriction base="dms:Choice">
          <xsd:enumeration value="Draft"/>
          <xsd:enumeration value="Final"/>
        </xsd:restriction>
      </xsd:simpleType>
    </xsd:element>
    <xsd:element name="Date1" ma:index="10" nillable="true" ma:displayName="Date" ma:format="DateOnly" ma:internalName="Date1" ma:readOnly="false">
      <xsd:simpleType>
        <xsd:restriction base="dms:DateTime"/>
      </xsd:simpleType>
    </xsd:element>
    <xsd:element name="PRA_x0020_POC" ma:index="11" nillable="true" ma:displayName="PRA POC" ma:list="UserInfo" ma:SharePointGroup="0" ma:internalName="PRA_x0020_POC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MB_x0020_Expiration_x0020_Date" ma:index="12" nillable="true" ma:displayName="OMB Expiration Date" ma:format="DateOnly" ma:internalName="OMB_x0020_Expiration_x0020_Date" ma:readOnly="false">
      <xsd:simpleType>
        <xsd:restriction base="dms:DateTime"/>
      </xsd:simpleType>
    </xsd:element>
    <xsd:element name="PRA_x0020_Status" ma:index="14" nillable="true" ma:displayName="PRA Status" ma:default="-" ma:format="Dropdown" ma:internalName="PRA_x0020_Status" ma:readOnly="false">
      <xsd:simpleType>
        <xsd:restriction base="dms:Choice">
          <xsd:enumeration value="-"/>
          <xsd:enumeration value="Pending w/OPI"/>
          <xsd:enumeration value="Pending w/PRA Office"/>
          <xsd:enumeration value="Pending w/OMB"/>
          <xsd:enumeration value="60 day comment period wait"/>
          <xsd:enumeration value="30 day comment period wait"/>
          <xsd:enumeration value="Approved"/>
          <xsd:enumeration value="Disapproved"/>
          <xsd:enumeration value="Disapproved &amp; Continued"/>
          <xsd:enumeration value="Preapproved"/>
          <xsd:enumeration value="Comment file on proposed rule"/>
          <xsd:enumeration value="Comment file on proposed rule and continued"/>
          <xsd:enumeration value="Improperly Submitted"/>
          <xsd:enumeration value="Improperly Submitted and Continued"/>
        </xsd:restriction>
      </xsd:simpleType>
    </xsd:element>
    <xsd:element name="PRA_x0020_Request_x0020_Type" ma:index="15" nillable="true" ma:displayName="PRA Request Type" ma:default="-" ma:format="Dropdown" ma:internalName="PRA_x0020_Request_x0020_Type" ma:readOnly="false">
      <xsd:simpleType>
        <xsd:restriction base="dms:Choice">
          <xsd:enumeration value="-"/>
          <xsd:enumeration value="Extension"/>
          <xsd:enumeration value="Revision"/>
          <xsd:enumeration value="New"/>
          <xsd:enumeration value="New NPRM"/>
          <xsd:enumeration value="New Final Rule"/>
          <xsd:enumeration value="In use W/O OMB#"/>
          <xsd:enumeration value="Reinstatement"/>
          <xsd:enumeration value="Discontinuation"/>
          <xsd:enumeration value="Non Material Change"/>
          <xsd:enumeration value="Generic IC"/>
          <xsd:enumeration value="Emergency Extension"/>
        </xsd:restriction>
      </xsd:simpleType>
    </xsd:element>
    <xsd:element name="Reg" ma:index="17" nillable="true" ma:displayName="Reg" ma:internalName="Reg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8573e-a0f5-4493-b684-0d1db760dd90" elementFormDefault="qualified">
    <xsd:import namespace="http://schemas.microsoft.com/office/2006/documentManagement/types"/>
    <xsd:import namespace="http://schemas.microsoft.com/office/infopath/2007/PartnerControls"/>
    <xsd:element name="Form_x0020_No." ma:index="9" nillable="true" ma:displayName="Form No." ma:internalName="Form_x0020_No_x002e_" ma:readOnly="false" ma:percentage="FALSE">
      <xsd:simpleType>
        <xsd:restriction base="dms:Number"/>
      </xsd:simpleType>
    </xsd:element>
    <xsd:element name="OMB_x0020_No." ma:index="16" nillable="true" ma:displayName="OMB No." ma:internalName="OMB_x0020_No_x002e_" ma:readOnly="false">
      <xsd:simpleType>
        <xsd:restriction base="dms:Text">
          <xsd:maxLength value="10"/>
        </xsd:restriction>
      </xsd:simpleType>
    </xsd:element>
    <xsd:element name="TriggerFlag" ma:index="18" nillable="true" ma:displayName="TriggerFlag" ma:internalName="TriggerFla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93fa0-2686-4088-86e9-48d7d07258e3" elementFormDefault="qualified">
    <xsd:import namespace="http://schemas.microsoft.com/office/2006/documentManagement/types"/>
    <xsd:import namespace="http://schemas.microsoft.com/office/infopath/2007/PartnerControls"/>
    <xsd:element name="Requiring_x0020_Activity" ma:index="13" nillable="true" ma:displayName="ClientOffice" ma:default="-" ma:format="Dropdown" ma:internalName="Requiring_x0020_Activity" ma:readOnly="false">
      <xsd:simpleType>
        <xsd:restriction base="dms:Choice">
          <xsd:enumeration value="-"/>
          <xsd:enumeration value="Eastern"/>
          <xsd:enumeration value="Southern"/>
          <xsd:enumeration value="Western"/>
          <xsd:enumeration value="Region 1"/>
          <xsd:enumeration value="Region 2"/>
          <xsd:enumeration value="Region 3"/>
          <xsd:enumeration value="Region 4"/>
          <xsd:enumeration value="Region 5"/>
          <xsd:enumeration value="AMAC"/>
          <xsd:enumeration value="Board"/>
          <xsd:enumeration value="CURE"/>
          <xsd:enumeration value="E&amp;I"/>
          <xsd:enumeration value="ONES"/>
          <xsd:enumeration value="OCE"/>
          <xsd:enumeration value="OCFO"/>
          <xsd:enumeration value="OCIO"/>
          <xsd:enumeration value="OCFP"/>
          <xsd:enumeration value="OCSM"/>
          <xsd:enumeration value="OED"/>
          <xsd:enumeration value="OGC"/>
          <xsd:enumeration value="OHR"/>
          <xsd:enumeration value="OIG"/>
          <xsd:enumeration value="OMWI"/>
          <xsd:enumeration value="PA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EC80D-E2D7-45EF-8E29-F1A3A251F0C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7893fa0-2686-4088-86e9-48d7d07258e3"/>
    <ds:schemaRef ds:uri="http://purl.org/dc/terms/"/>
    <ds:schemaRef ds:uri="3ea56344-e6f1-4d68-b27f-fda586fbce6c"/>
    <ds:schemaRef ds:uri="http://purl.org/dc/dcmitype/"/>
    <ds:schemaRef ds:uri="0d78573e-a0f5-4493-b684-0d1db760dd9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61F522-20A3-47F7-BA70-B70E45DE8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4A52C-3CB6-4CE1-A32D-685FBDFFD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4C39A-BFCA-4508-B525-3F1BFFBC5C0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E06FF7-B86E-47FE-B503-56903003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56344-e6f1-4d68-b27f-fda586fbce6c"/>
    <ds:schemaRef ds:uri="0d78573e-a0f5-4493-b684-0d1db760dd90"/>
    <ds:schemaRef ds:uri="87893fa0-2686-4088-86e9-48d7d072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NCUA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creator>NCUA</dc:creator>
  <cp:lastModifiedBy>Vixamar, Mahala</cp:lastModifiedBy>
  <cp:revision>3</cp:revision>
  <cp:lastPrinted>2006-12-23T18:59:00Z</cp:lastPrinted>
  <dcterms:created xsi:type="dcterms:W3CDTF">2023-04-28T14:55:00Z</dcterms:created>
  <dcterms:modified xsi:type="dcterms:W3CDTF">2023-07-05T22:24:00Z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0x0101003F62F64E8BC28345909BC2037B65158F0100575D3864973BE743BD7602542BF628DA</vt:lpwstr>
  </property>
  <property fmtid="{D5CDD505-2E9C-101B-9397-08002B2CF9AE}" pid="3" name="display_urn:schemas-microsoft-com:office:office#PRA_x0020_POC">
    <vt:lpwstr>Yip, Joanne W</vt:lpwstr>
  </property>
</Properties>
</file>