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721D" w:rsidRPr="00CB62AB" w:rsidP="0056721D" w14:paraId="4E2D3C25" w14:textId="77777777">
      <w:pPr>
        <w:pStyle w:val="BodyText"/>
        <w:tabs>
          <w:tab w:val="left" w:pos="810"/>
        </w:tabs>
        <w:spacing w:before="73"/>
        <w:jc w:val="center"/>
      </w:pPr>
      <w:r w:rsidRPr="00CB62AB">
        <w:t>DRAFT</w:t>
      </w:r>
      <w:r w:rsidRPr="00CB62AB">
        <w:rPr>
          <w:spacing w:val="-14"/>
        </w:rPr>
        <w:t xml:space="preserve"> </w:t>
      </w:r>
      <w:r w:rsidRPr="00CB62AB" w:rsidR="0028499A">
        <w:t>SUPPORTING</w:t>
      </w:r>
      <w:r w:rsidRPr="00CB62AB" w:rsidR="0028499A">
        <w:rPr>
          <w:spacing w:val="-13"/>
        </w:rPr>
        <w:t xml:space="preserve"> </w:t>
      </w:r>
      <w:r w:rsidRPr="00CB62AB" w:rsidR="0028499A">
        <w:t>STATEMENT</w:t>
      </w:r>
      <w:r w:rsidRPr="00CB62AB" w:rsidR="0028499A">
        <w:rPr>
          <w:spacing w:val="-14"/>
        </w:rPr>
        <w:t xml:space="preserve"> </w:t>
      </w:r>
      <w:r w:rsidRPr="00CB62AB" w:rsidR="0028499A">
        <w:t>FOR</w:t>
      </w:r>
    </w:p>
    <w:p w:rsidR="00234E0C" w:rsidRPr="00CB62AB" w:rsidP="009F7135" w14:paraId="4938A150" w14:textId="77777777">
      <w:pPr>
        <w:pStyle w:val="BodyText"/>
        <w:tabs>
          <w:tab w:val="left" w:pos="810"/>
        </w:tabs>
        <w:spacing w:before="73"/>
        <w:jc w:val="center"/>
      </w:pPr>
      <w:r w:rsidRPr="00CB62AB">
        <w:t xml:space="preserve"> </w:t>
      </w:r>
      <w:r w:rsidRPr="00CB62AB">
        <w:t>INFORMATION COLLECTIONS CONTAINED IN</w:t>
      </w:r>
    </w:p>
    <w:p w:rsidR="009F7135" w:rsidRPr="00CB62AB" w:rsidP="009F7135" w14:paraId="0E3082DA" w14:textId="4251F10C">
      <w:pPr>
        <w:pStyle w:val="BodyText"/>
        <w:tabs>
          <w:tab w:val="left" w:pos="810"/>
        </w:tabs>
        <w:spacing w:before="73"/>
        <w:jc w:val="center"/>
      </w:pPr>
      <w:r w:rsidRPr="00CB62AB">
        <w:rPr>
          <w:caps/>
        </w:rPr>
        <w:t>Regulatory Framework for Fusion MACHINEs</w:t>
      </w:r>
      <w:r w:rsidRPr="00CB62AB">
        <w:rPr>
          <w:caps/>
        </w:rPr>
        <w:t xml:space="preserve"> </w:t>
      </w:r>
      <w:r w:rsidRPr="00CB62AB">
        <w:t>PROPOSED RULE</w:t>
      </w:r>
    </w:p>
    <w:p w:rsidR="00CB0306" w:rsidRPr="00CB62AB" w:rsidP="009F7135" w14:paraId="076C86F4" w14:textId="77777777">
      <w:pPr>
        <w:pStyle w:val="BodyText"/>
        <w:tabs>
          <w:tab w:val="left" w:pos="810"/>
        </w:tabs>
        <w:spacing w:before="73"/>
        <w:jc w:val="center"/>
      </w:pPr>
    </w:p>
    <w:p w:rsidR="00337A9E" w:rsidRPr="00CB62AB" w:rsidP="0016772E" w14:paraId="690906CB" w14:textId="601E8711">
      <w:pPr>
        <w:pStyle w:val="BodyText"/>
        <w:tabs>
          <w:tab w:val="left" w:pos="810"/>
        </w:tabs>
        <w:spacing w:before="73"/>
        <w:jc w:val="center"/>
      </w:pPr>
      <w:r w:rsidRPr="00CB62AB">
        <w:t xml:space="preserve">10 CFR PART </w:t>
      </w:r>
      <w:r w:rsidRPr="00CB62AB" w:rsidR="00052CB7">
        <w:t>20</w:t>
      </w:r>
    </w:p>
    <w:p w:rsidR="00337A9E" w:rsidRPr="00CB62AB" w14:paraId="690906CC" w14:textId="04427ABD">
      <w:pPr>
        <w:pStyle w:val="BodyText"/>
        <w:ind w:left="867" w:right="1006"/>
        <w:jc w:val="center"/>
      </w:pPr>
      <w:r w:rsidRPr="00CB62AB">
        <w:t>"</w:t>
      </w:r>
      <w:r w:rsidRPr="00CB62AB" w:rsidR="008E3D4F">
        <w:t>STANDARDS FOR PROTECTION AGAINST RADIATION</w:t>
      </w:r>
      <w:r w:rsidRPr="00CB62AB">
        <w:rPr>
          <w:spacing w:val="-2"/>
        </w:rPr>
        <w:t>"</w:t>
      </w:r>
    </w:p>
    <w:p w:rsidR="00337A9E" w:rsidRPr="00CB62AB" w14:paraId="690906CD" w14:textId="77777777">
      <w:pPr>
        <w:pStyle w:val="BodyText"/>
      </w:pPr>
    </w:p>
    <w:p w:rsidR="00337A9E" w:rsidRPr="00CB62AB" w14:paraId="690906CE" w14:textId="1514D15C">
      <w:pPr>
        <w:pStyle w:val="BodyText"/>
        <w:spacing w:line="253" w:lineRule="exact"/>
        <w:ind w:left="3491" w:right="3630"/>
        <w:jc w:val="center"/>
      </w:pPr>
      <w:r w:rsidRPr="00CB62AB">
        <w:rPr>
          <w:w w:val="95"/>
        </w:rPr>
        <w:t>(3150-</w:t>
      </w:r>
      <w:r w:rsidRPr="00CB62AB">
        <w:rPr>
          <w:spacing w:val="-2"/>
        </w:rPr>
        <w:t>001</w:t>
      </w:r>
      <w:r w:rsidRPr="00CB62AB" w:rsidR="004B5DFC">
        <w:rPr>
          <w:spacing w:val="-2"/>
        </w:rPr>
        <w:t>4</w:t>
      </w:r>
      <w:r w:rsidRPr="00CB62AB">
        <w:rPr>
          <w:spacing w:val="-2"/>
        </w:rPr>
        <w:t>)</w:t>
      </w:r>
    </w:p>
    <w:p w:rsidR="00337A9E" w:rsidRPr="00CB62AB" w14:paraId="690906D0" w14:textId="77777777">
      <w:pPr>
        <w:pStyle w:val="BodyText"/>
        <w:spacing w:before="11"/>
        <w:rPr>
          <w:sz w:val="21"/>
        </w:rPr>
      </w:pPr>
    </w:p>
    <w:p w:rsidR="00337A9E" w:rsidRPr="00CB62AB" w14:paraId="690906D1" w14:textId="77777777">
      <w:pPr>
        <w:pStyle w:val="BodyText"/>
        <w:ind w:left="840"/>
      </w:pPr>
      <w:r w:rsidRPr="00CB62AB">
        <w:rPr>
          <w:u w:val="single"/>
        </w:rPr>
        <w:t>Description</w:t>
      </w:r>
      <w:r w:rsidRPr="00CB62AB">
        <w:rPr>
          <w:spacing w:val="-9"/>
          <w:u w:val="single"/>
        </w:rPr>
        <w:t xml:space="preserve"> </w:t>
      </w:r>
      <w:r w:rsidRPr="00CB62AB">
        <w:rPr>
          <w:u w:val="single"/>
        </w:rPr>
        <w:t>of</w:t>
      </w:r>
      <w:r w:rsidRPr="00CB62AB">
        <w:rPr>
          <w:spacing w:val="-8"/>
          <w:u w:val="single"/>
        </w:rPr>
        <w:t xml:space="preserve"> </w:t>
      </w:r>
      <w:r w:rsidRPr="00CB62AB">
        <w:rPr>
          <w:u w:val="single"/>
        </w:rPr>
        <w:t>Information</w:t>
      </w:r>
      <w:r w:rsidRPr="00CB62AB">
        <w:rPr>
          <w:spacing w:val="-8"/>
          <w:u w:val="single"/>
        </w:rPr>
        <w:t xml:space="preserve"> </w:t>
      </w:r>
      <w:r w:rsidRPr="00CB62AB">
        <w:rPr>
          <w:spacing w:val="-2"/>
          <w:u w:val="single"/>
        </w:rPr>
        <w:t>Collection</w:t>
      </w:r>
    </w:p>
    <w:p w:rsidR="00337A9E" w:rsidRPr="00CB62AB" w14:paraId="690906D2" w14:textId="77777777">
      <w:pPr>
        <w:pStyle w:val="BodyText"/>
        <w:rPr>
          <w:sz w:val="14"/>
        </w:rPr>
      </w:pPr>
    </w:p>
    <w:p w:rsidR="00337A9E" w:rsidRPr="006D220A" w:rsidP="006D220A" w14:paraId="690906D3" w14:textId="7DDAAB59">
      <w:pPr>
        <w:pStyle w:val="BodyText"/>
        <w:ind w:left="835"/>
      </w:pPr>
      <w:r w:rsidRPr="006D220A">
        <w:t xml:space="preserve">The regulatory requirements in Title 10 of the </w:t>
      </w:r>
      <w:r w:rsidRPr="006D220A">
        <w:rPr>
          <w:i/>
        </w:rPr>
        <w:t xml:space="preserve">Code of Federal Regulations </w:t>
      </w:r>
      <w:r w:rsidRPr="006D220A">
        <w:t xml:space="preserve">(CFR) Part </w:t>
      </w:r>
      <w:r w:rsidRPr="006D220A" w:rsidR="003D3A86">
        <w:t>20</w:t>
      </w:r>
      <w:r w:rsidRPr="006D220A" w:rsidR="00C2613A">
        <w:t>, “</w:t>
      </w:r>
      <w:r w:rsidRPr="006D220A" w:rsidR="002E3B25">
        <w:t>Standards for Protection Against Radiation,”</w:t>
      </w:r>
      <w:r w:rsidRPr="006D220A" w:rsidR="00C2613A">
        <w:t xml:space="preserve"> </w:t>
      </w:r>
      <w:r w:rsidRPr="006D220A" w:rsidR="00863A03">
        <w:t>e</w:t>
      </w:r>
      <w:r w:rsidRPr="006D220A" w:rsidR="00C2613A">
        <w:rPr>
          <w:shd w:val="clear" w:color="auto" w:fill="FFFFFF"/>
        </w:rPr>
        <w:t>stablish standards for protection against ionizing radiation resulting from activities conducted under licenses issued by the </w:t>
      </w:r>
      <w:r w:rsidRPr="006D220A">
        <w:t>by the U.S. Nuclear Regulatory Commission (NRC) for an individual</w:t>
      </w:r>
      <w:r w:rsidRPr="006D220A">
        <w:rPr>
          <w:spacing w:val="-3"/>
        </w:rPr>
        <w:t xml:space="preserve"> </w:t>
      </w:r>
      <w:r w:rsidRPr="006D220A">
        <w:t>or</w:t>
      </w:r>
      <w:r w:rsidRPr="006D220A">
        <w:rPr>
          <w:spacing w:val="-4"/>
        </w:rPr>
        <w:t xml:space="preserve"> </w:t>
      </w:r>
      <w:r w:rsidRPr="006D220A">
        <w:t>other</w:t>
      </w:r>
      <w:r w:rsidRPr="006D220A">
        <w:rPr>
          <w:spacing w:val="-3"/>
        </w:rPr>
        <w:t xml:space="preserve"> </w:t>
      </w:r>
      <w:r w:rsidRPr="006D220A">
        <w:t>entity</w:t>
      </w:r>
      <w:r w:rsidRPr="006D220A">
        <w:rPr>
          <w:spacing w:val="-3"/>
        </w:rPr>
        <w:t xml:space="preserve"> </w:t>
      </w:r>
      <w:r w:rsidRPr="006D220A">
        <w:t>to</w:t>
      </w:r>
      <w:r w:rsidRPr="006D220A">
        <w:rPr>
          <w:spacing w:val="-3"/>
        </w:rPr>
        <w:t xml:space="preserve"> </w:t>
      </w:r>
      <w:r w:rsidRPr="006D220A">
        <w:t>be</w:t>
      </w:r>
      <w:r w:rsidRPr="006D220A">
        <w:rPr>
          <w:spacing w:val="-3"/>
        </w:rPr>
        <w:t xml:space="preserve"> </w:t>
      </w:r>
      <w:r w:rsidRPr="006D220A">
        <w:t>licensed</w:t>
      </w:r>
      <w:r w:rsidRPr="006D220A">
        <w:rPr>
          <w:spacing w:val="-3"/>
        </w:rPr>
        <w:t xml:space="preserve"> </w:t>
      </w:r>
      <w:r w:rsidRPr="006D220A">
        <w:t>to</w:t>
      </w:r>
      <w:r w:rsidRPr="006D220A">
        <w:rPr>
          <w:spacing w:val="-3"/>
        </w:rPr>
        <w:t xml:space="preserve"> </w:t>
      </w:r>
      <w:r w:rsidRPr="006D220A">
        <w:t>possess,</w:t>
      </w:r>
      <w:r w:rsidRPr="006D220A">
        <w:rPr>
          <w:spacing w:val="-3"/>
        </w:rPr>
        <w:t xml:space="preserve"> </w:t>
      </w:r>
      <w:r w:rsidRPr="006D220A">
        <w:t>use,</w:t>
      </w:r>
      <w:r w:rsidRPr="006D220A">
        <w:rPr>
          <w:spacing w:val="-3"/>
        </w:rPr>
        <w:t xml:space="preserve"> </w:t>
      </w:r>
      <w:r w:rsidRPr="006D220A" w:rsidR="00311354">
        <w:rPr>
          <w:spacing w:val="-3"/>
        </w:rPr>
        <w:t>transfer,</w:t>
      </w:r>
      <w:r w:rsidRPr="006D220A" w:rsidR="00572CDF">
        <w:rPr>
          <w:spacing w:val="-3"/>
        </w:rPr>
        <w:t xml:space="preserve"> and disposal of licensed material.</w:t>
      </w:r>
      <w:r w:rsidRPr="006D220A" w:rsidR="00246EDA">
        <w:rPr>
          <w:spacing w:val="-3"/>
        </w:rPr>
        <w:t xml:space="preserve"> </w:t>
      </w:r>
      <w:r w:rsidRPr="006D220A" w:rsidR="00CB1F48">
        <w:t xml:space="preserve">The regulations </w:t>
      </w:r>
      <w:r w:rsidRPr="006D220A" w:rsidR="00DA5073">
        <w:t xml:space="preserve">in 10 CFR Part 20 </w:t>
      </w:r>
      <w:r w:rsidRPr="006D220A" w:rsidR="00E13A73">
        <w:t>specify</w:t>
      </w:r>
      <w:r w:rsidRPr="006D220A" w:rsidR="005B092E">
        <w:t xml:space="preserve"> the</w:t>
      </w:r>
      <w:r w:rsidRPr="006D220A" w:rsidR="00DA5073">
        <w:t xml:space="preserve"> requirements</w:t>
      </w:r>
      <w:r w:rsidRPr="006D220A" w:rsidR="00E13A73">
        <w:t xml:space="preserve"> for radiation protectio</w:t>
      </w:r>
      <w:r w:rsidRPr="006D220A" w:rsidR="006A7F83">
        <w:t>n</w:t>
      </w:r>
      <w:r w:rsidRPr="006D220A" w:rsidR="00E13A73">
        <w:t xml:space="preserve"> programs,</w:t>
      </w:r>
      <w:r w:rsidRPr="006D220A" w:rsidR="002C0871">
        <w:t xml:space="preserve"> including</w:t>
      </w:r>
      <w:r w:rsidRPr="006D220A" w:rsidR="00E13A73">
        <w:t xml:space="preserve"> occupational dose limits</w:t>
      </w:r>
      <w:r w:rsidRPr="006D220A" w:rsidR="00014206">
        <w:t xml:space="preserve">, radiation dose limits for individual members of the </w:t>
      </w:r>
      <w:r w:rsidRPr="006D220A" w:rsidR="006A7F83">
        <w:t>p</w:t>
      </w:r>
      <w:r w:rsidRPr="006D220A" w:rsidR="00014206">
        <w:t>ublic</w:t>
      </w:r>
      <w:r w:rsidRPr="006D220A" w:rsidR="006A7F83">
        <w:t>,</w:t>
      </w:r>
      <w:r w:rsidRPr="006D220A" w:rsidR="00F16EC2">
        <w:t xml:space="preserve"> r</w:t>
      </w:r>
      <w:r w:rsidRPr="006D220A" w:rsidR="00A25966">
        <w:t>adiological criteria for lic</w:t>
      </w:r>
      <w:r w:rsidRPr="006D220A" w:rsidR="00F16EC2">
        <w:t>en</w:t>
      </w:r>
      <w:r w:rsidRPr="006D220A" w:rsidR="00A25966">
        <w:t xml:space="preserve">se termination, surveys and monitoring, </w:t>
      </w:r>
      <w:r w:rsidRPr="006D220A" w:rsidR="00F16EC2">
        <w:t>control of exposure from external sources</w:t>
      </w:r>
      <w:r w:rsidRPr="006D220A" w:rsidR="00BA2481">
        <w:t>,</w:t>
      </w:r>
      <w:r w:rsidRPr="006D220A" w:rsidR="003A2AEA">
        <w:t xml:space="preserve"> storage and control of licensed material, and waste disposal.</w:t>
      </w:r>
    </w:p>
    <w:p w:rsidR="00E7760A" w:rsidRPr="006D220A" w:rsidP="006D220A" w14:paraId="64D40F7D" w14:textId="77777777">
      <w:pPr>
        <w:pStyle w:val="BodyText"/>
        <w:ind w:left="835"/>
      </w:pPr>
    </w:p>
    <w:p w:rsidR="00BF2CD6" w:rsidRPr="006D220A" w:rsidP="006D220A" w14:paraId="3FE7155E" w14:textId="6AF75DA2">
      <w:pPr>
        <w:pStyle w:val="BodyText"/>
        <w:ind w:left="835"/>
      </w:pPr>
      <w:r w:rsidRPr="006D220A">
        <w:t xml:space="preserve">The NRC is proposing to amend its regulations to establish a regulatory framework </w:t>
      </w:r>
      <w:r w:rsidRPr="006D220A" w:rsidR="006611DE">
        <w:t xml:space="preserve">for </w:t>
      </w:r>
      <w:r w:rsidRPr="006D220A" w:rsidR="006611DE">
        <w:rPr>
          <w:rFonts w:eastAsia="Times New Roman"/>
          <w:bCs/>
        </w:rPr>
        <w:t>licensing the possession, use, and production of byproduct material associated with</w:t>
      </w:r>
      <w:r w:rsidRPr="006D220A">
        <w:t xml:space="preserve"> fusion </w:t>
      </w:r>
      <w:r w:rsidRPr="006D220A" w:rsidR="005777ED">
        <w:t>machines</w:t>
      </w:r>
      <w:r w:rsidRPr="006D220A">
        <w:t xml:space="preserve">. </w:t>
      </w:r>
      <w:r w:rsidRPr="006D220A" w:rsidR="00ED2107">
        <w:t xml:space="preserve">The proposed rule would add new requirements and modifies some existing requirements to license and oversee fusion </w:t>
      </w:r>
      <w:r w:rsidRPr="006D220A" w:rsidR="00396E54">
        <w:t>machine</w:t>
      </w:r>
      <w:r w:rsidRPr="006D220A" w:rsidR="00ED2107">
        <w:t>s under the 10 CFR Part 30</w:t>
      </w:r>
      <w:r w:rsidRPr="006D220A" w:rsidR="00713FD4">
        <w:t xml:space="preserve">, </w:t>
      </w:r>
      <w:r w:rsidRPr="006D220A" w:rsidR="00257591">
        <w:t xml:space="preserve">“Rules of General Applicability to Domestic Licensing of Byproduct Material,” </w:t>
      </w:r>
      <w:r w:rsidRPr="006D220A" w:rsidR="00ED2107">
        <w:t xml:space="preserve">byproduct material framework. </w:t>
      </w:r>
      <w:r w:rsidRPr="006D220A" w:rsidR="008D3D47">
        <w:t xml:space="preserve">This framework would provide </w:t>
      </w:r>
      <w:r w:rsidRPr="006D220A" w:rsidR="00FE6853">
        <w:t xml:space="preserve">a systematic, risk-informed </w:t>
      </w:r>
      <w:r w:rsidRPr="006D220A" w:rsidR="004C1320">
        <w:t>performance-based</w:t>
      </w:r>
      <w:r w:rsidRPr="006D220A" w:rsidR="004C1320">
        <w:rPr>
          <w:rFonts w:eastAsia="Times New Roman"/>
          <w:bCs/>
        </w:rPr>
        <w:t xml:space="preserve"> approach to the licensing and oversight of</w:t>
      </w:r>
      <w:r w:rsidRPr="006D220A" w:rsidR="00C013A8">
        <w:rPr>
          <w:rFonts w:eastAsia="Times New Roman"/>
          <w:bCs/>
        </w:rPr>
        <w:t xml:space="preserve"> </w:t>
      </w:r>
      <w:r w:rsidRPr="006D220A" w:rsidR="004C1320">
        <w:rPr>
          <w:rFonts w:eastAsia="Times New Roman"/>
          <w:bCs/>
        </w:rPr>
        <w:t>byproduct material associated with fusion machines</w:t>
      </w:r>
      <w:r w:rsidRPr="006D220A" w:rsidR="00FE6853">
        <w:t xml:space="preserve"> and their associated hazards. </w:t>
      </w:r>
      <w:r w:rsidRPr="006D220A" w:rsidR="000958B7">
        <w:t>Concurrent with this proposed rule, the NRC is issuing draft</w:t>
      </w:r>
      <w:r w:rsidRPr="006D220A" w:rsidR="00ED2107">
        <w:t xml:space="preserve"> NUREG</w:t>
      </w:r>
      <w:r w:rsidRPr="006D220A" w:rsidR="00127E58">
        <w:rPr>
          <w:rFonts w:ascii="Cambria Math" w:hAnsi="Cambria Math" w:cs="Cambria Math"/>
        </w:rPr>
        <w:t>‑</w:t>
      </w:r>
      <w:r w:rsidRPr="006D220A" w:rsidR="00127E58">
        <w:t>1</w:t>
      </w:r>
      <w:r w:rsidRPr="006D220A" w:rsidR="00ED2107">
        <w:t xml:space="preserve">556, Volume 22, “Consolidated Guidance About Materials Licenses--Program-Specific Guidance About Fusion </w:t>
      </w:r>
      <w:r w:rsidRPr="006D220A" w:rsidR="00396E54">
        <w:t>Machine</w:t>
      </w:r>
      <w:r w:rsidRPr="006D220A" w:rsidR="00ED2107">
        <w:t xml:space="preserve"> Licenses.”</w:t>
      </w:r>
    </w:p>
    <w:p w:rsidR="00BF2CD6" w:rsidRPr="006D220A" w:rsidP="006D220A" w14:paraId="68881A07" w14:textId="77777777">
      <w:pPr>
        <w:pStyle w:val="BodyText"/>
        <w:ind w:left="835"/>
      </w:pPr>
    </w:p>
    <w:p w:rsidR="0086436B" w:rsidRPr="006D220A" w:rsidP="006D220A" w14:paraId="1B91AACD" w14:textId="48EC7BD4">
      <w:pPr>
        <w:pStyle w:val="BodyText"/>
        <w:ind w:left="835"/>
        <w:rPr>
          <w:rFonts w:eastAsia="Calibri"/>
          <w:lang w:val="en"/>
        </w:rPr>
      </w:pPr>
      <w:r w:rsidRPr="006D220A">
        <w:t xml:space="preserve">The NRC’s regulations governing waste management requirements under 10 CFR </w:t>
      </w:r>
      <w:r w:rsidRPr="006D220A" w:rsidR="000779CA">
        <w:t>P</w:t>
      </w:r>
      <w:r w:rsidRPr="006D220A">
        <w:t xml:space="preserve">art 20 are proposed to be amended to apply to fusion machines and their expected associated radioactive waste. </w:t>
      </w:r>
      <w:r w:rsidRPr="006D220A" w:rsidR="00481AD8">
        <w:t>Th</w:t>
      </w:r>
      <w:r w:rsidRPr="006D220A">
        <w:t>is</w:t>
      </w:r>
      <w:r w:rsidRPr="006D220A" w:rsidR="00481AD8">
        <w:t xml:space="preserve"> proposed rule would amend </w:t>
      </w:r>
      <w:r w:rsidRPr="006D220A" w:rsidR="00BA50F6">
        <w:t>§</w:t>
      </w:r>
      <w:r w:rsidRPr="006D220A" w:rsidR="00C450A1">
        <w:t> 2</w:t>
      </w:r>
      <w:r w:rsidRPr="006D220A" w:rsidR="00E813BF">
        <w:t>0.1003</w:t>
      </w:r>
      <w:r w:rsidRPr="006D220A" w:rsidR="000F3DE4">
        <w:t>, “Definitions”</w:t>
      </w:r>
      <w:r w:rsidRPr="006D220A" w:rsidR="00052BCA">
        <w:t xml:space="preserve"> and other parts of the regulations, </w:t>
      </w:r>
      <w:r w:rsidRPr="006D220A" w:rsidR="00F11714">
        <w:t>to add a new definit</w:t>
      </w:r>
      <w:r w:rsidRPr="006D220A" w:rsidR="00827BB7">
        <w:t xml:space="preserve">ion for </w:t>
      </w:r>
      <w:r w:rsidRPr="006D220A" w:rsidR="00E77763">
        <w:t>“</w:t>
      </w:r>
      <w:r w:rsidRPr="006D220A" w:rsidR="00827BB7">
        <w:t xml:space="preserve">fusion </w:t>
      </w:r>
      <w:r w:rsidRPr="006D220A" w:rsidR="00396E54">
        <w:t>machine</w:t>
      </w:r>
      <w:r w:rsidRPr="006D220A" w:rsidR="00827BB7">
        <w:t>s</w:t>
      </w:r>
      <w:r w:rsidRPr="006D220A" w:rsidR="00DB6DA4">
        <w:t>.</w:t>
      </w:r>
      <w:r w:rsidRPr="006D220A" w:rsidR="00E77763">
        <w:t>”</w:t>
      </w:r>
      <w:r w:rsidRPr="006D220A" w:rsidR="007F4A24">
        <w:t xml:space="preserve"> </w:t>
      </w:r>
      <w:r w:rsidRPr="006D220A" w:rsidR="00880E69">
        <w:t>This proposed rule also revises the definitions for byproduct material and particle accelerator</w:t>
      </w:r>
      <w:r w:rsidRPr="006D220A" w:rsidR="00B638A3">
        <w:t xml:space="preserve"> In </w:t>
      </w:r>
      <w:r w:rsidRPr="006D220A" w:rsidR="00BA50F6">
        <w:t>§</w:t>
      </w:r>
      <w:r w:rsidRPr="006D220A" w:rsidR="00C450A1">
        <w:t> 2</w:t>
      </w:r>
      <w:r w:rsidRPr="006D220A" w:rsidR="00B638A3">
        <w:t>0.1003</w:t>
      </w:r>
      <w:r w:rsidRPr="006D220A" w:rsidR="00880E69">
        <w:t>.</w:t>
      </w:r>
      <w:r w:rsidRPr="006D220A" w:rsidR="00CB7737">
        <w:t xml:space="preserve"> </w:t>
      </w:r>
      <w:r w:rsidRPr="006D220A">
        <w:rPr>
          <w:rFonts w:eastAsia="Calibri"/>
        </w:rPr>
        <w:t xml:space="preserve">Given that fusion machines produce radioactive material that meets paragraph (3) of the definition of byproduct material, the NRC is proposing to include new language in paragraph (a) to </w:t>
      </w:r>
      <w:r w:rsidRPr="006D220A" w:rsidR="00BA50F6">
        <w:rPr>
          <w:rFonts w:eastAsia="Calibri"/>
        </w:rPr>
        <w:t>§</w:t>
      </w:r>
      <w:r w:rsidRPr="006D220A">
        <w:rPr>
          <w:rFonts w:eastAsia="Calibri"/>
        </w:rPr>
        <w:t> 20.2008</w:t>
      </w:r>
      <w:r w:rsidRPr="006D220A" w:rsidR="00F60F9B">
        <w:rPr>
          <w:rFonts w:eastAsia="Calibri"/>
        </w:rPr>
        <w:t>, “</w:t>
      </w:r>
      <w:r w:rsidRPr="006D220A" w:rsidR="00F60F9B">
        <w:t xml:space="preserve">Disposal of certain byproduct material,” </w:t>
      </w:r>
      <w:r w:rsidRPr="006D220A" w:rsidR="008D5B6A">
        <w:t>that is specific to the disposal requirements for waste from a fusion machine.</w:t>
      </w:r>
      <w:r w:rsidRPr="006D220A" w:rsidR="00F857B9">
        <w:t xml:space="preserve"> Specifically, it</w:t>
      </w:r>
      <w:r w:rsidRPr="006D220A">
        <w:t xml:space="preserve"> would</w:t>
      </w:r>
      <w:r w:rsidRPr="006D220A">
        <w:rPr>
          <w:rFonts w:eastAsia="Calibri"/>
        </w:rPr>
        <w:t xml:space="preserve"> allow certain licensed waste from fusion machines to be disposed in a </w:t>
      </w:r>
      <w:r w:rsidRPr="006D220A" w:rsidR="00054E49">
        <w:rPr>
          <w:rFonts w:eastAsia="Calibri"/>
        </w:rPr>
        <w:t>low-level</w:t>
      </w:r>
      <w:r w:rsidRPr="006D220A" w:rsidR="006614E2">
        <w:rPr>
          <w:rFonts w:eastAsia="Calibri"/>
        </w:rPr>
        <w:t xml:space="preserve"> waste</w:t>
      </w:r>
      <w:r w:rsidRPr="006D220A">
        <w:rPr>
          <w:rFonts w:eastAsia="Calibri"/>
        </w:rPr>
        <w:t xml:space="preserve"> </w:t>
      </w:r>
      <w:r w:rsidRPr="006D220A" w:rsidR="00054E49">
        <w:rPr>
          <w:rFonts w:eastAsia="Calibri"/>
        </w:rPr>
        <w:t xml:space="preserve">(LLW) </w:t>
      </w:r>
      <w:r w:rsidRPr="006D220A">
        <w:rPr>
          <w:rFonts w:eastAsia="Calibri"/>
        </w:rPr>
        <w:t xml:space="preserve">disposal </w:t>
      </w:r>
      <w:r w:rsidRPr="006D220A">
        <w:rPr>
          <w:rFonts w:eastAsia="Calibri"/>
        </w:rPr>
        <w:t>facility</w:t>
      </w:r>
      <w:r w:rsidRPr="006D220A">
        <w:rPr>
          <w:rFonts w:eastAsia="Calibri"/>
        </w:rPr>
        <w:t xml:space="preserve">. The addition would not affect the ability of waste to be disposed of under </w:t>
      </w:r>
      <w:r w:rsidRPr="006D220A" w:rsidR="00BA50F6">
        <w:rPr>
          <w:rFonts w:eastAsia="Calibri"/>
        </w:rPr>
        <w:t>§</w:t>
      </w:r>
      <w:r w:rsidRPr="006D220A">
        <w:rPr>
          <w:rFonts w:eastAsia="Calibri"/>
        </w:rPr>
        <w:t> 20.2002</w:t>
      </w:r>
      <w:r w:rsidRPr="006D220A" w:rsidR="007E0080">
        <w:rPr>
          <w:rFonts w:eastAsia="Calibri"/>
        </w:rPr>
        <w:t>, “Method for obtaining approval of proposed disposal procedures,”</w:t>
      </w:r>
      <w:r w:rsidRPr="006D220A">
        <w:rPr>
          <w:rFonts w:eastAsia="Calibri"/>
        </w:rPr>
        <w:t xml:space="preserve"> (e.g., in a hazardous waste facility) if it met any other applicable State and Federal requirements.</w:t>
      </w:r>
    </w:p>
    <w:p w:rsidR="0086436B" w:rsidRPr="006D220A" w:rsidP="006D220A" w14:paraId="0F728570" w14:textId="77777777">
      <w:pPr>
        <w:pStyle w:val="BodyText"/>
        <w:ind w:left="835"/>
      </w:pPr>
    </w:p>
    <w:p w:rsidR="00713FD4" w:rsidRPr="006D220A" w:rsidP="006D220A" w14:paraId="6723EF30" w14:textId="33574FA7">
      <w:pPr>
        <w:pStyle w:val="BodyText"/>
        <w:ind w:left="835"/>
      </w:pPr>
      <w:r w:rsidRPr="006D220A">
        <w:t>Specifically, t</w:t>
      </w:r>
      <w:r w:rsidRPr="006D220A" w:rsidR="00BF2CD6">
        <w:t xml:space="preserve">he proposed rule would </w:t>
      </w:r>
      <w:r w:rsidRPr="006D220A" w:rsidR="00934C81">
        <w:t xml:space="preserve">revise </w:t>
      </w:r>
      <w:r w:rsidRPr="006D220A" w:rsidR="00BA50F6">
        <w:t>§</w:t>
      </w:r>
      <w:r w:rsidRPr="006D220A" w:rsidR="00C450A1">
        <w:t> 2</w:t>
      </w:r>
      <w:r w:rsidRPr="006D220A" w:rsidR="00934C81">
        <w:t>0.2008</w:t>
      </w:r>
      <w:r w:rsidRPr="006D220A" w:rsidR="009450AE">
        <w:t xml:space="preserve"> </w:t>
      </w:r>
      <w:r w:rsidRPr="006D220A" w:rsidR="005C6F49">
        <w:t>to add a new</w:t>
      </w:r>
      <w:r w:rsidRPr="006D220A" w:rsidR="00E85B69">
        <w:t xml:space="preserve"> paragraph as an additional requirement to the regulations of 10 CFR Part 61, </w:t>
      </w:r>
      <w:r w:rsidRPr="006D220A" w:rsidR="00777EEF">
        <w:t>“Licensing Requirements for Land Disposal of Radioactive Waste</w:t>
      </w:r>
      <w:r w:rsidRPr="006D220A" w:rsidR="00BD70C2">
        <w:t>.</w:t>
      </w:r>
      <w:r w:rsidRPr="006D220A" w:rsidR="00777EEF">
        <w:t>”</w:t>
      </w:r>
      <w:r w:rsidRPr="006D220A" w:rsidR="00FE0E7D">
        <w:t xml:space="preserve"> </w:t>
      </w:r>
      <w:r w:rsidRPr="006D220A" w:rsidR="00C338A5">
        <w:rPr>
          <w:iCs/>
        </w:rPr>
        <w:t xml:space="preserve">The new </w:t>
      </w:r>
      <w:r w:rsidRPr="006D220A" w:rsidR="00C338A5">
        <w:t xml:space="preserve">text </w:t>
      </w:r>
      <w:r w:rsidRPr="006D220A" w:rsidR="00C338A5">
        <w:rPr>
          <w:iCs/>
        </w:rPr>
        <w:t xml:space="preserve">would require that fusion </w:t>
      </w:r>
      <w:r w:rsidRPr="006D220A" w:rsidR="00C338A5">
        <w:t>machine</w:t>
      </w:r>
      <w:r w:rsidRPr="006D220A" w:rsidR="00C338A5">
        <w:rPr>
          <w:iCs/>
        </w:rPr>
        <w:t xml:space="preserve"> waste that</w:t>
      </w:r>
      <w:r w:rsidRPr="006D220A" w:rsidR="00C338A5">
        <w:t xml:space="preserve"> would be disposed of as low-level waste under 10 CFR </w:t>
      </w:r>
      <w:r w:rsidRPr="006D220A" w:rsidR="00881948">
        <w:t>P</w:t>
      </w:r>
      <w:r w:rsidRPr="006D220A" w:rsidR="00C338A5">
        <w:t>art 61</w:t>
      </w:r>
      <w:r w:rsidRPr="006D220A" w:rsidR="00E523F2">
        <w:t xml:space="preserve"> either be</w:t>
      </w:r>
      <w:r w:rsidRPr="006D220A" w:rsidR="00C338A5">
        <w:t xml:space="preserve"> </w:t>
      </w:r>
      <w:r w:rsidRPr="006D220A" w:rsidR="00A15CF9">
        <w:t>accompanied by an analysis showing the waste is manifested and labeled for disposal consistent with the description of the applicable waste class in §</w:t>
      </w:r>
      <w:r w:rsidRPr="006D220A" w:rsidR="00C450A1">
        <w:t> 6</w:t>
      </w:r>
      <w:r w:rsidRPr="006D220A" w:rsidR="00A15CF9">
        <w:t>1.7</w:t>
      </w:r>
      <w:r w:rsidRPr="006D220A" w:rsidR="009F6529">
        <w:t>, “Concepts</w:t>
      </w:r>
      <w:r w:rsidRPr="006D220A" w:rsidR="00A15CF9">
        <w:t>,</w:t>
      </w:r>
      <w:r w:rsidRPr="006D220A" w:rsidR="00BD707B">
        <w:t>”</w:t>
      </w:r>
      <w:r w:rsidRPr="006D220A" w:rsidR="00A15CF9">
        <w:t xml:space="preserve"> or be disposed of in a disposal </w:t>
      </w:r>
      <w:r w:rsidRPr="006D220A" w:rsidR="00045796">
        <w:t>site</w:t>
      </w:r>
      <w:r w:rsidRPr="006D220A" w:rsidR="00A15CF9">
        <w:t xml:space="preserve"> that has completed a site-specific </w:t>
      </w:r>
      <w:r w:rsidRPr="006D220A" w:rsidR="00A15CF9">
        <w:t>intrusion assessment</w:t>
      </w:r>
      <w:r w:rsidRPr="006D220A" w:rsidR="00831B83">
        <w:t>.</w:t>
      </w:r>
      <w:r w:rsidRPr="006D220A" w:rsidR="00C013A8">
        <w:t xml:space="preserve"> </w:t>
      </w:r>
      <w:r w:rsidRPr="006D220A" w:rsidR="00CE7B3E">
        <w:t>Draft NUREG</w:t>
      </w:r>
      <w:r w:rsidRPr="006D220A" w:rsidR="00127E58">
        <w:rPr>
          <w:rFonts w:ascii="Cambria Math" w:hAnsi="Cambria Math" w:cs="Cambria Math"/>
        </w:rPr>
        <w:t>‑</w:t>
      </w:r>
      <w:r w:rsidRPr="006D220A" w:rsidR="00127E58">
        <w:t>1</w:t>
      </w:r>
      <w:r w:rsidRPr="006D220A" w:rsidR="00CE7B3E">
        <w:t>556, Volume 22, includes guidance on waste types and radionuclide</w:t>
      </w:r>
      <w:r w:rsidRPr="006D220A" w:rsidR="00CE7B3E">
        <w:rPr>
          <w:iCs/>
        </w:rPr>
        <w:t xml:space="preserve"> </w:t>
      </w:r>
      <w:r w:rsidRPr="006D220A" w:rsidR="00CE7B3E">
        <w:t>concentrations the NRC staff has previously analyzed under the waste classification descriptions in § 61.7.</w:t>
      </w:r>
      <w:r w:rsidRPr="006D220A" w:rsidR="00CE7B3E">
        <w:rPr>
          <w:iCs/>
        </w:rPr>
        <w:t xml:space="preserve"> If a site-specific intrusion assessment will be relied on, the assessment should demonstrate the projected dose to an individual who inadvertently intrudes into the waste at the facility will be less than 0.5 rem (5 </w:t>
      </w:r>
      <w:r w:rsidRPr="006D220A" w:rsidR="00CE7B3E">
        <w:t>mSv</w:t>
      </w:r>
      <w:r w:rsidRPr="006D220A" w:rsidR="00CE7B3E">
        <w:t>)</w:t>
      </w:r>
      <w:r w:rsidRPr="006D220A" w:rsidR="00CE7B3E">
        <w:rPr>
          <w:iCs/>
        </w:rPr>
        <w:t xml:space="preserve"> per year. </w:t>
      </w:r>
      <w:r w:rsidRPr="006D220A" w:rsidR="00CE7B3E">
        <w:t xml:space="preserve">That dose limit is consistent with the dose limit used to develop the LLW classification tables in 10 CFR </w:t>
      </w:r>
      <w:r w:rsidRPr="006D220A" w:rsidR="000779CA">
        <w:t>P</w:t>
      </w:r>
      <w:r w:rsidRPr="006D220A" w:rsidR="00CE7B3E">
        <w:t xml:space="preserve">art 61, which the NRC selected based on safety, costs, disposal efficiency, and the potential for increased disposal of waste containing long-lived </w:t>
      </w:r>
      <w:r w:rsidRPr="006D220A" w:rsidR="00CE7B3E">
        <w:t>radionuclides</w:t>
      </w:r>
      <w:r w:rsidRPr="006D220A" w:rsidR="00CE7B3E">
        <w:t xml:space="preserve"> that could increase the hazard for long time periods.</w:t>
      </w:r>
    </w:p>
    <w:p w:rsidR="001A68E9" w:rsidRPr="006D220A" w:rsidP="006D220A" w14:paraId="1DEADA6C" w14:textId="77777777">
      <w:pPr>
        <w:pStyle w:val="BodyText"/>
        <w:ind w:left="835"/>
        <w:rPr>
          <w:rFonts w:eastAsia="Calibri"/>
        </w:rPr>
      </w:pPr>
    </w:p>
    <w:p w:rsidR="00567E22" w:rsidRPr="006D220A" w:rsidP="006D220A" w14:paraId="73E92028" w14:textId="0236BC3B">
      <w:pPr>
        <w:pStyle w:val="BodyText"/>
        <w:ind w:left="835"/>
        <w:rPr>
          <w:rFonts w:eastAsia="Calibri"/>
          <w:lang w:val="en"/>
        </w:rPr>
      </w:pPr>
      <w:r w:rsidRPr="006D220A">
        <w:rPr>
          <w:rFonts w:eastAsia="Calibri"/>
        </w:rPr>
        <w:t xml:space="preserve">The NRC is not proposing any changes to </w:t>
      </w:r>
      <w:r w:rsidRPr="006D220A" w:rsidR="00BA50F6">
        <w:rPr>
          <w:rFonts w:eastAsia="Calibri"/>
        </w:rPr>
        <w:t>§</w:t>
      </w:r>
      <w:r w:rsidRPr="006D220A" w:rsidR="00C450A1">
        <w:rPr>
          <w:rFonts w:eastAsia="Calibri"/>
        </w:rPr>
        <w:t> 2</w:t>
      </w:r>
      <w:r w:rsidRPr="006D220A">
        <w:rPr>
          <w:rFonts w:eastAsia="Calibri"/>
        </w:rPr>
        <w:t>0.2006, “Transfer for disposal and manifests,” or Appendix</w:t>
      </w:r>
      <w:r w:rsidRPr="006D220A" w:rsidR="00C450A1">
        <w:rPr>
          <w:rFonts w:eastAsia="Calibri"/>
        </w:rPr>
        <w:t> G</w:t>
      </w:r>
      <w:r w:rsidRPr="006D220A">
        <w:rPr>
          <w:rFonts w:eastAsia="Calibri"/>
        </w:rPr>
        <w:t xml:space="preserve"> to 10 CFR Part 20 because those requirements are sufficiently general to apply to fusion machine generated waste without modification. The NRC would add </w:t>
      </w:r>
      <w:r w:rsidRPr="006D220A" w:rsidR="00BA50F6">
        <w:rPr>
          <w:rFonts w:eastAsia="Calibri"/>
          <w:lang w:val="en"/>
        </w:rPr>
        <w:t>§</w:t>
      </w:r>
      <w:r w:rsidRPr="006D220A" w:rsidR="00C450A1">
        <w:rPr>
          <w:rFonts w:eastAsia="Calibri"/>
          <w:lang w:val="en"/>
        </w:rPr>
        <w:t> 2</w:t>
      </w:r>
      <w:r w:rsidRPr="006D220A">
        <w:rPr>
          <w:rFonts w:eastAsia="Calibri"/>
          <w:lang w:val="en"/>
        </w:rPr>
        <w:t xml:space="preserve">0.2008 to the list of approved information collections in </w:t>
      </w:r>
      <w:r w:rsidRPr="006D220A" w:rsidR="00BA50F6">
        <w:rPr>
          <w:rFonts w:eastAsia="Calibri"/>
          <w:lang w:val="en"/>
        </w:rPr>
        <w:t>§</w:t>
      </w:r>
      <w:r w:rsidRPr="006D220A">
        <w:rPr>
          <w:rFonts w:eastAsia="Calibri"/>
          <w:lang w:val="en"/>
        </w:rPr>
        <w:t xml:space="preserve"> 20.1009. </w:t>
      </w:r>
      <w:r w:rsidRPr="006D220A">
        <w:t>The proposed revision to waste disposal requirements in 10 CFR Part 20 would ensure consistency and alignment with the disposal of some novel waste types and radionuclides generated by fusion machines.</w:t>
      </w:r>
    </w:p>
    <w:p w:rsidR="00567E22" w:rsidRPr="006D220A" w:rsidP="006D220A" w14:paraId="249358B7" w14:textId="77777777">
      <w:pPr>
        <w:pStyle w:val="BodyText"/>
        <w:ind w:left="835"/>
      </w:pPr>
    </w:p>
    <w:p w:rsidR="00713FD4" w:rsidRPr="006D220A" w:rsidP="006D220A" w14:paraId="30CF37B3" w14:textId="1B10D3DC">
      <w:pPr>
        <w:pStyle w:val="BodyText"/>
        <w:ind w:left="835"/>
      </w:pPr>
      <w:r w:rsidRPr="006D220A">
        <w:t xml:space="preserve">This proposed rule would also amend some regulatory requirements in 10 CFR Part </w:t>
      </w:r>
      <w:r w:rsidRPr="006D220A" w:rsidR="00B20C0F">
        <w:t>30</w:t>
      </w:r>
      <w:r w:rsidRPr="006D220A">
        <w:t xml:space="preserve">, </w:t>
      </w:r>
      <w:r w:rsidRPr="006D220A" w:rsidR="009948E8">
        <w:t xml:space="preserve">“Rules of General Applicability to Domestic Licensing of Byproduct Material” </w:t>
      </w:r>
      <w:r w:rsidRPr="006D220A">
        <w:t>and 10 CFR Part 51, “Environmental Protection Regulations for Domestic Licensing and Related Regulatory Functions.”</w:t>
      </w:r>
      <w:r w:rsidRPr="006D220A" w:rsidR="00246EDA">
        <w:t xml:space="preserve"> </w:t>
      </w:r>
      <w:r w:rsidRPr="006D220A">
        <w:t xml:space="preserve">The staff developed separate supporting statements for </w:t>
      </w:r>
      <w:r w:rsidRPr="006D220A" w:rsidR="00257591">
        <w:t>10 CFR Part 30</w:t>
      </w:r>
      <w:r w:rsidRPr="006D220A" w:rsidR="004B5DFC">
        <w:t xml:space="preserve"> (3150-0017)</w:t>
      </w:r>
      <w:r w:rsidRPr="006D220A" w:rsidR="00B76B9E">
        <w:t>,</w:t>
      </w:r>
      <w:r w:rsidRPr="006D220A">
        <w:t>10 CFR Part 51</w:t>
      </w:r>
      <w:r w:rsidRPr="006D220A" w:rsidR="004B5DFC">
        <w:t xml:space="preserve"> (3150-0021)</w:t>
      </w:r>
      <w:r w:rsidRPr="006D220A">
        <w:t xml:space="preserve"> </w:t>
      </w:r>
      <w:r w:rsidRPr="006D220A" w:rsidR="007712A9">
        <w:t>and NRC Form 313</w:t>
      </w:r>
      <w:r w:rsidRPr="006D220A" w:rsidR="004B5DFC">
        <w:t xml:space="preserve"> (3150-0120)</w:t>
      </w:r>
      <w:r w:rsidRPr="006D220A" w:rsidR="007712A9">
        <w:t xml:space="preserve"> </w:t>
      </w:r>
      <w:r w:rsidRPr="006D220A">
        <w:t>for this rulemaking.</w:t>
      </w:r>
    </w:p>
    <w:p w:rsidR="00337A9E" w:rsidRPr="00CB62AB" w:rsidP="002954BF" w14:paraId="690906D6" w14:textId="77777777">
      <w:pPr>
        <w:pStyle w:val="BodyText"/>
      </w:pPr>
    </w:p>
    <w:p w:rsidR="00337A9E" w:rsidRPr="00CB62AB" w:rsidP="002954BF" w14:paraId="690906D7" w14:textId="77777777">
      <w:pPr>
        <w:pStyle w:val="ListParagraph"/>
        <w:numPr>
          <w:ilvl w:val="0"/>
          <w:numId w:val="1"/>
        </w:numPr>
        <w:tabs>
          <w:tab w:val="left" w:pos="1659"/>
          <w:tab w:val="left" w:pos="1660"/>
        </w:tabs>
        <w:jc w:val="left"/>
      </w:pPr>
      <w:r w:rsidRPr="00CB62AB">
        <w:rPr>
          <w:spacing w:val="-2"/>
          <w:u w:val="single"/>
        </w:rPr>
        <w:t>Justification</w:t>
      </w:r>
    </w:p>
    <w:p w:rsidR="00D366E9" w:rsidRPr="00CB62AB" w:rsidP="00D366E9" w14:paraId="2D8DF05F" w14:textId="77777777">
      <w:pPr>
        <w:pStyle w:val="ListParagraph"/>
        <w:tabs>
          <w:tab w:val="left" w:pos="1659"/>
          <w:tab w:val="left" w:pos="1660"/>
        </w:tabs>
        <w:ind w:left="1659" w:firstLine="0"/>
        <w:jc w:val="right"/>
      </w:pPr>
    </w:p>
    <w:p w:rsidR="00337A9E" w:rsidRPr="00CB62AB" w:rsidP="002954BF" w14:paraId="690906D9" w14:textId="77777777">
      <w:pPr>
        <w:pStyle w:val="ListParagraph"/>
        <w:numPr>
          <w:ilvl w:val="1"/>
          <w:numId w:val="1"/>
        </w:numPr>
        <w:tabs>
          <w:tab w:val="left" w:pos="2006"/>
          <w:tab w:val="left" w:pos="2007"/>
        </w:tabs>
      </w:pPr>
      <w:r w:rsidRPr="00CB62AB">
        <w:rPr>
          <w:u w:val="single"/>
        </w:rPr>
        <w:t>Need</w:t>
      </w:r>
      <w:r w:rsidRPr="00CB62AB">
        <w:rPr>
          <w:spacing w:val="-5"/>
          <w:u w:val="single"/>
        </w:rPr>
        <w:t xml:space="preserve"> </w:t>
      </w:r>
      <w:r w:rsidRPr="00CB62AB">
        <w:rPr>
          <w:u w:val="single"/>
        </w:rPr>
        <w:t>for</w:t>
      </w:r>
      <w:r w:rsidRPr="00CB62AB">
        <w:rPr>
          <w:spacing w:val="-5"/>
          <w:u w:val="single"/>
        </w:rPr>
        <w:t xml:space="preserve"> </w:t>
      </w:r>
      <w:r w:rsidRPr="00CB62AB">
        <w:rPr>
          <w:u w:val="single"/>
        </w:rPr>
        <w:t>the</w:t>
      </w:r>
      <w:r w:rsidRPr="00CB62AB">
        <w:rPr>
          <w:spacing w:val="-5"/>
          <w:u w:val="single"/>
        </w:rPr>
        <w:t xml:space="preserve"> </w:t>
      </w:r>
      <w:r w:rsidRPr="00CB62AB">
        <w:rPr>
          <w:u w:val="single"/>
        </w:rPr>
        <w:t>Collection</w:t>
      </w:r>
      <w:r w:rsidRPr="00CB62AB">
        <w:rPr>
          <w:spacing w:val="-5"/>
          <w:u w:val="single"/>
        </w:rPr>
        <w:t xml:space="preserve"> </w:t>
      </w:r>
      <w:r w:rsidRPr="00CB62AB">
        <w:rPr>
          <w:u w:val="single"/>
        </w:rPr>
        <w:t>of</w:t>
      </w:r>
      <w:r w:rsidRPr="00CB62AB">
        <w:rPr>
          <w:spacing w:val="-5"/>
          <w:u w:val="single"/>
        </w:rPr>
        <w:t xml:space="preserve"> </w:t>
      </w:r>
      <w:r w:rsidRPr="00CB62AB">
        <w:rPr>
          <w:spacing w:val="-2"/>
          <w:u w:val="single"/>
        </w:rPr>
        <w:t>Information</w:t>
      </w:r>
    </w:p>
    <w:p w:rsidR="00482D80" w:rsidRPr="00CB62AB" w:rsidP="00573D83" w14:paraId="5F603464" w14:textId="77777777">
      <w:pPr>
        <w:pStyle w:val="ListParagraph"/>
        <w:tabs>
          <w:tab w:val="left" w:pos="2006"/>
          <w:tab w:val="left" w:pos="2007"/>
        </w:tabs>
        <w:ind w:firstLine="0"/>
        <w:jc w:val="right"/>
      </w:pPr>
    </w:p>
    <w:p w:rsidR="00940768" w:rsidRPr="00CB62AB" w:rsidP="006D220A" w14:paraId="5BFF475D" w14:textId="37979921">
      <w:pPr>
        <w:pStyle w:val="BodyText"/>
        <w:ind w:left="2000"/>
      </w:pPr>
      <w:r w:rsidRPr="00CB62AB">
        <w:t xml:space="preserve">The information is needed to fulfill NRC’s mission governing domestic licensing of byproduct material under the Atomic Energy Act of 1954, as amended. </w:t>
      </w:r>
      <w:r w:rsidRPr="00CB62AB" w:rsidR="009E6510">
        <w:t>S</w:t>
      </w:r>
      <w:r w:rsidRPr="00CB62AB" w:rsidR="00B05237">
        <w:t>ubmittal</w:t>
      </w:r>
      <w:r w:rsidRPr="00CB62AB" w:rsidR="00B05237">
        <w:t xml:space="preserve"> of an application for a materials license, including applications for fusion </w:t>
      </w:r>
      <w:r w:rsidRPr="00CB62AB" w:rsidR="00396E54">
        <w:t>machine</w:t>
      </w:r>
      <w:r w:rsidRPr="00CB62AB" w:rsidR="00B05237">
        <w:t xml:space="preserve">s, is necessary to determine that the applicant is qualified and that adequate procedures exist to protect </w:t>
      </w:r>
      <w:r w:rsidRPr="00CB62AB" w:rsidR="00B05237">
        <w:t>the public</w:t>
      </w:r>
      <w:r w:rsidRPr="00CB62AB" w:rsidR="00B05237">
        <w:t xml:space="preserve"> health and safety.</w:t>
      </w:r>
    </w:p>
    <w:p w:rsidR="00940768" w:rsidRPr="00CB62AB" w:rsidP="006D220A" w14:paraId="20A6C351" w14:textId="77777777">
      <w:pPr>
        <w:pStyle w:val="BodyText"/>
        <w:ind w:left="2000"/>
      </w:pPr>
    </w:p>
    <w:p w:rsidR="00CD748D" w:rsidRPr="00CB62AB" w:rsidP="006D220A" w14:paraId="2BB56E50" w14:textId="2AA1275C">
      <w:pPr>
        <w:pStyle w:val="BodyText"/>
        <w:ind w:left="2002"/>
      </w:pPr>
      <w:r w:rsidRPr="00CB62AB">
        <w:t xml:space="preserve">The proposed rule would revise </w:t>
      </w:r>
      <w:r w:rsidRPr="00CB62AB" w:rsidR="00BA50F6">
        <w:t>§</w:t>
      </w:r>
      <w:r w:rsidR="00C450A1">
        <w:t> 2</w:t>
      </w:r>
      <w:r w:rsidRPr="00CB62AB">
        <w:t xml:space="preserve">0.2008 to add a new paragraph as an additional requirement to the regulations of 10 CFR Part 61. </w:t>
      </w:r>
      <w:r w:rsidRPr="00CB62AB" w:rsidR="00343468">
        <w:t xml:space="preserve">Fusion machines licensees would have to perform an analysis showing </w:t>
      </w:r>
      <w:r w:rsidRPr="00CB62AB" w:rsidR="00273657">
        <w:t xml:space="preserve">whether </w:t>
      </w:r>
      <w:r w:rsidRPr="00CB62AB" w:rsidR="00343468">
        <w:t>the waste is manifested and labeled for disposal consistent with the description of the applicable waste class in §</w:t>
      </w:r>
      <w:r w:rsidR="00C450A1">
        <w:t> 6</w:t>
      </w:r>
      <w:r w:rsidRPr="00CB62AB" w:rsidR="00343468">
        <w:t>1.7</w:t>
      </w:r>
      <w:r w:rsidRPr="00CB62AB" w:rsidR="00181E07">
        <w:t>.</w:t>
      </w:r>
      <w:r w:rsidRPr="00CB62AB" w:rsidR="009E42DB">
        <w:t xml:space="preserve"> Fusion machine </w:t>
      </w:r>
      <w:r w:rsidRPr="00CB62AB" w:rsidR="009E42DB">
        <w:t>licensees</w:t>
      </w:r>
      <w:r w:rsidRPr="00CB62AB" w:rsidR="009E42DB">
        <w:t xml:space="preserve"> could either </w:t>
      </w:r>
      <w:r w:rsidRPr="00CB62AB" w:rsidR="00D55082">
        <w:t xml:space="preserve">(1) </w:t>
      </w:r>
      <w:r w:rsidRPr="00CB62AB" w:rsidR="009E42DB">
        <w:t xml:space="preserve">provide </w:t>
      </w:r>
      <w:r w:rsidRPr="00CB62AB" w:rsidR="00F546BC">
        <w:t>an</w:t>
      </w:r>
      <w:r w:rsidRPr="00CB62AB" w:rsidR="009E42DB">
        <w:t xml:space="preserve"> analysis</w:t>
      </w:r>
      <w:r w:rsidRPr="00CB62AB" w:rsidR="00F546BC">
        <w:t xml:space="preserve"> showing the waste </w:t>
      </w:r>
      <w:r w:rsidRPr="00CB62AB" w:rsidR="0068037A">
        <w:t>is manifested and labeled for disposal consistent with the description of the applicable waste class in §</w:t>
      </w:r>
      <w:r w:rsidR="00C450A1">
        <w:t> 6</w:t>
      </w:r>
      <w:r w:rsidRPr="00CB62AB" w:rsidR="0068037A">
        <w:t>1.7</w:t>
      </w:r>
      <w:r w:rsidRPr="00CB62AB" w:rsidR="009E42DB">
        <w:t xml:space="preserve"> or </w:t>
      </w:r>
      <w:r w:rsidRPr="00CB62AB" w:rsidR="00D55082">
        <w:t xml:space="preserve">(2) </w:t>
      </w:r>
      <w:r w:rsidRPr="00CB62AB" w:rsidR="006C1E32">
        <w:t xml:space="preserve">demonstrate that </w:t>
      </w:r>
      <w:r w:rsidRPr="00CB62AB" w:rsidR="008D38BA">
        <w:t>w</w:t>
      </w:r>
      <w:r w:rsidRPr="00CB62AB" w:rsidR="00534F02">
        <w:t>aste will be disposed of in a disposal facility that has completed a site-specific intrusion assessment</w:t>
      </w:r>
      <w:r w:rsidRPr="00CB62AB" w:rsidR="00DD19EE">
        <w:t>.</w:t>
      </w:r>
      <w:r w:rsidRPr="00CB62AB" w:rsidR="00534F02">
        <w:t xml:space="preserve"> </w:t>
      </w:r>
      <w:r w:rsidRPr="00CB62AB" w:rsidR="0011181C">
        <w:rPr>
          <w:iCs/>
        </w:rPr>
        <w:t>If a site-specific intrusion assessment will be relied on, the assessment should demonstrate the projected dose to an individual who inadvertently intrudes into the waste at the facility will be less than 0.5 rem (5 </w:t>
      </w:r>
      <w:r w:rsidRPr="00CB62AB" w:rsidR="0011181C">
        <w:t>mSv</w:t>
      </w:r>
      <w:r w:rsidRPr="00CB62AB" w:rsidR="0011181C">
        <w:t>)</w:t>
      </w:r>
      <w:r w:rsidRPr="00CB62AB" w:rsidR="0011181C">
        <w:rPr>
          <w:iCs/>
        </w:rPr>
        <w:t xml:space="preserve"> per year. </w:t>
      </w:r>
      <w:r w:rsidRPr="00CB62AB" w:rsidR="0011181C">
        <w:t xml:space="preserve">That dose limit is consistent with the dose limit used to develop the LLW classification tables in 10 CFR </w:t>
      </w:r>
      <w:r w:rsidR="000779CA">
        <w:t>P</w:t>
      </w:r>
      <w:r w:rsidRPr="00CB62AB" w:rsidR="0011181C">
        <w:t xml:space="preserve">art 61, which the NRC selected based on safety, costs, disposal efficiency, and the potential for increased disposal of waste containing long-lived </w:t>
      </w:r>
      <w:r w:rsidRPr="00CB62AB" w:rsidR="0011181C">
        <w:t>radionuclides</w:t>
      </w:r>
      <w:r w:rsidRPr="00CB62AB" w:rsidR="0011181C">
        <w:t xml:space="preserve"> that could increase the hazard for long time periods</w:t>
      </w:r>
      <w:r w:rsidRPr="00CB62AB" w:rsidR="00534F02">
        <w:t>.</w:t>
      </w:r>
      <w:r w:rsidRPr="00CB62AB">
        <w:t xml:space="preserve"> This information is necessary to ensure compliance with the requirements of §</w:t>
      </w:r>
      <w:r w:rsidR="00C450A1">
        <w:t> 2</w:t>
      </w:r>
      <w:r w:rsidRPr="00CB62AB">
        <w:t>0.2006.</w:t>
      </w:r>
    </w:p>
    <w:p w:rsidR="00CD748D" w:rsidRPr="00CB62AB" w:rsidP="006D220A" w14:paraId="6A55BCA4" w14:textId="77777777">
      <w:pPr>
        <w:pStyle w:val="BodyText"/>
        <w:ind w:left="2002"/>
      </w:pPr>
    </w:p>
    <w:p w:rsidR="00E80F50" w:rsidRPr="00CB62AB" w:rsidP="006D220A" w14:paraId="7550CBC2" w14:textId="4DDA4A33">
      <w:pPr>
        <w:pStyle w:val="BodyText"/>
        <w:spacing w:before="1"/>
        <w:ind w:left="1980"/>
      </w:pPr>
      <w:r w:rsidRPr="00CB62AB">
        <w:rPr>
          <w:rFonts w:eastAsia="Calibri"/>
        </w:rPr>
        <w:t xml:space="preserve">Although fusion </w:t>
      </w:r>
      <w:r w:rsidRPr="00CB62AB" w:rsidR="00396E54">
        <w:rPr>
          <w:rFonts w:eastAsia="Calibri"/>
        </w:rPr>
        <w:t>machine</w:t>
      </w:r>
      <w:r w:rsidRPr="00CB62AB">
        <w:rPr>
          <w:rFonts w:eastAsia="Calibri"/>
        </w:rPr>
        <w:t>s license would not be required to perform intruder assessment</w:t>
      </w:r>
      <w:r w:rsidRPr="00CB62AB" w:rsidR="00FF2C58">
        <w:rPr>
          <w:rFonts w:eastAsia="Calibri"/>
        </w:rPr>
        <w:t>s</w:t>
      </w:r>
      <w:r w:rsidRPr="00CB62AB">
        <w:rPr>
          <w:rFonts w:eastAsia="Calibri"/>
        </w:rPr>
        <w:t xml:space="preserve"> for disposing </w:t>
      </w:r>
      <w:r w:rsidRPr="00CB62AB" w:rsidR="00FF2C58">
        <w:rPr>
          <w:rFonts w:eastAsia="Calibri"/>
        </w:rPr>
        <w:t xml:space="preserve">of </w:t>
      </w:r>
      <w:r w:rsidRPr="00CB62AB" w:rsidR="00CE4E33">
        <w:rPr>
          <w:rFonts w:eastAsia="Calibri"/>
        </w:rPr>
        <w:t xml:space="preserve">their </w:t>
      </w:r>
      <w:r w:rsidRPr="00CB62AB">
        <w:rPr>
          <w:rFonts w:eastAsia="Calibri"/>
        </w:rPr>
        <w:t xml:space="preserve">waste, </w:t>
      </w:r>
      <w:r w:rsidRPr="00CB62AB" w:rsidR="00DE2CC0">
        <w:rPr>
          <w:rFonts w:eastAsia="Calibri"/>
        </w:rPr>
        <w:t xml:space="preserve">LLW </w:t>
      </w:r>
      <w:r w:rsidRPr="00CB62AB">
        <w:rPr>
          <w:rFonts w:eastAsia="Calibri"/>
        </w:rPr>
        <w:t xml:space="preserve">waste disposal facilities would be required to perform such assessment to be able to </w:t>
      </w:r>
      <w:r w:rsidRPr="00CB62AB" w:rsidR="00ED55B5">
        <w:rPr>
          <w:rFonts w:eastAsia="Calibri"/>
        </w:rPr>
        <w:t>accept</w:t>
      </w:r>
      <w:r w:rsidRPr="00CB62AB">
        <w:rPr>
          <w:rFonts w:eastAsia="Calibri"/>
        </w:rPr>
        <w:t xml:space="preserve"> </w:t>
      </w:r>
      <w:r w:rsidRPr="00CB62AB" w:rsidR="009C615F">
        <w:t xml:space="preserve">waste resulting from fusion </w:t>
      </w:r>
      <w:r w:rsidRPr="00CB62AB" w:rsidR="00396E54">
        <w:t>machine</w:t>
      </w:r>
      <w:r w:rsidRPr="00CB62AB" w:rsidR="009C615F">
        <w:t>s</w:t>
      </w:r>
      <w:r w:rsidRPr="00CB62AB">
        <w:rPr>
          <w:rFonts w:eastAsia="Calibri"/>
        </w:rPr>
        <w:t>.</w:t>
      </w:r>
      <w:r w:rsidRPr="00CB62AB" w:rsidR="0022402A">
        <w:rPr>
          <w:rFonts w:eastAsia="Calibri"/>
        </w:rPr>
        <w:t xml:space="preserve"> </w:t>
      </w:r>
      <w:r w:rsidRPr="00CB62AB">
        <w:t xml:space="preserve">Applicants for the operation of a disposal site that </w:t>
      </w:r>
      <w:r w:rsidRPr="00CB62AB" w:rsidR="00241D5C">
        <w:t xml:space="preserve">would plan to </w:t>
      </w:r>
      <w:r w:rsidRPr="00CB62AB" w:rsidR="00ED55B5">
        <w:t xml:space="preserve">accept </w:t>
      </w:r>
      <w:r w:rsidRPr="00CB62AB" w:rsidR="00F21C37">
        <w:t>certain fusion waste would need to perform such assessments.</w:t>
      </w:r>
    </w:p>
    <w:p w:rsidR="00337A9E" w:rsidRPr="00CB62AB" w14:paraId="690906EA" w14:textId="77777777">
      <w:pPr>
        <w:pStyle w:val="BodyText"/>
        <w:spacing w:before="10"/>
        <w:rPr>
          <w:sz w:val="21"/>
        </w:rPr>
      </w:pPr>
    </w:p>
    <w:p w:rsidR="00337A9E" w:rsidRPr="00CB62AB" w14:paraId="690906EB" w14:textId="77777777">
      <w:pPr>
        <w:pStyle w:val="ListParagraph"/>
        <w:numPr>
          <w:ilvl w:val="1"/>
          <w:numId w:val="1"/>
        </w:numPr>
        <w:tabs>
          <w:tab w:val="left" w:pos="2006"/>
          <w:tab w:val="left" w:pos="2007"/>
        </w:tabs>
      </w:pPr>
      <w:r w:rsidRPr="00CB62AB">
        <w:rPr>
          <w:u w:val="single"/>
        </w:rPr>
        <w:t>Agency</w:t>
      </w:r>
      <w:r w:rsidRPr="00CB62AB">
        <w:rPr>
          <w:spacing w:val="-6"/>
          <w:u w:val="single"/>
        </w:rPr>
        <w:t xml:space="preserve"> </w:t>
      </w:r>
      <w:r w:rsidRPr="00CB62AB">
        <w:rPr>
          <w:u w:val="single"/>
        </w:rPr>
        <w:t>Use</w:t>
      </w:r>
      <w:r w:rsidRPr="00CB62AB">
        <w:rPr>
          <w:spacing w:val="-5"/>
          <w:u w:val="single"/>
        </w:rPr>
        <w:t xml:space="preserve"> </w:t>
      </w:r>
      <w:r w:rsidRPr="00CB62AB">
        <w:rPr>
          <w:u w:val="single"/>
        </w:rPr>
        <w:t>and</w:t>
      </w:r>
      <w:r w:rsidRPr="00CB62AB">
        <w:rPr>
          <w:spacing w:val="-5"/>
          <w:u w:val="single"/>
        </w:rPr>
        <w:t xml:space="preserve"> </w:t>
      </w:r>
      <w:r w:rsidRPr="00CB62AB">
        <w:rPr>
          <w:u w:val="single"/>
        </w:rPr>
        <w:t>Practical</w:t>
      </w:r>
      <w:r w:rsidRPr="00CB62AB">
        <w:rPr>
          <w:spacing w:val="-5"/>
          <w:u w:val="single"/>
        </w:rPr>
        <w:t xml:space="preserve"> </w:t>
      </w:r>
      <w:r w:rsidRPr="00CB62AB">
        <w:rPr>
          <w:u w:val="single"/>
        </w:rPr>
        <w:t>Utility</w:t>
      </w:r>
      <w:r w:rsidRPr="00CB62AB">
        <w:rPr>
          <w:spacing w:val="-5"/>
          <w:u w:val="single"/>
        </w:rPr>
        <w:t xml:space="preserve"> </w:t>
      </w:r>
      <w:r w:rsidRPr="00CB62AB">
        <w:rPr>
          <w:u w:val="single"/>
        </w:rPr>
        <w:t>of</w:t>
      </w:r>
      <w:r w:rsidRPr="00CB62AB">
        <w:rPr>
          <w:spacing w:val="-5"/>
          <w:u w:val="single"/>
        </w:rPr>
        <w:t xml:space="preserve"> </w:t>
      </w:r>
      <w:r w:rsidRPr="00CB62AB">
        <w:rPr>
          <w:u w:val="single"/>
        </w:rPr>
        <w:t>the</w:t>
      </w:r>
      <w:r w:rsidRPr="00CB62AB">
        <w:rPr>
          <w:spacing w:val="-5"/>
          <w:u w:val="single"/>
        </w:rPr>
        <w:t xml:space="preserve"> </w:t>
      </w:r>
      <w:r w:rsidRPr="00CB62AB">
        <w:rPr>
          <w:spacing w:val="-2"/>
          <w:u w:val="single"/>
        </w:rPr>
        <w:t>Information</w:t>
      </w:r>
    </w:p>
    <w:p w:rsidR="00337A9E" w:rsidRPr="00CB62AB" w14:paraId="690906EC" w14:textId="77777777">
      <w:pPr>
        <w:pStyle w:val="BodyText"/>
        <w:rPr>
          <w:sz w:val="14"/>
        </w:rPr>
      </w:pPr>
    </w:p>
    <w:p w:rsidR="00B721DD" w:rsidRPr="00CB62AB" w:rsidP="006D220A" w14:paraId="0E555695" w14:textId="4A5D5DBE">
      <w:pPr>
        <w:pStyle w:val="BodyText"/>
        <w:ind w:left="2002"/>
      </w:pPr>
      <w:r w:rsidRPr="00CB62AB">
        <w:rPr>
          <w:iCs/>
        </w:rPr>
        <w:t xml:space="preserve">The proposed rule would allow disposal of novel waste types without a site-specific intrusion assessment for waste with physical, chemical, and radiological characteristics that can be shown to be consistent with an appropriate waste classification description in § 61.7. </w:t>
      </w:r>
      <w:r w:rsidRPr="00CB62AB" w:rsidR="00906917">
        <w:t>Fusion machines licensees would have to perform an analysis showing</w:t>
      </w:r>
      <w:r w:rsidRPr="00CB62AB" w:rsidR="00EA23CE">
        <w:t xml:space="preserve"> whether</w:t>
      </w:r>
      <w:r w:rsidRPr="00CB62AB" w:rsidR="00906917">
        <w:t xml:space="preserve"> the waste is manifested and labeled for disposal consistent with the description of the applicable waste class in §</w:t>
      </w:r>
      <w:r w:rsidR="00C450A1">
        <w:t> 6</w:t>
      </w:r>
      <w:r w:rsidRPr="00CB62AB" w:rsidR="00906917">
        <w:t>1.7</w:t>
      </w:r>
      <w:r w:rsidRPr="00CB62AB" w:rsidR="00EA23CE">
        <w:t xml:space="preserve">. Licensees could either </w:t>
      </w:r>
      <w:r w:rsidRPr="00CB62AB" w:rsidR="000D54DE">
        <w:t>provide an assessment demonstrating the waste is manifested and labeled for disposal consistent with the description of the applicable waste class in §</w:t>
      </w:r>
      <w:r w:rsidR="00C450A1">
        <w:t> 6</w:t>
      </w:r>
      <w:r w:rsidRPr="00CB62AB" w:rsidR="000D54DE">
        <w:t>1.7</w:t>
      </w:r>
      <w:r w:rsidRPr="00CB62AB" w:rsidR="00F01B08">
        <w:t xml:space="preserve"> </w:t>
      </w:r>
      <w:r w:rsidRPr="00CB62AB" w:rsidR="00534F02">
        <w:t>or</w:t>
      </w:r>
      <w:r w:rsidRPr="00CB62AB" w:rsidR="000D54DE">
        <w:t xml:space="preserve"> ensure</w:t>
      </w:r>
      <w:r w:rsidRPr="00CB62AB" w:rsidR="00534F02">
        <w:t xml:space="preserve"> that the waste will be disposed of in a disposal facility that has completed a site-specific intrusion assessment that demonstrates the projected dose to an individual who inadvertently intrudes into the waste at the facility will be less than 0.5 rem (5 (mSv)) per year</w:t>
      </w:r>
      <w:r w:rsidRPr="00CB62AB" w:rsidR="00DC2CEA">
        <w:t>.</w:t>
      </w:r>
    </w:p>
    <w:p w:rsidR="00DD1CB5" w:rsidRPr="00CB62AB" w:rsidP="006D220A" w14:paraId="1FF39430" w14:textId="77777777">
      <w:pPr>
        <w:pStyle w:val="BodyText"/>
        <w:ind w:left="2002"/>
      </w:pPr>
    </w:p>
    <w:p w:rsidR="00282816" w:rsidRPr="00CB62AB" w:rsidP="006D220A" w14:paraId="34E33F0C" w14:textId="7AE22C58">
      <w:pPr>
        <w:pStyle w:val="BodyText"/>
        <w:ind w:left="2000"/>
        <w:rPr>
          <w:rFonts w:eastAsia="Calibri"/>
        </w:rPr>
      </w:pPr>
      <w:r w:rsidRPr="00CB62AB">
        <w:t>I</w:t>
      </w:r>
      <w:r w:rsidRPr="00CB62AB" w:rsidR="005A0012">
        <w:t xml:space="preserve">f a fusion machine licensee chooses to transfer its </w:t>
      </w:r>
      <w:r w:rsidRPr="00CB62AB" w:rsidR="007E45BC">
        <w:t xml:space="preserve">novel </w:t>
      </w:r>
      <w:r w:rsidRPr="00CB62AB" w:rsidR="005A0012">
        <w:t xml:space="preserve">waste for ultimate disposal </w:t>
      </w:r>
      <w:r w:rsidRPr="00CB62AB" w:rsidR="008500A3">
        <w:t>at a facility license</w:t>
      </w:r>
      <w:r w:rsidRPr="00CB62AB" w:rsidR="009D6420">
        <w:t>d</w:t>
      </w:r>
      <w:r w:rsidRPr="00CB62AB" w:rsidR="008500A3">
        <w:t xml:space="preserve"> under Part 61</w:t>
      </w:r>
      <w:r w:rsidRPr="00CB62AB" w:rsidR="00234984">
        <w:t xml:space="preserve">, </w:t>
      </w:r>
      <w:r w:rsidRPr="00CB62AB" w:rsidR="00230EA3">
        <w:t>they</w:t>
      </w:r>
      <w:r w:rsidRPr="00CB62AB" w:rsidR="009761D6">
        <w:t xml:space="preserve"> would need to </w:t>
      </w:r>
      <w:r w:rsidRPr="00CB62AB" w:rsidR="3E254E27">
        <w:t>characterize waste streams adequately so that a disposal site</w:t>
      </w:r>
      <w:r w:rsidRPr="00CB62AB" w:rsidR="6B162245">
        <w:t xml:space="preserve"> licensee</w:t>
      </w:r>
      <w:r w:rsidRPr="00CB62AB" w:rsidR="3E254E27">
        <w:t xml:space="preserve"> can</w:t>
      </w:r>
      <w:r w:rsidRPr="00CB62AB" w:rsidR="009761D6">
        <w:t xml:space="preserve"> </w:t>
      </w:r>
      <w:r w:rsidRPr="00CB62AB" w:rsidR="2FC07BB5">
        <w:t xml:space="preserve">determine whether the fusion </w:t>
      </w:r>
      <w:r w:rsidRPr="00CB62AB" w:rsidR="00396E54">
        <w:t>machine</w:t>
      </w:r>
      <w:r w:rsidRPr="00CB62AB" w:rsidR="2FC07BB5">
        <w:t xml:space="preserve"> waste streams trigger the need for an inadvertent intrusion analysis</w:t>
      </w:r>
      <w:r w:rsidRPr="00CB62AB" w:rsidR="006441C9">
        <w:t>.</w:t>
      </w:r>
      <w:r w:rsidRPr="00CB62AB" w:rsidR="2FC07BB5">
        <w:t xml:space="preserve"> </w:t>
      </w:r>
      <w:r w:rsidRPr="00CB62AB" w:rsidR="2A178B7E">
        <w:rPr>
          <w:rFonts w:eastAsia="Calibri"/>
        </w:rPr>
        <w:t xml:space="preserve">Disposal site </w:t>
      </w:r>
      <w:r w:rsidRPr="00CB62AB" w:rsidR="70800CA5">
        <w:rPr>
          <w:rFonts w:eastAsia="Calibri"/>
        </w:rPr>
        <w:t xml:space="preserve">applicants or </w:t>
      </w:r>
      <w:r w:rsidRPr="00CB62AB" w:rsidR="2A178B7E">
        <w:rPr>
          <w:rFonts w:eastAsia="Calibri"/>
        </w:rPr>
        <w:t xml:space="preserve">licensees that would accept </w:t>
      </w:r>
      <w:r w:rsidRPr="00CB62AB" w:rsidR="45166799">
        <w:rPr>
          <w:rFonts w:eastAsia="Calibri"/>
        </w:rPr>
        <w:t xml:space="preserve">fusion </w:t>
      </w:r>
      <w:r w:rsidRPr="00CB62AB" w:rsidR="00396E54">
        <w:rPr>
          <w:rFonts w:eastAsia="Calibri"/>
        </w:rPr>
        <w:t>machine</w:t>
      </w:r>
      <w:r w:rsidRPr="00CB62AB" w:rsidR="45166799">
        <w:rPr>
          <w:rFonts w:eastAsia="Calibri"/>
        </w:rPr>
        <w:t xml:space="preserve"> waste t</w:t>
      </w:r>
      <w:r w:rsidRPr="00CB62AB" w:rsidR="2A178B7E">
        <w:rPr>
          <w:rFonts w:eastAsia="Calibri"/>
        </w:rPr>
        <w:t xml:space="preserve">hat </w:t>
      </w:r>
      <w:r w:rsidRPr="00CB62AB" w:rsidR="260DD8BC">
        <w:rPr>
          <w:rFonts w:eastAsia="Calibri"/>
        </w:rPr>
        <w:t xml:space="preserve">is significantly different from the </w:t>
      </w:r>
      <w:r w:rsidRPr="00CB62AB" w:rsidR="006B42BB">
        <w:t>description of the applicable waste class in §</w:t>
      </w:r>
      <w:r w:rsidR="00C450A1">
        <w:t> 6</w:t>
      </w:r>
      <w:r w:rsidRPr="00CB62AB" w:rsidR="006B42BB">
        <w:t>1.7</w:t>
      </w:r>
      <w:r w:rsidRPr="00CB62AB" w:rsidR="00EC5298">
        <w:rPr>
          <w:rFonts w:eastAsia="Calibri"/>
        </w:rPr>
        <w:t xml:space="preserve"> </w:t>
      </w:r>
      <w:r w:rsidRPr="00CB62AB" w:rsidR="003D385D">
        <w:t>(see draft NUREG</w:t>
      </w:r>
      <w:r w:rsidR="00127E58">
        <w:rPr>
          <w:rFonts w:ascii="Cambria Math" w:hAnsi="Cambria Math" w:cs="Cambria Math"/>
        </w:rPr>
        <w:t>‑</w:t>
      </w:r>
      <w:r w:rsidR="00127E58">
        <w:t>1</w:t>
      </w:r>
      <w:r w:rsidRPr="00CB62AB" w:rsidR="003D385D">
        <w:t>556, Volume 22)</w:t>
      </w:r>
      <w:r w:rsidRPr="00CB62AB" w:rsidR="00EE2DFC">
        <w:t xml:space="preserve"> </w:t>
      </w:r>
      <w:r w:rsidRPr="00CB62AB" w:rsidR="00F21C37">
        <w:t xml:space="preserve">would need to perform intruder assessment </w:t>
      </w:r>
      <w:r w:rsidRPr="00CB62AB" w:rsidR="2655DF21">
        <w:t>to establish adequate waste acceptance criteria</w:t>
      </w:r>
      <w:r w:rsidRPr="00CB62AB" w:rsidR="00293534">
        <w:t xml:space="preserve"> (see also draft NUREG</w:t>
      </w:r>
      <w:r w:rsidR="00127E58">
        <w:rPr>
          <w:rFonts w:ascii="Cambria Math" w:hAnsi="Cambria Math" w:cs="Cambria Math"/>
        </w:rPr>
        <w:t>‑</w:t>
      </w:r>
      <w:r w:rsidR="00127E58">
        <w:t>1</w:t>
      </w:r>
      <w:r w:rsidRPr="00CB62AB" w:rsidR="00293534">
        <w:t>556, Volume 22</w:t>
      </w:r>
      <w:r w:rsidRPr="00CB62AB" w:rsidR="083C56A1">
        <w:t>.</w:t>
      </w:r>
      <w:r w:rsidRPr="00CB62AB" w:rsidR="2655DF21">
        <w:t xml:space="preserve"> </w:t>
      </w:r>
      <w:r w:rsidRPr="00CB62AB" w:rsidR="083C56A1">
        <w:t>The</w:t>
      </w:r>
      <w:r w:rsidRPr="00CB62AB" w:rsidR="2655DF21">
        <w:t xml:space="preserve"> disposal site regulator would ensure that the </w:t>
      </w:r>
      <w:r w:rsidRPr="00CB62AB" w:rsidR="00CB2273">
        <w:t>disposal</w:t>
      </w:r>
      <w:r w:rsidRPr="00CB62AB" w:rsidR="46EC6D9E">
        <w:t xml:space="preserve"> site</w:t>
      </w:r>
      <w:r w:rsidRPr="00CB62AB" w:rsidR="4AD83E8D">
        <w:t xml:space="preserve"> licensee or applicant correctly determined whether the fusion </w:t>
      </w:r>
      <w:r w:rsidRPr="00CB62AB" w:rsidR="00396E54">
        <w:t>machine</w:t>
      </w:r>
      <w:r w:rsidRPr="00CB62AB" w:rsidR="4AD83E8D">
        <w:t xml:space="preserve"> waste would</w:t>
      </w:r>
      <w:r w:rsidRPr="00CB62AB" w:rsidR="46EC6D9E">
        <w:t xml:space="preserve"> </w:t>
      </w:r>
      <w:r w:rsidRPr="00CB62AB" w:rsidR="4AD83E8D">
        <w:t>trigger the need</w:t>
      </w:r>
      <w:r w:rsidRPr="00CB62AB" w:rsidR="46EC6D9E">
        <w:t xml:space="preserve"> </w:t>
      </w:r>
      <w:r w:rsidRPr="00CB62AB" w:rsidR="4AD83E8D">
        <w:t>for an</w:t>
      </w:r>
      <w:r w:rsidRPr="00CB62AB" w:rsidR="46EC6D9E">
        <w:t xml:space="preserve"> </w:t>
      </w:r>
      <w:r w:rsidRPr="00CB62AB" w:rsidR="00883990">
        <w:t>inadvertent</w:t>
      </w:r>
      <w:r w:rsidRPr="00CB62AB" w:rsidR="4AD83E8D">
        <w:t xml:space="preserve"> intrusion analysis. </w:t>
      </w:r>
      <w:r w:rsidRPr="00CB62AB" w:rsidR="77019C37">
        <w:t>As in current practice, t</w:t>
      </w:r>
      <w:r w:rsidRPr="00CB62AB" w:rsidR="4AD83E8D">
        <w:t xml:space="preserve">he fusion </w:t>
      </w:r>
      <w:r w:rsidRPr="00CB62AB" w:rsidR="00396E54">
        <w:t>machine</w:t>
      </w:r>
      <w:r w:rsidRPr="00CB62AB" w:rsidR="4AD83E8D">
        <w:t xml:space="preserve"> li</w:t>
      </w:r>
      <w:r w:rsidRPr="00CB62AB" w:rsidR="6D4CC97C">
        <w:t xml:space="preserve">censee and disposal site licensee would work together to ensure the waste </w:t>
      </w:r>
      <w:r w:rsidRPr="00CB62AB" w:rsidR="6D4CC97C">
        <w:t>met</w:t>
      </w:r>
      <w:r w:rsidRPr="00CB62AB" w:rsidR="6D4CC97C">
        <w:t xml:space="preserve"> the</w:t>
      </w:r>
      <w:r w:rsidRPr="00CB62AB" w:rsidR="46EC6D9E">
        <w:t xml:space="preserve"> </w:t>
      </w:r>
      <w:r w:rsidRPr="00CB62AB" w:rsidR="305B4EA7">
        <w:t xml:space="preserve">disposal site waste acceptance criteria. </w:t>
      </w:r>
      <w:r w:rsidRPr="00CB62AB">
        <w:t>The NRC or Agreement State w</w:t>
      </w:r>
      <w:r w:rsidRPr="00CB62AB" w:rsidR="009761D6">
        <w:t>ould</w:t>
      </w:r>
      <w:r w:rsidRPr="00CB62AB">
        <w:t xml:space="preserve"> use the information included in the applications to determine whether the proposed activities can be conducted safely without harming the common defense and security or constituting an unreasonable risk to public health and safety </w:t>
      </w:r>
      <w:r w:rsidRPr="00CB62AB" w:rsidR="00E412FE">
        <w:t>and</w:t>
      </w:r>
      <w:r w:rsidRPr="00CB62AB">
        <w:t xml:space="preserve"> the environment.</w:t>
      </w:r>
    </w:p>
    <w:p w:rsidR="00337A9E" w:rsidRPr="00CB62AB" w:rsidP="006D220A" w14:paraId="690906F4" w14:textId="77777777">
      <w:pPr>
        <w:pStyle w:val="BodyText"/>
      </w:pPr>
    </w:p>
    <w:p w:rsidR="00337A9E" w:rsidRPr="00CB62AB" w14:paraId="690906F5" w14:textId="6F29C179">
      <w:pPr>
        <w:pStyle w:val="ListParagraph"/>
        <w:numPr>
          <w:ilvl w:val="1"/>
          <w:numId w:val="1"/>
        </w:numPr>
        <w:tabs>
          <w:tab w:val="left" w:pos="2006"/>
          <w:tab w:val="left" w:pos="2007"/>
        </w:tabs>
        <w:ind w:hanging="448"/>
      </w:pPr>
      <w:r w:rsidRPr="00CB62AB">
        <w:rPr>
          <w:u w:val="single"/>
        </w:rPr>
        <w:t>Reduction</w:t>
      </w:r>
      <w:r w:rsidRPr="00CB62AB">
        <w:rPr>
          <w:spacing w:val="-8"/>
          <w:u w:val="single"/>
        </w:rPr>
        <w:t xml:space="preserve"> </w:t>
      </w:r>
      <w:r w:rsidRPr="00CB62AB">
        <w:rPr>
          <w:u w:val="single"/>
        </w:rPr>
        <w:t>of</w:t>
      </w:r>
      <w:r w:rsidRPr="00CB62AB">
        <w:rPr>
          <w:spacing w:val="-8"/>
          <w:u w:val="single"/>
        </w:rPr>
        <w:t xml:space="preserve"> </w:t>
      </w:r>
      <w:r w:rsidRPr="00CB62AB">
        <w:rPr>
          <w:u w:val="single"/>
        </w:rPr>
        <w:t>Burden</w:t>
      </w:r>
      <w:r w:rsidRPr="00CB62AB">
        <w:rPr>
          <w:spacing w:val="-8"/>
          <w:u w:val="single"/>
        </w:rPr>
        <w:t xml:space="preserve"> </w:t>
      </w:r>
      <w:r w:rsidR="000779CA">
        <w:rPr>
          <w:u w:val="single"/>
        </w:rPr>
        <w:t>T</w:t>
      </w:r>
      <w:r w:rsidRPr="00CB62AB">
        <w:rPr>
          <w:u w:val="single"/>
        </w:rPr>
        <w:t>hrough</w:t>
      </w:r>
      <w:r w:rsidRPr="00CB62AB">
        <w:rPr>
          <w:spacing w:val="-8"/>
          <w:u w:val="single"/>
        </w:rPr>
        <w:t xml:space="preserve"> </w:t>
      </w:r>
      <w:r w:rsidRPr="00CB62AB">
        <w:rPr>
          <w:u w:val="single"/>
        </w:rPr>
        <w:t>Information</w:t>
      </w:r>
      <w:r w:rsidRPr="00CB62AB">
        <w:rPr>
          <w:spacing w:val="-8"/>
          <w:u w:val="single"/>
        </w:rPr>
        <w:t xml:space="preserve"> </w:t>
      </w:r>
      <w:r w:rsidRPr="00CB62AB">
        <w:rPr>
          <w:spacing w:val="-2"/>
          <w:u w:val="single"/>
        </w:rPr>
        <w:t>Technology</w:t>
      </w:r>
    </w:p>
    <w:p w:rsidR="00337A9E" w:rsidRPr="00CB62AB" w14:paraId="690906F6" w14:textId="77777777">
      <w:pPr>
        <w:pStyle w:val="BodyText"/>
        <w:rPr>
          <w:sz w:val="14"/>
        </w:rPr>
      </w:pPr>
    </w:p>
    <w:p w:rsidR="00337A9E" w:rsidRPr="00CB62AB" w:rsidP="006D220A" w14:paraId="690906F7" w14:textId="1FB31006">
      <w:pPr>
        <w:pStyle w:val="BodyText"/>
        <w:ind w:left="2002"/>
      </w:pPr>
      <w:r w:rsidRPr="00CB62AB">
        <w:t>There</w:t>
      </w:r>
      <w:r w:rsidRPr="00CB62AB">
        <w:rPr>
          <w:spacing w:val="-4"/>
        </w:rPr>
        <w:t xml:space="preserve"> </w:t>
      </w:r>
      <w:r w:rsidRPr="00CB62AB">
        <w:t>are</w:t>
      </w:r>
      <w:r w:rsidRPr="00CB62AB">
        <w:rPr>
          <w:spacing w:val="-4"/>
        </w:rPr>
        <w:t xml:space="preserve"> </w:t>
      </w:r>
      <w:r w:rsidRPr="00CB62AB">
        <w:t>no</w:t>
      </w:r>
      <w:r w:rsidRPr="00CB62AB">
        <w:rPr>
          <w:spacing w:val="-4"/>
        </w:rPr>
        <w:t xml:space="preserve"> </w:t>
      </w:r>
      <w:r w:rsidRPr="00CB62AB">
        <w:t>legal</w:t>
      </w:r>
      <w:r w:rsidRPr="00CB62AB">
        <w:rPr>
          <w:spacing w:val="-4"/>
        </w:rPr>
        <w:t xml:space="preserve"> </w:t>
      </w:r>
      <w:r w:rsidRPr="00CB62AB">
        <w:t>obstacles</w:t>
      </w:r>
      <w:r w:rsidRPr="00CB62AB">
        <w:rPr>
          <w:spacing w:val="-4"/>
        </w:rPr>
        <w:t xml:space="preserve"> </w:t>
      </w:r>
      <w:r w:rsidRPr="00CB62AB">
        <w:t>to</w:t>
      </w:r>
      <w:r w:rsidRPr="00CB62AB">
        <w:rPr>
          <w:spacing w:val="-4"/>
        </w:rPr>
        <w:t xml:space="preserve"> </w:t>
      </w:r>
      <w:r w:rsidRPr="00CB62AB">
        <w:t>reducing</w:t>
      </w:r>
      <w:r w:rsidRPr="00CB62AB">
        <w:rPr>
          <w:spacing w:val="-4"/>
        </w:rPr>
        <w:t xml:space="preserve"> </w:t>
      </w:r>
      <w:r w:rsidRPr="00CB62AB">
        <w:t>the</w:t>
      </w:r>
      <w:r w:rsidRPr="00CB62AB">
        <w:rPr>
          <w:spacing w:val="-4"/>
        </w:rPr>
        <w:t xml:space="preserve"> </w:t>
      </w:r>
      <w:r w:rsidRPr="00CB62AB">
        <w:t>burden</w:t>
      </w:r>
      <w:r w:rsidRPr="00CB62AB">
        <w:rPr>
          <w:spacing w:val="-4"/>
        </w:rPr>
        <w:t xml:space="preserve"> </w:t>
      </w:r>
      <w:r w:rsidRPr="00CB62AB">
        <w:t>associated</w:t>
      </w:r>
      <w:r w:rsidRPr="00CB62AB">
        <w:rPr>
          <w:spacing w:val="-3"/>
        </w:rPr>
        <w:t xml:space="preserve"> </w:t>
      </w:r>
      <w:r w:rsidRPr="00CB62AB">
        <w:t>with</w:t>
      </w:r>
      <w:r w:rsidRPr="00CB62AB">
        <w:rPr>
          <w:spacing w:val="-4"/>
        </w:rPr>
        <w:t xml:space="preserve"> </w:t>
      </w:r>
      <w:r w:rsidRPr="00CB62AB">
        <w:t>this</w:t>
      </w:r>
      <w:r w:rsidRPr="00CB62AB">
        <w:rPr>
          <w:spacing w:val="-4"/>
        </w:rPr>
        <w:t xml:space="preserve"> </w:t>
      </w:r>
      <w:r w:rsidRPr="00CB62AB">
        <w:t>information collection.</w:t>
      </w:r>
      <w:r w:rsidRPr="00CB62AB">
        <w:rPr>
          <w:spacing w:val="-2"/>
        </w:rPr>
        <w:t xml:space="preserve"> </w:t>
      </w:r>
      <w:r w:rsidRPr="00CB62AB">
        <w:t>The</w:t>
      </w:r>
      <w:r w:rsidRPr="00CB62AB">
        <w:rPr>
          <w:spacing w:val="-2"/>
        </w:rPr>
        <w:t xml:space="preserve"> </w:t>
      </w:r>
      <w:r w:rsidRPr="00CB62AB">
        <w:t>NRC</w:t>
      </w:r>
      <w:r w:rsidRPr="00CB62AB">
        <w:rPr>
          <w:spacing w:val="-2"/>
        </w:rPr>
        <w:t xml:space="preserve"> </w:t>
      </w:r>
      <w:r w:rsidRPr="00CB62AB">
        <w:t>encourages</w:t>
      </w:r>
      <w:r w:rsidRPr="00CB62AB">
        <w:rPr>
          <w:spacing w:val="-2"/>
        </w:rPr>
        <w:t xml:space="preserve"> </w:t>
      </w:r>
      <w:r w:rsidRPr="00CB62AB">
        <w:t>respondents</w:t>
      </w:r>
      <w:r w:rsidRPr="00CB62AB">
        <w:rPr>
          <w:spacing w:val="-2"/>
        </w:rPr>
        <w:t xml:space="preserve"> </w:t>
      </w:r>
      <w:r w:rsidRPr="00CB62AB">
        <w:t>to</w:t>
      </w:r>
      <w:r w:rsidRPr="00CB62AB">
        <w:rPr>
          <w:spacing w:val="-2"/>
        </w:rPr>
        <w:t xml:space="preserve"> </w:t>
      </w:r>
      <w:r w:rsidRPr="00CB62AB">
        <w:t>use</w:t>
      </w:r>
      <w:r w:rsidRPr="00CB62AB">
        <w:rPr>
          <w:spacing w:val="-2"/>
        </w:rPr>
        <w:t xml:space="preserve"> </w:t>
      </w:r>
      <w:r w:rsidRPr="00CB62AB">
        <w:t>information</w:t>
      </w:r>
      <w:r w:rsidRPr="00CB62AB">
        <w:rPr>
          <w:spacing w:val="-2"/>
        </w:rPr>
        <w:t xml:space="preserve"> </w:t>
      </w:r>
      <w:r w:rsidRPr="00CB62AB">
        <w:t>technology</w:t>
      </w:r>
      <w:r w:rsidRPr="00CB62AB">
        <w:rPr>
          <w:spacing w:val="-2"/>
        </w:rPr>
        <w:t xml:space="preserve"> </w:t>
      </w:r>
      <w:r w:rsidRPr="00CB62AB">
        <w:t>when</w:t>
      </w:r>
      <w:r w:rsidRPr="00CB62AB">
        <w:rPr>
          <w:spacing w:val="-2"/>
        </w:rPr>
        <w:t xml:space="preserve"> </w:t>
      </w:r>
      <w:r w:rsidRPr="00CB62AB">
        <w:t xml:space="preserve">it would be beneficial to them. The NRC has issued </w:t>
      </w:r>
      <w:r w:rsidRPr="00CB62AB" w:rsidR="00B757C0">
        <w:t>Guidance for Electronic Submissions to the NRC</w:t>
      </w:r>
      <w:r w:rsidRPr="00CB62AB">
        <w:t xml:space="preserve"> which provides direction for the electronic transmission and submittal of documents to the NRC.</w:t>
      </w:r>
      <w:r w:rsidRPr="00CB62AB">
        <w:rPr>
          <w:spacing w:val="40"/>
        </w:rPr>
        <w:t xml:space="preserve"> </w:t>
      </w:r>
      <w:r w:rsidRPr="00CB62AB">
        <w:t>Electronic transmission and submittal of documents can be accomplished via the following avenues: the Electronic Information Exchange (EIE) process, which is available from the NRC's “Electronic Submittals” Web page, by Optical Storage Media (OSM) (e.g. CD</w:t>
      </w:r>
      <w:r w:rsidR="00C450A1">
        <w:rPr>
          <w:rFonts w:ascii="Cambria Math" w:hAnsi="Cambria Math" w:cs="Cambria Math"/>
        </w:rPr>
        <w:t>‑</w:t>
      </w:r>
      <w:r w:rsidRPr="00CB62AB">
        <w:t>ROM, DVD), by facsimile or by e</w:t>
      </w:r>
      <w:r w:rsidR="00895DF1">
        <w:t>mail</w:t>
      </w:r>
      <w:r w:rsidRPr="00CB62AB">
        <w:t>.</w:t>
      </w:r>
      <w:r w:rsidRPr="00CB62AB">
        <w:rPr>
          <w:spacing w:val="40"/>
        </w:rPr>
        <w:t xml:space="preserve"> </w:t>
      </w:r>
      <w:r w:rsidRPr="00CB62AB" w:rsidR="00C91F72">
        <w:t>The proposed rule would not impact the proportion of documents submitted to the NRC electronically</w:t>
      </w:r>
      <w:r w:rsidRPr="00CB62AB" w:rsidR="003E453F">
        <w:t>.</w:t>
      </w:r>
      <w:r w:rsidRPr="00CB62AB" w:rsidR="00C013A8">
        <w:t xml:space="preserve"> </w:t>
      </w:r>
      <w:r w:rsidRPr="00CB62AB" w:rsidR="003E453F">
        <w:t>The percentage of electronic submissions remains unchanged at 90</w:t>
      </w:r>
      <w:r w:rsidRPr="00CB62AB" w:rsidR="00571166">
        <w:t xml:space="preserve"> percent</w:t>
      </w:r>
      <w:r w:rsidRPr="00CB62AB" w:rsidR="003E453F">
        <w:t>.</w:t>
      </w:r>
    </w:p>
    <w:p w:rsidR="00F92FB4" w:rsidRPr="00CB62AB" w14:paraId="13AE88DD" w14:textId="77777777">
      <w:pPr>
        <w:pStyle w:val="BodyText"/>
        <w:spacing w:before="92"/>
        <w:ind w:left="2000" w:right="1024"/>
      </w:pPr>
    </w:p>
    <w:p w:rsidR="00337A9E" w:rsidRPr="00CB62AB" w14:paraId="690906F9" w14:textId="77777777">
      <w:pPr>
        <w:pStyle w:val="ListParagraph"/>
        <w:numPr>
          <w:ilvl w:val="1"/>
          <w:numId w:val="1"/>
        </w:numPr>
        <w:tabs>
          <w:tab w:val="left" w:pos="2006"/>
          <w:tab w:val="left" w:pos="2007"/>
        </w:tabs>
      </w:pPr>
      <w:r w:rsidRPr="00CB62AB">
        <w:rPr>
          <w:u w:val="single"/>
        </w:rPr>
        <w:t>Effort</w:t>
      </w:r>
      <w:r w:rsidRPr="00CB62AB">
        <w:rPr>
          <w:spacing w:val="-6"/>
          <w:u w:val="single"/>
        </w:rPr>
        <w:t xml:space="preserve"> </w:t>
      </w:r>
      <w:r w:rsidRPr="00CB62AB">
        <w:rPr>
          <w:u w:val="single"/>
        </w:rPr>
        <w:t>to</w:t>
      </w:r>
      <w:r w:rsidRPr="00CB62AB">
        <w:rPr>
          <w:spacing w:val="-6"/>
          <w:u w:val="single"/>
        </w:rPr>
        <w:t xml:space="preserve"> </w:t>
      </w:r>
      <w:r w:rsidRPr="00CB62AB">
        <w:rPr>
          <w:u w:val="single"/>
        </w:rPr>
        <w:t>Identify</w:t>
      </w:r>
      <w:r w:rsidRPr="00CB62AB">
        <w:rPr>
          <w:spacing w:val="-6"/>
          <w:u w:val="single"/>
        </w:rPr>
        <w:t xml:space="preserve"> </w:t>
      </w:r>
      <w:r w:rsidRPr="00CB62AB">
        <w:rPr>
          <w:u w:val="single"/>
        </w:rPr>
        <w:t>Duplication</w:t>
      </w:r>
      <w:r w:rsidRPr="00CB62AB">
        <w:rPr>
          <w:spacing w:val="-6"/>
          <w:u w:val="single"/>
        </w:rPr>
        <w:t xml:space="preserve"> </w:t>
      </w:r>
      <w:r w:rsidRPr="00CB62AB">
        <w:rPr>
          <w:u w:val="single"/>
        </w:rPr>
        <w:t>and</w:t>
      </w:r>
      <w:r w:rsidRPr="00CB62AB">
        <w:rPr>
          <w:spacing w:val="-5"/>
          <w:u w:val="single"/>
        </w:rPr>
        <w:t xml:space="preserve"> </w:t>
      </w:r>
      <w:r w:rsidRPr="00CB62AB">
        <w:rPr>
          <w:u w:val="single"/>
        </w:rPr>
        <w:t>Use</w:t>
      </w:r>
      <w:r w:rsidRPr="00CB62AB">
        <w:rPr>
          <w:spacing w:val="-6"/>
          <w:u w:val="single"/>
        </w:rPr>
        <w:t xml:space="preserve"> </w:t>
      </w:r>
      <w:r w:rsidRPr="00CB62AB">
        <w:rPr>
          <w:u w:val="single"/>
        </w:rPr>
        <w:t>Similar</w:t>
      </w:r>
      <w:r w:rsidRPr="00CB62AB">
        <w:rPr>
          <w:spacing w:val="-6"/>
          <w:u w:val="single"/>
        </w:rPr>
        <w:t xml:space="preserve"> </w:t>
      </w:r>
      <w:r w:rsidRPr="00CB62AB">
        <w:rPr>
          <w:spacing w:val="-2"/>
          <w:u w:val="single"/>
        </w:rPr>
        <w:t>Information</w:t>
      </w:r>
    </w:p>
    <w:p w:rsidR="00337A9E" w:rsidRPr="00CB62AB" w14:paraId="690906FA" w14:textId="77777777">
      <w:pPr>
        <w:pStyle w:val="BodyText"/>
        <w:rPr>
          <w:sz w:val="14"/>
        </w:rPr>
      </w:pPr>
    </w:p>
    <w:p w:rsidR="00337A9E" w:rsidRPr="00CB62AB" w:rsidP="006D220A" w14:paraId="690906FB" w14:textId="51CC2281">
      <w:pPr>
        <w:pStyle w:val="BodyText"/>
        <w:ind w:left="2002"/>
      </w:pPr>
      <w:r w:rsidRPr="00CB62AB">
        <w:t>No sources of similar information are available. There is no duplication of requirements.</w:t>
      </w:r>
    </w:p>
    <w:p w:rsidR="00337A9E" w:rsidRPr="00CB62AB" w14:paraId="690906FC" w14:textId="77777777">
      <w:pPr>
        <w:pStyle w:val="BodyText"/>
      </w:pPr>
    </w:p>
    <w:p w:rsidR="00337A9E" w:rsidRPr="00CB62AB" w:rsidP="00913741" w14:paraId="690906FD" w14:textId="77777777">
      <w:pPr>
        <w:pStyle w:val="ListParagraph"/>
        <w:numPr>
          <w:ilvl w:val="1"/>
          <w:numId w:val="1"/>
        </w:numPr>
        <w:tabs>
          <w:tab w:val="left" w:pos="2006"/>
          <w:tab w:val="left" w:pos="2007"/>
        </w:tabs>
      </w:pPr>
      <w:r w:rsidRPr="00CB62AB">
        <w:rPr>
          <w:u w:val="single"/>
        </w:rPr>
        <w:t>Effort</w:t>
      </w:r>
      <w:r w:rsidRPr="00CB62AB">
        <w:rPr>
          <w:spacing w:val="-7"/>
          <w:u w:val="single"/>
        </w:rPr>
        <w:t xml:space="preserve"> </w:t>
      </w:r>
      <w:r w:rsidRPr="00CB62AB">
        <w:rPr>
          <w:u w:val="single"/>
        </w:rPr>
        <w:t>to</w:t>
      </w:r>
      <w:r w:rsidRPr="00CB62AB">
        <w:rPr>
          <w:spacing w:val="-6"/>
          <w:u w:val="single"/>
        </w:rPr>
        <w:t xml:space="preserve"> </w:t>
      </w:r>
      <w:r w:rsidRPr="00CB62AB">
        <w:rPr>
          <w:u w:val="single"/>
        </w:rPr>
        <w:t>Reduce</w:t>
      </w:r>
      <w:r w:rsidRPr="00CB62AB">
        <w:rPr>
          <w:spacing w:val="-6"/>
          <w:u w:val="single"/>
        </w:rPr>
        <w:t xml:space="preserve"> </w:t>
      </w:r>
      <w:r w:rsidRPr="00CB62AB">
        <w:rPr>
          <w:u w:val="single"/>
        </w:rPr>
        <w:t>Small</w:t>
      </w:r>
      <w:r w:rsidRPr="00CB62AB">
        <w:rPr>
          <w:spacing w:val="-6"/>
          <w:u w:val="single"/>
        </w:rPr>
        <w:t xml:space="preserve"> </w:t>
      </w:r>
      <w:r w:rsidRPr="00CB62AB">
        <w:rPr>
          <w:u w:val="single"/>
        </w:rPr>
        <w:t>Business</w:t>
      </w:r>
      <w:r w:rsidRPr="00CB62AB">
        <w:rPr>
          <w:spacing w:val="-6"/>
          <w:u w:val="single"/>
        </w:rPr>
        <w:t xml:space="preserve"> </w:t>
      </w:r>
      <w:r w:rsidRPr="00CB62AB">
        <w:rPr>
          <w:spacing w:val="-2"/>
          <w:u w:val="single"/>
        </w:rPr>
        <w:t>Burden</w:t>
      </w:r>
    </w:p>
    <w:p w:rsidR="00337A9E" w:rsidRPr="00CB62AB" w:rsidP="00913741" w14:paraId="690906FE" w14:textId="77777777">
      <w:pPr>
        <w:pStyle w:val="BodyText"/>
        <w:rPr>
          <w:sz w:val="13"/>
        </w:rPr>
      </w:pPr>
    </w:p>
    <w:p w:rsidR="006D06DE" w:rsidP="00913741" w14:paraId="75CBDDB7" w14:textId="4E313382">
      <w:pPr>
        <w:pStyle w:val="BodyText"/>
        <w:ind w:left="2002"/>
      </w:pPr>
      <w:r w:rsidRPr="00CB62AB">
        <w:t xml:space="preserve">Most fusion machines </w:t>
      </w:r>
      <w:r w:rsidRPr="00CB62AB">
        <w:t>licensees</w:t>
      </w:r>
      <w:r w:rsidRPr="00CB62AB">
        <w:t xml:space="preserve"> are expected to be considered small businesses. However,</w:t>
      </w:r>
      <w:r w:rsidRPr="00CB62AB" w:rsidR="0024414B">
        <w:t xml:space="preserve"> </w:t>
      </w:r>
      <w:r w:rsidRPr="00CB62AB">
        <w:t>t</w:t>
      </w:r>
      <w:r w:rsidRPr="00CB62AB" w:rsidR="0024414B">
        <w:t xml:space="preserve">he total number of fusion machines applicants is expected to be small, and the information needs are the same for both large and small entities. As such, it is not possible to reduce the burden on small businesses by less frequent or less complete reporting. </w:t>
      </w:r>
      <w:r w:rsidRPr="00CB62AB" w:rsidR="00CF3D86">
        <w:t>However, none of the respondents are anticipated to be small businesses for the clearance period.</w:t>
      </w:r>
    </w:p>
    <w:p w:rsidR="00913741" w:rsidRPr="00CB62AB" w:rsidP="00913741" w14:paraId="08D95126" w14:textId="77777777">
      <w:pPr>
        <w:pStyle w:val="BodyText"/>
        <w:ind w:left="2002"/>
      </w:pPr>
    </w:p>
    <w:p w:rsidR="00337A9E" w:rsidRPr="00CB62AB" w:rsidP="00913741" w14:paraId="69090701" w14:textId="77777777">
      <w:pPr>
        <w:pStyle w:val="ListParagraph"/>
        <w:numPr>
          <w:ilvl w:val="1"/>
          <w:numId w:val="1"/>
        </w:numPr>
        <w:tabs>
          <w:tab w:val="left" w:pos="2006"/>
          <w:tab w:val="left" w:pos="2007"/>
        </w:tabs>
        <w:ind w:right="1711"/>
      </w:pPr>
      <w:r w:rsidRPr="00CB62AB">
        <w:rPr>
          <w:u w:val="single"/>
        </w:rPr>
        <w:t>Consequences</w:t>
      </w:r>
      <w:r w:rsidRPr="00CB62AB">
        <w:rPr>
          <w:spacing w:val="-4"/>
          <w:u w:val="single"/>
        </w:rPr>
        <w:t xml:space="preserve"> </w:t>
      </w:r>
      <w:r w:rsidRPr="00CB62AB">
        <w:rPr>
          <w:u w:val="single"/>
        </w:rPr>
        <w:t>to</w:t>
      </w:r>
      <w:r w:rsidRPr="00CB62AB">
        <w:rPr>
          <w:spacing w:val="-4"/>
          <w:u w:val="single"/>
        </w:rPr>
        <w:t xml:space="preserve"> </w:t>
      </w:r>
      <w:r w:rsidRPr="00CB62AB">
        <w:rPr>
          <w:u w:val="single"/>
        </w:rPr>
        <w:t>Federal</w:t>
      </w:r>
      <w:r w:rsidRPr="00CB62AB">
        <w:rPr>
          <w:spacing w:val="-4"/>
          <w:u w:val="single"/>
        </w:rPr>
        <w:t xml:space="preserve"> </w:t>
      </w:r>
      <w:r w:rsidRPr="00CB62AB">
        <w:rPr>
          <w:u w:val="single"/>
        </w:rPr>
        <w:t>Program</w:t>
      </w:r>
      <w:r w:rsidRPr="00CB62AB">
        <w:rPr>
          <w:spacing w:val="-3"/>
          <w:u w:val="single"/>
        </w:rPr>
        <w:t xml:space="preserve"> </w:t>
      </w:r>
      <w:r w:rsidRPr="00CB62AB">
        <w:rPr>
          <w:u w:val="single"/>
        </w:rPr>
        <w:t>or</w:t>
      </w:r>
      <w:r w:rsidRPr="00CB62AB">
        <w:rPr>
          <w:spacing w:val="-4"/>
          <w:u w:val="single"/>
        </w:rPr>
        <w:t xml:space="preserve"> </w:t>
      </w:r>
      <w:r w:rsidRPr="00CB62AB">
        <w:rPr>
          <w:u w:val="single"/>
        </w:rPr>
        <w:t>Policy</w:t>
      </w:r>
      <w:r w:rsidRPr="00CB62AB">
        <w:rPr>
          <w:spacing w:val="-4"/>
          <w:u w:val="single"/>
        </w:rPr>
        <w:t xml:space="preserve"> </w:t>
      </w:r>
      <w:r w:rsidRPr="00CB62AB">
        <w:rPr>
          <w:u w:val="single"/>
        </w:rPr>
        <w:t>Activities</w:t>
      </w:r>
      <w:r w:rsidRPr="00CB62AB">
        <w:rPr>
          <w:spacing w:val="-4"/>
          <w:u w:val="single"/>
        </w:rPr>
        <w:t xml:space="preserve"> </w:t>
      </w:r>
      <w:r w:rsidRPr="00CB62AB">
        <w:rPr>
          <w:u w:val="single"/>
        </w:rPr>
        <w:t>if</w:t>
      </w:r>
      <w:r w:rsidRPr="00CB62AB">
        <w:rPr>
          <w:spacing w:val="-4"/>
          <w:u w:val="single"/>
        </w:rPr>
        <w:t xml:space="preserve"> </w:t>
      </w:r>
      <w:r w:rsidRPr="00CB62AB">
        <w:rPr>
          <w:u w:val="single"/>
        </w:rPr>
        <w:t>the</w:t>
      </w:r>
      <w:r w:rsidRPr="00CB62AB">
        <w:rPr>
          <w:spacing w:val="-6"/>
          <w:u w:val="single"/>
        </w:rPr>
        <w:t xml:space="preserve"> </w:t>
      </w:r>
      <w:r w:rsidRPr="00CB62AB">
        <w:rPr>
          <w:u w:val="single"/>
        </w:rPr>
        <w:t>Collection</w:t>
      </w:r>
      <w:r w:rsidRPr="00CB62AB">
        <w:rPr>
          <w:spacing w:val="-4"/>
          <w:u w:val="single"/>
        </w:rPr>
        <w:t xml:space="preserve"> </w:t>
      </w:r>
      <w:r w:rsidRPr="00CB62AB">
        <w:rPr>
          <w:u w:val="single"/>
        </w:rPr>
        <w:t>Is</w:t>
      </w:r>
      <w:r w:rsidRPr="00CB62AB">
        <w:rPr>
          <w:spacing w:val="-4"/>
          <w:u w:val="single"/>
        </w:rPr>
        <w:t xml:space="preserve"> </w:t>
      </w:r>
      <w:r w:rsidRPr="00CB62AB">
        <w:rPr>
          <w:u w:val="single"/>
        </w:rPr>
        <w:t>Not</w:t>
      </w:r>
      <w:r w:rsidRPr="00CB62AB">
        <w:t xml:space="preserve"> </w:t>
      </w:r>
      <w:r w:rsidRPr="00CB62AB">
        <w:rPr>
          <w:u w:val="single"/>
        </w:rPr>
        <w:t>Conducted or Is Conducted Less Frequently</w:t>
      </w:r>
    </w:p>
    <w:p w:rsidR="00337A9E" w:rsidRPr="00CB62AB" w:rsidP="00913741" w14:paraId="69090702" w14:textId="77777777">
      <w:pPr>
        <w:pStyle w:val="BodyText"/>
        <w:rPr>
          <w:sz w:val="14"/>
        </w:rPr>
      </w:pPr>
    </w:p>
    <w:p w:rsidR="00264019" w:rsidRPr="00CB62AB" w:rsidP="00913741" w14:paraId="61DBB5C4" w14:textId="5CC5D020">
      <w:pPr>
        <w:ind w:left="2002"/>
        <w:rPr>
          <w:iCs/>
        </w:rPr>
      </w:pPr>
      <w:r w:rsidRPr="00CB62AB">
        <w:rPr>
          <w:iCs/>
        </w:rPr>
        <w:t>Not conducting the information collection or requiring less frequent information collection would compromise the NRC’s ability to make licensing decisions and monitor the continuing safety of disposal operations. Applications are submitted only when a license is requested or for amendment, renewal or closure. Less frequent reports would not give early warning of potential problems.</w:t>
      </w:r>
    </w:p>
    <w:p w:rsidR="005C0011" w:rsidRPr="00CB62AB" w:rsidP="00913741" w14:paraId="6653A31A" w14:textId="77777777">
      <w:pPr>
        <w:pStyle w:val="BodyText"/>
        <w:ind w:left="2002"/>
        <w:rPr>
          <w:iCs/>
        </w:rPr>
      </w:pPr>
    </w:p>
    <w:p w:rsidR="0004761D" w:rsidRPr="00CB62AB" w:rsidP="00913741" w14:paraId="07366B56" w14:textId="3C6FFFD2">
      <w:pPr>
        <w:pStyle w:val="BodyText"/>
        <w:ind w:left="2002"/>
      </w:pPr>
      <w:r w:rsidRPr="00CB62AB">
        <w:t>This proposed rule would require that waste resulting from fusion machines must either be accompanied by an analysis showing the waste is manifested and labeled for disposal consistent with the description of the applicable waste class in §</w:t>
      </w:r>
      <w:r w:rsidR="00C450A1">
        <w:t> 6</w:t>
      </w:r>
      <w:r w:rsidRPr="00CB62AB">
        <w:t>1.7, based on the physical, chemical, and radiological characteristics of the waste, or be disposed of in a disposal facility that has completed a site-specific intrusion assessment that demonstrates the projected dose to an individual who inadvertently intrudes into the waste at the facility will be less than 0.5 rem (5 (mSv)) per year</w:t>
      </w:r>
      <w:r w:rsidRPr="00CB62AB" w:rsidR="00A435A4">
        <w:t xml:space="preserve">. </w:t>
      </w:r>
      <w:r w:rsidRPr="00CB62AB" w:rsidR="00321F99">
        <w:t xml:space="preserve">This information is necessary to ensure compliance with the </w:t>
      </w:r>
      <w:r w:rsidRPr="00CB62AB" w:rsidR="00C9449E">
        <w:t>requirements of §</w:t>
      </w:r>
      <w:r w:rsidR="00C450A1">
        <w:t> 2</w:t>
      </w:r>
      <w:r w:rsidRPr="00CB62AB" w:rsidR="00C9449E">
        <w:t>0.2006.</w:t>
      </w:r>
    </w:p>
    <w:p w:rsidR="0004761D" w:rsidRPr="00CB62AB" w:rsidP="00913741" w14:paraId="6EF65311" w14:textId="77777777">
      <w:pPr>
        <w:pStyle w:val="BodyText"/>
        <w:ind w:left="2002"/>
      </w:pPr>
    </w:p>
    <w:p w:rsidR="00733E2E" w:rsidRPr="00CB62AB" w:rsidP="00913741" w14:paraId="0BF7409D" w14:textId="74754E8B">
      <w:pPr>
        <w:pStyle w:val="BodyText"/>
        <w:ind w:left="2002"/>
      </w:pPr>
      <w:r w:rsidRPr="00CB62AB">
        <w:rPr>
          <w:rFonts w:eastAsia="Calibri"/>
        </w:rPr>
        <w:t xml:space="preserve">Although fusion </w:t>
      </w:r>
      <w:r w:rsidRPr="00CB62AB" w:rsidR="00396E54">
        <w:rPr>
          <w:rFonts w:eastAsia="Calibri"/>
        </w:rPr>
        <w:t>machine</w:t>
      </w:r>
      <w:r w:rsidRPr="00CB62AB">
        <w:rPr>
          <w:rFonts w:eastAsia="Calibri"/>
        </w:rPr>
        <w:t xml:space="preserve">s license would not be required to perform intruder assessments for disposing of their waste, waste disposal facilities would be required to perform such assessment to be able to accept </w:t>
      </w:r>
      <w:r w:rsidRPr="00CB62AB" w:rsidR="009C615F">
        <w:t xml:space="preserve">waste resulting from fusion </w:t>
      </w:r>
      <w:r w:rsidRPr="00CB62AB" w:rsidR="00396E54">
        <w:t>machine</w:t>
      </w:r>
      <w:r w:rsidRPr="00CB62AB" w:rsidR="009C615F">
        <w:t>s</w:t>
      </w:r>
      <w:r w:rsidRPr="00CB62AB" w:rsidR="00B532D0">
        <w:t xml:space="preserve"> </w:t>
      </w:r>
      <w:r w:rsidRPr="00CB62AB" w:rsidR="00D26E5F">
        <w:t>physical, chemical, and radiological characteristics of the waste</w:t>
      </w:r>
      <w:r w:rsidRPr="00CB62AB" w:rsidR="00EB55E9">
        <w:t xml:space="preserve"> are </w:t>
      </w:r>
      <w:r w:rsidRPr="00CB62AB" w:rsidR="0053047A">
        <w:t xml:space="preserve">not consistent </w:t>
      </w:r>
      <w:r w:rsidRPr="00CB62AB" w:rsidR="009976AA">
        <w:t>the applicable waste class in §</w:t>
      </w:r>
      <w:r w:rsidR="00C450A1">
        <w:t> 6</w:t>
      </w:r>
      <w:r w:rsidRPr="00CB62AB" w:rsidR="009976AA">
        <w:t>1.7</w:t>
      </w:r>
      <w:r w:rsidRPr="00CB62AB">
        <w:rPr>
          <w:rFonts w:eastAsia="Calibri"/>
        </w:rPr>
        <w:t xml:space="preserve">. </w:t>
      </w:r>
      <w:r w:rsidRPr="00CB62AB">
        <w:t xml:space="preserve">Only </w:t>
      </w:r>
      <w:r w:rsidRPr="00CB62AB" w:rsidR="00DE2CC0">
        <w:t xml:space="preserve">LLW disposal sites </w:t>
      </w:r>
      <w:r w:rsidRPr="00CB62AB">
        <w:t xml:space="preserve">licensees that plan to accept </w:t>
      </w:r>
      <w:r w:rsidRPr="00CB62AB" w:rsidR="008F7DFE">
        <w:t>certain fusion waste</w:t>
      </w:r>
      <w:r w:rsidRPr="00CB62AB">
        <w:t xml:space="preserve"> would need to perform and submit certain analyses and documents</w:t>
      </w:r>
      <w:r w:rsidRPr="00CB62AB" w:rsidR="00EE6BD4">
        <w:t xml:space="preserve"> to the regulator. Existing </w:t>
      </w:r>
      <w:r w:rsidRPr="00CB62AB" w:rsidR="00EE6BD4">
        <w:t>licensees</w:t>
      </w:r>
      <w:r w:rsidRPr="00CB62AB" w:rsidR="00EE6BD4">
        <w:t xml:space="preserve"> that do not plan to accept </w:t>
      </w:r>
      <w:r w:rsidRPr="00CB62AB" w:rsidR="009C615F">
        <w:t xml:space="preserve">waste resulting from fusion </w:t>
      </w:r>
      <w:r w:rsidRPr="00CB62AB" w:rsidR="00396E54">
        <w:t>machine</w:t>
      </w:r>
      <w:r w:rsidRPr="00CB62AB" w:rsidR="009C615F">
        <w:t xml:space="preserve">s </w:t>
      </w:r>
      <w:r w:rsidRPr="00CB62AB" w:rsidR="00EE6BD4">
        <w:t>or significant quantities of long-lived radionuclides would continue to comply with existing requirements and would not need to perform and submit those analyses and documents. In addition, evaluations of whether updates to technical analyses are needed would occur periodically or as warranted.</w:t>
      </w:r>
    </w:p>
    <w:p w:rsidR="00337A9E" w:rsidRPr="00CB62AB" w:rsidP="00913741" w14:paraId="69090704" w14:textId="77777777">
      <w:pPr>
        <w:pStyle w:val="BodyText"/>
      </w:pPr>
    </w:p>
    <w:p w:rsidR="00337A9E" w:rsidRPr="00CB62AB" w:rsidP="00FA5083" w14:paraId="6909070A" w14:textId="77777777">
      <w:pPr>
        <w:pStyle w:val="ListParagraph"/>
        <w:numPr>
          <w:ilvl w:val="1"/>
          <w:numId w:val="1"/>
        </w:numPr>
        <w:tabs>
          <w:tab w:val="left" w:pos="2006"/>
          <w:tab w:val="left" w:pos="2007"/>
        </w:tabs>
      </w:pPr>
      <w:r w:rsidRPr="00CB62AB">
        <w:rPr>
          <w:u w:val="single"/>
        </w:rPr>
        <w:t>Circumstances</w:t>
      </w:r>
      <w:r w:rsidRPr="00CB62AB">
        <w:rPr>
          <w:spacing w:val="-9"/>
          <w:u w:val="single"/>
        </w:rPr>
        <w:t xml:space="preserve"> </w:t>
      </w:r>
      <w:r w:rsidRPr="00CB62AB">
        <w:rPr>
          <w:u w:val="single"/>
        </w:rPr>
        <w:t>Which</w:t>
      </w:r>
      <w:r w:rsidRPr="00CB62AB">
        <w:rPr>
          <w:spacing w:val="-8"/>
          <w:u w:val="single"/>
        </w:rPr>
        <w:t xml:space="preserve"> </w:t>
      </w:r>
      <w:r w:rsidRPr="00CB62AB">
        <w:rPr>
          <w:u w:val="single"/>
        </w:rPr>
        <w:t>Justify</w:t>
      </w:r>
      <w:r w:rsidRPr="00CB62AB">
        <w:rPr>
          <w:spacing w:val="-8"/>
          <w:u w:val="single"/>
        </w:rPr>
        <w:t xml:space="preserve"> </w:t>
      </w:r>
      <w:r w:rsidRPr="00CB62AB">
        <w:rPr>
          <w:u w:val="single"/>
        </w:rPr>
        <w:t>Variation</w:t>
      </w:r>
      <w:r w:rsidRPr="00CB62AB">
        <w:rPr>
          <w:spacing w:val="-8"/>
          <w:u w:val="single"/>
        </w:rPr>
        <w:t xml:space="preserve"> </w:t>
      </w:r>
      <w:r w:rsidRPr="00CB62AB">
        <w:rPr>
          <w:u w:val="single"/>
        </w:rPr>
        <w:t>from</w:t>
      </w:r>
      <w:r w:rsidRPr="00CB62AB">
        <w:rPr>
          <w:spacing w:val="-8"/>
          <w:u w:val="single"/>
        </w:rPr>
        <w:t xml:space="preserve"> </w:t>
      </w:r>
      <w:r w:rsidRPr="00CB62AB">
        <w:rPr>
          <w:u w:val="single"/>
        </w:rPr>
        <w:t>OMB</w:t>
      </w:r>
      <w:r w:rsidRPr="00CB62AB">
        <w:rPr>
          <w:spacing w:val="-8"/>
          <w:u w:val="single"/>
        </w:rPr>
        <w:t xml:space="preserve"> </w:t>
      </w:r>
      <w:r w:rsidRPr="00CB62AB">
        <w:rPr>
          <w:spacing w:val="-2"/>
          <w:u w:val="single"/>
        </w:rPr>
        <w:t>Guidelines</w:t>
      </w:r>
    </w:p>
    <w:p w:rsidR="00337A9E" w:rsidRPr="00CB62AB" w:rsidP="00FA5083" w14:paraId="6909070B" w14:textId="77777777">
      <w:pPr>
        <w:pStyle w:val="BodyText"/>
        <w:rPr>
          <w:sz w:val="14"/>
        </w:rPr>
      </w:pPr>
    </w:p>
    <w:p w:rsidR="00E20A43" w:rsidP="00913741" w14:paraId="5B45FBAE" w14:textId="4E95CD66">
      <w:pPr>
        <w:pStyle w:val="BodyText"/>
        <w:ind w:left="2002"/>
      </w:pPr>
      <w:r w:rsidRPr="00CB62AB">
        <w:t xml:space="preserve">The proposed amendments to 10 CFR Part </w:t>
      </w:r>
      <w:r w:rsidRPr="00CB62AB" w:rsidR="00C8164F">
        <w:t>2</w:t>
      </w:r>
      <w:r w:rsidRPr="00CB62AB">
        <w:t>0 do not deviate from O</w:t>
      </w:r>
      <w:r w:rsidR="00911160">
        <w:t>ffice of Management and Budget (OMB)</w:t>
      </w:r>
      <w:r w:rsidRPr="00CB62AB">
        <w:t xml:space="preserve"> guidelines.</w:t>
      </w:r>
    </w:p>
    <w:p w:rsidR="00FA5083" w:rsidRPr="00CB62AB" w:rsidP="00FA5083" w14:paraId="3B5FC101" w14:textId="77777777">
      <w:pPr>
        <w:pStyle w:val="ListParagraph"/>
        <w:tabs>
          <w:tab w:val="left" w:pos="2006"/>
          <w:tab w:val="left" w:pos="2007"/>
        </w:tabs>
        <w:ind w:firstLine="0"/>
        <w:jc w:val="right"/>
      </w:pPr>
    </w:p>
    <w:p w:rsidR="00337A9E" w:rsidRPr="00CB62AB" w:rsidP="00FA5083" w14:paraId="6909072C" w14:textId="73666C90">
      <w:pPr>
        <w:pStyle w:val="ListParagraph"/>
        <w:numPr>
          <w:ilvl w:val="1"/>
          <w:numId w:val="1"/>
        </w:numPr>
        <w:tabs>
          <w:tab w:val="left" w:pos="2006"/>
          <w:tab w:val="left" w:pos="2007"/>
        </w:tabs>
      </w:pPr>
      <w:r w:rsidRPr="00CB62AB">
        <w:rPr>
          <w:u w:val="single"/>
        </w:rPr>
        <w:t>Consultations</w:t>
      </w:r>
      <w:r w:rsidRPr="00CB62AB">
        <w:rPr>
          <w:spacing w:val="-8"/>
          <w:u w:val="single"/>
        </w:rPr>
        <w:t xml:space="preserve"> </w:t>
      </w:r>
      <w:r w:rsidRPr="00CB62AB">
        <w:rPr>
          <w:u w:val="single"/>
        </w:rPr>
        <w:t>Outside</w:t>
      </w:r>
      <w:r w:rsidRPr="00CB62AB">
        <w:rPr>
          <w:spacing w:val="-8"/>
          <w:u w:val="single"/>
        </w:rPr>
        <w:t xml:space="preserve"> </w:t>
      </w:r>
      <w:r w:rsidRPr="00CB62AB">
        <w:rPr>
          <w:u w:val="single"/>
        </w:rPr>
        <w:t>the</w:t>
      </w:r>
      <w:r w:rsidRPr="00CB62AB">
        <w:rPr>
          <w:spacing w:val="-8"/>
          <w:u w:val="single"/>
        </w:rPr>
        <w:t xml:space="preserve"> </w:t>
      </w:r>
      <w:r w:rsidRPr="00CB62AB">
        <w:rPr>
          <w:spacing w:val="-5"/>
          <w:u w:val="single"/>
        </w:rPr>
        <w:t>NRC</w:t>
      </w:r>
    </w:p>
    <w:p w:rsidR="0060070E" w:rsidRPr="00CB62AB" w:rsidP="00FA5083" w14:paraId="4BC6AB7E" w14:textId="77777777">
      <w:pPr>
        <w:pStyle w:val="BodyText"/>
        <w:ind w:left="2000" w:right="1024" w:firstLine="6"/>
      </w:pPr>
    </w:p>
    <w:p w:rsidR="0060070E" w:rsidRPr="00CB62AB" w:rsidP="00913741" w14:paraId="5B05E404" w14:textId="5F567E47">
      <w:pPr>
        <w:pStyle w:val="BodyText"/>
        <w:ind w:left="2002"/>
      </w:pPr>
      <w:r w:rsidRPr="00CB62AB">
        <w:t xml:space="preserve">Opportunity for public comment on the information collection requirements for this clearance package has been published in the Federal Register. In addition, as part of this rulemaking, the NRC staff provided Agreement States, Non-Agreement States, State Liaison Officers and Federally Recognized Tribes an opportunity for a 30-day advanced review and comment on the draft proposed rule for regulatory framework for fusion </w:t>
      </w:r>
      <w:r w:rsidRPr="00CB62AB" w:rsidR="00396E54">
        <w:t>machine</w:t>
      </w:r>
      <w:r w:rsidRPr="00CB62AB">
        <w:t>s by letter dated May</w:t>
      </w:r>
      <w:r w:rsidR="00ED14F0">
        <w:t> </w:t>
      </w:r>
      <w:r w:rsidRPr="00CB62AB">
        <w:t>13, 2024 (RCPD</w:t>
      </w:r>
      <w:r w:rsidR="00C450A1">
        <w:rPr>
          <w:rFonts w:ascii="Cambria Math" w:hAnsi="Cambria Math" w:cs="Cambria Math"/>
        </w:rPr>
        <w:t>‑</w:t>
      </w:r>
      <w:r w:rsidR="00C450A1">
        <w:t>2</w:t>
      </w:r>
      <w:r w:rsidRPr="00CB62AB">
        <w:t xml:space="preserve">4-004). This information request </w:t>
      </w:r>
      <w:r w:rsidRPr="00CB62AB">
        <w:t>was approved by O</w:t>
      </w:r>
      <w:r w:rsidR="00911160">
        <w:t>MB</w:t>
      </w:r>
      <w:r w:rsidRPr="00CB62AB">
        <w:t xml:space="preserve"> approval number 3150-0029. On June</w:t>
      </w:r>
      <w:r w:rsidR="00ED14F0">
        <w:t> </w:t>
      </w:r>
      <w:r w:rsidRPr="00CB62AB">
        <w:t>13, 2024, the NRC granted an extension to the review period (ADAMS No.</w:t>
      </w:r>
      <w:r w:rsidR="00127E58">
        <w:t> ML2</w:t>
      </w:r>
      <w:r w:rsidRPr="00CB62AB">
        <w:t>4164A220) per a letter from the Organization of Agreement States, dated June</w:t>
      </w:r>
      <w:r w:rsidR="00ED14F0">
        <w:t> </w:t>
      </w:r>
      <w:r w:rsidRPr="00CB62AB">
        <w:t>3. 2024 (ML24164A227).</w:t>
      </w:r>
    </w:p>
    <w:p w:rsidR="00757A91" w:rsidRPr="00CB62AB" w:rsidP="00FA5083" w14:paraId="196196B8" w14:textId="77777777">
      <w:pPr>
        <w:pStyle w:val="BodyText"/>
        <w:ind w:left="2000" w:right="1024" w:firstLine="6"/>
      </w:pPr>
    </w:p>
    <w:p w:rsidR="00757A91" w:rsidRPr="00CB62AB" w:rsidP="0016772E" w14:paraId="0C3D2F79" w14:textId="1F54967E">
      <w:pPr>
        <w:pStyle w:val="ListParagraph"/>
        <w:numPr>
          <w:ilvl w:val="1"/>
          <w:numId w:val="1"/>
        </w:numPr>
        <w:tabs>
          <w:tab w:val="left" w:pos="2006"/>
          <w:tab w:val="left" w:pos="2007"/>
        </w:tabs>
        <w:rPr>
          <w:u w:val="single"/>
        </w:rPr>
      </w:pPr>
      <w:r w:rsidRPr="00CB62AB">
        <w:rPr>
          <w:u w:val="single"/>
        </w:rPr>
        <w:t xml:space="preserve">Payment or Gift to </w:t>
      </w:r>
      <w:r w:rsidRPr="00CB62AB" w:rsidR="0016772E">
        <w:rPr>
          <w:u w:val="single"/>
        </w:rPr>
        <w:t>R</w:t>
      </w:r>
      <w:r w:rsidRPr="00CB62AB">
        <w:rPr>
          <w:u w:val="single"/>
        </w:rPr>
        <w:t>espondents</w:t>
      </w:r>
    </w:p>
    <w:p w:rsidR="00757A91" w:rsidRPr="00CB62AB" w:rsidP="00757A91" w14:paraId="6D6540AE" w14:textId="77777777">
      <w:pPr>
        <w:pStyle w:val="ListParagraph"/>
        <w:tabs>
          <w:tab w:val="left" w:pos="2006"/>
          <w:tab w:val="left" w:pos="2007"/>
        </w:tabs>
        <w:ind w:left="2000" w:right="6041" w:firstLine="0"/>
      </w:pPr>
    </w:p>
    <w:p w:rsidR="00337A9E" w:rsidRPr="00CB62AB" w:rsidP="00757A91" w14:paraId="6909072E" w14:textId="01607B42">
      <w:pPr>
        <w:pStyle w:val="ListParagraph"/>
        <w:tabs>
          <w:tab w:val="left" w:pos="2006"/>
          <w:tab w:val="left" w:pos="2007"/>
        </w:tabs>
        <w:ind w:left="2000" w:right="6041" w:firstLine="0"/>
      </w:pPr>
      <w:r w:rsidRPr="00CB62AB">
        <w:t>Not applicable.</w:t>
      </w:r>
    </w:p>
    <w:p w:rsidR="00757A91" w:rsidRPr="00CB62AB" w:rsidP="00757A91" w14:paraId="3CD67C05" w14:textId="77777777">
      <w:pPr>
        <w:pStyle w:val="ListParagraph"/>
        <w:tabs>
          <w:tab w:val="left" w:pos="2006"/>
          <w:tab w:val="left" w:pos="2007"/>
        </w:tabs>
        <w:ind w:left="2000" w:right="6041" w:firstLine="0"/>
      </w:pPr>
    </w:p>
    <w:p w:rsidR="00337A9E" w:rsidRPr="00CB62AB" w:rsidP="00757A91" w14:paraId="6909072F" w14:textId="77777777">
      <w:pPr>
        <w:pStyle w:val="ListParagraph"/>
        <w:numPr>
          <w:ilvl w:val="1"/>
          <w:numId w:val="1"/>
        </w:numPr>
        <w:tabs>
          <w:tab w:val="left" w:pos="2007"/>
        </w:tabs>
      </w:pPr>
      <w:r w:rsidRPr="00CB62AB">
        <w:rPr>
          <w:u w:val="single"/>
        </w:rPr>
        <w:t>Confidentiality</w:t>
      </w:r>
      <w:r w:rsidRPr="00CB62AB">
        <w:rPr>
          <w:spacing w:val="-7"/>
          <w:u w:val="single"/>
        </w:rPr>
        <w:t xml:space="preserve"> </w:t>
      </w:r>
      <w:r w:rsidRPr="00CB62AB">
        <w:rPr>
          <w:u w:val="single"/>
        </w:rPr>
        <w:t>of</w:t>
      </w:r>
      <w:r w:rsidRPr="00CB62AB">
        <w:rPr>
          <w:spacing w:val="-6"/>
          <w:u w:val="single"/>
        </w:rPr>
        <w:t xml:space="preserve"> </w:t>
      </w:r>
      <w:r w:rsidRPr="00CB62AB">
        <w:rPr>
          <w:u w:val="single"/>
        </w:rPr>
        <w:t>the</w:t>
      </w:r>
      <w:r w:rsidRPr="00CB62AB">
        <w:rPr>
          <w:spacing w:val="-6"/>
          <w:u w:val="single"/>
        </w:rPr>
        <w:t xml:space="preserve"> </w:t>
      </w:r>
      <w:r w:rsidRPr="00CB62AB">
        <w:rPr>
          <w:spacing w:val="-2"/>
          <w:u w:val="single"/>
        </w:rPr>
        <w:t>Information</w:t>
      </w:r>
    </w:p>
    <w:p w:rsidR="00D532EE" w:rsidRPr="00CB62AB" w:rsidP="00757A91" w14:paraId="0E03FD2E" w14:textId="77777777">
      <w:pPr>
        <w:pStyle w:val="BodyText"/>
        <w:ind w:left="2000" w:right="1036"/>
      </w:pPr>
    </w:p>
    <w:p w:rsidR="00337A9E" w:rsidRPr="00CB62AB" w:rsidP="00913741" w14:paraId="69090730" w14:textId="0B1E1B45">
      <w:pPr>
        <w:pStyle w:val="BodyText"/>
        <w:ind w:left="2002"/>
      </w:pPr>
      <w:r w:rsidRPr="00CB62AB">
        <w:t>Confidential and proprietary information is protected in accordance with NRC regulations</w:t>
      </w:r>
      <w:r w:rsidRPr="00CB62AB">
        <w:rPr>
          <w:spacing w:val="-5"/>
        </w:rPr>
        <w:t xml:space="preserve"> </w:t>
      </w:r>
      <w:r w:rsidRPr="00CB62AB">
        <w:t>at</w:t>
      </w:r>
      <w:r w:rsidRPr="00CB62AB">
        <w:rPr>
          <w:spacing w:val="-4"/>
        </w:rPr>
        <w:t xml:space="preserve"> </w:t>
      </w:r>
      <w:r w:rsidRPr="00CB62AB">
        <w:t>10</w:t>
      </w:r>
      <w:r w:rsidRPr="00CB62AB">
        <w:rPr>
          <w:spacing w:val="-4"/>
        </w:rPr>
        <w:t xml:space="preserve"> </w:t>
      </w:r>
      <w:r w:rsidRPr="00CB62AB">
        <w:t>CFR</w:t>
      </w:r>
      <w:r w:rsidRPr="00CB62AB">
        <w:rPr>
          <w:spacing w:val="-4"/>
        </w:rPr>
        <w:t xml:space="preserve"> </w:t>
      </w:r>
      <w:r w:rsidRPr="00CB62AB">
        <w:t>9.17(a)</w:t>
      </w:r>
      <w:r w:rsidRPr="00CB62AB">
        <w:rPr>
          <w:spacing w:val="-4"/>
        </w:rPr>
        <w:t xml:space="preserve"> </w:t>
      </w:r>
      <w:r w:rsidRPr="00CB62AB">
        <w:t>and</w:t>
      </w:r>
      <w:r w:rsidRPr="00CB62AB">
        <w:rPr>
          <w:spacing w:val="-4"/>
        </w:rPr>
        <w:t xml:space="preserve"> </w:t>
      </w:r>
      <w:r w:rsidRPr="00CB62AB">
        <w:t>10</w:t>
      </w:r>
      <w:r w:rsidRPr="00CB62AB">
        <w:rPr>
          <w:spacing w:val="-4"/>
        </w:rPr>
        <w:t xml:space="preserve"> </w:t>
      </w:r>
      <w:r w:rsidRPr="00CB62AB">
        <w:t>CFR</w:t>
      </w:r>
      <w:r w:rsidRPr="00CB62AB">
        <w:rPr>
          <w:spacing w:val="-4"/>
        </w:rPr>
        <w:t xml:space="preserve"> </w:t>
      </w:r>
      <w:r w:rsidRPr="00CB62AB">
        <w:t>2.390(b).</w:t>
      </w:r>
      <w:r w:rsidRPr="00CB62AB">
        <w:rPr>
          <w:spacing w:val="40"/>
        </w:rPr>
        <w:t xml:space="preserve"> </w:t>
      </w:r>
      <w:r w:rsidRPr="00CB62AB">
        <w:t>However,</w:t>
      </w:r>
      <w:r w:rsidRPr="00CB62AB">
        <w:rPr>
          <w:spacing w:val="-4"/>
        </w:rPr>
        <w:t xml:space="preserve"> </w:t>
      </w:r>
      <w:r w:rsidRPr="00CB62AB">
        <w:t>no</w:t>
      </w:r>
      <w:r w:rsidRPr="00CB62AB">
        <w:rPr>
          <w:spacing w:val="-4"/>
        </w:rPr>
        <w:t xml:space="preserve"> </w:t>
      </w:r>
      <w:r w:rsidRPr="00CB62AB">
        <w:t>information normally considered confidential or proprietary is requested.</w:t>
      </w:r>
    </w:p>
    <w:p w:rsidR="00337A9E" w:rsidRPr="00CB62AB" w14:paraId="69090731" w14:textId="77777777">
      <w:pPr>
        <w:pStyle w:val="ListParagraph"/>
        <w:numPr>
          <w:ilvl w:val="1"/>
          <w:numId w:val="1"/>
        </w:numPr>
        <w:tabs>
          <w:tab w:val="left" w:pos="2007"/>
        </w:tabs>
        <w:spacing w:before="172"/>
      </w:pPr>
      <w:r w:rsidRPr="00CB62AB">
        <w:rPr>
          <w:u w:val="single"/>
        </w:rPr>
        <w:t>Justification</w:t>
      </w:r>
      <w:r w:rsidRPr="00CB62AB">
        <w:rPr>
          <w:spacing w:val="-9"/>
          <w:u w:val="single"/>
        </w:rPr>
        <w:t xml:space="preserve"> </w:t>
      </w:r>
      <w:r w:rsidRPr="00CB62AB">
        <w:rPr>
          <w:u w:val="single"/>
        </w:rPr>
        <w:t>for</w:t>
      </w:r>
      <w:r w:rsidRPr="00CB62AB">
        <w:rPr>
          <w:spacing w:val="-8"/>
          <w:u w:val="single"/>
        </w:rPr>
        <w:t xml:space="preserve"> </w:t>
      </w:r>
      <w:r w:rsidRPr="00CB62AB">
        <w:rPr>
          <w:u w:val="single"/>
        </w:rPr>
        <w:t>Sensitive</w:t>
      </w:r>
      <w:r w:rsidRPr="00CB62AB">
        <w:rPr>
          <w:spacing w:val="-7"/>
          <w:u w:val="single"/>
        </w:rPr>
        <w:t xml:space="preserve"> </w:t>
      </w:r>
      <w:r w:rsidRPr="00CB62AB">
        <w:rPr>
          <w:spacing w:val="-2"/>
          <w:u w:val="single"/>
        </w:rPr>
        <w:t>Questions</w:t>
      </w:r>
    </w:p>
    <w:p w:rsidR="00337A9E" w:rsidRPr="00CB62AB" w14:paraId="69090732" w14:textId="77777777">
      <w:pPr>
        <w:pStyle w:val="BodyText"/>
      </w:pPr>
    </w:p>
    <w:p w:rsidR="00337A9E" w:rsidRPr="00CB62AB" w:rsidP="004564C4" w14:paraId="69090733" w14:textId="77777777">
      <w:pPr>
        <w:pStyle w:val="BodyText"/>
        <w:ind w:left="2000"/>
        <w:rPr>
          <w:spacing w:val="-2"/>
        </w:rPr>
      </w:pPr>
      <w:r w:rsidRPr="00CB62AB">
        <w:t>This</w:t>
      </w:r>
      <w:r w:rsidRPr="00CB62AB">
        <w:rPr>
          <w:spacing w:val="-7"/>
        </w:rPr>
        <w:t xml:space="preserve"> </w:t>
      </w:r>
      <w:r w:rsidRPr="00CB62AB">
        <w:t>information</w:t>
      </w:r>
      <w:r w:rsidRPr="00CB62AB">
        <w:rPr>
          <w:spacing w:val="-7"/>
        </w:rPr>
        <w:t xml:space="preserve"> </w:t>
      </w:r>
      <w:r w:rsidRPr="00CB62AB">
        <w:t>collection</w:t>
      </w:r>
      <w:r w:rsidRPr="00CB62AB">
        <w:rPr>
          <w:spacing w:val="-6"/>
        </w:rPr>
        <w:t xml:space="preserve"> </w:t>
      </w:r>
      <w:r w:rsidRPr="00CB62AB">
        <w:t>does</w:t>
      </w:r>
      <w:r w:rsidRPr="00CB62AB">
        <w:rPr>
          <w:spacing w:val="-7"/>
        </w:rPr>
        <w:t xml:space="preserve"> </w:t>
      </w:r>
      <w:r w:rsidRPr="00CB62AB">
        <w:t>not</w:t>
      </w:r>
      <w:r w:rsidRPr="00CB62AB">
        <w:rPr>
          <w:spacing w:val="-7"/>
        </w:rPr>
        <w:t xml:space="preserve"> </w:t>
      </w:r>
      <w:r w:rsidRPr="00CB62AB">
        <w:t>involve</w:t>
      </w:r>
      <w:r w:rsidRPr="00CB62AB">
        <w:rPr>
          <w:spacing w:val="-6"/>
        </w:rPr>
        <w:t xml:space="preserve"> </w:t>
      </w:r>
      <w:r w:rsidRPr="00CB62AB">
        <w:t>sensitive</w:t>
      </w:r>
      <w:r w:rsidRPr="00CB62AB">
        <w:rPr>
          <w:spacing w:val="-7"/>
        </w:rPr>
        <w:t xml:space="preserve"> </w:t>
      </w:r>
      <w:r w:rsidRPr="00CB62AB">
        <w:rPr>
          <w:spacing w:val="-2"/>
        </w:rPr>
        <w:t>questions.</w:t>
      </w:r>
    </w:p>
    <w:p w:rsidR="003B1E88" w:rsidRPr="00CB62AB" w:rsidP="004564C4" w14:paraId="1DF81D67" w14:textId="77777777">
      <w:pPr>
        <w:pStyle w:val="BodyText"/>
        <w:ind w:left="2000"/>
      </w:pPr>
    </w:p>
    <w:p w:rsidR="00337A9E" w:rsidRPr="00CB62AB" w:rsidP="004564C4" w14:paraId="69090735" w14:textId="77777777">
      <w:pPr>
        <w:pStyle w:val="ListParagraph"/>
        <w:numPr>
          <w:ilvl w:val="1"/>
          <w:numId w:val="1"/>
        </w:numPr>
        <w:tabs>
          <w:tab w:val="left" w:pos="2007"/>
        </w:tabs>
      </w:pPr>
      <w:r w:rsidRPr="00CB62AB">
        <w:rPr>
          <w:u w:val="single"/>
        </w:rPr>
        <w:t>Estimated</w:t>
      </w:r>
      <w:r w:rsidRPr="00CB62AB">
        <w:rPr>
          <w:spacing w:val="-7"/>
          <w:u w:val="single"/>
        </w:rPr>
        <w:t xml:space="preserve"> </w:t>
      </w:r>
      <w:r w:rsidRPr="00CB62AB">
        <w:rPr>
          <w:u w:val="single"/>
        </w:rPr>
        <w:t>Burden</w:t>
      </w:r>
      <w:r w:rsidRPr="00CB62AB">
        <w:rPr>
          <w:spacing w:val="-7"/>
          <w:u w:val="single"/>
        </w:rPr>
        <w:t xml:space="preserve"> </w:t>
      </w:r>
      <w:r w:rsidRPr="00CB62AB">
        <w:rPr>
          <w:u w:val="single"/>
        </w:rPr>
        <w:t>and</w:t>
      </w:r>
      <w:r w:rsidRPr="00CB62AB">
        <w:rPr>
          <w:spacing w:val="-7"/>
          <w:u w:val="single"/>
        </w:rPr>
        <w:t xml:space="preserve"> </w:t>
      </w:r>
      <w:r w:rsidRPr="00CB62AB">
        <w:rPr>
          <w:u w:val="single"/>
        </w:rPr>
        <w:t>Burden</w:t>
      </w:r>
      <w:r w:rsidRPr="00CB62AB">
        <w:rPr>
          <w:spacing w:val="-6"/>
          <w:u w:val="single"/>
        </w:rPr>
        <w:t xml:space="preserve"> </w:t>
      </w:r>
      <w:r w:rsidRPr="00CB62AB">
        <w:rPr>
          <w:u w:val="single"/>
        </w:rPr>
        <w:t>Hour</w:t>
      </w:r>
      <w:r w:rsidRPr="00CB62AB">
        <w:rPr>
          <w:spacing w:val="-7"/>
          <w:u w:val="single"/>
        </w:rPr>
        <w:t xml:space="preserve"> </w:t>
      </w:r>
      <w:r w:rsidRPr="00CB62AB">
        <w:rPr>
          <w:spacing w:val="-4"/>
          <w:u w:val="single"/>
        </w:rPr>
        <w:t>Cost</w:t>
      </w:r>
    </w:p>
    <w:p w:rsidR="00337A9E" w:rsidRPr="00CB62AB" w:rsidP="004564C4" w14:paraId="69090736" w14:textId="77777777">
      <w:pPr>
        <w:pStyle w:val="BodyText"/>
        <w:rPr>
          <w:sz w:val="13"/>
        </w:rPr>
      </w:pPr>
    </w:p>
    <w:p w:rsidR="00D84E78" w:rsidRPr="00CB62AB" w:rsidP="00913741" w14:paraId="283F29E3" w14:textId="1D08E216">
      <w:pPr>
        <w:pStyle w:val="BodyText"/>
        <w:ind w:left="1987"/>
      </w:pPr>
      <w:r w:rsidRPr="00CB62AB">
        <w:t>The NRC staff anticipates three applicants for fusion machines over the course of the clearance period (1 annually).</w:t>
      </w:r>
      <w:r>
        <w:rPr>
          <w:rStyle w:val="FootnoteReference"/>
        </w:rPr>
        <w:footnoteReference w:id="3"/>
      </w:r>
      <w:r w:rsidRPr="00CB62AB" w:rsidR="00B724DF">
        <w:t xml:space="preserve">. </w:t>
      </w:r>
      <w:r w:rsidRPr="00CB62AB" w:rsidR="00771D59">
        <w:t>Fusion machines licensees would have to perform an analysis showing whether the waste is manifested and labeled for disposal consistent with the description of the applicable waste class in §</w:t>
      </w:r>
      <w:r w:rsidR="00C450A1">
        <w:t> 6</w:t>
      </w:r>
      <w:r w:rsidRPr="00CB62AB" w:rsidR="00771D59">
        <w:t xml:space="preserve">1.7. </w:t>
      </w:r>
      <w:r w:rsidRPr="00CB62AB" w:rsidR="00731235">
        <w:t xml:space="preserve">The NRC staff anticipates that that it would take 40 hours to perform </w:t>
      </w:r>
      <w:r w:rsidRPr="00CB62AB" w:rsidR="009666F3">
        <w:t xml:space="preserve">and document </w:t>
      </w:r>
      <w:r w:rsidRPr="00CB62AB" w:rsidR="00731235">
        <w:t>an analysis showing that the waste is manifested and labeled for disposal consistent with the description of the applicable waste class in §</w:t>
      </w:r>
      <w:r w:rsidR="00C450A1">
        <w:t> 6</w:t>
      </w:r>
      <w:r w:rsidRPr="00CB62AB" w:rsidR="00731235">
        <w:t>1.7 at a cost of $</w:t>
      </w:r>
      <w:r w:rsidRPr="00CB62AB" w:rsidR="008E7D1E">
        <w:t>12</w:t>
      </w:r>
      <w:r w:rsidRPr="00CB62AB" w:rsidR="00731235">
        <w:t>,</w:t>
      </w:r>
      <w:r w:rsidRPr="00CB62AB" w:rsidR="008E7D1E">
        <w:t>680</w:t>
      </w:r>
      <w:r w:rsidRPr="00CB62AB" w:rsidR="00731235">
        <w:t xml:space="preserve"> (</w:t>
      </w:r>
      <w:r w:rsidRPr="00CB62AB" w:rsidR="00963C16">
        <w:t>4</w:t>
      </w:r>
      <w:r w:rsidRPr="00CB62AB" w:rsidR="00731235">
        <w:t xml:space="preserve">0 hours </w:t>
      </w:r>
      <w:r w:rsidRPr="00CB62AB" w:rsidR="0099268C">
        <w:t xml:space="preserve">third party disclosure burden </w:t>
      </w:r>
      <w:r w:rsidRPr="00CB62AB" w:rsidR="00731235">
        <w:t>x $317 per hour)</w:t>
      </w:r>
      <w:r w:rsidRPr="00CB62AB" w:rsidR="008E7D1E">
        <w:t xml:space="preserve">. </w:t>
      </w:r>
      <w:r w:rsidRPr="00CB62AB" w:rsidR="00354A44">
        <w:t xml:space="preserve">The </w:t>
      </w:r>
      <w:r w:rsidRPr="00CB62AB" w:rsidR="0066748F">
        <w:t>fusion machine licensee</w:t>
      </w:r>
      <w:r w:rsidRPr="00CB62AB" w:rsidR="00C5242E">
        <w:t xml:space="preserve"> could then </w:t>
      </w:r>
      <w:r w:rsidRPr="00CB62AB" w:rsidR="00DA181F">
        <w:t xml:space="preserve">submit that analysis or demonstrate that the </w:t>
      </w:r>
      <w:r w:rsidRPr="00CB62AB" w:rsidR="00BF0E91">
        <w:t xml:space="preserve">waste will be disposed of at a </w:t>
      </w:r>
      <w:r w:rsidRPr="00CB62AB" w:rsidR="00731235">
        <w:t>LLW disposal facility that has completed a site-specific intrusion assessment</w:t>
      </w:r>
      <w:r w:rsidRPr="00CB62AB">
        <w:t xml:space="preserve"> that demonstrates the projected dose to an individual who inadvertently intrudes into the waste at the facility will be less than 0.5 rem (5 (mSv)). </w:t>
      </w:r>
      <w:r w:rsidRPr="00CB62AB" w:rsidR="00CF6D85">
        <w:t xml:space="preserve">Fusion </w:t>
      </w:r>
      <w:r w:rsidRPr="00CB62AB" w:rsidR="00D17317">
        <w:t xml:space="preserve">machine </w:t>
      </w:r>
      <w:r w:rsidRPr="00CB62AB" w:rsidR="00D17317">
        <w:t>licensees</w:t>
      </w:r>
      <w:r w:rsidRPr="00CB62AB" w:rsidR="00D17317">
        <w:t xml:space="preserve"> who choose to </w:t>
      </w:r>
      <w:r w:rsidRPr="00CB62AB" w:rsidR="00207132">
        <w:t xml:space="preserve">ensure </w:t>
      </w:r>
      <w:r w:rsidRPr="00CB62AB" w:rsidR="00321AA0">
        <w:t xml:space="preserve">the waste </w:t>
      </w:r>
      <w:r w:rsidRPr="00CB62AB" w:rsidR="00397D59">
        <w:t xml:space="preserve">is disposed of in a LLW disposal facility </w:t>
      </w:r>
      <w:r w:rsidRPr="00CB62AB" w:rsidR="00D22480">
        <w:t>that has completed a site-specific intrusion assessment</w:t>
      </w:r>
      <w:r w:rsidRPr="00CB62AB" w:rsidR="004D37AB">
        <w:t xml:space="preserve"> would </w:t>
      </w:r>
      <w:r w:rsidRPr="00CB62AB" w:rsidR="006F6173">
        <w:t xml:space="preserve">incur a burden </w:t>
      </w:r>
      <w:r w:rsidRPr="00CB62AB" w:rsidR="005F0C2F">
        <w:t xml:space="preserve">associated with </w:t>
      </w:r>
      <w:r w:rsidRPr="00CB62AB" w:rsidR="00996FC1">
        <w:t>providing necessary information to the LLW disposal facility operator</w:t>
      </w:r>
      <w:r w:rsidRPr="00CB62AB" w:rsidR="00345844">
        <w:t>.</w:t>
      </w:r>
    </w:p>
    <w:p w:rsidR="00D84E78" w:rsidRPr="00CB62AB" w:rsidP="00913741" w14:paraId="4A254115" w14:textId="77777777">
      <w:pPr>
        <w:pStyle w:val="BodyText"/>
        <w:ind w:left="1987"/>
      </w:pPr>
    </w:p>
    <w:p w:rsidR="00725FC7" w:rsidRPr="00CB62AB" w:rsidP="00913741" w14:paraId="3F16E251" w14:textId="78D62C6C">
      <w:pPr>
        <w:pStyle w:val="BodyText"/>
        <w:ind w:left="1987"/>
      </w:pPr>
      <w:r w:rsidRPr="00CB62AB">
        <w:t>Only</w:t>
      </w:r>
      <w:r w:rsidRPr="00CB62AB" w:rsidR="009364F5">
        <w:t xml:space="preserve"> disposal site</w:t>
      </w:r>
      <w:r w:rsidRPr="00CB62AB">
        <w:t xml:space="preserve"> licensees that plan to accept certain fusion waste would need to perform and submit certain analyses and documents to the regulator.</w:t>
      </w:r>
      <w:r w:rsidRPr="00CB62AB" w:rsidR="002C4B47">
        <w:t xml:space="preserve"> </w:t>
      </w:r>
      <w:r w:rsidRPr="00CB62AB" w:rsidR="00626237">
        <w:t xml:space="preserve">The NRC staff anticipates that only </w:t>
      </w:r>
      <w:r w:rsidRPr="00CB62AB" w:rsidR="00D2670F">
        <w:t xml:space="preserve">applicants for </w:t>
      </w:r>
      <w:r w:rsidRPr="00CB62AB">
        <w:t xml:space="preserve">a new LLW facility, if the application is submitted after the effective date of this rule, or to a current LLW facility licensee seeking to accept </w:t>
      </w:r>
      <w:r w:rsidRPr="00CB62AB" w:rsidR="67B163EE">
        <w:t xml:space="preserve">fusion </w:t>
      </w:r>
      <w:r w:rsidRPr="00CB62AB" w:rsidR="00396E54">
        <w:t>machine</w:t>
      </w:r>
      <w:r w:rsidRPr="00CB62AB" w:rsidR="67B163EE">
        <w:t xml:space="preserve"> </w:t>
      </w:r>
      <w:r w:rsidRPr="00CB62AB" w:rsidR="00527B51">
        <w:t xml:space="preserve">waste </w:t>
      </w:r>
      <w:r w:rsidRPr="00CB62AB" w:rsidR="0CD6F4AF">
        <w:t>significantly different</w:t>
      </w:r>
      <w:r w:rsidRPr="00CB62AB" w:rsidR="00527B51">
        <w:t xml:space="preserve"> from </w:t>
      </w:r>
      <w:r w:rsidRPr="00CB62AB" w:rsidR="006E1BAA">
        <w:t>the description of the applicable waste class in §</w:t>
      </w:r>
      <w:r w:rsidR="00C450A1">
        <w:t> 6</w:t>
      </w:r>
      <w:r w:rsidRPr="00CB62AB" w:rsidR="006E1BAA">
        <w:t>1.7</w:t>
      </w:r>
      <w:r w:rsidRPr="00CB62AB" w:rsidR="00665C45">
        <w:t>.</w:t>
      </w:r>
      <w:r w:rsidRPr="00CB62AB">
        <w:t xml:space="preserve"> Current licensees who do not seek to dispose of </w:t>
      </w:r>
      <w:r w:rsidRPr="00CB62AB" w:rsidR="00527B51">
        <w:t>w</w:t>
      </w:r>
      <w:r w:rsidRPr="00CB62AB">
        <w:t xml:space="preserve">aste </w:t>
      </w:r>
      <w:r w:rsidRPr="00CB62AB" w:rsidR="00527B51">
        <w:t xml:space="preserve">resulting from fusion </w:t>
      </w:r>
      <w:r w:rsidRPr="00CB62AB" w:rsidR="00396E54">
        <w:t>machine</w:t>
      </w:r>
      <w:r w:rsidRPr="00CB62AB" w:rsidR="00527B51">
        <w:t xml:space="preserve">s </w:t>
      </w:r>
      <w:r w:rsidRPr="00CB62AB">
        <w:t>would only experience an increase in burden to update their safety case and during license renewal or closure, or if they voluntarily choose to comply with the new technical analysis requirements.</w:t>
      </w:r>
      <w:r w:rsidRPr="00CB62AB" w:rsidR="00A53F39">
        <w:t xml:space="preserve"> </w:t>
      </w:r>
      <w:r w:rsidRPr="00CB62AB" w:rsidR="00C36BF0">
        <w:t xml:space="preserve">The NRC staff estimates that </w:t>
      </w:r>
      <w:r w:rsidRPr="00CB62AB" w:rsidR="00E044D6">
        <w:t xml:space="preserve">it would take 80 hours to perform and submit an </w:t>
      </w:r>
      <w:r w:rsidRPr="00CB62AB" w:rsidR="00C33D15">
        <w:t xml:space="preserve">intruder assessment at a cost of </w:t>
      </w:r>
      <w:r w:rsidRPr="00CB62AB" w:rsidR="00867D52">
        <w:t>$25,</w:t>
      </w:r>
      <w:r w:rsidRPr="00CB62AB" w:rsidR="006E0A2C">
        <w:t>360</w:t>
      </w:r>
      <w:r w:rsidRPr="00CB62AB" w:rsidR="00867D52">
        <w:t xml:space="preserve"> (80</w:t>
      </w:r>
      <w:r w:rsidRPr="00CB62AB" w:rsidR="009A774E">
        <w:t xml:space="preserve"> </w:t>
      </w:r>
      <w:r w:rsidRPr="00CB62AB" w:rsidR="00867D52">
        <w:t>hours x $3</w:t>
      </w:r>
      <w:r w:rsidRPr="00CB62AB" w:rsidR="006E0A2C">
        <w:t>17</w:t>
      </w:r>
      <w:r w:rsidRPr="00CB62AB" w:rsidR="009B256B">
        <w:t xml:space="preserve"> per hour). </w:t>
      </w:r>
      <w:r w:rsidRPr="00CB62AB" w:rsidR="00C36BF0">
        <w:t xml:space="preserve">However, </w:t>
      </w:r>
      <w:r w:rsidRPr="00CB62AB" w:rsidR="009B256B">
        <w:t>t</w:t>
      </w:r>
      <w:r w:rsidRPr="00CB62AB" w:rsidR="00A53F39">
        <w:t xml:space="preserve">he NRC staff does not anticipate </w:t>
      </w:r>
      <w:r w:rsidRPr="00CB62AB" w:rsidR="007D6C6C">
        <w:t xml:space="preserve">any </w:t>
      </w:r>
      <w:r w:rsidRPr="00CB62AB" w:rsidR="00570478">
        <w:t xml:space="preserve">new </w:t>
      </w:r>
      <w:r w:rsidRPr="00CB62AB" w:rsidR="007D6C6C">
        <w:t xml:space="preserve">applications </w:t>
      </w:r>
      <w:r w:rsidRPr="00CB62AB" w:rsidR="00472B3F">
        <w:t xml:space="preserve">for </w:t>
      </w:r>
      <w:r w:rsidRPr="00CB62AB" w:rsidR="00570478">
        <w:t>LLW facilities over the course of the clearance period</w:t>
      </w:r>
      <w:r w:rsidRPr="00CB62AB" w:rsidR="00C36BF0">
        <w:t>.</w:t>
      </w:r>
      <w:r w:rsidRPr="00CB62AB" w:rsidR="006F7707">
        <w:t xml:space="preserve"> Therefore, the</w:t>
      </w:r>
      <w:r w:rsidRPr="00CB62AB" w:rsidR="00512829">
        <w:t xml:space="preserve"> annual burden </w:t>
      </w:r>
      <w:r w:rsidRPr="00CB62AB" w:rsidR="00512829">
        <w:t>would be $0 (0 hours x $3</w:t>
      </w:r>
      <w:r w:rsidRPr="00CB62AB" w:rsidR="006E0A2C">
        <w:t>17</w:t>
      </w:r>
      <w:r w:rsidRPr="00CB62AB" w:rsidR="00512829">
        <w:t xml:space="preserve"> per hour).</w:t>
      </w:r>
    </w:p>
    <w:p w:rsidR="00F5063B" w:rsidRPr="00CB62AB" w:rsidP="00913741" w14:paraId="0BE3ED44" w14:textId="77777777">
      <w:pPr>
        <w:pStyle w:val="BodyText"/>
        <w:ind w:left="1987"/>
      </w:pPr>
    </w:p>
    <w:p w:rsidR="00F5063B" w:rsidRPr="00CB62AB" w:rsidP="00913741" w14:paraId="3CA396E4" w14:textId="6897DCB0">
      <w:pPr>
        <w:pStyle w:val="BodyText"/>
        <w:ind w:left="1987"/>
      </w:pPr>
      <w:r w:rsidRPr="00CB62AB">
        <w:t>The $3</w:t>
      </w:r>
      <w:r w:rsidRPr="00CB62AB" w:rsidR="006E0A2C">
        <w:t>17</w:t>
      </w:r>
      <w:r w:rsidRPr="00CB62AB">
        <w:t xml:space="preserve"> hourly rate used in the burden estimates is based on the NRC’s fee for hourly rates as noted in 10 CFR 170.20 “Average cost per professional staff-hour.” For more information on the hourly rate, see the “Revision of Fee Schedules, Fee Recovery for Fiscal Year 2024” final rule (89 FR 51789, June</w:t>
      </w:r>
      <w:r w:rsidR="00ED14F0">
        <w:t> </w:t>
      </w:r>
      <w:r w:rsidRPr="00CB62AB">
        <w:t>20, 2024).</w:t>
      </w:r>
    </w:p>
    <w:p w:rsidR="005D7D52" w:rsidRPr="00CB62AB" w:rsidP="003B3934" w14:paraId="3A8384F2" w14:textId="77777777">
      <w:pPr>
        <w:pStyle w:val="ListParagraph"/>
        <w:tabs>
          <w:tab w:val="left" w:pos="2007"/>
        </w:tabs>
        <w:ind w:firstLine="0"/>
        <w:jc w:val="right"/>
      </w:pPr>
    </w:p>
    <w:p w:rsidR="00337A9E" w:rsidRPr="00CB62AB" w:rsidP="003B3934" w14:paraId="69090756" w14:textId="01EB4A06">
      <w:pPr>
        <w:pStyle w:val="ListParagraph"/>
        <w:numPr>
          <w:ilvl w:val="1"/>
          <w:numId w:val="1"/>
        </w:numPr>
        <w:tabs>
          <w:tab w:val="left" w:pos="2007"/>
        </w:tabs>
        <w:ind w:hanging="448"/>
      </w:pPr>
      <w:r w:rsidRPr="00CB62AB">
        <w:rPr>
          <w:u w:val="single"/>
        </w:rPr>
        <w:t>Estimate</w:t>
      </w:r>
      <w:r w:rsidRPr="00CB62AB">
        <w:rPr>
          <w:spacing w:val="-7"/>
          <w:u w:val="single"/>
        </w:rPr>
        <w:t xml:space="preserve"> </w:t>
      </w:r>
      <w:r w:rsidRPr="00CB62AB">
        <w:rPr>
          <w:u w:val="single"/>
        </w:rPr>
        <w:t>of</w:t>
      </w:r>
      <w:r w:rsidRPr="00CB62AB">
        <w:rPr>
          <w:spacing w:val="-7"/>
          <w:u w:val="single"/>
        </w:rPr>
        <w:t xml:space="preserve"> </w:t>
      </w:r>
      <w:r w:rsidRPr="00CB62AB">
        <w:rPr>
          <w:u w:val="single"/>
        </w:rPr>
        <w:t>Other</w:t>
      </w:r>
      <w:r w:rsidRPr="00CB62AB">
        <w:rPr>
          <w:spacing w:val="-6"/>
          <w:u w:val="single"/>
        </w:rPr>
        <w:t xml:space="preserve"> </w:t>
      </w:r>
      <w:r w:rsidRPr="00CB62AB">
        <w:rPr>
          <w:u w:val="single"/>
        </w:rPr>
        <w:t>Additional</w:t>
      </w:r>
      <w:r w:rsidRPr="00CB62AB">
        <w:rPr>
          <w:spacing w:val="-7"/>
          <w:u w:val="single"/>
        </w:rPr>
        <w:t xml:space="preserve"> </w:t>
      </w:r>
      <w:r w:rsidRPr="00CB62AB">
        <w:rPr>
          <w:spacing w:val="-2"/>
          <w:u w:val="single"/>
        </w:rPr>
        <w:t>Costs</w:t>
      </w:r>
    </w:p>
    <w:p w:rsidR="00337A9E" w:rsidRPr="00CB62AB" w:rsidP="003B3934" w14:paraId="69090757" w14:textId="77777777">
      <w:pPr>
        <w:pStyle w:val="BodyText"/>
      </w:pPr>
    </w:p>
    <w:p w:rsidR="003B3934" w:rsidRPr="00CB62AB" w:rsidP="003B3934" w14:paraId="7D2CE344" w14:textId="22832F7B">
      <w:pPr>
        <w:pStyle w:val="Level1"/>
        <w:widowControl/>
        <w:ind w:left="1736" w:firstLine="270"/>
        <w:rPr>
          <w:rFonts w:ascii="Arial" w:hAnsi="Arial"/>
          <w:sz w:val="22"/>
          <w:szCs w:val="22"/>
        </w:rPr>
      </w:pPr>
      <w:r w:rsidRPr="00CB62AB">
        <w:rPr>
          <w:rFonts w:ascii="Arial" w:hAnsi="Arial"/>
          <w:sz w:val="22"/>
          <w:szCs w:val="22"/>
        </w:rPr>
        <w:t>Additional costs remain unchanged at $</w:t>
      </w:r>
      <w:r w:rsidRPr="00CB62AB" w:rsidR="0001047F">
        <w:t xml:space="preserve"> </w:t>
      </w:r>
      <w:r w:rsidRPr="00CB62AB" w:rsidR="0001047F">
        <w:rPr>
          <w:rFonts w:ascii="Arial" w:hAnsi="Arial"/>
          <w:sz w:val="22"/>
          <w:szCs w:val="22"/>
        </w:rPr>
        <w:t>88,467</w:t>
      </w:r>
      <w:r w:rsidRPr="00CB62AB">
        <w:rPr>
          <w:rFonts w:ascii="Arial" w:hAnsi="Arial"/>
          <w:sz w:val="22"/>
          <w:szCs w:val="22"/>
        </w:rPr>
        <w:t>.</w:t>
      </w:r>
    </w:p>
    <w:p w:rsidR="00337A9E" w:rsidRPr="00CB62AB" w:rsidP="003B3934" w14:paraId="69090759" w14:textId="77777777">
      <w:pPr>
        <w:pStyle w:val="BodyText"/>
      </w:pPr>
    </w:p>
    <w:p w:rsidR="00337A9E" w:rsidRPr="00CB62AB" w:rsidP="003B3934" w14:paraId="6909075A" w14:textId="77777777">
      <w:pPr>
        <w:pStyle w:val="ListParagraph"/>
        <w:numPr>
          <w:ilvl w:val="1"/>
          <w:numId w:val="1"/>
        </w:numPr>
        <w:tabs>
          <w:tab w:val="left" w:pos="2007"/>
        </w:tabs>
      </w:pPr>
      <w:r w:rsidRPr="00CB62AB">
        <w:rPr>
          <w:u w:val="single"/>
        </w:rPr>
        <w:t>Estimated</w:t>
      </w:r>
      <w:r w:rsidRPr="00CB62AB">
        <w:rPr>
          <w:spacing w:val="-7"/>
          <w:u w:val="single"/>
        </w:rPr>
        <w:t xml:space="preserve"> </w:t>
      </w:r>
      <w:r w:rsidRPr="00CB62AB">
        <w:rPr>
          <w:u w:val="single"/>
        </w:rPr>
        <w:t>Annualized</w:t>
      </w:r>
      <w:r w:rsidRPr="00CB62AB">
        <w:rPr>
          <w:spacing w:val="-7"/>
          <w:u w:val="single"/>
        </w:rPr>
        <w:t xml:space="preserve"> </w:t>
      </w:r>
      <w:r w:rsidRPr="00CB62AB">
        <w:rPr>
          <w:u w:val="single"/>
        </w:rPr>
        <w:t>Cost</w:t>
      </w:r>
      <w:r w:rsidRPr="00CB62AB">
        <w:rPr>
          <w:spacing w:val="-7"/>
          <w:u w:val="single"/>
        </w:rPr>
        <w:t xml:space="preserve"> </w:t>
      </w:r>
      <w:r w:rsidRPr="00CB62AB">
        <w:rPr>
          <w:u w:val="single"/>
        </w:rPr>
        <w:t>to</w:t>
      </w:r>
      <w:r w:rsidRPr="00CB62AB">
        <w:rPr>
          <w:spacing w:val="-7"/>
          <w:u w:val="single"/>
        </w:rPr>
        <w:t xml:space="preserve"> </w:t>
      </w:r>
      <w:r w:rsidRPr="00CB62AB">
        <w:rPr>
          <w:u w:val="single"/>
        </w:rPr>
        <w:t>the</w:t>
      </w:r>
      <w:r w:rsidRPr="00CB62AB">
        <w:rPr>
          <w:spacing w:val="-7"/>
          <w:u w:val="single"/>
        </w:rPr>
        <w:t xml:space="preserve"> </w:t>
      </w:r>
      <w:r w:rsidRPr="00CB62AB">
        <w:rPr>
          <w:u w:val="single"/>
        </w:rPr>
        <w:t>Federal</w:t>
      </w:r>
      <w:r w:rsidRPr="00CB62AB">
        <w:rPr>
          <w:spacing w:val="-7"/>
          <w:u w:val="single"/>
        </w:rPr>
        <w:t xml:space="preserve"> </w:t>
      </w:r>
      <w:r w:rsidRPr="00CB62AB">
        <w:rPr>
          <w:spacing w:val="-2"/>
          <w:u w:val="single"/>
        </w:rPr>
        <w:t>Government</w:t>
      </w:r>
    </w:p>
    <w:p w:rsidR="00CD15C4" w:rsidRPr="00CB62AB" w:rsidP="00EC634E" w14:paraId="447E9423" w14:textId="77777777">
      <w:pPr>
        <w:pStyle w:val="Level1"/>
        <w:widowControl/>
        <w:ind w:left="2006"/>
        <w:rPr>
          <w:rFonts w:ascii="Arial" w:hAnsi="Arial"/>
          <w:sz w:val="22"/>
          <w:szCs w:val="22"/>
        </w:rPr>
      </w:pPr>
    </w:p>
    <w:p w:rsidR="0002159D" w:rsidRPr="00CB62AB" w:rsidP="00EC634E" w14:paraId="7E55B490" w14:textId="3534B69D">
      <w:pPr>
        <w:pStyle w:val="Level1"/>
        <w:widowControl/>
        <w:ind w:left="2006"/>
        <w:rPr>
          <w:rFonts w:ascii="Arial" w:hAnsi="Arial"/>
          <w:sz w:val="22"/>
          <w:szCs w:val="22"/>
        </w:rPr>
      </w:pPr>
      <w:r w:rsidRPr="00CB62AB">
        <w:rPr>
          <w:rFonts w:ascii="Arial" w:hAnsi="Arial"/>
          <w:sz w:val="22"/>
          <w:szCs w:val="22"/>
        </w:rPr>
        <w:t xml:space="preserve">The NRC </w:t>
      </w:r>
      <w:r w:rsidRPr="00CB62AB" w:rsidR="008E34CE">
        <w:rPr>
          <w:rFonts w:ascii="Arial" w:hAnsi="Arial"/>
          <w:sz w:val="22"/>
          <w:szCs w:val="22"/>
        </w:rPr>
        <w:t xml:space="preserve">staff </w:t>
      </w:r>
      <w:r w:rsidRPr="00CB62AB">
        <w:rPr>
          <w:rFonts w:ascii="Arial" w:hAnsi="Arial"/>
          <w:sz w:val="22"/>
          <w:szCs w:val="22"/>
        </w:rPr>
        <w:t xml:space="preserve">does not anticipate any responses </w:t>
      </w:r>
      <w:r w:rsidRPr="00CB62AB" w:rsidR="00A90B4D">
        <w:rPr>
          <w:rFonts w:ascii="Arial" w:hAnsi="Arial"/>
          <w:sz w:val="22"/>
          <w:szCs w:val="22"/>
        </w:rPr>
        <w:t>over the course of the clearance</w:t>
      </w:r>
      <w:r w:rsidRPr="00CB62AB">
        <w:rPr>
          <w:rFonts w:ascii="Arial" w:hAnsi="Arial"/>
          <w:sz w:val="22"/>
          <w:szCs w:val="22"/>
        </w:rPr>
        <w:t xml:space="preserve"> period following the effective date of the rule. Therefore, </w:t>
      </w:r>
      <w:r w:rsidRPr="00CB62AB">
        <w:rPr>
          <w:rFonts w:ascii="Arial" w:hAnsi="Arial"/>
          <w:sz w:val="22"/>
          <w:szCs w:val="22"/>
        </w:rPr>
        <w:t xml:space="preserve">the cost to the Federal </w:t>
      </w:r>
      <w:r w:rsidR="000779CA">
        <w:rPr>
          <w:rFonts w:ascii="Arial" w:hAnsi="Arial"/>
          <w:sz w:val="22"/>
          <w:szCs w:val="22"/>
        </w:rPr>
        <w:t>G</w:t>
      </w:r>
      <w:r w:rsidRPr="00CB62AB">
        <w:rPr>
          <w:rFonts w:ascii="Arial" w:hAnsi="Arial"/>
          <w:sz w:val="22"/>
          <w:szCs w:val="22"/>
        </w:rPr>
        <w:t>overnment remains unchanged at $</w:t>
      </w:r>
      <w:r w:rsidRPr="00CB62AB" w:rsidR="0001047F">
        <w:t xml:space="preserve"> </w:t>
      </w:r>
      <w:r w:rsidRPr="00CB62AB" w:rsidR="0001047F">
        <w:rPr>
          <w:rFonts w:ascii="Arial" w:hAnsi="Arial"/>
          <w:sz w:val="22"/>
          <w:szCs w:val="22"/>
        </w:rPr>
        <w:t>2,475,900</w:t>
      </w:r>
      <w:r w:rsidRPr="00CB62AB" w:rsidR="0016772E">
        <w:rPr>
          <w:rFonts w:ascii="Arial" w:hAnsi="Arial"/>
          <w:sz w:val="22"/>
          <w:szCs w:val="22"/>
        </w:rPr>
        <w:t>.</w:t>
      </w:r>
    </w:p>
    <w:p w:rsidR="0002159D" w:rsidRPr="00CB62AB" w:rsidP="00EC634E" w14:paraId="4EC1C9F5" w14:textId="77777777">
      <w:pPr>
        <w:pStyle w:val="Level1"/>
        <w:widowControl/>
        <w:ind w:left="2006"/>
        <w:rPr>
          <w:rFonts w:ascii="Arial" w:hAnsi="Arial"/>
          <w:sz w:val="22"/>
          <w:szCs w:val="22"/>
        </w:rPr>
      </w:pPr>
    </w:p>
    <w:p w:rsidR="00EC634E" w:rsidRPr="00CB62AB" w:rsidP="00EC634E" w14:paraId="5095BB90" w14:textId="0F3B81A8">
      <w:pPr>
        <w:pStyle w:val="Level1"/>
        <w:widowControl/>
        <w:ind w:left="2006"/>
        <w:rPr>
          <w:rFonts w:ascii="Arial" w:hAnsi="Arial"/>
          <w:sz w:val="22"/>
          <w:szCs w:val="22"/>
        </w:rPr>
      </w:pPr>
      <w:r w:rsidRPr="00CB62AB">
        <w:rPr>
          <w:rFonts w:ascii="Arial" w:hAnsi="Arial"/>
          <w:sz w:val="22"/>
          <w:szCs w:val="22"/>
        </w:rPr>
        <w:t xml:space="preserve">Although no new applicants are anticipated, if an application were </w:t>
      </w:r>
      <w:r w:rsidRPr="00CB62AB" w:rsidR="000A7CFF">
        <w:rPr>
          <w:rFonts w:ascii="Arial" w:hAnsi="Arial"/>
          <w:sz w:val="22"/>
          <w:szCs w:val="22"/>
        </w:rPr>
        <w:t xml:space="preserve">to be </w:t>
      </w:r>
      <w:r w:rsidRPr="00CB62AB">
        <w:rPr>
          <w:rFonts w:ascii="Arial" w:hAnsi="Arial"/>
          <w:sz w:val="22"/>
          <w:szCs w:val="22"/>
        </w:rPr>
        <w:t xml:space="preserve">received, the burden to the Federal Government would be approximately </w:t>
      </w:r>
      <w:r w:rsidRPr="00CB62AB" w:rsidR="00074744">
        <w:rPr>
          <w:rFonts w:ascii="Arial" w:hAnsi="Arial"/>
          <w:sz w:val="22"/>
          <w:szCs w:val="22"/>
        </w:rPr>
        <w:t>40</w:t>
      </w:r>
      <w:r w:rsidRPr="00CB62AB">
        <w:rPr>
          <w:rFonts w:ascii="Arial" w:hAnsi="Arial"/>
          <w:sz w:val="22"/>
          <w:szCs w:val="22"/>
        </w:rPr>
        <w:t> hours</w:t>
      </w:r>
      <w:r w:rsidRPr="00CB62AB" w:rsidR="00C02782">
        <w:rPr>
          <w:rFonts w:ascii="Arial" w:hAnsi="Arial"/>
          <w:sz w:val="22"/>
          <w:szCs w:val="22"/>
        </w:rPr>
        <w:t>.</w:t>
      </w:r>
    </w:p>
    <w:p w:rsidR="008E34CE" w:rsidRPr="00CB62AB" w:rsidP="00EC634E" w14:paraId="51A18D61" w14:textId="77777777">
      <w:pPr>
        <w:pStyle w:val="Level1"/>
        <w:widowControl/>
        <w:ind w:left="2006"/>
        <w:rPr>
          <w:rFonts w:ascii="Arial" w:hAnsi="Arial"/>
          <w:sz w:val="22"/>
          <w:szCs w:val="22"/>
        </w:rPr>
      </w:pPr>
    </w:p>
    <w:p w:rsidR="00337A9E" w:rsidRPr="00CB62AB" w14:paraId="69090763" w14:textId="77777777">
      <w:pPr>
        <w:pStyle w:val="ListParagraph"/>
        <w:numPr>
          <w:ilvl w:val="1"/>
          <w:numId w:val="1"/>
        </w:numPr>
        <w:tabs>
          <w:tab w:val="left" w:pos="2007"/>
        </w:tabs>
        <w:ind w:hanging="448"/>
      </w:pPr>
      <w:r w:rsidRPr="00CB62AB">
        <w:rPr>
          <w:u w:val="single"/>
        </w:rPr>
        <w:t>Reasons</w:t>
      </w:r>
      <w:r w:rsidRPr="00CB62AB">
        <w:rPr>
          <w:spacing w:val="-6"/>
          <w:u w:val="single"/>
        </w:rPr>
        <w:t xml:space="preserve"> </w:t>
      </w:r>
      <w:r w:rsidRPr="00CB62AB">
        <w:rPr>
          <w:u w:val="single"/>
        </w:rPr>
        <w:t>for</w:t>
      </w:r>
      <w:r w:rsidRPr="00CB62AB">
        <w:rPr>
          <w:spacing w:val="-6"/>
          <w:u w:val="single"/>
        </w:rPr>
        <w:t xml:space="preserve"> </w:t>
      </w:r>
      <w:r w:rsidRPr="00CB62AB">
        <w:rPr>
          <w:u w:val="single"/>
        </w:rPr>
        <w:t>Changes</w:t>
      </w:r>
      <w:r w:rsidRPr="00CB62AB">
        <w:rPr>
          <w:spacing w:val="-5"/>
          <w:u w:val="single"/>
        </w:rPr>
        <w:t xml:space="preserve"> </w:t>
      </w:r>
      <w:r w:rsidRPr="00CB62AB">
        <w:rPr>
          <w:u w:val="single"/>
        </w:rPr>
        <w:t>in</w:t>
      </w:r>
      <w:r w:rsidRPr="00CB62AB">
        <w:rPr>
          <w:spacing w:val="-7"/>
          <w:u w:val="single"/>
        </w:rPr>
        <w:t xml:space="preserve"> </w:t>
      </w:r>
      <w:r w:rsidRPr="00CB62AB">
        <w:rPr>
          <w:u w:val="single"/>
        </w:rPr>
        <w:t>Burden</w:t>
      </w:r>
      <w:r w:rsidRPr="00CB62AB">
        <w:rPr>
          <w:spacing w:val="-5"/>
          <w:u w:val="single"/>
        </w:rPr>
        <w:t xml:space="preserve"> </w:t>
      </w:r>
      <w:r w:rsidRPr="00CB62AB">
        <w:rPr>
          <w:u w:val="single"/>
        </w:rPr>
        <w:t>or</w:t>
      </w:r>
      <w:r w:rsidRPr="00CB62AB">
        <w:rPr>
          <w:spacing w:val="-5"/>
          <w:u w:val="single"/>
        </w:rPr>
        <w:t xml:space="preserve"> </w:t>
      </w:r>
      <w:r w:rsidRPr="00CB62AB">
        <w:rPr>
          <w:spacing w:val="-4"/>
          <w:u w:val="single"/>
        </w:rPr>
        <w:t>Cost</w:t>
      </w:r>
    </w:p>
    <w:p w:rsidR="00337A9E" w:rsidRPr="00CB62AB" w14:paraId="69090764" w14:textId="77777777">
      <w:pPr>
        <w:pStyle w:val="BodyText"/>
        <w:rPr>
          <w:sz w:val="14"/>
        </w:rPr>
      </w:pPr>
    </w:p>
    <w:p w:rsidR="00337A9E" w:rsidRPr="00CB62AB" w:rsidP="002414BB" w14:paraId="6909076E" w14:textId="1B807499">
      <w:pPr>
        <w:pStyle w:val="BodyText"/>
        <w:ind w:left="2006"/>
        <w:rPr>
          <w:sz w:val="24"/>
          <w:szCs w:val="24"/>
        </w:rPr>
      </w:pPr>
      <w:r w:rsidRPr="00CB62AB">
        <w:t>F</w:t>
      </w:r>
      <w:r w:rsidRPr="00CB62AB" w:rsidR="00673A68">
        <w:t>usion machines licensee would have to perform an analysis showing</w:t>
      </w:r>
      <w:r w:rsidRPr="00CB62AB" w:rsidR="00C312C1">
        <w:t xml:space="preserve"> whether</w:t>
      </w:r>
      <w:r w:rsidRPr="00CB62AB" w:rsidR="00673A68">
        <w:t xml:space="preserve"> the waste is manifested and labeled for disposal consistent with the description of the applicable waste class in §</w:t>
      </w:r>
      <w:r w:rsidR="00C450A1">
        <w:t> 6</w:t>
      </w:r>
      <w:r w:rsidRPr="00CB62AB" w:rsidR="00673A68">
        <w:t>1.7</w:t>
      </w:r>
      <w:r w:rsidRPr="00CB62AB" w:rsidR="00C312C1">
        <w:t>. Licensees could either provide an assessment demonstrating the waste is manifested and labeled for disposal consistent with the description of the applicable waste class in §</w:t>
      </w:r>
      <w:r w:rsidR="00C450A1">
        <w:t> 6</w:t>
      </w:r>
      <w:r w:rsidRPr="00CB62AB" w:rsidR="00C312C1">
        <w:t>1.7 or ensure that the waste will be disposed of in a disposal facility that has completed a site-specific intrusion assessment that demonstrates the projected dose to an individual who inadvertently intrudes into the waste at the facility will be less than 0.5 rem (5 (mSv)) per year.</w:t>
      </w:r>
      <w:r w:rsidRPr="00CB62AB" w:rsidR="00C013A8">
        <w:t xml:space="preserve"> </w:t>
      </w:r>
      <w:r w:rsidRPr="00CB62AB" w:rsidR="006A5581">
        <w:t xml:space="preserve">Fusion machine </w:t>
      </w:r>
      <w:r w:rsidRPr="00CB62AB" w:rsidR="006A5581">
        <w:t>licensees</w:t>
      </w:r>
      <w:r w:rsidRPr="00CB62AB" w:rsidR="006A5581">
        <w:t xml:space="preserve"> would need to ensure that the disposal sites demonstrate completion of this assessment.</w:t>
      </w:r>
      <w:r w:rsidRPr="00CB62AB" w:rsidR="00FC4825">
        <w:t xml:space="preserve"> </w:t>
      </w:r>
      <w:r w:rsidRPr="00CB62AB" w:rsidR="6E643A15">
        <w:rPr>
          <w:color w:val="333333"/>
        </w:rPr>
        <w:t>The NRC staff anticipates that that it would take 40 hours for one to perform and document an analysis showing that the waste is manifested and labeled for disposal consistent with the description of the applicable waste class in §</w:t>
      </w:r>
      <w:r w:rsidR="00C450A1">
        <w:rPr>
          <w:color w:val="333333"/>
        </w:rPr>
        <w:t> 6</w:t>
      </w:r>
      <w:r w:rsidRPr="00CB62AB" w:rsidR="6E643A15">
        <w:rPr>
          <w:color w:val="333333"/>
        </w:rPr>
        <w:t xml:space="preserve">1.7, increasing the burden </w:t>
      </w:r>
      <w:r w:rsidRPr="00CB62AB" w:rsidR="006C03BF">
        <w:t xml:space="preserve">from </w:t>
      </w:r>
      <w:r w:rsidRPr="00CB62AB" w:rsidR="00844617">
        <w:t>88,467</w:t>
      </w:r>
      <w:r w:rsidRPr="00CB62AB" w:rsidR="006C03BF">
        <w:t xml:space="preserve"> to </w:t>
      </w:r>
      <w:r w:rsidRPr="00CB62AB" w:rsidR="0099207C">
        <w:t>88,507.</w:t>
      </w:r>
      <w:r w:rsidRPr="00CB62AB" w:rsidR="006A5581">
        <w:t xml:space="preserve">Future </w:t>
      </w:r>
      <w:r w:rsidRPr="00CB62AB" w:rsidR="003D53C0">
        <w:t xml:space="preserve">LLW </w:t>
      </w:r>
      <w:r w:rsidRPr="00CB62AB" w:rsidR="006A5581">
        <w:t>licensees</w:t>
      </w:r>
      <w:r w:rsidRPr="00CB62AB" w:rsidR="00AF27E3">
        <w:t xml:space="preserve"> would incur a burden of 80 hours to prepare a site-specific </w:t>
      </w:r>
      <w:r w:rsidRPr="00CB62AB" w:rsidR="00F662A6">
        <w:t>intruder assessment.</w:t>
      </w:r>
    </w:p>
    <w:p w:rsidR="00337A9E" w:rsidRPr="00CB62AB" w14:paraId="6909076F" w14:textId="77777777">
      <w:pPr>
        <w:pStyle w:val="BodyText"/>
        <w:spacing w:before="11"/>
        <w:rPr>
          <w:sz w:val="19"/>
        </w:rPr>
      </w:pPr>
    </w:p>
    <w:p w:rsidR="00337A9E" w:rsidRPr="00CB62AB" w14:paraId="69090770" w14:textId="77777777">
      <w:pPr>
        <w:pStyle w:val="ListParagraph"/>
        <w:numPr>
          <w:ilvl w:val="1"/>
          <w:numId w:val="1"/>
        </w:numPr>
        <w:tabs>
          <w:tab w:val="left" w:pos="2007"/>
        </w:tabs>
      </w:pPr>
      <w:r w:rsidRPr="00CB62AB">
        <w:rPr>
          <w:u w:val="single"/>
        </w:rPr>
        <w:t>Publication</w:t>
      </w:r>
      <w:r w:rsidRPr="00CB62AB">
        <w:rPr>
          <w:spacing w:val="-9"/>
          <w:u w:val="single"/>
        </w:rPr>
        <w:t xml:space="preserve"> </w:t>
      </w:r>
      <w:r w:rsidRPr="00CB62AB">
        <w:rPr>
          <w:u w:val="single"/>
        </w:rPr>
        <w:t>for</w:t>
      </w:r>
      <w:r w:rsidRPr="00CB62AB">
        <w:rPr>
          <w:spacing w:val="-9"/>
          <w:u w:val="single"/>
        </w:rPr>
        <w:t xml:space="preserve"> </w:t>
      </w:r>
      <w:r w:rsidRPr="00CB62AB">
        <w:rPr>
          <w:u w:val="single"/>
        </w:rPr>
        <w:t>Statistical</w:t>
      </w:r>
      <w:r w:rsidRPr="00CB62AB">
        <w:rPr>
          <w:spacing w:val="-8"/>
          <w:u w:val="single"/>
        </w:rPr>
        <w:t xml:space="preserve"> </w:t>
      </w:r>
      <w:r w:rsidRPr="00CB62AB">
        <w:rPr>
          <w:spacing w:val="-5"/>
          <w:u w:val="single"/>
        </w:rPr>
        <w:t>Use</w:t>
      </w:r>
    </w:p>
    <w:p w:rsidR="00337A9E" w:rsidRPr="00CB62AB" w14:paraId="5BBFEACE" w14:textId="77777777"/>
    <w:p w:rsidR="00521838" w:rsidRPr="00CB62AB" w:rsidP="00521838" w14:paraId="3FFC3FBF" w14:textId="77777777">
      <w:pPr>
        <w:pStyle w:val="Level1"/>
        <w:ind w:left="1980"/>
        <w:rPr>
          <w:rFonts w:ascii="Arial" w:hAnsi="Arial"/>
          <w:sz w:val="22"/>
          <w:szCs w:val="22"/>
        </w:rPr>
      </w:pPr>
      <w:r w:rsidRPr="00CB62AB">
        <w:rPr>
          <w:rFonts w:ascii="Arial" w:hAnsi="Arial"/>
          <w:sz w:val="22"/>
          <w:szCs w:val="22"/>
        </w:rPr>
        <w:t>The information being collected is not expected to be published for statistical use.</w:t>
      </w:r>
    </w:p>
    <w:p w:rsidR="00337A9E" w:rsidRPr="00CB62AB" w14:paraId="69090773" w14:textId="77777777">
      <w:pPr>
        <w:pStyle w:val="BodyText"/>
        <w:spacing w:before="11"/>
        <w:rPr>
          <w:sz w:val="21"/>
        </w:rPr>
      </w:pPr>
    </w:p>
    <w:p w:rsidR="00337A9E" w:rsidRPr="00CB62AB" w14:paraId="69090774" w14:textId="77777777">
      <w:pPr>
        <w:pStyle w:val="ListParagraph"/>
        <w:numPr>
          <w:ilvl w:val="1"/>
          <w:numId w:val="1"/>
        </w:numPr>
        <w:tabs>
          <w:tab w:val="left" w:pos="2007"/>
        </w:tabs>
        <w:ind w:hanging="448"/>
      </w:pPr>
      <w:r w:rsidRPr="00CB62AB">
        <w:rPr>
          <w:u w:val="single"/>
        </w:rPr>
        <w:t>Reason</w:t>
      </w:r>
      <w:r w:rsidRPr="00CB62AB">
        <w:rPr>
          <w:spacing w:val="-7"/>
          <w:u w:val="single"/>
        </w:rPr>
        <w:t xml:space="preserve"> </w:t>
      </w:r>
      <w:r w:rsidRPr="00CB62AB">
        <w:rPr>
          <w:u w:val="single"/>
        </w:rPr>
        <w:t>for</w:t>
      </w:r>
      <w:r w:rsidRPr="00CB62AB">
        <w:rPr>
          <w:spacing w:val="-6"/>
          <w:u w:val="single"/>
        </w:rPr>
        <w:t xml:space="preserve"> </w:t>
      </w:r>
      <w:r w:rsidRPr="00CB62AB">
        <w:rPr>
          <w:u w:val="single"/>
        </w:rPr>
        <w:t>Not</w:t>
      </w:r>
      <w:r w:rsidRPr="00CB62AB">
        <w:rPr>
          <w:spacing w:val="-6"/>
          <w:u w:val="single"/>
        </w:rPr>
        <w:t xml:space="preserve"> </w:t>
      </w:r>
      <w:r w:rsidRPr="00CB62AB">
        <w:rPr>
          <w:u w:val="single"/>
        </w:rPr>
        <w:t>Displaying</w:t>
      </w:r>
      <w:r w:rsidRPr="00CB62AB">
        <w:rPr>
          <w:spacing w:val="-7"/>
          <w:u w:val="single"/>
        </w:rPr>
        <w:t xml:space="preserve"> </w:t>
      </w:r>
      <w:r w:rsidRPr="00CB62AB">
        <w:rPr>
          <w:u w:val="single"/>
        </w:rPr>
        <w:t>the</w:t>
      </w:r>
      <w:r w:rsidRPr="00CB62AB">
        <w:rPr>
          <w:spacing w:val="-6"/>
          <w:u w:val="single"/>
        </w:rPr>
        <w:t xml:space="preserve"> </w:t>
      </w:r>
      <w:r w:rsidRPr="00CB62AB">
        <w:rPr>
          <w:u w:val="single"/>
        </w:rPr>
        <w:t>Expiration</w:t>
      </w:r>
      <w:r w:rsidRPr="00CB62AB">
        <w:rPr>
          <w:spacing w:val="-6"/>
          <w:u w:val="single"/>
        </w:rPr>
        <w:t xml:space="preserve"> </w:t>
      </w:r>
      <w:r w:rsidRPr="00CB62AB">
        <w:rPr>
          <w:spacing w:val="-4"/>
          <w:u w:val="single"/>
        </w:rPr>
        <w:t>Date</w:t>
      </w:r>
    </w:p>
    <w:p w:rsidR="00337A9E" w:rsidRPr="00CB62AB" w14:paraId="69090775" w14:textId="77777777">
      <w:pPr>
        <w:pStyle w:val="BodyText"/>
        <w:rPr>
          <w:sz w:val="14"/>
        </w:rPr>
      </w:pPr>
    </w:p>
    <w:p w:rsidR="00337A9E" w:rsidRPr="000B3814" w:rsidP="000B3814" w14:paraId="69090776" w14:textId="6554A782">
      <w:pPr>
        <w:pStyle w:val="BodyText"/>
        <w:ind w:left="2006"/>
        <w:rPr>
          <w:color w:val="333333"/>
        </w:rPr>
      </w:pPr>
      <w:r w:rsidRPr="000B3814">
        <w:rPr>
          <w:color w:val="333333"/>
        </w:rPr>
        <w:t>The requirements are contained in a regulation. Amending the Code of Federal Regulations to display information that, in an annual publication, could become obsolete would be unduly burdensome and too difficult to keep current.</w:t>
      </w:r>
    </w:p>
    <w:p w:rsidR="00337A9E" w:rsidRPr="00CB62AB" w:rsidP="00913741" w14:paraId="69090777" w14:textId="77777777">
      <w:pPr>
        <w:pStyle w:val="BodyText"/>
        <w:spacing w:before="11"/>
        <w:rPr>
          <w:sz w:val="21"/>
        </w:rPr>
      </w:pPr>
    </w:p>
    <w:p w:rsidR="00337A9E" w:rsidRPr="00CB62AB" w14:paraId="69090778" w14:textId="77777777">
      <w:pPr>
        <w:pStyle w:val="ListParagraph"/>
        <w:numPr>
          <w:ilvl w:val="1"/>
          <w:numId w:val="1"/>
        </w:numPr>
        <w:tabs>
          <w:tab w:val="left" w:pos="2007"/>
        </w:tabs>
      </w:pPr>
      <w:r w:rsidRPr="00CB62AB">
        <w:rPr>
          <w:u w:val="single"/>
        </w:rPr>
        <w:t>Exceptions</w:t>
      </w:r>
      <w:r w:rsidRPr="00CB62AB">
        <w:rPr>
          <w:spacing w:val="-8"/>
          <w:u w:val="single"/>
        </w:rPr>
        <w:t xml:space="preserve"> </w:t>
      </w:r>
      <w:r w:rsidRPr="00CB62AB">
        <w:rPr>
          <w:u w:val="single"/>
        </w:rPr>
        <w:t>to</w:t>
      </w:r>
      <w:r w:rsidRPr="00CB62AB">
        <w:rPr>
          <w:spacing w:val="-7"/>
          <w:u w:val="single"/>
        </w:rPr>
        <w:t xml:space="preserve"> </w:t>
      </w:r>
      <w:r w:rsidRPr="00CB62AB">
        <w:rPr>
          <w:u w:val="single"/>
        </w:rPr>
        <w:t>the</w:t>
      </w:r>
      <w:r w:rsidRPr="00CB62AB">
        <w:rPr>
          <w:spacing w:val="-7"/>
          <w:u w:val="single"/>
        </w:rPr>
        <w:t xml:space="preserve"> </w:t>
      </w:r>
      <w:r w:rsidRPr="00CB62AB">
        <w:rPr>
          <w:u w:val="single"/>
        </w:rPr>
        <w:t>Certification</w:t>
      </w:r>
      <w:r w:rsidRPr="00CB62AB">
        <w:rPr>
          <w:spacing w:val="-7"/>
          <w:u w:val="single"/>
        </w:rPr>
        <w:t xml:space="preserve"> </w:t>
      </w:r>
      <w:r w:rsidRPr="00CB62AB">
        <w:rPr>
          <w:spacing w:val="-2"/>
          <w:u w:val="single"/>
        </w:rPr>
        <w:t>Statement</w:t>
      </w:r>
    </w:p>
    <w:p w:rsidR="00337A9E" w:rsidRPr="00CB62AB" w14:paraId="69090779" w14:textId="77777777">
      <w:pPr>
        <w:pStyle w:val="BodyText"/>
        <w:rPr>
          <w:sz w:val="14"/>
        </w:rPr>
      </w:pPr>
    </w:p>
    <w:p w:rsidR="00337A9E" w:rsidRPr="000B3814" w:rsidP="000B3814" w14:paraId="6909077A" w14:textId="77777777">
      <w:pPr>
        <w:pStyle w:val="BodyText"/>
        <w:ind w:left="2006"/>
        <w:rPr>
          <w:color w:val="333333"/>
        </w:rPr>
      </w:pPr>
      <w:r w:rsidRPr="000B3814">
        <w:rPr>
          <w:color w:val="333333"/>
        </w:rPr>
        <w:t>There are no exceptions.</w:t>
      </w:r>
    </w:p>
    <w:p w:rsidR="000B3814" w14:paraId="6909077B" w14:textId="2554EAB1">
      <w:pPr>
        <w:rPr>
          <w:sz w:val="21"/>
        </w:rPr>
      </w:pPr>
      <w:r>
        <w:rPr>
          <w:sz w:val="21"/>
        </w:rPr>
        <w:br w:type="page"/>
      </w:r>
    </w:p>
    <w:p w:rsidR="00337A9E" w:rsidRPr="00CB62AB" w14:paraId="45BC5BC5" w14:textId="77777777">
      <w:pPr>
        <w:pStyle w:val="BodyText"/>
        <w:spacing w:before="11"/>
        <w:rPr>
          <w:sz w:val="21"/>
        </w:rPr>
      </w:pPr>
    </w:p>
    <w:p w:rsidR="00337A9E" w:rsidRPr="00CB62AB" w14:paraId="6909077C" w14:textId="77777777">
      <w:pPr>
        <w:pStyle w:val="ListParagraph"/>
        <w:numPr>
          <w:ilvl w:val="0"/>
          <w:numId w:val="1"/>
        </w:numPr>
        <w:tabs>
          <w:tab w:val="left" w:pos="1660"/>
        </w:tabs>
        <w:ind w:hanging="331"/>
        <w:jc w:val="left"/>
      </w:pPr>
      <w:r w:rsidRPr="00CB62AB">
        <w:rPr>
          <w:u w:val="single"/>
        </w:rPr>
        <w:t>COLLECTIONS</w:t>
      </w:r>
      <w:r w:rsidRPr="00CB62AB">
        <w:rPr>
          <w:spacing w:val="-12"/>
          <w:u w:val="single"/>
        </w:rPr>
        <w:t xml:space="preserve"> </w:t>
      </w:r>
      <w:r w:rsidRPr="00CB62AB">
        <w:rPr>
          <w:u w:val="single"/>
        </w:rPr>
        <w:t>OF</w:t>
      </w:r>
      <w:r w:rsidRPr="00CB62AB">
        <w:rPr>
          <w:spacing w:val="-12"/>
          <w:u w:val="single"/>
        </w:rPr>
        <w:t xml:space="preserve"> </w:t>
      </w:r>
      <w:r w:rsidRPr="00CB62AB">
        <w:rPr>
          <w:u w:val="single"/>
        </w:rPr>
        <w:t>INFORMATION</w:t>
      </w:r>
      <w:r w:rsidRPr="00CB62AB">
        <w:rPr>
          <w:spacing w:val="-12"/>
          <w:u w:val="single"/>
        </w:rPr>
        <w:t xml:space="preserve"> </w:t>
      </w:r>
      <w:r w:rsidRPr="00CB62AB">
        <w:rPr>
          <w:u w:val="single"/>
        </w:rPr>
        <w:t>EMPLOYING</w:t>
      </w:r>
      <w:r w:rsidRPr="00CB62AB">
        <w:rPr>
          <w:spacing w:val="-12"/>
          <w:u w:val="single"/>
        </w:rPr>
        <w:t xml:space="preserve"> </w:t>
      </w:r>
      <w:r w:rsidRPr="00CB62AB">
        <w:rPr>
          <w:u w:val="single"/>
        </w:rPr>
        <w:t>STATISTICAL</w:t>
      </w:r>
      <w:r w:rsidRPr="00CB62AB">
        <w:rPr>
          <w:spacing w:val="-11"/>
          <w:u w:val="single"/>
        </w:rPr>
        <w:t xml:space="preserve"> </w:t>
      </w:r>
      <w:r w:rsidRPr="00CB62AB">
        <w:rPr>
          <w:spacing w:val="-2"/>
          <w:u w:val="single"/>
        </w:rPr>
        <w:t>METHODS</w:t>
      </w:r>
    </w:p>
    <w:p w:rsidR="00337A9E" w:rsidRPr="00CB62AB" w14:paraId="6909077D" w14:textId="77777777">
      <w:pPr>
        <w:pStyle w:val="BodyText"/>
        <w:rPr>
          <w:sz w:val="14"/>
        </w:rPr>
      </w:pPr>
    </w:p>
    <w:p w:rsidR="003877BD" w:rsidRPr="008362B1" w:rsidP="00B05B0E" w14:paraId="4EB65C63" w14:textId="058E03ED">
      <w:pPr>
        <w:ind w:left="1620" w:firstLine="62"/>
        <w:rPr>
          <w:rFonts w:ascii="Times New Roman" w:hAnsi="Times New Roman" w:cs="Times New Roman"/>
          <w:sz w:val="24"/>
          <w:szCs w:val="24"/>
        </w:rPr>
      </w:pPr>
      <w:r w:rsidRPr="00CB62AB">
        <w:t>This collection of information does not employ statistical methods.</w:t>
      </w:r>
    </w:p>
    <w:p w:rsidR="00337A9E" w14:paraId="592C6B3B" w14:textId="77777777">
      <w:pPr>
        <w:pStyle w:val="BodyText"/>
        <w:ind w:left="840" w:right="725"/>
      </w:pPr>
    </w:p>
    <w:sectPr w:rsidSect="00A65423">
      <w:headerReference w:type="default" r:id="rId10"/>
      <w:footerReference w:type="default" r:id="rId11"/>
      <w:pgSz w:w="12240" w:h="15840"/>
      <w:pgMar w:top="1420" w:right="1080" w:bottom="1350" w:left="600" w:header="0"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533" w14:paraId="539926F0" w14:textId="770AC9A6">
    <w:pPr>
      <w:pStyle w:val="BodyText"/>
      <w:spacing w:line="14" w:lineRule="auto"/>
      <w:rPr>
        <w:sz w:val="20"/>
      </w:rPr>
    </w:pPr>
  </w:p>
  <w:p w:rsidR="00C02533" w:rsidP="00C02533" w14:paraId="6796ECE9" w14:textId="0B44F9FF">
    <w:pPr>
      <w:pStyle w:val="Header"/>
    </w:pPr>
    <w:r>
      <w:rPr>
        <w:sz w:val="20"/>
      </w:rPr>
      <w:tab/>
    </w:r>
  </w:p>
  <w:p w:rsidR="00C02533" w:rsidP="00C02533" w14:paraId="3F3F69F7" w14:textId="73E6D818">
    <w:pPr>
      <w:pStyle w:val="BodyText"/>
      <w:tabs>
        <w:tab w:val="left" w:pos="6686"/>
      </w:tabs>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ge">
                <wp:posOffset>9530301</wp:posOffset>
              </wp:positionV>
              <wp:extent cx="244475" cy="181610"/>
              <wp:effectExtent l="0" t="0" r="3175" b="8890"/>
              <wp:wrapNone/>
              <wp:docPr id="1" name="docshap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7A9E" w14:textId="77777777">
                          <w:pPr>
                            <w:pStyle w:val="BodyText"/>
                            <w:spacing w:before="12"/>
                            <w:ind w:left="60"/>
                            <w:rPr>
                              <w:spacing w:val="-5"/>
                            </w:rPr>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rsidR="00C02533" w14:textId="77777777">
                          <w:pPr>
                            <w:pStyle w:val="BodyText"/>
                            <w:spacing w:before="12"/>
                            <w:ind w:left="60"/>
                            <w:rPr>
                              <w:spacing w:val="-5"/>
                            </w:rPr>
                          </w:pPr>
                        </w:p>
                        <w:p w:rsidR="00C02533" w14:textId="77777777">
                          <w:pPr>
                            <w:pStyle w:val="BodyText"/>
                            <w:spacing w:before="12"/>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2049" type="#_x0000_t202" style="width:19.25pt;height:14.3pt;margin-top:750.4pt;margin-left:0;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37A9E" w14:paraId="67A34C9C" w14:textId="77777777">
                    <w:pPr>
                      <w:pStyle w:val="BodyText"/>
                      <w:spacing w:before="12"/>
                      <w:ind w:left="60"/>
                      <w:rPr>
                        <w:spacing w:val="-5"/>
                      </w:rPr>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p w:rsidR="00C02533" w14:paraId="256F1782" w14:textId="77777777">
                    <w:pPr>
                      <w:pStyle w:val="BodyText"/>
                      <w:spacing w:before="12"/>
                      <w:ind w:left="60"/>
                      <w:rPr>
                        <w:spacing w:val="-5"/>
                      </w:rPr>
                    </w:pPr>
                  </w:p>
                  <w:p w:rsidR="00C02533" w14:paraId="52054057" w14:textId="77777777">
                    <w:pPr>
                      <w:pStyle w:val="BodyText"/>
                      <w:spacing w:before="12"/>
                      <w:ind w:left="60"/>
                    </w:pPr>
                  </w:p>
                </w:txbxContent>
              </v:textbox>
              <w10:wrap anchorx="margin"/>
            </v:shape>
          </w:pict>
        </mc:Fallback>
      </mc:AlternateContent>
    </w:r>
  </w:p>
  <w:p w:rsidR="00C02533" w14:paraId="301DB216" w14:textId="77777777">
    <w:pPr>
      <w:pStyle w:val="BodyText"/>
      <w:spacing w:line="14" w:lineRule="auto"/>
      <w:rPr>
        <w:sz w:val="20"/>
      </w:rPr>
    </w:pPr>
  </w:p>
  <w:p w:rsidR="00C02533" w14:paraId="5776ADB9" w14:textId="77777777">
    <w:pPr>
      <w:pStyle w:val="BodyText"/>
      <w:spacing w:line="14" w:lineRule="auto"/>
      <w:rPr>
        <w:sz w:val="20"/>
      </w:rPr>
    </w:pPr>
  </w:p>
  <w:p w:rsidR="00C02533" w14:paraId="5BD55669" w14:textId="77777777">
    <w:pPr>
      <w:pStyle w:val="BodyText"/>
      <w:spacing w:line="14" w:lineRule="auto"/>
      <w:rPr>
        <w:sz w:val="20"/>
      </w:rPr>
    </w:pPr>
  </w:p>
  <w:p w:rsidR="00337A9E" w14:paraId="69090BE4" w14:textId="029BB61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1DAC" w14:paraId="6FEC3D36" w14:textId="77777777">
      <w:r>
        <w:separator/>
      </w:r>
    </w:p>
  </w:footnote>
  <w:footnote w:type="continuationSeparator" w:id="1">
    <w:p w:rsidR="00BB1DAC" w14:paraId="5DB97880" w14:textId="77777777">
      <w:r>
        <w:continuationSeparator/>
      </w:r>
    </w:p>
  </w:footnote>
  <w:footnote w:type="continuationNotice" w:id="2">
    <w:p w:rsidR="00BB1DAC" w14:paraId="44E1873B" w14:textId="77777777"/>
  </w:footnote>
  <w:footnote w:id="3">
    <w:p w:rsidR="1C284457" w:rsidRPr="00CB62AB" w:rsidP="00CB62AB" w14:paraId="114F98E8" w14:textId="3CCB9810">
      <w:pPr>
        <w:pStyle w:val="FootnoteText"/>
        <w:ind w:left="180" w:hanging="180"/>
        <w:rPr>
          <w:rFonts w:eastAsia="Aptos"/>
          <w:sz w:val="18"/>
          <w:szCs w:val="18"/>
        </w:rPr>
      </w:pPr>
      <w:r w:rsidRPr="00CB62AB">
        <w:rPr>
          <w:rStyle w:val="FootnoteReference"/>
          <w:sz w:val="18"/>
          <w:szCs w:val="18"/>
        </w:rPr>
        <w:footnoteRef/>
      </w:r>
      <w:r w:rsidRPr="00CB62AB">
        <w:rPr>
          <w:sz w:val="18"/>
          <w:szCs w:val="18"/>
        </w:rPr>
        <w:t xml:space="preserve"> </w:t>
      </w:r>
      <w:r w:rsidR="00BE45B6">
        <w:rPr>
          <w:sz w:val="18"/>
          <w:szCs w:val="18"/>
        </w:rPr>
        <w:t xml:space="preserve"> </w:t>
      </w:r>
      <w:r w:rsidRPr="00CB62AB" w:rsidR="4018C5C9">
        <w:rPr>
          <w:rFonts w:eastAsia="Aptos"/>
          <w:sz w:val="18"/>
          <w:szCs w:val="18"/>
        </w:rPr>
        <w:t>During</w:t>
      </w:r>
      <w:r w:rsidRPr="00CB62AB">
        <w:rPr>
          <w:rFonts w:eastAsia="Aptos"/>
          <w:sz w:val="18"/>
          <w:szCs w:val="18"/>
        </w:rPr>
        <w:t xml:space="preserve"> the clearance period</w:t>
      </w:r>
      <w:r w:rsidRPr="00CB62AB" w:rsidR="4018C5C9">
        <w:rPr>
          <w:rFonts w:eastAsia="Aptos"/>
          <w:sz w:val="18"/>
          <w:szCs w:val="18"/>
        </w:rPr>
        <w:t>, all respondents</w:t>
      </w:r>
      <w:r w:rsidRPr="00CB62AB">
        <w:rPr>
          <w:rFonts w:eastAsia="Aptos"/>
          <w:sz w:val="18"/>
          <w:szCs w:val="18"/>
        </w:rPr>
        <w:t xml:space="preserve"> are </w:t>
      </w:r>
      <w:r w:rsidRPr="00CB62AB" w:rsidR="4018C5C9">
        <w:rPr>
          <w:rFonts w:eastAsia="Aptos"/>
          <w:sz w:val="18"/>
          <w:szCs w:val="18"/>
        </w:rPr>
        <w:t>expected</w:t>
      </w:r>
      <w:r w:rsidRPr="00CB62AB">
        <w:rPr>
          <w:rFonts w:eastAsia="Aptos"/>
          <w:sz w:val="18"/>
          <w:szCs w:val="18"/>
        </w:rPr>
        <w:t xml:space="preserve"> to be </w:t>
      </w:r>
      <w:r w:rsidRPr="00CB62AB" w:rsidR="4018C5C9">
        <w:rPr>
          <w:rFonts w:eastAsia="Aptos"/>
          <w:sz w:val="18"/>
          <w:szCs w:val="18"/>
        </w:rPr>
        <w:t>located in</w:t>
      </w:r>
      <w:r w:rsidRPr="00CB62AB">
        <w:rPr>
          <w:rFonts w:eastAsia="Aptos"/>
          <w:sz w:val="18"/>
          <w:szCs w:val="18"/>
        </w:rPr>
        <w:t xml:space="preserve"> Agreement States</w:t>
      </w:r>
      <w:r w:rsidRPr="00CB62AB" w:rsidR="4018C5C9">
        <w:rPr>
          <w:rFonts w:eastAsia="Aptos"/>
          <w:sz w:val="18"/>
          <w:szCs w:val="18"/>
        </w:rPr>
        <w:t>. However, due to compatibility requirements, Agreement State licensees will be subject to requirements that are equivalent to NRC requirements, and therefore, the burden for these respondents is included in this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20"/>
      <w:gridCol w:w="3520"/>
      <w:gridCol w:w="3520"/>
    </w:tblGrid>
    <w:tr w14:paraId="64DAF3A7" w14:textId="77777777" w:rsidTr="00CB62AB">
      <w:tblPrEx>
        <w:tblW w:w="0" w:type="auto"/>
        <w:tblLayout w:type="fixed"/>
        <w:tblLook w:val="06A0"/>
      </w:tblPrEx>
      <w:trPr>
        <w:trHeight w:val="300"/>
      </w:trPr>
      <w:tc>
        <w:tcPr>
          <w:tcW w:w="3520" w:type="dxa"/>
        </w:tcPr>
        <w:p w:rsidR="4018C5C9" w:rsidP="00CB62AB" w14:paraId="0E167E69" w14:textId="4BE3AF42">
          <w:pPr>
            <w:pStyle w:val="Header"/>
            <w:ind w:left="-115"/>
          </w:pPr>
        </w:p>
      </w:tc>
      <w:tc>
        <w:tcPr>
          <w:tcW w:w="3520" w:type="dxa"/>
        </w:tcPr>
        <w:p w:rsidR="4018C5C9" w:rsidP="00CB62AB" w14:paraId="0966E577" w14:textId="12939FC5">
          <w:pPr>
            <w:pStyle w:val="Header"/>
            <w:jc w:val="center"/>
          </w:pPr>
        </w:p>
      </w:tc>
      <w:tc>
        <w:tcPr>
          <w:tcW w:w="3520" w:type="dxa"/>
        </w:tcPr>
        <w:p w:rsidR="4018C5C9" w:rsidP="00CB62AB" w14:paraId="6F09FDA0" w14:textId="20B236FC">
          <w:pPr>
            <w:pStyle w:val="Header"/>
            <w:ind w:right="-115"/>
            <w:jc w:val="right"/>
          </w:pPr>
        </w:p>
      </w:tc>
    </w:tr>
  </w:tbl>
  <w:p w:rsidR="001D324A" w:rsidP="001D324A" w14:paraId="08EE7D23" w14:textId="4695B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start w:val="0"/>
      <w:numFmt w:val="bullet"/>
      <w:lvlText w:val="•"/>
      <w:lvlJc w:val="left"/>
      <w:pPr>
        <w:ind w:left="1680" w:hanging="841"/>
      </w:pPr>
    </w:lvl>
    <w:lvl w:ilvl="3">
      <w:start w:val="0"/>
      <w:numFmt w:val="bullet"/>
      <w:lvlText w:val="•"/>
      <w:lvlJc w:val="left"/>
      <w:pPr>
        <w:ind w:left="2665" w:hanging="841"/>
      </w:pPr>
    </w:lvl>
    <w:lvl w:ilvl="4">
      <w:start w:val="0"/>
      <w:numFmt w:val="bullet"/>
      <w:lvlText w:val="•"/>
      <w:lvlJc w:val="left"/>
      <w:pPr>
        <w:ind w:left="3650" w:hanging="841"/>
      </w:pPr>
    </w:lvl>
    <w:lvl w:ilvl="5">
      <w:start w:val="0"/>
      <w:numFmt w:val="bullet"/>
      <w:lvlText w:val="•"/>
      <w:lvlJc w:val="left"/>
      <w:pPr>
        <w:ind w:left="4635" w:hanging="841"/>
      </w:pPr>
    </w:lvl>
    <w:lvl w:ilvl="6">
      <w:start w:val="0"/>
      <w:numFmt w:val="bullet"/>
      <w:lvlText w:val="•"/>
      <w:lvlJc w:val="left"/>
      <w:pPr>
        <w:ind w:left="5620" w:hanging="841"/>
      </w:pPr>
    </w:lvl>
    <w:lvl w:ilvl="7">
      <w:start w:val="0"/>
      <w:numFmt w:val="bullet"/>
      <w:lvlText w:val="•"/>
      <w:lvlJc w:val="left"/>
      <w:pPr>
        <w:ind w:left="6605" w:hanging="841"/>
      </w:pPr>
    </w:lvl>
    <w:lvl w:ilvl="8">
      <w:start w:val="0"/>
      <w:numFmt w:val="bullet"/>
      <w:lvlText w:val="•"/>
      <w:lvlJc w:val="left"/>
      <w:pPr>
        <w:ind w:left="7590" w:hanging="841"/>
      </w:pPr>
    </w:lvl>
  </w:abstractNum>
  <w:abstractNum w:abstractNumId="1">
    <w:nsid w:val="1A560615"/>
    <w:multiLevelType w:val="hybridMultilevel"/>
    <w:tmpl w:val="E6D8A2E0"/>
    <w:lvl w:ilvl="0">
      <w:start w:val="1"/>
      <w:numFmt w:val="upperLetter"/>
      <w:lvlText w:val="%1."/>
      <w:lvlJc w:val="left"/>
      <w:pPr>
        <w:ind w:left="1659" w:hanging="722"/>
        <w:jc w:val="right"/>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2006" w:hanging="447"/>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2100" w:hanging="181"/>
      </w:pPr>
      <w:rPr>
        <w:rFonts w:ascii="Symbol" w:eastAsia="Symbol" w:hAnsi="Symbol" w:cs="Symbol" w:hint="default"/>
        <w:b w:val="0"/>
        <w:bCs w:val="0"/>
        <w:i w:val="0"/>
        <w:iCs w:val="0"/>
        <w:w w:val="99"/>
        <w:sz w:val="22"/>
        <w:szCs w:val="22"/>
        <w:lang w:val="en-US" w:eastAsia="en-US" w:bidi="ar-SA"/>
      </w:rPr>
    </w:lvl>
    <w:lvl w:ilvl="3">
      <w:start w:val="0"/>
      <w:numFmt w:val="bullet"/>
      <w:lvlText w:val="•"/>
      <w:lvlJc w:val="left"/>
      <w:pPr>
        <w:ind w:left="3235" w:hanging="181"/>
      </w:pPr>
      <w:rPr>
        <w:rFonts w:hint="default"/>
        <w:lang w:val="en-US" w:eastAsia="en-US" w:bidi="ar-SA"/>
      </w:rPr>
    </w:lvl>
    <w:lvl w:ilvl="4">
      <w:start w:val="0"/>
      <w:numFmt w:val="bullet"/>
      <w:lvlText w:val="•"/>
      <w:lvlJc w:val="left"/>
      <w:pPr>
        <w:ind w:left="4370" w:hanging="181"/>
      </w:pPr>
      <w:rPr>
        <w:rFonts w:hint="default"/>
        <w:lang w:val="en-US" w:eastAsia="en-US" w:bidi="ar-SA"/>
      </w:rPr>
    </w:lvl>
    <w:lvl w:ilvl="5">
      <w:start w:val="0"/>
      <w:numFmt w:val="bullet"/>
      <w:lvlText w:val="•"/>
      <w:lvlJc w:val="left"/>
      <w:pPr>
        <w:ind w:left="5505" w:hanging="181"/>
      </w:pPr>
      <w:rPr>
        <w:rFonts w:hint="default"/>
        <w:lang w:val="en-US" w:eastAsia="en-US" w:bidi="ar-SA"/>
      </w:rPr>
    </w:lvl>
    <w:lvl w:ilvl="6">
      <w:start w:val="0"/>
      <w:numFmt w:val="bullet"/>
      <w:lvlText w:val="•"/>
      <w:lvlJc w:val="left"/>
      <w:pPr>
        <w:ind w:left="6640" w:hanging="181"/>
      </w:pPr>
      <w:rPr>
        <w:rFonts w:hint="default"/>
        <w:lang w:val="en-US" w:eastAsia="en-US" w:bidi="ar-SA"/>
      </w:rPr>
    </w:lvl>
    <w:lvl w:ilvl="7">
      <w:start w:val="0"/>
      <w:numFmt w:val="bullet"/>
      <w:lvlText w:val="•"/>
      <w:lvlJc w:val="left"/>
      <w:pPr>
        <w:ind w:left="7775" w:hanging="181"/>
      </w:pPr>
      <w:rPr>
        <w:rFonts w:hint="default"/>
        <w:lang w:val="en-US" w:eastAsia="en-US" w:bidi="ar-SA"/>
      </w:rPr>
    </w:lvl>
    <w:lvl w:ilvl="8">
      <w:start w:val="0"/>
      <w:numFmt w:val="bullet"/>
      <w:lvlText w:val="•"/>
      <w:lvlJc w:val="left"/>
      <w:pPr>
        <w:ind w:left="8910" w:hanging="181"/>
      </w:pPr>
      <w:rPr>
        <w:rFonts w:hint="default"/>
        <w:lang w:val="en-US" w:eastAsia="en-US" w:bidi="ar-SA"/>
      </w:rPr>
    </w:lvl>
  </w:abstractNum>
  <w:abstractNum w:abstractNumId="2">
    <w:nsid w:val="4332094B"/>
    <w:multiLevelType w:val="hybridMultilevel"/>
    <w:tmpl w:val="5854157A"/>
    <w:lvl w:ilvl="0">
      <w:start w:val="1"/>
      <w:numFmt w:val="decimal"/>
      <w:lvlText w:val="(%1)"/>
      <w:lvlJc w:val="left"/>
      <w:pPr>
        <w:ind w:left="1290" w:hanging="450"/>
      </w:pPr>
      <w:rPr>
        <w:rFonts w:ascii="Arial" w:eastAsia="Arial" w:hAnsi="Arial" w:cs="Arial" w:hint="default"/>
        <w:b w:val="0"/>
        <w:bCs w:val="0"/>
        <w:i w:val="0"/>
        <w:iCs w:val="0"/>
        <w:spacing w:val="-1"/>
        <w:w w:val="98"/>
        <w:sz w:val="22"/>
        <w:szCs w:val="22"/>
        <w:lang w:val="en-US" w:eastAsia="en-US" w:bidi="ar-SA"/>
      </w:rPr>
    </w:lvl>
    <w:lvl w:ilvl="1">
      <w:start w:val="0"/>
      <w:numFmt w:val="bullet"/>
      <w:lvlText w:val="•"/>
      <w:lvlJc w:val="left"/>
      <w:pPr>
        <w:ind w:left="2288" w:hanging="450"/>
      </w:pPr>
      <w:rPr>
        <w:rFonts w:hint="default"/>
        <w:lang w:val="en-US" w:eastAsia="en-US" w:bidi="ar-SA"/>
      </w:rPr>
    </w:lvl>
    <w:lvl w:ilvl="2">
      <w:start w:val="0"/>
      <w:numFmt w:val="bullet"/>
      <w:lvlText w:val="•"/>
      <w:lvlJc w:val="left"/>
      <w:pPr>
        <w:ind w:left="3276" w:hanging="450"/>
      </w:pPr>
      <w:rPr>
        <w:rFonts w:hint="default"/>
        <w:lang w:val="en-US" w:eastAsia="en-US" w:bidi="ar-SA"/>
      </w:rPr>
    </w:lvl>
    <w:lvl w:ilvl="3">
      <w:start w:val="0"/>
      <w:numFmt w:val="bullet"/>
      <w:lvlText w:val="•"/>
      <w:lvlJc w:val="left"/>
      <w:pPr>
        <w:ind w:left="4264" w:hanging="450"/>
      </w:pPr>
      <w:rPr>
        <w:rFonts w:hint="default"/>
        <w:lang w:val="en-US" w:eastAsia="en-US" w:bidi="ar-SA"/>
      </w:rPr>
    </w:lvl>
    <w:lvl w:ilvl="4">
      <w:start w:val="0"/>
      <w:numFmt w:val="bullet"/>
      <w:lvlText w:val="•"/>
      <w:lvlJc w:val="left"/>
      <w:pPr>
        <w:ind w:left="5252" w:hanging="450"/>
      </w:pPr>
      <w:rPr>
        <w:rFonts w:hint="default"/>
        <w:lang w:val="en-US" w:eastAsia="en-US" w:bidi="ar-SA"/>
      </w:rPr>
    </w:lvl>
    <w:lvl w:ilvl="5">
      <w:start w:val="0"/>
      <w:numFmt w:val="bullet"/>
      <w:lvlText w:val="•"/>
      <w:lvlJc w:val="left"/>
      <w:pPr>
        <w:ind w:left="6240" w:hanging="450"/>
      </w:pPr>
      <w:rPr>
        <w:rFonts w:hint="default"/>
        <w:lang w:val="en-US" w:eastAsia="en-US" w:bidi="ar-SA"/>
      </w:rPr>
    </w:lvl>
    <w:lvl w:ilvl="6">
      <w:start w:val="0"/>
      <w:numFmt w:val="bullet"/>
      <w:lvlText w:val="•"/>
      <w:lvlJc w:val="left"/>
      <w:pPr>
        <w:ind w:left="7228" w:hanging="450"/>
      </w:pPr>
      <w:rPr>
        <w:rFonts w:hint="default"/>
        <w:lang w:val="en-US" w:eastAsia="en-US" w:bidi="ar-SA"/>
      </w:rPr>
    </w:lvl>
    <w:lvl w:ilvl="7">
      <w:start w:val="0"/>
      <w:numFmt w:val="bullet"/>
      <w:lvlText w:val="•"/>
      <w:lvlJc w:val="left"/>
      <w:pPr>
        <w:ind w:left="8216" w:hanging="450"/>
      </w:pPr>
      <w:rPr>
        <w:rFonts w:hint="default"/>
        <w:lang w:val="en-US" w:eastAsia="en-US" w:bidi="ar-SA"/>
      </w:rPr>
    </w:lvl>
    <w:lvl w:ilvl="8">
      <w:start w:val="0"/>
      <w:numFmt w:val="bullet"/>
      <w:lvlText w:val="•"/>
      <w:lvlJc w:val="left"/>
      <w:pPr>
        <w:ind w:left="9204" w:hanging="450"/>
      </w:pPr>
      <w:rPr>
        <w:rFonts w:hint="default"/>
        <w:lang w:val="en-US" w:eastAsia="en-US" w:bidi="ar-SA"/>
      </w:rPr>
    </w:lvl>
  </w:abstractNum>
  <w:num w:numId="1" w16cid:durableId="1555046225">
    <w:abstractNumId w:val="1"/>
  </w:num>
  <w:num w:numId="2" w16cid:durableId="1930307163">
    <w:abstractNumId w:val="2"/>
  </w:num>
  <w:num w:numId="3" w16cid:durableId="16498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9E"/>
    <w:rsid w:val="00000639"/>
    <w:rsid w:val="000012CC"/>
    <w:rsid w:val="00001762"/>
    <w:rsid w:val="00002FB1"/>
    <w:rsid w:val="00002FD9"/>
    <w:rsid w:val="00003A26"/>
    <w:rsid w:val="00003FC0"/>
    <w:rsid w:val="0001047F"/>
    <w:rsid w:val="00011BEA"/>
    <w:rsid w:val="00013ECA"/>
    <w:rsid w:val="00014206"/>
    <w:rsid w:val="00015D44"/>
    <w:rsid w:val="00016D50"/>
    <w:rsid w:val="000176E4"/>
    <w:rsid w:val="000203B0"/>
    <w:rsid w:val="0002159D"/>
    <w:rsid w:val="00022359"/>
    <w:rsid w:val="000250A2"/>
    <w:rsid w:val="000268A8"/>
    <w:rsid w:val="00031E3D"/>
    <w:rsid w:val="000321B5"/>
    <w:rsid w:val="0003226E"/>
    <w:rsid w:val="00033877"/>
    <w:rsid w:val="00033FC1"/>
    <w:rsid w:val="0003618D"/>
    <w:rsid w:val="00040ABE"/>
    <w:rsid w:val="000413C9"/>
    <w:rsid w:val="000423B4"/>
    <w:rsid w:val="00042758"/>
    <w:rsid w:val="00042AE4"/>
    <w:rsid w:val="00042E93"/>
    <w:rsid w:val="000448A3"/>
    <w:rsid w:val="0004549E"/>
    <w:rsid w:val="00045796"/>
    <w:rsid w:val="0004761D"/>
    <w:rsid w:val="00047F25"/>
    <w:rsid w:val="00052B71"/>
    <w:rsid w:val="00052BCA"/>
    <w:rsid w:val="00052CB7"/>
    <w:rsid w:val="00054DA1"/>
    <w:rsid w:val="00054E49"/>
    <w:rsid w:val="0005585C"/>
    <w:rsid w:val="00057173"/>
    <w:rsid w:val="00060DCB"/>
    <w:rsid w:val="00063031"/>
    <w:rsid w:val="00063213"/>
    <w:rsid w:val="0006465B"/>
    <w:rsid w:val="00064BEE"/>
    <w:rsid w:val="00067219"/>
    <w:rsid w:val="00067CBF"/>
    <w:rsid w:val="00067D4B"/>
    <w:rsid w:val="00070D7B"/>
    <w:rsid w:val="00070D92"/>
    <w:rsid w:val="00070E63"/>
    <w:rsid w:val="000716AF"/>
    <w:rsid w:val="000718A2"/>
    <w:rsid w:val="00071C77"/>
    <w:rsid w:val="0007200D"/>
    <w:rsid w:val="00072C14"/>
    <w:rsid w:val="00074134"/>
    <w:rsid w:val="000744CE"/>
    <w:rsid w:val="00074744"/>
    <w:rsid w:val="00075804"/>
    <w:rsid w:val="00076FF1"/>
    <w:rsid w:val="00077469"/>
    <w:rsid w:val="000778A1"/>
    <w:rsid w:val="000779CA"/>
    <w:rsid w:val="00080AE9"/>
    <w:rsid w:val="000820F0"/>
    <w:rsid w:val="00082383"/>
    <w:rsid w:val="00085D91"/>
    <w:rsid w:val="00087A87"/>
    <w:rsid w:val="00087CA1"/>
    <w:rsid w:val="00091A55"/>
    <w:rsid w:val="00093005"/>
    <w:rsid w:val="000957AB"/>
    <w:rsid w:val="000958B7"/>
    <w:rsid w:val="00096495"/>
    <w:rsid w:val="0009670A"/>
    <w:rsid w:val="00096DD3"/>
    <w:rsid w:val="000A12E0"/>
    <w:rsid w:val="000A1C75"/>
    <w:rsid w:val="000A2207"/>
    <w:rsid w:val="000A365C"/>
    <w:rsid w:val="000A60E0"/>
    <w:rsid w:val="000A7883"/>
    <w:rsid w:val="000A7CFF"/>
    <w:rsid w:val="000B121E"/>
    <w:rsid w:val="000B20CE"/>
    <w:rsid w:val="000B36DA"/>
    <w:rsid w:val="000B3814"/>
    <w:rsid w:val="000B3EA2"/>
    <w:rsid w:val="000C1FEE"/>
    <w:rsid w:val="000C3321"/>
    <w:rsid w:val="000C40F6"/>
    <w:rsid w:val="000C7B86"/>
    <w:rsid w:val="000D1BF9"/>
    <w:rsid w:val="000D1F4E"/>
    <w:rsid w:val="000D2BE0"/>
    <w:rsid w:val="000D54DE"/>
    <w:rsid w:val="000D639B"/>
    <w:rsid w:val="000D682E"/>
    <w:rsid w:val="000E08E9"/>
    <w:rsid w:val="000E2EF9"/>
    <w:rsid w:val="000E319B"/>
    <w:rsid w:val="000E31D6"/>
    <w:rsid w:val="000E33FB"/>
    <w:rsid w:val="000E47E1"/>
    <w:rsid w:val="000F102C"/>
    <w:rsid w:val="000F1301"/>
    <w:rsid w:val="000F252B"/>
    <w:rsid w:val="000F337F"/>
    <w:rsid w:val="000F3DE4"/>
    <w:rsid w:val="000F46DA"/>
    <w:rsid w:val="000F4955"/>
    <w:rsid w:val="000F4A31"/>
    <w:rsid w:val="000F4D70"/>
    <w:rsid w:val="000F7452"/>
    <w:rsid w:val="00104596"/>
    <w:rsid w:val="00105478"/>
    <w:rsid w:val="00105B6B"/>
    <w:rsid w:val="00110651"/>
    <w:rsid w:val="001106F6"/>
    <w:rsid w:val="00110F3B"/>
    <w:rsid w:val="0011128A"/>
    <w:rsid w:val="0011181C"/>
    <w:rsid w:val="00111B9D"/>
    <w:rsid w:val="00112461"/>
    <w:rsid w:val="00120708"/>
    <w:rsid w:val="00120A61"/>
    <w:rsid w:val="001212A0"/>
    <w:rsid w:val="00127A98"/>
    <w:rsid w:val="00127E58"/>
    <w:rsid w:val="00127FB7"/>
    <w:rsid w:val="00131A77"/>
    <w:rsid w:val="00131DE0"/>
    <w:rsid w:val="00133079"/>
    <w:rsid w:val="00134801"/>
    <w:rsid w:val="0013556A"/>
    <w:rsid w:val="0013764F"/>
    <w:rsid w:val="00142230"/>
    <w:rsid w:val="00142486"/>
    <w:rsid w:val="00142EF8"/>
    <w:rsid w:val="0014490B"/>
    <w:rsid w:val="0014500E"/>
    <w:rsid w:val="00146ED8"/>
    <w:rsid w:val="001508E1"/>
    <w:rsid w:val="001511DF"/>
    <w:rsid w:val="0015219E"/>
    <w:rsid w:val="00152A96"/>
    <w:rsid w:val="00153BA0"/>
    <w:rsid w:val="001541D0"/>
    <w:rsid w:val="001555BF"/>
    <w:rsid w:val="0015563F"/>
    <w:rsid w:val="00156292"/>
    <w:rsid w:val="00156823"/>
    <w:rsid w:val="001569EA"/>
    <w:rsid w:val="00161943"/>
    <w:rsid w:val="001653B6"/>
    <w:rsid w:val="0016697E"/>
    <w:rsid w:val="001669BC"/>
    <w:rsid w:val="0016772E"/>
    <w:rsid w:val="00171211"/>
    <w:rsid w:val="001716A2"/>
    <w:rsid w:val="001728FB"/>
    <w:rsid w:val="00173764"/>
    <w:rsid w:val="00173C1B"/>
    <w:rsid w:val="0017551A"/>
    <w:rsid w:val="001759D7"/>
    <w:rsid w:val="001760B7"/>
    <w:rsid w:val="00177794"/>
    <w:rsid w:val="001802FE"/>
    <w:rsid w:val="00180A59"/>
    <w:rsid w:val="0018118D"/>
    <w:rsid w:val="00181658"/>
    <w:rsid w:val="001817DA"/>
    <w:rsid w:val="00181E07"/>
    <w:rsid w:val="00186B4C"/>
    <w:rsid w:val="00186C5F"/>
    <w:rsid w:val="00187D1E"/>
    <w:rsid w:val="00191202"/>
    <w:rsid w:val="00191727"/>
    <w:rsid w:val="001939F0"/>
    <w:rsid w:val="00194A04"/>
    <w:rsid w:val="00197F88"/>
    <w:rsid w:val="001A022A"/>
    <w:rsid w:val="001A0EEF"/>
    <w:rsid w:val="001A1A7D"/>
    <w:rsid w:val="001A237D"/>
    <w:rsid w:val="001A316D"/>
    <w:rsid w:val="001A3B04"/>
    <w:rsid w:val="001A619C"/>
    <w:rsid w:val="001A68E9"/>
    <w:rsid w:val="001B05C7"/>
    <w:rsid w:val="001B6D8A"/>
    <w:rsid w:val="001C796B"/>
    <w:rsid w:val="001D21D6"/>
    <w:rsid w:val="001D3097"/>
    <w:rsid w:val="001D324A"/>
    <w:rsid w:val="001D4726"/>
    <w:rsid w:val="001D59F4"/>
    <w:rsid w:val="001D74A4"/>
    <w:rsid w:val="001D7AB0"/>
    <w:rsid w:val="001D7B0A"/>
    <w:rsid w:val="001E0153"/>
    <w:rsid w:val="001E0946"/>
    <w:rsid w:val="001E0B59"/>
    <w:rsid w:val="001E133B"/>
    <w:rsid w:val="001E2505"/>
    <w:rsid w:val="001E2BB0"/>
    <w:rsid w:val="001E319E"/>
    <w:rsid w:val="001E4664"/>
    <w:rsid w:val="001E4848"/>
    <w:rsid w:val="001E63CA"/>
    <w:rsid w:val="001E707D"/>
    <w:rsid w:val="001F1A58"/>
    <w:rsid w:val="001F1E2E"/>
    <w:rsid w:val="001F1FFD"/>
    <w:rsid w:val="001F37C8"/>
    <w:rsid w:val="001F6EA8"/>
    <w:rsid w:val="001F719C"/>
    <w:rsid w:val="001F7B80"/>
    <w:rsid w:val="002027AB"/>
    <w:rsid w:val="00203F4C"/>
    <w:rsid w:val="00204694"/>
    <w:rsid w:val="00207132"/>
    <w:rsid w:val="00210694"/>
    <w:rsid w:val="002107A6"/>
    <w:rsid w:val="00212CD5"/>
    <w:rsid w:val="00213408"/>
    <w:rsid w:val="00213562"/>
    <w:rsid w:val="00213DBF"/>
    <w:rsid w:val="00217F28"/>
    <w:rsid w:val="00221A03"/>
    <w:rsid w:val="00223A39"/>
    <w:rsid w:val="00223D6A"/>
    <w:rsid w:val="0022402A"/>
    <w:rsid w:val="0022431E"/>
    <w:rsid w:val="002279E1"/>
    <w:rsid w:val="00230676"/>
    <w:rsid w:val="002307F1"/>
    <w:rsid w:val="00230EA3"/>
    <w:rsid w:val="002316F1"/>
    <w:rsid w:val="00232DD1"/>
    <w:rsid w:val="002339A5"/>
    <w:rsid w:val="00234984"/>
    <w:rsid w:val="00234E0C"/>
    <w:rsid w:val="00234E5F"/>
    <w:rsid w:val="0023528E"/>
    <w:rsid w:val="00236053"/>
    <w:rsid w:val="002414BB"/>
    <w:rsid w:val="00241CA1"/>
    <w:rsid w:val="00241D5C"/>
    <w:rsid w:val="0024414B"/>
    <w:rsid w:val="002449FA"/>
    <w:rsid w:val="00245E87"/>
    <w:rsid w:val="00246EDA"/>
    <w:rsid w:val="002477BC"/>
    <w:rsid w:val="00247849"/>
    <w:rsid w:val="00250782"/>
    <w:rsid w:val="0025298E"/>
    <w:rsid w:val="00254148"/>
    <w:rsid w:val="00254D18"/>
    <w:rsid w:val="00254D30"/>
    <w:rsid w:val="00254E23"/>
    <w:rsid w:val="0025739B"/>
    <w:rsid w:val="00257591"/>
    <w:rsid w:val="00257C9A"/>
    <w:rsid w:val="00260697"/>
    <w:rsid w:val="0026175D"/>
    <w:rsid w:val="00262586"/>
    <w:rsid w:val="00262C8F"/>
    <w:rsid w:val="00264019"/>
    <w:rsid w:val="00272AF3"/>
    <w:rsid w:val="00273657"/>
    <w:rsid w:val="00273DBF"/>
    <w:rsid w:val="002811A6"/>
    <w:rsid w:val="00282816"/>
    <w:rsid w:val="002840AE"/>
    <w:rsid w:val="0028499A"/>
    <w:rsid w:val="00285992"/>
    <w:rsid w:val="00285AE6"/>
    <w:rsid w:val="00286515"/>
    <w:rsid w:val="00290710"/>
    <w:rsid w:val="00291CF2"/>
    <w:rsid w:val="00292B78"/>
    <w:rsid w:val="0029305F"/>
    <w:rsid w:val="00293534"/>
    <w:rsid w:val="00293543"/>
    <w:rsid w:val="00294628"/>
    <w:rsid w:val="00294A57"/>
    <w:rsid w:val="002954BF"/>
    <w:rsid w:val="00295649"/>
    <w:rsid w:val="002957A7"/>
    <w:rsid w:val="00295EA3"/>
    <w:rsid w:val="002A07A2"/>
    <w:rsid w:val="002A21BC"/>
    <w:rsid w:val="002A23A0"/>
    <w:rsid w:val="002A33C6"/>
    <w:rsid w:val="002A47F5"/>
    <w:rsid w:val="002A4FB9"/>
    <w:rsid w:val="002A54FB"/>
    <w:rsid w:val="002A709A"/>
    <w:rsid w:val="002A76DE"/>
    <w:rsid w:val="002B127F"/>
    <w:rsid w:val="002B22A7"/>
    <w:rsid w:val="002B3DAD"/>
    <w:rsid w:val="002B467E"/>
    <w:rsid w:val="002B60C8"/>
    <w:rsid w:val="002B6BDB"/>
    <w:rsid w:val="002B6C44"/>
    <w:rsid w:val="002C0871"/>
    <w:rsid w:val="002C3B24"/>
    <w:rsid w:val="002C3DEB"/>
    <w:rsid w:val="002C4B47"/>
    <w:rsid w:val="002C560E"/>
    <w:rsid w:val="002C6BD4"/>
    <w:rsid w:val="002C7F8D"/>
    <w:rsid w:val="002D0170"/>
    <w:rsid w:val="002D132C"/>
    <w:rsid w:val="002D1B7C"/>
    <w:rsid w:val="002D2099"/>
    <w:rsid w:val="002D213A"/>
    <w:rsid w:val="002D456C"/>
    <w:rsid w:val="002D6271"/>
    <w:rsid w:val="002D7443"/>
    <w:rsid w:val="002E0258"/>
    <w:rsid w:val="002E0B10"/>
    <w:rsid w:val="002E0FAA"/>
    <w:rsid w:val="002E1AEE"/>
    <w:rsid w:val="002E38B3"/>
    <w:rsid w:val="002E3B25"/>
    <w:rsid w:val="002E3F8E"/>
    <w:rsid w:val="002E4635"/>
    <w:rsid w:val="002E5C09"/>
    <w:rsid w:val="002E7456"/>
    <w:rsid w:val="002E75B4"/>
    <w:rsid w:val="002E7F28"/>
    <w:rsid w:val="002F1FF9"/>
    <w:rsid w:val="002F7BBB"/>
    <w:rsid w:val="00302B2F"/>
    <w:rsid w:val="00303949"/>
    <w:rsid w:val="00304A1C"/>
    <w:rsid w:val="00306738"/>
    <w:rsid w:val="003071BA"/>
    <w:rsid w:val="00310187"/>
    <w:rsid w:val="0031026F"/>
    <w:rsid w:val="00311354"/>
    <w:rsid w:val="00312B08"/>
    <w:rsid w:val="00314521"/>
    <w:rsid w:val="003153DD"/>
    <w:rsid w:val="00317122"/>
    <w:rsid w:val="0031799E"/>
    <w:rsid w:val="00317F88"/>
    <w:rsid w:val="00321AA0"/>
    <w:rsid w:val="00321F99"/>
    <w:rsid w:val="003233CD"/>
    <w:rsid w:val="00323407"/>
    <w:rsid w:val="0032348B"/>
    <w:rsid w:val="0032434A"/>
    <w:rsid w:val="00325967"/>
    <w:rsid w:val="00332C49"/>
    <w:rsid w:val="00334F75"/>
    <w:rsid w:val="00336404"/>
    <w:rsid w:val="00337734"/>
    <w:rsid w:val="00337A9E"/>
    <w:rsid w:val="00341603"/>
    <w:rsid w:val="00343468"/>
    <w:rsid w:val="00345844"/>
    <w:rsid w:val="00345B7F"/>
    <w:rsid w:val="003463D2"/>
    <w:rsid w:val="0034645E"/>
    <w:rsid w:val="00347E68"/>
    <w:rsid w:val="00351FCE"/>
    <w:rsid w:val="0035205F"/>
    <w:rsid w:val="00354A44"/>
    <w:rsid w:val="00354E7F"/>
    <w:rsid w:val="00356055"/>
    <w:rsid w:val="00356E78"/>
    <w:rsid w:val="003576D5"/>
    <w:rsid w:val="00357ECA"/>
    <w:rsid w:val="003606DC"/>
    <w:rsid w:val="00360991"/>
    <w:rsid w:val="0036120D"/>
    <w:rsid w:val="003627FC"/>
    <w:rsid w:val="003637B7"/>
    <w:rsid w:val="003656A9"/>
    <w:rsid w:val="00367E7C"/>
    <w:rsid w:val="00371046"/>
    <w:rsid w:val="00375D88"/>
    <w:rsid w:val="00376C18"/>
    <w:rsid w:val="00380EC8"/>
    <w:rsid w:val="00381C3B"/>
    <w:rsid w:val="00381F98"/>
    <w:rsid w:val="00382F12"/>
    <w:rsid w:val="00383C9C"/>
    <w:rsid w:val="003849A1"/>
    <w:rsid w:val="003850B8"/>
    <w:rsid w:val="00385897"/>
    <w:rsid w:val="003863F9"/>
    <w:rsid w:val="003867CA"/>
    <w:rsid w:val="00386C70"/>
    <w:rsid w:val="003877BD"/>
    <w:rsid w:val="0039005B"/>
    <w:rsid w:val="00391764"/>
    <w:rsid w:val="00391CEB"/>
    <w:rsid w:val="003933B1"/>
    <w:rsid w:val="00393772"/>
    <w:rsid w:val="00394F3A"/>
    <w:rsid w:val="00395661"/>
    <w:rsid w:val="00396E54"/>
    <w:rsid w:val="00397D59"/>
    <w:rsid w:val="003A0F5C"/>
    <w:rsid w:val="003A1B1D"/>
    <w:rsid w:val="003A2AEA"/>
    <w:rsid w:val="003A63A4"/>
    <w:rsid w:val="003A700D"/>
    <w:rsid w:val="003A7CA5"/>
    <w:rsid w:val="003B0CB3"/>
    <w:rsid w:val="003B0E88"/>
    <w:rsid w:val="003B1255"/>
    <w:rsid w:val="003B1E88"/>
    <w:rsid w:val="003B3934"/>
    <w:rsid w:val="003B4287"/>
    <w:rsid w:val="003B7EC4"/>
    <w:rsid w:val="003C0FF8"/>
    <w:rsid w:val="003C1CA6"/>
    <w:rsid w:val="003C47A9"/>
    <w:rsid w:val="003C4ADB"/>
    <w:rsid w:val="003C5885"/>
    <w:rsid w:val="003C5C0E"/>
    <w:rsid w:val="003C7545"/>
    <w:rsid w:val="003C7BE6"/>
    <w:rsid w:val="003D385D"/>
    <w:rsid w:val="003D3A86"/>
    <w:rsid w:val="003D4385"/>
    <w:rsid w:val="003D53C0"/>
    <w:rsid w:val="003D7782"/>
    <w:rsid w:val="003E1698"/>
    <w:rsid w:val="003E453F"/>
    <w:rsid w:val="003E4D77"/>
    <w:rsid w:val="003F1531"/>
    <w:rsid w:val="003F1CEB"/>
    <w:rsid w:val="003F2007"/>
    <w:rsid w:val="003F5A78"/>
    <w:rsid w:val="003F5C12"/>
    <w:rsid w:val="003F6097"/>
    <w:rsid w:val="003F6955"/>
    <w:rsid w:val="003F7DD3"/>
    <w:rsid w:val="0040200F"/>
    <w:rsid w:val="00405C73"/>
    <w:rsid w:val="0040743D"/>
    <w:rsid w:val="00407E73"/>
    <w:rsid w:val="00410549"/>
    <w:rsid w:val="00413407"/>
    <w:rsid w:val="004141B0"/>
    <w:rsid w:val="0041586D"/>
    <w:rsid w:val="00417D84"/>
    <w:rsid w:val="00424610"/>
    <w:rsid w:val="0042498C"/>
    <w:rsid w:val="004262D6"/>
    <w:rsid w:val="00426C0A"/>
    <w:rsid w:val="00426DA9"/>
    <w:rsid w:val="00430738"/>
    <w:rsid w:val="004307C4"/>
    <w:rsid w:val="004310E7"/>
    <w:rsid w:val="0043187E"/>
    <w:rsid w:val="00433572"/>
    <w:rsid w:val="00433C19"/>
    <w:rsid w:val="00434271"/>
    <w:rsid w:val="00435DDD"/>
    <w:rsid w:val="00437336"/>
    <w:rsid w:val="00440321"/>
    <w:rsid w:val="004408D4"/>
    <w:rsid w:val="00454438"/>
    <w:rsid w:val="0045464D"/>
    <w:rsid w:val="0045488D"/>
    <w:rsid w:val="0045526F"/>
    <w:rsid w:val="004564C4"/>
    <w:rsid w:val="00461242"/>
    <w:rsid w:val="004617B8"/>
    <w:rsid w:val="004624FE"/>
    <w:rsid w:val="00462546"/>
    <w:rsid w:val="00463EBC"/>
    <w:rsid w:val="00466501"/>
    <w:rsid w:val="00467AE0"/>
    <w:rsid w:val="00470C44"/>
    <w:rsid w:val="00471880"/>
    <w:rsid w:val="00472B3F"/>
    <w:rsid w:val="0047455A"/>
    <w:rsid w:val="00474E08"/>
    <w:rsid w:val="004752E7"/>
    <w:rsid w:val="00475B33"/>
    <w:rsid w:val="00477B51"/>
    <w:rsid w:val="00477E4B"/>
    <w:rsid w:val="00480197"/>
    <w:rsid w:val="00481AD8"/>
    <w:rsid w:val="004829CC"/>
    <w:rsid w:val="00482C2E"/>
    <w:rsid w:val="00482D80"/>
    <w:rsid w:val="0048312D"/>
    <w:rsid w:val="004837AC"/>
    <w:rsid w:val="00485979"/>
    <w:rsid w:val="00485D9F"/>
    <w:rsid w:val="00490238"/>
    <w:rsid w:val="004905A5"/>
    <w:rsid w:val="004914D4"/>
    <w:rsid w:val="004A0355"/>
    <w:rsid w:val="004A0B76"/>
    <w:rsid w:val="004A0DD6"/>
    <w:rsid w:val="004A2A23"/>
    <w:rsid w:val="004A3627"/>
    <w:rsid w:val="004A3FB3"/>
    <w:rsid w:val="004A5080"/>
    <w:rsid w:val="004B10EA"/>
    <w:rsid w:val="004B14C5"/>
    <w:rsid w:val="004B18BE"/>
    <w:rsid w:val="004B35E9"/>
    <w:rsid w:val="004B3793"/>
    <w:rsid w:val="004B4398"/>
    <w:rsid w:val="004B5DFC"/>
    <w:rsid w:val="004B768F"/>
    <w:rsid w:val="004B7DB3"/>
    <w:rsid w:val="004C1320"/>
    <w:rsid w:val="004C2520"/>
    <w:rsid w:val="004C3FCE"/>
    <w:rsid w:val="004C64C5"/>
    <w:rsid w:val="004C770B"/>
    <w:rsid w:val="004C7E35"/>
    <w:rsid w:val="004D099F"/>
    <w:rsid w:val="004D2EB4"/>
    <w:rsid w:val="004D37AB"/>
    <w:rsid w:val="004D45BE"/>
    <w:rsid w:val="004D697E"/>
    <w:rsid w:val="004E01A6"/>
    <w:rsid w:val="004E0315"/>
    <w:rsid w:val="004E09E7"/>
    <w:rsid w:val="004E3A0E"/>
    <w:rsid w:val="004E75BB"/>
    <w:rsid w:val="004F091B"/>
    <w:rsid w:val="004F1992"/>
    <w:rsid w:val="004F39F2"/>
    <w:rsid w:val="004F40D4"/>
    <w:rsid w:val="004F5BF8"/>
    <w:rsid w:val="004F784D"/>
    <w:rsid w:val="004F78AA"/>
    <w:rsid w:val="005014BB"/>
    <w:rsid w:val="005061B2"/>
    <w:rsid w:val="005078E3"/>
    <w:rsid w:val="00512829"/>
    <w:rsid w:val="00514062"/>
    <w:rsid w:val="00516523"/>
    <w:rsid w:val="00517699"/>
    <w:rsid w:val="0051776D"/>
    <w:rsid w:val="005178DF"/>
    <w:rsid w:val="00521838"/>
    <w:rsid w:val="00521A24"/>
    <w:rsid w:val="00521F5D"/>
    <w:rsid w:val="005235B4"/>
    <w:rsid w:val="0052504C"/>
    <w:rsid w:val="00525322"/>
    <w:rsid w:val="00525E83"/>
    <w:rsid w:val="0052693D"/>
    <w:rsid w:val="00526A3B"/>
    <w:rsid w:val="0052771E"/>
    <w:rsid w:val="00527B51"/>
    <w:rsid w:val="0053047A"/>
    <w:rsid w:val="00530E14"/>
    <w:rsid w:val="005310F0"/>
    <w:rsid w:val="00532909"/>
    <w:rsid w:val="00534F02"/>
    <w:rsid w:val="0053645C"/>
    <w:rsid w:val="00540C86"/>
    <w:rsid w:val="0054118D"/>
    <w:rsid w:val="005415C8"/>
    <w:rsid w:val="00541E45"/>
    <w:rsid w:val="005450AA"/>
    <w:rsid w:val="0054604E"/>
    <w:rsid w:val="00546129"/>
    <w:rsid w:val="0054678E"/>
    <w:rsid w:val="00547FE2"/>
    <w:rsid w:val="005506A5"/>
    <w:rsid w:val="00553C69"/>
    <w:rsid w:val="00556AD3"/>
    <w:rsid w:val="0056001D"/>
    <w:rsid w:val="00560A77"/>
    <w:rsid w:val="0056154A"/>
    <w:rsid w:val="00563835"/>
    <w:rsid w:val="00565061"/>
    <w:rsid w:val="005651C1"/>
    <w:rsid w:val="0056721D"/>
    <w:rsid w:val="00567E22"/>
    <w:rsid w:val="00570478"/>
    <w:rsid w:val="00571166"/>
    <w:rsid w:val="00571B7D"/>
    <w:rsid w:val="00572CDF"/>
    <w:rsid w:val="00573D83"/>
    <w:rsid w:val="0057511B"/>
    <w:rsid w:val="00575B64"/>
    <w:rsid w:val="00576E36"/>
    <w:rsid w:val="005777ED"/>
    <w:rsid w:val="0058027F"/>
    <w:rsid w:val="005814ED"/>
    <w:rsid w:val="0058267E"/>
    <w:rsid w:val="00584428"/>
    <w:rsid w:val="005848C8"/>
    <w:rsid w:val="005865A1"/>
    <w:rsid w:val="00586A6E"/>
    <w:rsid w:val="00591C9F"/>
    <w:rsid w:val="00595249"/>
    <w:rsid w:val="0059755C"/>
    <w:rsid w:val="00597AAD"/>
    <w:rsid w:val="00597C8A"/>
    <w:rsid w:val="00597F2E"/>
    <w:rsid w:val="005A0012"/>
    <w:rsid w:val="005A09D7"/>
    <w:rsid w:val="005A2352"/>
    <w:rsid w:val="005A3C27"/>
    <w:rsid w:val="005A4417"/>
    <w:rsid w:val="005A4664"/>
    <w:rsid w:val="005A497C"/>
    <w:rsid w:val="005A4F6D"/>
    <w:rsid w:val="005A67D6"/>
    <w:rsid w:val="005A7A7A"/>
    <w:rsid w:val="005B03F3"/>
    <w:rsid w:val="005B092E"/>
    <w:rsid w:val="005B0A2E"/>
    <w:rsid w:val="005B19B9"/>
    <w:rsid w:val="005B1BE4"/>
    <w:rsid w:val="005B53CC"/>
    <w:rsid w:val="005B5960"/>
    <w:rsid w:val="005B5E5A"/>
    <w:rsid w:val="005B637E"/>
    <w:rsid w:val="005C0011"/>
    <w:rsid w:val="005C07D4"/>
    <w:rsid w:val="005C2707"/>
    <w:rsid w:val="005C2AC8"/>
    <w:rsid w:val="005C3A0C"/>
    <w:rsid w:val="005C43BB"/>
    <w:rsid w:val="005C5005"/>
    <w:rsid w:val="005C6F49"/>
    <w:rsid w:val="005C77FE"/>
    <w:rsid w:val="005D0B1A"/>
    <w:rsid w:val="005D22F5"/>
    <w:rsid w:val="005D579E"/>
    <w:rsid w:val="005D5963"/>
    <w:rsid w:val="005D778B"/>
    <w:rsid w:val="005D7817"/>
    <w:rsid w:val="005D7D52"/>
    <w:rsid w:val="005E0AFA"/>
    <w:rsid w:val="005E0C39"/>
    <w:rsid w:val="005E4291"/>
    <w:rsid w:val="005E45A7"/>
    <w:rsid w:val="005E482B"/>
    <w:rsid w:val="005E617E"/>
    <w:rsid w:val="005E6806"/>
    <w:rsid w:val="005E7CC7"/>
    <w:rsid w:val="005E7D2B"/>
    <w:rsid w:val="005F0C2F"/>
    <w:rsid w:val="005F1A7E"/>
    <w:rsid w:val="005F234D"/>
    <w:rsid w:val="005F393E"/>
    <w:rsid w:val="005F728F"/>
    <w:rsid w:val="005F79CB"/>
    <w:rsid w:val="0060070E"/>
    <w:rsid w:val="00601A18"/>
    <w:rsid w:val="00601B49"/>
    <w:rsid w:val="006034E9"/>
    <w:rsid w:val="00604340"/>
    <w:rsid w:val="006044AE"/>
    <w:rsid w:val="006044C9"/>
    <w:rsid w:val="006051C7"/>
    <w:rsid w:val="00606611"/>
    <w:rsid w:val="006102FB"/>
    <w:rsid w:val="00612B3A"/>
    <w:rsid w:val="00612E7B"/>
    <w:rsid w:val="00613065"/>
    <w:rsid w:val="00622828"/>
    <w:rsid w:val="00623C14"/>
    <w:rsid w:val="00624B95"/>
    <w:rsid w:val="00625A59"/>
    <w:rsid w:val="00626237"/>
    <w:rsid w:val="00626379"/>
    <w:rsid w:val="00630198"/>
    <w:rsid w:val="006315C0"/>
    <w:rsid w:val="00632D7C"/>
    <w:rsid w:val="006334E1"/>
    <w:rsid w:val="0063541D"/>
    <w:rsid w:val="0063664A"/>
    <w:rsid w:val="00637023"/>
    <w:rsid w:val="006430ED"/>
    <w:rsid w:val="00643CF4"/>
    <w:rsid w:val="006441C9"/>
    <w:rsid w:val="00645DBD"/>
    <w:rsid w:val="00645EB3"/>
    <w:rsid w:val="0065106C"/>
    <w:rsid w:val="00651174"/>
    <w:rsid w:val="0065445F"/>
    <w:rsid w:val="00654CCF"/>
    <w:rsid w:val="0065604D"/>
    <w:rsid w:val="006611DE"/>
    <w:rsid w:val="006614E2"/>
    <w:rsid w:val="00661D15"/>
    <w:rsid w:val="006621A4"/>
    <w:rsid w:val="00662700"/>
    <w:rsid w:val="00662985"/>
    <w:rsid w:val="0066375D"/>
    <w:rsid w:val="00665C45"/>
    <w:rsid w:val="00665CEB"/>
    <w:rsid w:val="0066748F"/>
    <w:rsid w:val="00667F64"/>
    <w:rsid w:val="00670BB1"/>
    <w:rsid w:val="00670CDB"/>
    <w:rsid w:val="0067369C"/>
    <w:rsid w:val="00673A68"/>
    <w:rsid w:val="0068037A"/>
    <w:rsid w:val="00682A33"/>
    <w:rsid w:val="00682EFF"/>
    <w:rsid w:val="00684156"/>
    <w:rsid w:val="006847C9"/>
    <w:rsid w:val="006855C9"/>
    <w:rsid w:val="00687491"/>
    <w:rsid w:val="006914C0"/>
    <w:rsid w:val="00696698"/>
    <w:rsid w:val="006967C0"/>
    <w:rsid w:val="00696F35"/>
    <w:rsid w:val="006A5581"/>
    <w:rsid w:val="006A61AA"/>
    <w:rsid w:val="006A7BEB"/>
    <w:rsid w:val="006A7D76"/>
    <w:rsid w:val="006A7F83"/>
    <w:rsid w:val="006B2613"/>
    <w:rsid w:val="006B2C7F"/>
    <w:rsid w:val="006B42BB"/>
    <w:rsid w:val="006B4F8C"/>
    <w:rsid w:val="006B5AC7"/>
    <w:rsid w:val="006B6927"/>
    <w:rsid w:val="006B7F78"/>
    <w:rsid w:val="006C03BF"/>
    <w:rsid w:val="006C0622"/>
    <w:rsid w:val="006C14BC"/>
    <w:rsid w:val="006C1E32"/>
    <w:rsid w:val="006C26C2"/>
    <w:rsid w:val="006C53B5"/>
    <w:rsid w:val="006C6740"/>
    <w:rsid w:val="006D06DE"/>
    <w:rsid w:val="006D1A5F"/>
    <w:rsid w:val="006D1C9C"/>
    <w:rsid w:val="006D220A"/>
    <w:rsid w:val="006D333B"/>
    <w:rsid w:val="006D5262"/>
    <w:rsid w:val="006D5415"/>
    <w:rsid w:val="006D6B72"/>
    <w:rsid w:val="006D785D"/>
    <w:rsid w:val="006E0A2C"/>
    <w:rsid w:val="006E1610"/>
    <w:rsid w:val="006E17A1"/>
    <w:rsid w:val="006E1BAA"/>
    <w:rsid w:val="006E1C43"/>
    <w:rsid w:val="006E23B4"/>
    <w:rsid w:val="006E30FA"/>
    <w:rsid w:val="006E4B8F"/>
    <w:rsid w:val="006E6908"/>
    <w:rsid w:val="006F1AFA"/>
    <w:rsid w:val="006F3AAC"/>
    <w:rsid w:val="006F44A5"/>
    <w:rsid w:val="006F45CB"/>
    <w:rsid w:val="006F6173"/>
    <w:rsid w:val="006F6757"/>
    <w:rsid w:val="006F6F21"/>
    <w:rsid w:val="006F72D5"/>
    <w:rsid w:val="006F7707"/>
    <w:rsid w:val="006F7C65"/>
    <w:rsid w:val="00700171"/>
    <w:rsid w:val="007010A4"/>
    <w:rsid w:val="007030D2"/>
    <w:rsid w:val="0070417E"/>
    <w:rsid w:val="007053B3"/>
    <w:rsid w:val="007063DA"/>
    <w:rsid w:val="00707706"/>
    <w:rsid w:val="00707F90"/>
    <w:rsid w:val="00711BBB"/>
    <w:rsid w:val="00712175"/>
    <w:rsid w:val="0071276D"/>
    <w:rsid w:val="00712F51"/>
    <w:rsid w:val="007131EE"/>
    <w:rsid w:val="00713E59"/>
    <w:rsid w:val="00713FD4"/>
    <w:rsid w:val="00714359"/>
    <w:rsid w:val="0071565E"/>
    <w:rsid w:val="00716029"/>
    <w:rsid w:val="00722421"/>
    <w:rsid w:val="00722C9B"/>
    <w:rsid w:val="00723998"/>
    <w:rsid w:val="0072534D"/>
    <w:rsid w:val="00725935"/>
    <w:rsid w:val="00725FC7"/>
    <w:rsid w:val="00726305"/>
    <w:rsid w:val="0072796D"/>
    <w:rsid w:val="00730B99"/>
    <w:rsid w:val="00731235"/>
    <w:rsid w:val="007324CF"/>
    <w:rsid w:val="00733E2E"/>
    <w:rsid w:val="00742534"/>
    <w:rsid w:val="00743CCE"/>
    <w:rsid w:val="00744726"/>
    <w:rsid w:val="00747B6E"/>
    <w:rsid w:val="007554A8"/>
    <w:rsid w:val="00756C61"/>
    <w:rsid w:val="00757000"/>
    <w:rsid w:val="00757A91"/>
    <w:rsid w:val="007605BC"/>
    <w:rsid w:val="00760B26"/>
    <w:rsid w:val="0076345D"/>
    <w:rsid w:val="007639C1"/>
    <w:rsid w:val="00763E32"/>
    <w:rsid w:val="00766655"/>
    <w:rsid w:val="0077016C"/>
    <w:rsid w:val="007712A9"/>
    <w:rsid w:val="00771D59"/>
    <w:rsid w:val="00771E9D"/>
    <w:rsid w:val="00774FFB"/>
    <w:rsid w:val="00776166"/>
    <w:rsid w:val="00777860"/>
    <w:rsid w:val="007778E6"/>
    <w:rsid w:val="00777EEF"/>
    <w:rsid w:val="00785C0A"/>
    <w:rsid w:val="007870AF"/>
    <w:rsid w:val="007875F0"/>
    <w:rsid w:val="00791DAB"/>
    <w:rsid w:val="00792E16"/>
    <w:rsid w:val="00793364"/>
    <w:rsid w:val="00793B8B"/>
    <w:rsid w:val="00795152"/>
    <w:rsid w:val="007952C2"/>
    <w:rsid w:val="00795678"/>
    <w:rsid w:val="00795A8D"/>
    <w:rsid w:val="00795AFE"/>
    <w:rsid w:val="007A2143"/>
    <w:rsid w:val="007A2DBD"/>
    <w:rsid w:val="007A37F9"/>
    <w:rsid w:val="007A4BC5"/>
    <w:rsid w:val="007A6A11"/>
    <w:rsid w:val="007A6AF0"/>
    <w:rsid w:val="007A7489"/>
    <w:rsid w:val="007A7C6F"/>
    <w:rsid w:val="007B54A7"/>
    <w:rsid w:val="007B717B"/>
    <w:rsid w:val="007B7EF1"/>
    <w:rsid w:val="007C1139"/>
    <w:rsid w:val="007C222B"/>
    <w:rsid w:val="007C509F"/>
    <w:rsid w:val="007C51FC"/>
    <w:rsid w:val="007C618E"/>
    <w:rsid w:val="007C62B4"/>
    <w:rsid w:val="007C6FBB"/>
    <w:rsid w:val="007C73FA"/>
    <w:rsid w:val="007D02B1"/>
    <w:rsid w:val="007D1342"/>
    <w:rsid w:val="007D1959"/>
    <w:rsid w:val="007D46D9"/>
    <w:rsid w:val="007D6C6C"/>
    <w:rsid w:val="007D7052"/>
    <w:rsid w:val="007D7103"/>
    <w:rsid w:val="007D7B67"/>
    <w:rsid w:val="007E0080"/>
    <w:rsid w:val="007E113F"/>
    <w:rsid w:val="007E19A2"/>
    <w:rsid w:val="007E45BC"/>
    <w:rsid w:val="007E6D2F"/>
    <w:rsid w:val="007E7BA2"/>
    <w:rsid w:val="007F04BF"/>
    <w:rsid w:val="007F1985"/>
    <w:rsid w:val="007F3193"/>
    <w:rsid w:val="007F42AD"/>
    <w:rsid w:val="007F4A24"/>
    <w:rsid w:val="007F5BA8"/>
    <w:rsid w:val="007F7865"/>
    <w:rsid w:val="007F7B8F"/>
    <w:rsid w:val="00804954"/>
    <w:rsid w:val="00807CCB"/>
    <w:rsid w:val="008137F0"/>
    <w:rsid w:val="00813B92"/>
    <w:rsid w:val="00815BCC"/>
    <w:rsid w:val="0081673E"/>
    <w:rsid w:val="00820ECA"/>
    <w:rsid w:val="00821BE0"/>
    <w:rsid w:val="00823622"/>
    <w:rsid w:val="00824044"/>
    <w:rsid w:val="00824500"/>
    <w:rsid w:val="008257F4"/>
    <w:rsid w:val="00826F1C"/>
    <w:rsid w:val="00827BB7"/>
    <w:rsid w:val="00831B83"/>
    <w:rsid w:val="0083299F"/>
    <w:rsid w:val="008356BA"/>
    <w:rsid w:val="008362B1"/>
    <w:rsid w:val="00837DE7"/>
    <w:rsid w:val="0084015F"/>
    <w:rsid w:val="008401C4"/>
    <w:rsid w:val="00841391"/>
    <w:rsid w:val="0084162F"/>
    <w:rsid w:val="00841963"/>
    <w:rsid w:val="00843506"/>
    <w:rsid w:val="00844617"/>
    <w:rsid w:val="0084486F"/>
    <w:rsid w:val="00844F10"/>
    <w:rsid w:val="00847716"/>
    <w:rsid w:val="008500A3"/>
    <w:rsid w:val="00850AB5"/>
    <w:rsid w:val="00851B0D"/>
    <w:rsid w:val="00852155"/>
    <w:rsid w:val="00852A60"/>
    <w:rsid w:val="00852DE2"/>
    <w:rsid w:val="0085416E"/>
    <w:rsid w:val="008556C4"/>
    <w:rsid w:val="00855A7E"/>
    <w:rsid w:val="00856064"/>
    <w:rsid w:val="008571BA"/>
    <w:rsid w:val="00857471"/>
    <w:rsid w:val="00861C66"/>
    <w:rsid w:val="008631A5"/>
    <w:rsid w:val="00863873"/>
    <w:rsid w:val="00863A03"/>
    <w:rsid w:val="0086436B"/>
    <w:rsid w:val="0086745A"/>
    <w:rsid w:val="00867D52"/>
    <w:rsid w:val="008702FC"/>
    <w:rsid w:val="00870425"/>
    <w:rsid w:val="00870DEA"/>
    <w:rsid w:val="0087132D"/>
    <w:rsid w:val="008743A6"/>
    <w:rsid w:val="0087564F"/>
    <w:rsid w:val="0087593A"/>
    <w:rsid w:val="008759B9"/>
    <w:rsid w:val="00880727"/>
    <w:rsid w:val="00880C27"/>
    <w:rsid w:val="00880E69"/>
    <w:rsid w:val="00881755"/>
    <w:rsid w:val="00881948"/>
    <w:rsid w:val="00882778"/>
    <w:rsid w:val="00882D5A"/>
    <w:rsid w:val="00883990"/>
    <w:rsid w:val="008850FB"/>
    <w:rsid w:val="00885193"/>
    <w:rsid w:val="008859A2"/>
    <w:rsid w:val="008869C0"/>
    <w:rsid w:val="00887C83"/>
    <w:rsid w:val="008901AA"/>
    <w:rsid w:val="0089025E"/>
    <w:rsid w:val="00894749"/>
    <w:rsid w:val="00895DF1"/>
    <w:rsid w:val="00897BBC"/>
    <w:rsid w:val="008A1E57"/>
    <w:rsid w:val="008A2276"/>
    <w:rsid w:val="008A2ECD"/>
    <w:rsid w:val="008A3E8B"/>
    <w:rsid w:val="008A469E"/>
    <w:rsid w:val="008A6055"/>
    <w:rsid w:val="008B1EAA"/>
    <w:rsid w:val="008B2815"/>
    <w:rsid w:val="008B3077"/>
    <w:rsid w:val="008B3B1E"/>
    <w:rsid w:val="008B627B"/>
    <w:rsid w:val="008C0249"/>
    <w:rsid w:val="008C2D7A"/>
    <w:rsid w:val="008C3079"/>
    <w:rsid w:val="008C4374"/>
    <w:rsid w:val="008C6429"/>
    <w:rsid w:val="008C79CE"/>
    <w:rsid w:val="008D0119"/>
    <w:rsid w:val="008D02AB"/>
    <w:rsid w:val="008D19C7"/>
    <w:rsid w:val="008D38BA"/>
    <w:rsid w:val="008D38F1"/>
    <w:rsid w:val="008D3D47"/>
    <w:rsid w:val="008D509F"/>
    <w:rsid w:val="008D5104"/>
    <w:rsid w:val="008D5B6A"/>
    <w:rsid w:val="008E1FE1"/>
    <w:rsid w:val="008E34CE"/>
    <w:rsid w:val="008E3D4F"/>
    <w:rsid w:val="008E4305"/>
    <w:rsid w:val="008E43E2"/>
    <w:rsid w:val="008E5DCE"/>
    <w:rsid w:val="008E76F2"/>
    <w:rsid w:val="008E7D1E"/>
    <w:rsid w:val="008F203A"/>
    <w:rsid w:val="008F25C7"/>
    <w:rsid w:val="008F2854"/>
    <w:rsid w:val="008F3914"/>
    <w:rsid w:val="008F45ED"/>
    <w:rsid w:val="008F500A"/>
    <w:rsid w:val="008F7DFE"/>
    <w:rsid w:val="009006AD"/>
    <w:rsid w:val="009034F9"/>
    <w:rsid w:val="00903A4E"/>
    <w:rsid w:val="009046E5"/>
    <w:rsid w:val="00906917"/>
    <w:rsid w:val="00907B24"/>
    <w:rsid w:val="00911160"/>
    <w:rsid w:val="00913741"/>
    <w:rsid w:val="009137F9"/>
    <w:rsid w:val="009138E6"/>
    <w:rsid w:val="0091518B"/>
    <w:rsid w:val="00916D06"/>
    <w:rsid w:val="00917F03"/>
    <w:rsid w:val="00920B1D"/>
    <w:rsid w:val="00921100"/>
    <w:rsid w:val="00921580"/>
    <w:rsid w:val="009241C7"/>
    <w:rsid w:val="00926532"/>
    <w:rsid w:val="0092688C"/>
    <w:rsid w:val="00931C53"/>
    <w:rsid w:val="00933CBD"/>
    <w:rsid w:val="00934201"/>
    <w:rsid w:val="00934C81"/>
    <w:rsid w:val="00935B1E"/>
    <w:rsid w:val="009364F5"/>
    <w:rsid w:val="00940768"/>
    <w:rsid w:val="00941808"/>
    <w:rsid w:val="00943B55"/>
    <w:rsid w:val="009450AE"/>
    <w:rsid w:val="009453FF"/>
    <w:rsid w:val="00947B70"/>
    <w:rsid w:val="00951686"/>
    <w:rsid w:val="00951AAB"/>
    <w:rsid w:val="0095242F"/>
    <w:rsid w:val="00952889"/>
    <w:rsid w:val="00955251"/>
    <w:rsid w:val="00957F0C"/>
    <w:rsid w:val="00960A2F"/>
    <w:rsid w:val="00963B12"/>
    <w:rsid w:val="00963C16"/>
    <w:rsid w:val="00965441"/>
    <w:rsid w:val="009654A7"/>
    <w:rsid w:val="00965CF8"/>
    <w:rsid w:val="009661FD"/>
    <w:rsid w:val="009666F3"/>
    <w:rsid w:val="00971BEE"/>
    <w:rsid w:val="00971F51"/>
    <w:rsid w:val="00974709"/>
    <w:rsid w:val="00974917"/>
    <w:rsid w:val="00975495"/>
    <w:rsid w:val="00975831"/>
    <w:rsid w:val="009761D6"/>
    <w:rsid w:val="009773D0"/>
    <w:rsid w:val="0098101E"/>
    <w:rsid w:val="009819FE"/>
    <w:rsid w:val="00982091"/>
    <w:rsid w:val="009821C3"/>
    <w:rsid w:val="009822FA"/>
    <w:rsid w:val="00982596"/>
    <w:rsid w:val="0098280E"/>
    <w:rsid w:val="009830F1"/>
    <w:rsid w:val="0098358B"/>
    <w:rsid w:val="00986712"/>
    <w:rsid w:val="00987A99"/>
    <w:rsid w:val="00987EC7"/>
    <w:rsid w:val="00990690"/>
    <w:rsid w:val="0099207C"/>
    <w:rsid w:val="00992505"/>
    <w:rsid w:val="0099268C"/>
    <w:rsid w:val="00994390"/>
    <w:rsid w:val="009948E8"/>
    <w:rsid w:val="009958B8"/>
    <w:rsid w:val="00996FC1"/>
    <w:rsid w:val="009976AA"/>
    <w:rsid w:val="009A0491"/>
    <w:rsid w:val="009A127D"/>
    <w:rsid w:val="009A2284"/>
    <w:rsid w:val="009A2AA6"/>
    <w:rsid w:val="009A3257"/>
    <w:rsid w:val="009A5744"/>
    <w:rsid w:val="009A5890"/>
    <w:rsid w:val="009A7200"/>
    <w:rsid w:val="009A774E"/>
    <w:rsid w:val="009B0073"/>
    <w:rsid w:val="009B0F67"/>
    <w:rsid w:val="009B16FF"/>
    <w:rsid w:val="009B1816"/>
    <w:rsid w:val="009B256B"/>
    <w:rsid w:val="009B323A"/>
    <w:rsid w:val="009B3568"/>
    <w:rsid w:val="009B44A9"/>
    <w:rsid w:val="009B4EF3"/>
    <w:rsid w:val="009B5EB4"/>
    <w:rsid w:val="009C0963"/>
    <w:rsid w:val="009C0D41"/>
    <w:rsid w:val="009C1145"/>
    <w:rsid w:val="009C2D19"/>
    <w:rsid w:val="009C30BB"/>
    <w:rsid w:val="009C43DA"/>
    <w:rsid w:val="009C615F"/>
    <w:rsid w:val="009C7E62"/>
    <w:rsid w:val="009D0264"/>
    <w:rsid w:val="009D0C70"/>
    <w:rsid w:val="009D1E02"/>
    <w:rsid w:val="009D1E6B"/>
    <w:rsid w:val="009D2B17"/>
    <w:rsid w:val="009D35CB"/>
    <w:rsid w:val="009D6420"/>
    <w:rsid w:val="009D775D"/>
    <w:rsid w:val="009E02DC"/>
    <w:rsid w:val="009E15B0"/>
    <w:rsid w:val="009E1737"/>
    <w:rsid w:val="009E2158"/>
    <w:rsid w:val="009E3366"/>
    <w:rsid w:val="009E42DB"/>
    <w:rsid w:val="009E503E"/>
    <w:rsid w:val="009E54CE"/>
    <w:rsid w:val="009E63E7"/>
    <w:rsid w:val="009E6510"/>
    <w:rsid w:val="009E7668"/>
    <w:rsid w:val="009E79C9"/>
    <w:rsid w:val="009F26B5"/>
    <w:rsid w:val="009F2EA1"/>
    <w:rsid w:val="009F504C"/>
    <w:rsid w:val="009F6529"/>
    <w:rsid w:val="009F7135"/>
    <w:rsid w:val="00A00586"/>
    <w:rsid w:val="00A00CE1"/>
    <w:rsid w:val="00A01D65"/>
    <w:rsid w:val="00A03E36"/>
    <w:rsid w:val="00A04BB5"/>
    <w:rsid w:val="00A07F54"/>
    <w:rsid w:val="00A103B3"/>
    <w:rsid w:val="00A118BD"/>
    <w:rsid w:val="00A15CF9"/>
    <w:rsid w:val="00A165E6"/>
    <w:rsid w:val="00A1713A"/>
    <w:rsid w:val="00A2011A"/>
    <w:rsid w:val="00A208A5"/>
    <w:rsid w:val="00A216FA"/>
    <w:rsid w:val="00A21787"/>
    <w:rsid w:val="00A25966"/>
    <w:rsid w:val="00A26F1A"/>
    <w:rsid w:val="00A3004E"/>
    <w:rsid w:val="00A306A2"/>
    <w:rsid w:val="00A3133E"/>
    <w:rsid w:val="00A31FDF"/>
    <w:rsid w:val="00A336E5"/>
    <w:rsid w:val="00A338DE"/>
    <w:rsid w:val="00A339F7"/>
    <w:rsid w:val="00A3539D"/>
    <w:rsid w:val="00A41303"/>
    <w:rsid w:val="00A41FF9"/>
    <w:rsid w:val="00A43103"/>
    <w:rsid w:val="00A435A4"/>
    <w:rsid w:val="00A44859"/>
    <w:rsid w:val="00A52092"/>
    <w:rsid w:val="00A53F39"/>
    <w:rsid w:val="00A55E11"/>
    <w:rsid w:val="00A56021"/>
    <w:rsid w:val="00A567CB"/>
    <w:rsid w:val="00A56801"/>
    <w:rsid w:val="00A57BE7"/>
    <w:rsid w:val="00A60A7F"/>
    <w:rsid w:val="00A61964"/>
    <w:rsid w:val="00A63D4A"/>
    <w:rsid w:val="00A63FD5"/>
    <w:rsid w:val="00A65231"/>
    <w:rsid w:val="00A65423"/>
    <w:rsid w:val="00A705DF"/>
    <w:rsid w:val="00A732D0"/>
    <w:rsid w:val="00A73DA7"/>
    <w:rsid w:val="00A74A77"/>
    <w:rsid w:val="00A771F4"/>
    <w:rsid w:val="00A773E2"/>
    <w:rsid w:val="00A80B67"/>
    <w:rsid w:val="00A8167E"/>
    <w:rsid w:val="00A869D6"/>
    <w:rsid w:val="00A90356"/>
    <w:rsid w:val="00A90B4D"/>
    <w:rsid w:val="00A93055"/>
    <w:rsid w:val="00A93CF7"/>
    <w:rsid w:val="00A95E35"/>
    <w:rsid w:val="00A963D2"/>
    <w:rsid w:val="00AA0B7F"/>
    <w:rsid w:val="00AA1881"/>
    <w:rsid w:val="00AA1C9E"/>
    <w:rsid w:val="00AA77D6"/>
    <w:rsid w:val="00AB3BA7"/>
    <w:rsid w:val="00AB3E15"/>
    <w:rsid w:val="00AB430F"/>
    <w:rsid w:val="00AB79D2"/>
    <w:rsid w:val="00AC09A5"/>
    <w:rsid w:val="00AC1DC8"/>
    <w:rsid w:val="00AC376F"/>
    <w:rsid w:val="00AC3A4A"/>
    <w:rsid w:val="00AC7099"/>
    <w:rsid w:val="00AD05CC"/>
    <w:rsid w:val="00AD0C97"/>
    <w:rsid w:val="00AD0D1F"/>
    <w:rsid w:val="00AD1E53"/>
    <w:rsid w:val="00AD3121"/>
    <w:rsid w:val="00AD5817"/>
    <w:rsid w:val="00AD5D88"/>
    <w:rsid w:val="00AD64ED"/>
    <w:rsid w:val="00AD66DE"/>
    <w:rsid w:val="00AD68E6"/>
    <w:rsid w:val="00AD7296"/>
    <w:rsid w:val="00AD7322"/>
    <w:rsid w:val="00AE179A"/>
    <w:rsid w:val="00AE22A9"/>
    <w:rsid w:val="00AF0A95"/>
    <w:rsid w:val="00AF1457"/>
    <w:rsid w:val="00AF232F"/>
    <w:rsid w:val="00AF2448"/>
    <w:rsid w:val="00AF27E3"/>
    <w:rsid w:val="00AF2F5D"/>
    <w:rsid w:val="00AF38A0"/>
    <w:rsid w:val="00AF59EC"/>
    <w:rsid w:val="00AF5E5D"/>
    <w:rsid w:val="00AF631D"/>
    <w:rsid w:val="00AF67DD"/>
    <w:rsid w:val="00B01D01"/>
    <w:rsid w:val="00B032BD"/>
    <w:rsid w:val="00B039A7"/>
    <w:rsid w:val="00B045C4"/>
    <w:rsid w:val="00B05122"/>
    <w:rsid w:val="00B05196"/>
    <w:rsid w:val="00B05237"/>
    <w:rsid w:val="00B0523D"/>
    <w:rsid w:val="00B05267"/>
    <w:rsid w:val="00B05B0E"/>
    <w:rsid w:val="00B10A59"/>
    <w:rsid w:val="00B12701"/>
    <w:rsid w:val="00B1541C"/>
    <w:rsid w:val="00B15832"/>
    <w:rsid w:val="00B16FEB"/>
    <w:rsid w:val="00B17219"/>
    <w:rsid w:val="00B202D2"/>
    <w:rsid w:val="00B20C0F"/>
    <w:rsid w:val="00B20F2A"/>
    <w:rsid w:val="00B21C71"/>
    <w:rsid w:val="00B21D58"/>
    <w:rsid w:val="00B221CB"/>
    <w:rsid w:val="00B22EBA"/>
    <w:rsid w:val="00B23164"/>
    <w:rsid w:val="00B23214"/>
    <w:rsid w:val="00B248AC"/>
    <w:rsid w:val="00B2567D"/>
    <w:rsid w:val="00B27041"/>
    <w:rsid w:val="00B31148"/>
    <w:rsid w:val="00B31AB8"/>
    <w:rsid w:val="00B32F15"/>
    <w:rsid w:val="00B40959"/>
    <w:rsid w:val="00B41A89"/>
    <w:rsid w:val="00B41F7F"/>
    <w:rsid w:val="00B431D4"/>
    <w:rsid w:val="00B440C9"/>
    <w:rsid w:val="00B4439A"/>
    <w:rsid w:val="00B448C8"/>
    <w:rsid w:val="00B4734D"/>
    <w:rsid w:val="00B50B4C"/>
    <w:rsid w:val="00B532D0"/>
    <w:rsid w:val="00B560F3"/>
    <w:rsid w:val="00B56A12"/>
    <w:rsid w:val="00B576E8"/>
    <w:rsid w:val="00B60866"/>
    <w:rsid w:val="00B6091B"/>
    <w:rsid w:val="00B638A3"/>
    <w:rsid w:val="00B720DA"/>
    <w:rsid w:val="00B721DD"/>
    <w:rsid w:val="00B724DF"/>
    <w:rsid w:val="00B73063"/>
    <w:rsid w:val="00B73F05"/>
    <w:rsid w:val="00B74A65"/>
    <w:rsid w:val="00B757C0"/>
    <w:rsid w:val="00B75A8C"/>
    <w:rsid w:val="00B762E7"/>
    <w:rsid w:val="00B76B9E"/>
    <w:rsid w:val="00B830A1"/>
    <w:rsid w:val="00B83905"/>
    <w:rsid w:val="00B86542"/>
    <w:rsid w:val="00B8664D"/>
    <w:rsid w:val="00B87E5A"/>
    <w:rsid w:val="00B91098"/>
    <w:rsid w:val="00B92959"/>
    <w:rsid w:val="00B92B67"/>
    <w:rsid w:val="00B94573"/>
    <w:rsid w:val="00B970E5"/>
    <w:rsid w:val="00B97573"/>
    <w:rsid w:val="00B97C98"/>
    <w:rsid w:val="00BA05ED"/>
    <w:rsid w:val="00BA1AB1"/>
    <w:rsid w:val="00BA1C8D"/>
    <w:rsid w:val="00BA2481"/>
    <w:rsid w:val="00BA50F6"/>
    <w:rsid w:val="00BA72FF"/>
    <w:rsid w:val="00BB0ECC"/>
    <w:rsid w:val="00BB1DAC"/>
    <w:rsid w:val="00BB31BB"/>
    <w:rsid w:val="00BB4586"/>
    <w:rsid w:val="00BB4F89"/>
    <w:rsid w:val="00BB5644"/>
    <w:rsid w:val="00BB77A9"/>
    <w:rsid w:val="00BB7B2B"/>
    <w:rsid w:val="00BC0374"/>
    <w:rsid w:val="00BC0805"/>
    <w:rsid w:val="00BC0D06"/>
    <w:rsid w:val="00BC134F"/>
    <w:rsid w:val="00BC17F9"/>
    <w:rsid w:val="00BC2286"/>
    <w:rsid w:val="00BC32C3"/>
    <w:rsid w:val="00BC4523"/>
    <w:rsid w:val="00BC477E"/>
    <w:rsid w:val="00BC4E95"/>
    <w:rsid w:val="00BD2FF2"/>
    <w:rsid w:val="00BD5753"/>
    <w:rsid w:val="00BD65D5"/>
    <w:rsid w:val="00BD6868"/>
    <w:rsid w:val="00BD707B"/>
    <w:rsid w:val="00BD70C2"/>
    <w:rsid w:val="00BD7577"/>
    <w:rsid w:val="00BD7B59"/>
    <w:rsid w:val="00BE091A"/>
    <w:rsid w:val="00BE4267"/>
    <w:rsid w:val="00BE438E"/>
    <w:rsid w:val="00BE45B6"/>
    <w:rsid w:val="00BE4AC8"/>
    <w:rsid w:val="00BF0E91"/>
    <w:rsid w:val="00BF2CD6"/>
    <w:rsid w:val="00BF2E51"/>
    <w:rsid w:val="00BF3876"/>
    <w:rsid w:val="00BF3C96"/>
    <w:rsid w:val="00BF4071"/>
    <w:rsid w:val="00C002D9"/>
    <w:rsid w:val="00C00937"/>
    <w:rsid w:val="00C013A8"/>
    <w:rsid w:val="00C01D9E"/>
    <w:rsid w:val="00C02533"/>
    <w:rsid w:val="00C02782"/>
    <w:rsid w:val="00C02B11"/>
    <w:rsid w:val="00C05108"/>
    <w:rsid w:val="00C05701"/>
    <w:rsid w:val="00C06902"/>
    <w:rsid w:val="00C06CFF"/>
    <w:rsid w:val="00C105D5"/>
    <w:rsid w:val="00C1066F"/>
    <w:rsid w:val="00C110E4"/>
    <w:rsid w:val="00C1357F"/>
    <w:rsid w:val="00C1407B"/>
    <w:rsid w:val="00C14337"/>
    <w:rsid w:val="00C20075"/>
    <w:rsid w:val="00C21649"/>
    <w:rsid w:val="00C2274A"/>
    <w:rsid w:val="00C232C9"/>
    <w:rsid w:val="00C2613A"/>
    <w:rsid w:val="00C30EDF"/>
    <w:rsid w:val="00C312C1"/>
    <w:rsid w:val="00C338A5"/>
    <w:rsid w:val="00C33D15"/>
    <w:rsid w:val="00C3404D"/>
    <w:rsid w:val="00C340FE"/>
    <w:rsid w:val="00C34E2D"/>
    <w:rsid w:val="00C35E62"/>
    <w:rsid w:val="00C3696D"/>
    <w:rsid w:val="00C36BF0"/>
    <w:rsid w:val="00C41D44"/>
    <w:rsid w:val="00C4487A"/>
    <w:rsid w:val="00C44AA1"/>
    <w:rsid w:val="00C44B41"/>
    <w:rsid w:val="00C450A1"/>
    <w:rsid w:val="00C458A0"/>
    <w:rsid w:val="00C46245"/>
    <w:rsid w:val="00C473D3"/>
    <w:rsid w:val="00C479C1"/>
    <w:rsid w:val="00C47E46"/>
    <w:rsid w:val="00C51AB8"/>
    <w:rsid w:val="00C5242E"/>
    <w:rsid w:val="00C54C44"/>
    <w:rsid w:val="00C54D90"/>
    <w:rsid w:val="00C557D6"/>
    <w:rsid w:val="00C57B14"/>
    <w:rsid w:val="00C61092"/>
    <w:rsid w:val="00C62EB4"/>
    <w:rsid w:val="00C63F6A"/>
    <w:rsid w:val="00C66B2C"/>
    <w:rsid w:val="00C67EDC"/>
    <w:rsid w:val="00C70164"/>
    <w:rsid w:val="00C70F32"/>
    <w:rsid w:val="00C7239B"/>
    <w:rsid w:val="00C72675"/>
    <w:rsid w:val="00C73C57"/>
    <w:rsid w:val="00C74A5C"/>
    <w:rsid w:val="00C75962"/>
    <w:rsid w:val="00C75DF8"/>
    <w:rsid w:val="00C80302"/>
    <w:rsid w:val="00C8164F"/>
    <w:rsid w:val="00C828D4"/>
    <w:rsid w:val="00C83E44"/>
    <w:rsid w:val="00C84559"/>
    <w:rsid w:val="00C84806"/>
    <w:rsid w:val="00C8553D"/>
    <w:rsid w:val="00C8625D"/>
    <w:rsid w:val="00C9011C"/>
    <w:rsid w:val="00C913D5"/>
    <w:rsid w:val="00C91D71"/>
    <w:rsid w:val="00C91F72"/>
    <w:rsid w:val="00C92DF2"/>
    <w:rsid w:val="00C9449E"/>
    <w:rsid w:val="00C958D2"/>
    <w:rsid w:val="00CA1525"/>
    <w:rsid w:val="00CA218D"/>
    <w:rsid w:val="00CA2314"/>
    <w:rsid w:val="00CA5971"/>
    <w:rsid w:val="00CA6C3D"/>
    <w:rsid w:val="00CA791C"/>
    <w:rsid w:val="00CB0306"/>
    <w:rsid w:val="00CB0F54"/>
    <w:rsid w:val="00CB104B"/>
    <w:rsid w:val="00CB1F48"/>
    <w:rsid w:val="00CB2273"/>
    <w:rsid w:val="00CB29F4"/>
    <w:rsid w:val="00CB30D5"/>
    <w:rsid w:val="00CB34C9"/>
    <w:rsid w:val="00CB3DF9"/>
    <w:rsid w:val="00CB4C28"/>
    <w:rsid w:val="00CB5CF2"/>
    <w:rsid w:val="00CB5DF2"/>
    <w:rsid w:val="00CB62AB"/>
    <w:rsid w:val="00CB6FEB"/>
    <w:rsid w:val="00CB7737"/>
    <w:rsid w:val="00CC4BFB"/>
    <w:rsid w:val="00CC5A22"/>
    <w:rsid w:val="00CC60EC"/>
    <w:rsid w:val="00CC660E"/>
    <w:rsid w:val="00CC7A8F"/>
    <w:rsid w:val="00CD029B"/>
    <w:rsid w:val="00CD0626"/>
    <w:rsid w:val="00CD0C0D"/>
    <w:rsid w:val="00CD15C4"/>
    <w:rsid w:val="00CD1DDA"/>
    <w:rsid w:val="00CD2DD1"/>
    <w:rsid w:val="00CD442F"/>
    <w:rsid w:val="00CD4D26"/>
    <w:rsid w:val="00CD546B"/>
    <w:rsid w:val="00CD55DA"/>
    <w:rsid w:val="00CD6197"/>
    <w:rsid w:val="00CD6805"/>
    <w:rsid w:val="00CD748D"/>
    <w:rsid w:val="00CE165D"/>
    <w:rsid w:val="00CE20D4"/>
    <w:rsid w:val="00CE3B20"/>
    <w:rsid w:val="00CE4642"/>
    <w:rsid w:val="00CE4E33"/>
    <w:rsid w:val="00CE7B3E"/>
    <w:rsid w:val="00CF0C6C"/>
    <w:rsid w:val="00CF1749"/>
    <w:rsid w:val="00CF1AA7"/>
    <w:rsid w:val="00CF22D9"/>
    <w:rsid w:val="00CF2A69"/>
    <w:rsid w:val="00CF3452"/>
    <w:rsid w:val="00CF3D86"/>
    <w:rsid w:val="00CF3E05"/>
    <w:rsid w:val="00CF5C7B"/>
    <w:rsid w:val="00CF6C3C"/>
    <w:rsid w:val="00CF6D85"/>
    <w:rsid w:val="00CF7150"/>
    <w:rsid w:val="00D0013F"/>
    <w:rsid w:val="00D01743"/>
    <w:rsid w:val="00D032E1"/>
    <w:rsid w:val="00D03B29"/>
    <w:rsid w:val="00D04C68"/>
    <w:rsid w:val="00D04D5C"/>
    <w:rsid w:val="00D05E0C"/>
    <w:rsid w:val="00D073F2"/>
    <w:rsid w:val="00D07DE3"/>
    <w:rsid w:val="00D10760"/>
    <w:rsid w:val="00D11CCC"/>
    <w:rsid w:val="00D131EB"/>
    <w:rsid w:val="00D1388E"/>
    <w:rsid w:val="00D17317"/>
    <w:rsid w:val="00D22480"/>
    <w:rsid w:val="00D25F60"/>
    <w:rsid w:val="00D2670F"/>
    <w:rsid w:val="00D26862"/>
    <w:rsid w:val="00D26E5F"/>
    <w:rsid w:val="00D336A9"/>
    <w:rsid w:val="00D35B94"/>
    <w:rsid w:val="00D366E9"/>
    <w:rsid w:val="00D3719E"/>
    <w:rsid w:val="00D40D9A"/>
    <w:rsid w:val="00D40E27"/>
    <w:rsid w:val="00D4108A"/>
    <w:rsid w:val="00D43B23"/>
    <w:rsid w:val="00D44243"/>
    <w:rsid w:val="00D455CB"/>
    <w:rsid w:val="00D4714B"/>
    <w:rsid w:val="00D519C5"/>
    <w:rsid w:val="00D51D88"/>
    <w:rsid w:val="00D51DD5"/>
    <w:rsid w:val="00D51DE6"/>
    <w:rsid w:val="00D51FC4"/>
    <w:rsid w:val="00D527FE"/>
    <w:rsid w:val="00D532EE"/>
    <w:rsid w:val="00D55082"/>
    <w:rsid w:val="00D569BA"/>
    <w:rsid w:val="00D57C13"/>
    <w:rsid w:val="00D61C50"/>
    <w:rsid w:val="00D703D7"/>
    <w:rsid w:val="00D714BF"/>
    <w:rsid w:val="00D7353E"/>
    <w:rsid w:val="00D76209"/>
    <w:rsid w:val="00D805ED"/>
    <w:rsid w:val="00D82F07"/>
    <w:rsid w:val="00D839D7"/>
    <w:rsid w:val="00D84D85"/>
    <w:rsid w:val="00D84E78"/>
    <w:rsid w:val="00D851A7"/>
    <w:rsid w:val="00D87E2C"/>
    <w:rsid w:val="00D90CE3"/>
    <w:rsid w:val="00D9130C"/>
    <w:rsid w:val="00D92C82"/>
    <w:rsid w:val="00D95880"/>
    <w:rsid w:val="00D9663C"/>
    <w:rsid w:val="00D9685F"/>
    <w:rsid w:val="00D96953"/>
    <w:rsid w:val="00D96EB4"/>
    <w:rsid w:val="00D97045"/>
    <w:rsid w:val="00D9739C"/>
    <w:rsid w:val="00D977FE"/>
    <w:rsid w:val="00DA0165"/>
    <w:rsid w:val="00DA181F"/>
    <w:rsid w:val="00DA2F92"/>
    <w:rsid w:val="00DA3849"/>
    <w:rsid w:val="00DA3E6E"/>
    <w:rsid w:val="00DA43E9"/>
    <w:rsid w:val="00DA4A79"/>
    <w:rsid w:val="00DA5073"/>
    <w:rsid w:val="00DA5FEE"/>
    <w:rsid w:val="00DA608F"/>
    <w:rsid w:val="00DA742A"/>
    <w:rsid w:val="00DB1129"/>
    <w:rsid w:val="00DB1649"/>
    <w:rsid w:val="00DB2EA3"/>
    <w:rsid w:val="00DB3F65"/>
    <w:rsid w:val="00DB48DC"/>
    <w:rsid w:val="00DB5163"/>
    <w:rsid w:val="00DB6DA4"/>
    <w:rsid w:val="00DB6F00"/>
    <w:rsid w:val="00DB7C65"/>
    <w:rsid w:val="00DC04E3"/>
    <w:rsid w:val="00DC191D"/>
    <w:rsid w:val="00DC1D3D"/>
    <w:rsid w:val="00DC266A"/>
    <w:rsid w:val="00DC2CEA"/>
    <w:rsid w:val="00DC4D36"/>
    <w:rsid w:val="00DC6D89"/>
    <w:rsid w:val="00DD19EE"/>
    <w:rsid w:val="00DD1CB5"/>
    <w:rsid w:val="00DD26CE"/>
    <w:rsid w:val="00DD5300"/>
    <w:rsid w:val="00DD6766"/>
    <w:rsid w:val="00DD77FF"/>
    <w:rsid w:val="00DE0288"/>
    <w:rsid w:val="00DE14C5"/>
    <w:rsid w:val="00DE2852"/>
    <w:rsid w:val="00DE2CC0"/>
    <w:rsid w:val="00DF0E6A"/>
    <w:rsid w:val="00DF274D"/>
    <w:rsid w:val="00DF4499"/>
    <w:rsid w:val="00DF5F6F"/>
    <w:rsid w:val="00E02073"/>
    <w:rsid w:val="00E033A7"/>
    <w:rsid w:val="00E044D6"/>
    <w:rsid w:val="00E0610E"/>
    <w:rsid w:val="00E118CD"/>
    <w:rsid w:val="00E12B21"/>
    <w:rsid w:val="00E13246"/>
    <w:rsid w:val="00E13A73"/>
    <w:rsid w:val="00E14371"/>
    <w:rsid w:val="00E16574"/>
    <w:rsid w:val="00E17CAB"/>
    <w:rsid w:val="00E20A43"/>
    <w:rsid w:val="00E20D05"/>
    <w:rsid w:val="00E21075"/>
    <w:rsid w:val="00E21574"/>
    <w:rsid w:val="00E23CC6"/>
    <w:rsid w:val="00E23D59"/>
    <w:rsid w:val="00E253DF"/>
    <w:rsid w:val="00E25FAB"/>
    <w:rsid w:val="00E279E2"/>
    <w:rsid w:val="00E312FF"/>
    <w:rsid w:val="00E3480D"/>
    <w:rsid w:val="00E355B2"/>
    <w:rsid w:val="00E3634F"/>
    <w:rsid w:val="00E36CDF"/>
    <w:rsid w:val="00E37EBB"/>
    <w:rsid w:val="00E412FE"/>
    <w:rsid w:val="00E41660"/>
    <w:rsid w:val="00E42D67"/>
    <w:rsid w:val="00E434E7"/>
    <w:rsid w:val="00E43B4D"/>
    <w:rsid w:val="00E43E01"/>
    <w:rsid w:val="00E442A9"/>
    <w:rsid w:val="00E4560E"/>
    <w:rsid w:val="00E50102"/>
    <w:rsid w:val="00E510F5"/>
    <w:rsid w:val="00E5161E"/>
    <w:rsid w:val="00E523F2"/>
    <w:rsid w:val="00E52A8A"/>
    <w:rsid w:val="00E543E6"/>
    <w:rsid w:val="00E55892"/>
    <w:rsid w:val="00E569E0"/>
    <w:rsid w:val="00E56ECF"/>
    <w:rsid w:val="00E62466"/>
    <w:rsid w:val="00E63162"/>
    <w:rsid w:val="00E64150"/>
    <w:rsid w:val="00E657F7"/>
    <w:rsid w:val="00E66D42"/>
    <w:rsid w:val="00E70A29"/>
    <w:rsid w:val="00E717AB"/>
    <w:rsid w:val="00E71BA7"/>
    <w:rsid w:val="00E7446B"/>
    <w:rsid w:val="00E75800"/>
    <w:rsid w:val="00E76CCA"/>
    <w:rsid w:val="00E7760A"/>
    <w:rsid w:val="00E77763"/>
    <w:rsid w:val="00E7776D"/>
    <w:rsid w:val="00E8041F"/>
    <w:rsid w:val="00E80F50"/>
    <w:rsid w:val="00E81058"/>
    <w:rsid w:val="00E813BF"/>
    <w:rsid w:val="00E83E29"/>
    <w:rsid w:val="00E8406B"/>
    <w:rsid w:val="00E84783"/>
    <w:rsid w:val="00E85B69"/>
    <w:rsid w:val="00E86488"/>
    <w:rsid w:val="00E86B20"/>
    <w:rsid w:val="00E911A2"/>
    <w:rsid w:val="00E9164D"/>
    <w:rsid w:val="00E932CD"/>
    <w:rsid w:val="00E94B4D"/>
    <w:rsid w:val="00E969DB"/>
    <w:rsid w:val="00E973BC"/>
    <w:rsid w:val="00E978E6"/>
    <w:rsid w:val="00EA02D8"/>
    <w:rsid w:val="00EA095F"/>
    <w:rsid w:val="00EA0AE2"/>
    <w:rsid w:val="00EA11C3"/>
    <w:rsid w:val="00EA11C9"/>
    <w:rsid w:val="00EA1B4D"/>
    <w:rsid w:val="00EA23CE"/>
    <w:rsid w:val="00EA2671"/>
    <w:rsid w:val="00EA500B"/>
    <w:rsid w:val="00EA5428"/>
    <w:rsid w:val="00EA64EF"/>
    <w:rsid w:val="00EB1BEA"/>
    <w:rsid w:val="00EB2082"/>
    <w:rsid w:val="00EB2C7F"/>
    <w:rsid w:val="00EB3517"/>
    <w:rsid w:val="00EB3A8D"/>
    <w:rsid w:val="00EB55E9"/>
    <w:rsid w:val="00EB5B7B"/>
    <w:rsid w:val="00EB65E9"/>
    <w:rsid w:val="00EB66A1"/>
    <w:rsid w:val="00EC0122"/>
    <w:rsid w:val="00EC0A0D"/>
    <w:rsid w:val="00EC15FC"/>
    <w:rsid w:val="00EC1FA5"/>
    <w:rsid w:val="00EC3324"/>
    <w:rsid w:val="00EC4DE0"/>
    <w:rsid w:val="00EC528F"/>
    <w:rsid w:val="00EC5298"/>
    <w:rsid w:val="00EC634E"/>
    <w:rsid w:val="00EC6909"/>
    <w:rsid w:val="00EC793C"/>
    <w:rsid w:val="00ED0A24"/>
    <w:rsid w:val="00ED14F0"/>
    <w:rsid w:val="00ED2107"/>
    <w:rsid w:val="00ED2A43"/>
    <w:rsid w:val="00ED3581"/>
    <w:rsid w:val="00ED3EB6"/>
    <w:rsid w:val="00ED44E3"/>
    <w:rsid w:val="00ED55B5"/>
    <w:rsid w:val="00ED5FAB"/>
    <w:rsid w:val="00ED76EB"/>
    <w:rsid w:val="00EE0634"/>
    <w:rsid w:val="00EE0652"/>
    <w:rsid w:val="00EE2AD3"/>
    <w:rsid w:val="00EE2DFC"/>
    <w:rsid w:val="00EE6154"/>
    <w:rsid w:val="00EE6456"/>
    <w:rsid w:val="00EE6BD4"/>
    <w:rsid w:val="00EE70BD"/>
    <w:rsid w:val="00EE7E49"/>
    <w:rsid w:val="00EF0836"/>
    <w:rsid w:val="00EF344F"/>
    <w:rsid w:val="00F0023F"/>
    <w:rsid w:val="00F0053C"/>
    <w:rsid w:val="00F01B08"/>
    <w:rsid w:val="00F055EC"/>
    <w:rsid w:val="00F06C9E"/>
    <w:rsid w:val="00F07F3D"/>
    <w:rsid w:val="00F101D8"/>
    <w:rsid w:val="00F11714"/>
    <w:rsid w:val="00F12CBF"/>
    <w:rsid w:val="00F13E37"/>
    <w:rsid w:val="00F15DAE"/>
    <w:rsid w:val="00F1610F"/>
    <w:rsid w:val="00F16169"/>
    <w:rsid w:val="00F16EC2"/>
    <w:rsid w:val="00F17117"/>
    <w:rsid w:val="00F17AB7"/>
    <w:rsid w:val="00F21C37"/>
    <w:rsid w:val="00F22519"/>
    <w:rsid w:val="00F23D54"/>
    <w:rsid w:val="00F24824"/>
    <w:rsid w:val="00F2524F"/>
    <w:rsid w:val="00F25584"/>
    <w:rsid w:val="00F255B5"/>
    <w:rsid w:val="00F26187"/>
    <w:rsid w:val="00F263E1"/>
    <w:rsid w:val="00F27585"/>
    <w:rsid w:val="00F34168"/>
    <w:rsid w:val="00F3441B"/>
    <w:rsid w:val="00F363E5"/>
    <w:rsid w:val="00F40138"/>
    <w:rsid w:val="00F40FA5"/>
    <w:rsid w:val="00F42020"/>
    <w:rsid w:val="00F42E63"/>
    <w:rsid w:val="00F42F28"/>
    <w:rsid w:val="00F43C37"/>
    <w:rsid w:val="00F46D32"/>
    <w:rsid w:val="00F5063B"/>
    <w:rsid w:val="00F50A10"/>
    <w:rsid w:val="00F52AFB"/>
    <w:rsid w:val="00F53980"/>
    <w:rsid w:val="00F53F64"/>
    <w:rsid w:val="00F546BC"/>
    <w:rsid w:val="00F5473B"/>
    <w:rsid w:val="00F56888"/>
    <w:rsid w:val="00F60F9B"/>
    <w:rsid w:val="00F60FCB"/>
    <w:rsid w:val="00F616D2"/>
    <w:rsid w:val="00F627EF"/>
    <w:rsid w:val="00F6545A"/>
    <w:rsid w:val="00F66206"/>
    <w:rsid w:val="00F662A6"/>
    <w:rsid w:val="00F70AAC"/>
    <w:rsid w:val="00F70FFC"/>
    <w:rsid w:val="00F743D9"/>
    <w:rsid w:val="00F7640C"/>
    <w:rsid w:val="00F77D1A"/>
    <w:rsid w:val="00F80A3D"/>
    <w:rsid w:val="00F82DDF"/>
    <w:rsid w:val="00F857B9"/>
    <w:rsid w:val="00F85D30"/>
    <w:rsid w:val="00F87A52"/>
    <w:rsid w:val="00F87DF9"/>
    <w:rsid w:val="00F9116F"/>
    <w:rsid w:val="00F92FB4"/>
    <w:rsid w:val="00F93CD9"/>
    <w:rsid w:val="00F9483A"/>
    <w:rsid w:val="00F94FF2"/>
    <w:rsid w:val="00F9508C"/>
    <w:rsid w:val="00F95EFF"/>
    <w:rsid w:val="00F97F5F"/>
    <w:rsid w:val="00FA0379"/>
    <w:rsid w:val="00FA1437"/>
    <w:rsid w:val="00FA2159"/>
    <w:rsid w:val="00FA5083"/>
    <w:rsid w:val="00FA776A"/>
    <w:rsid w:val="00FB3BE8"/>
    <w:rsid w:val="00FB515B"/>
    <w:rsid w:val="00FB5849"/>
    <w:rsid w:val="00FB635C"/>
    <w:rsid w:val="00FC0808"/>
    <w:rsid w:val="00FC390D"/>
    <w:rsid w:val="00FC4825"/>
    <w:rsid w:val="00FC4D5E"/>
    <w:rsid w:val="00FC5054"/>
    <w:rsid w:val="00FC533B"/>
    <w:rsid w:val="00FC6CE5"/>
    <w:rsid w:val="00FC77BC"/>
    <w:rsid w:val="00FD0991"/>
    <w:rsid w:val="00FD16A2"/>
    <w:rsid w:val="00FD19C3"/>
    <w:rsid w:val="00FD360C"/>
    <w:rsid w:val="00FD43D6"/>
    <w:rsid w:val="00FD49E8"/>
    <w:rsid w:val="00FD5848"/>
    <w:rsid w:val="00FE07E2"/>
    <w:rsid w:val="00FE0E7D"/>
    <w:rsid w:val="00FE23B7"/>
    <w:rsid w:val="00FE2DBF"/>
    <w:rsid w:val="00FE4218"/>
    <w:rsid w:val="00FE618E"/>
    <w:rsid w:val="00FE6853"/>
    <w:rsid w:val="00FE7A5F"/>
    <w:rsid w:val="00FF1DF6"/>
    <w:rsid w:val="00FF2159"/>
    <w:rsid w:val="00FF2BBA"/>
    <w:rsid w:val="00FF2C58"/>
    <w:rsid w:val="00FF450E"/>
    <w:rsid w:val="00FF5888"/>
    <w:rsid w:val="00FF6319"/>
    <w:rsid w:val="017836F9"/>
    <w:rsid w:val="01BAE34C"/>
    <w:rsid w:val="01E42A37"/>
    <w:rsid w:val="01F9AFD3"/>
    <w:rsid w:val="027771F1"/>
    <w:rsid w:val="02D5AF9F"/>
    <w:rsid w:val="04E54F99"/>
    <w:rsid w:val="05AE9C90"/>
    <w:rsid w:val="068310C9"/>
    <w:rsid w:val="07569793"/>
    <w:rsid w:val="082877AB"/>
    <w:rsid w:val="083C56A1"/>
    <w:rsid w:val="085DDE47"/>
    <w:rsid w:val="08865B51"/>
    <w:rsid w:val="0895CB37"/>
    <w:rsid w:val="08CC87DB"/>
    <w:rsid w:val="08ED4E8F"/>
    <w:rsid w:val="0999C2EA"/>
    <w:rsid w:val="09BE15CE"/>
    <w:rsid w:val="0A276AC3"/>
    <w:rsid w:val="0B837651"/>
    <w:rsid w:val="0CB4FCE2"/>
    <w:rsid w:val="0CD6F4AF"/>
    <w:rsid w:val="0D15EE6B"/>
    <w:rsid w:val="0D88AC1D"/>
    <w:rsid w:val="0E604963"/>
    <w:rsid w:val="0E6A1EF2"/>
    <w:rsid w:val="0F0B68F8"/>
    <w:rsid w:val="0F162F55"/>
    <w:rsid w:val="103EA9F9"/>
    <w:rsid w:val="11084A6A"/>
    <w:rsid w:val="114F5958"/>
    <w:rsid w:val="11693C0C"/>
    <w:rsid w:val="11AC6E47"/>
    <w:rsid w:val="11CA40A8"/>
    <w:rsid w:val="121B5E99"/>
    <w:rsid w:val="126BC9BE"/>
    <w:rsid w:val="13499CD5"/>
    <w:rsid w:val="1487B140"/>
    <w:rsid w:val="152E6AB8"/>
    <w:rsid w:val="156FA930"/>
    <w:rsid w:val="15D904F1"/>
    <w:rsid w:val="1676CE54"/>
    <w:rsid w:val="1848B187"/>
    <w:rsid w:val="19600A4F"/>
    <w:rsid w:val="1BB3DE20"/>
    <w:rsid w:val="1C284457"/>
    <w:rsid w:val="1C41EB86"/>
    <w:rsid w:val="1CDAE693"/>
    <w:rsid w:val="1EED76DF"/>
    <w:rsid w:val="1F3936F6"/>
    <w:rsid w:val="1F476D4E"/>
    <w:rsid w:val="1F78B128"/>
    <w:rsid w:val="1FA83790"/>
    <w:rsid w:val="1FB3BDF0"/>
    <w:rsid w:val="1FC0C902"/>
    <w:rsid w:val="206751A5"/>
    <w:rsid w:val="20C18F5B"/>
    <w:rsid w:val="2153ABF6"/>
    <w:rsid w:val="21F31B0B"/>
    <w:rsid w:val="2212D598"/>
    <w:rsid w:val="22640FD4"/>
    <w:rsid w:val="2281A586"/>
    <w:rsid w:val="22A631A5"/>
    <w:rsid w:val="231D9C23"/>
    <w:rsid w:val="233C2C6A"/>
    <w:rsid w:val="2343BF32"/>
    <w:rsid w:val="240D4398"/>
    <w:rsid w:val="24261285"/>
    <w:rsid w:val="24712C92"/>
    <w:rsid w:val="24A18322"/>
    <w:rsid w:val="24D30D21"/>
    <w:rsid w:val="254DE195"/>
    <w:rsid w:val="256750DE"/>
    <w:rsid w:val="260DD8BC"/>
    <w:rsid w:val="26117FE0"/>
    <w:rsid w:val="262DAA7A"/>
    <w:rsid w:val="2655DF21"/>
    <w:rsid w:val="275D2E8A"/>
    <w:rsid w:val="27B7EAA1"/>
    <w:rsid w:val="2860FBD3"/>
    <w:rsid w:val="28A377D4"/>
    <w:rsid w:val="28A68D52"/>
    <w:rsid w:val="28C52EB4"/>
    <w:rsid w:val="28D6A416"/>
    <w:rsid w:val="28FC02F0"/>
    <w:rsid w:val="294027EA"/>
    <w:rsid w:val="2A178B7E"/>
    <w:rsid w:val="2A5C166B"/>
    <w:rsid w:val="2A8F445D"/>
    <w:rsid w:val="2AC35633"/>
    <w:rsid w:val="2B0593A5"/>
    <w:rsid w:val="2BE92B05"/>
    <w:rsid w:val="2BEE0646"/>
    <w:rsid w:val="2D488032"/>
    <w:rsid w:val="2DDA189F"/>
    <w:rsid w:val="2DF135F8"/>
    <w:rsid w:val="2ECB0353"/>
    <w:rsid w:val="2F14354E"/>
    <w:rsid w:val="2F6D8B53"/>
    <w:rsid w:val="2FC07BB5"/>
    <w:rsid w:val="2FE65175"/>
    <w:rsid w:val="3009F269"/>
    <w:rsid w:val="300CBFC2"/>
    <w:rsid w:val="305B4EA7"/>
    <w:rsid w:val="310119E8"/>
    <w:rsid w:val="31F70D64"/>
    <w:rsid w:val="322BA192"/>
    <w:rsid w:val="32A6F4A5"/>
    <w:rsid w:val="3307C0D8"/>
    <w:rsid w:val="33CEFEEC"/>
    <w:rsid w:val="33DA0A74"/>
    <w:rsid w:val="34C1DFB7"/>
    <w:rsid w:val="34F5FD93"/>
    <w:rsid w:val="353727B8"/>
    <w:rsid w:val="357EB001"/>
    <w:rsid w:val="35B2D682"/>
    <w:rsid w:val="36648030"/>
    <w:rsid w:val="36CB2B38"/>
    <w:rsid w:val="3784FE12"/>
    <w:rsid w:val="3853A0E9"/>
    <w:rsid w:val="38720B65"/>
    <w:rsid w:val="38C908B2"/>
    <w:rsid w:val="3946109C"/>
    <w:rsid w:val="3AF07505"/>
    <w:rsid w:val="3B1C1040"/>
    <w:rsid w:val="3B3476CA"/>
    <w:rsid w:val="3B5BA19C"/>
    <w:rsid w:val="3C31552E"/>
    <w:rsid w:val="3C7D76A2"/>
    <w:rsid w:val="3DFB84D9"/>
    <w:rsid w:val="3E254E27"/>
    <w:rsid w:val="3EA1CAB7"/>
    <w:rsid w:val="3F23D82B"/>
    <w:rsid w:val="3F557481"/>
    <w:rsid w:val="3FDE1667"/>
    <w:rsid w:val="3FE45D40"/>
    <w:rsid w:val="4018C5C9"/>
    <w:rsid w:val="40A31209"/>
    <w:rsid w:val="40AB9A81"/>
    <w:rsid w:val="40ABBB79"/>
    <w:rsid w:val="40BCA26C"/>
    <w:rsid w:val="412BA2A5"/>
    <w:rsid w:val="4177D692"/>
    <w:rsid w:val="4196A241"/>
    <w:rsid w:val="41BBB4C9"/>
    <w:rsid w:val="426A05CA"/>
    <w:rsid w:val="434D3DA5"/>
    <w:rsid w:val="43641919"/>
    <w:rsid w:val="44615ACB"/>
    <w:rsid w:val="44BA51F7"/>
    <w:rsid w:val="44E12850"/>
    <w:rsid w:val="44F578F6"/>
    <w:rsid w:val="45064E2B"/>
    <w:rsid w:val="45166799"/>
    <w:rsid w:val="45CC4367"/>
    <w:rsid w:val="468CD4F0"/>
    <w:rsid w:val="46EC6D9E"/>
    <w:rsid w:val="483841E4"/>
    <w:rsid w:val="483B19EA"/>
    <w:rsid w:val="48843CAF"/>
    <w:rsid w:val="490324D9"/>
    <w:rsid w:val="4924BDAF"/>
    <w:rsid w:val="49D1487F"/>
    <w:rsid w:val="4A3B3D93"/>
    <w:rsid w:val="4A73406A"/>
    <w:rsid w:val="4AD83E8D"/>
    <w:rsid w:val="4AE045FD"/>
    <w:rsid w:val="4B1E88EA"/>
    <w:rsid w:val="4B2F26B7"/>
    <w:rsid w:val="4B442B8F"/>
    <w:rsid w:val="4BE21AEB"/>
    <w:rsid w:val="4C4DDD28"/>
    <w:rsid w:val="4C9875BC"/>
    <w:rsid w:val="4CA09F86"/>
    <w:rsid w:val="4D397425"/>
    <w:rsid w:val="4D7E60FB"/>
    <w:rsid w:val="4DC56CD0"/>
    <w:rsid w:val="4ECD2B64"/>
    <w:rsid w:val="4FAECFCB"/>
    <w:rsid w:val="4FBC6833"/>
    <w:rsid w:val="4FEDB1FA"/>
    <w:rsid w:val="5044C65D"/>
    <w:rsid w:val="5046197E"/>
    <w:rsid w:val="508846F8"/>
    <w:rsid w:val="50C53E17"/>
    <w:rsid w:val="50F597D0"/>
    <w:rsid w:val="50FD3AD3"/>
    <w:rsid w:val="51DF91F6"/>
    <w:rsid w:val="52203B4B"/>
    <w:rsid w:val="52AE7ADF"/>
    <w:rsid w:val="52CF1FE1"/>
    <w:rsid w:val="52F4A213"/>
    <w:rsid w:val="532D3D66"/>
    <w:rsid w:val="53E44B1D"/>
    <w:rsid w:val="55159B07"/>
    <w:rsid w:val="558BAE14"/>
    <w:rsid w:val="55B6F788"/>
    <w:rsid w:val="55CE0EE2"/>
    <w:rsid w:val="56E0184F"/>
    <w:rsid w:val="576935CB"/>
    <w:rsid w:val="578AFBD7"/>
    <w:rsid w:val="57B0AC63"/>
    <w:rsid w:val="57B92646"/>
    <w:rsid w:val="57C1BA0D"/>
    <w:rsid w:val="58029348"/>
    <w:rsid w:val="58DE014D"/>
    <w:rsid w:val="58EC90DA"/>
    <w:rsid w:val="593A0E7A"/>
    <w:rsid w:val="5A5AEAB9"/>
    <w:rsid w:val="5ADB0D24"/>
    <w:rsid w:val="5B8D0231"/>
    <w:rsid w:val="5BBC5BBE"/>
    <w:rsid w:val="5E36D0C9"/>
    <w:rsid w:val="5E683061"/>
    <w:rsid w:val="5FA49CAA"/>
    <w:rsid w:val="5FAD392A"/>
    <w:rsid w:val="60259764"/>
    <w:rsid w:val="6063529D"/>
    <w:rsid w:val="60C18733"/>
    <w:rsid w:val="60DEC81C"/>
    <w:rsid w:val="61557E4C"/>
    <w:rsid w:val="629743D5"/>
    <w:rsid w:val="631CBDE4"/>
    <w:rsid w:val="6356FFA0"/>
    <w:rsid w:val="63BAE001"/>
    <w:rsid w:val="63D54C55"/>
    <w:rsid w:val="6446C529"/>
    <w:rsid w:val="65620163"/>
    <w:rsid w:val="67B163EE"/>
    <w:rsid w:val="682D383B"/>
    <w:rsid w:val="69608FE6"/>
    <w:rsid w:val="69BE6C35"/>
    <w:rsid w:val="69E4C18E"/>
    <w:rsid w:val="6AEB0D04"/>
    <w:rsid w:val="6B157AD3"/>
    <w:rsid w:val="6B162245"/>
    <w:rsid w:val="6B188204"/>
    <w:rsid w:val="6BDB14FE"/>
    <w:rsid w:val="6C02691F"/>
    <w:rsid w:val="6C539E8E"/>
    <w:rsid w:val="6C564FB8"/>
    <w:rsid w:val="6CB80CA0"/>
    <w:rsid w:val="6D3F06A9"/>
    <w:rsid w:val="6D4CC97C"/>
    <w:rsid w:val="6D805A79"/>
    <w:rsid w:val="6DACF2CA"/>
    <w:rsid w:val="6E643A15"/>
    <w:rsid w:val="6E9D2D34"/>
    <w:rsid w:val="6EBC4A00"/>
    <w:rsid w:val="701F6DB1"/>
    <w:rsid w:val="70800CA5"/>
    <w:rsid w:val="70C59FB7"/>
    <w:rsid w:val="72362B59"/>
    <w:rsid w:val="7236E62E"/>
    <w:rsid w:val="72A4D2F1"/>
    <w:rsid w:val="72DED1FE"/>
    <w:rsid w:val="7331F428"/>
    <w:rsid w:val="7418981C"/>
    <w:rsid w:val="74DCA589"/>
    <w:rsid w:val="7503F8F7"/>
    <w:rsid w:val="751E6FDB"/>
    <w:rsid w:val="756B3871"/>
    <w:rsid w:val="75B6528E"/>
    <w:rsid w:val="7693A11F"/>
    <w:rsid w:val="76A49F33"/>
    <w:rsid w:val="76D887C6"/>
    <w:rsid w:val="77019C37"/>
    <w:rsid w:val="772CA0FD"/>
    <w:rsid w:val="77C5F01E"/>
    <w:rsid w:val="78011602"/>
    <w:rsid w:val="781B12AD"/>
    <w:rsid w:val="7907AF46"/>
    <w:rsid w:val="79284306"/>
    <w:rsid w:val="794C749B"/>
    <w:rsid w:val="796DBC2B"/>
    <w:rsid w:val="7A289A8C"/>
    <w:rsid w:val="7A78B84B"/>
    <w:rsid w:val="7A81ED91"/>
    <w:rsid w:val="7BE832E0"/>
    <w:rsid w:val="7BF1A52F"/>
    <w:rsid w:val="7C44E4A0"/>
    <w:rsid w:val="7CB0847C"/>
    <w:rsid w:val="7CDFEC9A"/>
    <w:rsid w:val="7D692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906CB"/>
  <w15:docId w15:val="{7C966D36-EBFD-48F8-9A90-26FF5E43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006" w:hanging="447"/>
    </w:pPr>
  </w:style>
  <w:style w:type="paragraph" w:customStyle="1" w:styleId="TableParagraph">
    <w:name w:val="Table Paragraph"/>
    <w:basedOn w:val="Normal"/>
    <w:uiPriority w:val="1"/>
    <w:qFormat/>
    <w:pPr>
      <w:spacing w:before="23"/>
      <w:jc w:val="center"/>
    </w:pPr>
  </w:style>
  <w:style w:type="character" w:styleId="CommentReference">
    <w:name w:val="annotation reference"/>
    <w:basedOn w:val="DefaultParagraphFont"/>
    <w:unhideWhenUsed/>
    <w:rsid w:val="00DB1649"/>
    <w:rPr>
      <w:sz w:val="16"/>
      <w:szCs w:val="16"/>
    </w:rPr>
  </w:style>
  <w:style w:type="paragraph" w:styleId="CommentText">
    <w:name w:val="annotation text"/>
    <w:basedOn w:val="Normal"/>
    <w:link w:val="CommentTextChar"/>
    <w:unhideWhenUsed/>
    <w:rsid w:val="00DB1649"/>
    <w:rPr>
      <w:sz w:val="20"/>
      <w:szCs w:val="20"/>
    </w:rPr>
  </w:style>
  <w:style w:type="character" w:customStyle="1" w:styleId="CommentTextChar">
    <w:name w:val="Comment Text Char"/>
    <w:basedOn w:val="DefaultParagraphFont"/>
    <w:link w:val="CommentText"/>
    <w:rsid w:val="00DB16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B1649"/>
    <w:rPr>
      <w:b/>
      <w:bCs/>
    </w:rPr>
  </w:style>
  <w:style w:type="character" w:customStyle="1" w:styleId="CommentSubjectChar">
    <w:name w:val="Comment Subject Char"/>
    <w:basedOn w:val="CommentTextChar"/>
    <w:link w:val="CommentSubject"/>
    <w:uiPriority w:val="99"/>
    <w:semiHidden/>
    <w:rsid w:val="00DB1649"/>
    <w:rPr>
      <w:rFonts w:ascii="Arial" w:eastAsia="Arial" w:hAnsi="Arial" w:cs="Arial"/>
      <w:b/>
      <w:bCs/>
      <w:sz w:val="20"/>
      <w:szCs w:val="20"/>
    </w:rPr>
  </w:style>
  <w:style w:type="paragraph" w:styleId="Revision">
    <w:name w:val="Revision"/>
    <w:hidden/>
    <w:uiPriority w:val="99"/>
    <w:semiHidden/>
    <w:rsid w:val="00881755"/>
    <w:pPr>
      <w:widowControl/>
      <w:autoSpaceDE/>
      <w:autoSpaceDN/>
    </w:pPr>
    <w:rPr>
      <w:rFonts w:ascii="Arial" w:eastAsia="Arial" w:hAnsi="Arial" w:cs="Arial"/>
    </w:rPr>
  </w:style>
  <w:style w:type="character" w:styleId="Hyperlink">
    <w:name w:val="Hyperlink"/>
    <w:basedOn w:val="DefaultParagraphFont"/>
    <w:uiPriority w:val="99"/>
    <w:unhideWhenUsed/>
    <w:rsid w:val="003877BD"/>
    <w:rPr>
      <w:color w:val="0000FF" w:themeColor="hyperlink"/>
      <w:u w:val="single"/>
    </w:rPr>
  </w:style>
  <w:style w:type="paragraph" w:styleId="NormalWeb">
    <w:name w:val="Normal (Web)"/>
    <w:basedOn w:val="Normal"/>
    <w:uiPriority w:val="99"/>
    <w:unhideWhenUsed/>
    <w:rsid w:val="003877BD"/>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4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08A5"/>
    <w:rPr>
      <w:sz w:val="20"/>
      <w:szCs w:val="20"/>
    </w:rPr>
  </w:style>
  <w:style w:type="character" w:customStyle="1" w:styleId="FootnoteTextChar">
    <w:name w:val="Footnote Text Char"/>
    <w:basedOn w:val="DefaultParagraphFont"/>
    <w:link w:val="FootnoteText"/>
    <w:uiPriority w:val="99"/>
    <w:semiHidden/>
    <w:rsid w:val="00A208A5"/>
    <w:rPr>
      <w:rFonts w:ascii="Arial" w:eastAsia="Arial" w:hAnsi="Arial" w:cs="Arial"/>
      <w:sz w:val="20"/>
      <w:szCs w:val="20"/>
    </w:rPr>
  </w:style>
  <w:style w:type="character" w:styleId="FootnoteReference">
    <w:name w:val="footnote reference"/>
    <w:basedOn w:val="DefaultParagraphFont"/>
    <w:uiPriority w:val="99"/>
    <w:semiHidden/>
    <w:unhideWhenUsed/>
    <w:rsid w:val="00A208A5"/>
    <w:rPr>
      <w:vertAlign w:val="superscript"/>
    </w:rPr>
  </w:style>
  <w:style w:type="character" w:styleId="UnresolvedMention">
    <w:name w:val="Unresolved Mention"/>
    <w:basedOn w:val="DefaultParagraphFont"/>
    <w:uiPriority w:val="99"/>
    <w:semiHidden/>
    <w:unhideWhenUsed/>
    <w:rsid w:val="00CD0626"/>
    <w:rPr>
      <w:color w:val="605E5C"/>
      <w:shd w:val="clear" w:color="auto" w:fill="E1DFDD"/>
    </w:rPr>
  </w:style>
  <w:style w:type="character" w:customStyle="1" w:styleId="BodyTextChar">
    <w:name w:val="Body Text Char"/>
    <w:basedOn w:val="DefaultParagraphFont"/>
    <w:link w:val="BodyText"/>
    <w:uiPriority w:val="1"/>
    <w:rsid w:val="00F92FB4"/>
    <w:rPr>
      <w:rFonts w:ascii="Arial" w:eastAsia="Arial" w:hAnsi="Arial" w:cs="Arial"/>
    </w:rPr>
  </w:style>
  <w:style w:type="character" w:customStyle="1" w:styleId="ui-provider">
    <w:name w:val="ui-provider"/>
    <w:basedOn w:val="DefaultParagraphFont"/>
    <w:rsid w:val="00BE091A"/>
  </w:style>
  <w:style w:type="paragraph" w:customStyle="1" w:styleId="Level1">
    <w:name w:val="Level 1"/>
    <w:basedOn w:val="Normal"/>
    <w:rsid w:val="00521838"/>
    <w:pPr>
      <w:autoSpaceDE/>
      <w:autoSpaceDN/>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C84806"/>
    <w:rPr>
      <w:color w:val="2B579A"/>
      <w:shd w:val="clear" w:color="auto" w:fill="E1DFDD"/>
    </w:rPr>
  </w:style>
  <w:style w:type="paragraph" w:styleId="Header">
    <w:name w:val="header"/>
    <w:basedOn w:val="Normal"/>
    <w:link w:val="HeaderChar"/>
    <w:uiPriority w:val="99"/>
    <w:unhideWhenUsed/>
    <w:rsid w:val="005D0B1A"/>
    <w:pPr>
      <w:tabs>
        <w:tab w:val="center" w:pos="4680"/>
        <w:tab w:val="right" w:pos="9360"/>
      </w:tabs>
    </w:pPr>
  </w:style>
  <w:style w:type="character" w:customStyle="1" w:styleId="HeaderChar">
    <w:name w:val="Header Char"/>
    <w:basedOn w:val="DefaultParagraphFont"/>
    <w:link w:val="Header"/>
    <w:uiPriority w:val="99"/>
    <w:rsid w:val="005D0B1A"/>
    <w:rPr>
      <w:rFonts w:ascii="Arial" w:eastAsia="Arial" w:hAnsi="Arial" w:cs="Arial"/>
    </w:rPr>
  </w:style>
  <w:style w:type="paragraph" w:styleId="Footer">
    <w:name w:val="footer"/>
    <w:basedOn w:val="Normal"/>
    <w:link w:val="FooterChar"/>
    <w:uiPriority w:val="99"/>
    <w:unhideWhenUsed/>
    <w:rsid w:val="005D0B1A"/>
    <w:pPr>
      <w:tabs>
        <w:tab w:val="center" w:pos="4680"/>
        <w:tab w:val="right" w:pos="9360"/>
      </w:tabs>
    </w:pPr>
  </w:style>
  <w:style w:type="character" w:customStyle="1" w:styleId="FooterChar">
    <w:name w:val="Footer Char"/>
    <w:basedOn w:val="DefaultParagraphFont"/>
    <w:link w:val="Footer"/>
    <w:uiPriority w:val="99"/>
    <w:rsid w:val="005D0B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Kristen Benney</DisplayName>
        <AccountId>119</AccountId>
        <AccountType/>
      </UserInfo>
      <UserInfo>
        <DisplayName>David Cullison</DisplayName>
        <AccountId>62</AccountId>
        <AccountType/>
      </UserInfo>
    </SharedWithUsers>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DJXZ7D336C7E-259460999-4516</_dlc_DocId>
    <_dlc_DocIdUrl xmlns="b3a34a53-9a19-47a4-8acc-4e423288e9ad">
      <Url>https://usnrc.sharepoint.com/teams/OCIO-Information-Collections-Site/_layouts/15/DocIdRedir.aspx?ID=DJXZ7D336C7E-259460999-4516</Url>
      <Description>DJXZ7D336C7E-259460999-4516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D07AE-1DB3-409C-BF8D-8F67835F54C2}">
  <ds:schemaRefs/>
</ds:datastoreItem>
</file>

<file path=customXml/itemProps2.xml><?xml version="1.0" encoding="utf-8"?>
<ds:datastoreItem xmlns:ds="http://schemas.openxmlformats.org/officeDocument/2006/customXml" ds:itemID="{EBA65504-B91A-424F-9BCB-55B8D4316542}">
  <ds:schemaRefs/>
</ds:datastoreItem>
</file>

<file path=customXml/itemProps3.xml><?xml version="1.0" encoding="utf-8"?>
<ds:datastoreItem xmlns:ds="http://schemas.openxmlformats.org/officeDocument/2006/customXml" ds:itemID="{F246C3AD-FDA6-4699-AD32-02FB9BAA6E4D}">
  <ds:schemaRefs>
    <ds:schemaRef ds:uri="00b6466f-423f-4685-b181-7cb6e46d8b11"/>
    <ds:schemaRef ds:uri="http://schemas.microsoft.com/office/2006/metadata/properties"/>
    <ds:schemaRef ds:uri="http://purl.org/dc/terms/"/>
    <ds:schemaRef ds:uri="http://schemas.microsoft.com/sharepoint/v3"/>
    <ds:schemaRef ds:uri="http://schemas.microsoft.com/office/2006/documentManagement/types"/>
    <ds:schemaRef ds:uri="cbc86945-3c34-41a8-8c10-f62a4f4c606b"/>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4E75D67-3073-48F0-894A-B23023253360}">
  <ds:schemaRefs>
    <ds:schemaRef ds:uri="http://schemas.openxmlformats.org/officeDocument/2006/bibliography"/>
  </ds:schemaRefs>
</ds:datastoreItem>
</file>

<file path=customXml/itemProps5.xml><?xml version="1.0" encoding="utf-8"?>
<ds:datastoreItem xmlns:ds="http://schemas.openxmlformats.org/officeDocument/2006/customXml" ds:itemID="{0FBEE939-6849-402E-90BB-7E859A89BDC8}">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2929</Words>
  <Characters>16700</Characters>
  <Application>Microsoft Office Word</Application>
  <DocSecurity>0</DocSecurity>
  <Lines>139</Lines>
  <Paragraphs>39</Paragraphs>
  <ScaleCrop>false</ScaleCrop>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Soly Soto Lugo</dc:creator>
  <cp:lastModifiedBy>Kristen Benney</cp:lastModifiedBy>
  <cp:revision>2</cp:revision>
  <cp:lastPrinted>1900-01-01T05:00:00Z</cp:lastPrinted>
  <dcterms:created xsi:type="dcterms:W3CDTF">2025-07-22T17:06:00Z</dcterms:created>
  <dcterms:modified xsi:type="dcterms:W3CDTF">2025-07-22T17:06:00Z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or">
    <vt:lpwstr/>
  </property>
  <property fmtid="{D5CDD505-2E9C-101B-9397-08002B2CF9AE}" pid="4" name="MediaServiceImageTags">
    <vt:lpwstr/>
  </property>
  <property fmtid="{D5CDD505-2E9C-101B-9397-08002B2CF9AE}" pid="5" name="Producer">
    <vt:lpwstr/>
  </property>
  <property fmtid="{D5CDD505-2E9C-101B-9397-08002B2CF9AE}" pid="6" name="_dlc_DocIdItemGuid">
    <vt:lpwstr>55173721-2fef-418b-bbf7-f50674a2006a</vt:lpwstr>
  </property>
</Properties>
</file>