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27B7" w:rsidP="00120FAC" w14:paraId="1178A6D5" w14:textId="4624E816">
      <w:pPr>
        <w:pStyle w:val="BodyText"/>
        <w:tabs>
          <w:tab w:val="left" w:pos="810"/>
        </w:tabs>
        <w:spacing w:before="73"/>
        <w:jc w:val="center"/>
      </w:pPr>
      <w:r w:rsidRPr="00386FF8">
        <w:t xml:space="preserve">DRAFT </w:t>
      </w:r>
      <w:r>
        <w:t>SUPPORTING</w:t>
      </w:r>
      <w:r w:rsidRPr="00386FF8">
        <w:t xml:space="preserve"> </w:t>
      </w:r>
      <w:r>
        <w:t>STATEMENT</w:t>
      </w:r>
      <w:r w:rsidRPr="00386FF8">
        <w:t xml:space="preserve"> </w:t>
      </w:r>
      <w:r>
        <w:t>FOR</w:t>
      </w:r>
    </w:p>
    <w:p w:rsidR="009E27B7" w:rsidP="009E27B7" w14:paraId="038228B9" w14:textId="77777777">
      <w:pPr>
        <w:pStyle w:val="BodyText"/>
        <w:tabs>
          <w:tab w:val="left" w:pos="810"/>
        </w:tabs>
        <w:spacing w:before="73"/>
        <w:jc w:val="center"/>
      </w:pPr>
      <w:r>
        <w:t>INFORMATION COLLECTIONS CONTAINED IN</w:t>
      </w:r>
    </w:p>
    <w:p w:rsidR="009E27B7" w:rsidP="009E27B7" w14:paraId="3360F5E2" w14:textId="10E86511">
      <w:pPr>
        <w:pStyle w:val="BodyText"/>
        <w:tabs>
          <w:tab w:val="left" w:pos="810"/>
        </w:tabs>
        <w:spacing w:before="73"/>
        <w:jc w:val="center"/>
      </w:pPr>
      <w:r w:rsidRPr="00386FF8">
        <w:rPr>
          <w:caps/>
        </w:rPr>
        <w:t>Regulatory Framework</w:t>
      </w:r>
      <w:r>
        <w:rPr>
          <w:caps/>
        </w:rPr>
        <w:t xml:space="preserve"> </w:t>
      </w:r>
      <w:r w:rsidRPr="00386FF8">
        <w:rPr>
          <w:caps/>
        </w:rPr>
        <w:t>for Fusion</w:t>
      </w:r>
      <w:r>
        <w:rPr>
          <w:caps/>
        </w:rPr>
        <w:t xml:space="preserve"> MACHINE</w:t>
      </w:r>
      <w:r w:rsidRPr="00386FF8">
        <w:rPr>
          <w:caps/>
        </w:rPr>
        <w:t>s</w:t>
      </w:r>
      <w:r>
        <w:rPr>
          <w:caps/>
        </w:rPr>
        <w:t xml:space="preserve"> </w:t>
      </w:r>
      <w:r>
        <w:t>PROPOSED RULE</w:t>
      </w:r>
    </w:p>
    <w:p w:rsidR="009E27B7" w:rsidP="000848A4" w14:paraId="71E476EF" w14:textId="77777777">
      <w:pPr>
        <w:pStyle w:val="BodyText"/>
        <w:tabs>
          <w:tab w:val="left" w:pos="810"/>
        </w:tabs>
        <w:spacing w:before="73"/>
        <w:ind w:left="810" w:right="920"/>
        <w:jc w:val="center"/>
        <w:rPr>
          <w:caps/>
        </w:rPr>
      </w:pPr>
    </w:p>
    <w:p w:rsidR="00337A9E" w:rsidP="000848A4" w14:paraId="690906CC" w14:textId="45874810">
      <w:pPr>
        <w:pStyle w:val="BodyText"/>
        <w:tabs>
          <w:tab w:val="left" w:pos="810"/>
        </w:tabs>
        <w:spacing w:before="73"/>
        <w:ind w:left="810" w:right="920"/>
        <w:jc w:val="center"/>
      </w:pPr>
      <w:r>
        <w:t xml:space="preserve">NRC </w:t>
      </w:r>
      <w:r w:rsidR="00A801AE">
        <w:t>FORM 313</w:t>
      </w:r>
      <w:r>
        <w:t xml:space="preserve">, </w:t>
      </w:r>
      <w:r w:rsidR="00696BE7">
        <w:t>“</w:t>
      </w:r>
      <w:r w:rsidRPr="008A3EC4" w:rsidR="00A12152">
        <w:rPr>
          <w:caps/>
        </w:rPr>
        <w:t>Application</w:t>
      </w:r>
      <w:r w:rsidRPr="008A3EC4" w:rsidR="0022428D">
        <w:rPr>
          <w:caps/>
        </w:rPr>
        <w:t xml:space="preserve"> </w:t>
      </w:r>
      <w:r w:rsidRPr="008A3EC4" w:rsidR="00A12152">
        <w:rPr>
          <w:caps/>
        </w:rPr>
        <w:t>for Materials License</w:t>
      </w:r>
      <w:r w:rsidR="008A3EC4">
        <w:t>”</w:t>
      </w:r>
    </w:p>
    <w:p w:rsidR="00337A9E" w14:paraId="690906CD" w14:textId="77777777">
      <w:pPr>
        <w:pStyle w:val="BodyText"/>
      </w:pPr>
    </w:p>
    <w:p w:rsidR="00337A9E" w:rsidRPr="00873922" w14:paraId="690906CE" w14:textId="51423FC7">
      <w:pPr>
        <w:pStyle w:val="BodyText"/>
        <w:spacing w:line="253" w:lineRule="exact"/>
        <w:ind w:left="3491" w:right="3630"/>
        <w:jc w:val="center"/>
      </w:pPr>
      <w:r w:rsidRPr="00873922">
        <w:rPr>
          <w:w w:val="95"/>
        </w:rPr>
        <w:t>(</w:t>
      </w:r>
      <w:r w:rsidRPr="00873922" w:rsidR="000E5BDB">
        <w:t>3150-0120</w:t>
      </w:r>
      <w:r w:rsidRPr="00873922">
        <w:rPr>
          <w:spacing w:val="-2"/>
        </w:rPr>
        <w:t>)</w:t>
      </w:r>
    </w:p>
    <w:p w:rsidR="00337A9E" w:rsidRPr="00873922" w14:paraId="690906CF" w14:textId="3E7A052F">
      <w:pPr>
        <w:pStyle w:val="BodyText"/>
        <w:ind w:left="4884" w:right="5023" w:hanging="1"/>
        <w:jc w:val="center"/>
      </w:pPr>
    </w:p>
    <w:p w:rsidR="00337A9E" w:rsidRPr="00873922" w14:paraId="690906D0" w14:textId="77777777">
      <w:pPr>
        <w:pStyle w:val="BodyText"/>
        <w:spacing w:before="11"/>
        <w:rPr>
          <w:sz w:val="21"/>
        </w:rPr>
      </w:pPr>
    </w:p>
    <w:p w:rsidR="00337A9E" w:rsidP="002C4A53" w14:paraId="690906D1" w14:textId="77777777">
      <w:pPr>
        <w:pStyle w:val="BodyText"/>
      </w:pPr>
      <w:r w:rsidRPr="00873922">
        <w:rPr>
          <w:u w:val="single"/>
        </w:rPr>
        <w:t>Description</w:t>
      </w:r>
      <w:r w:rsidRPr="00873922">
        <w:rPr>
          <w:spacing w:val="-9"/>
          <w:u w:val="single"/>
        </w:rPr>
        <w:t xml:space="preserve"> </w:t>
      </w:r>
      <w:r w:rsidRPr="00873922">
        <w:rPr>
          <w:u w:val="single"/>
        </w:rPr>
        <w:t>of</w:t>
      </w:r>
      <w:r w:rsidRPr="00873922">
        <w:rPr>
          <w:spacing w:val="-8"/>
          <w:u w:val="single"/>
        </w:rPr>
        <w:t xml:space="preserve"> </w:t>
      </w:r>
      <w:r w:rsidRPr="00873922">
        <w:rPr>
          <w:u w:val="single"/>
        </w:rPr>
        <w:t>Information</w:t>
      </w:r>
      <w:r w:rsidRPr="00873922">
        <w:rPr>
          <w:spacing w:val="-8"/>
          <w:u w:val="single"/>
        </w:rPr>
        <w:t xml:space="preserve"> </w:t>
      </w:r>
      <w:r w:rsidRPr="00873922">
        <w:rPr>
          <w:spacing w:val="-2"/>
          <w:u w:val="single"/>
        </w:rPr>
        <w:t>Collection</w:t>
      </w:r>
    </w:p>
    <w:p w:rsidR="00337A9E" w14:paraId="690906D2" w14:textId="77777777">
      <w:pPr>
        <w:pStyle w:val="BodyText"/>
        <w:rPr>
          <w:sz w:val="14"/>
        </w:rPr>
      </w:pPr>
    </w:p>
    <w:p w:rsidR="004D02B9" w:rsidP="00477698" w14:paraId="487E3C63" w14:textId="0E2AB8CF">
      <w:pPr>
        <w:pStyle w:val="BodyText"/>
        <w:ind w:right="-187"/>
      </w:pPr>
      <w:r>
        <w:t>The regulatory requirements in Title 10 of the Code of Federal Regulations (CFR) Part 30, “Rules of General Applicability to Domestic Licensing of Byproduct Material,” identify the information required by the U.S. Nuclear Regulatory Commission (NRC) for an individual or other entity to be licensed to possess, use, transfer, and dispos</w:t>
      </w:r>
      <w:r w:rsidR="00936E7D">
        <w:t>e</w:t>
      </w:r>
      <w:r>
        <w:t xml:space="preserve"> of byproduct material. These requirements specify that the individual or other entity must submit an application that contains the information that will permit the NRC to determine whether the applicant has training, experience, equipment, facilities, and procedures for the use of byproduct material that are adequate to protect public health and safety. There is no required template for applying for a license; however, the NRC published a series of technical reports (NUREG</w:t>
      </w:r>
      <w:r w:rsidR="00F16BFC">
        <w:rPr>
          <w:rFonts w:ascii="Cambria Math" w:hAnsi="Cambria Math" w:cs="Cambria Math"/>
        </w:rPr>
        <w:t>-</w:t>
      </w:r>
      <w:r w:rsidR="00F16BFC">
        <w:t>1</w:t>
      </w:r>
      <w:r>
        <w:t>556 series, “Consolidated Guidance About Materials Licenses”)</w:t>
      </w:r>
      <w:r>
        <w:rPr>
          <w:rStyle w:val="FootnoteReference"/>
        </w:rPr>
        <w:footnoteReference w:id="3"/>
      </w:r>
      <w:r w:rsidR="0046049C">
        <w:t xml:space="preserve"> that</w:t>
      </w:r>
      <w:r>
        <w:t xml:space="preserve"> may assist applicants in developing their submissions. </w:t>
      </w:r>
      <w:r w:rsidR="5B02F778">
        <w:t>The NUREG</w:t>
      </w:r>
      <w:r w:rsidR="00F16BFC">
        <w:rPr>
          <w:rFonts w:ascii="Cambria Math" w:hAnsi="Cambria Math" w:cs="Cambria Math"/>
        </w:rPr>
        <w:t>‑</w:t>
      </w:r>
      <w:r w:rsidR="00F16BFC">
        <w:t>1</w:t>
      </w:r>
      <w:r w:rsidR="5B02F778">
        <w:t>556 series</w:t>
      </w:r>
      <w:r w:rsidR="08C5B122">
        <w:t xml:space="preserve"> licensing guidance documents</w:t>
      </w:r>
      <w:r w:rsidR="5B02F778">
        <w:t xml:space="preserve"> </w:t>
      </w:r>
      <w:r w:rsidR="4268A4E4">
        <w:t>are</w:t>
      </w:r>
      <w:r w:rsidR="5B02F778">
        <w:t xml:space="preserve"> designed to follow the format of Form 313.</w:t>
      </w:r>
      <w:r w:rsidR="009B3A39">
        <w:t xml:space="preserve"> </w:t>
      </w:r>
      <w:r>
        <w:t xml:space="preserve">An applicant may file an application </w:t>
      </w:r>
      <w:r w:rsidR="00D71F8E">
        <w:t xml:space="preserve">using </w:t>
      </w:r>
      <w:r>
        <w:t>NRC Form 313, "Application for Material License,"</w:t>
      </w:r>
      <w:r>
        <w:rPr>
          <w:rStyle w:val="FootnoteReference"/>
        </w:rPr>
        <w:footnoteReference w:id="4"/>
      </w:r>
      <w:r>
        <w:t xml:space="preserve"> in accordance with the instructions in 10 CFR 30.6, “Communications.”</w:t>
      </w:r>
      <w:r w:rsidR="009B3A39">
        <w:t xml:space="preserve"> </w:t>
      </w:r>
      <w:r>
        <w:t>The information collections related to NRC Form 313 are captured under O</w:t>
      </w:r>
      <w:r w:rsidR="00905BF2">
        <w:t>ffice of Management and Budget (OMB)</w:t>
      </w:r>
      <w:r>
        <w:t xml:space="preserve"> No. 3150-0120.</w:t>
      </w:r>
    </w:p>
    <w:p w:rsidR="00477698" w:rsidP="00477698" w14:paraId="2E1FEC5B" w14:textId="77777777">
      <w:pPr>
        <w:pStyle w:val="BodyText"/>
        <w:ind w:right="-187"/>
      </w:pPr>
    </w:p>
    <w:p w:rsidR="0052393F" w:rsidRPr="007D08C2" w:rsidP="00477698" w14:paraId="3738C0E9" w14:textId="0383AF6D">
      <w:pPr>
        <w:pStyle w:val="BodyText"/>
        <w:ind w:right="-187"/>
      </w:pPr>
      <w:r>
        <w:t xml:space="preserve">The NRC is proposing to amend its regulations to establish a regulatory framework </w:t>
      </w:r>
      <w:r w:rsidR="00AD2823">
        <w:t xml:space="preserve">for </w:t>
      </w:r>
      <w:r w:rsidR="00AD2823">
        <w:rPr>
          <w:rFonts w:eastAsia="Times New Roman"/>
          <w:bCs/>
        </w:rPr>
        <w:t>licensing the possession, use, and production of byproduct material associated with</w:t>
      </w:r>
      <w:r w:rsidR="00AD2823">
        <w:t xml:space="preserve"> </w:t>
      </w:r>
      <w:r>
        <w:t xml:space="preserve">fusion </w:t>
      </w:r>
      <w:r w:rsidR="00A73658">
        <w:t>machines</w:t>
      </w:r>
      <w:r>
        <w:t xml:space="preserve">. </w:t>
      </w:r>
      <w:r w:rsidR="004D02B9">
        <w:t xml:space="preserve">The proposed rule would add new requirements and modifies some existing requirements to license and oversee fusion </w:t>
      </w:r>
      <w:r w:rsidR="00694329">
        <w:t xml:space="preserve">machines </w:t>
      </w:r>
      <w:r w:rsidR="004D02B9">
        <w:t xml:space="preserve">under the 10 CFR Part 30 byproduct material framework. </w:t>
      </w:r>
      <w:r w:rsidR="003B1457">
        <w:t>The framework would provide</w:t>
      </w:r>
      <w:r w:rsidRPr="007D08C2" w:rsidR="00095DAB">
        <w:t xml:space="preserve"> a systematic, risk-informed </w:t>
      </w:r>
      <w:r w:rsidRPr="00EB5502" w:rsidR="006A15FF">
        <w:t>performance-based</w:t>
      </w:r>
      <w:r w:rsidRPr="00EB5502" w:rsidR="006A15FF">
        <w:rPr>
          <w:rFonts w:eastAsia="Times New Roman"/>
          <w:bCs/>
        </w:rPr>
        <w:t xml:space="preserve"> approach to the licensing and oversight of</w:t>
      </w:r>
      <w:r w:rsidR="009B3A39">
        <w:rPr>
          <w:rFonts w:eastAsia="Times New Roman"/>
          <w:bCs/>
        </w:rPr>
        <w:t xml:space="preserve"> </w:t>
      </w:r>
      <w:r w:rsidR="006A15FF">
        <w:rPr>
          <w:rFonts w:eastAsia="Times New Roman"/>
          <w:bCs/>
        </w:rPr>
        <w:t xml:space="preserve">byproduct material associated with </w:t>
      </w:r>
      <w:r w:rsidRPr="00EB5502" w:rsidR="006A15FF">
        <w:rPr>
          <w:rFonts w:eastAsia="Times New Roman"/>
          <w:bCs/>
        </w:rPr>
        <w:t xml:space="preserve">fusion machines </w:t>
      </w:r>
      <w:r w:rsidRPr="007D08C2" w:rsidR="00095DAB">
        <w:t xml:space="preserve">and their associated hazards. </w:t>
      </w:r>
      <w:r w:rsidR="00E54790">
        <w:t xml:space="preserve">Concurrent with this proposed rule, the NRC is issuing draft </w:t>
      </w:r>
      <w:r w:rsidRPr="007D08C2" w:rsidR="004D02B9">
        <w:t>NUREG</w:t>
      </w:r>
      <w:r w:rsidR="00F16BFC">
        <w:rPr>
          <w:rFonts w:ascii="Cambria Math" w:hAnsi="Cambria Math" w:cs="Cambria Math"/>
        </w:rPr>
        <w:t>‑</w:t>
      </w:r>
      <w:r w:rsidR="00F16BFC">
        <w:t>1</w:t>
      </w:r>
      <w:r w:rsidRPr="007D08C2" w:rsidR="004D02B9">
        <w:t xml:space="preserve">556, Volume 22, “Consolidated Guidance About Materials Licenses--Program-Specific Guidance About Fusion </w:t>
      </w:r>
      <w:r w:rsidRPr="007D08C2" w:rsidR="00694329">
        <w:t>Machine</w:t>
      </w:r>
      <w:r w:rsidRPr="007D08C2" w:rsidR="004D02B9">
        <w:t xml:space="preserve"> Licenses.” </w:t>
      </w:r>
      <w:r w:rsidRPr="007D08C2" w:rsidR="00AD0454">
        <w:t>Specifically, t</w:t>
      </w:r>
      <w:r w:rsidRPr="007D08C2" w:rsidR="004D02B9">
        <w:t xml:space="preserve">his proposed rule would add a new definition for “fusion </w:t>
      </w:r>
      <w:r w:rsidRPr="007D08C2" w:rsidR="00694329">
        <w:t>machine</w:t>
      </w:r>
      <w:r w:rsidRPr="007D08C2" w:rsidR="001C27B1">
        <w:t>,</w:t>
      </w:r>
      <w:r w:rsidRPr="007D08C2" w:rsidR="004D02B9">
        <w:t xml:space="preserve">” </w:t>
      </w:r>
      <w:r w:rsidR="00E54790">
        <w:t xml:space="preserve">revise </w:t>
      </w:r>
      <w:r w:rsidRPr="007D08C2" w:rsidR="00EA7370">
        <w:t xml:space="preserve">the definition of particle accelerator and </w:t>
      </w:r>
      <w:r w:rsidR="00E54790">
        <w:t>revise</w:t>
      </w:r>
      <w:r w:rsidRPr="007D08C2" w:rsidR="00E54790">
        <w:t xml:space="preserve"> </w:t>
      </w:r>
      <w:r w:rsidRPr="007D08C2" w:rsidR="00EA7370">
        <w:t xml:space="preserve">the definition of byproduct material </w:t>
      </w:r>
      <w:r w:rsidRPr="007D08C2" w:rsidR="00EA7370">
        <w:rPr>
          <w:rFonts w:eastAsia="Calibri"/>
          <w:bCs/>
        </w:rPr>
        <w:t xml:space="preserve">in 10 CFR 30.4, “Definitions” </w:t>
      </w:r>
      <w:r w:rsidRPr="007D08C2" w:rsidR="00EA7370">
        <w:t>and other parts of the regulations.</w:t>
      </w:r>
      <w:r w:rsidR="009B3A39">
        <w:t xml:space="preserve"> </w:t>
      </w:r>
      <w:r w:rsidRPr="007D08C2" w:rsidR="00C13FEE">
        <w:t xml:space="preserve">The amended byproduct material definition includes any material that has been made radioactive by use of a </w:t>
      </w:r>
      <w:r w:rsidR="001267CD">
        <w:t xml:space="preserve">particle accelerator, including by use of a </w:t>
      </w:r>
      <w:r w:rsidRPr="007D08C2" w:rsidR="00C13FEE">
        <w:t xml:space="preserve">fusion machine. </w:t>
      </w:r>
      <w:r w:rsidR="00E62334">
        <w:t xml:space="preserve">The NRC’s proposed definitions would consider fusion machines as a subset of particle accelerators. </w:t>
      </w:r>
      <w:r w:rsidRPr="007D08C2" w:rsidR="00C13FEE">
        <w:t xml:space="preserve">The proposed addition to the NRC regulations of “fusion machine” and the amendment to the definition of “byproduct material” would establish the scope of regulatory requirements </w:t>
      </w:r>
      <w:r w:rsidRPr="007D08C2" w:rsidR="00C13FEE">
        <w:rPr>
          <w:rFonts w:eastAsia="Times New Roman"/>
          <w:bCs/>
        </w:rPr>
        <w:t>for fusion machines and technology-inclusive content-of</w:t>
      </w:r>
      <w:r w:rsidR="0022545E">
        <w:rPr>
          <w:rFonts w:ascii="Cambria Math" w:eastAsia="Times New Roman" w:hAnsi="Cambria Math" w:cs="Cambria Math"/>
          <w:bCs/>
        </w:rPr>
        <w:t>‑</w:t>
      </w:r>
      <w:r w:rsidRPr="007D08C2" w:rsidR="00C13FEE">
        <w:rPr>
          <w:rFonts w:eastAsia="Times New Roman"/>
          <w:bCs/>
        </w:rPr>
        <w:t>application requirements under the existing byproduct material framework</w:t>
      </w:r>
      <w:r w:rsidRPr="007D08C2" w:rsidR="00597002">
        <w:t xml:space="preserve"> under 10 CFR Part 30 and other parts of the regulations</w:t>
      </w:r>
      <w:r w:rsidRPr="007D08C2" w:rsidR="007D08C2">
        <w:t>.</w:t>
      </w:r>
    </w:p>
    <w:p w:rsidR="007D08C2" w:rsidRPr="007D08C2" w:rsidP="00477698" w14:paraId="4ED4D323" w14:textId="77777777">
      <w:pPr>
        <w:pStyle w:val="BodyText"/>
        <w:ind w:right="-187"/>
        <w:rPr>
          <w:rFonts w:eastAsia="Calibri"/>
          <w:bCs/>
        </w:rPr>
      </w:pPr>
    </w:p>
    <w:p w:rsidR="001567EC" w:rsidP="001567EC" w14:paraId="63F4C149" w14:textId="77777777"/>
    <w:p w:rsidR="001375FD" w:rsidP="001567EC" w14:paraId="115B7B8C" w14:textId="56C523A1">
      <w:r w:rsidRPr="007D08C2">
        <w:t>This proposed rule would also add a new section in 10 CFR 30.32, “Application for specific licenses” and 10 CFR 30.33, “General requirements</w:t>
      </w:r>
      <w:r>
        <w:t xml:space="preserve"> for issuance of specific licenses;” and would amend existing regulations in 30.51(a) introductory text, 30.51(a)(1), and 30.52(a) of this </w:t>
      </w:r>
      <w:r w:rsidR="00071359">
        <w:t>C</w:t>
      </w:r>
      <w:r>
        <w:t xml:space="preserve">hapter to include conforming changes to existing byproduct material requirements to address specific attributes of fusion </w:t>
      </w:r>
      <w:r w:rsidR="00694329">
        <w:t>machines</w:t>
      </w:r>
      <w:r>
        <w:t xml:space="preserve">. Of these regulatory requirements, only amendments to Sections 30.32 and 30.51 would have information collections requirements. This </w:t>
      </w:r>
      <w:r>
        <w:t>information collections</w:t>
      </w:r>
      <w:r>
        <w:t xml:space="preserve"> supporting statement addresses the burden associated with </w:t>
      </w:r>
      <w:r w:rsidR="00E67219">
        <w:t>NRC Form 313</w:t>
      </w:r>
      <w:r w:rsidR="00D64551">
        <w:t xml:space="preserve"> </w:t>
      </w:r>
      <w:r w:rsidRPr="00B52FB5" w:rsidR="00D64551">
        <w:t xml:space="preserve">that includes burden associated with </w:t>
      </w:r>
      <w:r w:rsidR="004F43DD">
        <w:t>§</w:t>
      </w:r>
      <w:r w:rsidR="0046049C">
        <w:t> 3</w:t>
      </w:r>
      <w:r w:rsidRPr="00B52FB5" w:rsidR="00D64551">
        <w:t xml:space="preserve">0.32 (proposed new </w:t>
      </w:r>
      <w:r w:rsidR="004F43DD">
        <w:t>§</w:t>
      </w:r>
      <w:r w:rsidR="0046049C">
        <w:t> 3</w:t>
      </w:r>
      <w:r w:rsidRPr="00B52FB5" w:rsidR="00D64551">
        <w:t>0.32(k)</w:t>
      </w:r>
      <w:r w:rsidR="00D64551">
        <w:t>)</w:t>
      </w:r>
      <w:r>
        <w:t xml:space="preserve">. The </w:t>
      </w:r>
      <w:r w:rsidR="009C4E32">
        <w:t xml:space="preserve">NRC </w:t>
      </w:r>
      <w:r>
        <w:t xml:space="preserve">staff developed a separate supporting statement for </w:t>
      </w:r>
      <w:r w:rsidR="00A937E0">
        <w:t>§</w:t>
      </w:r>
      <w:r w:rsidR="0046049C">
        <w:t> 3</w:t>
      </w:r>
      <w:r w:rsidR="008F574D">
        <w:t>0.51</w:t>
      </w:r>
      <w:r w:rsidR="00A64A62">
        <w:t>, which is covered under the 10 CFR Part 30 information collection (3150-0017).</w:t>
      </w:r>
    </w:p>
    <w:p w:rsidR="00472444" w:rsidP="00C44323" w14:paraId="2DE8A883" w14:textId="77777777"/>
    <w:p w:rsidR="00C9239D" w:rsidP="0035764B" w14:paraId="1AA5359D" w14:textId="23B35B52">
      <w:pPr>
        <w:pStyle w:val="BodyText"/>
      </w:pPr>
      <w:r>
        <w:t xml:space="preserve">The proposed new </w:t>
      </w:r>
      <w:r w:rsidR="004F43DD">
        <w:t>§</w:t>
      </w:r>
      <w:r w:rsidR="0046049C">
        <w:t> 3</w:t>
      </w:r>
      <w:r>
        <w:t xml:space="preserve">0.32(k) is </w:t>
      </w:r>
      <w:r w:rsidRPr="4636282C">
        <w:rPr>
          <w:rFonts w:eastAsia="Calibri"/>
        </w:rPr>
        <w:t xml:space="preserve">specific to the license application requirements for </w:t>
      </w:r>
      <w:r w:rsidR="00214860">
        <w:rPr>
          <w:rFonts w:eastAsia="Calibri"/>
        </w:rPr>
        <w:t>the p</w:t>
      </w:r>
      <w:r w:rsidRPr="00926D9B" w:rsidR="00214860">
        <w:rPr>
          <w:rFonts w:eastAsia="Calibri"/>
        </w:rPr>
        <w:t xml:space="preserve">ossession, </w:t>
      </w:r>
      <w:r w:rsidR="00214860">
        <w:rPr>
          <w:rFonts w:eastAsia="Calibri"/>
        </w:rPr>
        <w:t>use, and p</w:t>
      </w:r>
      <w:r w:rsidRPr="00926D9B" w:rsidR="00214860">
        <w:rPr>
          <w:rFonts w:eastAsia="Calibri"/>
        </w:rPr>
        <w:t xml:space="preserve">roduction of </w:t>
      </w:r>
      <w:r w:rsidR="00214860">
        <w:rPr>
          <w:rFonts w:eastAsia="Calibri"/>
        </w:rPr>
        <w:t>b</w:t>
      </w:r>
      <w:r w:rsidRPr="00926D9B" w:rsidR="00214860">
        <w:rPr>
          <w:rFonts w:eastAsia="Calibri"/>
        </w:rPr>
        <w:t xml:space="preserve">yproduct </w:t>
      </w:r>
      <w:r w:rsidR="00214860">
        <w:rPr>
          <w:rFonts w:eastAsia="Calibri"/>
        </w:rPr>
        <w:t>m</w:t>
      </w:r>
      <w:r w:rsidRPr="00926D9B" w:rsidR="00214860">
        <w:rPr>
          <w:rFonts w:eastAsia="Calibri"/>
        </w:rPr>
        <w:t xml:space="preserve">aterial </w:t>
      </w:r>
      <w:r w:rsidR="00214860">
        <w:rPr>
          <w:rFonts w:eastAsia="Calibri"/>
        </w:rPr>
        <w:t>associated with</w:t>
      </w:r>
      <w:r w:rsidRPr="00926D9B" w:rsidR="00214860">
        <w:rPr>
          <w:rFonts w:eastAsia="Calibri"/>
        </w:rPr>
        <w:t xml:space="preserve"> </w:t>
      </w:r>
      <w:r w:rsidRPr="4636282C">
        <w:rPr>
          <w:rFonts w:eastAsia="Calibri"/>
        </w:rPr>
        <w:t xml:space="preserve">fusion </w:t>
      </w:r>
      <w:r>
        <w:rPr>
          <w:rFonts w:eastAsia="Calibri"/>
        </w:rPr>
        <w:t>machine</w:t>
      </w:r>
      <w:r w:rsidR="00FE3352">
        <w:rPr>
          <w:rFonts w:eastAsia="Calibri"/>
        </w:rPr>
        <w:t>s</w:t>
      </w:r>
      <w:r w:rsidRPr="00C16BF8">
        <w:rPr>
          <w:rFonts w:eastAsia="Calibri"/>
        </w:rPr>
        <w:t xml:space="preserve">. </w:t>
      </w:r>
      <w:r>
        <w:t>The proposed content</w:t>
      </w:r>
      <w:r w:rsidR="0089636A">
        <w:t>-</w:t>
      </w:r>
      <w:r>
        <w:t>of</w:t>
      </w:r>
      <w:r w:rsidR="0022545E">
        <w:rPr>
          <w:rFonts w:ascii="Cambria Math" w:hAnsi="Cambria Math" w:cs="Cambria Math"/>
        </w:rPr>
        <w:t>‑</w:t>
      </w:r>
      <w:r>
        <w:t xml:space="preserve">application section in 10 CFR 30.32(k) would require that an applicant for a license </w:t>
      </w:r>
      <w:r w:rsidR="0035764B">
        <w:t>to possess, use, and produce byproduct material</w:t>
      </w:r>
      <w:r w:rsidR="00444221">
        <w:t xml:space="preserve"> </w:t>
      </w:r>
      <w:r w:rsidR="0035764B">
        <w:t xml:space="preserve">associated with a fusion machine </w:t>
      </w:r>
      <w:r>
        <w:t xml:space="preserve">provide a general description of the fusion machine, summarize the operating and emergency procedures related to radiation safety, and describe the applicant’s radiation safety organizational structure, training program for fusion machines and radiation protection, inspection and maintenance program, and </w:t>
      </w:r>
      <w:r w:rsidR="00887270">
        <w:t xml:space="preserve">the </w:t>
      </w:r>
      <w:r>
        <w:t xml:space="preserve">methodology for maintaining a radioactive material inventory. The summary of the procedures important to radiation protection also would require that the applicant describe (1) the radiation protection measures to be employed for </w:t>
      </w:r>
      <w:r w:rsidR="00166B6E">
        <w:t>byproduct material</w:t>
      </w:r>
      <w:r>
        <w:t xml:space="preserve">, including all interlocks, access control systems, shielding, and radiation monitors; (2) the </w:t>
      </w:r>
      <w:r w:rsidR="004F22D7">
        <w:t xml:space="preserve">byproduct </w:t>
      </w:r>
      <w:r>
        <w:t>material handling systems procedures and inventory control procedures; and (3) any other components or systems used to control radiation and radioactive material.</w:t>
      </w:r>
    </w:p>
    <w:p w:rsidR="00C9239D" w:rsidP="00C44323" w14:paraId="1006248E" w14:textId="77777777"/>
    <w:p w:rsidR="00C44323" w:rsidP="00C44323" w14:paraId="70C7734B" w14:textId="2ED3C572">
      <w:r w:rsidRPr="00C16BF8">
        <w:t xml:space="preserve">Applicants for fusion </w:t>
      </w:r>
      <w:r w:rsidR="00694329">
        <w:t>machines</w:t>
      </w:r>
      <w:r w:rsidRPr="00C16BF8">
        <w:t xml:space="preserve"> </w:t>
      </w:r>
      <w:r w:rsidRPr="00C16BF8" w:rsidR="00C92E79">
        <w:t xml:space="preserve">may file an application </w:t>
      </w:r>
      <w:r w:rsidRPr="00C16BF8" w:rsidR="00466ADE">
        <w:t>us</w:t>
      </w:r>
      <w:r w:rsidRPr="00C16BF8" w:rsidR="00C92E79">
        <w:t>ing NRC Form 313</w:t>
      </w:r>
      <w:r w:rsidRPr="00C16BF8" w:rsidR="003729D5">
        <w:t xml:space="preserve">. If applicants for fusion </w:t>
      </w:r>
      <w:r w:rsidR="00694329">
        <w:t>machines</w:t>
      </w:r>
      <w:r w:rsidRPr="00C16BF8" w:rsidR="003729D5">
        <w:t xml:space="preserve"> </w:t>
      </w:r>
      <w:r w:rsidRPr="00C16BF8" w:rsidR="00250694">
        <w:t xml:space="preserve">use NRC Form 313, </w:t>
      </w:r>
      <w:r w:rsidRPr="00C16BF8" w:rsidR="001F00A9">
        <w:t>the information collection burden</w:t>
      </w:r>
      <w:r w:rsidRPr="00C16BF8" w:rsidR="00476264">
        <w:t xml:space="preserve"> associated with new applications</w:t>
      </w:r>
      <w:r w:rsidRPr="00C16BF8" w:rsidR="001F00A9">
        <w:t xml:space="preserve"> </w:t>
      </w:r>
      <w:r w:rsidRPr="00C16BF8" w:rsidR="00F64B32">
        <w:t xml:space="preserve">is expected to be higher than the burden for other materials applicants. </w:t>
      </w:r>
      <w:r w:rsidRPr="00C16BF8" w:rsidR="00CA2B8A">
        <w:t xml:space="preserve">However, </w:t>
      </w:r>
      <w:r w:rsidRPr="00C16BF8" w:rsidR="006F463D">
        <w:t xml:space="preserve">NRC Form 313 </w:t>
      </w:r>
      <w:r w:rsidRPr="00C16BF8" w:rsidR="00D774FC">
        <w:t>does not require revisions</w:t>
      </w:r>
      <w:r w:rsidRPr="00C16BF8" w:rsidR="00B37486">
        <w:t xml:space="preserve"> because </w:t>
      </w:r>
      <w:r w:rsidRPr="00C16BF8" w:rsidR="00472444">
        <w:t xml:space="preserve">the burden estimate </w:t>
      </w:r>
      <w:r w:rsidR="00D94A9D">
        <w:t>on</w:t>
      </w:r>
      <w:r w:rsidRPr="00C16BF8" w:rsidR="00D94A9D">
        <w:t xml:space="preserve"> </w:t>
      </w:r>
      <w:r w:rsidRPr="00C16BF8" w:rsidR="00472444">
        <w:t xml:space="preserve">the </w:t>
      </w:r>
      <w:r w:rsidR="009B5763">
        <w:t>F</w:t>
      </w:r>
      <w:r w:rsidRPr="00C16BF8" w:rsidR="00472444">
        <w:t xml:space="preserve">orm </w:t>
      </w:r>
      <w:r w:rsidRPr="00C16BF8">
        <w:t>is the average burden per response for the various types of license applicants seeking a specific materials license.</w:t>
      </w:r>
    </w:p>
    <w:p w:rsidR="006D4CC8" w:rsidP="00C44323" w14:paraId="4B324EB5" w14:textId="77777777">
      <w:pPr>
        <w:rPr>
          <w:rFonts w:eastAsiaTheme="minorHAnsi"/>
        </w:rPr>
      </w:pPr>
    </w:p>
    <w:p w:rsidR="000B62F6" w:rsidRPr="001D7863" w:rsidP="000848A4" w14:paraId="76D970B1" w14:textId="7AD273F6">
      <w:pPr>
        <w:pStyle w:val="BodyText"/>
        <w:spacing w:before="93"/>
        <w:ind w:right="-180"/>
      </w:pPr>
      <w:r>
        <w:t>T</w:t>
      </w:r>
      <w:r>
        <w:t xml:space="preserve">he following forms do not require revisions </w:t>
      </w:r>
      <w:r>
        <w:t>as a result of</w:t>
      </w:r>
      <w:r>
        <w:t xml:space="preserve"> this rulemaking:</w:t>
      </w:r>
    </w:p>
    <w:p w:rsidR="000B62F6" w:rsidRPr="001D7863" w:rsidP="000848A4" w14:paraId="05D37CE1" w14:textId="77777777">
      <w:pPr>
        <w:pStyle w:val="BodyText"/>
        <w:spacing w:before="1"/>
        <w:ind w:left="839" w:right="-180"/>
      </w:pPr>
    </w:p>
    <w:p w:rsidR="000B62F6" w:rsidRPr="001D7863" w:rsidP="00633C9C" w14:paraId="224C7553" w14:textId="77777777">
      <w:pPr>
        <w:pStyle w:val="BodyText"/>
        <w:numPr>
          <w:ilvl w:val="0"/>
          <w:numId w:val="4"/>
        </w:numPr>
        <w:spacing w:before="1"/>
      </w:pPr>
      <w:r w:rsidRPr="001D7863">
        <w:t xml:space="preserve">NRC Form </w:t>
      </w:r>
      <w:r w:rsidRPr="001D7863" w:rsidR="002F5E5A">
        <w:t>313A (AUS), “Authorized User Training, Experience, and Preceptor Attestation”</w:t>
      </w:r>
    </w:p>
    <w:p w:rsidR="000B62F6" w:rsidRPr="001D7863" w:rsidP="00633C9C" w14:paraId="55619B85" w14:textId="77777777">
      <w:pPr>
        <w:pStyle w:val="BodyText"/>
        <w:numPr>
          <w:ilvl w:val="0"/>
          <w:numId w:val="4"/>
        </w:numPr>
        <w:spacing w:before="1"/>
      </w:pPr>
      <w:r w:rsidRPr="001D7863">
        <w:t xml:space="preserve">NRC Form 313A (AMP), “Authorized Medical </w:t>
      </w:r>
      <w:r w:rsidRPr="001D7863" w:rsidR="008D129C">
        <w:t>Physicist of Ophthalmic Physicist, Training, Experience and Preceptor Attestation”</w:t>
      </w:r>
    </w:p>
    <w:p w:rsidR="000B62F6" w:rsidRPr="001D7863" w:rsidP="00633C9C" w14:paraId="7DD6A5DC" w14:textId="6A25A4E7">
      <w:pPr>
        <w:pStyle w:val="BodyText"/>
        <w:numPr>
          <w:ilvl w:val="0"/>
          <w:numId w:val="4"/>
        </w:numPr>
        <w:spacing w:before="1"/>
      </w:pPr>
      <w:r w:rsidRPr="001D7863">
        <w:t>NRC Form 313A (AUT), “</w:t>
      </w:r>
      <w:r w:rsidRPr="001D7863" w:rsidR="002929A5">
        <w:t>Authorized User Training, Experience, and Preceptor Attestation”</w:t>
      </w:r>
    </w:p>
    <w:p w:rsidR="000B62F6" w:rsidRPr="001D7863" w:rsidP="00633C9C" w14:paraId="37046A3E" w14:textId="41342109">
      <w:pPr>
        <w:pStyle w:val="BodyText"/>
        <w:numPr>
          <w:ilvl w:val="0"/>
          <w:numId w:val="4"/>
        </w:numPr>
        <w:spacing w:before="1"/>
      </w:pPr>
      <w:r w:rsidRPr="001D7863">
        <w:t>NRC Form</w:t>
      </w:r>
      <w:r w:rsidRPr="001D7863" w:rsidR="00FF552B">
        <w:t xml:space="preserve"> 313A</w:t>
      </w:r>
      <w:r w:rsidRPr="001D7863">
        <w:t xml:space="preserve"> (ANP) “Authorized Nuclear Pharmacist Training, Experience, and Preceptor Attestation”</w:t>
      </w:r>
    </w:p>
    <w:p w:rsidR="000B62F6" w:rsidRPr="001D7863" w:rsidP="00633C9C" w14:paraId="4FB916B5" w14:textId="77777777">
      <w:pPr>
        <w:pStyle w:val="BodyText"/>
        <w:numPr>
          <w:ilvl w:val="0"/>
          <w:numId w:val="4"/>
        </w:numPr>
        <w:spacing w:before="1"/>
      </w:pPr>
      <w:r w:rsidRPr="001D7863">
        <w:t>NRC Form 3</w:t>
      </w:r>
      <w:r w:rsidRPr="001D7863" w:rsidR="00FF552B">
        <w:t>1</w:t>
      </w:r>
      <w:r w:rsidRPr="001D7863">
        <w:t>3A</w:t>
      </w:r>
      <w:r w:rsidRPr="001D7863" w:rsidR="00FF552B">
        <w:t xml:space="preserve"> (RSO), “Radiation Safety Officer or Associate Radiation Safety Officer Training, Experience, and Preceptor Attestation</w:t>
      </w:r>
      <w:r w:rsidRPr="001D7863">
        <w:t>”</w:t>
      </w:r>
    </w:p>
    <w:p w:rsidR="00BA660D" w:rsidRPr="001D7863" w:rsidP="00633C9C" w14:paraId="420ED14F" w14:textId="07E43E6C">
      <w:pPr>
        <w:pStyle w:val="BodyText"/>
        <w:numPr>
          <w:ilvl w:val="0"/>
          <w:numId w:val="4"/>
        </w:numPr>
        <w:spacing w:before="1"/>
      </w:pPr>
      <w:r>
        <w:t>NRC Form 313A (AUD)</w:t>
      </w:r>
      <w:r w:rsidR="000525C2">
        <w:t>, “</w:t>
      </w:r>
      <w:r w:rsidR="00DB0AC1">
        <w:t>Authorized User Training, Experience, and Preceptor Attestation”</w:t>
      </w:r>
    </w:p>
    <w:p w:rsidR="00337A9E" w14:paraId="690906D6" w14:textId="77777777">
      <w:pPr>
        <w:pStyle w:val="BodyText"/>
      </w:pPr>
    </w:p>
    <w:p w:rsidR="007F3EFA" w14:paraId="1CE51E1C" w14:textId="3409FB10">
      <w:pPr>
        <w:pStyle w:val="BodyText"/>
      </w:pPr>
      <w:r>
        <w:t>The NRC</w:t>
      </w:r>
      <w:r>
        <w:t xml:space="preserve"> Form 313 is also available in a fillable online format in the agency’s web-based licensing system.</w:t>
      </w:r>
    </w:p>
    <w:p w:rsidR="007F3EFA" w14:paraId="138E025A" w14:textId="77777777">
      <w:pPr>
        <w:pStyle w:val="BodyText"/>
      </w:pPr>
    </w:p>
    <w:p w:rsidR="00C87C83" w14:paraId="02ED9B3C" w14:textId="3F636AE5">
      <w:pPr>
        <w:pStyle w:val="BodyText"/>
      </w:pPr>
      <w:r w:rsidRPr="00C87C83">
        <w:t xml:space="preserve">This proposed rule would also amend </w:t>
      </w:r>
      <w:r w:rsidR="00C57914">
        <w:t>existing regulations</w:t>
      </w:r>
      <w:r w:rsidR="00D37D94">
        <w:t xml:space="preserve"> in Sec</w:t>
      </w:r>
      <w:r w:rsidR="00B44B37">
        <w:t>tion</w:t>
      </w:r>
      <w:r w:rsidR="0022545E">
        <w:t> 2</w:t>
      </w:r>
      <w:r w:rsidR="00B44B37">
        <w:t>0.2008</w:t>
      </w:r>
      <w:r w:rsidR="00611C3B">
        <w:t>, “Disposal of certain byproduct material</w:t>
      </w:r>
      <w:r w:rsidR="00962241">
        <w:t xml:space="preserve">” </w:t>
      </w:r>
      <w:r w:rsidR="00207964">
        <w:t>and would add</w:t>
      </w:r>
      <w:r w:rsidR="00660498">
        <w:t xml:space="preserve"> a new section to</w:t>
      </w:r>
      <w:r w:rsidRPr="00C87C83">
        <w:t xml:space="preserve"> 10 CFR Part 51, “Environmental Protection Regulations for Domestic Licensing and Related Regulatory Functions.”</w:t>
      </w:r>
      <w:r w:rsidR="009B3A39">
        <w:t xml:space="preserve"> </w:t>
      </w:r>
      <w:r w:rsidRPr="00C87C83">
        <w:t>The staff developed separate supporting statements for 10 CFR Part 20</w:t>
      </w:r>
      <w:r w:rsidR="006861EC">
        <w:t xml:space="preserve"> (3150-001</w:t>
      </w:r>
      <w:r w:rsidR="001C313D">
        <w:t>4</w:t>
      </w:r>
      <w:r w:rsidR="006861EC">
        <w:t>)</w:t>
      </w:r>
      <w:r w:rsidR="003770AC">
        <w:t>, 10 CFR Part 30</w:t>
      </w:r>
      <w:r w:rsidR="00800245">
        <w:t xml:space="preserve"> (3150-0017)</w:t>
      </w:r>
      <w:r w:rsidRPr="00C87C83">
        <w:t xml:space="preserve"> and 10 CFR Part 51 </w:t>
      </w:r>
      <w:r w:rsidR="00800245">
        <w:t>(3150-0021)</w:t>
      </w:r>
      <w:r w:rsidR="0088603F">
        <w:t xml:space="preserve"> </w:t>
      </w:r>
      <w:r w:rsidRPr="00C87C83">
        <w:t>for this rulemaking.</w:t>
      </w:r>
    </w:p>
    <w:p w:rsidR="00C87C83" w14:paraId="2360AB56" w14:textId="77777777">
      <w:pPr>
        <w:pStyle w:val="BodyText"/>
      </w:pPr>
    </w:p>
    <w:p w:rsidR="00337A9E" w:rsidP="009745C1" w14:paraId="690906D7" w14:textId="77777777">
      <w:pPr>
        <w:pStyle w:val="ListParagraph"/>
        <w:numPr>
          <w:ilvl w:val="0"/>
          <w:numId w:val="5"/>
        </w:numPr>
        <w:tabs>
          <w:tab w:val="left" w:pos="1659"/>
          <w:tab w:val="left" w:pos="1660"/>
        </w:tabs>
      </w:pPr>
      <w:r w:rsidRPr="009745C1">
        <w:rPr>
          <w:spacing w:val="-2"/>
          <w:u w:val="single"/>
        </w:rPr>
        <w:t>Justification</w:t>
      </w:r>
    </w:p>
    <w:p w:rsidR="00337A9E" w14:paraId="690906D8" w14:textId="77777777">
      <w:pPr>
        <w:pStyle w:val="BodyText"/>
        <w:rPr>
          <w:sz w:val="14"/>
        </w:rPr>
      </w:pPr>
    </w:p>
    <w:p w:rsidR="00337A9E" w:rsidP="009745C1" w14:paraId="690906D9" w14:textId="77777777">
      <w:pPr>
        <w:pStyle w:val="ListParagraph"/>
        <w:numPr>
          <w:ilvl w:val="1"/>
          <w:numId w:val="1"/>
        </w:numPr>
        <w:tabs>
          <w:tab w:val="left" w:pos="2006"/>
          <w:tab w:val="left" w:pos="2007"/>
        </w:tabs>
        <w:spacing w:before="92"/>
        <w:ind w:left="1170" w:hanging="450"/>
      </w:pPr>
      <w:r>
        <w:rPr>
          <w:u w:val="single"/>
        </w:rPr>
        <w:t>Need</w:t>
      </w:r>
      <w:r>
        <w:rPr>
          <w:spacing w:val="-5"/>
          <w:u w:val="single"/>
        </w:rPr>
        <w:t xml:space="preserve"> </w:t>
      </w:r>
      <w:r>
        <w:rPr>
          <w:u w:val="single"/>
        </w:rPr>
        <w:t>for</w:t>
      </w:r>
      <w:r>
        <w:rPr>
          <w:spacing w:val="-5"/>
          <w:u w:val="single"/>
        </w:rPr>
        <w:t xml:space="preserve"> </w:t>
      </w:r>
      <w:r>
        <w:rPr>
          <w:u w:val="single"/>
        </w:rPr>
        <w:t>the</w:t>
      </w:r>
      <w:r>
        <w:rPr>
          <w:spacing w:val="-5"/>
          <w:u w:val="single"/>
        </w:rPr>
        <w:t xml:space="preserve"> </w:t>
      </w:r>
      <w:r>
        <w:rPr>
          <w:u w:val="single"/>
        </w:rPr>
        <w:t>Collection</w:t>
      </w:r>
      <w:r>
        <w:rPr>
          <w:spacing w:val="-5"/>
          <w:u w:val="single"/>
        </w:rPr>
        <w:t xml:space="preserve"> </w:t>
      </w:r>
      <w:r>
        <w:rPr>
          <w:u w:val="single"/>
        </w:rPr>
        <w:t>of</w:t>
      </w:r>
      <w:r>
        <w:rPr>
          <w:spacing w:val="-5"/>
          <w:u w:val="single"/>
        </w:rPr>
        <w:t xml:space="preserve"> </w:t>
      </w:r>
      <w:r>
        <w:rPr>
          <w:spacing w:val="-2"/>
          <w:u w:val="single"/>
        </w:rPr>
        <w:t>Information</w:t>
      </w:r>
    </w:p>
    <w:p w:rsidR="003C67CA" w:rsidP="000848A4" w14:paraId="6149DB59" w14:textId="77777777">
      <w:pPr>
        <w:pStyle w:val="BodyText"/>
        <w:ind w:left="1166"/>
      </w:pPr>
    </w:p>
    <w:p w:rsidR="009504F1" w:rsidP="009504F1" w14:paraId="62CF333A" w14:textId="5A3B7B24">
      <w:pPr>
        <w:pStyle w:val="BodyText"/>
        <w:ind w:left="1166"/>
      </w:pPr>
      <w:r>
        <w:t>T</w:t>
      </w:r>
      <w:r w:rsidRPr="00D07589">
        <w:t xml:space="preserve">he </w:t>
      </w:r>
      <w:r>
        <w:t>information is needed to fulfill NRC’s mission governing</w:t>
      </w:r>
      <w:r w:rsidRPr="00D63E23">
        <w:t xml:space="preserve"> domestic licensing of byproduct material under the Atomic Energy Act of 1954, as amended</w:t>
      </w:r>
      <w:r>
        <w:t xml:space="preserve">. </w:t>
      </w:r>
      <w:r>
        <w:t>S</w:t>
      </w:r>
      <w:r w:rsidRPr="00FF0115">
        <w:t>ubmittal</w:t>
      </w:r>
      <w:r w:rsidRPr="00FF0115">
        <w:t xml:space="preserve"> of </w:t>
      </w:r>
      <w:r>
        <w:t>an</w:t>
      </w:r>
      <w:r w:rsidRPr="00FF0115">
        <w:t xml:space="preserve"> application</w:t>
      </w:r>
      <w:r>
        <w:t xml:space="preserve"> for a materials license, including applications for </w:t>
      </w:r>
      <w:r w:rsidR="00727F0D">
        <w:rPr>
          <w:rFonts w:eastAsia="Calibri"/>
        </w:rPr>
        <w:t xml:space="preserve">the </w:t>
      </w:r>
      <w:r w:rsidRPr="00FD78EA" w:rsidR="00727F0D">
        <w:rPr>
          <w:rFonts w:eastAsia="Calibri"/>
        </w:rPr>
        <w:t xml:space="preserve">possession, </w:t>
      </w:r>
      <w:r w:rsidR="00727F0D">
        <w:rPr>
          <w:rFonts w:eastAsia="Calibri"/>
        </w:rPr>
        <w:t xml:space="preserve">use, and </w:t>
      </w:r>
      <w:r w:rsidRPr="00FD78EA" w:rsidR="00727F0D">
        <w:rPr>
          <w:rFonts w:eastAsia="Calibri"/>
        </w:rPr>
        <w:t xml:space="preserve">production of byproduct material </w:t>
      </w:r>
      <w:r w:rsidR="00727F0D">
        <w:rPr>
          <w:rFonts w:eastAsia="Calibri"/>
        </w:rPr>
        <w:t>associated with</w:t>
      </w:r>
      <w:r w:rsidRPr="00FD78EA" w:rsidR="00727F0D">
        <w:rPr>
          <w:rFonts w:eastAsia="Calibri"/>
        </w:rPr>
        <w:t xml:space="preserve"> </w:t>
      </w:r>
      <w:r>
        <w:t xml:space="preserve">fusion </w:t>
      </w:r>
      <w:r w:rsidR="00694329">
        <w:t>machines</w:t>
      </w:r>
      <w:r>
        <w:t xml:space="preserve">, </w:t>
      </w:r>
      <w:r w:rsidRPr="00FF0115">
        <w:t xml:space="preserve">is necessary to determine that the applicant is qualified and that adequate procedures exist to protect the public health and safety. </w:t>
      </w:r>
      <w:r w:rsidR="007812A8">
        <w:rPr>
          <w:rFonts w:eastAsia="Calibri"/>
        </w:rPr>
        <w:t>This</w:t>
      </w:r>
      <w:r w:rsidRPr="0049406B" w:rsidR="007812A8">
        <w:rPr>
          <w:rFonts w:eastAsia="Calibri"/>
        </w:rPr>
        <w:t xml:space="preserve"> proposed rule </w:t>
      </w:r>
      <w:r w:rsidRPr="004B1B25" w:rsidR="007812A8">
        <w:rPr>
          <w:rFonts w:eastAsia="Calibri"/>
        </w:rPr>
        <w:t>would</w:t>
      </w:r>
      <w:r w:rsidR="007812A8">
        <w:rPr>
          <w:rFonts w:eastAsia="Calibri"/>
        </w:rPr>
        <w:t xml:space="preserve"> </w:t>
      </w:r>
      <w:r w:rsidR="00CE36E9">
        <w:rPr>
          <w:rFonts w:eastAsia="Calibri"/>
        </w:rPr>
        <w:t xml:space="preserve">add a new </w:t>
      </w:r>
      <w:r w:rsidR="00A937E0">
        <w:rPr>
          <w:rFonts w:eastAsia="Calibri"/>
        </w:rPr>
        <w:t>§</w:t>
      </w:r>
      <w:r w:rsidR="0046049C">
        <w:rPr>
          <w:rFonts w:eastAsia="Calibri"/>
        </w:rPr>
        <w:t> 3</w:t>
      </w:r>
      <w:r w:rsidR="00CE36E9">
        <w:rPr>
          <w:rFonts w:eastAsia="Calibri"/>
        </w:rPr>
        <w:t>0.32(k)</w:t>
      </w:r>
      <w:r w:rsidR="00DF298D">
        <w:rPr>
          <w:rFonts w:eastAsia="Calibri"/>
        </w:rPr>
        <w:t xml:space="preserve"> that would</w:t>
      </w:r>
      <w:r w:rsidR="007812A8">
        <w:rPr>
          <w:rFonts w:eastAsia="Calibri"/>
        </w:rPr>
        <w:t xml:space="preserve"> </w:t>
      </w:r>
      <w:r w:rsidRPr="004B1B25" w:rsidR="007812A8">
        <w:rPr>
          <w:rFonts w:eastAsia="Calibri"/>
        </w:rPr>
        <w:t>add technology-inclusive contents-of</w:t>
      </w:r>
      <w:r w:rsidR="0022545E">
        <w:rPr>
          <w:rFonts w:ascii="Cambria Math" w:eastAsia="Calibri" w:hAnsi="Cambria Math" w:cs="Cambria Math"/>
        </w:rPr>
        <w:t>‑</w:t>
      </w:r>
      <w:r w:rsidRPr="004B1B25" w:rsidR="007812A8">
        <w:rPr>
          <w:rFonts w:eastAsia="Calibri"/>
        </w:rPr>
        <w:t xml:space="preserve">application requirements supportive of a performance-based approach to regulating </w:t>
      </w:r>
      <w:r w:rsidR="004C45E4">
        <w:rPr>
          <w:rFonts w:eastAsia="Calibri"/>
        </w:rPr>
        <w:t xml:space="preserve">the </w:t>
      </w:r>
      <w:r w:rsidRPr="00FD78EA" w:rsidR="004C45E4">
        <w:rPr>
          <w:rFonts w:eastAsia="Calibri"/>
        </w:rPr>
        <w:t xml:space="preserve">possession, </w:t>
      </w:r>
      <w:r w:rsidR="004C45E4">
        <w:rPr>
          <w:rFonts w:eastAsia="Calibri"/>
        </w:rPr>
        <w:t xml:space="preserve">use, and </w:t>
      </w:r>
      <w:r w:rsidRPr="00FD78EA" w:rsidR="004C45E4">
        <w:rPr>
          <w:rFonts w:eastAsia="Calibri"/>
        </w:rPr>
        <w:t xml:space="preserve">production of byproduct material </w:t>
      </w:r>
      <w:r w:rsidR="004C45E4">
        <w:rPr>
          <w:rFonts w:eastAsia="Calibri"/>
        </w:rPr>
        <w:t>associated with</w:t>
      </w:r>
      <w:r w:rsidRPr="00FD78EA" w:rsidR="004C45E4">
        <w:rPr>
          <w:rFonts w:eastAsia="Calibri"/>
        </w:rPr>
        <w:t xml:space="preserve"> </w:t>
      </w:r>
      <w:r w:rsidRPr="004B1B25" w:rsidR="007812A8">
        <w:rPr>
          <w:rFonts w:eastAsia="Calibri"/>
        </w:rPr>
        <w:t xml:space="preserve">fusion </w:t>
      </w:r>
      <w:r w:rsidR="00694329">
        <w:rPr>
          <w:rFonts w:eastAsia="Calibri"/>
        </w:rPr>
        <w:t>machines</w:t>
      </w:r>
      <w:r w:rsidRPr="004B1B25" w:rsidR="007812A8">
        <w:rPr>
          <w:rFonts w:eastAsia="Calibri"/>
        </w:rPr>
        <w:t>. The contents-of</w:t>
      </w:r>
      <w:r w:rsidR="0022545E">
        <w:rPr>
          <w:rFonts w:ascii="Cambria Math" w:eastAsia="Calibri" w:hAnsi="Cambria Math" w:cs="Cambria Math"/>
        </w:rPr>
        <w:t>‑</w:t>
      </w:r>
      <w:r w:rsidRPr="004B1B25" w:rsidR="007812A8">
        <w:rPr>
          <w:rFonts w:eastAsia="Calibri"/>
        </w:rPr>
        <w:t xml:space="preserve">application section would provide the requirements for the licensing of </w:t>
      </w:r>
      <w:r w:rsidR="006D39FE">
        <w:rPr>
          <w:rFonts w:eastAsia="Calibri"/>
        </w:rPr>
        <w:t xml:space="preserve">byproduct material associated with </w:t>
      </w:r>
      <w:r w:rsidRPr="004B1B25" w:rsidR="007812A8">
        <w:rPr>
          <w:rFonts w:eastAsia="Calibri"/>
        </w:rPr>
        <w:t xml:space="preserve">a </w:t>
      </w:r>
      <w:r w:rsidRPr="004B1B25" w:rsidR="00130812">
        <w:rPr>
          <w:rFonts w:eastAsia="Calibri"/>
        </w:rPr>
        <w:t xml:space="preserve">fusion </w:t>
      </w:r>
      <w:r w:rsidR="00130812">
        <w:rPr>
          <w:rFonts w:eastAsia="Calibri"/>
        </w:rPr>
        <w:t>machine</w:t>
      </w:r>
      <w:r w:rsidRPr="004B1B25" w:rsidR="007812A8">
        <w:rPr>
          <w:rFonts w:eastAsia="Calibri"/>
        </w:rPr>
        <w:t xml:space="preserve"> which would be supplemented by the current general regulatory requirements and the terms and conditions of licenses already contained in </w:t>
      </w:r>
      <w:r w:rsidRPr="00A15CF9" w:rsidR="00A937E0">
        <w:t>§</w:t>
      </w:r>
      <w:r w:rsidR="0046049C">
        <w:t> 3</w:t>
      </w:r>
      <w:r w:rsidR="003F72D4">
        <w:rPr>
          <w:rFonts w:eastAsia="Calibri"/>
        </w:rPr>
        <w:t xml:space="preserve">0.32, </w:t>
      </w:r>
      <w:r w:rsidRPr="00A15CF9" w:rsidR="00A937E0">
        <w:t>§</w:t>
      </w:r>
      <w:r w:rsidR="0046049C">
        <w:t> 3</w:t>
      </w:r>
      <w:r w:rsidR="003F72D4">
        <w:rPr>
          <w:rFonts w:eastAsia="Calibri"/>
        </w:rPr>
        <w:t xml:space="preserve">0.33 and </w:t>
      </w:r>
      <w:r w:rsidRPr="00A15CF9" w:rsidR="00A937E0">
        <w:t>§</w:t>
      </w:r>
      <w:r w:rsidR="0046049C">
        <w:t> 3</w:t>
      </w:r>
      <w:r w:rsidR="003F72D4">
        <w:rPr>
          <w:rFonts w:eastAsia="Calibri"/>
        </w:rPr>
        <w:t>0.34</w:t>
      </w:r>
      <w:r w:rsidR="00143B3C">
        <w:rPr>
          <w:rFonts w:eastAsia="Calibri"/>
        </w:rPr>
        <w:t>.</w:t>
      </w:r>
      <w:r w:rsidR="00066C66">
        <w:rPr>
          <w:rFonts w:eastAsia="Calibri"/>
        </w:rPr>
        <w:t xml:space="preserve"> </w:t>
      </w:r>
      <w:r w:rsidRPr="0067201F" w:rsidR="0067201F">
        <w:rPr>
          <w:rFonts w:eastAsia="Calibri"/>
        </w:rPr>
        <w:t>The proposed contents</w:t>
      </w:r>
      <w:r w:rsidR="0089636A">
        <w:rPr>
          <w:rFonts w:eastAsia="Calibri"/>
        </w:rPr>
        <w:t>-</w:t>
      </w:r>
      <w:r w:rsidRPr="0067201F" w:rsidR="0067201F">
        <w:rPr>
          <w:rFonts w:eastAsia="Calibri"/>
        </w:rPr>
        <w:t>of</w:t>
      </w:r>
      <w:r w:rsidR="0022545E">
        <w:rPr>
          <w:rFonts w:ascii="Cambria Math" w:eastAsia="Calibri" w:hAnsi="Cambria Math" w:cs="Cambria Math"/>
        </w:rPr>
        <w:t>‑</w:t>
      </w:r>
      <w:r w:rsidRPr="0067201F" w:rsidR="0067201F">
        <w:rPr>
          <w:rFonts w:eastAsia="Calibri"/>
        </w:rPr>
        <w:t>application</w:t>
      </w:r>
      <w:r w:rsidR="008245BF">
        <w:rPr>
          <w:rFonts w:eastAsia="Calibri"/>
        </w:rPr>
        <w:t xml:space="preserve"> in</w:t>
      </w:r>
      <w:r w:rsidRPr="0067201F" w:rsidR="0067201F">
        <w:rPr>
          <w:rFonts w:eastAsia="Calibri"/>
        </w:rPr>
        <w:t xml:space="preserve"> </w:t>
      </w:r>
      <w:r w:rsidRPr="00A15CF9" w:rsidR="00A937E0">
        <w:t>§</w:t>
      </w:r>
      <w:r w:rsidR="0046049C">
        <w:t> 3</w:t>
      </w:r>
      <w:r w:rsidRPr="0067201F" w:rsidR="0067201F">
        <w:rPr>
          <w:rFonts w:eastAsia="Calibri"/>
        </w:rPr>
        <w:t xml:space="preserve">0.32(k) would require that an applicant for a fusion machine license provide several items: a general description of the fusion machine; a summary of operating and emergency procedures related to radiation safety; a description of the radiation safety organizational structure; a description of the training program for fusions machines and radiation protection; a description of inspection and maintenance program; and a description of the methodology for maintaining a radioactive material inventory. The summary of the procedures important to radiation protection also require that the applicant provide descriptions of: 1) the radiation protection measures to be employed for </w:t>
      </w:r>
      <w:r w:rsidR="001A7C35">
        <w:rPr>
          <w:rFonts w:eastAsia="Calibri"/>
        </w:rPr>
        <w:t>byproduct material</w:t>
      </w:r>
      <w:r w:rsidRPr="0067201F" w:rsidR="0067201F">
        <w:rPr>
          <w:rFonts w:eastAsia="Calibri"/>
        </w:rPr>
        <w:t>, including all interlocks, access control systems, shielding, and radiation monitors; 2) the radioactive material handling systems procedures and inventory control procedures; and 3) description of any other components or systems used to control radiation and radioactive material.</w:t>
      </w:r>
    </w:p>
    <w:p w:rsidR="00B4299C" w:rsidP="009504F1" w14:paraId="3312241E" w14:textId="77777777">
      <w:pPr>
        <w:pStyle w:val="BodyText"/>
        <w:ind w:left="1166"/>
      </w:pPr>
    </w:p>
    <w:p w:rsidR="009504F1" w:rsidP="009504F1" w14:paraId="2ACD439A" w14:textId="43158590">
      <w:pPr>
        <w:pStyle w:val="BodyText"/>
        <w:ind w:left="1166"/>
      </w:pPr>
      <w:r>
        <w:t xml:space="preserve">The commitments made by the applicant in the application, including applicants and licensees for </w:t>
      </w:r>
      <w:r w:rsidR="00F01EE2">
        <w:rPr>
          <w:rFonts w:eastAsia="Calibri"/>
        </w:rPr>
        <w:t xml:space="preserve">the </w:t>
      </w:r>
      <w:r w:rsidRPr="00FD78EA" w:rsidR="00F01EE2">
        <w:rPr>
          <w:rFonts w:eastAsia="Calibri"/>
        </w:rPr>
        <w:t xml:space="preserve">possession, </w:t>
      </w:r>
      <w:r w:rsidR="00F01EE2">
        <w:rPr>
          <w:rFonts w:eastAsia="Calibri"/>
        </w:rPr>
        <w:t xml:space="preserve">use, and </w:t>
      </w:r>
      <w:r w:rsidRPr="00FD78EA" w:rsidR="00F01EE2">
        <w:rPr>
          <w:rFonts w:eastAsia="Calibri"/>
        </w:rPr>
        <w:t xml:space="preserve">production of byproduct material </w:t>
      </w:r>
      <w:r w:rsidR="00F01EE2">
        <w:rPr>
          <w:rFonts w:eastAsia="Calibri"/>
        </w:rPr>
        <w:t>associated with</w:t>
      </w:r>
      <w:r w:rsidR="00F01EE2">
        <w:t xml:space="preserve"> </w:t>
      </w:r>
      <w:r>
        <w:t>fusion machines, as well as the information provided as part of the application package, are reviewed by the NRC staff</w:t>
      </w:r>
      <w:r>
        <w:rPr>
          <w:spacing w:val="-3"/>
        </w:rPr>
        <w:t xml:space="preserve"> </w:t>
      </w:r>
      <w:r>
        <w:t>to</w:t>
      </w:r>
      <w:r>
        <w:rPr>
          <w:spacing w:val="-3"/>
        </w:rPr>
        <w:t xml:space="preserve"> </w:t>
      </w:r>
      <w:r>
        <w:t>determine</w:t>
      </w:r>
      <w:r>
        <w:rPr>
          <w:spacing w:val="-3"/>
        </w:rPr>
        <w:t xml:space="preserve"> </w:t>
      </w:r>
      <w:r>
        <w:t>if</w:t>
      </w:r>
      <w:r>
        <w:rPr>
          <w:spacing w:val="-3"/>
        </w:rPr>
        <w:t xml:space="preserve"> </w:t>
      </w:r>
      <w:r>
        <w:t>the</w:t>
      </w:r>
      <w:r>
        <w:rPr>
          <w:spacing w:val="-3"/>
        </w:rPr>
        <w:t xml:space="preserve"> </w:t>
      </w:r>
      <w:r>
        <w:t>applicant</w:t>
      </w:r>
      <w:r>
        <w:rPr>
          <w:spacing w:val="-3"/>
        </w:rPr>
        <w:t xml:space="preserve"> </w:t>
      </w:r>
      <w:r>
        <w:t>has</w:t>
      </w:r>
      <w:r>
        <w:rPr>
          <w:spacing w:val="-4"/>
        </w:rPr>
        <w:t xml:space="preserve"> </w:t>
      </w:r>
      <w:r>
        <w:t>training,</w:t>
      </w:r>
      <w:r>
        <w:rPr>
          <w:spacing w:val="-3"/>
        </w:rPr>
        <w:t xml:space="preserve"> </w:t>
      </w:r>
      <w:r>
        <w:t>experience,</w:t>
      </w:r>
      <w:r>
        <w:rPr>
          <w:spacing w:val="-3"/>
        </w:rPr>
        <w:t xml:space="preserve"> </w:t>
      </w:r>
      <w:r>
        <w:t>equipment,</w:t>
      </w:r>
      <w:r>
        <w:rPr>
          <w:spacing w:val="-3"/>
        </w:rPr>
        <w:t xml:space="preserve"> </w:t>
      </w:r>
      <w:r>
        <w:t>facilities,</w:t>
      </w:r>
      <w:r>
        <w:rPr>
          <w:spacing w:val="-3"/>
        </w:rPr>
        <w:t xml:space="preserve"> </w:t>
      </w:r>
      <w:r>
        <w:t>and procedures for the use of byproduct material that are adequate to protect public health and safety. In addition, the information is needed by NRC staff to prepare the</w:t>
      </w:r>
      <w:r>
        <w:rPr>
          <w:spacing w:val="-3"/>
        </w:rPr>
        <w:t xml:space="preserve"> </w:t>
      </w:r>
      <w:r>
        <w:t>license.</w:t>
      </w:r>
      <w:r w:rsidR="0089161D">
        <w:rPr>
          <w:spacing w:val="40"/>
        </w:rPr>
        <w:t xml:space="preserve"> </w:t>
      </w:r>
      <w:r>
        <w:t>The</w:t>
      </w:r>
      <w:r>
        <w:rPr>
          <w:spacing w:val="-3"/>
        </w:rPr>
        <w:t xml:space="preserve"> </w:t>
      </w:r>
      <w:r>
        <w:t>license</w:t>
      </w:r>
      <w:r>
        <w:rPr>
          <w:spacing w:val="-4"/>
        </w:rPr>
        <w:t xml:space="preserve"> </w:t>
      </w:r>
      <w:r>
        <w:t>will</w:t>
      </w:r>
      <w:r>
        <w:rPr>
          <w:spacing w:val="-3"/>
        </w:rPr>
        <w:t xml:space="preserve"> </w:t>
      </w:r>
      <w:r>
        <w:t>include</w:t>
      </w:r>
      <w:r>
        <w:rPr>
          <w:spacing w:val="-4"/>
        </w:rPr>
        <w:t xml:space="preserve"> </w:t>
      </w:r>
      <w:r>
        <w:t>the</w:t>
      </w:r>
      <w:r>
        <w:rPr>
          <w:spacing w:val="-3"/>
        </w:rPr>
        <w:t xml:space="preserve"> </w:t>
      </w:r>
      <w:r>
        <w:t>quantity</w:t>
      </w:r>
      <w:r>
        <w:rPr>
          <w:spacing w:val="-3"/>
        </w:rPr>
        <w:t xml:space="preserve"> </w:t>
      </w:r>
      <w:r>
        <w:t>and</w:t>
      </w:r>
      <w:r>
        <w:rPr>
          <w:spacing w:val="-3"/>
        </w:rPr>
        <w:t xml:space="preserve"> </w:t>
      </w:r>
      <w:r>
        <w:t>type</w:t>
      </w:r>
      <w:r>
        <w:rPr>
          <w:spacing w:val="-3"/>
        </w:rPr>
        <w:t xml:space="preserve"> </w:t>
      </w:r>
      <w:r>
        <w:t>of</w:t>
      </w:r>
      <w:r>
        <w:rPr>
          <w:spacing w:val="-3"/>
        </w:rPr>
        <w:t xml:space="preserve"> </w:t>
      </w:r>
      <w:r>
        <w:t>byproduct</w:t>
      </w:r>
      <w:r>
        <w:rPr>
          <w:spacing w:val="-3"/>
        </w:rPr>
        <w:t xml:space="preserve"> </w:t>
      </w:r>
      <w:r>
        <w:t>material</w:t>
      </w:r>
      <w:r>
        <w:rPr>
          <w:spacing w:val="-3"/>
        </w:rPr>
        <w:t xml:space="preserve"> </w:t>
      </w:r>
      <w:r>
        <w:t>that will be used, the form of the byproduct material, and will identify the types of activities that the licensee will be authorized to perform.</w:t>
      </w:r>
    </w:p>
    <w:p w:rsidR="008E57A9" w:rsidP="000848A4" w14:paraId="5A4941F2" w14:textId="77777777">
      <w:pPr>
        <w:pStyle w:val="BodyText"/>
        <w:ind w:left="1166"/>
      </w:pPr>
    </w:p>
    <w:p w:rsidR="006A410D" w:rsidP="00975246" w14:paraId="46694ECA" w14:textId="26C4AA57">
      <w:pPr>
        <w:pStyle w:val="BodyText"/>
        <w:ind w:left="1166"/>
      </w:pPr>
      <w:r>
        <w:t xml:space="preserve">In addition, </w:t>
      </w:r>
      <w:r w:rsidR="00A937E0">
        <w:t>§</w:t>
      </w:r>
      <w:r w:rsidR="0046049C">
        <w:t> 3</w:t>
      </w:r>
      <w:r w:rsidR="008E57A9">
        <w:t>0.32</w:t>
      </w:r>
      <w:r w:rsidR="00042057">
        <w:t xml:space="preserve"> </w:t>
      </w:r>
      <w:r w:rsidR="00C26C42">
        <w:t>currently allows</w:t>
      </w:r>
      <w:r>
        <w:t xml:space="preserve"> applicants for materials licenses</w:t>
      </w:r>
      <w:r w:rsidR="00FE4BAF">
        <w:t xml:space="preserve"> </w:t>
      </w:r>
      <w:r>
        <w:t xml:space="preserve">to file applications using NRC Form 313. </w:t>
      </w:r>
      <w:r w:rsidR="00C26C42">
        <w:t xml:space="preserve">This proposed rule would allow applicants for fusion </w:t>
      </w:r>
      <w:r w:rsidR="00694329">
        <w:t>machines</w:t>
      </w:r>
      <w:r w:rsidR="00C26C42">
        <w:t xml:space="preserve"> to </w:t>
      </w:r>
      <w:r w:rsidR="0094417E">
        <w:t xml:space="preserve">file an </w:t>
      </w:r>
      <w:r w:rsidR="00BB4D59">
        <w:t xml:space="preserve">initial </w:t>
      </w:r>
      <w:r w:rsidR="0094417E">
        <w:t>application using NRC Form 313.</w:t>
      </w:r>
      <w:r w:rsidR="1CBE6E51">
        <w:t xml:space="preserve"> NUREG</w:t>
      </w:r>
      <w:r w:rsidR="00F16BFC">
        <w:rPr>
          <w:rFonts w:ascii="Cambria Math" w:hAnsi="Cambria Math" w:cs="Cambria Math"/>
        </w:rPr>
        <w:t>‑</w:t>
      </w:r>
      <w:r w:rsidR="00F16BFC">
        <w:t>1</w:t>
      </w:r>
      <w:r w:rsidR="1CBE6E51">
        <w:t>556</w:t>
      </w:r>
      <w:r w:rsidR="002C64D9">
        <w:t>,</w:t>
      </w:r>
      <w:r w:rsidR="1CBE6E51">
        <w:t xml:space="preserve"> </w:t>
      </w:r>
      <w:r w:rsidR="704DCA1D">
        <w:t>Volume 22</w:t>
      </w:r>
      <w:r w:rsidR="002C64D9">
        <w:t>,</w:t>
      </w:r>
      <w:r w:rsidR="704DCA1D">
        <w:t xml:space="preserve"> </w:t>
      </w:r>
      <w:r w:rsidR="00130812">
        <w:t>provides</w:t>
      </w:r>
      <w:r w:rsidR="704DCA1D">
        <w:t xml:space="preserve"> </w:t>
      </w:r>
      <w:r w:rsidR="1CBE6E51">
        <w:t>licensing guidance designed to follow the format of Form 313.</w:t>
      </w:r>
      <w:r w:rsidR="0094417E">
        <w:t xml:space="preserve"> </w:t>
      </w:r>
      <w:r w:rsidRPr="007140E5">
        <w:t xml:space="preserve">This </w:t>
      </w:r>
      <w:r w:rsidR="00A93420">
        <w:t>F</w:t>
      </w:r>
      <w:r w:rsidRPr="007140E5">
        <w:t>orm provides a vehicle to submit license applications in a templated fashion in accordance with the instructions provided in 10 CFR 30.6</w:t>
      </w:r>
      <w:r w:rsidRPr="007140E5" w:rsidR="00DC206D">
        <w:t>, “Communications</w:t>
      </w:r>
      <w:r w:rsidRPr="007140E5">
        <w:t>.</w:t>
      </w:r>
      <w:r w:rsidRPr="007140E5" w:rsidR="00DC206D">
        <w:t>”</w:t>
      </w:r>
      <w:r w:rsidRPr="007140E5">
        <w:t xml:space="preserve"> Without the templated format of NRC Form 313, the information exchange between the applicants and NRC staff could result in incomplete license submittals, potentially causing delays in the review and approval </w:t>
      </w:r>
      <w:r w:rsidRPr="007140E5" w:rsidR="002606E0">
        <w:t xml:space="preserve">of </w:t>
      </w:r>
      <w:r w:rsidRPr="007140E5">
        <w:t>license applications.</w:t>
      </w:r>
    </w:p>
    <w:p w:rsidR="006A410D" w:rsidP="00975246" w14:paraId="1741A349" w14:textId="77777777">
      <w:pPr>
        <w:pStyle w:val="BodyText"/>
        <w:ind w:left="1170"/>
      </w:pPr>
    </w:p>
    <w:p w:rsidR="00337A9E" w:rsidRPr="009745C1" w:rsidP="00975246" w14:paraId="690906EB" w14:textId="77777777">
      <w:pPr>
        <w:pStyle w:val="ListParagraph"/>
        <w:numPr>
          <w:ilvl w:val="1"/>
          <w:numId w:val="1"/>
        </w:numPr>
        <w:tabs>
          <w:tab w:val="left" w:pos="2006"/>
          <w:tab w:val="left" w:pos="2007"/>
        </w:tabs>
        <w:ind w:left="1170" w:hanging="450"/>
        <w:rPr>
          <w:u w:val="single"/>
        </w:rPr>
      </w:pPr>
      <w:r>
        <w:rPr>
          <w:u w:val="single"/>
        </w:rPr>
        <w:t>Agency</w:t>
      </w:r>
      <w:r w:rsidRPr="009745C1">
        <w:rPr>
          <w:u w:val="single"/>
        </w:rPr>
        <w:t xml:space="preserve"> </w:t>
      </w:r>
      <w:r>
        <w:rPr>
          <w:u w:val="single"/>
        </w:rPr>
        <w:t>Use</w:t>
      </w:r>
      <w:r w:rsidRPr="009745C1">
        <w:rPr>
          <w:u w:val="single"/>
        </w:rPr>
        <w:t xml:space="preserve"> </w:t>
      </w:r>
      <w:r>
        <w:rPr>
          <w:u w:val="single"/>
        </w:rPr>
        <w:t>and</w:t>
      </w:r>
      <w:r w:rsidRPr="009745C1">
        <w:rPr>
          <w:u w:val="single"/>
        </w:rPr>
        <w:t xml:space="preserve"> </w:t>
      </w:r>
      <w:r>
        <w:rPr>
          <w:u w:val="single"/>
        </w:rPr>
        <w:t>Practical</w:t>
      </w:r>
      <w:r w:rsidRPr="009745C1">
        <w:rPr>
          <w:u w:val="single"/>
        </w:rPr>
        <w:t xml:space="preserve"> </w:t>
      </w:r>
      <w:r>
        <w:rPr>
          <w:u w:val="single"/>
        </w:rPr>
        <w:t>Utility</w:t>
      </w:r>
      <w:r w:rsidRPr="009745C1">
        <w:rPr>
          <w:u w:val="single"/>
        </w:rPr>
        <w:t xml:space="preserve"> </w:t>
      </w:r>
      <w:r>
        <w:rPr>
          <w:u w:val="single"/>
        </w:rPr>
        <w:t>of</w:t>
      </w:r>
      <w:r w:rsidRPr="009745C1">
        <w:rPr>
          <w:u w:val="single"/>
        </w:rPr>
        <w:t xml:space="preserve"> </w:t>
      </w:r>
      <w:r>
        <w:rPr>
          <w:u w:val="single"/>
        </w:rPr>
        <w:t>the</w:t>
      </w:r>
      <w:r w:rsidRPr="009745C1">
        <w:rPr>
          <w:u w:val="single"/>
        </w:rPr>
        <w:t xml:space="preserve"> Information</w:t>
      </w:r>
    </w:p>
    <w:p w:rsidR="00337A9E" w:rsidP="00975246" w14:paraId="690906EC" w14:textId="77777777">
      <w:pPr>
        <w:pStyle w:val="BodyText"/>
        <w:rPr>
          <w:sz w:val="14"/>
        </w:rPr>
      </w:pPr>
    </w:p>
    <w:p w:rsidR="0019463D" w:rsidP="00975246" w14:paraId="2279924F" w14:textId="58E9F058">
      <w:pPr>
        <w:pStyle w:val="BodyText"/>
        <w:ind w:left="1166"/>
      </w:pPr>
      <w:r>
        <w:t>The NRC</w:t>
      </w:r>
      <w:r w:rsidR="00BF737F">
        <w:t xml:space="preserve"> staff uses the information submitted in Form 313</w:t>
      </w:r>
      <w:r w:rsidR="009F441D">
        <w:t xml:space="preserve"> for e</w:t>
      </w:r>
      <w:r w:rsidR="00FF0865">
        <w:t xml:space="preserve">valuating </w:t>
      </w:r>
      <w:r w:rsidR="00195102">
        <w:t>submittals</w:t>
      </w:r>
      <w:r w:rsidR="00FF0865">
        <w:t xml:space="preserve"> for </w:t>
      </w:r>
      <w:r w:rsidR="00FF0865">
        <w:t>new,</w:t>
      </w:r>
      <w:r w:rsidR="00FF0865">
        <w:t xml:space="preserve"> </w:t>
      </w:r>
      <w:r w:rsidR="006709F6">
        <w:t>amendment</w:t>
      </w:r>
      <w:r w:rsidR="00C4317E">
        <w:t xml:space="preserve">s, and </w:t>
      </w:r>
      <w:r w:rsidR="006709F6">
        <w:t xml:space="preserve">renewals of license </w:t>
      </w:r>
      <w:r w:rsidR="00C4317E">
        <w:t>applications</w:t>
      </w:r>
      <w:r w:rsidR="00D07589">
        <w:t xml:space="preserve">. </w:t>
      </w:r>
      <w:r w:rsidR="00D63E23">
        <w:t xml:space="preserve">The information is used to </w:t>
      </w:r>
      <w:r w:rsidRPr="00D07589" w:rsidR="00D07589">
        <w:t>determine if the applicant has training, experience, equipment, facilities, and procedures for the use of byproduct material that provide reasonable assurance of adequate protection of public health and safet</w:t>
      </w:r>
      <w:r w:rsidR="00767925">
        <w:t>y</w:t>
      </w:r>
      <w:r w:rsidR="005A63AE">
        <w:t>.</w:t>
      </w:r>
      <w:r w:rsidR="00305FEF">
        <w:t xml:space="preserve"> A </w:t>
      </w:r>
      <w:r w:rsidR="00EF2D6B">
        <w:t>byproduct material</w:t>
      </w:r>
      <w:r w:rsidR="00FF7101">
        <w:t xml:space="preserve"> license would be issue</w:t>
      </w:r>
      <w:r w:rsidR="00EB1E1F">
        <w:t>d</w:t>
      </w:r>
      <w:r w:rsidR="00FF7101">
        <w:t xml:space="preserve"> to an applicant for </w:t>
      </w:r>
      <w:r w:rsidR="003A0B90">
        <w:t xml:space="preserve">the possession, use, and production of byproduct material associated with </w:t>
      </w:r>
      <w:r w:rsidR="00FF7101">
        <w:t xml:space="preserve">fusion </w:t>
      </w:r>
      <w:r w:rsidR="00694329">
        <w:t>machine</w:t>
      </w:r>
      <w:r w:rsidR="00FF7101">
        <w:t xml:space="preserve"> license </w:t>
      </w:r>
      <w:r w:rsidR="00EB1E1F">
        <w:t>if the NRC determine</w:t>
      </w:r>
      <w:r w:rsidR="00FD2BD6">
        <w:t xml:space="preserve">s that the applicant </w:t>
      </w:r>
      <w:r w:rsidR="00EA3649">
        <w:t xml:space="preserve">complies with the requirements in 10 CFR </w:t>
      </w:r>
      <w:r w:rsidR="00EA1A15">
        <w:t>Part 30 and other applicable regulations.</w:t>
      </w:r>
    </w:p>
    <w:p w:rsidR="00337A9E" w:rsidP="00975246" w14:paraId="690906F4" w14:textId="77777777">
      <w:pPr>
        <w:pStyle w:val="BodyText"/>
      </w:pPr>
    </w:p>
    <w:p w:rsidR="00337A9E" w:rsidRPr="009745C1" w:rsidP="00975246" w14:paraId="690906F5" w14:textId="5CADD2EE">
      <w:pPr>
        <w:pStyle w:val="ListParagraph"/>
        <w:numPr>
          <w:ilvl w:val="1"/>
          <w:numId w:val="1"/>
        </w:numPr>
        <w:tabs>
          <w:tab w:val="left" w:pos="2006"/>
          <w:tab w:val="left" w:pos="2007"/>
        </w:tabs>
        <w:ind w:left="1170" w:hanging="450"/>
        <w:rPr>
          <w:u w:val="single"/>
        </w:rPr>
      </w:pPr>
      <w:r>
        <w:rPr>
          <w:u w:val="single"/>
        </w:rPr>
        <w:t>Reduction</w:t>
      </w:r>
      <w:r w:rsidRPr="009745C1">
        <w:rPr>
          <w:u w:val="single"/>
        </w:rPr>
        <w:t xml:space="preserve"> </w:t>
      </w:r>
      <w:r>
        <w:rPr>
          <w:u w:val="single"/>
        </w:rPr>
        <w:t>of</w:t>
      </w:r>
      <w:r w:rsidRPr="009745C1">
        <w:rPr>
          <w:u w:val="single"/>
        </w:rPr>
        <w:t xml:space="preserve"> </w:t>
      </w:r>
      <w:r>
        <w:rPr>
          <w:u w:val="single"/>
        </w:rPr>
        <w:t>Burden</w:t>
      </w:r>
      <w:r w:rsidRPr="009745C1">
        <w:rPr>
          <w:u w:val="single"/>
        </w:rPr>
        <w:t xml:space="preserve"> </w:t>
      </w:r>
      <w:r w:rsidR="003F6686">
        <w:rPr>
          <w:u w:val="single"/>
        </w:rPr>
        <w:t>T</w:t>
      </w:r>
      <w:r>
        <w:rPr>
          <w:u w:val="single"/>
        </w:rPr>
        <w:t>hrough</w:t>
      </w:r>
      <w:r w:rsidRPr="009745C1">
        <w:rPr>
          <w:u w:val="single"/>
        </w:rPr>
        <w:t xml:space="preserve"> </w:t>
      </w:r>
      <w:r>
        <w:rPr>
          <w:u w:val="single"/>
        </w:rPr>
        <w:t>Information</w:t>
      </w:r>
      <w:r w:rsidRPr="009745C1">
        <w:rPr>
          <w:u w:val="single"/>
        </w:rPr>
        <w:t xml:space="preserve"> Technology</w:t>
      </w:r>
    </w:p>
    <w:p w:rsidR="00337A9E" w:rsidP="00975246" w14:paraId="690906F6" w14:textId="77777777">
      <w:pPr>
        <w:pStyle w:val="BodyText"/>
        <w:rPr>
          <w:sz w:val="14"/>
        </w:rPr>
      </w:pPr>
    </w:p>
    <w:p w:rsidR="00337A9E" w:rsidP="00975246" w14:paraId="690906F7" w14:textId="788D0B2F">
      <w:pPr>
        <w:pStyle w:val="BodyText"/>
        <w:ind w:left="1170"/>
      </w:pPr>
      <w:r>
        <w:t>There</w:t>
      </w:r>
      <w:r>
        <w:rPr>
          <w:spacing w:val="-4"/>
        </w:rPr>
        <w:t xml:space="preserve"> </w:t>
      </w:r>
      <w:r>
        <w:t>are</w:t>
      </w:r>
      <w:r>
        <w:rPr>
          <w:spacing w:val="-4"/>
        </w:rPr>
        <w:t xml:space="preserve"> </w:t>
      </w:r>
      <w:r>
        <w:t>no</w:t>
      </w:r>
      <w:r>
        <w:rPr>
          <w:spacing w:val="-4"/>
        </w:rPr>
        <w:t xml:space="preserve"> </w:t>
      </w:r>
      <w:r>
        <w:t>legal</w:t>
      </w:r>
      <w:r>
        <w:rPr>
          <w:spacing w:val="-4"/>
        </w:rPr>
        <w:t xml:space="preserve"> </w:t>
      </w:r>
      <w:r>
        <w:t>obstacles</w:t>
      </w:r>
      <w:r>
        <w:rPr>
          <w:spacing w:val="-4"/>
        </w:rPr>
        <w:t xml:space="preserve"> </w:t>
      </w:r>
      <w:r>
        <w:t>to</w:t>
      </w:r>
      <w:r>
        <w:rPr>
          <w:spacing w:val="-4"/>
        </w:rPr>
        <w:t xml:space="preserve"> </w:t>
      </w:r>
      <w:r>
        <w:t>reducing</w:t>
      </w:r>
      <w:r>
        <w:rPr>
          <w:spacing w:val="-4"/>
        </w:rPr>
        <w:t xml:space="preserve"> </w:t>
      </w:r>
      <w:r>
        <w:t>the</w:t>
      </w:r>
      <w:r>
        <w:rPr>
          <w:spacing w:val="-4"/>
        </w:rPr>
        <w:t xml:space="preserve"> </w:t>
      </w:r>
      <w:r>
        <w:t>burden</w:t>
      </w:r>
      <w:r>
        <w:rPr>
          <w:spacing w:val="-4"/>
        </w:rPr>
        <w:t xml:space="preserve"> </w:t>
      </w:r>
      <w:r>
        <w:t>associated</w:t>
      </w:r>
      <w:r>
        <w:rPr>
          <w:spacing w:val="-3"/>
        </w:rPr>
        <w:t xml:space="preserve"> </w:t>
      </w:r>
      <w:r>
        <w:t>with</w:t>
      </w:r>
      <w:r>
        <w:rPr>
          <w:spacing w:val="-4"/>
        </w:rPr>
        <w:t xml:space="preserve"> </w:t>
      </w:r>
      <w:r>
        <w:t>this</w:t>
      </w:r>
      <w:r>
        <w:rPr>
          <w:spacing w:val="-4"/>
        </w:rPr>
        <w:t xml:space="preserve"> </w:t>
      </w:r>
      <w:r>
        <w:t>information collection.</w:t>
      </w:r>
      <w:r>
        <w:rPr>
          <w:spacing w:val="-2"/>
        </w:rPr>
        <w:t xml:space="preserve"> </w:t>
      </w:r>
      <w:r>
        <w:t>The</w:t>
      </w:r>
      <w:r>
        <w:rPr>
          <w:spacing w:val="-2"/>
        </w:rPr>
        <w:t xml:space="preserve"> </w:t>
      </w:r>
      <w:r>
        <w:t>NRC</w:t>
      </w:r>
      <w:r>
        <w:rPr>
          <w:spacing w:val="-2"/>
        </w:rPr>
        <w:t xml:space="preserve"> </w:t>
      </w:r>
      <w:r>
        <w:t>encourages</w:t>
      </w:r>
      <w:r>
        <w:rPr>
          <w:spacing w:val="-2"/>
        </w:rPr>
        <w:t xml:space="preserve"> </w:t>
      </w:r>
      <w:r>
        <w:t>respondents</w:t>
      </w:r>
      <w:r>
        <w:rPr>
          <w:spacing w:val="-2"/>
        </w:rPr>
        <w:t xml:space="preserve"> </w:t>
      </w:r>
      <w:r>
        <w:t>to</w:t>
      </w:r>
      <w:r>
        <w:rPr>
          <w:spacing w:val="-2"/>
        </w:rPr>
        <w:t xml:space="preserve"> </w:t>
      </w:r>
      <w:r>
        <w:t>use</w:t>
      </w:r>
      <w:r>
        <w:rPr>
          <w:spacing w:val="-2"/>
        </w:rPr>
        <w:t xml:space="preserve"> </w:t>
      </w:r>
      <w:r>
        <w:t>information</w:t>
      </w:r>
      <w:r>
        <w:rPr>
          <w:spacing w:val="-2"/>
        </w:rPr>
        <w:t xml:space="preserve"> </w:t>
      </w:r>
      <w:r>
        <w:t>technology</w:t>
      </w:r>
      <w:r>
        <w:rPr>
          <w:spacing w:val="-2"/>
        </w:rPr>
        <w:t xml:space="preserve"> </w:t>
      </w:r>
      <w:r>
        <w:t>when</w:t>
      </w:r>
      <w:r>
        <w:rPr>
          <w:spacing w:val="-2"/>
        </w:rPr>
        <w:t xml:space="preserve"> </w:t>
      </w:r>
      <w:r>
        <w:t xml:space="preserve">it would be beneficial to them. The NRC has issued </w:t>
      </w:r>
      <w:r w:rsidRPr="00DF2CAA" w:rsidR="00DF2CAA">
        <w:t>Guidance for Electronic Submissions to the NRC</w:t>
      </w:r>
      <w:r>
        <w:rPr>
          <w:color w:val="0000FF"/>
        </w:rPr>
        <w:t xml:space="preserve"> </w:t>
      </w:r>
      <w:r>
        <w:t>which provides direction for the electronic transmission and submittal of documents to the NRC.</w:t>
      </w:r>
      <w:r>
        <w:rPr>
          <w:spacing w:val="40"/>
        </w:rPr>
        <w:t xml:space="preserve"> </w:t>
      </w:r>
      <w:r>
        <w:t>Electronic transmission and submittal of documents can be accomplished via the following avenues: the Electronic Information Exchange (EIE) process, which is available from the NRC's “Electronic Submittals” Web page, by Optical Storage Media (OSM) (e.g. CD</w:t>
      </w:r>
      <w:r w:rsidR="0022545E">
        <w:rPr>
          <w:rFonts w:ascii="Cambria Math" w:hAnsi="Cambria Math" w:cs="Cambria Math"/>
        </w:rPr>
        <w:t>‑</w:t>
      </w:r>
      <w:r>
        <w:t>ROM, DVD), by facsimile or by e</w:t>
      </w:r>
      <w:r w:rsidR="00A732AE">
        <w:t>mail</w:t>
      </w:r>
      <w:r>
        <w:t>.</w:t>
      </w:r>
      <w:r>
        <w:rPr>
          <w:spacing w:val="40"/>
        </w:rPr>
        <w:t xml:space="preserve"> </w:t>
      </w:r>
      <w:r w:rsidRPr="36A544B8" w:rsidR="00B20D9E">
        <w:t xml:space="preserve">The proposed rule would not impact the proportion of documents submitted to the NRC electronically. </w:t>
      </w:r>
      <w:r w:rsidR="00805D4F">
        <w:t>The percentage of electronic submissions remains unchanged at 90</w:t>
      </w:r>
      <w:r w:rsidR="009539C0">
        <w:t xml:space="preserve"> percent</w:t>
      </w:r>
      <w:r w:rsidR="00805D4F">
        <w:t>.</w:t>
      </w:r>
    </w:p>
    <w:p w:rsidR="005D182D" w:rsidP="00C72B8C" w14:paraId="2B7E3FD1" w14:textId="77777777">
      <w:pPr>
        <w:pStyle w:val="BodyText"/>
        <w:ind w:left="1170"/>
      </w:pPr>
    </w:p>
    <w:p w:rsidR="00337A9E" w:rsidRPr="009745C1" w:rsidP="00C72B8C" w14:paraId="690906F9" w14:textId="77777777">
      <w:pPr>
        <w:pStyle w:val="ListParagraph"/>
        <w:numPr>
          <w:ilvl w:val="1"/>
          <w:numId w:val="1"/>
        </w:numPr>
        <w:tabs>
          <w:tab w:val="left" w:pos="2006"/>
          <w:tab w:val="left" w:pos="2007"/>
        </w:tabs>
        <w:ind w:left="1170" w:hanging="450"/>
        <w:rPr>
          <w:u w:val="single"/>
        </w:rPr>
      </w:pPr>
      <w:r>
        <w:rPr>
          <w:u w:val="single"/>
        </w:rPr>
        <w:t>Effort</w:t>
      </w:r>
      <w:r w:rsidRPr="009745C1">
        <w:rPr>
          <w:u w:val="single"/>
        </w:rPr>
        <w:t xml:space="preserve"> </w:t>
      </w:r>
      <w:r>
        <w:rPr>
          <w:u w:val="single"/>
        </w:rPr>
        <w:t>to</w:t>
      </w:r>
      <w:r w:rsidRPr="009745C1">
        <w:rPr>
          <w:u w:val="single"/>
        </w:rPr>
        <w:t xml:space="preserve"> </w:t>
      </w:r>
      <w:r>
        <w:rPr>
          <w:u w:val="single"/>
        </w:rPr>
        <w:t>Identify</w:t>
      </w:r>
      <w:r w:rsidRPr="009745C1">
        <w:rPr>
          <w:u w:val="single"/>
        </w:rPr>
        <w:t xml:space="preserve"> </w:t>
      </w:r>
      <w:r>
        <w:rPr>
          <w:u w:val="single"/>
        </w:rPr>
        <w:t>Duplication</w:t>
      </w:r>
      <w:r w:rsidRPr="009745C1">
        <w:rPr>
          <w:u w:val="single"/>
        </w:rPr>
        <w:t xml:space="preserve"> </w:t>
      </w:r>
      <w:r>
        <w:rPr>
          <w:u w:val="single"/>
        </w:rPr>
        <w:t>and</w:t>
      </w:r>
      <w:r w:rsidRPr="009745C1">
        <w:rPr>
          <w:u w:val="single"/>
        </w:rPr>
        <w:t xml:space="preserve"> </w:t>
      </w:r>
      <w:r>
        <w:rPr>
          <w:u w:val="single"/>
        </w:rPr>
        <w:t>Use</w:t>
      </w:r>
      <w:r w:rsidRPr="009745C1">
        <w:rPr>
          <w:u w:val="single"/>
        </w:rPr>
        <w:t xml:space="preserve"> </w:t>
      </w:r>
      <w:r>
        <w:rPr>
          <w:u w:val="single"/>
        </w:rPr>
        <w:t>Similar</w:t>
      </w:r>
      <w:r w:rsidRPr="009745C1">
        <w:rPr>
          <w:u w:val="single"/>
        </w:rPr>
        <w:t xml:space="preserve"> Information</w:t>
      </w:r>
    </w:p>
    <w:p w:rsidR="00337A9E" w:rsidP="00C72B8C" w14:paraId="690906FA" w14:textId="77777777">
      <w:pPr>
        <w:pStyle w:val="BodyText"/>
        <w:rPr>
          <w:sz w:val="14"/>
        </w:rPr>
      </w:pPr>
    </w:p>
    <w:p w:rsidR="00337A9E" w:rsidP="00C72B8C" w14:paraId="690906FC" w14:textId="36EFFFFA">
      <w:pPr>
        <w:pStyle w:val="BodyText"/>
        <w:ind w:left="1170"/>
      </w:pPr>
      <w:r>
        <w:t>No sources of similar information are available. There is no duplication of requirements.</w:t>
      </w:r>
    </w:p>
    <w:p w:rsidR="00C72B8C" w:rsidP="00C72B8C" w14:paraId="6FC597DF" w14:textId="77777777">
      <w:pPr>
        <w:pStyle w:val="BodyText"/>
        <w:ind w:left="1170"/>
      </w:pPr>
    </w:p>
    <w:p w:rsidR="00337A9E" w:rsidRPr="009745C1" w:rsidP="00C72B8C" w14:paraId="690906FD" w14:textId="77777777">
      <w:pPr>
        <w:pStyle w:val="ListParagraph"/>
        <w:numPr>
          <w:ilvl w:val="1"/>
          <w:numId w:val="1"/>
        </w:numPr>
        <w:tabs>
          <w:tab w:val="left" w:pos="2006"/>
          <w:tab w:val="left" w:pos="2007"/>
        </w:tabs>
        <w:ind w:left="1170" w:hanging="450"/>
        <w:rPr>
          <w:u w:val="single"/>
        </w:rPr>
      </w:pPr>
      <w:r>
        <w:rPr>
          <w:u w:val="single"/>
        </w:rPr>
        <w:t>Effort</w:t>
      </w:r>
      <w:r w:rsidRPr="009745C1">
        <w:rPr>
          <w:u w:val="single"/>
        </w:rPr>
        <w:t xml:space="preserve"> </w:t>
      </w:r>
      <w:r>
        <w:rPr>
          <w:u w:val="single"/>
        </w:rPr>
        <w:t>to</w:t>
      </w:r>
      <w:r w:rsidRPr="009745C1">
        <w:rPr>
          <w:u w:val="single"/>
        </w:rPr>
        <w:t xml:space="preserve"> </w:t>
      </w:r>
      <w:r>
        <w:rPr>
          <w:u w:val="single"/>
        </w:rPr>
        <w:t>Reduce</w:t>
      </w:r>
      <w:r w:rsidRPr="009745C1">
        <w:rPr>
          <w:u w:val="single"/>
        </w:rPr>
        <w:t xml:space="preserve"> </w:t>
      </w:r>
      <w:r>
        <w:rPr>
          <w:u w:val="single"/>
        </w:rPr>
        <w:t>Small</w:t>
      </w:r>
      <w:r w:rsidRPr="009745C1">
        <w:rPr>
          <w:u w:val="single"/>
        </w:rPr>
        <w:t xml:space="preserve"> </w:t>
      </w:r>
      <w:r>
        <w:rPr>
          <w:u w:val="single"/>
        </w:rPr>
        <w:t>Business</w:t>
      </w:r>
      <w:r w:rsidRPr="009745C1">
        <w:rPr>
          <w:u w:val="single"/>
        </w:rPr>
        <w:t xml:space="preserve"> Burden</w:t>
      </w:r>
    </w:p>
    <w:p w:rsidR="00337A9E" w:rsidP="00C72B8C" w14:paraId="690906FE" w14:textId="77777777">
      <w:pPr>
        <w:pStyle w:val="BodyText"/>
        <w:rPr>
          <w:sz w:val="13"/>
        </w:rPr>
      </w:pPr>
    </w:p>
    <w:p w:rsidR="003A6989" w:rsidP="00DA73D4" w14:paraId="5B770DA0" w14:textId="3F8B6A4E">
      <w:pPr>
        <w:pStyle w:val="BodyText"/>
        <w:ind w:left="1170"/>
      </w:pPr>
      <w:r w:rsidRPr="00CE61E0">
        <w:t xml:space="preserve">Most fusion machines </w:t>
      </w:r>
      <w:r w:rsidRPr="00CE61E0">
        <w:t>licensees</w:t>
      </w:r>
      <w:r w:rsidRPr="00CE61E0">
        <w:t xml:space="preserve"> are expected to be considered small businesses. However, </w:t>
      </w:r>
      <w:r>
        <w:t>t</w:t>
      </w:r>
      <w:r w:rsidRPr="00DA73D4" w:rsidR="00DA73D4">
        <w:t xml:space="preserve">he total number of fusion machines applicants is expected to be small, and the information needs are the same for both large and small entities. As such, it is not possible to reduce the burden on small businesses by less frequent or less complete reporting. </w:t>
      </w:r>
      <w:r w:rsidRPr="00CC3981" w:rsidR="0034264B">
        <w:t>However, none of the respondents are anticipated to be small businesses</w:t>
      </w:r>
      <w:r w:rsidR="0034264B">
        <w:t xml:space="preserve"> for the clearance period</w:t>
      </w:r>
      <w:r w:rsidRPr="00CC3981" w:rsidR="0034264B">
        <w:t>.</w:t>
      </w:r>
    </w:p>
    <w:p w:rsidR="00DA73D4" w14:paraId="27037D86" w14:textId="77777777"/>
    <w:p w:rsidR="00337A9E" w:rsidRPr="009745C1" w:rsidP="00C72B8C" w14:paraId="69090701" w14:textId="77777777">
      <w:pPr>
        <w:pStyle w:val="ListParagraph"/>
        <w:numPr>
          <w:ilvl w:val="1"/>
          <w:numId w:val="1"/>
        </w:numPr>
        <w:tabs>
          <w:tab w:val="left" w:pos="2006"/>
          <w:tab w:val="left" w:pos="2007"/>
        </w:tabs>
        <w:ind w:left="1170" w:hanging="450"/>
        <w:rPr>
          <w:u w:val="single"/>
        </w:rPr>
      </w:pPr>
      <w:r>
        <w:rPr>
          <w:u w:val="single"/>
        </w:rPr>
        <w:t>Consequences</w:t>
      </w:r>
      <w:r w:rsidRPr="009745C1">
        <w:rPr>
          <w:u w:val="single"/>
        </w:rPr>
        <w:t xml:space="preserve"> </w:t>
      </w:r>
      <w:r>
        <w:rPr>
          <w:u w:val="single"/>
        </w:rPr>
        <w:t>to</w:t>
      </w:r>
      <w:r w:rsidRPr="009745C1">
        <w:rPr>
          <w:u w:val="single"/>
        </w:rPr>
        <w:t xml:space="preserve"> </w:t>
      </w:r>
      <w:r>
        <w:rPr>
          <w:u w:val="single"/>
        </w:rPr>
        <w:t>Federal</w:t>
      </w:r>
      <w:r w:rsidRPr="009745C1">
        <w:rPr>
          <w:u w:val="single"/>
        </w:rPr>
        <w:t xml:space="preserve"> </w:t>
      </w:r>
      <w:r>
        <w:rPr>
          <w:u w:val="single"/>
        </w:rPr>
        <w:t>Program</w:t>
      </w:r>
      <w:r w:rsidRPr="009745C1">
        <w:rPr>
          <w:u w:val="single"/>
        </w:rPr>
        <w:t xml:space="preserve"> </w:t>
      </w:r>
      <w:r>
        <w:rPr>
          <w:u w:val="single"/>
        </w:rPr>
        <w:t>or</w:t>
      </w:r>
      <w:r w:rsidRPr="009745C1">
        <w:rPr>
          <w:u w:val="single"/>
        </w:rPr>
        <w:t xml:space="preserve"> </w:t>
      </w:r>
      <w:r>
        <w:rPr>
          <w:u w:val="single"/>
        </w:rPr>
        <w:t>Policy</w:t>
      </w:r>
      <w:r w:rsidRPr="009745C1">
        <w:rPr>
          <w:u w:val="single"/>
        </w:rPr>
        <w:t xml:space="preserve"> </w:t>
      </w:r>
      <w:r>
        <w:rPr>
          <w:u w:val="single"/>
        </w:rPr>
        <w:t>Activities</w:t>
      </w:r>
      <w:r w:rsidRPr="009745C1">
        <w:rPr>
          <w:u w:val="single"/>
        </w:rPr>
        <w:t xml:space="preserve"> </w:t>
      </w:r>
      <w:r>
        <w:rPr>
          <w:u w:val="single"/>
        </w:rPr>
        <w:t>if</w:t>
      </w:r>
      <w:r w:rsidRPr="009745C1">
        <w:rPr>
          <w:u w:val="single"/>
        </w:rPr>
        <w:t xml:space="preserve"> </w:t>
      </w:r>
      <w:r>
        <w:rPr>
          <w:u w:val="single"/>
        </w:rPr>
        <w:t>the</w:t>
      </w:r>
      <w:r w:rsidRPr="009745C1">
        <w:rPr>
          <w:u w:val="single"/>
        </w:rPr>
        <w:t xml:space="preserve"> </w:t>
      </w:r>
      <w:r>
        <w:rPr>
          <w:u w:val="single"/>
        </w:rPr>
        <w:t>Collection</w:t>
      </w:r>
      <w:r w:rsidRPr="009745C1">
        <w:rPr>
          <w:u w:val="single"/>
        </w:rPr>
        <w:t xml:space="preserve"> </w:t>
      </w:r>
      <w:r>
        <w:rPr>
          <w:u w:val="single"/>
        </w:rPr>
        <w:t>Is</w:t>
      </w:r>
      <w:r w:rsidRPr="009745C1">
        <w:rPr>
          <w:u w:val="single"/>
        </w:rPr>
        <w:t xml:space="preserve"> </w:t>
      </w:r>
      <w:r>
        <w:rPr>
          <w:u w:val="single"/>
        </w:rPr>
        <w:t>Not</w:t>
      </w:r>
      <w:r w:rsidRPr="009745C1">
        <w:rPr>
          <w:u w:val="single"/>
        </w:rPr>
        <w:t xml:space="preserve"> </w:t>
      </w:r>
      <w:r>
        <w:rPr>
          <w:u w:val="single"/>
        </w:rPr>
        <w:t>Conducted or Is Conducted Less Frequently</w:t>
      </w:r>
    </w:p>
    <w:p w:rsidR="00337A9E" w:rsidP="00C72B8C" w14:paraId="69090702" w14:textId="77777777">
      <w:pPr>
        <w:pStyle w:val="BodyText"/>
        <w:rPr>
          <w:sz w:val="14"/>
        </w:rPr>
      </w:pPr>
    </w:p>
    <w:p w:rsidR="00337A9E" w:rsidP="00074F54" w14:paraId="69090703" w14:textId="3974786A">
      <w:pPr>
        <w:pStyle w:val="BodyText"/>
        <w:spacing w:before="92"/>
        <w:ind w:left="1170"/>
      </w:pPr>
      <w:r>
        <w:t xml:space="preserve">If the information is not collected, the NRC </w:t>
      </w:r>
      <w:r w:rsidR="007C6F92">
        <w:t>would</w:t>
      </w:r>
      <w:r w:rsidR="00DB578D">
        <w:t xml:space="preserve"> be unable to</w:t>
      </w:r>
      <w:r w:rsidR="007B7968">
        <w:t xml:space="preserve"> assess and</w:t>
      </w:r>
      <w:r w:rsidR="00BA2C6C">
        <w:rPr>
          <w:spacing w:val="-3"/>
        </w:rPr>
        <w:t xml:space="preserve"> </w:t>
      </w:r>
      <w:r w:rsidR="00BA2C6C">
        <w:t>determine</w:t>
      </w:r>
      <w:r w:rsidR="007D765A">
        <w:t xml:space="preserve"> if</w:t>
      </w:r>
      <w:r w:rsidR="00BA2C6C">
        <w:rPr>
          <w:spacing w:val="-3"/>
        </w:rPr>
        <w:t xml:space="preserve"> </w:t>
      </w:r>
      <w:r w:rsidR="000C08DB">
        <w:t xml:space="preserve">fusion </w:t>
      </w:r>
      <w:r w:rsidR="00694329">
        <w:t>machine</w:t>
      </w:r>
      <w:r w:rsidR="000C08DB">
        <w:t>s</w:t>
      </w:r>
      <w:r w:rsidR="00613965">
        <w:t xml:space="preserve"> applicants </w:t>
      </w:r>
      <w:r w:rsidR="00BA2C6C">
        <w:t>h</w:t>
      </w:r>
      <w:r w:rsidR="002F6071">
        <w:t>ave</w:t>
      </w:r>
      <w:r w:rsidR="00BA2C6C">
        <w:rPr>
          <w:spacing w:val="-4"/>
        </w:rPr>
        <w:t xml:space="preserve"> </w:t>
      </w:r>
      <w:r w:rsidR="00FE533F">
        <w:rPr>
          <w:spacing w:val="-4"/>
        </w:rPr>
        <w:t xml:space="preserve">the </w:t>
      </w:r>
      <w:r w:rsidR="00BA2C6C">
        <w:t>training,</w:t>
      </w:r>
      <w:r w:rsidR="00BA2C6C">
        <w:rPr>
          <w:spacing w:val="-3"/>
        </w:rPr>
        <w:t xml:space="preserve"> </w:t>
      </w:r>
      <w:r w:rsidR="00BA2C6C">
        <w:t>experience,</w:t>
      </w:r>
      <w:r w:rsidR="00BA2C6C">
        <w:rPr>
          <w:spacing w:val="-3"/>
        </w:rPr>
        <w:t xml:space="preserve"> </w:t>
      </w:r>
      <w:r w:rsidR="00BA2C6C">
        <w:t>equipment,</w:t>
      </w:r>
      <w:r w:rsidR="00BA2C6C">
        <w:rPr>
          <w:spacing w:val="-3"/>
        </w:rPr>
        <w:t xml:space="preserve"> </w:t>
      </w:r>
      <w:r w:rsidR="00BA2C6C">
        <w:t>facilities,</w:t>
      </w:r>
      <w:r w:rsidR="00BA2C6C">
        <w:rPr>
          <w:spacing w:val="-3"/>
        </w:rPr>
        <w:t xml:space="preserve"> </w:t>
      </w:r>
      <w:r w:rsidR="00BA2C6C">
        <w:t xml:space="preserve">and procedures for the use of byproduct material that </w:t>
      </w:r>
      <w:r w:rsidR="006C2B7C">
        <w:t xml:space="preserve">would </w:t>
      </w:r>
      <w:r w:rsidR="00BA2C6C">
        <w:t>provide reasonable assurance of adequate protection of public health and safety.</w:t>
      </w:r>
      <w:r w:rsidR="00F34D21">
        <w:t xml:space="preserve"> In addition, </w:t>
      </w:r>
      <w:r w:rsidR="009306FA">
        <w:t xml:space="preserve">the NRC may be unable to </w:t>
      </w:r>
      <w:r>
        <w:t>assess whether</w:t>
      </w:r>
      <w:r w:rsidR="009306FA">
        <w:t xml:space="preserve"> </w:t>
      </w:r>
      <w:r w:rsidR="00682EFF">
        <w:t xml:space="preserve">fusion system </w:t>
      </w:r>
      <w:r>
        <w:t>licensee</w:t>
      </w:r>
      <w:r w:rsidR="007E20BF">
        <w:t>s</w:t>
      </w:r>
      <w:r w:rsidR="007E20BF">
        <w:t xml:space="preserve"> would be</w:t>
      </w:r>
      <w:r>
        <w:rPr>
          <w:spacing w:val="-4"/>
        </w:rPr>
        <w:t xml:space="preserve"> </w:t>
      </w:r>
      <w:r>
        <w:t>operating</w:t>
      </w:r>
      <w:r>
        <w:rPr>
          <w:spacing w:val="-4"/>
        </w:rPr>
        <w:t xml:space="preserve"> </w:t>
      </w:r>
      <w:r>
        <w:t>within</w:t>
      </w:r>
      <w:r>
        <w:rPr>
          <w:spacing w:val="-4"/>
        </w:rPr>
        <w:t xml:space="preserve"> </w:t>
      </w:r>
      <w:r>
        <w:t>the</w:t>
      </w:r>
      <w:r>
        <w:rPr>
          <w:spacing w:val="-4"/>
        </w:rPr>
        <w:t xml:space="preserve"> </w:t>
      </w:r>
      <w:r>
        <w:t>radiation</w:t>
      </w:r>
      <w:r>
        <w:rPr>
          <w:spacing w:val="-4"/>
        </w:rPr>
        <w:t xml:space="preserve"> </w:t>
      </w:r>
      <w:r>
        <w:t>safety</w:t>
      </w:r>
      <w:r>
        <w:rPr>
          <w:spacing w:val="-4"/>
        </w:rPr>
        <w:t xml:space="preserve"> </w:t>
      </w:r>
      <w:r>
        <w:t>requirements</w:t>
      </w:r>
      <w:r>
        <w:rPr>
          <w:spacing w:val="-4"/>
        </w:rPr>
        <w:t xml:space="preserve"> </w:t>
      </w:r>
      <w:r>
        <w:t xml:space="preserve">applicable to the possession, use, </w:t>
      </w:r>
      <w:r w:rsidR="00722C64">
        <w:t xml:space="preserve">production </w:t>
      </w:r>
      <w:r>
        <w:t>or transfer of byproduct material</w:t>
      </w:r>
      <w:r w:rsidR="001A6E53">
        <w:t>s</w:t>
      </w:r>
      <w:r>
        <w:t>.</w:t>
      </w:r>
    </w:p>
    <w:p w:rsidR="00337A9E" w:rsidP="00074F54" w14:paraId="69090704" w14:textId="77777777">
      <w:pPr>
        <w:pStyle w:val="BodyText"/>
        <w:ind w:left="1170"/>
      </w:pPr>
    </w:p>
    <w:p w:rsidR="00337A9E" w:rsidP="00984BC1" w14:paraId="69090708" w14:textId="7C52C113">
      <w:pPr>
        <w:pStyle w:val="BodyText"/>
        <w:ind w:left="1170"/>
      </w:pPr>
      <w:r w:rsidRPr="00972323">
        <w:t>The</w:t>
      </w:r>
      <w:r w:rsidRPr="00972323">
        <w:rPr>
          <w:spacing w:val="-4"/>
        </w:rPr>
        <w:t xml:space="preserve"> </w:t>
      </w:r>
      <w:r w:rsidRPr="00972323">
        <w:t>required</w:t>
      </w:r>
      <w:r w:rsidRPr="00972323">
        <w:rPr>
          <w:spacing w:val="-4"/>
        </w:rPr>
        <w:t xml:space="preserve"> </w:t>
      </w:r>
      <w:r w:rsidRPr="00972323">
        <w:t>reports</w:t>
      </w:r>
      <w:r w:rsidRPr="00972323">
        <w:rPr>
          <w:spacing w:val="-4"/>
        </w:rPr>
        <w:t xml:space="preserve"> </w:t>
      </w:r>
      <w:r w:rsidRPr="00972323" w:rsidR="001A6E53">
        <w:t>would be</w:t>
      </w:r>
      <w:r w:rsidRPr="00972323" w:rsidR="001A6E53">
        <w:rPr>
          <w:spacing w:val="-4"/>
        </w:rPr>
        <w:t xml:space="preserve"> </w:t>
      </w:r>
      <w:r w:rsidRPr="00972323">
        <w:t>collected</w:t>
      </w:r>
      <w:r w:rsidRPr="00972323">
        <w:rPr>
          <w:spacing w:val="-5"/>
        </w:rPr>
        <w:t xml:space="preserve"> </w:t>
      </w:r>
      <w:r w:rsidRPr="00972323">
        <w:t>and</w:t>
      </w:r>
      <w:r w:rsidRPr="00972323">
        <w:rPr>
          <w:spacing w:val="-4"/>
        </w:rPr>
        <w:t xml:space="preserve"> </w:t>
      </w:r>
      <w:r w:rsidRPr="00972323">
        <w:t>evaluated</w:t>
      </w:r>
      <w:r w:rsidRPr="00972323">
        <w:rPr>
          <w:spacing w:val="-4"/>
        </w:rPr>
        <w:t xml:space="preserve"> </w:t>
      </w:r>
      <w:r w:rsidRPr="00972323">
        <w:t>on</w:t>
      </w:r>
      <w:r w:rsidRPr="00972323">
        <w:rPr>
          <w:spacing w:val="-4"/>
        </w:rPr>
        <w:t xml:space="preserve"> </w:t>
      </w:r>
      <w:r w:rsidRPr="00972323">
        <w:t>a</w:t>
      </w:r>
      <w:r w:rsidRPr="00972323">
        <w:rPr>
          <w:spacing w:val="-4"/>
        </w:rPr>
        <w:t xml:space="preserve"> </w:t>
      </w:r>
      <w:r w:rsidRPr="00972323">
        <w:t>continuing</w:t>
      </w:r>
      <w:r w:rsidRPr="00972323">
        <w:rPr>
          <w:spacing w:val="-4"/>
        </w:rPr>
        <w:t xml:space="preserve"> </w:t>
      </w:r>
      <w:r w:rsidRPr="00972323">
        <w:t>basis</w:t>
      </w:r>
      <w:r w:rsidRPr="00972323">
        <w:rPr>
          <w:spacing w:val="-5"/>
        </w:rPr>
        <w:t xml:space="preserve"> </w:t>
      </w:r>
      <w:r w:rsidRPr="00972323">
        <w:t>as</w:t>
      </w:r>
      <w:r w:rsidRPr="00972323">
        <w:rPr>
          <w:spacing w:val="-4"/>
        </w:rPr>
        <w:t xml:space="preserve"> </w:t>
      </w:r>
      <w:r w:rsidRPr="00972323">
        <w:t xml:space="preserve">events occur. </w:t>
      </w:r>
      <w:r w:rsidR="0067109B">
        <w:t xml:space="preserve">Applications are submitted only when a </w:t>
      </w:r>
      <w:r w:rsidR="66BFEA42">
        <w:t xml:space="preserve">new </w:t>
      </w:r>
      <w:r w:rsidR="0067109B">
        <w:t xml:space="preserve">license is requested or for amendment </w:t>
      </w:r>
      <w:r w:rsidR="39EC7768">
        <w:t xml:space="preserve">or </w:t>
      </w:r>
      <w:r w:rsidR="0067109B">
        <w:t>renewal</w:t>
      </w:r>
      <w:r w:rsidR="19BBD2F7">
        <w:t xml:space="preserve"> of existing licenses</w:t>
      </w:r>
      <w:r w:rsidR="0067109B">
        <w:t xml:space="preserve">. </w:t>
      </w:r>
      <w:r w:rsidRPr="00972323" w:rsidR="006A600D">
        <w:t>Submittals of license amendments may vary depending on the licensees.</w:t>
      </w:r>
      <w:r w:rsidRPr="00972323" w:rsidR="00252014">
        <w:t xml:space="preserve"> </w:t>
      </w:r>
      <w:r w:rsidRPr="00972323">
        <w:t>The</w:t>
      </w:r>
      <w:r w:rsidRPr="00972323">
        <w:rPr>
          <w:spacing w:val="-4"/>
        </w:rPr>
        <w:t xml:space="preserve"> </w:t>
      </w:r>
      <w:r w:rsidRPr="00972323">
        <w:t>schedule</w:t>
      </w:r>
      <w:r w:rsidRPr="00972323">
        <w:rPr>
          <w:spacing w:val="-4"/>
        </w:rPr>
        <w:t xml:space="preserve"> </w:t>
      </w:r>
      <w:r w:rsidRPr="00972323">
        <w:t>for</w:t>
      </w:r>
      <w:r w:rsidRPr="00972323">
        <w:rPr>
          <w:spacing w:val="-4"/>
        </w:rPr>
        <w:t xml:space="preserve"> </w:t>
      </w:r>
      <w:r w:rsidRPr="00972323">
        <w:t>collecting</w:t>
      </w:r>
      <w:r w:rsidRPr="00972323">
        <w:rPr>
          <w:spacing w:val="-4"/>
        </w:rPr>
        <w:t xml:space="preserve"> </w:t>
      </w:r>
      <w:r w:rsidRPr="00972323">
        <w:t>the</w:t>
      </w:r>
      <w:r w:rsidRPr="00972323">
        <w:rPr>
          <w:spacing w:val="-4"/>
        </w:rPr>
        <w:t xml:space="preserve"> </w:t>
      </w:r>
      <w:r w:rsidRPr="00972323">
        <w:t>information</w:t>
      </w:r>
      <w:r w:rsidRPr="00972323">
        <w:rPr>
          <w:spacing w:val="-4"/>
        </w:rPr>
        <w:t xml:space="preserve"> </w:t>
      </w:r>
      <w:r w:rsidRPr="00972323">
        <w:t>is</w:t>
      </w:r>
      <w:r w:rsidRPr="00972323">
        <w:rPr>
          <w:spacing w:val="-4"/>
        </w:rPr>
        <w:t xml:space="preserve"> </w:t>
      </w:r>
      <w:r w:rsidRPr="00972323">
        <w:t>the</w:t>
      </w:r>
      <w:r w:rsidRPr="00972323">
        <w:rPr>
          <w:spacing w:val="-4"/>
        </w:rPr>
        <w:t xml:space="preserve"> </w:t>
      </w:r>
      <w:r w:rsidRPr="00972323">
        <w:t>minimum</w:t>
      </w:r>
      <w:r w:rsidRPr="00972323">
        <w:rPr>
          <w:spacing w:val="-4"/>
        </w:rPr>
        <w:t xml:space="preserve"> </w:t>
      </w:r>
      <w:r w:rsidRPr="00972323">
        <w:t>frequency</w:t>
      </w:r>
      <w:r w:rsidRPr="00972323" w:rsidR="00371232">
        <w:t xml:space="preserve"> </w:t>
      </w:r>
      <w:r w:rsidRPr="00972323">
        <w:t>necessary</w:t>
      </w:r>
      <w:r w:rsidRPr="00972323">
        <w:rPr>
          <w:spacing w:val="-3"/>
        </w:rPr>
        <w:t xml:space="preserve"> </w:t>
      </w:r>
      <w:r w:rsidRPr="00972323">
        <w:t>to</w:t>
      </w:r>
      <w:r w:rsidRPr="00972323">
        <w:rPr>
          <w:spacing w:val="-3"/>
        </w:rPr>
        <w:t xml:space="preserve"> </w:t>
      </w:r>
      <w:r w:rsidRPr="00972323">
        <w:t>assure</w:t>
      </w:r>
      <w:r w:rsidRPr="00972323">
        <w:rPr>
          <w:spacing w:val="-3"/>
        </w:rPr>
        <w:t xml:space="preserve"> </w:t>
      </w:r>
      <w:r w:rsidRPr="00972323">
        <w:t>that</w:t>
      </w:r>
      <w:r w:rsidRPr="00972323">
        <w:rPr>
          <w:spacing w:val="-3"/>
        </w:rPr>
        <w:t xml:space="preserve"> </w:t>
      </w:r>
      <w:r w:rsidRPr="00972323">
        <w:t>licensees</w:t>
      </w:r>
      <w:r w:rsidRPr="00972323">
        <w:rPr>
          <w:spacing w:val="-4"/>
        </w:rPr>
        <w:t xml:space="preserve"> </w:t>
      </w:r>
      <w:r w:rsidRPr="00972323">
        <w:t>will</w:t>
      </w:r>
      <w:r w:rsidRPr="00972323">
        <w:rPr>
          <w:spacing w:val="-3"/>
        </w:rPr>
        <w:t xml:space="preserve"> </w:t>
      </w:r>
      <w:r w:rsidRPr="00972323">
        <w:t>continue</w:t>
      </w:r>
      <w:r w:rsidRPr="00972323">
        <w:rPr>
          <w:spacing w:val="-4"/>
        </w:rPr>
        <w:t xml:space="preserve"> </w:t>
      </w:r>
      <w:r w:rsidRPr="00972323">
        <w:t>to</w:t>
      </w:r>
      <w:r w:rsidRPr="00972323">
        <w:rPr>
          <w:spacing w:val="-3"/>
        </w:rPr>
        <w:t xml:space="preserve"> </w:t>
      </w:r>
      <w:r w:rsidRPr="00972323">
        <w:t>conduct</w:t>
      </w:r>
      <w:r w:rsidRPr="00972323">
        <w:rPr>
          <w:spacing w:val="-4"/>
        </w:rPr>
        <w:t xml:space="preserve"> </w:t>
      </w:r>
      <w:r w:rsidRPr="00972323">
        <w:t>programs</w:t>
      </w:r>
      <w:r w:rsidRPr="00972323">
        <w:rPr>
          <w:spacing w:val="-3"/>
        </w:rPr>
        <w:t xml:space="preserve"> </w:t>
      </w:r>
      <w:r w:rsidRPr="00972323">
        <w:t>in</w:t>
      </w:r>
      <w:r w:rsidRPr="00972323">
        <w:rPr>
          <w:spacing w:val="-3"/>
        </w:rPr>
        <w:t xml:space="preserve"> </w:t>
      </w:r>
      <w:r w:rsidRPr="00972323">
        <w:t>a</w:t>
      </w:r>
      <w:r w:rsidRPr="00972323">
        <w:rPr>
          <w:spacing w:val="-3"/>
        </w:rPr>
        <w:t xml:space="preserve"> </w:t>
      </w:r>
      <w:r w:rsidRPr="00972323">
        <w:t xml:space="preserve">manner that will </w:t>
      </w:r>
      <w:r w:rsidRPr="00972323">
        <w:t>assure</w:t>
      </w:r>
      <w:r w:rsidRPr="00972323">
        <w:t xml:space="preserve"> adequate protection of public health and safety.</w:t>
      </w:r>
    </w:p>
    <w:p w:rsidR="00516967" w14:paraId="69090709" w14:textId="432E36F4">
      <w:pPr>
        <w:rPr>
          <w:sz w:val="21"/>
        </w:rPr>
      </w:pPr>
    </w:p>
    <w:p w:rsidR="00337A9E" w:rsidRPr="00227E6E" w:rsidP="00984BC1" w14:paraId="6909070A" w14:textId="77777777">
      <w:pPr>
        <w:pStyle w:val="ListParagraph"/>
        <w:numPr>
          <w:ilvl w:val="1"/>
          <w:numId w:val="1"/>
        </w:numPr>
        <w:tabs>
          <w:tab w:val="left" w:pos="2006"/>
          <w:tab w:val="left" w:pos="2007"/>
        </w:tabs>
        <w:ind w:left="1170" w:hanging="450"/>
        <w:rPr>
          <w:u w:val="single"/>
        </w:rPr>
      </w:pPr>
      <w:r>
        <w:rPr>
          <w:u w:val="single"/>
        </w:rPr>
        <w:t>Circumstances</w:t>
      </w:r>
      <w:r w:rsidRPr="00227E6E">
        <w:rPr>
          <w:u w:val="single"/>
        </w:rPr>
        <w:t xml:space="preserve"> </w:t>
      </w:r>
      <w:r>
        <w:rPr>
          <w:u w:val="single"/>
        </w:rPr>
        <w:t>Which</w:t>
      </w:r>
      <w:r w:rsidRPr="00227E6E">
        <w:rPr>
          <w:u w:val="single"/>
        </w:rPr>
        <w:t xml:space="preserve"> </w:t>
      </w:r>
      <w:r>
        <w:rPr>
          <w:u w:val="single"/>
        </w:rPr>
        <w:t>Justify</w:t>
      </w:r>
      <w:r w:rsidRPr="00227E6E">
        <w:rPr>
          <w:u w:val="single"/>
        </w:rPr>
        <w:t xml:space="preserve"> </w:t>
      </w:r>
      <w:r>
        <w:rPr>
          <w:u w:val="single"/>
        </w:rPr>
        <w:t>Variation</w:t>
      </w:r>
      <w:r w:rsidRPr="00227E6E">
        <w:rPr>
          <w:u w:val="single"/>
        </w:rPr>
        <w:t xml:space="preserve"> </w:t>
      </w:r>
      <w:r>
        <w:rPr>
          <w:u w:val="single"/>
        </w:rPr>
        <w:t>from</w:t>
      </w:r>
      <w:r w:rsidRPr="00227E6E">
        <w:rPr>
          <w:u w:val="single"/>
        </w:rPr>
        <w:t xml:space="preserve"> </w:t>
      </w:r>
      <w:r>
        <w:rPr>
          <w:u w:val="single"/>
        </w:rPr>
        <w:t>OMB</w:t>
      </w:r>
      <w:r w:rsidRPr="00227E6E">
        <w:rPr>
          <w:u w:val="single"/>
        </w:rPr>
        <w:t xml:space="preserve"> Guidelines</w:t>
      </w:r>
    </w:p>
    <w:p w:rsidR="00337A9E" w:rsidP="00984BC1" w14:paraId="6909070B" w14:textId="77777777">
      <w:pPr>
        <w:pStyle w:val="BodyText"/>
        <w:rPr>
          <w:sz w:val="14"/>
        </w:rPr>
      </w:pPr>
    </w:p>
    <w:p w:rsidR="00984BC1" w:rsidP="00984BC1" w14:paraId="4E6B01ED" w14:textId="77777777">
      <w:pPr>
        <w:pStyle w:val="BodyText"/>
        <w:ind w:left="1170"/>
      </w:pPr>
      <w:r w:rsidRPr="00DE2982">
        <w:t>The proposed amendments to 10 CFR Part 30 do not deviate from OMB guidelines.</w:t>
      </w:r>
    </w:p>
    <w:p w:rsidR="00984BC1" w:rsidP="00984BC1" w14:paraId="21CE86EA" w14:textId="77777777">
      <w:pPr>
        <w:pStyle w:val="BodyText"/>
        <w:ind w:left="1170"/>
      </w:pPr>
    </w:p>
    <w:p w:rsidR="00337A9E" w:rsidRPr="00227E6E" w:rsidP="00984BC1" w14:paraId="6909072C" w14:textId="7A8E968B">
      <w:pPr>
        <w:pStyle w:val="BodyText"/>
        <w:numPr>
          <w:ilvl w:val="1"/>
          <w:numId w:val="1"/>
        </w:numPr>
        <w:ind w:left="1170"/>
        <w:rPr>
          <w:u w:val="single"/>
        </w:rPr>
      </w:pPr>
      <w:r>
        <w:rPr>
          <w:u w:val="single"/>
        </w:rPr>
        <w:t>Consultations</w:t>
      </w:r>
      <w:r w:rsidRPr="00227E6E">
        <w:rPr>
          <w:u w:val="single"/>
        </w:rPr>
        <w:t xml:space="preserve"> </w:t>
      </w:r>
      <w:r>
        <w:rPr>
          <w:u w:val="single"/>
        </w:rPr>
        <w:t>Outside</w:t>
      </w:r>
      <w:r w:rsidRPr="00227E6E">
        <w:rPr>
          <w:u w:val="single"/>
        </w:rPr>
        <w:t xml:space="preserve"> </w:t>
      </w:r>
      <w:r>
        <w:rPr>
          <w:u w:val="single"/>
        </w:rPr>
        <w:t>the</w:t>
      </w:r>
      <w:r w:rsidRPr="00227E6E">
        <w:rPr>
          <w:u w:val="single"/>
        </w:rPr>
        <w:t xml:space="preserve"> NRC</w:t>
      </w:r>
    </w:p>
    <w:p w:rsidR="00ED44E3" w:rsidP="00ED44E3" w14:paraId="52852FD9" w14:textId="77777777">
      <w:pPr>
        <w:pStyle w:val="BodyText"/>
        <w:ind w:left="2000" w:right="1202"/>
        <w:jc w:val="both"/>
      </w:pPr>
    </w:p>
    <w:p w:rsidR="00883DD8" w:rsidP="002A6323" w14:paraId="59B27DEB" w14:textId="62F81DDD">
      <w:pPr>
        <w:pStyle w:val="BodyText"/>
        <w:ind w:left="1170"/>
      </w:pPr>
      <w:r w:rsidRPr="001C4C1A">
        <w:t xml:space="preserve">Opportunity for public comment on the information collection requirements for this clearance package has been published in the Federal Register. In addition, as part of this rulemaking, the NRC staff provided Agreement States, Non-Agreement States, State Liaison Officers and Federally Recognized Tribes an opportunity for a 30-day advanced review and comment on the draft proposed rule for regulatory framework for fusion </w:t>
      </w:r>
      <w:r w:rsidR="00694329">
        <w:t>machines</w:t>
      </w:r>
      <w:r w:rsidRPr="001C4C1A">
        <w:t xml:space="preserve"> by letter dated May</w:t>
      </w:r>
      <w:r w:rsidR="004C6D99">
        <w:t> </w:t>
      </w:r>
      <w:r w:rsidRPr="001C4C1A">
        <w:t>13, 2024 (RCPD</w:t>
      </w:r>
      <w:r w:rsidRPr="002A6323" w:rsidR="00F16BFC">
        <w:rPr>
          <w:rFonts w:ascii="Cambria Math" w:hAnsi="Cambria Math" w:cs="Cambria Math"/>
        </w:rPr>
        <w:t>‑</w:t>
      </w:r>
      <w:r w:rsidR="00F16BFC">
        <w:t>2</w:t>
      </w:r>
      <w:r w:rsidRPr="001C4C1A">
        <w:t>4-004). This information request was approved by O</w:t>
      </w:r>
      <w:r w:rsidR="00504583">
        <w:t>MB</w:t>
      </w:r>
      <w:r w:rsidRPr="001C4C1A">
        <w:t xml:space="preserve"> approval number 3150-0029. On June</w:t>
      </w:r>
      <w:r w:rsidR="004C6D99">
        <w:t> </w:t>
      </w:r>
      <w:r w:rsidRPr="001C4C1A">
        <w:t>13, 2024, the NRC granted an extension to the review period (ADAMS No. ML24164A220) per a letter from the Organization of Agreement States, dated June</w:t>
      </w:r>
      <w:r w:rsidR="004C6D99">
        <w:t> </w:t>
      </w:r>
      <w:r w:rsidRPr="001C4C1A">
        <w:t>3</w:t>
      </w:r>
      <w:r w:rsidR="002A6323">
        <w:t xml:space="preserve">, </w:t>
      </w:r>
      <w:r w:rsidRPr="001C4C1A">
        <w:t>2024 (ML24164A227).</w:t>
      </w:r>
    </w:p>
    <w:p w:rsidR="002018E2" w:rsidP="004B404C" w14:paraId="6F469360" w14:textId="77777777">
      <w:pPr>
        <w:pStyle w:val="BodyText"/>
        <w:ind w:left="1170"/>
        <w:jc w:val="both"/>
      </w:pPr>
    </w:p>
    <w:p w:rsidR="005929E8" w:rsidP="004B404C" w14:paraId="7A821F67" w14:textId="303BE2E0">
      <w:pPr>
        <w:pStyle w:val="ListParagraph"/>
        <w:numPr>
          <w:ilvl w:val="1"/>
          <w:numId w:val="1"/>
        </w:numPr>
        <w:tabs>
          <w:tab w:val="left" w:pos="2006"/>
          <w:tab w:val="left" w:pos="2007"/>
        </w:tabs>
        <w:ind w:left="1170" w:hanging="450"/>
        <w:rPr>
          <w:u w:val="single"/>
        </w:rPr>
      </w:pPr>
      <w:r>
        <w:rPr>
          <w:u w:val="single"/>
        </w:rPr>
        <w:t>Payment</w:t>
      </w:r>
      <w:r w:rsidRPr="00227E6E">
        <w:rPr>
          <w:u w:val="single"/>
        </w:rPr>
        <w:t xml:space="preserve"> </w:t>
      </w:r>
      <w:r>
        <w:rPr>
          <w:u w:val="single"/>
        </w:rPr>
        <w:t>or</w:t>
      </w:r>
      <w:r w:rsidR="00F82306">
        <w:rPr>
          <w:u w:val="single"/>
        </w:rPr>
        <w:t xml:space="preserve"> </w:t>
      </w:r>
      <w:r>
        <w:rPr>
          <w:u w:val="single"/>
        </w:rPr>
        <w:t>Gift</w:t>
      </w:r>
      <w:r w:rsidRPr="00227E6E">
        <w:rPr>
          <w:u w:val="single"/>
        </w:rPr>
        <w:t xml:space="preserve"> </w:t>
      </w:r>
      <w:r>
        <w:rPr>
          <w:u w:val="single"/>
        </w:rPr>
        <w:t>to</w:t>
      </w:r>
      <w:r w:rsidRPr="00227E6E">
        <w:rPr>
          <w:u w:val="single"/>
        </w:rPr>
        <w:t xml:space="preserve"> </w:t>
      </w:r>
      <w:r>
        <w:rPr>
          <w:u w:val="single"/>
        </w:rPr>
        <w:t>Respondents</w:t>
      </w:r>
    </w:p>
    <w:p w:rsidR="005929E8" w:rsidP="004B404C" w14:paraId="66D6A7AE" w14:textId="77777777">
      <w:pPr>
        <w:pStyle w:val="ListParagraph"/>
        <w:tabs>
          <w:tab w:val="left" w:pos="2006"/>
          <w:tab w:val="left" w:pos="2007"/>
        </w:tabs>
        <w:ind w:left="1166" w:firstLine="0"/>
        <w:rPr>
          <w:u w:val="single"/>
        </w:rPr>
      </w:pPr>
    </w:p>
    <w:p w:rsidR="00337A9E" w:rsidP="004B404C" w14:paraId="6909072E" w14:textId="08E8D240">
      <w:pPr>
        <w:pStyle w:val="ListParagraph"/>
        <w:tabs>
          <w:tab w:val="left" w:pos="2006"/>
          <w:tab w:val="left" w:pos="2007"/>
        </w:tabs>
        <w:ind w:left="1166" w:firstLine="0"/>
      </w:pPr>
      <w:r w:rsidRPr="005929E8">
        <w:t>Not applicable.</w:t>
      </w:r>
    </w:p>
    <w:p w:rsidR="004B404C" w:rsidP="004B404C" w14:paraId="4A21AE72" w14:textId="77777777">
      <w:pPr>
        <w:pStyle w:val="ListParagraph"/>
        <w:tabs>
          <w:tab w:val="left" w:pos="2006"/>
          <w:tab w:val="left" w:pos="2007"/>
        </w:tabs>
        <w:ind w:left="1170" w:firstLine="0"/>
        <w:jc w:val="right"/>
        <w:rPr>
          <w:u w:val="single"/>
        </w:rPr>
      </w:pPr>
    </w:p>
    <w:p w:rsidR="00E70638" w:rsidP="004B404C" w14:paraId="2DCCF5BB" w14:textId="0C94F903">
      <w:pPr>
        <w:pStyle w:val="ListParagraph"/>
        <w:numPr>
          <w:ilvl w:val="1"/>
          <w:numId w:val="1"/>
        </w:numPr>
        <w:tabs>
          <w:tab w:val="left" w:pos="2006"/>
          <w:tab w:val="left" w:pos="2007"/>
        </w:tabs>
        <w:ind w:left="1170" w:hanging="450"/>
        <w:rPr>
          <w:u w:val="single"/>
        </w:rPr>
      </w:pPr>
      <w:r>
        <w:rPr>
          <w:u w:val="single"/>
        </w:rPr>
        <w:t>Confidentiality of Information</w:t>
      </w:r>
    </w:p>
    <w:p w:rsidR="004B404C" w:rsidP="004B404C" w14:paraId="253E391B" w14:textId="77777777">
      <w:pPr>
        <w:pStyle w:val="BodyText"/>
        <w:ind w:left="1170"/>
      </w:pPr>
    </w:p>
    <w:p w:rsidR="004B404C" w:rsidP="004B404C" w14:paraId="20950C4E" w14:textId="047B890A">
      <w:pPr>
        <w:pStyle w:val="BodyText"/>
        <w:ind w:left="1170"/>
      </w:pPr>
      <w:r w:rsidRPr="004B404C">
        <w:t>Confidential and proprietary information is protected in accordance with NRC regulations at 10 CFR 9.17(a) and 10 CFR 2.390(b).</w:t>
      </w:r>
    </w:p>
    <w:p w:rsidR="008C152C" w:rsidP="004B404C" w14:paraId="43DB0607" w14:textId="77777777">
      <w:pPr>
        <w:pStyle w:val="BodyText"/>
        <w:ind w:left="1170"/>
      </w:pPr>
    </w:p>
    <w:p w:rsidR="00337A9E" w:rsidRPr="00E70638" w:rsidP="008E4993" w14:paraId="69090731" w14:textId="7F9C599C">
      <w:pPr>
        <w:pStyle w:val="ListParagraph"/>
        <w:numPr>
          <w:ilvl w:val="1"/>
          <w:numId w:val="1"/>
        </w:numPr>
        <w:tabs>
          <w:tab w:val="left" w:pos="2007"/>
        </w:tabs>
        <w:ind w:left="1170" w:hanging="450"/>
        <w:rPr>
          <w:u w:val="single"/>
        </w:rPr>
      </w:pPr>
      <w:r>
        <w:rPr>
          <w:u w:val="single"/>
        </w:rPr>
        <w:t>Justification</w:t>
      </w:r>
      <w:r w:rsidRPr="00E70638">
        <w:rPr>
          <w:u w:val="single"/>
        </w:rPr>
        <w:t xml:space="preserve"> </w:t>
      </w:r>
      <w:r>
        <w:rPr>
          <w:u w:val="single"/>
        </w:rPr>
        <w:t>for</w:t>
      </w:r>
      <w:r w:rsidRPr="00E70638">
        <w:rPr>
          <w:u w:val="single"/>
        </w:rPr>
        <w:t xml:space="preserve"> </w:t>
      </w:r>
      <w:r>
        <w:rPr>
          <w:u w:val="single"/>
        </w:rPr>
        <w:t>Sensitive</w:t>
      </w:r>
      <w:r w:rsidRPr="00E70638">
        <w:rPr>
          <w:u w:val="single"/>
        </w:rPr>
        <w:t xml:space="preserve"> Questions</w:t>
      </w:r>
    </w:p>
    <w:p w:rsidR="00337A9E" w:rsidP="004B404C" w14:paraId="69090732" w14:textId="77777777">
      <w:pPr>
        <w:pStyle w:val="BodyText"/>
      </w:pPr>
    </w:p>
    <w:p w:rsidR="00337A9E" w:rsidP="004B404C" w14:paraId="258AD3FF" w14:textId="77777777">
      <w:pPr>
        <w:pStyle w:val="BodyText"/>
        <w:ind w:left="1170"/>
        <w:rPr>
          <w:spacing w:val="-2"/>
        </w:rPr>
      </w:pPr>
      <w:r>
        <w:t>This</w:t>
      </w:r>
      <w:r>
        <w:rPr>
          <w:spacing w:val="-7"/>
        </w:rPr>
        <w:t xml:space="preserve"> </w:t>
      </w:r>
      <w:r>
        <w:t>information</w:t>
      </w:r>
      <w:r>
        <w:rPr>
          <w:spacing w:val="-7"/>
        </w:rPr>
        <w:t xml:space="preserve"> </w:t>
      </w:r>
      <w:r>
        <w:t>collection</w:t>
      </w:r>
      <w:r>
        <w:rPr>
          <w:spacing w:val="-6"/>
        </w:rPr>
        <w:t xml:space="preserve"> </w:t>
      </w:r>
      <w:r>
        <w:t>does</w:t>
      </w:r>
      <w:r>
        <w:rPr>
          <w:spacing w:val="-7"/>
        </w:rPr>
        <w:t xml:space="preserve"> </w:t>
      </w:r>
      <w:r>
        <w:t>not</w:t>
      </w:r>
      <w:r>
        <w:rPr>
          <w:spacing w:val="-7"/>
        </w:rPr>
        <w:t xml:space="preserve"> </w:t>
      </w:r>
      <w:r>
        <w:t>involve</w:t>
      </w:r>
      <w:r>
        <w:rPr>
          <w:spacing w:val="-6"/>
        </w:rPr>
        <w:t xml:space="preserve"> </w:t>
      </w:r>
      <w:r>
        <w:t>sensitive</w:t>
      </w:r>
      <w:r>
        <w:rPr>
          <w:spacing w:val="-7"/>
        </w:rPr>
        <w:t xml:space="preserve"> </w:t>
      </w:r>
      <w:r>
        <w:rPr>
          <w:spacing w:val="-2"/>
        </w:rPr>
        <w:t>questions.</w:t>
      </w:r>
    </w:p>
    <w:p w:rsidR="00697F88" w:rsidP="00697F88" w14:paraId="28772F01" w14:textId="77777777">
      <w:pPr>
        <w:pStyle w:val="BodyText"/>
        <w:ind w:left="1170"/>
        <w:rPr>
          <w:spacing w:val="-2"/>
        </w:rPr>
      </w:pPr>
    </w:p>
    <w:p w:rsidR="00337A9E" w:rsidRPr="007A161D" w:rsidP="00557846" w14:paraId="69090735" w14:textId="77777777">
      <w:pPr>
        <w:pStyle w:val="ListParagraph"/>
        <w:numPr>
          <w:ilvl w:val="1"/>
          <w:numId w:val="1"/>
        </w:numPr>
        <w:tabs>
          <w:tab w:val="left" w:pos="2007"/>
        </w:tabs>
        <w:spacing w:before="92"/>
        <w:ind w:left="1170" w:hanging="450"/>
        <w:rPr>
          <w:u w:val="single"/>
        </w:rPr>
      </w:pPr>
      <w:r w:rsidRPr="007A161D">
        <w:rPr>
          <w:u w:val="single"/>
        </w:rPr>
        <w:t>Estimated Burden and Burden Hour Cost</w:t>
      </w:r>
    </w:p>
    <w:p w:rsidR="00983BB2" w:rsidRPr="007A161D" w:rsidP="00983BB2" w14:paraId="29D4330B" w14:textId="77777777">
      <w:pPr>
        <w:pStyle w:val="BodyText"/>
        <w:ind w:left="1170"/>
        <w:rPr>
          <w:spacing w:val="-7"/>
        </w:rPr>
      </w:pPr>
    </w:p>
    <w:p w:rsidR="00337A9E" w:rsidRPr="00C8404B" w:rsidP="00D548B5" w14:paraId="69090755" w14:textId="21B644AD">
      <w:pPr>
        <w:pStyle w:val="BodyText"/>
        <w:ind w:left="1170"/>
      </w:pPr>
      <w:r w:rsidRPr="007A161D">
        <w:t>This proposed rule would allow f</w:t>
      </w:r>
      <w:r w:rsidRPr="007A161D" w:rsidR="00983BB2">
        <w:t xml:space="preserve">usion </w:t>
      </w:r>
      <w:r w:rsidR="00694329">
        <w:t>machines</w:t>
      </w:r>
      <w:r w:rsidRPr="007A161D" w:rsidR="00983BB2">
        <w:t xml:space="preserve"> applicants </w:t>
      </w:r>
      <w:r w:rsidRPr="007A161D" w:rsidR="00AE108C">
        <w:t xml:space="preserve">to </w:t>
      </w:r>
      <w:r w:rsidRPr="007A161D" w:rsidR="00983BB2">
        <w:t xml:space="preserve">use the NRC Form 313. The burden </w:t>
      </w:r>
      <w:r w:rsidR="00F674F2">
        <w:t>for</w:t>
      </w:r>
      <w:r w:rsidRPr="007A161D" w:rsidR="00983BB2">
        <w:t xml:space="preserve"> submit</w:t>
      </w:r>
      <w:r w:rsidR="00F674F2">
        <w:t>ting</w:t>
      </w:r>
      <w:r w:rsidRPr="007A161D" w:rsidR="00983BB2">
        <w:t xml:space="preserve"> a fusion </w:t>
      </w:r>
      <w:r w:rsidR="00694329">
        <w:t>machine</w:t>
      </w:r>
      <w:r w:rsidRPr="007A161D" w:rsidR="00983BB2">
        <w:t xml:space="preserve"> application on the NRC Form 313 </w:t>
      </w:r>
      <w:r w:rsidRPr="007A161D" w:rsidR="00983BB2">
        <w:t xml:space="preserve">is </w:t>
      </w:r>
      <w:r w:rsidRPr="00C8404B" w:rsidR="00983BB2">
        <w:t>estimated to be 600 hours.</w:t>
      </w:r>
      <w:r>
        <w:rPr>
          <w:vertAlign w:val="superscript"/>
        </w:rPr>
        <w:footnoteReference w:id="5"/>
      </w:r>
      <w:r w:rsidRPr="00C8404B" w:rsidR="00983BB2">
        <w:t xml:space="preserve"> Three applicants are anticipated over the course of the clearance</w:t>
      </w:r>
      <w:r w:rsidRPr="00C8404B" w:rsidR="00BC7D00">
        <w:t xml:space="preserve"> </w:t>
      </w:r>
      <w:r w:rsidRPr="00C8404B" w:rsidR="00983BB2">
        <w:t>period (1 annually)</w:t>
      </w:r>
      <w:r>
        <w:rPr>
          <w:rStyle w:val="FootnoteReference"/>
        </w:rPr>
        <w:footnoteReference w:id="6"/>
      </w:r>
      <w:r w:rsidRPr="00C8404B" w:rsidR="00983BB2">
        <w:t xml:space="preserve"> at a cost of $1</w:t>
      </w:r>
      <w:r w:rsidRPr="00C8404B" w:rsidR="00363929">
        <w:t>9</w:t>
      </w:r>
      <w:r w:rsidRPr="00C8404B" w:rsidR="008C5863">
        <w:t>0</w:t>
      </w:r>
      <w:r w:rsidRPr="00C8404B" w:rsidR="00363929">
        <w:t>,</w:t>
      </w:r>
      <w:r w:rsidRPr="00C8404B" w:rsidR="008C5863">
        <w:t>2</w:t>
      </w:r>
      <w:r w:rsidRPr="00C8404B" w:rsidR="00983BB2">
        <w:t>00 (1 respondent x 600 hours x $3</w:t>
      </w:r>
      <w:r w:rsidRPr="00C8404B" w:rsidR="003C328B">
        <w:t>17</w:t>
      </w:r>
      <w:r w:rsidRPr="00C8404B" w:rsidR="008716E3">
        <w:t xml:space="preserve"> per hour</w:t>
      </w:r>
      <w:r w:rsidRPr="00C8404B" w:rsidR="00983BB2">
        <w:t>).</w:t>
      </w:r>
    </w:p>
    <w:p w:rsidR="00AD2948" w:rsidRPr="00C8404B" w:rsidP="00D548B5" w14:paraId="2D4739C2" w14:textId="77777777">
      <w:pPr>
        <w:pStyle w:val="BodyText"/>
        <w:ind w:left="1170"/>
      </w:pPr>
    </w:p>
    <w:p w:rsidR="00626C2E" w:rsidRPr="00C8404B" w:rsidP="00626C2E" w14:paraId="38B15CD8" w14:textId="14CA1998">
      <w:pPr>
        <w:pStyle w:val="BodyText"/>
        <w:ind w:left="1170"/>
      </w:pPr>
      <w:r w:rsidRPr="00C8404B">
        <w:t>The $3</w:t>
      </w:r>
      <w:r w:rsidRPr="00C8404B" w:rsidR="003C328B">
        <w:t>17</w:t>
      </w:r>
      <w:r w:rsidRPr="00C8404B">
        <w:t xml:space="preserve"> hourly rate used in the burden estimates is based on the NRC’s fee for hourly rates as noted in 10 CFR 170.20 “Average cost per professional staff-hour.” For more information on the hourly rate, see the “Revision of Fee Schedules, Fee Recovery for Fiscal Year 2024” final rule (89 FR 51789, June</w:t>
      </w:r>
      <w:r w:rsidR="004C6D99">
        <w:t> </w:t>
      </w:r>
      <w:r w:rsidRPr="00C8404B">
        <w:t>20, 2024).</w:t>
      </w:r>
    </w:p>
    <w:p w:rsidR="00D548B5" w:rsidRPr="00C8404B" w:rsidP="00D548B5" w14:paraId="63BFA65A" w14:textId="77777777">
      <w:pPr>
        <w:pStyle w:val="BodyText"/>
        <w:ind w:left="1170"/>
        <w:rPr>
          <w:spacing w:val="-7"/>
        </w:rPr>
      </w:pPr>
    </w:p>
    <w:p w:rsidR="00337A9E" w:rsidRPr="00C8404B" w:rsidP="00D548B5" w14:paraId="69090756" w14:textId="77777777">
      <w:pPr>
        <w:pStyle w:val="ListParagraph"/>
        <w:numPr>
          <w:ilvl w:val="1"/>
          <w:numId w:val="1"/>
        </w:numPr>
        <w:tabs>
          <w:tab w:val="left" w:pos="2007"/>
        </w:tabs>
        <w:ind w:left="1170" w:hanging="450"/>
        <w:rPr>
          <w:u w:val="single"/>
        </w:rPr>
      </w:pPr>
      <w:r w:rsidRPr="00C8404B">
        <w:rPr>
          <w:u w:val="single"/>
        </w:rPr>
        <w:t>Estimate of Other Additional Costs</w:t>
      </w:r>
    </w:p>
    <w:p w:rsidR="00337A9E" w:rsidRPr="00C8404B" w:rsidP="00D548B5" w14:paraId="69090757" w14:textId="77777777">
      <w:pPr>
        <w:pStyle w:val="BodyText"/>
        <w:rPr>
          <w:sz w:val="14"/>
        </w:rPr>
      </w:pPr>
    </w:p>
    <w:p w:rsidR="008E309B" w:rsidRPr="00C8404B" w:rsidP="00D548B5" w14:paraId="68CB425C" w14:textId="6875591E">
      <w:pPr>
        <w:pStyle w:val="Level1"/>
        <w:widowControl/>
        <w:ind w:left="1170"/>
        <w:rPr>
          <w:rFonts w:ascii="Arial" w:hAnsi="Arial"/>
          <w:sz w:val="22"/>
        </w:rPr>
      </w:pPr>
      <w:r w:rsidRPr="00C8404B">
        <w:rPr>
          <w:rFonts w:ascii="Arial" w:hAnsi="Arial"/>
          <w:sz w:val="22"/>
        </w:rPr>
        <w:t>Additional costs remain unchanged at $</w:t>
      </w:r>
      <w:r w:rsidRPr="00C8404B" w:rsidR="004408CD">
        <w:rPr>
          <w:rFonts w:ascii="Arial" w:hAnsi="Arial"/>
          <w:sz w:val="22"/>
        </w:rPr>
        <w:t>0.</w:t>
      </w:r>
    </w:p>
    <w:p w:rsidR="00E12599" w:rsidRPr="00C8404B" w14:paraId="69090759" w14:textId="5EFF0E19"/>
    <w:p w:rsidR="00337A9E" w:rsidRPr="00C8404B" w:rsidP="00D548B5" w14:paraId="6909075A" w14:textId="77777777">
      <w:pPr>
        <w:pStyle w:val="ListParagraph"/>
        <w:numPr>
          <w:ilvl w:val="1"/>
          <w:numId w:val="1"/>
        </w:numPr>
        <w:tabs>
          <w:tab w:val="left" w:pos="2007"/>
        </w:tabs>
        <w:ind w:left="1170" w:hanging="450"/>
        <w:rPr>
          <w:u w:val="single"/>
        </w:rPr>
      </w:pPr>
      <w:r w:rsidRPr="00C8404B">
        <w:rPr>
          <w:u w:val="single"/>
        </w:rPr>
        <w:t>Estimated Annualized Cost to the Federal Government</w:t>
      </w:r>
    </w:p>
    <w:p w:rsidR="00337A9E" w:rsidRPr="00C8404B" w:rsidP="00D548B5" w14:paraId="6909075B" w14:textId="77777777">
      <w:pPr>
        <w:pStyle w:val="BodyText"/>
        <w:rPr>
          <w:sz w:val="14"/>
        </w:rPr>
      </w:pPr>
    </w:p>
    <w:p w:rsidR="00337A9E" w:rsidRPr="00C8404B" w:rsidP="005F1A91" w14:paraId="69090762" w14:textId="488D53F4">
      <w:pPr>
        <w:pStyle w:val="BodyText"/>
        <w:spacing w:before="11"/>
        <w:ind w:left="1170"/>
      </w:pPr>
      <w:r w:rsidRPr="00C8404B">
        <w:t xml:space="preserve">The staff anticipates three fusion </w:t>
      </w:r>
      <w:r w:rsidRPr="00C8404B" w:rsidR="00694329">
        <w:t>machines</w:t>
      </w:r>
      <w:r w:rsidRPr="00C8404B">
        <w:t xml:space="preserve"> applications over </w:t>
      </w:r>
      <w:r w:rsidRPr="00C8404B" w:rsidR="0000282A">
        <w:t>the course of the clearance period</w:t>
      </w:r>
      <w:r w:rsidRPr="00C8404B">
        <w:t xml:space="preserve">. However, all </w:t>
      </w:r>
      <w:r w:rsidRPr="00C8404B" w:rsidR="002B49DA">
        <w:t xml:space="preserve">fusion </w:t>
      </w:r>
      <w:r w:rsidRPr="00C8404B" w:rsidR="00694329">
        <w:t>machine</w:t>
      </w:r>
      <w:r w:rsidRPr="00C8404B" w:rsidR="002B49DA">
        <w:t xml:space="preserve"> </w:t>
      </w:r>
      <w:r w:rsidRPr="00C8404B">
        <w:t xml:space="preserve">applications </w:t>
      </w:r>
      <w:r w:rsidRPr="00C8404B" w:rsidR="002B7948">
        <w:t>are anticipated to be submitted to and</w:t>
      </w:r>
      <w:r w:rsidRPr="00C8404B">
        <w:t xml:space="preserve"> processed by Agreement States</w:t>
      </w:r>
      <w:r w:rsidRPr="00C8404B" w:rsidR="00C63BBA">
        <w:t xml:space="preserve"> over the clearance period</w:t>
      </w:r>
      <w:r w:rsidRPr="00C8404B">
        <w:t>. Section</w:t>
      </w:r>
      <w:r w:rsidR="0022545E">
        <w:t> 2</w:t>
      </w:r>
      <w:r w:rsidRPr="00C8404B">
        <w:t>74 of the Atomic Energy Act of 1954 provides a statutory basis under which NRC relinquishes to the States portions of its regulatory authority to license and regulate byproduct materials (radioisotopes); source materials (uranium and thorium); and certain quantities of special nuclear materials. The mechanism for the transfer of NRC’s authority to a State is an agreement signed by the Governor of the State and the Chair of the Commission, in accordance with section 274b of the Act.</w:t>
      </w:r>
      <w:r w:rsidRPr="00C8404B" w:rsidR="009B3A39">
        <w:t xml:space="preserve"> </w:t>
      </w:r>
      <w:r w:rsidRPr="00C8404B" w:rsidR="006279B9">
        <w:t>The</w:t>
      </w:r>
      <w:r w:rsidRPr="00C8404B" w:rsidR="009674FB">
        <w:t xml:space="preserve"> cost </w:t>
      </w:r>
      <w:r w:rsidRPr="00C8404B" w:rsidR="009674FB">
        <w:t>to</w:t>
      </w:r>
      <w:r w:rsidRPr="00C8404B" w:rsidR="009674FB">
        <w:t xml:space="preserve"> the Federal </w:t>
      </w:r>
      <w:r w:rsidRPr="00C8404B" w:rsidR="00EA217F">
        <w:t>Government remains unchanged at $</w:t>
      </w:r>
      <w:r w:rsidRPr="00C8404B" w:rsidR="005B27D9">
        <w:t xml:space="preserve"> 1,453,882</w:t>
      </w:r>
      <w:r w:rsidRPr="00C8404B" w:rsidR="00EA217F">
        <w:t>.</w:t>
      </w:r>
      <w:r w:rsidRPr="00C8404B" w:rsidR="0094436F">
        <w:t xml:space="preserve"> </w:t>
      </w:r>
      <w:r w:rsidRPr="00C8404B" w:rsidR="00F72430">
        <w:t>However, if an application were to be received, the burden to the Federal Government would be approximately 200 hours</w:t>
      </w:r>
      <w:r w:rsidRPr="00C8404B" w:rsidR="00FC59A0">
        <w:t xml:space="preserve"> with a cost of $63,400 (200 hours x $317/hour)</w:t>
      </w:r>
      <w:r w:rsidRPr="00C8404B" w:rsidR="00F72430">
        <w:t>.</w:t>
      </w:r>
    </w:p>
    <w:p w:rsidR="005F1A91" w:rsidRPr="00C8404B" w:rsidP="005F1A91" w14:paraId="15CCB1B5" w14:textId="77777777">
      <w:pPr>
        <w:pStyle w:val="BodyText"/>
        <w:spacing w:before="11"/>
        <w:ind w:left="1170"/>
        <w:rPr>
          <w:sz w:val="21"/>
        </w:rPr>
      </w:pPr>
    </w:p>
    <w:p w:rsidR="00337A9E" w:rsidRPr="00C8404B" w:rsidP="005455A5" w14:paraId="69090763" w14:textId="77777777">
      <w:pPr>
        <w:pStyle w:val="ListParagraph"/>
        <w:numPr>
          <w:ilvl w:val="1"/>
          <w:numId w:val="1"/>
        </w:numPr>
        <w:tabs>
          <w:tab w:val="left" w:pos="2007"/>
        </w:tabs>
        <w:ind w:left="1170" w:hanging="450"/>
        <w:rPr>
          <w:u w:val="single"/>
        </w:rPr>
      </w:pPr>
      <w:r w:rsidRPr="00C8404B">
        <w:rPr>
          <w:u w:val="single"/>
        </w:rPr>
        <w:t>Reasons for Changes in Burden or Cost</w:t>
      </w:r>
    </w:p>
    <w:p w:rsidR="00337A9E" w:rsidRPr="00C8404B" w:rsidP="005455A5" w14:paraId="69090764" w14:textId="77777777">
      <w:pPr>
        <w:pStyle w:val="BodyText"/>
        <w:rPr>
          <w:sz w:val="14"/>
        </w:rPr>
      </w:pPr>
    </w:p>
    <w:p w:rsidR="00337A9E" w:rsidRPr="00C8404B" w:rsidP="00AB630C" w14:paraId="6909076F" w14:textId="11628EF4">
      <w:pPr>
        <w:pStyle w:val="BodyText"/>
        <w:spacing w:before="11"/>
        <w:ind w:left="1170"/>
      </w:pPr>
      <w:r w:rsidRPr="00C8404B">
        <w:t xml:space="preserve">The proposed rule would add </w:t>
      </w:r>
      <w:r w:rsidRPr="00C8404B" w:rsidR="00A937E0">
        <w:t>§</w:t>
      </w:r>
      <w:r w:rsidR="0046049C">
        <w:t> 3</w:t>
      </w:r>
      <w:r w:rsidRPr="00C8404B">
        <w:t>0.32(k), providing specific license application requirements for a fusion machine. Applicants for fusion machines may file an application using NRC Form 313. The burden for</w:t>
      </w:r>
      <w:r w:rsidRPr="00C8404B" w:rsidR="00ED320C">
        <w:t xml:space="preserve"> the NRC Form 313 information collection would increase from </w:t>
      </w:r>
      <w:r w:rsidRPr="00C8404B" w:rsidR="003D63CF">
        <w:t>49,359</w:t>
      </w:r>
      <w:r w:rsidRPr="00C8404B" w:rsidR="00ED320C">
        <w:t xml:space="preserve"> to </w:t>
      </w:r>
      <w:r w:rsidRPr="00C8404B" w:rsidR="003D63CF">
        <w:t>49,959</w:t>
      </w:r>
      <w:r w:rsidRPr="00C8404B" w:rsidR="00ED320C">
        <w:t>, an increase of 600 hours.</w:t>
      </w:r>
    </w:p>
    <w:p w:rsidR="00AB630C" w:rsidRPr="00C8404B" w:rsidP="00FE44ED" w14:paraId="18157B82" w14:textId="77777777">
      <w:pPr>
        <w:pStyle w:val="BodyText"/>
        <w:rPr>
          <w:sz w:val="19"/>
        </w:rPr>
      </w:pPr>
    </w:p>
    <w:p w:rsidR="00337A9E" w:rsidRPr="00C8404B" w:rsidP="00FE44ED" w14:paraId="69090770" w14:textId="77777777">
      <w:pPr>
        <w:pStyle w:val="ListParagraph"/>
        <w:numPr>
          <w:ilvl w:val="1"/>
          <w:numId w:val="1"/>
        </w:numPr>
        <w:tabs>
          <w:tab w:val="left" w:pos="2007"/>
        </w:tabs>
        <w:ind w:left="1170" w:hanging="450"/>
        <w:rPr>
          <w:u w:val="single"/>
        </w:rPr>
      </w:pPr>
      <w:r w:rsidRPr="00C8404B">
        <w:rPr>
          <w:u w:val="single"/>
        </w:rPr>
        <w:t>Publication for Statistical Use</w:t>
      </w:r>
    </w:p>
    <w:p w:rsidR="00F95541" w:rsidRPr="00C8404B" w:rsidP="00FE44ED" w14:paraId="79FDBC96" w14:textId="77777777">
      <w:pPr>
        <w:pStyle w:val="BodyText"/>
        <w:ind w:left="1170"/>
        <w:jc w:val="both"/>
      </w:pPr>
    </w:p>
    <w:p w:rsidR="00F95541" w:rsidRPr="00C8404B" w:rsidP="00FE44ED" w14:paraId="6AEAD71F" w14:textId="77777777">
      <w:pPr>
        <w:pStyle w:val="Level1"/>
        <w:ind w:left="1170"/>
        <w:rPr>
          <w:rFonts w:ascii="Arial" w:hAnsi="Arial"/>
          <w:sz w:val="22"/>
          <w:szCs w:val="22"/>
        </w:rPr>
      </w:pPr>
      <w:r w:rsidRPr="00C8404B">
        <w:rPr>
          <w:rFonts w:ascii="Arial" w:hAnsi="Arial"/>
          <w:sz w:val="22"/>
          <w:szCs w:val="22"/>
        </w:rPr>
        <w:t>The information being collected is not expected to be published for statistical use.</w:t>
      </w:r>
    </w:p>
    <w:p w:rsidR="00337A9E" w:rsidRPr="00C8404B" w:rsidP="00FE44ED" w14:paraId="69090773" w14:textId="77777777">
      <w:pPr>
        <w:pStyle w:val="BodyText"/>
        <w:rPr>
          <w:sz w:val="21"/>
        </w:rPr>
      </w:pPr>
    </w:p>
    <w:p w:rsidR="00337A9E" w:rsidRPr="00C8404B" w:rsidP="00FE44ED" w14:paraId="69090774" w14:textId="77777777">
      <w:pPr>
        <w:pStyle w:val="ListParagraph"/>
        <w:numPr>
          <w:ilvl w:val="1"/>
          <w:numId w:val="1"/>
        </w:numPr>
        <w:tabs>
          <w:tab w:val="left" w:pos="2007"/>
        </w:tabs>
        <w:ind w:left="1170" w:hanging="450"/>
        <w:rPr>
          <w:u w:val="single"/>
        </w:rPr>
      </w:pPr>
      <w:r w:rsidRPr="00C8404B">
        <w:rPr>
          <w:u w:val="single"/>
        </w:rPr>
        <w:t>Reason for Not Displaying the Expiration Date</w:t>
      </w:r>
    </w:p>
    <w:p w:rsidR="00337A9E" w:rsidRPr="00C8404B" w:rsidP="00FE44ED" w14:paraId="69090775" w14:textId="77777777">
      <w:pPr>
        <w:pStyle w:val="BodyText"/>
        <w:rPr>
          <w:sz w:val="14"/>
        </w:rPr>
      </w:pPr>
    </w:p>
    <w:p w:rsidR="00437D92" w:rsidRPr="00C8404B" w:rsidP="00FE44ED" w14:paraId="10BFC827" w14:textId="373CE0F6">
      <w:pPr>
        <w:pStyle w:val="Level1"/>
        <w:ind w:left="1170"/>
        <w:rPr>
          <w:rFonts w:ascii="Arial" w:hAnsi="Arial"/>
          <w:sz w:val="22"/>
          <w:szCs w:val="22"/>
        </w:rPr>
      </w:pPr>
      <w:r w:rsidRPr="00C8404B">
        <w:rPr>
          <w:rFonts w:ascii="Arial" w:hAnsi="Arial"/>
          <w:sz w:val="22"/>
          <w:szCs w:val="22"/>
        </w:rPr>
        <w:t>The expiration date is displayed on NRC Form 313.</w:t>
      </w:r>
    </w:p>
    <w:p w:rsidR="00337A9E" w:rsidRPr="00C8404B" w:rsidP="00FE44ED" w14:paraId="69090777" w14:textId="77777777">
      <w:pPr>
        <w:pStyle w:val="BodyText"/>
        <w:rPr>
          <w:sz w:val="21"/>
        </w:rPr>
      </w:pPr>
    </w:p>
    <w:p w:rsidR="00337A9E" w:rsidRPr="00C8404B" w:rsidP="00FE44ED" w14:paraId="69090778" w14:textId="77777777">
      <w:pPr>
        <w:pStyle w:val="ListParagraph"/>
        <w:numPr>
          <w:ilvl w:val="1"/>
          <w:numId w:val="1"/>
        </w:numPr>
        <w:tabs>
          <w:tab w:val="left" w:pos="2007"/>
        </w:tabs>
        <w:ind w:left="1170" w:hanging="450"/>
        <w:rPr>
          <w:u w:val="single"/>
        </w:rPr>
      </w:pPr>
      <w:r w:rsidRPr="00C8404B">
        <w:rPr>
          <w:u w:val="single"/>
        </w:rPr>
        <w:t>Exceptions to the Certification Statement</w:t>
      </w:r>
    </w:p>
    <w:p w:rsidR="00337A9E" w:rsidRPr="00C8404B" w:rsidP="00FE44ED" w14:paraId="69090779" w14:textId="77777777">
      <w:pPr>
        <w:pStyle w:val="BodyText"/>
        <w:rPr>
          <w:sz w:val="14"/>
        </w:rPr>
      </w:pPr>
    </w:p>
    <w:p w:rsidR="00337A9E" w:rsidP="00FE44ED" w14:paraId="6909077A" w14:textId="3C79DDF4">
      <w:pPr>
        <w:pStyle w:val="BodyText"/>
        <w:ind w:left="1170"/>
      </w:pPr>
      <w:r w:rsidRPr="00C8404B">
        <w:t>Not applicable.</w:t>
      </w:r>
    </w:p>
    <w:p w:rsidR="00337A9E" w:rsidP="00FE44ED" w14:paraId="6909077B" w14:textId="77777777">
      <w:pPr>
        <w:pStyle w:val="BodyText"/>
        <w:rPr>
          <w:sz w:val="21"/>
        </w:rPr>
      </w:pPr>
    </w:p>
    <w:p w:rsidR="00337A9E" w:rsidP="00FE44ED" w14:paraId="6909077C" w14:textId="77777777">
      <w:pPr>
        <w:pStyle w:val="ListParagraph"/>
        <w:numPr>
          <w:ilvl w:val="0"/>
          <w:numId w:val="1"/>
        </w:numPr>
        <w:tabs>
          <w:tab w:val="left" w:pos="1660"/>
        </w:tabs>
        <w:ind w:left="720" w:hanging="331"/>
        <w:jc w:val="left"/>
      </w:pPr>
      <w:r>
        <w:rPr>
          <w:u w:val="single"/>
        </w:rPr>
        <w:t>COLLECTIONS</w:t>
      </w:r>
      <w:r>
        <w:rPr>
          <w:spacing w:val="-12"/>
          <w:u w:val="single"/>
        </w:rPr>
        <w:t xml:space="preserve"> </w:t>
      </w:r>
      <w:r>
        <w:rPr>
          <w:u w:val="single"/>
        </w:rPr>
        <w:t>OF</w:t>
      </w:r>
      <w:r>
        <w:rPr>
          <w:spacing w:val="-12"/>
          <w:u w:val="single"/>
        </w:rPr>
        <w:t xml:space="preserve"> </w:t>
      </w:r>
      <w:r>
        <w:rPr>
          <w:u w:val="single"/>
        </w:rPr>
        <w:t>INFORMATION</w:t>
      </w:r>
      <w:r>
        <w:rPr>
          <w:spacing w:val="-12"/>
          <w:u w:val="single"/>
        </w:rPr>
        <w:t xml:space="preserve"> </w:t>
      </w:r>
      <w:r>
        <w:rPr>
          <w:u w:val="single"/>
        </w:rPr>
        <w:t>EMPLOYING</w:t>
      </w:r>
      <w:r>
        <w:rPr>
          <w:spacing w:val="-12"/>
          <w:u w:val="single"/>
        </w:rPr>
        <w:t xml:space="preserve"> </w:t>
      </w:r>
      <w:r>
        <w:rPr>
          <w:u w:val="single"/>
        </w:rPr>
        <w:t>STATISTICAL</w:t>
      </w:r>
      <w:r>
        <w:rPr>
          <w:spacing w:val="-11"/>
          <w:u w:val="single"/>
        </w:rPr>
        <w:t xml:space="preserve"> </w:t>
      </w:r>
      <w:r>
        <w:rPr>
          <w:spacing w:val="-2"/>
          <w:u w:val="single"/>
        </w:rPr>
        <w:t>METHODS</w:t>
      </w:r>
    </w:p>
    <w:p w:rsidR="00337A9E" w:rsidP="00FE44ED" w14:paraId="6909077D" w14:textId="77777777">
      <w:pPr>
        <w:pStyle w:val="BodyText"/>
        <w:rPr>
          <w:sz w:val="14"/>
        </w:rPr>
      </w:pPr>
    </w:p>
    <w:p w:rsidR="00A57B2D" w:rsidRPr="0070722B" w:rsidP="00FE44ED" w14:paraId="4ECDD752" w14:textId="77777777">
      <w:pPr>
        <w:ind w:left="720"/>
      </w:pPr>
      <w:r w:rsidRPr="003114C0">
        <w:t>Th</w:t>
      </w:r>
      <w:r>
        <w:t>is</w:t>
      </w:r>
      <w:r w:rsidRPr="003114C0">
        <w:t xml:space="preserve"> collection of information does not employ statistical methods.</w:t>
      </w:r>
    </w:p>
    <w:p w:rsidR="00337A9E" w:rsidP="00FE44ED" w14:paraId="592C6B3B" w14:textId="77777777">
      <w:pPr>
        <w:pStyle w:val="BodyText"/>
        <w:ind w:left="840" w:right="725"/>
      </w:pPr>
    </w:p>
    <w:sectPr w:rsidSect="00A14AA1">
      <w:footerReference w:type="default" r:id="rId10"/>
      <w:pgSz w:w="12240" w:h="15840"/>
      <w:pgMar w:top="1440" w:right="1440" w:bottom="1440" w:left="1440" w:header="0" w:footer="101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81F" w14:paraId="6C8D1AF2" w14:textId="12961B18">
    <w:pPr>
      <w:pStyle w:val="BodyText"/>
      <w:spacing w:line="14" w:lineRule="auto"/>
      <w:rPr>
        <w:sz w:val="20"/>
      </w:rPr>
    </w:pPr>
  </w:p>
  <w:p w:rsidR="00FA681F" w14:paraId="60719630" w14:textId="5CE3CDB3">
    <w:pPr>
      <w:pStyle w:val="BodyText"/>
      <w:spacing w:line="14" w:lineRule="auto"/>
      <w:rPr>
        <w:sz w:val="20"/>
      </w:rPr>
    </w:pPr>
  </w:p>
  <w:p w:rsidR="00FA681F" w:rsidP="00D74658" w14:paraId="2BDC77A1" w14:textId="239A3040">
    <w:pPr>
      <w:pStyle w:val="Header"/>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3551858</wp:posOffset>
              </wp:positionH>
              <wp:positionV relativeFrom="page">
                <wp:posOffset>9327294</wp:posOffset>
              </wp:positionV>
              <wp:extent cx="244475" cy="181610"/>
              <wp:effectExtent l="0" t="0" r="3175" b="8890"/>
              <wp:wrapNone/>
              <wp:docPr id="1" name="docshape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4475"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7A9E" w:rsidRPr="00F054D5" w14:textId="77777777">
                          <w:pPr>
                            <w:pStyle w:val="BodyText"/>
                            <w:spacing w:before="12"/>
                            <w:ind w:left="60"/>
                          </w:pPr>
                          <w:r w:rsidRPr="00F054D5">
                            <w:rPr>
                              <w:spacing w:val="-5"/>
                              <w:shd w:val="clear" w:color="auto" w:fill="E6E6E6"/>
                            </w:rPr>
                            <w:fldChar w:fldCharType="begin"/>
                          </w:r>
                          <w:r w:rsidRPr="00F054D5">
                            <w:rPr>
                              <w:spacing w:val="-5"/>
                            </w:rPr>
                            <w:instrText xml:space="preserve"> PAGE </w:instrText>
                          </w:r>
                          <w:r w:rsidRPr="00F054D5">
                            <w:rPr>
                              <w:spacing w:val="-5"/>
                              <w:shd w:val="clear" w:color="auto" w:fill="E6E6E6"/>
                            </w:rPr>
                            <w:fldChar w:fldCharType="separate"/>
                          </w:r>
                          <w:r w:rsidRPr="00F054D5">
                            <w:rPr>
                              <w:spacing w:val="-5"/>
                            </w:rPr>
                            <w:t>10</w:t>
                          </w:r>
                          <w:r w:rsidRPr="00F054D5">
                            <w:rPr>
                              <w:spacing w:val="-5"/>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 o:spid="_x0000_s2049" type="#_x0000_t202" style="width:19.25pt;height:14.3pt;margin-top:734.45pt;margin-left:279.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37A9E" w:rsidRPr="00F054D5" w14:paraId="67A34C9C" w14:textId="77777777">
                    <w:pPr>
                      <w:pStyle w:val="BodyText"/>
                      <w:spacing w:before="12"/>
                      <w:ind w:left="60"/>
                    </w:pPr>
                    <w:r w:rsidRPr="00F054D5">
                      <w:rPr>
                        <w:spacing w:val="-5"/>
                        <w:shd w:val="clear" w:color="auto" w:fill="E6E6E6"/>
                      </w:rPr>
                      <w:fldChar w:fldCharType="begin"/>
                    </w:r>
                    <w:r w:rsidRPr="00F054D5">
                      <w:rPr>
                        <w:spacing w:val="-5"/>
                      </w:rPr>
                      <w:instrText xml:space="preserve"> PAGE </w:instrText>
                    </w:r>
                    <w:r w:rsidRPr="00F054D5">
                      <w:rPr>
                        <w:spacing w:val="-5"/>
                        <w:shd w:val="clear" w:color="auto" w:fill="E6E6E6"/>
                      </w:rPr>
                      <w:fldChar w:fldCharType="separate"/>
                    </w:r>
                    <w:r w:rsidRPr="00F054D5">
                      <w:rPr>
                        <w:spacing w:val="-5"/>
                      </w:rPr>
                      <w:t>10</w:t>
                    </w:r>
                    <w:r w:rsidRPr="00F054D5">
                      <w:rPr>
                        <w:spacing w:val="-5"/>
                        <w:shd w:val="clear" w:color="auto" w:fill="E6E6E6"/>
                      </w:rPr>
                      <w:fldChar w:fldCharType="end"/>
                    </w:r>
                  </w:p>
                </w:txbxContent>
              </v:textbox>
            </v:shape>
          </w:pict>
        </mc:Fallback>
      </mc:AlternateContent>
    </w:r>
  </w:p>
  <w:p w:rsidR="00337A9E" w14:paraId="69090BE4" w14:textId="20C0DE4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6AEF" w14:paraId="11BAB156" w14:textId="77777777">
      <w:r>
        <w:separator/>
      </w:r>
    </w:p>
  </w:footnote>
  <w:footnote w:type="continuationSeparator" w:id="1">
    <w:p w:rsidR="00A76AEF" w14:paraId="128BF265" w14:textId="77777777">
      <w:r>
        <w:continuationSeparator/>
      </w:r>
    </w:p>
  </w:footnote>
  <w:footnote w:type="continuationNotice" w:id="2">
    <w:p w:rsidR="00A76AEF" w14:paraId="04820EAD" w14:textId="77777777"/>
  </w:footnote>
  <w:footnote w:id="3">
    <w:p w:rsidR="00930FEC" w:rsidRPr="00444221" w14:paraId="4BE83DE8" w14:textId="5FF6B0AD">
      <w:pPr>
        <w:pStyle w:val="FootnoteText"/>
        <w:rPr>
          <w:sz w:val="18"/>
          <w:szCs w:val="18"/>
        </w:rPr>
      </w:pPr>
      <w:r w:rsidRPr="00444221">
        <w:rPr>
          <w:rStyle w:val="FootnoteReference"/>
          <w:sz w:val="18"/>
          <w:szCs w:val="18"/>
        </w:rPr>
        <w:footnoteRef/>
      </w:r>
      <w:r w:rsidRPr="00444221" w:rsidR="00B804D7">
        <w:rPr>
          <w:sz w:val="18"/>
          <w:szCs w:val="18"/>
        </w:rPr>
        <w:t xml:space="preserve"> </w:t>
      </w:r>
      <w:r w:rsidR="000B47DA">
        <w:rPr>
          <w:sz w:val="18"/>
          <w:szCs w:val="18"/>
        </w:rPr>
        <w:t xml:space="preserve"> </w:t>
      </w:r>
      <w:r w:rsidRPr="00444221" w:rsidR="00396D27">
        <w:rPr>
          <w:sz w:val="18"/>
          <w:szCs w:val="18"/>
        </w:rPr>
        <w:t>NUREG-1556</w:t>
      </w:r>
      <w:r w:rsidRPr="00444221" w:rsidR="00396D27">
        <w:rPr>
          <w:spacing w:val="-14"/>
          <w:sz w:val="18"/>
          <w:szCs w:val="18"/>
        </w:rPr>
        <w:t xml:space="preserve"> </w:t>
      </w:r>
      <w:r w:rsidRPr="00444221" w:rsidR="00396D27">
        <w:rPr>
          <w:sz w:val="18"/>
          <w:szCs w:val="18"/>
        </w:rPr>
        <w:t>is</w:t>
      </w:r>
      <w:r w:rsidRPr="00444221" w:rsidR="00396D27">
        <w:rPr>
          <w:spacing w:val="-14"/>
          <w:sz w:val="18"/>
          <w:szCs w:val="18"/>
        </w:rPr>
        <w:t xml:space="preserve"> </w:t>
      </w:r>
      <w:r w:rsidRPr="00444221" w:rsidR="00396D27">
        <w:rPr>
          <w:sz w:val="18"/>
          <w:szCs w:val="18"/>
        </w:rPr>
        <w:t>available</w:t>
      </w:r>
      <w:r w:rsidRPr="00444221" w:rsidR="00396D27">
        <w:rPr>
          <w:spacing w:val="-14"/>
          <w:sz w:val="18"/>
          <w:szCs w:val="18"/>
        </w:rPr>
        <w:t xml:space="preserve"> </w:t>
      </w:r>
      <w:r w:rsidRPr="00444221" w:rsidR="00396D27">
        <w:rPr>
          <w:sz w:val="18"/>
          <w:szCs w:val="18"/>
        </w:rPr>
        <w:t>on</w:t>
      </w:r>
      <w:r w:rsidRPr="00444221" w:rsidR="00396D27">
        <w:rPr>
          <w:spacing w:val="-14"/>
          <w:sz w:val="18"/>
          <w:szCs w:val="18"/>
        </w:rPr>
        <w:t xml:space="preserve"> </w:t>
      </w:r>
      <w:r w:rsidRPr="00444221" w:rsidR="00396D27">
        <w:rPr>
          <w:sz w:val="18"/>
          <w:szCs w:val="18"/>
        </w:rPr>
        <w:t>the</w:t>
      </w:r>
      <w:r w:rsidRPr="00444221" w:rsidR="00396D27">
        <w:rPr>
          <w:spacing w:val="-14"/>
          <w:sz w:val="18"/>
          <w:szCs w:val="18"/>
        </w:rPr>
        <w:t xml:space="preserve"> </w:t>
      </w:r>
      <w:r w:rsidRPr="00444221" w:rsidR="00396D27">
        <w:rPr>
          <w:sz w:val="18"/>
          <w:szCs w:val="18"/>
        </w:rPr>
        <w:t>NRC</w:t>
      </w:r>
      <w:r w:rsidRPr="00444221" w:rsidR="00396D27">
        <w:rPr>
          <w:spacing w:val="-14"/>
          <w:sz w:val="18"/>
          <w:szCs w:val="18"/>
        </w:rPr>
        <w:t xml:space="preserve"> </w:t>
      </w:r>
      <w:r w:rsidRPr="00444221" w:rsidR="00396D27">
        <w:rPr>
          <w:sz w:val="18"/>
          <w:szCs w:val="18"/>
        </w:rPr>
        <w:t>website</w:t>
      </w:r>
      <w:r w:rsidRPr="00444221" w:rsidR="00396D27">
        <w:rPr>
          <w:spacing w:val="-14"/>
          <w:sz w:val="18"/>
          <w:szCs w:val="18"/>
        </w:rPr>
        <w:t xml:space="preserve"> </w:t>
      </w:r>
      <w:r w:rsidRPr="00444221" w:rsidR="00396D27">
        <w:rPr>
          <w:sz w:val="18"/>
          <w:szCs w:val="18"/>
        </w:rPr>
        <w:t>at</w:t>
      </w:r>
      <w:r w:rsidRPr="00444221" w:rsidR="00396D27">
        <w:rPr>
          <w:spacing w:val="-14"/>
          <w:sz w:val="18"/>
          <w:szCs w:val="18"/>
        </w:rPr>
        <w:t xml:space="preserve"> </w:t>
      </w:r>
      <w:hyperlink r:id="rId1">
        <w:r w:rsidRPr="00444221" w:rsidR="00396D27">
          <w:rPr>
            <w:color w:val="0000FF"/>
            <w:sz w:val="18"/>
            <w:szCs w:val="18"/>
            <w:u w:val="single" w:color="0000FF"/>
          </w:rPr>
          <w:t>http://www.nrc.gov/reading-rm/doc-</w:t>
        </w:r>
      </w:hyperlink>
      <w:r w:rsidRPr="00444221" w:rsidR="00396D27">
        <w:rPr>
          <w:color w:val="0000FF"/>
          <w:sz w:val="18"/>
          <w:szCs w:val="18"/>
        </w:rPr>
        <w:t xml:space="preserve"> </w:t>
      </w:r>
      <w:r w:rsidRPr="00444221" w:rsidR="00396D27">
        <w:rPr>
          <w:color w:val="0000FF"/>
          <w:spacing w:val="-2"/>
          <w:sz w:val="18"/>
          <w:szCs w:val="18"/>
          <w:u w:val="single" w:color="0000FF"/>
        </w:rPr>
        <w:t>collections/nuregs/staff/sr1556/</w:t>
      </w:r>
    </w:p>
  </w:footnote>
  <w:footnote w:id="4">
    <w:p w:rsidR="00745B3D" w:rsidRPr="00444221" w:rsidP="00F674F2" w14:paraId="5E8991EE" w14:textId="4D917307">
      <w:pPr>
        <w:pStyle w:val="FootnoteText"/>
        <w:ind w:left="180" w:hanging="180"/>
        <w:rPr>
          <w:sz w:val="18"/>
          <w:szCs w:val="18"/>
        </w:rPr>
      </w:pPr>
      <w:r w:rsidRPr="00444221">
        <w:rPr>
          <w:sz w:val="18"/>
          <w:szCs w:val="18"/>
          <w:vertAlign w:val="superscript"/>
        </w:rPr>
        <w:t>2</w:t>
      </w:r>
      <w:r w:rsidRPr="00444221">
        <w:rPr>
          <w:sz w:val="18"/>
          <w:szCs w:val="18"/>
        </w:rPr>
        <w:t xml:space="preserve"> </w:t>
      </w:r>
      <w:r w:rsidR="000B47DA">
        <w:rPr>
          <w:sz w:val="18"/>
          <w:szCs w:val="18"/>
        </w:rPr>
        <w:t xml:space="preserve"> </w:t>
      </w:r>
      <w:r w:rsidRPr="00444221">
        <w:rPr>
          <w:sz w:val="18"/>
          <w:szCs w:val="18"/>
        </w:rPr>
        <w:t xml:space="preserve">NRC Form 313 is available on the NRC website at </w:t>
      </w:r>
      <w:hyperlink r:id="rId2" w:history="1">
        <w:r w:rsidRPr="00444221">
          <w:rPr>
            <w:rStyle w:val="Hyperlink"/>
            <w:sz w:val="18"/>
            <w:szCs w:val="18"/>
          </w:rPr>
          <w:t>https://www.nrc.gov/reading-rm/doc-collections/forms/index.html</w:t>
        </w:r>
      </w:hyperlink>
      <w:r w:rsidRPr="00444221">
        <w:rPr>
          <w:color w:val="0000FF"/>
          <w:spacing w:val="40"/>
          <w:sz w:val="18"/>
          <w:szCs w:val="18"/>
        </w:rPr>
        <w:t xml:space="preserve"> </w:t>
      </w:r>
      <w:r w:rsidRPr="00444221">
        <w:rPr>
          <w:sz w:val="18"/>
          <w:szCs w:val="18"/>
        </w:rPr>
        <w:t>and is approved by OMB under clearance number 3150-0120</w:t>
      </w:r>
    </w:p>
  </w:footnote>
  <w:footnote w:id="5">
    <w:p w:rsidR="00A66877" w:rsidRPr="00130812" w:rsidP="00130812" w14:paraId="16A3AC2B" w14:textId="397F7B1E">
      <w:pPr>
        <w:pStyle w:val="FootnoteText"/>
        <w:ind w:left="180" w:hanging="180"/>
        <w:rPr>
          <w:sz w:val="18"/>
          <w:szCs w:val="18"/>
        </w:rPr>
      </w:pPr>
      <w:r w:rsidRPr="00130812">
        <w:rPr>
          <w:rStyle w:val="FootnoteReference"/>
          <w:sz w:val="18"/>
          <w:szCs w:val="18"/>
        </w:rPr>
        <w:footnoteRef/>
      </w:r>
      <w:r w:rsidRPr="00130812">
        <w:rPr>
          <w:sz w:val="18"/>
          <w:szCs w:val="18"/>
        </w:rPr>
        <w:t xml:space="preserve"> </w:t>
      </w:r>
      <w:r w:rsidR="009B56A8">
        <w:rPr>
          <w:sz w:val="18"/>
          <w:szCs w:val="18"/>
        </w:rPr>
        <w:t xml:space="preserve"> </w:t>
      </w:r>
      <w:r w:rsidRPr="00130812" w:rsidR="008716E3">
        <w:rPr>
          <w:sz w:val="18"/>
          <w:szCs w:val="18"/>
        </w:rPr>
        <w:t>The burden estimate per response for the Form 313 remains at 4.3 hours because it is the average burden per response for the various types of license applicants seeking a specific materials license.</w:t>
      </w:r>
    </w:p>
  </w:footnote>
  <w:footnote w:id="6">
    <w:p w:rsidR="003C115E" w:rsidRPr="00F674F2" w:rsidP="00130812" w14:paraId="532C20AA" w14:textId="42AB1CDF">
      <w:pPr>
        <w:ind w:left="180" w:hanging="180"/>
        <w:rPr>
          <w:sz w:val="18"/>
          <w:szCs w:val="18"/>
        </w:rPr>
      </w:pPr>
      <w:r w:rsidRPr="00130812">
        <w:rPr>
          <w:rStyle w:val="FootnoteReference"/>
          <w:sz w:val="18"/>
          <w:szCs w:val="18"/>
        </w:rPr>
        <w:footnoteRef/>
      </w:r>
      <w:r w:rsidRPr="00130812">
        <w:rPr>
          <w:sz w:val="18"/>
          <w:szCs w:val="18"/>
        </w:rPr>
        <w:t xml:space="preserve"> </w:t>
      </w:r>
      <w:r w:rsidR="009B56A8">
        <w:rPr>
          <w:sz w:val="18"/>
          <w:szCs w:val="18"/>
        </w:rPr>
        <w:t xml:space="preserve"> </w:t>
      </w:r>
      <w:r w:rsidRPr="00C8404B">
        <w:rPr>
          <w:sz w:val="18"/>
          <w:szCs w:val="18"/>
        </w:rPr>
        <w:t>During the clearance period, all respondents are expected to be located in Agreement States. However, due to compatibility requirements, Agreement State licensees will be subject to requirements that are equivalent to NRC requirements, and therefore, the burden for these respondents is included in this statement.</w:t>
      </w:r>
    </w:p>
    <w:p w:rsidR="00717124" w14:paraId="08F72354" w14:textId="5EEDF71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3"/>
    <w:multiLevelType w:val="multilevel"/>
    <w:tmpl w:val="00000886"/>
    <w:lvl w:ilvl="0">
      <w:start w:val="1"/>
      <w:numFmt w:val="decimal"/>
      <w:lvlText w:val="(%1)"/>
      <w:lvlJc w:val="left"/>
      <w:pPr>
        <w:ind w:left="840" w:hanging="721"/>
      </w:pPr>
      <w:rPr>
        <w:rFonts w:ascii="Arial" w:hAnsi="Arial" w:cs="Arial"/>
        <w:b w:val="0"/>
        <w:bCs w:val="0"/>
        <w:w w:val="99"/>
        <w:sz w:val="22"/>
        <w:szCs w:val="22"/>
      </w:rPr>
    </w:lvl>
    <w:lvl w:ilvl="1">
      <w:start w:val="1"/>
      <w:numFmt w:val="lowerRoman"/>
      <w:lvlText w:val="(%2)"/>
      <w:lvlJc w:val="left"/>
      <w:pPr>
        <w:ind w:left="1680" w:hanging="841"/>
      </w:pPr>
      <w:rPr>
        <w:rFonts w:ascii="Arial" w:hAnsi="Arial" w:cs="Arial"/>
        <w:b w:val="0"/>
        <w:bCs w:val="0"/>
        <w:w w:val="99"/>
        <w:sz w:val="22"/>
        <w:szCs w:val="22"/>
      </w:rPr>
    </w:lvl>
    <w:lvl w:ilvl="2">
      <w:start w:val="0"/>
      <w:numFmt w:val="bullet"/>
      <w:lvlText w:val="•"/>
      <w:lvlJc w:val="left"/>
      <w:pPr>
        <w:ind w:left="1680" w:hanging="841"/>
      </w:pPr>
    </w:lvl>
    <w:lvl w:ilvl="3">
      <w:start w:val="0"/>
      <w:numFmt w:val="bullet"/>
      <w:lvlText w:val="•"/>
      <w:lvlJc w:val="left"/>
      <w:pPr>
        <w:ind w:left="2665" w:hanging="841"/>
      </w:pPr>
    </w:lvl>
    <w:lvl w:ilvl="4">
      <w:start w:val="0"/>
      <w:numFmt w:val="bullet"/>
      <w:lvlText w:val="•"/>
      <w:lvlJc w:val="left"/>
      <w:pPr>
        <w:ind w:left="3650" w:hanging="841"/>
      </w:pPr>
    </w:lvl>
    <w:lvl w:ilvl="5">
      <w:start w:val="0"/>
      <w:numFmt w:val="bullet"/>
      <w:lvlText w:val="•"/>
      <w:lvlJc w:val="left"/>
      <w:pPr>
        <w:ind w:left="4635" w:hanging="841"/>
      </w:pPr>
    </w:lvl>
    <w:lvl w:ilvl="6">
      <w:start w:val="0"/>
      <w:numFmt w:val="bullet"/>
      <w:lvlText w:val="•"/>
      <w:lvlJc w:val="left"/>
      <w:pPr>
        <w:ind w:left="5620" w:hanging="841"/>
      </w:pPr>
    </w:lvl>
    <w:lvl w:ilvl="7">
      <w:start w:val="0"/>
      <w:numFmt w:val="bullet"/>
      <w:lvlText w:val="•"/>
      <w:lvlJc w:val="left"/>
      <w:pPr>
        <w:ind w:left="6605" w:hanging="841"/>
      </w:pPr>
    </w:lvl>
    <w:lvl w:ilvl="8">
      <w:start w:val="0"/>
      <w:numFmt w:val="bullet"/>
      <w:lvlText w:val="•"/>
      <w:lvlJc w:val="left"/>
      <w:pPr>
        <w:ind w:left="7590" w:hanging="841"/>
      </w:pPr>
    </w:lvl>
  </w:abstractNum>
  <w:abstractNum w:abstractNumId="1">
    <w:nsid w:val="01832F5C"/>
    <w:multiLevelType w:val="hybridMultilevel"/>
    <w:tmpl w:val="1AD60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560615"/>
    <w:multiLevelType w:val="hybridMultilevel"/>
    <w:tmpl w:val="E6D8A2E0"/>
    <w:lvl w:ilvl="0">
      <w:start w:val="1"/>
      <w:numFmt w:val="upperLetter"/>
      <w:lvlText w:val="%1."/>
      <w:lvlJc w:val="left"/>
      <w:pPr>
        <w:ind w:left="1082" w:hanging="722"/>
        <w:jc w:val="right"/>
      </w:pPr>
      <w:rPr>
        <w:rFonts w:ascii="Arial" w:eastAsia="Arial" w:hAnsi="Arial" w:cs="Arial" w:hint="default"/>
        <w:b w:val="0"/>
        <w:bCs w:val="0"/>
        <w:i w:val="0"/>
        <w:iCs w:val="0"/>
        <w:spacing w:val="-1"/>
        <w:w w:val="98"/>
        <w:sz w:val="22"/>
        <w:szCs w:val="22"/>
        <w:lang w:val="en-US" w:eastAsia="en-US" w:bidi="ar-SA"/>
      </w:rPr>
    </w:lvl>
    <w:lvl w:ilvl="1">
      <w:start w:val="1"/>
      <w:numFmt w:val="decimal"/>
      <w:lvlText w:val="%2."/>
      <w:lvlJc w:val="left"/>
      <w:pPr>
        <w:ind w:left="1429" w:hanging="447"/>
      </w:pPr>
      <w:rPr>
        <w:rFonts w:ascii="Arial" w:eastAsia="Arial" w:hAnsi="Arial" w:cs="Arial" w:hint="default"/>
        <w:b w:val="0"/>
        <w:bCs w:val="0"/>
        <w:i w:val="0"/>
        <w:iCs w:val="0"/>
        <w:w w:val="99"/>
        <w:sz w:val="22"/>
        <w:szCs w:val="22"/>
        <w:lang w:val="en-US" w:eastAsia="en-US" w:bidi="ar-SA"/>
      </w:rPr>
    </w:lvl>
    <w:lvl w:ilvl="2">
      <w:start w:val="0"/>
      <w:numFmt w:val="bullet"/>
      <w:lvlText w:val=""/>
      <w:lvlJc w:val="left"/>
      <w:pPr>
        <w:ind w:left="1523" w:hanging="181"/>
      </w:pPr>
      <w:rPr>
        <w:rFonts w:ascii="Symbol" w:eastAsia="Symbol" w:hAnsi="Symbol" w:cs="Symbol" w:hint="default"/>
        <w:b w:val="0"/>
        <w:bCs w:val="0"/>
        <w:i w:val="0"/>
        <w:iCs w:val="0"/>
        <w:w w:val="99"/>
        <w:sz w:val="22"/>
        <w:szCs w:val="22"/>
        <w:lang w:val="en-US" w:eastAsia="en-US" w:bidi="ar-SA"/>
      </w:rPr>
    </w:lvl>
    <w:lvl w:ilvl="3">
      <w:start w:val="0"/>
      <w:numFmt w:val="bullet"/>
      <w:lvlText w:val="•"/>
      <w:lvlJc w:val="left"/>
      <w:pPr>
        <w:ind w:left="2658" w:hanging="181"/>
      </w:pPr>
      <w:rPr>
        <w:rFonts w:hint="default"/>
        <w:lang w:val="en-US" w:eastAsia="en-US" w:bidi="ar-SA"/>
      </w:rPr>
    </w:lvl>
    <w:lvl w:ilvl="4">
      <w:start w:val="0"/>
      <w:numFmt w:val="bullet"/>
      <w:lvlText w:val="•"/>
      <w:lvlJc w:val="left"/>
      <w:pPr>
        <w:ind w:left="3793" w:hanging="181"/>
      </w:pPr>
      <w:rPr>
        <w:rFonts w:hint="default"/>
        <w:lang w:val="en-US" w:eastAsia="en-US" w:bidi="ar-SA"/>
      </w:rPr>
    </w:lvl>
    <w:lvl w:ilvl="5">
      <w:start w:val="0"/>
      <w:numFmt w:val="bullet"/>
      <w:lvlText w:val="•"/>
      <w:lvlJc w:val="left"/>
      <w:pPr>
        <w:ind w:left="4928" w:hanging="181"/>
      </w:pPr>
      <w:rPr>
        <w:rFonts w:hint="default"/>
        <w:lang w:val="en-US" w:eastAsia="en-US" w:bidi="ar-SA"/>
      </w:rPr>
    </w:lvl>
    <w:lvl w:ilvl="6">
      <w:start w:val="0"/>
      <w:numFmt w:val="bullet"/>
      <w:lvlText w:val="•"/>
      <w:lvlJc w:val="left"/>
      <w:pPr>
        <w:ind w:left="6063" w:hanging="181"/>
      </w:pPr>
      <w:rPr>
        <w:rFonts w:hint="default"/>
        <w:lang w:val="en-US" w:eastAsia="en-US" w:bidi="ar-SA"/>
      </w:rPr>
    </w:lvl>
    <w:lvl w:ilvl="7">
      <w:start w:val="0"/>
      <w:numFmt w:val="bullet"/>
      <w:lvlText w:val="•"/>
      <w:lvlJc w:val="left"/>
      <w:pPr>
        <w:ind w:left="7198" w:hanging="181"/>
      </w:pPr>
      <w:rPr>
        <w:rFonts w:hint="default"/>
        <w:lang w:val="en-US" w:eastAsia="en-US" w:bidi="ar-SA"/>
      </w:rPr>
    </w:lvl>
    <w:lvl w:ilvl="8">
      <w:start w:val="0"/>
      <w:numFmt w:val="bullet"/>
      <w:lvlText w:val="•"/>
      <w:lvlJc w:val="left"/>
      <w:pPr>
        <w:ind w:left="8333" w:hanging="181"/>
      </w:pPr>
      <w:rPr>
        <w:rFonts w:hint="default"/>
        <w:lang w:val="en-US" w:eastAsia="en-US" w:bidi="ar-SA"/>
      </w:rPr>
    </w:lvl>
  </w:abstractNum>
  <w:abstractNum w:abstractNumId="3">
    <w:nsid w:val="4332094B"/>
    <w:multiLevelType w:val="hybridMultilevel"/>
    <w:tmpl w:val="5854157A"/>
    <w:lvl w:ilvl="0">
      <w:start w:val="1"/>
      <w:numFmt w:val="decimal"/>
      <w:lvlText w:val="(%1)"/>
      <w:lvlJc w:val="left"/>
      <w:pPr>
        <w:ind w:left="1290" w:hanging="450"/>
      </w:pPr>
      <w:rPr>
        <w:rFonts w:ascii="Arial" w:eastAsia="Arial" w:hAnsi="Arial" w:cs="Arial" w:hint="default"/>
        <w:b w:val="0"/>
        <w:bCs w:val="0"/>
        <w:i w:val="0"/>
        <w:iCs w:val="0"/>
        <w:spacing w:val="-1"/>
        <w:w w:val="98"/>
        <w:sz w:val="22"/>
        <w:szCs w:val="22"/>
        <w:lang w:val="en-US" w:eastAsia="en-US" w:bidi="ar-SA"/>
      </w:rPr>
    </w:lvl>
    <w:lvl w:ilvl="1">
      <w:start w:val="0"/>
      <w:numFmt w:val="bullet"/>
      <w:lvlText w:val="•"/>
      <w:lvlJc w:val="left"/>
      <w:pPr>
        <w:ind w:left="2288" w:hanging="450"/>
      </w:pPr>
      <w:rPr>
        <w:rFonts w:hint="default"/>
        <w:lang w:val="en-US" w:eastAsia="en-US" w:bidi="ar-SA"/>
      </w:rPr>
    </w:lvl>
    <w:lvl w:ilvl="2">
      <w:start w:val="0"/>
      <w:numFmt w:val="bullet"/>
      <w:lvlText w:val="•"/>
      <w:lvlJc w:val="left"/>
      <w:pPr>
        <w:ind w:left="3276" w:hanging="450"/>
      </w:pPr>
      <w:rPr>
        <w:rFonts w:hint="default"/>
        <w:lang w:val="en-US" w:eastAsia="en-US" w:bidi="ar-SA"/>
      </w:rPr>
    </w:lvl>
    <w:lvl w:ilvl="3">
      <w:start w:val="0"/>
      <w:numFmt w:val="bullet"/>
      <w:lvlText w:val="•"/>
      <w:lvlJc w:val="left"/>
      <w:pPr>
        <w:ind w:left="4264" w:hanging="450"/>
      </w:pPr>
      <w:rPr>
        <w:rFonts w:hint="default"/>
        <w:lang w:val="en-US" w:eastAsia="en-US" w:bidi="ar-SA"/>
      </w:rPr>
    </w:lvl>
    <w:lvl w:ilvl="4">
      <w:start w:val="0"/>
      <w:numFmt w:val="bullet"/>
      <w:lvlText w:val="•"/>
      <w:lvlJc w:val="left"/>
      <w:pPr>
        <w:ind w:left="5252" w:hanging="450"/>
      </w:pPr>
      <w:rPr>
        <w:rFonts w:hint="default"/>
        <w:lang w:val="en-US" w:eastAsia="en-US" w:bidi="ar-SA"/>
      </w:rPr>
    </w:lvl>
    <w:lvl w:ilvl="5">
      <w:start w:val="0"/>
      <w:numFmt w:val="bullet"/>
      <w:lvlText w:val="•"/>
      <w:lvlJc w:val="left"/>
      <w:pPr>
        <w:ind w:left="6240" w:hanging="450"/>
      </w:pPr>
      <w:rPr>
        <w:rFonts w:hint="default"/>
        <w:lang w:val="en-US" w:eastAsia="en-US" w:bidi="ar-SA"/>
      </w:rPr>
    </w:lvl>
    <w:lvl w:ilvl="6">
      <w:start w:val="0"/>
      <w:numFmt w:val="bullet"/>
      <w:lvlText w:val="•"/>
      <w:lvlJc w:val="left"/>
      <w:pPr>
        <w:ind w:left="7228" w:hanging="450"/>
      </w:pPr>
      <w:rPr>
        <w:rFonts w:hint="default"/>
        <w:lang w:val="en-US" w:eastAsia="en-US" w:bidi="ar-SA"/>
      </w:rPr>
    </w:lvl>
    <w:lvl w:ilvl="7">
      <w:start w:val="0"/>
      <w:numFmt w:val="bullet"/>
      <w:lvlText w:val="•"/>
      <w:lvlJc w:val="left"/>
      <w:pPr>
        <w:ind w:left="8216" w:hanging="450"/>
      </w:pPr>
      <w:rPr>
        <w:rFonts w:hint="default"/>
        <w:lang w:val="en-US" w:eastAsia="en-US" w:bidi="ar-SA"/>
      </w:rPr>
    </w:lvl>
    <w:lvl w:ilvl="8">
      <w:start w:val="0"/>
      <w:numFmt w:val="bullet"/>
      <w:lvlText w:val="•"/>
      <w:lvlJc w:val="left"/>
      <w:pPr>
        <w:ind w:left="9204" w:hanging="450"/>
      </w:pPr>
      <w:rPr>
        <w:rFonts w:hint="default"/>
        <w:lang w:val="en-US" w:eastAsia="en-US" w:bidi="ar-SA"/>
      </w:rPr>
    </w:lvl>
  </w:abstractNum>
  <w:abstractNum w:abstractNumId="4">
    <w:nsid w:val="74E7257D"/>
    <w:multiLevelType w:val="hybridMultilevel"/>
    <w:tmpl w:val="D0167EF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55046225">
    <w:abstractNumId w:val="2"/>
  </w:num>
  <w:num w:numId="2" w16cid:durableId="1930307163">
    <w:abstractNumId w:val="3"/>
  </w:num>
  <w:num w:numId="3" w16cid:durableId="164981113">
    <w:abstractNumId w:val="0"/>
  </w:num>
  <w:num w:numId="4" w16cid:durableId="1478492813">
    <w:abstractNumId w:val="1"/>
  </w:num>
  <w:num w:numId="5" w16cid:durableId="1737819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9E"/>
    <w:rsid w:val="0000282A"/>
    <w:rsid w:val="00002C62"/>
    <w:rsid w:val="00005691"/>
    <w:rsid w:val="00005730"/>
    <w:rsid w:val="000074B9"/>
    <w:rsid w:val="00011C0E"/>
    <w:rsid w:val="00012D43"/>
    <w:rsid w:val="00013023"/>
    <w:rsid w:val="00015588"/>
    <w:rsid w:val="00023259"/>
    <w:rsid w:val="00024F78"/>
    <w:rsid w:val="000312CF"/>
    <w:rsid w:val="000321B5"/>
    <w:rsid w:val="000331C7"/>
    <w:rsid w:val="00040540"/>
    <w:rsid w:val="00042057"/>
    <w:rsid w:val="000525C2"/>
    <w:rsid w:val="00055C62"/>
    <w:rsid w:val="00066C66"/>
    <w:rsid w:val="00067219"/>
    <w:rsid w:val="00071044"/>
    <w:rsid w:val="00071359"/>
    <w:rsid w:val="000718A2"/>
    <w:rsid w:val="00071C77"/>
    <w:rsid w:val="00074F54"/>
    <w:rsid w:val="000848A4"/>
    <w:rsid w:val="0009111C"/>
    <w:rsid w:val="000922A9"/>
    <w:rsid w:val="0009231F"/>
    <w:rsid w:val="00095DAB"/>
    <w:rsid w:val="000A15DB"/>
    <w:rsid w:val="000A42AC"/>
    <w:rsid w:val="000B0864"/>
    <w:rsid w:val="000B47DA"/>
    <w:rsid w:val="000B62F6"/>
    <w:rsid w:val="000B7FC0"/>
    <w:rsid w:val="000C08DB"/>
    <w:rsid w:val="000C376E"/>
    <w:rsid w:val="000C3D3B"/>
    <w:rsid w:val="000D1BF9"/>
    <w:rsid w:val="000D1F4E"/>
    <w:rsid w:val="000D6B6B"/>
    <w:rsid w:val="000E21AD"/>
    <w:rsid w:val="000E33FB"/>
    <w:rsid w:val="000E5BDB"/>
    <w:rsid w:val="000F102C"/>
    <w:rsid w:val="000F3907"/>
    <w:rsid w:val="001006D8"/>
    <w:rsid w:val="001023EF"/>
    <w:rsid w:val="00110E25"/>
    <w:rsid w:val="0011128A"/>
    <w:rsid w:val="00111C28"/>
    <w:rsid w:val="00111FD8"/>
    <w:rsid w:val="00116EF5"/>
    <w:rsid w:val="00120FAC"/>
    <w:rsid w:val="00123FB4"/>
    <w:rsid w:val="001267CD"/>
    <w:rsid w:val="0012681F"/>
    <w:rsid w:val="00130812"/>
    <w:rsid w:val="00131295"/>
    <w:rsid w:val="0013556A"/>
    <w:rsid w:val="001375FD"/>
    <w:rsid w:val="00143B3C"/>
    <w:rsid w:val="001471C5"/>
    <w:rsid w:val="001500AE"/>
    <w:rsid w:val="001508E1"/>
    <w:rsid w:val="00151FBB"/>
    <w:rsid w:val="001567EC"/>
    <w:rsid w:val="001621D2"/>
    <w:rsid w:val="001625B4"/>
    <w:rsid w:val="001661F7"/>
    <w:rsid w:val="00166B6E"/>
    <w:rsid w:val="001716A2"/>
    <w:rsid w:val="001728FB"/>
    <w:rsid w:val="00181D6D"/>
    <w:rsid w:val="00191202"/>
    <w:rsid w:val="0019463D"/>
    <w:rsid w:val="00195102"/>
    <w:rsid w:val="001964A9"/>
    <w:rsid w:val="001A6E53"/>
    <w:rsid w:val="001A7C35"/>
    <w:rsid w:val="001B18FE"/>
    <w:rsid w:val="001B3029"/>
    <w:rsid w:val="001B6D8A"/>
    <w:rsid w:val="001B7BED"/>
    <w:rsid w:val="001C16DD"/>
    <w:rsid w:val="001C27B1"/>
    <w:rsid w:val="001C313D"/>
    <w:rsid w:val="001C4C1A"/>
    <w:rsid w:val="001C7B1E"/>
    <w:rsid w:val="001D7863"/>
    <w:rsid w:val="001E0B22"/>
    <w:rsid w:val="001E133B"/>
    <w:rsid w:val="001E32BD"/>
    <w:rsid w:val="001E3678"/>
    <w:rsid w:val="001F00A9"/>
    <w:rsid w:val="001F15DF"/>
    <w:rsid w:val="001F1E2E"/>
    <w:rsid w:val="001F246A"/>
    <w:rsid w:val="002018E2"/>
    <w:rsid w:val="00201B00"/>
    <w:rsid w:val="00203586"/>
    <w:rsid w:val="00207964"/>
    <w:rsid w:val="002108D6"/>
    <w:rsid w:val="00213408"/>
    <w:rsid w:val="00213562"/>
    <w:rsid w:val="00214860"/>
    <w:rsid w:val="00220E2F"/>
    <w:rsid w:val="00222521"/>
    <w:rsid w:val="00223A39"/>
    <w:rsid w:val="0022428D"/>
    <w:rsid w:val="0022545E"/>
    <w:rsid w:val="00227E6E"/>
    <w:rsid w:val="00230617"/>
    <w:rsid w:val="002330E4"/>
    <w:rsid w:val="0023414A"/>
    <w:rsid w:val="0023445C"/>
    <w:rsid w:val="002369A0"/>
    <w:rsid w:val="00237471"/>
    <w:rsid w:val="00241440"/>
    <w:rsid w:val="00241A39"/>
    <w:rsid w:val="00250694"/>
    <w:rsid w:val="00252014"/>
    <w:rsid w:val="00254D18"/>
    <w:rsid w:val="00255AEF"/>
    <w:rsid w:val="00257C9A"/>
    <w:rsid w:val="00260697"/>
    <w:rsid w:val="002606E0"/>
    <w:rsid w:val="00261649"/>
    <w:rsid w:val="002635DC"/>
    <w:rsid w:val="002640BD"/>
    <w:rsid w:val="002706AB"/>
    <w:rsid w:val="0027502B"/>
    <w:rsid w:val="00284319"/>
    <w:rsid w:val="00287628"/>
    <w:rsid w:val="00287B5E"/>
    <w:rsid w:val="002929A5"/>
    <w:rsid w:val="00294387"/>
    <w:rsid w:val="00295EFB"/>
    <w:rsid w:val="00297231"/>
    <w:rsid w:val="002A21BC"/>
    <w:rsid w:val="002A21FD"/>
    <w:rsid w:val="002A27E3"/>
    <w:rsid w:val="002A6323"/>
    <w:rsid w:val="002B172B"/>
    <w:rsid w:val="002B37B3"/>
    <w:rsid w:val="002B49DA"/>
    <w:rsid w:val="002B7948"/>
    <w:rsid w:val="002B7CA3"/>
    <w:rsid w:val="002C171A"/>
    <w:rsid w:val="002C2BCE"/>
    <w:rsid w:val="002C4A53"/>
    <w:rsid w:val="002C5F33"/>
    <w:rsid w:val="002C64D9"/>
    <w:rsid w:val="002D4024"/>
    <w:rsid w:val="002D456C"/>
    <w:rsid w:val="002E5E19"/>
    <w:rsid w:val="002F544D"/>
    <w:rsid w:val="002F5E5A"/>
    <w:rsid w:val="002F6071"/>
    <w:rsid w:val="002F7BBB"/>
    <w:rsid w:val="003030F0"/>
    <w:rsid w:val="00303949"/>
    <w:rsid w:val="00305FEF"/>
    <w:rsid w:val="00310E26"/>
    <w:rsid w:val="003114C0"/>
    <w:rsid w:val="00312E9A"/>
    <w:rsid w:val="00313F63"/>
    <w:rsid w:val="003148B1"/>
    <w:rsid w:val="00317BDD"/>
    <w:rsid w:val="0032120C"/>
    <w:rsid w:val="00334713"/>
    <w:rsid w:val="00337A9E"/>
    <w:rsid w:val="0034230E"/>
    <w:rsid w:val="00342347"/>
    <w:rsid w:val="0034264B"/>
    <w:rsid w:val="00347E68"/>
    <w:rsid w:val="003528F3"/>
    <w:rsid w:val="003549A6"/>
    <w:rsid w:val="00356055"/>
    <w:rsid w:val="0035764B"/>
    <w:rsid w:val="00360D5C"/>
    <w:rsid w:val="00360FFC"/>
    <w:rsid w:val="0036120D"/>
    <w:rsid w:val="00363929"/>
    <w:rsid w:val="003642EB"/>
    <w:rsid w:val="00371232"/>
    <w:rsid w:val="003729D5"/>
    <w:rsid w:val="00375047"/>
    <w:rsid w:val="003770AC"/>
    <w:rsid w:val="003770F2"/>
    <w:rsid w:val="00380014"/>
    <w:rsid w:val="003849A1"/>
    <w:rsid w:val="00385312"/>
    <w:rsid w:val="00385480"/>
    <w:rsid w:val="00386FF8"/>
    <w:rsid w:val="003877BD"/>
    <w:rsid w:val="00391764"/>
    <w:rsid w:val="00394435"/>
    <w:rsid w:val="00396D27"/>
    <w:rsid w:val="003A01ED"/>
    <w:rsid w:val="003A0B90"/>
    <w:rsid w:val="003A2D6E"/>
    <w:rsid w:val="003A6989"/>
    <w:rsid w:val="003B0E88"/>
    <w:rsid w:val="003B1258"/>
    <w:rsid w:val="003B1457"/>
    <w:rsid w:val="003B5A51"/>
    <w:rsid w:val="003B6B0B"/>
    <w:rsid w:val="003C115E"/>
    <w:rsid w:val="003C1AA9"/>
    <w:rsid w:val="003C2B8D"/>
    <w:rsid w:val="003C328B"/>
    <w:rsid w:val="003C5C0E"/>
    <w:rsid w:val="003C67CA"/>
    <w:rsid w:val="003D162D"/>
    <w:rsid w:val="003D4D01"/>
    <w:rsid w:val="003D63CF"/>
    <w:rsid w:val="003D799B"/>
    <w:rsid w:val="003E1E91"/>
    <w:rsid w:val="003E5091"/>
    <w:rsid w:val="003E54B6"/>
    <w:rsid w:val="003E623A"/>
    <w:rsid w:val="003E643C"/>
    <w:rsid w:val="003F6097"/>
    <w:rsid w:val="003F6686"/>
    <w:rsid w:val="003F72D4"/>
    <w:rsid w:val="00406CCF"/>
    <w:rsid w:val="0041586D"/>
    <w:rsid w:val="004239CB"/>
    <w:rsid w:val="0042561F"/>
    <w:rsid w:val="004310E7"/>
    <w:rsid w:val="00431A49"/>
    <w:rsid w:val="00433C19"/>
    <w:rsid w:val="00437D92"/>
    <w:rsid w:val="004408CD"/>
    <w:rsid w:val="00444221"/>
    <w:rsid w:val="004525DE"/>
    <w:rsid w:val="004554B4"/>
    <w:rsid w:val="00455C47"/>
    <w:rsid w:val="004568BA"/>
    <w:rsid w:val="0046049C"/>
    <w:rsid w:val="004610F1"/>
    <w:rsid w:val="00462546"/>
    <w:rsid w:val="00466ADE"/>
    <w:rsid w:val="0047114D"/>
    <w:rsid w:val="00472444"/>
    <w:rsid w:val="00474579"/>
    <w:rsid w:val="00476264"/>
    <w:rsid w:val="00477698"/>
    <w:rsid w:val="00481998"/>
    <w:rsid w:val="00481FED"/>
    <w:rsid w:val="00484F0C"/>
    <w:rsid w:val="00486F52"/>
    <w:rsid w:val="0049051A"/>
    <w:rsid w:val="004905B5"/>
    <w:rsid w:val="0049406B"/>
    <w:rsid w:val="00496BD5"/>
    <w:rsid w:val="004A3B43"/>
    <w:rsid w:val="004A3F89"/>
    <w:rsid w:val="004A6980"/>
    <w:rsid w:val="004A7BBA"/>
    <w:rsid w:val="004B14C5"/>
    <w:rsid w:val="004B152E"/>
    <w:rsid w:val="004B1B25"/>
    <w:rsid w:val="004B404C"/>
    <w:rsid w:val="004B4398"/>
    <w:rsid w:val="004B4D20"/>
    <w:rsid w:val="004B6BEB"/>
    <w:rsid w:val="004C177E"/>
    <w:rsid w:val="004C3BE1"/>
    <w:rsid w:val="004C45E4"/>
    <w:rsid w:val="004C652A"/>
    <w:rsid w:val="004C6D99"/>
    <w:rsid w:val="004D02B9"/>
    <w:rsid w:val="004D2718"/>
    <w:rsid w:val="004D45BE"/>
    <w:rsid w:val="004E29EA"/>
    <w:rsid w:val="004E2E92"/>
    <w:rsid w:val="004E4C80"/>
    <w:rsid w:val="004F22D7"/>
    <w:rsid w:val="004F39F2"/>
    <w:rsid w:val="004F43DD"/>
    <w:rsid w:val="004F6108"/>
    <w:rsid w:val="004F7826"/>
    <w:rsid w:val="00504583"/>
    <w:rsid w:val="00505B2A"/>
    <w:rsid w:val="00513A56"/>
    <w:rsid w:val="00514E5E"/>
    <w:rsid w:val="005157CE"/>
    <w:rsid w:val="00516967"/>
    <w:rsid w:val="00522116"/>
    <w:rsid w:val="0052393F"/>
    <w:rsid w:val="00525BF8"/>
    <w:rsid w:val="00526171"/>
    <w:rsid w:val="005271A5"/>
    <w:rsid w:val="00527CCD"/>
    <w:rsid w:val="00533358"/>
    <w:rsid w:val="00540575"/>
    <w:rsid w:val="00544DB3"/>
    <w:rsid w:val="005455A5"/>
    <w:rsid w:val="00545C2C"/>
    <w:rsid w:val="005460AE"/>
    <w:rsid w:val="00546279"/>
    <w:rsid w:val="00547FE2"/>
    <w:rsid w:val="00557846"/>
    <w:rsid w:val="00560B8F"/>
    <w:rsid w:val="00562E2B"/>
    <w:rsid w:val="0056305A"/>
    <w:rsid w:val="00570120"/>
    <w:rsid w:val="0058207F"/>
    <w:rsid w:val="005823C9"/>
    <w:rsid w:val="00584148"/>
    <w:rsid w:val="005929E8"/>
    <w:rsid w:val="00592D6C"/>
    <w:rsid w:val="00597002"/>
    <w:rsid w:val="00597A7E"/>
    <w:rsid w:val="005A296C"/>
    <w:rsid w:val="005A4664"/>
    <w:rsid w:val="005A63AE"/>
    <w:rsid w:val="005A64B4"/>
    <w:rsid w:val="005A75BE"/>
    <w:rsid w:val="005B02B2"/>
    <w:rsid w:val="005B19B9"/>
    <w:rsid w:val="005B19D0"/>
    <w:rsid w:val="005B27D9"/>
    <w:rsid w:val="005B5CFF"/>
    <w:rsid w:val="005B7A55"/>
    <w:rsid w:val="005C1BD4"/>
    <w:rsid w:val="005C68BC"/>
    <w:rsid w:val="005C7588"/>
    <w:rsid w:val="005C77C1"/>
    <w:rsid w:val="005C77FE"/>
    <w:rsid w:val="005C7BE3"/>
    <w:rsid w:val="005D05B0"/>
    <w:rsid w:val="005D182D"/>
    <w:rsid w:val="005D22F5"/>
    <w:rsid w:val="005D7817"/>
    <w:rsid w:val="005E0C39"/>
    <w:rsid w:val="005E279C"/>
    <w:rsid w:val="005E51C7"/>
    <w:rsid w:val="005F1A91"/>
    <w:rsid w:val="005F575C"/>
    <w:rsid w:val="005F79E6"/>
    <w:rsid w:val="00606828"/>
    <w:rsid w:val="00611C3B"/>
    <w:rsid w:val="00612268"/>
    <w:rsid w:val="00613965"/>
    <w:rsid w:val="00614C88"/>
    <w:rsid w:val="006209CE"/>
    <w:rsid w:val="00623C14"/>
    <w:rsid w:val="0062589D"/>
    <w:rsid w:val="00626C2E"/>
    <w:rsid w:val="006272A1"/>
    <w:rsid w:val="00627314"/>
    <w:rsid w:val="006279B9"/>
    <w:rsid w:val="00627B16"/>
    <w:rsid w:val="00630198"/>
    <w:rsid w:val="00630C61"/>
    <w:rsid w:val="006313EE"/>
    <w:rsid w:val="006329B9"/>
    <w:rsid w:val="00633C9C"/>
    <w:rsid w:val="006407B2"/>
    <w:rsid w:val="00642127"/>
    <w:rsid w:val="00646795"/>
    <w:rsid w:val="006471B8"/>
    <w:rsid w:val="006475AE"/>
    <w:rsid w:val="006535AC"/>
    <w:rsid w:val="006573EE"/>
    <w:rsid w:val="00660498"/>
    <w:rsid w:val="006700E0"/>
    <w:rsid w:val="006709F6"/>
    <w:rsid w:val="00670BB1"/>
    <w:rsid w:val="0067109B"/>
    <w:rsid w:val="0067201F"/>
    <w:rsid w:val="00673D3A"/>
    <w:rsid w:val="00676920"/>
    <w:rsid w:val="00676F5B"/>
    <w:rsid w:val="00680CB0"/>
    <w:rsid w:val="00682EFF"/>
    <w:rsid w:val="00684CC0"/>
    <w:rsid w:val="006861EC"/>
    <w:rsid w:val="00686844"/>
    <w:rsid w:val="006879E6"/>
    <w:rsid w:val="0069350C"/>
    <w:rsid w:val="00694329"/>
    <w:rsid w:val="006948A6"/>
    <w:rsid w:val="00696BE7"/>
    <w:rsid w:val="00697F88"/>
    <w:rsid w:val="006A0EF4"/>
    <w:rsid w:val="006A15FF"/>
    <w:rsid w:val="006A1788"/>
    <w:rsid w:val="006A410D"/>
    <w:rsid w:val="006A41DA"/>
    <w:rsid w:val="006A50EF"/>
    <w:rsid w:val="006A600D"/>
    <w:rsid w:val="006A6D9D"/>
    <w:rsid w:val="006B081A"/>
    <w:rsid w:val="006B1D04"/>
    <w:rsid w:val="006B2090"/>
    <w:rsid w:val="006B3F6F"/>
    <w:rsid w:val="006B4526"/>
    <w:rsid w:val="006B5A36"/>
    <w:rsid w:val="006B70BE"/>
    <w:rsid w:val="006C2B7C"/>
    <w:rsid w:val="006C6A9A"/>
    <w:rsid w:val="006D0786"/>
    <w:rsid w:val="006D1C9C"/>
    <w:rsid w:val="006D2BA1"/>
    <w:rsid w:val="006D39FE"/>
    <w:rsid w:val="006D4CC8"/>
    <w:rsid w:val="006D62B5"/>
    <w:rsid w:val="006E2F6F"/>
    <w:rsid w:val="006E6E87"/>
    <w:rsid w:val="006F3B33"/>
    <w:rsid w:val="006F463D"/>
    <w:rsid w:val="006F517D"/>
    <w:rsid w:val="006F6A75"/>
    <w:rsid w:val="006F72D5"/>
    <w:rsid w:val="00704EFD"/>
    <w:rsid w:val="00705E07"/>
    <w:rsid w:val="0070635E"/>
    <w:rsid w:val="0070722B"/>
    <w:rsid w:val="007113F8"/>
    <w:rsid w:val="007140E5"/>
    <w:rsid w:val="00715C29"/>
    <w:rsid w:val="007162BF"/>
    <w:rsid w:val="00716358"/>
    <w:rsid w:val="00717124"/>
    <w:rsid w:val="007200CA"/>
    <w:rsid w:val="0072088F"/>
    <w:rsid w:val="007211EA"/>
    <w:rsid w:val="00722C64"/>
    <w:rsid w:val="00724215"/>
    <w:rsid w:val="00727F0D"/>
    <w:rsid w:val="007302CC"/>
    <w:rsid w:val="00732D6E"/>
    <w:rsid w:val="007357AF"/>
    <w:rsid w:val="00735ED1"/>
    <w:rsid w:val="007360B7"/>
    <w:rsid w:val="0073799A"/>
    <w:rsid w:val="00743121"/>
    <w:rsid w:val="00745B3D"/>
    <w:rsid w:val="00747B64"/>
    <w:rsid w:val="007511E5"/>
    <w:rsid w:val="007559C5"/>
    <w:rsid w:val="00756359"/>
    <w:rsid w:val="00756845"/>
    <w:rsid w:val="00760A8F"/>
    <w:rsid w:val="0076143E"/>
    <w:rsid w:val="00761D3C"/>
    <w:rsid w:val="0076345D"/>
    <w:rsid w:val="00766DBC"/>
    <w:rsid w:val="00766E10"/>
    <w:rsid w:val="00767925"/>
    <w:rsid w:val="00774453"/>
    <w:rsid w:val="00775040"/>
    <w:rsid w:val="00776676"/>
    <w:rsid w:val="007778F0"/>
    <w:rsid w:val="007812A8"/>
    <w:rsid w:val="00781CFE"/>
    <w:rsid w:val="00783279"/>
    <w:rsid w:val="007832A5"/>
    <w:rsid w:val="00783EBE"/>
    <w:rsid w:val="00784858"/>
    <w:rsid w:val="00791DAB"/>
    <w:rsid w:val="0079353F"/>
    <w:rsid w:val="00794966"/>
    <w:rsid w:val="00795152"/>
    <w:rsid w:val="00796505"/>
    <w:rsid w:val="007A04A6"/>
    <w:rsid w:val="007A09E7"/>
    <w:rsid w:val="007A161D"/>
    <w:rsid w:val="007A3DB3"/>
    <w:rsid w:val="007A7C6F"/>
    <w:rsid w:val="007B00C0"/>
    <w:rsid w:val="007B30BB"/>
    <w:rsid w:val="007B563B"/>
    <w:rsid w:val="007B6A72"/>
    <w:rsid w:val="007B7968"/>
    <w:rsid w:val="007C387D"/>
    <w:rsid w:val="007C6F92"/>
    <w:rsid w:val="007D08C2"/>
    <w:rsid w:val="007D1484"/>
    <w:rsid w:val="007D1959"/>
    <w:rsid w:val="007D7052"/>
    <w:rsid w:val="007D765A"/>
    <w:rsid w:val="007D7B42"/>
    <w:rsid w:val="007E1AFA"/>
    <w:rsid w:val="007E20BF"/>
    <w:rsid w:val="007E435A"/>
    <w:rsid w:val="007E6D2F"/>
    <w:rsid w:val="007E6FE0"/>
    <w:rsid w:val="007F2733"/>
    <w:rsid w:val="007F3BC5"/>
    <w:rsid w:val="007F3EFA"/>
    <w:rsid w:val="007F42AD"/>
    <w:rsid w:val="007F7865"/>
    <w:rsid w:val="00800245"/>
    <w:rsid w:val="00805D4F"/>
    <w:rsid w:val="00806E65"/>
    <w:rsid w:val="00810E16"/>
    <w:rsid w:val="008137A9"/>
    <w:rsid w:val="00813DB9"/>
    <w:rsid w:val="008245BF"/>
    <w:rsid w:val="008356BA"/>
    <w:rsid w:val="0084162F"/>
    <w:rsid w:val="00850313"/>
    <w:rsid w:val="00852DE2"/>
    <w:rsid w:val="00853966"/>
    <w:rsid w:val="00855770"/>
    <w:rsid w:val="00863873"/>
    <w:rsid w:val="00864B18"/>
    <w:rsid w:val="00865501"/>
    <w:rsid w:val="00871005"/>
    <w:rsid w:val="008716E3"/>
    <w:rsid w:val="00872690"/>
    <w:rsid w:val="00873922"/>
    <w:rsid w:val="00881755"/>
    <w:rsid w:val="0088305F"/>
    <w:rsid w:val="00883DD8"/>
    <w:rsid w:val="0088603F"/>
    <w:rsid w:val="00886CF5"/>
    <w:rsid w:val="00887270"/>
    <w:rsid w:val="0089161D"/>
    <w:rsid w:val="00894CB3"/>
    <w:rsid w:val="0089636A"/>
    <w:rsid w:val="008A15C1"/>
    <w:rsid w:val="008A2233"/>
    <w:rsid w:val="008A2B6B"/>
    <w:rsid w:val="008A2E60"/>
    <w:rsid w:val="008A3EC4"/>
    <w:rsid w:val="008A3FE0"/>
    <w:rsid w:val="008A712E"/>
    <w:rsid w:val="008A777D"/>
    <w:rsid w:val="008B0C90"/>
    <w:rsid w:val="008B1EAA"/>
    <w:rsid w:val="008B74FF"/>
    <w:rsid w:val="008C0249"/>
    <w:rsid w:val="008C152C"/>
    <w:rsid w:val="008C222C"/>
    <w:rsid w:val="008C4277"/>
    <w:rsid w:val="008C5863"/>
    <w:rsid w:val="008C7310"/>
    <w:rsid w:val="008D0C0D"/>
    <w:rsid w:val="008D129C"/>
    <w:rsid w:val="008D1B2A"/>
    <w:rsid w:val="008D5AF9"/>
    <w:rsid w:val="008E1187"/>
    <w:rsid w:val="008E2E40"/>
    <w:rsid w:val="008E309B"/>
    <w:rsid w:val="008E3C41"/>
    <w:rsid w:val="008E4993"/>
    <w:rsid w:val="008E57A9"/>
    <w:rsid w:val="008E7DDB"/>
    <w:rsid w:val="008F0312"/>
    <w:rsid w:val="008F203A"/>
    <w:rsid w:val="008F4299"/>
    <w:rsid w:val="008F574D"/>
    <w:rsid w:val="00905BF2"/>
    <w:rsid w:val="00905D46"/>
    <w:rsid w:val="00911F21"/>
    <w:rsid w:val="009128DE"/>
    <w:rsid w:val="00912C3B"/>
    <w:rsid w:val="00914F5A"/>
    <w:rsid w:val="00920B1D"/>
    <w:rsid w:val="00920DF4"/>
    <w:rsid w:val="009261AA"/>
    <w:rsid w:val="00926532"/>
    <w:rsid w:val="009267D5"/>
    <w:rsid w:val="00926D9B"/>
    <w:rsid w:val="009306FA"/>
    <w:rsid w:val="00930FEC"/>
    <w:rsid w:val="009363E9"/>
    <w:rsid w:val="009368B2"/>
    <w:rsid w:val="00936E7D"/>
    <w:rsid w:val="00937896"/>
    <w:rsid w:val="009403D9"/>
    <w:rsid w:val="009434BB"/>
    <w:rsid w:val="0094417E"/>
    <w:rsid w:val="009442B5"/>
    <w:rsid w:val="0094436F"/>
    <w:rsid w:val="00944A87"/>
    <w:rsid w:val="00945456"/>
    <w:rsid w:val="009504F1"/>
    <w:rsid w:val="00950549"/>
    <w:rsid w:val="0095106F"/>
    <w:rsid w:val="00951C5D"/>
    <w:rsid w:val="00952033"/>
    <w:rsid w:val="009539C0"/>
    <w:rsid w:val="00961355"/>
    <w:rsid w:val="00962241"/>
    <w:rsid w:val="00963C17"/>
    <w:rsid w:val="00964EC6"/>
    <w:rsid w:val="00965236"/>
    <w:rsid w:val="009674FB"/>
    <w:rsid w:val="00971BEE"/>
    <w:rsid w:val="00972323"/>
    <w:rsid w:val="00974555"/>
    <w:rsid w:val="009745C1"/>
    <w:rsid w:val="00975246"/>
    <w:rsid w:val="00982D5B"/>
    <w:rsid w:val="009839BE"/>
    <w:rsid w:val="00983BB2"/>
    <w:rsid w:val="0098459C"/>
    <w:rsid w:val="00984BC1"/>
    <w:rsid w:val="00985C6F"/>
    <w:rsid w:val="00986CEE"/>
    <w:rsid w:val="009A35CE"/>
    <w:rsid w:val="009A4702"/>
    <w:rsid w:val="009B0073"/>
    <w:rsid w:val="009B16FF"/>
    <w:rsid w:val="009B32B3"/>
    <w:rsid w:val="009B3A39"/>
    <w:rsid w:val="009B47B1"/>
    <w:rsid w:val="009B56A8"/>
    <w:rsid w:val="009B5763"/>
    <w:rsid w:val="009C3F78"/>
    <w:rsid w:val="009C4E32"/>
    <w:rsid w:val="009C5EB5"/>
    <w:rsid w:val="009C7346"/>
    <w:rsid w:val="009D69A7"/>
    <w:rsid w:val="009E1737"/>
    <w:rsid w:val="009E27B7"/>
    <w:rsid w:val="009E4247"/>
    <w:rsid w:val="009E7CC1"/>
    <w:rsid w:val="009F3A15"/>
    <w:rsid w:val="009F441D"/>
    <w:rsid w:val="00A00C23"/>
    <w:rsid w:val="00A00F5D"/>
    <w:rsid w:val="00A01E79"/>
    <w:rsid w:val="00A02FBB"/>
    <w:rsid w:val="00A103B3"/>
    <w:rsid w:val="00A117AF"/>
    <w:rsid w:val="00A11FA2"/>
    <w:rsid w:val="00A12152"/>
    <w:rsid w:val="00A143ED"/>
    <w:rsid w:val="00A14AA1"/>
    <w:rsid w:val="00A15CF9"/>
    <w:rsid w:val="00A16D1F"/>
    <w:rsid w:val="00A2011A"/>
    <w:rsid w:val="00A21D87"/>
    <w:rsid w:val="00A22A5D"/>
    <w:rsid w:val="00A2326F"/>
    <w:rsid w:val="00A25553"/>
    <w:rsid w:val="00A25C28"/>
    <w:rsid w:val="00A2641B"/>
    <w:rsid w:val="00A27FBF"/>
    <w:rsid w:val="00A307BD"/>
    <w:rsid w:val="00A31997"/>
    <w:rsid w:val="00A326BD"/>
    <w:rsid w:val="00A35C50"/>
    <w:rsid w:val="00A378AA"/>
    <w:rsid w:val="00A42F94"/>
    <w:rsid w:val="00A438F1"/>
    <w:rsid w:val="00A45490"/>
    <w:rsid w:val="00A46F6E"/>
    <w:rsid w:val="00A541FC"/>
    <w:rsid w:val="00A54F39"/>
    <w:rsid w:val="00A55010"/>
    <w:rsid w:val="00A57B2D"/>
    <w:rsid w:val="00A6131B"/>
    <w:rsid w:val="00A621D1"/>
    <w:rsid w:val="00A64A62"/>
    <w:rsid w:val="00A65231"/>
    <w:rsid w:val="00A652A5"/>
    <w:rsid w:val="00A66877"/>
    <w:rsid w:val="00A674D1"/>
    <w:rsid w:val="00A72DD6"/>
    <w:rsid w:val="00A732AE"/>
    <w:rsid w:val="00A732D0"/>
    <w:rsid w:val="00A73658"/>
    <w:rsid w:val="00A76AEF"/>
    <w:rsid w:val="00A801AE"/>
    <w:rsid w:val="00A80305"/>
    <w:rsid w:val="00A81ED3"/>
    <w:rsid w:val="00A8300E"/>
    <w:rsid w:val="00A9334C"/>
    <w:rsid w:val="00A93420"/>
    <w:rsid w:val="00A937E0"/>
    <w:rsid w:val="00A93CF7"/>
    <w:rsid w:val="00A94DF4"/>
    <w:rsid w:val="00A9709F"/>
    <w:rsid w:val="00A978CA"/>
    <w:rsid w:val="00A97AD6"/>
    <w:rsid w:val="00AA1022"/>
    <w:rsid w:val="00AA5AED"/>
    <w:rsid w:val="00AA62B3"/>
    <w:rsid w:val="00AB2758"/>
    <w:rsid w:val="00AB630C"/>
    <w:rsid w:val="00AC09A5"/>
    <w:rsid w:val="00AC0BEB"/>
    <w:rsid w:val="00AC5C9B"/>
    <w:rsid w:val="00AD0454"/>
    <w:rsid w:val="00AD2823"/>
    <w:rsid w:val="00AD2948"/>
    <w:rsid w:val="00AD5817"/>
    <w:rsid w:val="00AD61B4"/>
    <w:rsid w:val="00AE108C"/>
    <w:rsid w:val="00AE2067"/>
    <w:rsid w:val="00AE469E"/>
    <w:rsid w:val="00AE5C6B"/>
    <w:rsid w:val="00AE5DC9"/>
    <w:rsid w:val="00AE6E21"/>
    <w:rsid w:val="00AF35D3"/>
    <w:rsid w:val="00AF5263"/>
    <w:rsid w:val="00B021A7"/>
    <w:rsid w:val="00B032BD"/>
    <w:rsid w:val="00B052EA"/>
    <w:rsid w:val="00B12EA8"/>
    <w:rsid w:val="00B1425F"/>
    <w:rsid w:val="00B20D9E"/>
    <w:rsid w:val="00B23164"/>
    <w:rsid w:val="00B248AC"/>
    <w:rsid w:val="00B25D43"/>
    <w:rsid w:val="00B32F15"/>
    <w:rsid w:val="00B36B18"/>
    <w:rsid w:val="00B37486"/>
    <w:rsid w:val="00B428E1"/>
    <w:rsid w:val="00B4299C"/>
    <w:rsid w:val="00B4439A"/>
    <w:rsid w:val="00B44B37"/>
    <w:rsid w:val="00B46467"/>
    <w:rsid w:val="00B52900"/>
    <w:rsid w:val="00B52FB5"/>
    <w:rsid w:val="00B647B4"/>
    <w:rsid w:val="00B70AE9"/>
    <w:rsid w:val="00B74BA5"/>
    <w:rsid w:val="00B752FC"/>
    <w:rsid w:val="00B77253"/>
    <w:rsid w:val="00B804D7"/>
    <w:rsid w:val="00B81536"/>
    <w:rsid w:val="00B82880"/>
    <w:rsid w:val="00B82FD6"/>
    <w:rsid w:val="00B901D2"/>
    <w:rsid w:val="00B90243"/>
    <w:rsid w:val="00B92B67"/>
    <w:rsid w:val="00B953ED"/>
    <w:rsid w:val="00B96553"/>
    <w:rsid w:val="00BA05ED"/>
    <w:rsid w:val="00BA1DFC"/>
    <w:rsid w:val="00BA2014"/>
    <w:rsid w:val="00BA2C6C"/>
    <w:rsid w:val="00BA660D"/>
    <w:rsid w:val="00BB29CD"/>
    <w:rsid w:val="00BB4B03"/>
    <w:rsid w:val="00BB4D59"/>
    <w:rsid w:val="00BB56B2"/>
    <w:rsid w:val="00BC0805"/>
    <w:rsid w:val="00BC0F54"/>
    <w:rsid w:val="00BC134F"/>
    <w:rsid w:val="00BC2286"/>
    <w:rsid w:val="00BC3D54"/>
    <w:rsid w:val="00BC7D00"/>
    <w:rsid w:val="00BD06CA"/>
    <w:rsid w:val="00BD2F10"/>
    <w:rsid w:val="00BD2FF2"/>
    <w:rsid w:val="00BD441D"/>
    <w:rsid w:val="00BD60A8"/>
    <w:rsid w:val="00BD7B59"/>
    <w:rsid w:val="00BE19B7"/>
    <w:rsid w:val="00BF0697"/>
    <w:rsid w:val="00BF2094"/>
    <w:rsid w:val="00BF2E51"/>
    <w:rsid w:val="00BF516F"/>
    <w:rsid w:val="00BF737F"/>
    <w:rsid w:val="00C003A9"/>
    <w:rsid w:val="00C01B18"/>
    <w:rsid w:val="00C13FEE"/>
    <w:rsid w:val="00C16BF8"/>
    <w:rsid w:val="00C232C9"/>
    <w:rsid w:val="00C2491C"/>
    <w:rsid w:val="00C25181"/>
    <w:rsid w:val="00C26C42"/>
    <w:rsid w:val="00C27FA8"/>
    <w:rsid w:val="00C32C6D"/>
    <w:rsid w:val="00C32FFB"/>
    <w:rsid w:val="00C33F74"/>
    <w:rsid w:val="00C36418"/>
    <w:rsid w:val="00C4317E"/>
    <w:rsid w:val="00C438AF"/>
    <w:rsid w:val="00C44323"/>
    <w:rsid w:val="00C50047"/>
    <w:rsid w:val="00C57914"/>
    <w:rsid w:val="00C61C89"/>
    <w:rsid w:val="00C63BBA"/>
    <w:rsid w:val="00C64EE7"/>
    <w:rsid w:val="00C65FCF"/>
    <w:rsid w:val="00C67BBB"/>
    <w:rsid w:val="00C72B8C"/>
    <w:rsid w:val="00C73A51"/>
    <w:rsid w:val="00C74C74"/>
    <w:rsid w:val="00C80691"/>
    <w:rsid w:val="00C82601"/>
    <w:rsid w:val="00C8404B"/>
    <w:rsid w:val="00C84559"/>
    <w:rsid w:val="00C87571"/>
    <w:rsid w:val="00C87C83"/>
    <w:rsid w:val="00C9239D"/>
    <w:rsid w:val="00C9280E"/>
    <w:rsid w:val="00C92E79"/>
    <w:rsid w:val="00CA0867"/>
    <w:rsid w:val="00CA2B8A"/>
    <w:rsid w:val="00CB0CBB"/>
    <w:rsid w:val="00CB4C28"/>
    <w:rsid w:val="00CC3981"/>
    <w:rsid w:val="00CC43D0"/>
    <w:rsid w:val="00CC5A22"/>
    <w:rsid w:val="00CC7FDB"/>
    <w:rsid w:val="00CD1017"/>
    <w:rsid w:val="00CD48E4"/>
    <w:rsid w:val="00CD5947"/>
    <w:rsid w:val="00CD6197"/>
    <w:rsid w:val="00CD6805"/>
    <w:rsid w:val="00CD6BCF"/>
    <w:rsid w:val="00CD7B73"/>
    <w:rsid w:val="00CE165D"/>
    <w:rsid w:val="00CE16E9"/>
    <w:rsid w:val="00CE1ED5"/>
    <w:rsid w:val="00CE34BE"/>
    <w:rsid w:val="00CE36E9"/>
    <w:rsid w:val="00CE61E0"/>
    <w:rsid w:val="00CF0F35"/>
    <w:rsid w:val="00CF2DB1"/>
    <w:rsid w:val="00CF45E7"/>
    <w:rsid w:val="00CF50D9"/>
    <w:rsid w:val="00CF67D7"/>
    <w:rsid w:val="00D02DD5"/>
    <w:rsid w:val="00D06966"/>
    <w:rsid w:val="00D07589"/>
    <w:rsid w:val="00D07DE3"/>
    <w:rsid w:val="00D171A4"/>
    <w:rsid w:val="00D2020B"/>
    <w:rsid w:val="00D23978"/>
    <w:rsid w:val="00D36555"/>
    <w:rsid w:val="00D3719E"/>
    <w:rsid w:val="00D37D94"/>
    <w:rsid w:val="00D4518B"/>
    <w:rsid w:val="00D51DE6"/>
    <w:rsid w:val="00D532EE"/>
    <w:rsid w:val="00D548B5"/>
    <w:rsid w:val="00D56BA1"/>
    <w:rsid w:val="00D5791E"/>
    <w:rsid w:val="00D57CB6"/>
    <w:rsid w:val="00D62808"/>
    <w:rsid w:val="00D63E23"/>
    <w:rsid w:val="00D64551"/>
    <w:rsid w:val="00D6590D"/>
    <w:rsid w:val="00D67F37"/>
    <w:rsid w:val="00D71F8E"/>
    <w:rsid w:val="00D72158"/>
    <w:rsid w:val="00D74658"/>
    <w:rsid w:val="00D76209"/>
    <w:rsid w:val="00D774FC"/>
    <w:rsid w:val="00D77525"/>
    <w:rsid w:val="00D83EC0"/>
    <w:rsid w:val="00D94A9D"/>
    <w:rsid w:val="00D96953"/>
    <w:rsid w:val="00DA73D4"/>
    <w:rsid w:val="00DB0AC1"/>
    <w:rsid w:val="00DB1649"/>
    <w:rsid w:val="00DB1D62"/>
    <w:rsid w:val="00DB3600"/>
    <w:rsid w:val="00DB578D"/>
    <w:rsid w:val="00DC0BFD"/>
    <w:rsid w:val="00DC17AE"/>
    <w:rsid w:val="00DC206D"/>
    <w:rsid w:val="00DC55EC"/>
    <w:rsid w:val="00DD0E4D"/>
    <w:rsid w:val="00DE2982"/>
    <w:rsid w:val="00DE6C91"/>
    <w:rsid w:val="00DE72C9"/>
    <w:rsid w:val="00DF0C2A"/>
    <w:rsid w:val="00DF19C7"/>
    <w:rsid w:val="00DF1D71"/>
    <w:rsid w:val="00DF298D"/>
    <w:rsid w:val="00DF2CAA"/>
    <w:rsid w:val="00DF6504"/>
    <w:rsid w:val="00E00C78"/>
    <w:rsid w:val="00E033A7"/>
    <w:rsid w:val="00E03723"/>
    <w:rsid w:val="00E12599"/>
    <w:rsid w:val="00E14371"/>
    <w:rsid w:val="00E169B8"/>
    <w:rsid w:val="00E17CAB"/>
    <w:rsid w:val="00E2096B"/>
    <w:rsid w:val="00E21348"/>
    <w:rsid w:val="00E24E99"/>
    <w:rsid w:val="00E25B83"/>
    <w:rsid w:val="00E27EC7"/>
    <w:rsid w:val="00E43E01"/>
    <w:rsid w:val="00E54790"/>
    <w:rsid w:val="00E57730"/>
    <w:rsid w:val="00E62334"/>
    <w:rsid w:val="00E626ED"/>
    <w:rsid w:val="00E66AC8"/>
    <w:rsid w:val="00E67219"/>
    <w:rsid w:val="00E70638"/>
    <w:rsid w:val="00E72959"/>
    <w:rsid w:val="00E7446B"/>
    <w:rsid w:val="00E81F6E"/>
    <w:rsid w:val="00E83D62"/>
    <w:rsid w:val="00E83E29"/>
    <w:rsid w:val="00E86488"/>
    <w:rsid w:val="00E90D19"/>
    <w:rsid w:val="00E97E37"/>
    <w:rsid w:val="00EA1A15"/>
    <w:rsid w:val="00EA217F"/>
    <w:rsid w:val="00EA3649"/>
    <w:rsid w:val="00EA7370"/>
    <w:rsid w:val="00EB1E1F"/>
    <w:rsid w:val="00EB5502"/>
    <w:rsid w:val="00EB5B27"/>
    <w:rsid w:val="00EC3557"/>
    <w:rsid w:val="00ED320C"/>
    <w:rsid w:val="00ED44E3"/>
    <w:rsid w:val="00ED76EB"/>
    <w:rsid w:val="00EE50FD"/>
    <w:rsid w:val="00EE6456"/>
    <w:rsid w:val="00EF1E1B"/>
    <w:rsid w:val="00EF2D6B"/>
    <w:rsid w:val="00EF344F"/>
    <w:rsid w:val="00EF4675"/>
    <w:rsid w:val="00EF69AF"/>
    <w:rsid w:val="00F01EE2"/>
    <w:rsid w:val="00F043C3"/>
    <w:rsid w:val="00F054D5"/>
    <w:rsid w:val="00F06A11"/>
    <w:rsid w:val="00F120DA"/>
    <w:rsid w:val="00F16BFC"/>
    <w:rsid w:val="00F1789D"/>
    <w:rsid w:val="00F21813"/>
    <w:rsid w:val="00F24145"/>
    <w:rsid w:val="00F30832"/>
    <w:rsid w:val="00F32B93"/>
    <w:rsid w:val="00F34D21"/>
    <w:rsid w:val="00F36B9C"/>
    <w:rsid w:val="00F36C78"/>
    <w:rsid w:val="00F50242"/>
    <w:rsid w:val="00F5731B"/>
    <w:rsid w:val="00F6200C"/>
    <w:rsid w:val="00F64B32"/>
    <w:rsid w:val="00F674F2"/>
    <w:rsid w:val="00F701E1"/>
    <w:rsid w:val="00F70FFC"/>
    <w:rsid w:val="00F72430"/>
    <w:rsid w:val="00F80505"/>
    <w:rsid w:val="00F82306"/>
    <w:rsid w:val="00F87F27"/>
    <w:rsid w:val="00F9229D"/>
    <w:rsid w:val="00F9459E"/>
    <w:rsid w:val="00F95541"/>
    <w:rsid w:val="00F95EFF"/>
    <w:rsid w:val="00F972E0"/>
    <w:rsid w:val="00FA0F81"/>
    <w:rsid w:val="00FA2B8E"/>
    <w:rsid w:val="00FA453D"/>
    <w:rsid w:val="00FA681F"/>
    <w:rsid w:val="00FB2B76"/>
    <w:rsid w:val="00FB515B"/>
    <w:rsid w:val="00FB7FF3"/>
    <w:rsid w:val="00FC4D5E"/>
    <w:rsid w:val="00FC5351"/>
    <w:rsid w:val="00FC585B"/>
    <w:rsid w:val="00FC59A0"/>
    <w:rsid w:val="00FD0648"/>
    <w:rsid w:val="00FD0C8C"/>
    <w:rsid w:val="00FD1111"/>
    <w:rsid w:val="00FD2BD6"/>
    <w:rsid w:val="00FD5848"/>
    <w:rsid w:val="00FD651F"/>
    <w:rsid w:val="00FD78EA"/>
    <w:rsid w:val="00FE3352"/>
    <w:rsid w:val="00FE44ED"/>
    <w:rsid w:val="00FE4BAF"/>
    <w:rsid w:val="00FE533F"/>
    <w:rsid w:val="00FF0115"/>
    <w:rsid w:val="00FF0865"/>
    <w:rsid w:val="00FF552B"/>
    <w:rsid w:val="00FF6319"/>
    <w:rsid w:val="00FF7101"/>
    <w:rsid w:val="02FD049D"/>
    <w:rsid w:val="068AC4E3"/>
    <w:rsid w:val="07673607"/>
    <w:rsid w:val="08C5B122"/>
    <w:rsid w:val="0BA43D35"/>
    <w:rsid w:val="16CA4A3B"/>
    <w:rsid w:val="19BBD2F7"/>
    <w:rsid w:val="1CBE6E51"/>
    <w:rsid w:val="23CC2FDA"/>
    <w:rsid w:val="2B4F966B"/>
    <w:rsid w:val="2B6E8C37"/>
    <w:rsid w:val="36A544B8"/>
    <w:rsid w:val="39EC7768"/>
    <w:rsid w:val="4268A4E4"/>
    <w:rsid w:val="43F5AD30"/>
    <w:rsid w:val="4636282C"/>
    <w:rsid w:val="4967F729"/>
    <w:rsid w:val="58FD7266"/>
    <w:rsid w:val="5A6AFCA9"/>
    <w:rsid w:val="5B02F778"/>
    <w:rsid w:val="5F7026FB"/>
    <w:rsid w:val="66BFEA42"/>
    <w:rsid w:val="67A943BC"/>
    <w:rsid w:val="704DCA1D"/>
    <w:rsid w:val="77449C6A"/>
    <w:rsid w:val="77EFAC7E"/>
    <w:rsid w:val="7EA73D2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0906CB"/>
  <w15:docId w15:val="{9D39ACBB-7290-4326-81F2-E0D51A62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2006" w:hanging="447"/>
    </w:pPr>
  </w:style>
  <w:style w:type="paragraph" w:customStyle="1" w:styleId="TableParagraph">
    <w:name w:val="Table Paragraph"/>
    <w:basedOn w:val="Normal"/>
    <w:uiPriority w:val="1"/>
    <w:qFormat/>
    <w:pPr>
      <w:spacing w:before="23"/>
      <w:jc w:val="center"/>
    </w:pPr>
  </w:style>
  <w:style w:type="character" w:styleId="CommentReference">
    <w:name w:val="annotation reference"/>
    <w:basedOn w:val="DefaultParagraphFont"/>
    <w:uiPriority w:val="99"/>
    <w:unhideWhenUsed/>
    <w:rsid w:val="00DB1649"/>
    <w:rPr>
      <w:sz w:val="16"/>
      <w:szCs w:val="16"/>
    </w:rPr>
  </w:style>
  <w:style w:type="paragraph" w:styleId="CommentText">
    <w:name w:val="annotation text"/>
    <w:basedOn w:val="Normal"/>
    <w:link w:val="CommentTextChar"/>
    <w:uiPriority w:val="99"/>
    <w:unhideWhenUsed/>
    <w:rsid w:val="00DB1649"/>
    <w:rPr>
      <w:sz w:val="20"/>
      <w:szCs w:val="20"/>
    </w:rPr>
  </w:style>
  <w:style w:type="character" w:customStyle="1" w:styleId="CommentTextChar">
    <w:name w:val="Comment Text Char"/>
    <w:basedOn w:val="DefaultParagraphFont"/>
    <w:link w:val="CommentText"/>
    <w:uiPriority w:val="99"/>
    <w:rsid w:val="00DB164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B1649"/>
    <w:rPr>
      <w:b/>
      <w:bCs/>
    </w:rPr>
  </w:style>
  <w:style w:type="character" w:customStyle="1" w:styleId="CommentSubjectChar">
    <w:name w:val="Comment Subject Char"/>
    <w:basedOn w:val="CommentTextChar"/>
    <w:link w:val="CommentSubject"/>
    <w:uiPriority w:val="99"/>
    <w:semiHidden/>
    <w:rsid w:val="00DB1649"/>
    <w:rPr>
      <w:rFonts w:ascii="Arial" w:eastAsia="Arial" w:hAnsi="Arial" w:cs="Arial"/>
      <w:b/>
      <w:bCs/>
      <w:sz w:val="20"/>
      <w:szCs w:val="20"/>
    </w:rPr>
  </w:style>
  <w:style w:type="paragraph" w:styleId="Revision">
    <w:name w:val="Revision"/>
    <w:hidden/>
    <w:uiPriority w:val="99"/>
    <w:semiHidden/>
    <w:rsid w:val="00881755"/>
    <w:pPr>
      <w:widowControl/>
      <w:autoSpaceDE/>
      <w:autoSpaceDN/>
    </w:pPr>
    <w:rPr>
      <w:rFonts w:ascii="Arial" w:eastAsia="Arial" w:hAnsi="Arial" w:cs="Arial"/>
    </w:rPr>
  </w:style>
  <w:style w:type="character" w:styleId="Hyperlink">
    <w:name w:val="Hyperlink"/>
    <w:basedOn w:val="DefaultParagraphFont"/>
    <w:uiPriority w:val="99"/>
    <w:unhideWhenUsed/>
    <w:rsid w:val="003877BD"/>
    <w:rPr>
      <w:color w:val="0000FF" w:themeColor="hyperlink"/>
      <w:u w:val="single"/>
    </w:rPr>
  </w:style>
  <w:style w:type="paragraph" w:styleId="NormalWeb">
    <w:name w:val="Normal (Web)"/>
    <w:basedOn w:val="Normal"/>
    <w:uiPriority w:val="99"/>
    <w:unhideWhenUsed/>
    <w:rsid w:val="003877BD"/>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4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331C7"/>
    <w:rPr>
      <w:rFonts w:ascii="Arial" w:eastAsia="Arial" w:hAnsi="Arial" w:cs="Arial"/>
    </w:rPr>
  </w:style>
  <w:style w:type="paragraph" w:styleId="FootnoteText">
    <w:name w:val="footnote text"/>
    <w:basedOn w:val="Normal"/>
    <w:link w:val="FootnoteTextChar"/>
    <w:uiPriority w:val="99"/>
    <w:semiHidden/>
    <w:unhideWhenUsed/>
    <w:rsid w:val="00B81536"/>
    <w:rPr>
      <w:sz w:val="20"/>
      <w:szCs w:val="20"/>
    </w:rPr>
  </w:style>
  <w:style w:type="character" w:customStyle="1" w:styleId="FootnoteTextChar">
    <w:name w:val="Footnote Text Char"/>
    <w:basedOn w:val="DefaultParagraphFont"/>
    <w:link w:val="FootnoteText"/>
    <w:uiPriority w:val="99"/>
    <w:semiHidden/>
    <w:rsid w:val="00B81536"/>
    <w:rPr>
      <w:rFonts w:ascii="Arial" w:eastAsia="Arial" w:hAnsi="Arial" w:cs="Arial"/>
      <w:sz w:val="20"/>
      <w:szCs w:val="20"/>
    </w:rPr>
  </w:style>
  <w:style w:type="character" w:styleId="FootnoteReference">
    <w:name w:val="footnote reference"/>
    <w:basedOn w:val="DefaultParagraphFont"/>
    <w:uiPriority w:val="99"/>
    <w:semiHidden/>
    <w:unhideWhenUsed/>
    <w:rsid w:val="00B81536"/>
    <w:rPr>
      <w:vertAlign w:val="superscript"/>
    </w:rPr>
  </w:style>
  <w:style w:type="character" w:styleId="UnresolvedMention">
    <w:name w:val="Unresolved Mention"/>
    <w:basedOn w:val="DefaultParagraphFont"/>
    <w:uiPriority w:val="99"/>
    <w:semiHidden/>
    <w:unhideWhenUsed/>
    <w:rsid w:val="008137A9"/>
    <w:rPr>
      <w:color w:val="605E5C"/>
      <w:shd w:val="clear" w:color="auto" w:fill="E1DFDD"/>
    </w:rPr>
  </w:style>
  <w:style w:type="paragraph" w:styleId="Header">
    <w:name w:val="header"/>
    <w:basedOn w:val="Normal"/>
    <w:link w:val="HeaderChar"/>
    <w:uiPriority w:val="99"/>
    <w:unhideWhenUsed/>
    <w:rsid w:val="00894CB3"/>
    <w:pPr>
      <w:tabs>
        <w:tab w:val="center" w:pos="4680"/>
        <w:tab w:val="right" w:pos="9360"/>
      </w:tabs>
    </w:pPr>
  </w:style>
  <w:style w:type="character" w:customStyle="1" w:styleId="HeaderChar">
    <w:name w:val="Header Char"/>
    <w:basedOn w:val="DefaultParagraphFont"/>
    <w:link w:val="Header"/>
    <w:uiPriority w:val="99"/>
    <w:rsid w:val="00894CB3"/>
    <w:rPr>
      <w:rFonts w:ascii="Arial" w:eastAsia="Arial" w:hAnsi="Arial" w:cs="Arial"/>
    </w:rPr>
  </w:style>
  <w:style w:type="paragraph" w:styleId="Footer">
    <w:name w:val="footer"/>
    <w:basedOn w:val="Normal"/>
    <w:link w:val="FooterChar"/>
    <w:uiPriority w:val="99"/>
    <w:unhideWhenUsed/>
    <w:rsid w:val="00894CB3"/>
    <w:pPr>
      <w:tabs>
        <w:tab w:val="center" w:pos="4680"/>
        <w:tab w:val="right" w:pos="9360"/>
      </w:tabs>
    </w:pPr>
  </w:style>
  <w:style w:type="character" w:customStyle="1" w:styleId="FooterChar">
    <w:name w:val="Footer Char"/>
    <w:basedOn w:val="DefaultParagraphFont"/>
    <w:link w:val="Footer"/>
    <w:uiPriority w:val="99"/>
    <w:rsid w:val="00894CB3"/>
    <w:rPr>
      <w:rFonts w:ascii="Arial" w:eastAsia="Arial" w:hAnsi="Arial" w:cs="Arial"/>
    </w:rPr>
  </w:style>
  <w:style w:type="character" w:customStyle="1" w:styleId="ui-provider">
    <w:name w:val="ui-provider"/>
    <w:basedOn w:val="DefaultParagraphFont"/>
    <w:rsid w:val="004554B4"/>
  </w:style>
  <w:style w:type="paragraph" w:customStyle="1" w:styleId="Level1">
    <w:name w:val="Level 1"/>
    <w:basedOn w:val="Normal"/>
    <w:rsid w:val="008E309B"/>
    <w:pPr>
      <w:autoSpaceDE/>
      <w:autoSpaceDN/>
    </w:pPr>
    <w:rPr>
      <w:rFonts w:ascii="Times New Roman" w:eastAsia="Times New Roman" w:hAnsi="Times New Roman" w:cs="Times New Roman"/>
      <w:sz w:val="24"/>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nrc.gov/reading-rm/doc-" TargetMode="External" /><Relationship Id="rId2" Type="http://schemas.openxmlformats.org/officeDocument/2006/relationships/hyperlink" Target="https://www.nrc.gov/reading-rm/doc-collections/forms/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b3a34a53-9a19-47a4-8acc-4e423288e9ad">
      <UserInfo>
        <DisplayName>Kristen Benney</DisplayName>
        <AccountId>119</AccountId>
        <AccountType/>
      </UserInfo>
      <UserInfo>
        <DisplayName>David Cullison</DisplayName>
        <AccountId>62</AccountId>
        <AccountType/>
      </UserInfo>
    </SharedWithUsers>
    <TaxCatchAll xmlns="b3a34a53-9a19-47a4-8acc-4e423288e9ad" xsi:nil="true"/>
    <lcf76f155ced4ddcb4097134ff3c332f xmlns="5727b8a7-5843-4790-b74e-450215766ddc">
      <Terms xmlns="http://schemas.microsoft.com/office/infopath/2007/PartnerControls"/>
    </lcf76f155ced4ddcb4097134ff3c332f>
    <_dlc_DocId xmlns="b3a34a53-9a19-47a4-8acc-4e423288e9ad">DJXZ7D336C7E-259460999-4517</_dlc_DocId>
    <_dlc_DocIdUrl xmlns="b3a34a53-9a19-47a4-8acc-4e423288e9ad">
      <Url>https://usnrc.sharepoint.com/teams/OCIO-Information-Collections-Site/_layouts/15/DocIdRedir.aspx?ID=DJXZ7D336C7E-259460999-4517</Url>
      <Description>DJXZ7D336C7E-259460999-4517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e978b40e2fa465240ca4e5ac3723dcae">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cd4d7ded9db9d17d195424dbd0d4be41"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228AE-797A-4F02-83A8-2FEC28296F96}">
  <ds:schemaRefs>
    <ds:schemaRef ds:uri="http://schemas.openxmlformats.org/officeDocument/2006/bibliography"/>
  </ds:schemaRefs>
</ds:datastoreItem>
</file>

<file path=customXml/itemProps2.xml><?xml version="1.0" encoding="utf-8"?>
<ds:datastoreItem xmlns:ds="http://schemas.openxmlformats.org/officeDocument/2006/customXml" ds:itemID="{C7DE6D2A-EE01-4304-8C8F-8F229686AA72}">
  <ds:schemaRefs/>
</ds:datastoreItem>
</file>

<file path=customXml/itemProps3.xml><?xml version="1.0" encoding="utf-8"?>
<ds:datastoreItem xmlns:ds="http://schemas.openxmlformats.org/officeDocument/2006/customXml" ds:itemID="{F246C3AD-FDA6-4699-AD32-02FB9BAA6E4D}">
  <ds:schemaRefs>
    <ds:schemaRef ds:uri="http://schemas.microsoft.com/office/2006/documentManagement/types"/>
    <ds:schemaRef ds:uri="00b6466f-423f-4685-b181-7cb6e46d8b11"/>
    <ds:schemaRef ds:uri="http://schemas.microsoft.com/office/2006/metadata/properties"/>
    <ds:schemaRef ds:uri="http://purl.org/dc/elements/1.1/"/>
    <ds:schemaRef ds:uri="http://schemas.microsoft.com/sharepoint/v3"/>
    <ds:schemaRef ds:uri="cbc86945-3c34-41a8-8c10-f62a4f4c606b"/>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FBEE939-6849-402E-90BB-7E859A89BDC8}">
  <ds:schemaRefs>
    <ds:schemaRef ds:uri="http://schemas.microsoft.com/sharepoint/v3/contenttype/forms"/>
  </ds:schemaRefs>
</ds:datastoreItem>
</file>

<file path=customXml/itemProps5.xml><?xml version="1.0" encoding="utf-8"?>
<ds:datastoreItem xmlns:ds="http://schemas.openxmlformats.org/officeDocument/2006/customXml" ds:itemID="{ED7D09EC-A6F8-474A-ADE4-99ABD2B2DEA4}">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2638</Words>
  <Characters>15040</Characters>
  <Application>Microsoft Office Word</Application>
  <DocSecurity>0</DocSecurity>
  <Lines>125</Lines>
  <Paragraphs>35</Paragraphs>
  <ScaleCrop>false</ScaleCrop>
  <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Miles</dc:creator>
  <cp:lastModifiedBy>Kristen Benney</cp:lastModifiedBy>
  <cp:revision>2</cp:revision>
  <dcterms:created xsi:type="dcterms:W3CDTF">2025-07-22T17:17:00Z</dcterms:created>
  <dcterms:modified xsi:type="dcterms:W3CDTF">2025-07-22T17:17:00Z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Created">
    <vt:filetime>2022-07-13T00:00:00Z</vt:filetime>
  </property>
  <property fmtid="{D5CDD505-2E9C-101B-9397-08002B2CF9AE}" pid="4" name="Creator">
    <vt:lpwstr>PScript5.dll Version 5.2.2</vt:lpwstr>
  </property>
  <property fmtid="{D5CDD505-2E9C-101B-9397-08002B2CF9AE}" pid="5" name="LastSaved">
    <vt:filetime>2022-10-20T00:00:00Z</vt:filetime>
  </property>
  <property fmtid="{D5CDD505-2E9C-101B-9397-08002B2CF9AE}" pid="6" name="MediaServiceImageTags">
    <vt:lpwstr/>
  </property>
  <property fmtid="{D5CDD505-2E9C-101B-9397-08002B2CF9AE}" pid="7" name="Producer">
    <vt:lpwstr>Acrobat Distiller 15.0 (Windows)</vt:lpwstr>
  </property>
  <property fmtid="{D5CDD505-2E9C-101B-9397-08002B2CF9AE}" pid="8" name="_dlc_DocIdItemGuid">
    <vt:lpwstr>b5ccb68c-4d8b-4e41-867b-180f41363213</vt:lpwstr>
  </property>
</Properties>
</file>